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0AF" w:rsidRDefault="00FA40AF" w:rsidP="00161C11">
      <w:pPr>
        <w:jc w:val="center"/>
        <w:rPr>
          <w:b/>
        </w:rPr>
      </w:pPr>
      <w:r w:rsidRPr="00FA40AF">
        <w:rPr>
          <w:b/>
        </w:rPr>
        <w:t xml:space="preserve">The Regulation of Corporate Ethics: Governance in an Age of Inquiries </w:t>
      </w:r>
    </w:p>
    <w:p w:rsidR="00FA40AF" w:rsidRPr="00FA40AF" w:rsidRDefault="00FA40AF" w:rsidP="00161C11">
      <w:pPr>
        <w:jc w:val="center"/>
        <w:rPr>
          <w:rFonts w:ascii="Cambria" w:hAnsi="Cambria"/>
          <w:b/>
          <w:bCs/>
        </w:rPr>
      </w:pPr>
      <w:r w:rsidRPr="00FA40AF">
        <w:rPr>
          <w:b/>
        </w:rPr>
        <w:t>13 September 2019</w:t>
      </w:r>
    </w:p>
    <w:p w:rsidR="00161C11" w:rsidRDefault="00161C11" w:rsidP="00161C11">
      <w:pPr>
        <w:jc w:val="center"/>
        <w:rPr>
          <w:rFonts w:ascii="Cambria" w:hAnsi="Cambria"/>
          <w:b/>
          <w:bCs/>
        </w:rPr>
      </w:pPr>
      <w:r w:rsidRPr="00D86B7F">
        <w:rPr>
          <w:rFonts w:ascii="Cambria" w:hAnsi="Cambria"/>
          <w:b/>
          <w:bCs/>
        </w:rPr>
        <w:t>Be Civil not Criminal: The Role of the Criminal law in the Regulatory Pyramid</w:t>
      </w:r>
    </w:p>
    <w:p w:rsidR="0052561F" w:rsidRPr="0052561F" w:rsidRDefault="0052561F" w:rsidP="0052561F">
      <w:pPr>
        <w:rPr>
          <w:rFonts w:ascii="Cambria" w:hAnsi="Cambria"/>
        </w:rPr>
      </w:pPr>
      <w:r>
        <w:rPr>
          <w:rFonts w:ascii="Cambria" w:hAnsi="Cambria"/>
          <w:bCs/>
        </w:rPr>
        <w:t>Venetia Brown*</w:t>
      </w:r>
    </w:p>
    <w:p w:rsidR="00161C11" w:rsidRPr="00BA4486" w:rsidRDefault="00161C11" w:rsidP="00F23A37">
      <w:pPr>
        <w:pStyle w:val="ListParagraph"/>
        <w:numPr>
          <w:ilvl w:val="1"/>
          <w:numId w:val="15"/>
        </w:numPr>
        <w:spacing w:after="100" w:afterAutospacing="1" w:line="240" w:lineRule="auto"/>
        <w:jc w:val="both"/>
        <w:rPr>
          <w:rFonts w:ascii="Cambria" w:hAnsi="Cambria"/>
        </w:rPr>
      </w:pPr>
      <w:r w:rsidRPr="00BA4486">
        <w:rPr>
          <w:rFonts w:ascii="Cambria" w:hAnsi="Cambria"/>
        </w:rPr>
        <w:t xml:space="preserve">I am also working on the Corporate Criminal Responsibility </w:t>
      </w:r>
      <w:r w:rsidR="00BA4486" w:rsidRPr="00BA4486">
        <w:rPr>
          <w:rFonts w:ascii="Cambria" w:hAnsi="Cambria"/>
        </w:rPr>
        <w:t xml:space="preserve">Terms of Reference: we are still </w:t>
      </w:r>
      <w:r w:rsidR="00BA4486">
        <w:rPr>
          <w:rFonts w:ascii="Cambria" w:hAnsi="Cambria"/>
        </w:rPr>
        <w:t>early in the process and</w:t>
      </w:r>
      <w:r w:rsidR="00BA4486" w:rsidRPr="00BA4486">
        <w:rPr>
          <w:rFonts w:ascii="Cambria" w:hAnsi="Cambria"/>
        </w:rPr>
        <w:t xml:space="preserve"> </w:t>
      </w:r>
      <w:r w:rsidR="00BA4486">
        <w:rPr>
          <w:rFonts w:ascii="Cambria" w:hAnsi="Cambria"/>
        </w:rPr>
        <w:t>our d</w:t>
      </w:r>
      <w:r w:rsidRPr="00BA4486">
        <w:rPr>
          <w:rFonts w:ascii="Cambria" w:hAnsi="Cambria"/>
        </w:rPr>
        <w:t xml:space="preserve">iscussion Paper </w:t>
      </w:r>
      <w:proofErr w:type="gramStart"/>
      <w:r w:rsidRPr="00BA4486">
        <w:rPr>
          <w:rFonts w:ascii="Cambria" w:hAnsi="Cambria"/>
        </w:rPr>
        <w:t>will be published</w:t>
      </w:r>
      <w:proofErr w:type="gramEnd"/>
      <w:r w:rsidRPr="00BA4486">
        <w:rPr>
          <w:rFonts w:ascii="Cambria" w:hAnsi="Cambria"/>
        </w:rPr>
        <w:t xml:space="preserve"> in Nov</w:t>
      </w:r>
      <w:r w:rsidR="00BA4486">
        <w:rPr>
          <w:rFonts w:ascii="Cambria" w:hAnsi="Cambria"/>
        </w:rPr>
        <w:t xml:space="preserve">ember 2019. </w:t>
      </w:r>
    </w:p>
    <w:p w:rsidR="00161C11" w:rsidRPr="00BA4486" w:rsidRDefault="00161C11" w:rsidP="001A2416">
      <w:pPr>
        <w:pStyle w:val="ListParagraph"/>
        <w:numPr>
          <w:ilvl w:val="1"/>
          <w:numId w:val="15"/>
        </w:numPr>
        <w:spacing w:after="100" w:afterAutospacing="1" w:line="240" w:lineRule="auto"/>
        <w:jc w:val="both"/>
        <w:rPr>
          <w:rFonts w:ascii="Cambria" w:hAnsi="Cambria"/>
        </w:rPr>
      </w:pPr>
      <w:r w:rsidRPr="00BA4486">
        <w:rPr>
          <w:rFonts w:ascii="Cambria" w:hAnsi="Cambria"/>
        </w:rPr>
        <w:t>At this stage, ALRC has not come to a position</w:t>
      </w:r>
      <w:r w:rsidR="00BA4486" w:rsidRPr="00BA4486">
        <w:rPr>
          <w:rFonts w:ascii="Cambria" w:hAnsi="Cambria"/>
        </w:rPr>
        <w:t xml:space="preserve"> </w:t>
      </w:r>
      <w:r w:rsidR="00BA4486">
        <w:rPr>
          <w:rFonts w:ascii="Cambria" w:hAnsi="Cambria"/>
        </w:rPr>
        <w:t>–</w:t>
      </w:r>
      <w:r w:rsidR="00BA4486" w:rsidRPr="00BA4486">
        <w:rPr>
          <w:rFonts w:ascii="Cambria" w:hAnsi="Cambria"/>
        </w:rPr>
        <w:t xml:space="preserve"> </w:t>
      </w:r>
      <w:r w:rsidR="00BA4486">
        <w:rPr>
          <w:rFonts w:ascii="Cambria" w:hAnsi="Cambria"/>
        </w:rPr>
        <w:t>we still n</w:t>
      </w:r>
      <w:r w:rsidRPr="00BA4486">
        <w:rPr>
          <w:rFonts w:ascii="Cambria" w:hAnsi="Cambria"/>
        </w:rPr>
        <w:t xml:space="preserve">eed to consult our commissioners and advisory committee. </w:t>
      </w:r>
    </w:p>
    <w:p w:rsidR="00161C11" w:rsidRPr="00D86B7F" w:rsidRDefault="00161C11" w:rsidP="00161C11">
      <w:pPr>
        <w:pStyle w:val="ListParagraph"/>
        <w:numPr>
          <w:ilvl w:val="1"/>
          <w:numId w:val="15"/>
        </w:numPr>
        <w:spacing w:after="100" w:afterAutospacing="1" w:line="240" w:lineRule="auto"/>
        <w:jc w:val="both"/>
        <w:rPr>
          <w:rFonts w:ascii="Cambria" w:hAnsi="Cambria"/>
        </w:rPr>
      </w:pPr>
      <w:r w:rsidRPr="00D86B7F">
        <w:rPr>
          <w:rFonts w:ascii="Cambria" w:hAnsi="Cambria"/>
        </w:rPr>
        <w:t xml:space="preserve">Today, </w:t>
      </w:r>
      <w:proofErr w:type="gramStart"/>
      <w:r w:rsidRPr="00D86B7F">
        <w:rPr>
          <w:rFonts w:ascii="Cambria" w:hAnsi="Cambria"/>
        </w:rPr>
        <w:t>I’ll</w:t>
      </w:r>
      <w:proofErr w:type="gramEnd"/>
      <w:r w:rsidRPr="00D86B7F">
        <w:rPr>
          <w:rFonts w:ascii="Cambria" w:hAnsi="Cambria"/>
        </w:rPr>
        <w:t xml:space="preserve"> set out some of my personal preliminary views, and provide an overview </w:t>
      </w:r>
      <w:r w:rsidRPr="00D86B7F">
        <w:rPr>
          <w:rFonts w:ascii="Cambria" w:hAnsi="Cambria" w:cs="Times New Roman"/>
        </w:rPr>
        <w:t>of the primary research undertaken by the ALRC on the Commonwealth criminal law as it applies to corporations.</w:t>
      </w:r>
    </w:p>
    <w:p w:rsidR="005B0D41" w:rsidRPr="00D86B7F" w:rsidRDefault="005B0D41" w:rsidP="005B0D41">
      <w:pPr>
        <w:pStyle w:val="ListParagraph"/>
        <w:spacing w:after="100" w:afterAutospacing="1" w:line="240" w:lineRule="auto"/>
        <w:jc w:val="both"/>
        <w:rPr>
          <w:rFonts w:ascii="Cambria" w:hAnsi="Cambria"/>
        </w:rPr>
      </w:pPr>
    </w:p>
    <w:p w:rsidR="00BA4486" w:rsidRDefault="00161C11" w:rsidP="00BA4486">
      <w:pPr>
        <w:pStyle w:val="ListParagraph"/>
        <w:numPr>
          <w:ilvl w:val="0"/>
          <w:numId w:val="15"/>
        </w:numPr>
        <w:spacing w:after="100" w:afterAutospacing="1" w:line="240" w:lineRule="auto"/>
        <w:jc w:val="both"/>
        <w:rPr>
          <w:rFonts w:ascii="Cambria" w:hAnsi="Cambria"/>
        </w:rPr>
      </w:pPr>
      <w:r w:rsidRPr="00D86B7F">
        <w:rPr>
          <w:rFonts w:ascii="Cambria" w:hAnsi="Cambria"/>
        </w:rPr>
        <w:t xml:space="preserve">Fundamentally, the enforcement </w:t>
      </w:r>
      <w:r w:rsidR="00507C89">
        <w:rPr>
          <w:rFonts w:ascii="Cambria" w:hAnsi="Cambria"/>
        </w:rPr>
        <w:t>pyramid</w:t>
      </w:r>
      <w:r w:rsidRPr="00D86B7F">
        <w:rPr>
          <w:rFonts w:ascii="Cambria" w:hAnsi="Cambria"/>
        </w:rPr>
        <w:t xml:space="preserve"> places criminal punishment at the apex, envisaging that the shadow of criminal law should encourage good behaviour, while applying to only the most reprehensible of conduct.</w:t>
      </w:r>
    </w:p>
    <w:p w:rsidR="00BA4486" w:rsidRPr="00BA4486" w:rsidRDefault="00BA4486" w:rsidP="00BA4486">
      <w:pPr>
        <w:pStyle w:val="ListParagraph"/>
        <w:rPr>
          <w:rFonts w:ascii="Cambria" w:hAnsi="Cambria"/>
        </w:rPr>
      </w:pPr>
    </w:p>
    <w:p w:rsidR="00161C11" w:rsidRPr="00BA4486" w:rsidRDefault="00161C11" w:rsidP="00BA4486">
      <w:pPr>
        <w:pStyle w:val="ListParagraph"/>
        <w:numPr>
          <w:ilvl w:val="0"/>
          <w:numId w:val="15"/>
        </w:numPr>
        <w:spacing w:after="100" w:afterAutospacing="1" w:line="240" w:lineRule="auto"/>
        <w:jc w:val="both"/>
        <w:rPr>
          <w:rFonts w:ascii="Cambria" w:hAnsi="Cambria"/>
        </w:rPr>
      </w:pPr>
      <w:r w:rsidRPr="00BA4486">
        <w:rPr>
          <w:rFonts w:ascii="Cambria" w:hAnsi="Cambria"/>
        </w:rPr>
        <w:t>Criminal law may indeed be useful as part of the pyramid of tools which can improve behaviour, be it by individuals or corporations.</w:t>
      </w:r>
    </w:p>
    <w:p w:rsidR="00161C11" w:rsidRDefault="00161C11" w:rsidP="00161C11">
      <w:pPr>
        <w:pStyle w:val="ListParagraph"/>
        <w:numPr>
          <w:ilvl w:val="1"/>
          <w:numId w:val="15"/>
        </w:numPr>
        <w:spacing w:after="100" w:afterAutospacing="1" w:line="240" w:lineRule="auto"/>
        <w:jc w:val="both"/>
        <w:rPr>
          <w:rFonts w:ascii="Cambria" w:hAnsi="Cambria"/>
        </w:rPr>
      </w:pPr>
      <w:r w:rsidRPr="00D86B7F">
        <w:rPr>
          <w:rFonts w:ascii="Cambria" w:hAnsi="Cambria"/>
        </w:rPr>
        <w:t xml:space="preserve">From our initial consultations, there is support for using the criminal law as part of the regulatory </w:t>
      </w:r>
      <w:r w:rsidR="009E5CBA">
        <w:rPr>
          <w:rFonts w:ascii="Cambria" w:hAnsi="Cambria"/>
        </w:rPr>
        <w:t>framework</w:t>
      </w:r>
    </w:p>
    <w:p w:rsidR="009E5CBA" w:rsidRPr="00D86B7F" w:rsidRDefault="009E5CBA" w:rsidP="009E5CBA">
      <w:pPr>
        <w:pStyle w:val="ListParagraph"/>
        <w:spacing w:after="100" w:afterAutospacing="1" w:line="240" w:lineRule="auto"/>
        <w:ind w:left="1440"/>
        <w:jc w:val="both"/>
        <w:rPr>
          <w:rFonts w:ascii="Cambria" w:hAnsi="Cambria"/>
        </w:rPr>
      </w:pPr>
    </w:p>
    <w:p w:rsidR="00161C11" w:rsidRPr="00D86B7F" w:rsidRDefault="005B0D41" w:rsidP="005B0D41">
      <w:pPr>
        <w:pStyle w:val="ListParagraph"/>
        <w:numPr>
          <w:ilvl w:val="2"/>
          <w:numId w:val="15"/>
        </w:numPr>
        <w:spacing w:after="100" w:afterAutospacing="1" w:line="240" w:lineRule="auto"/>
        <w:jc w:val="both"/>
        <w:rPr>
          <w:rFonts w:ascii="Cambria" w:hAnsi="Cambria"/>
        </w:rPr>
      </w:pPr>
      <w:r w:rsidRPr="009E5CBA">
        <w:rPr>
          <w:rFonts w:ascii="Cambria" w:hAnsi="Cambria"/>
          <w:b/>
          <w:i/>
        </w:rPr>
        <w:t>Language</w:t>
      </w:r>
      <w:r w:rsidRPr="00D86B7F">
        <w:rPr>
          <w:rFonts w:ascii="Cambria" w:hAnsi="Cambria"/>
        </w:rPr>
        <w:t xml:space="preserve"> of the criminal law lends itself to properly condemning conduct, thereby providing vindication for victims </w:t>
      </w:r>
    </w:p>
    <w:p w:rsidR="005B0D41" w:rsidRPr="00D86B7F" w:rsidRDefault="005B0D41" w:rsidP="005B0D41">
      <w:pPr>
        <w:pStyle w:val="ListParagraph"/>
        <w:numPr>
          <w:ilvl w:val="2"/>
          <w:numId w:val="15"/>
        </w:numPr>
        <w:spacing w:after="100" w:afterAutospacing="1" w:line="240" w:lineRule="auto"/>
        <w:jc w:val="both"/>
        <w:rPr>
          <w:rFonts w:ascii="Cambria" w:hAnsi="Cambria"/>
        </w:rPr>
      </w:pPr>
      <w:r w:rsidRPr="00D86B7F">
        <w:rPr>
          <w:rFonts w:ascii="Cambria" w:hAnsi="Cambria"/>
        </w:rPr>
        <w:t xml:space="preserve">Forms an important part of the </w:t>
      </w:r>
      <w:r w:rsidRPr="009E5CBA">
        <w:rPr>
          <w:rFonts w:ascii="Cambria" w:hAnsi="Cambria"/>
          <w:b/>
          <w:i/>
        </w:rPr>
        <w:t>social recognition</w:t>
      </w:r>
      <w:r w:rsidRPr="00D86B7F">
        <w:rPr>
          <w:rFonts w:ascii="Cambria" w:hAnsi="Cambria"/>
        </w:rPr>
        <w:t xml:space="preserve"> of particularly egregious conduct </w:t>
      </w:r>
    </w:p>
    <w:p w:rsidR="005B0D41" w:rsidRPr="00D86B7F" w:rsidRDefault="005B0D41" w:rsidP="005B0D41">
      <w:pPr>
        <w:pStyle w:val="ListParagraph"/>
        <w:numPr>
          <w:ilvl w:val="2"/>
          <w:numId w:val="15"/>
        </w:numPr>
        <w:spacing w:after="100" w:afterAutospacing="1" w:line="240" w:lineRule="auto"/>
        <w:jc w:val="both"/>
        <w:rPr>
          <w:rFonts w:ascii="Cambria" w:hAnsi="Cambria"/>
        </w:rPr>
      </w:pPr>
      <w:r w:rsidRPr="00D86B7F">
        <w:rPr>
          <w:rFonts w:ascii="Cambria" w:hAnsi="Cambria"/>
        </w:rPr>
        <w:t xml:space="preserve">Criminal prosecution has a more damaging impact on </w:t>
      </w:r>
      <w:r w:rsidRPr="009E5CBA">
        <w:rPr>
          <w:rFonts w:ascii="Cambria" w:hAnsi="Cambria"/>
          <w:b/>
          <w:i/>
        </w:rPr>
        <w:t>reputation</w:t>
      </w:r>
    </w:p>
    <w:p w:rsidR="005B0D41" w:rsidRPr="00D86B7F" w:rsidRDefault="009E5CBA" w:rsidP="00610975">
      <w:pPr>
        <w:pStyle w:val="ListParagraph"/>
        <w:numPr>
          <w:ilvl w:val="2"/>
          <w:numId w:val="15"/>
        </w:numPr>
        <w:spacing w:after="100" w:afterAutospacing="1" w:line="240" w:lineRule="auto"/>
        <w:jc w:val="both"/>
        <w:rPr>
          <w:rFonts w:ascii="Cambria" w:hAnsi="Cambria"/>
        </w:rPr>
      </w:pPr>
      <w:r>
        <w:rPr>
          <w:rFonts w:ascii="Cambria" w:hAnsi="Cambria"/>
        </w:rPr>
        <w:t xml:space="preserve">Perhaps </w:t>
      </w:r>
      <w:r w:rsidR="005B0D41" w:rsidRPr="00D86B7F">
        <w:rPr>
          <w:rFonts w:ascii="Cambria" w:hAnsi="Cambria"/>
        </w:rPr>
        <w:t xml:space="preserve">a corporation </w:t>
      </w:r>
      <w:r w:rsidR="005B0D41" w:rsidRPr="009E5CBA">
        <w:rPr>
          <w:rFonts w:ascii="Cambria" w:hAnsi="Cambria"/>
          <w:b/>
          <w:i/>
        </w:rPr>
        <w:t>has a sort of personality</w:t>
      </w:r>
      <w:r w:rsidR="005B0D41" w:rsidRPr="00D86B7F">
        <w:rPr>
          <w:rFonts w:ascii="Cambria" w:hAnsi="Cambria"/>
        </w:rPr>
        <w:t xml:space="preserve"> – a corporate responsibility, corporate fault, and so should be treated as an entity, not a legal fiction</w:t>
      </w:r>
    </w:p>
    <w:p w:rsidR="005B0D41" w:rsidRPr="00D86B7F" w:rsidRDefault="005B0D41" w:rsidP="005B0D41">
      <w:pPr>
        <w:pStyle w:val="ListParagraph"/>
        <w:spacing w:after="100" w:afterAutospacing="1" w:line="240" w:lineRule="auto"/>
        <w:ind w:left="2160"/>
        <w:jc w:val="both"/>
        <w:rPr>
          <w:rFonts w:ascii="Cambria" w:hAnsi="Cambria"/>
        </w:rPr>
      </w:pPr>
    </w:p>
    <w:p w:rsidR="00161C11" w:rsidRPr="00D86B7F" w:rsidRDefault="00161C11" w:rsidP="00161C11">
      <w:pPr>
        <w:pStyle w:val="ListParagraph"/>
        <w:numPr>
          <w:ilvl w:val="1"/>
          <w:numId w:val="15"/>
        </w:numPr>
        <w:spacing w:after="100" w:afterAutospacing="1" w:line="240" w:lineRule="auto"/>
        <w:jc w:val="both"/>
        <w:rPr>
          <w:rFonts w:ascii="Cambria" w:hAnsi="Cambria"/>
        </w:rPr>
      </w:pPr>
      <w:r w:rsidRPr="00D86B7F">
        <w:rPr>
          <w:rFonts w:ascii="Cambria" w:hAnsi="Cambria"/>
        </w:rPr>
        <w:t xml:space="preserve">More </w:t>
      </w:r>
      <w:proofErr w:type="gramStart"/>
      <w:r w:rsidRPr="00D86B7F">
        <w:rPr>
          <w:rFonts w:ascii="Cambria" w:hAnsi="Cambria"/>
        </w:rPr>
        <w:t>recently</w:t>
      </w:r>
      <w:proofErr w:type="gramEnd"/>
      <w:r w:rsidRPr="00D86B7F">
        <w:rPr>
          <w:rFonts w:ascii="Cambria" w:hAnsi="Cambria"/>
        </w:rPr>
        <w:t xml:space="preserve"> someone said, that the question should not be </w:t>
      </w:r>
      <w:r w:rsidRPr="00D86B7F">
        <w:rPr>
          <w:rFonts w:ascii="Cambria" w:hAnsi="Cambria"/>
          <w:i/>
        </w:rPr>
        <w:t>should corporations be held criminally responsible, but rather, given that corporations are held criminally responsible, what is the argument to remove that criminal liability.</w:t>
      </w:r>
      <w:r w:rsidRPr="00D86B7F">
        <w:rPr>
          <w:rFonts w:ascii="Cambria" w:hAnsi="Cambria"/>
        </w:rPr>
        <w:t xml:space="preserve"> </w:t>
      </w:r>
    </w:p>
    <w:p w:rsidR="005B0D41" w:rsidRPr="00D86B7F" w:rsidRDefault="005B0D41" w:rsidP="009E5CBA">
      <w:pPr>
        <w:spacing w:after="100" w:afterAutospacing="1" w:line="240" w:lineRule="auto"/>
        <w:jc w:val="both"/>
        <w:rPr>
          <w:rFonts w:ascii="Cambria" w:hAnsi="Cambria"/>
        </w:rPr>
      </w:pPr>
      <w:r w:rsidRPr="00D86B7F">
        <w:rPr>
          <w:rFonts w:ascii="Cambria" w:hAnsi="Cambria"/>
        </w:rPr>
        <w:t xml:space="preserve">Great – so </w:t>
      </w:r>
      <w:proofErr w:type="gramStart"/>
      <w:r w:rsidRPr="00D86B7F">
        <w:rPr>
          <w:rFonts w:ascii="Cambria" w:hAnsi="Cambria"/>
        </w:rPr>
        <w:t>let’s</w:t>
      </w:r>
      <w:proofErr w:type="gramEnd"/>
      <w:r w:rsidRPr="00D86B7F">
        <w:rPr>
          <w:rFonts w:ascii="Cambria" w:hAnsi="Cambria"/>
        </w:rPr>
        <w:t xml:space="preserve"> keep criminal law in our pyramid</w:t>
      </w:r>
      <w:r w:rsidR="00FA40AF">
        <w:rPr>
          <w:rFonts w:ascii="Cambria" w:hAnsi="Cambria"/>
        </w:rPr>
        <w:t>.</w:t>
      </w:r>
      <w:r w:rsidRPr="00D86B7F">
        <w:rPr>
          <w:rFonts w:ascii="Cambria" w:hAnsi="Cambria"/>
        </w:rPr>
        <w:t xml:space="preserve">  </w:t>
      </w:r>
    </w:p>
    <w:p w:rsidR="00161C11" w:rsidRPr="00D86B7F" w:rsidRDefault="005B0D41" w:rsidP="00161C11">
      <w:pPr>
        <w:pStyle w:val="ListParagraph"/>
        <w:numPr>
          <w:ilvl w:val="0"/>
          <w:numId w:val="15"/>
        </w:numPr>
        <w:spacing w:after="100" w:afterAutospacing="1" w:line="240" w:lineRule="auto"/>
        <w:jc w:val="both"/>
        <w:rPr>
          <w:rFonts w:ascii="Cambria" w:hAnsi="Cambria"/>
        </w:rPr>
      </w:pPr>
      <w:bookmarkStart w:id="0" w:name="_GoBack"/>
      <w:r w:rsidRPr="00D86B7F">
        <w:rPr>
          <w:rFonts w:ascii="Cambria" w:hAnsi="Cambria"/>
        </w:rPr>
        <w:t xml:space="preserve">The reality we have found is that when you actually map the </w:t>
      </w:r>
      <w:r w:rsidR="00161C11" w:rsidRPr="00D86B7F">
        <w:rPr>
          <w:rFonts w:ascii="Cambria" w:hAnsi="Cambria"/>
        </w:rPr>
        <w:t xml:space="preserve">criminal </w:t>
      </w:r>
      <w:proofErr w:type="gramStart"/>
      <w:r w:rsidR="00161C11" w:rsidRPr="00D86B7F">
        <w:rPr>
          <w:rFonts w:ascii="Cambria" w:hAnsi="Cambria"/>
        </w:rPr>
        <w:t xml:space="preserve">laws </w:t>
      </w:r>
      <w:r w:rsidRPr="00D86B7F">
        <w:rPr>
          <w:rFonts w:ascii="Cambria" w:hAnsi="Cambria"/>
        </w:rPr>
        <w:t>which</w:t>
      </w:r>
      <w:proofErr w:type="gramEnd"/>
      <w:r w:rsidRPr="00D86B7F">
        <w:rPr>
          <w:rFonts w:ascii="Cambria" w:hAnsi="Cambria"/>
        </w:rPr>
        <w:t xml:space="preserve"> are </w:t>
      </w:r>
      <w:r w:rsidR="00161C11" w:rsidRPr="00D86B7F">
        <w:rPr>
          <w:rFonts w:ascii="Cambria" w:hAnsi="Cambria"/>
        </w:rPr>
        <w:t>applicable to corporations</w:t>
      </w:r>
      <w:r w:rsidRPr="00D86B7F">
        <w:rPr>
          <w:rFonts w:ascii="Cambria" w:hAnsi="Cambria"/>
        </w:rPr>
        <w:t xml:space="preserve">, what you find is much closer to a rhomboid than </w:t>
      </w:r>
      <w:r w:rsidR="00161C11" w:rsidRPr="00D86B7F">
        <w:rPr>
          <w:rFonts w:ascii="Cambria" w:hAnsi="Cambria"/>
        </w:rPr>
        <w:t xml:space="preserve">a neat pyramid. </w:t>
      </w:r>
      <w:r w:rsidRPr="00D86B7F">
        <w:rPr>
          <w:rFonts w:ascii="Cambria" w:hAnsi="Cambria"/>
        </w:rPr>
        <w:t xml:space="preserve"> The scope and scale </w:t>
      </w:r>
      <w:r w:rsidR="00507C89">
        <w:rPr>
          <w:rFonts w:ascii="Cambria" w:hAnsi="Cambria"/>
        </w:rPr>
        <w:t xml:space="preserve">and pervasiveness </w:t>
      </w:r>
      <w:r w:rsidRPr="00D86B7F">
        <w:rPr>
          <w:rFonts w:ascii="Cambria" w:hAnsi="Cambria"/>
        </w:rPr>
        <w:t xml:space="preserve">of criminal </w:t>
      </w:r>
      <w:proofErr w:type="gramStart"/>
      <w:r w:rsidRPr="00D86B7F">
        <w:rPr>
          <w:rFonts w:ascii="Cambria" w:hAnsi="Cambria"/>
        </w:rPr>
        <w:t>offences which</w:t>
      </w:r>
      <w:proofErr w:type="gramEnd"/>
      <w:r w:rsidRPr="00D86B7F">
        <w:rPr>
          <w:rFonts w:ascii="Cambria" w:hAnsi="Cambria"/>
        </w:rPr>
        <w:t xml:space="preserve"> are potentially applicable</w:t>
      </w:r>
      <w:r w:rsidR="009E5CBA">
        <w:rPr>
          <w:rFonts w:ascii="Cambria" w:hAnsi="Cambria"/>
        </w:rPr>
        <w:t xml:space="preserve"> to corporations</w:t>
      </w:r>
      <w:r w:rsidRPr="00D86B7F">
        <w:rPr>
          <w:rFonts w:ascii="Cambria" w:hAnsi="Cambria"/>
        </w:rPr>
        <w:t xml:space="preserve">, is shocking. </w:t>
      </w:r>
    </w:p>
    <w:bookmarkEnd w:id="0"/>
    <w:p w:rsidR="009E5CBA" w:rsidRDefault="009E5CBA" w:rsidP="009E5CBA">
      <w:pPr>
        <w:pStyle w:val="ListParagraph"/>
        <w:spacing w:after="100" w:afterAutospacing="1" w:line="240" w:lineRule="auto"/>
        <w:ind w:left="1080"/>
        <w:jc w:val="both"/>
        <w:rPr>
          <w:rFonts w:ascii="Cambria" w:hAnsi="Cambria"/>
        </w:rPr>
      </w:pPr>
    </w:p>
    <w:p w:rsidR="00A04916" w:rsidRPr="00BA4486" w:rsidRDefault="009E5CBA" w:rsidP="00BA4486">
      <w:pPr>
        <w:spacing w:after="100" w:afterAutospacing="1" w:line="240" w:lineRule="auto"/>
        <w:jc w:val="both"/>
        <w:rPr>
          <w:rFonts w:ascii="Cambria" w:hAnsi="Cambria"/>
        </w:rPr>
      </w:pPr>
      <w:r>
        <w:rPr>
          <w:rFonts w:ascii="Cambria" w:hAnsi="Cambria"/>
        </w:rPr>
        <w:t>As part of our initial preliminary research</w:t>
      </w:r>
      <w:proofErr w:type="gramStart"/>
      <w:r>
        <w:rPr>
          <w:rFonts w:ascii="Cambria" w:hAnsi="Cambria"/>
        </w:rPr>
        <w:t>,  we</w:t>
      </w:r>
      <w:proofErr w:type="gramEnd"/>
      <w:r>
        <w:rPr>
          <w:rFonts w:ascii="Cambria" w:hAnsi="Cambria"/>
        </w:rPr>
        <w:t xml:space="preserve"> </w:t>
      </w:r>
      <w:r w:rsidR="00A04916" w:rsidRPr="00D86B7F">
        <w:rPr>
          <w:rFonts w:ascii="Cambria" w:hAnsi="Cambria"/>
        </w:rPr>
        <w:t>have reviewed in excruciating detail</w:t>
      </w:r>
      <w:r w:rsidRPr="009E5CBA">
        <w:rPr>
          <w:rFonts w:ascii="Cambria" w:hAnsi="Cambria"/>
        </w:rPr>
        <w:t xml:space="preserve"> </w:t>
      </w:r>
      <w:r w:rsidR="00BA4486">
        <w:rPr>
          <w:rFonts w:ascii="Cambria" w:hAnsi="Cambria"/>
        </w:rPr>
        <w:t xml:space="preserve"> </w:t>
      </w:r>
      <w:r w:rsidRPr="00BA4486">
        <w:rPr>
          <w:rFonts w:ascii="Cambria" w:hAnsi="Cambria"/>
        </w:rPr>
        <w:t>15 key pieces of legislation as they apply to corporations</w:t>
      </w:r>
      <w:r w:rsidR="00A04916" w:rsidRPr="00BA4486">
        <w:rPr>
          <w:rFonts w:ascii="Cambria" w:hAnsi="Cambria"/>
        </w:rPr>
        <w:t xml:space="preserve">. </w:t>
      </w:r>
      <w:r w:rsidR="00BA4486">
        <w:rPr>
          <w:rFonts w:ascii="Cambria" w:hAnsi="Cambria"/>
        </w:rPr>
        <w:t xml:space="preserve"> These include:</w:t>
      </w:r>
    </w:p>
    <w:p w:rsidR="00A04916" w:rsidRPr="00D86B7F" w:rsidRDefault="00A04916" w:rsidP="00A04916">
      <w:pPr>
        <w:pStyle w:val="ListParagraph"/>
        <w:numPr>
          <w:ilvl w:val="1"/>
          <w:numId w:val="15"/>
        </w:numPr>
        <w:spacing w:after="100" w:afterAutospacing="1" w:line="240" w:lineRule="auto"/>
        <w:jc w:val="both"/>
        <w:rPr>
          <w:rFonts w:ascii="Cambria" w:hAnsi="Cambria"/>
        </w:rPr>
      </w:pPr>
      <w:r w:rsidRPr="00D86B7F">
        <w:rPr>
          <w:rFonts w:ascii="Cambria" w:hAnsi="Cambria"/>
          <w:i/>
        </w:rPr>
        <w:t xml:space="preserve">Corporations Act, ASIC Act, CCA and ACL, </w:t>
      </w:r>
    </w:p>
    <w:p w:rsidR="00A04916" w:rsidRPr="00D86B7F" w:rsidRDefault="00A04916" w:rsidP="00A04916">
      <w:pPr>
        <w:pStyle w:val="ListParagraph"/>
        <w:numPr>
          <w:ilvl w:val="1"/>
          <w:numId w:val="15"/>
        </w:numPr>
        <w:spacing w:after="100" w:afterAutospacing="1" w:line="240" w:lineRule="auto"/>
        <w:jc w:val="both"/>
        <w:rPr>
          <w:rFonts w:ascii="Cambria" w:hAnsi="Cambria"/>
        </w:rPr>
      </w:pPr>
      <w:r w:rsidRPr="00D86B7F">
        <w:rPr>
          <w:rFonts w:ascii="Cambria" w:hAnsi="Cambria"/>
          <w:i/>
        </w:rPr>
        <w:t>EPBC Act</w:t>
      </w:r>
    </w:p>
    <w:p w:rsidR="00A04916" w:rsidRPr="00D86B7F" w:rsidRDefault="00A04916" w:rsidP="00A04916">
      <w:pPr>
        <w:pStyle w:val="ListParagraph"/>
        <w:numPr>
          <w:ilvl w:val="1"/>
          <w:numId w:val="15"/>
        </w:numPr>
        <w:spacing w:after="100" w:afterAutospacing="1" w:line="240" w:lineRule="auto"/>
        <w:jc w:val="both"/>
        <w:rPr>
          <w:rFonts w:ascii="Cambria" w:hAnsi="Cambria"/>
        </w:rPr>
      </w:pPr>
      <w:r w:rsidRPr="00D86B7F">
        <w:rPr>
          <w:rFonts w:ascii="Cambria" w:hAnsi="Cambria"/>
          <w:i/>
        </w:rPr>
        <w:t xml:space="preserve">Criminal Code </w:t>
      </w:r>
    </w:p>
    <w:p w:rsidR="00626C7E" w:rsidRPr="00D86B7F" w:rsidRDefault="00626C7E" w:rsidP="00A04916">
      <w:pPr>
        <w:pStyle w:val="ListParagraph"/>
        <w:numPr>
          <w:ilvl w:val="1"/>
          <w:numId w:val="15"/>
        </w:numPr>
        <w:spacing w:after="100" w:afterAutospacing="1" w:line="240" w:lineRule="auto"/>
        <w:jc w:val="both"/>
        <w:rPr>
          <w:rFonts w:ascii="Cambria" w:hAnsi="Cambria"/>
        </w:rPr>
      </w:pPr>
      <w:r w:rsidRPr="00D86B7F">
        <w:rPr>
          <w:rFonts w:ascii="Cambria" w:hAnsi="Cambria"/>
          <w:i/>
        </w:rPr>
        <w:t>Anti-Money Laundering and Counter-Terrorism Financing Act (AMLCTFA)</w:t>
      </w:r>
    </w:p>
    <w:p w:rsidR="00626C7E" w:rsidRPr="00D86B7F" w:rsidRDefault="00626C7E" w:rsidP="005B0D41">
      <w:pPr>
        <w:pStyle w:val="ListParagraph"/>
        <w:spacing w:after="100" w:afterAutospacing="1" w:line="240" w:lineRule="auto"/>
        <w:jc w:val="both"/>
        <w:rPr>
          <w:rFonts w:ascii="Cambria" w:hAnsi="Cambria"/>
        </w:rPr>
      </w:pPr>
    </w:p>
    <w:p w:rsidR="00626C7E" w:rsidRPr="00D86B7F" w:rsidRDefault="009E5CBA" w:rsidP="005B0D41">
      <w:pPr>
        <w:pStyle w:val="ListParagraph"/>
        <w:spacing w:after="100" w:afterAutospacing="1" w:line="240" w:lineRule="auto"/>
        <w:jc w:val="both"/>
        <w:rPr>
          <w:rFonts w:ascii="Cambria" w:hAnsi="Cambria" w:cs="Times New Roman"/>
        </w:rPr>
      </w:pPr>
      <w:r>
        <w:rPr>
          <w:rFonts w:ascii="Cambria" w:hAnsi="Cambria" w:cs="Times New Roman"/>
        </w:rPr>
        <w:t>T</w:t>
      </w:r>
      <w:r w:rsidR="00626C7E" w:rsidRPr="00D86B7F">
        <w:rPr>
          <w:rFonts w:ascii="Cambria" w:hAnsi="Cambria" w:cs="Times New Roman"/>
        </w:rPr>
        <w:t xml:space="preserve">he ALRC has identified 2320 criminal offences, in 15 </w:t>
      </w:r>
      <w:proofErr w:type="gramStart"/>
      <w:r w:rsidR="00626C7E" w:rsidRPr="00D86B7F">
        <w:rPr>
          <w:rFonts w:ascii="Cambria" w:hAnsi="Cambria" w:cs="Times New Roman"/>
        </w:rPr>
        <w:t>Acts</w:t>
      </w:r>
      <w:r>
        <w:rPr>
          <w:rFonts w:ascii="Cambria" w:hAnsi="Cambria" w:cs="Times New Roman"/>
        </w:rPr>
        <w:t xml:space="preserve">  -</w:t>
      </w:r>
      <w:proofErr w:type="gramEnd"/>
      <w:r>
        <w:rPr>
          <w:rFonts w:ascii="Cambria" w:hAnsi="Cambria" w:cs="Times New Roman"/>
        </w:rPr>
        <w:t xml:space="preserve"> one might say this evidences an over proliferation of criminal offences. </w:t>
      </w:r>
    </w:p>
    <w:p w:rsidR="00626C7E" w:rsidRPr="00D86B7F" w:rsidRDefault="00626C7E" w:rsidP="005B0D41">
      <w:pPr>
        <w:pStyle w:val="ListParagraph"/>
        <w:spacing w:after="100" w:afterAutospacing="1" w:line="240" w:lineRule="auto"/>
        <w:jc w:val="both"/>
        <w:rPr>
          <w:rFonts w:ascii="Cambria" w:hAnsi="Cambria" w:cs="Times New Roman"/>
        </w:rPr>
      </w:pPr>
    </w:p>
    <w:p w:rsidR="009E5CBA" w:rsidRDefault="009E5CBA" w:rsidP="005B0D41">
      <w:pPr>
        <w:pStyle w:val="ListParagraph"/>
        <w:spacing w:after="100" w:afterAutospacing="1" w:line="240" w:lineRule="auto"/>
        <w:jc w:val="both"/>
        <w:rPr>
          <w:rFonts w:ascii="Cambria" w:hAnsi="Cambria" w:cs="Times New Roman"/>
        </w:rPr>
      </w:pPr>
      <w:r>
        <w:rPr>
          <w:rFonts w:ascii="Cambria" w:hAnsi="Cambria" w:cs="Times New Roman"/>
        </w:rPr>
        <w:t>What this</w:t>
      </w:r>
      <w:r w:rsidR="00E022BF" w:rsidRPr="00D86B7F">
        <w:rPr>
          <w:rFonts w:ascii="Cambria" w:hAnsi="Cambria" w:cs="Times New Roman"/>
        </w:rPr>
        <w:t xml:space="preserve"> suggests that the Commonwealth criminal law as it presently exists does not reflect the </w:t>
      </w:r>
      <w:r>
        <w:rPr>
          <w:rFonts w:ascii="Cambria" w:hAnsi="Cambria" w:cs="Times New Roman"/>
        </w:rPr>
        <w:t>notion</w:t>
      </w:r>
      <w:r w:rsidR="00E022BF" w:rsidRPr="00D86B7F">
        <w:rPr>
          <w:rFonts w:ascii="Cambria" w:hAnsi="Cambria" w:cs="Times New Roman"/>
        </w:rPr>
        <w:t xml:space="preserve"> that conduct only be criminal where there is “substantial wrongdoing”.</w:t>
      </w:r>
      <w:r w:rsidR="00E022BF" w:rsidRPr="00D86B7F">
        <w:rPr>
          <w:rStyle w:val="FootnoteReference"/>
          <w:rFonts w:ascii="Cambria" w:hAnsi="Cambria" w:cs="Times New Roman"/>
        </w:rPr>
        <w:footnoteReference w:id="1"/>
      </w:r>
      <w:r w:rsidR="00E022BF" w:rsidRPr="00D86B7F">
        <w:rPr>
          <w:rFonts w:ascii="Cambria" w:hAnsi="Cambria" w:cs="Times New Roman"/>
        </w:rPr>
        <w:t xml:space="preserve"> </w:t>
      </w:r>
    </w:p>
    <w:p w:rsidR="009E5CBA" w:rsidRDefault="009E5CBA" w:rsidP="005B0D41">
      <w:pPr>
        <w:pStyle w:val="ListParagraph"/>
        <w:spacing w:after="100" w:afterAutospacing="1" w:line="240" w:lineRule="auto"/>
        <w:jc w:val="both"/>
        <w:rPr>
          <w:rFonts w:ascii="Cambria" w:hAnsi="Cambria" w:cs="Times New Roman"/>
        </w:rPr>
      </w:pPr>
    </w:p>
    <w:p w:rsidR="00E022BF" w:rsidRPr="00D86B7F" w:rsidRDefault="00E022BF" w:rsidP="005B0D41">
      <w:pPr>
        <w:pStyle w:val="ListParagraph"/>
        <w:spacing w:after="100" w:afterAutospacing="1" w:line="240" w:lineRule="auto"/>
        <w:jc w:val="both"/>
        <w:rPr>
          <w:rFonts w:ascii="Cambria" w:hAnsi="Cambria" w:cs="Times New Roman"/>
        </w:rPr>
      </w:pPr>
      <w:r w:rsidRPr="00D86B7F">
        <w:rPr>
          <w:rFonts w:ascii="Cambria" w:hAnsi="Cambria" w:cs="Times New Roman"/>
        </w:rPr>
        <w:t xml:space="preserve">The dilution of the rationale of criminal liability is clearly evident in the </w:t>
      </w:r>
      <w:r w:rsidRPr="00D86B7F">
        <w:rPr>
          <w:rFonts w:ascii="Cambria" w:hAnsi="Cambria" w:cs="Times New Roman"/>
          <w:i/>
        </w:rPr>
        <w:t>Corporations Act</w:t>
      </w:r>
      <w:r w:rsidRPr="00D86B7F">
        <w:rPr>
          <w:rFonts w:ascii="Cambria" w:hAnsi="Cambria" w:cs="Times New Roman"/>
        </w:rPr>
        <w:t xml:space="preserve">, </w:t>
      </w:r>
      <w:proofErr w:type="spellStart"/>
      <w:r w:rsidRPr="00D86B7F">
        <w:rPr>
          <w:rFonts w:ascii="Cambria" w:hAnsi="Cambria" w:cs="Times New Roman"/>
        </w:rPr>
        <w:t>where as</w:t>
      </w:r>
      <w:proofErr w:type="spellEnd"/>
      <w:r w:rsidRPr="00D86B7F">
        <w:rPr>
          <w:rFonts w:ascii="Cambria" w:hAnsi="Cambria" w:cs="Times New Roman"/>
        </w:rPr>
        <w:t xml:space="preserve"> Matt said, the failure to place an ACN on certain company documents is a criminal offence,</w:t>
      </w:r>
      <w:r w:rsidRPr="00D86B7F">
        <w:rPr>
          <w:rStyle w:val="FootnoteReference"/>
          <w:rFonts w:ascii="Cambria" w:hAnsi="Cambria" w:cs="Times New Roman"/>
        </w:rPr>
        <w:footnoteReference w:id="2"/>
      </w:r>
      <w:r w:rsidRPr="00D86B7F">
        <w:rPr>
          <w:rFonts w:ascii="Cambria" w:hAnsi="Cambria" w:cs="Times New Roman"/>
        </w:rPr>
        <w:t xml:space="preserve"> but more amusingly</w:t>
      </w:r>
      <w:proofErr w:type="gramStart"/>
      <w:r w:rsidRPr="00D86B7F">
        <w:rPr>
          <w:rFonts w:ascii="Cambria" w:hAnsi="Cambria" w:cs="Times New Roman"/>
        </w:rPr>
        <w:t>,  the</w:t>
      </w:r>
      <w:proofErr w:type="gramEnd"/>
      <w:r w:rsidRPr="00D86B7F">
        <w:rPr>
          <w:rFonts w:ascii="Cambria" w:hAnsi="Cambria" w:cs="Times New Roman"/>
        </w:rPr>
        <w:t xml:space="preserve">  failure to notify ASIC of a change in company office hours.</w:t>
      </w:r>
      <w:r w:rsidRPr="00D86B7F">
        <w:rPr>
          <w:rStyle w:val="FootnoteReference"/>
          <w:rFonts w:ascii="Cambria" w:hAnsi="Cambria" w:cs="Times New Roman"/>
        </w:rPr>
        <w:footnoteReference w:id="3"/>
      </w:r>
    </w:p>
    <w:p w:rsidR="00E022BF" w:rsidRPr="00D86B7F" w:rsidRDefault="00E022BF" w:rsidP="005B0D41">
      <w:pPr>
        <w:pStyle w:val="ListParagraph"/>
        <w:spacing w:after="100" w:afterAutospacing="1" w:line="240" w:lineRule="auto"/>
        <w:jc w:val="both"/>
        <w:rPr>
          <w:rFonts w:ascii="Cambria" w:hAnsi="Cambria" w:cs="Times New Roman"/>
        </w:rPr>
      </w:pPr>
    </w:p>
    <w:p w:rsidR="009E5CBA" w:rsidRDefault="00E022BF" w:rsidP="009E5CBA">
      <w:pPr>
        <w:pStyle w:val="ListParagraph"/>
        <w:spacing w:after="120"/>
        <w:ind w:left="0"/>
        <w:contextualSpacing w:val="0"/>
        <w:jc w:val="both"/>
        <w:rPr>
          <w:rFonts w:ascii="Cambria" w:hAnsi="Cambria" w:cs="Times New Roman"/>
        </w:rPr>
      </w:pPr>
      <w:r w:rsidRPr="00D86B7F">
        <w:rPr>
          <w:rFonts w:ascii="Cambria" w:hAnsi="Cambria" w:cs="Times New Roman"/>
        </w:rPr>
        <w:t>Of the 2320 offences mapped, a quarter of the offences</w:t>
      </w:r>
      <w:r w:rsidR="009E5CBA" w:rsidRPr="009E5CBA">
        <w:rPr>
          <w:rFonts w:ascii="Cambria" w:hAnsi="Cambria" w:cs="Times New Roman"/>
        </w:rPr>
        <w:t xml:space="preserve"> </w:t>
      </w:r>
      <w:r w:rsidR="009E5CBA" w:rsidRPr="00D86B7F">
        <w:rPr>
          <w:rFonts w:ascii="Cambria" w:hAnsi="Cambria" w:cs="Times New Roman"/>
        </w:rPr>
        <w:t xml:space="preserve">attract maximum penalties of </w:t>
      </w:r>
      <w:r w:rsidR="009E5CBA">
        <w:rPr>
          <w:rFonts w:ascii="Cambria" w:hAnsi="Cambria" w:cs="Times New Roman"/>
        </w:rPr>
        <w:t xml:space="preserve">less than </w:t>
      </w:r>
      <w:r w:rsidR="009E5CBA" w:rsidRPr="00D86B7F">
        <w:rPr>
          <w:rFonts w:ascii="Cambria" w:hAnsi="Cambria" w:cs="Times New Roman"/>
        </w:rPr>
        <w:t>60 penalty units for an individual,</w:t>
      </w:r>
      <w:r w:rsidR="009E5CBA" w:rsidRPr="00D86B7F">
        <w:rPr>
          <w:rStyle w:val="FootnoteReference"/>
          <w:rFonts w:ascii="Cambria" w:hAnsi="Cambria" w:cs="Times New Roman"/>
        </w:rPr>
        <w:footnoteReference w:id="4"/>
      </w:r>
      <w:r w:rsidR="009E5CBA" w:rsidRPr="00D86B7F">
        <w:rPr>
          <w:rFonts w:ascii="Cambria" w:hAnsi="Cambria" w:cs="Times New Roman"/>
        </w:rPr>
        <w:t xml:space="preserve"> which is said to be equivalent to one year imprisonment and is a ‘serious offence'.</w:t>
      </w:r>
      <w:r w:rsidR="009E5CBA" w:rsidRPr="00D86B7F">
        <w:rPr>
          <w:rStyle w:val="FootnoteReference"/>
          <w:rFonts w:ascii="Cambria" w:hAnsi="Cambria" w:cs="Times New Roman"/>
        </w:rPr>
        <w:footnoteReference w:id="5"/>
      </w:r>
    </w:p>
    <w:p w:rsidR="00E022BF" w:rsidRPr="009E5CBA" w:rsidRDefault="00E022BF" w:rsidP="009E5CBA">
      <w:pPr>
        <w:pStyle w:val="ListParagraph"/>
        <w:spacing w:after="120"/>
        <w:ind w:left="0"/>
        <w:contextualSpacing w:val="0"/>
        <w:jc w:val="both"/>
        <w:rPr>
          <w:rFonts w:ascii="Cambria" w:hAnsi="Cambria" w:cs="Times New Roman"/>
        </w:rPr>
      </w:pPr>
      <w:proofErr w:type="gramStart"/>
      <w:r w:rsidRPr="00D86B7F">
        <w:rPr>
          <w:rFonts w:ascii="Cambria" w:hAnsi="Cambria" w:cs="Times New Roman"/>
        </w:rPr>
        <w:t>some</w:t>
      </w:r>
      <w:proofErr w:type="gramEnd"/>
      <w:r w:rsidR="009E5CBA">
        <w:rPr>
          <w:rFonts w:ascii="Cambria" w:hAnsi="Cambria" w:cs="Times New Roman"/>
        </w:rPr>
        <w:t xml:space="preserve"> </w:t>
      </w:r>
      <w:r w:rsidRPr="00D86B7F">
        <w:rPr>
          <w:rFonts w:ascii="Cambria" w:hAnsi="Cambria" w:cs="Times New Roman"/>
        </w:rPr>
        <w:t>offences attract maximum penalties as low as a single penalty unit.</w:t>
      </w:r>
      <w:r w:rsidRPr="00D86B7F">
        <w:rPr>
          <w:rStyle w:val="FootnoteReference"/>
          <w:rFonts w:ascii="Cambria" w:hAnsi="Cambria" w:cs="Times New Roman"/>
        </w:rPr>
        <w:footnoteReference w:id="6"/>
      </w:r>
      <w:r w:rsidRPr="00D86B7F">
        <w:rPr>
          <w:rFonts w:ascii="Cambria" w:hAnsi="Cambria" w:cs="Times New Roman"/>
        </w:rPr>
        <w:t xml:space="preserve"> </w:t>
      </w:r>
    </w:p>
    <w:p w:rsidR="009E5CBA" w:rsidRDefault="009E5CBA" w:rsidP="009E5CBA">
      <w:pPr>
        <w:spacing w:after="100" w:afterAutospacing="1" w:line="240" w:lineRule="auto"/>
        <w:jc w:val="both"/>
        <w:rPr>
          <w:rFonts w:ascii="Cambria" w:hAnsi="Cambria"/>
        </w:rPr>
      </w:pPr>
      <w:r w:rsidRPr="009E5CBA">
        <w:rPr>
          <w:rFonts w:ascii="Cambria" w:hAnsi="Cambria"/>
        </w:rPr>
        <w:t>The number, specificity and complexity of criminal offences obscures the conduct they purport to regulate.</w:t>
      </w:r>
    </w:p>
    <w:p w:rsidR="00626C7E" w:rsidRPr="00AD2638" w:rsidRDefault="009E5CBA" w:rsidP="00AD2638">
      <w:pPr>
        <w:spacing w:after="100" w:afterAutospacing="1" w:line="240" w:lineRule="auto"/>
        <w:jc w:val="both"/>
        <w:rPr>
          <w:rFonts w:ascii="Cambria" w:hAnsi="Cambria"/>
        </w:rPr>
      </w:pPr>
      <w:r w:rsidRPr="009E5CBA">
        <w:rPr>
          <w:rFonts w:ascii="Cambria" w:hAnsi="Cambria"/>
        </w:rPr>
        <w:t>There is a lack of principled distinction between civil penalty provisions and criminal offences, and the use of each.</w:t>
      </w:r>
    </w:p>
    <w:p w:rsidR="00E022BF" w:rsidRPr="00D86B7F" w:rsidRDefault="009E5CBA" w:rsidP="009E5CBA">
      <w:pPr>
        <w:pStyle w:val="ListParagraph"/>
        <w:spacing w:after="120"/>
        <w:ind w:left="0"/>
        <w:contextualSpacing w:val="0"/>
        <w:jc w:val="both"/>
        <w:rPr>
          <w:rFonts w:ascii="Cambria" w:hAnsi="Cambria" w:cs="Times New Roman"/>
        </w:rPr>
      </w:pPr>
      <w:r>
        <w:rPr>
          <w:rFonts w:ascii="Cambria" w:hAnsi="Cambria" w:cs="Times New Roman"/>
        </w:rPr>
        <w:t xml:space="preserve">What seems apparent is </w:t>
      </w:r>
      <w:r w:rsidR="00E022BF" w:rsidRPr="00D86B7F">
        <w:rPr>
          <w:rFonts w:ascii="Cambria" w:hAnsi="Cambria" w:cs="Times New Roman"/>
        </w:rPr>
        <w:t xml:space="preserve">that the existing Commonwealth criminal law as it applies to corporations lacks both coherence and consistency. This creates considerable difficulty for both those regulated by the criminal law and those enforcing it. </w:t>
      </w:r>
    </w:p>
    <w:p w:rsidR="00E022BF" w:rsidRPr="00D86B7F" w:rsidRDefault="00E022BF" w:rsidP="005B0D41">
      <w:pPr>
        <w:pStyle w:val="ListParagraph"/>
        <w:spacing w:after="100" w:afterAutospacing="1" w:line="240" w:lineRule="auto"/>
        <w:jc w:val="both"/>
        <w:rPr>
          <w:rFonts w:ascii="Cambria" w:hAnsi="Cambria"/>
        </w:rPr>
      </w:pPr>
    </w:p>
    <w:p w:rsidR="0072407D" w:rsidRPr="00D86B7F" w:rsidRDefault="0072407D" w:rsidP="009E5CBA">
      <w:pPr>
        <w:pStyle w:val="ListParagraph"/>
        <w:spacing w:after="120"/>
        <w:ind w:left="0"/>
        <w:contextualSpacing w:val="0"/>
        <w:jc w:val="both"/>
        <w:rPr>
          <w:rFonts w:ascii="Cambria" w:hAnsi="Cambria" w:cs="Times New Roman"/>
        </w:rPr>
      </w:pPr>
      <w:r w:rsidRPr="00D86B7F">
        <w:rPr>
          <w:rFonts w:ascii="Cambria" w:hAnsi="Cambria" w:cs="Times New Roman"/>
        </w:rPr>
        <w:t>ALRC’s mapping confirms Commissioner Hayne’s observation that</w:t>
      </w:r>
      <w:r w:rsidR="00BA4486">
        <w:rPr>
          <w:rFonts w:ascii="Cambria" w:hAnsi="Cambria" w:cs="Times New Roman"/>
        </w:rPr>
        <w:t>:</w:t>
      </w:r>
      <w:r w:rsidRPr="00D86B7F">
        <w:rPr>
          <w:rFonts w:ascii="Cambria" w:hAnsi="Cambria" w:cs="Times New Roman"/>
        </w:rPr>
        <w:t xml:space="preserve"> </w:t>
      </w:r>
    </w:p>
    <w:p w:rsidR="00E022BF" w:rsidRDefault="0072407D" w:rsidP="00AD2638">
      <w:pPr>
        <w:spacing w:after="120"/>
        <w:ind w:left="360"/>
        <w:rPr>
          <w:rFonts w:ascii="Cambria" w:hAnsi="Cambria" w:cs="Times New Roman"/>
        </w:rPr>
      </w:pPr>
      <w:proofErr w:type="gramStart"/>
      <w:r w:rsidRPr="00D86B7F">
        <w:rPr>
          <w:rFonts w:ascii="Cambria" w:hAnsi="Cambria" w:cs="Times New Roman"/>
          <w:i/>
        </w:rPr>
        <w:t>much</w:t>
      </w:r>
      <w:proofErr w:type="gramEnd"/>
      <w:r w:rsidRPr="00D86B7F">
        <w:rPr>
          <w:rFonts w:ascii="Cambria" w:hAnsi="Cambria" w:cs="Times New Roman"/>
          <w:i/>
        </w:rPr>
        <w:t xml:space="preserve"> of the complication [of the current regulatory regime] comes from piling exception upon exception, from carving out special rules for special interests. </w:t>
      </w:r>
      <w:proofErr w:type="gramStart"/>
      <w:r w:rsidRPr="00D86B7F">
        <w:rPr>
          <w:rFonts w:ascii="Cambria" w:hAnsi="Cambria" w:cs="Times New Roman"/>
          <w:i/>
        </w:rPr>
        <w:t>And</w:t>
      </w:r>
      <w:proofErr w:type="gramEnd"/>
      <w:r w:rsidRPr="00D86B7F">
        <w:rPr>
          <w:rFonts w:ascii="Cambria" w:hAnsi="Cambria" w:cs="Times New Roman"/>
          <w:i/>
        </w:rPr>
        <w:t>, in almost every case, these special rules qualify the application of a more general principle to entities or transactions that</w:t>
      </w:r>
      <w:r w:rsidR="009E5CBA">
        <w:rPr>
          <w:rFonts w:ascii="Cambria" w:hAnsi="Cambria" w:cs="Times New Roman"/>
          <w:i/>
        </w:rPr>
        <w:t xml:space="preserve"> </w:t>
      </w:r>
      <w:r w:rsidRPr="00D86B7F">
        <w:rPr>
          <w:rFonts w:ascii="Cambria" w:hAnsi="Cambria" w:cs="Times New Roman"/>
          <w:i/>
        </w:rPr>
        <w:t>are not different in any material way from those to which the general rule is applied</w:t>
      </w:r>
      <w:r w:rsidRPr="00D86B7F">
        <w:rPr>
          <w:rFonts w:ascii="Cambria" w:hAnsi="Cambria" w:cs="Times New Roman"/>
        </w:rPr>
        <w:t>.</w:t>
      </w:r>
      <w:r w:rsidRPr="00D86B7F">
        <w:rPr>
          <w:rStyle w:val="FootnoteReference"/>
          <w:rFonts w:ascii="Cambria" w:hAnsi="Cambria" w:cs="Times New Roman"/>
        </w:rPr>
        <w:footnoteReference w:id="7"/>
      </w:r>
    </w:p>
    <w:p w:rsidR="00AD2638" w:rsidRPr="00AD2638" w:rsidRDefault="00AD2638" w:rsidP="00AD2638">
      <w:pPr>
        <w:spacing w:after="120"/>
        <w:ind w:left="360"/>
        <w:rPr>
          <w:rFonts w:ascii="Cambria" w:hAnsi="Cambria" w:cs="Times New Roman"/>
        </w:rPr>
      </w:pPr>
    </w:p>
    <w:p w:rsidR="00D86B7F" w:rsidRPr="00BA4486" w:rsidRDefault="00D86B7F" w:rsidP="00BA4486">
      <w:pPr>
        <w:spacing w:after="100" w:afterAutospacing="1" w:line="240" w:lineRule="auto"/>
        <w:jc w:val="both"/>
        <w:rPr>
          <w:rFonts w:ascii="Cambria" w:hAnsi="Cambria"/>
        </w:rPr>
      </w:pPr>
      <w:r w:rsidRPr="00BA4486">
        <w:rPr>
          <w:rFonts w:ascii="Cambria" w:hAnsi="Cambria"/>
        </w:rPr>
        <w:t xml:space="preserve">At the end of the day, what we see is not a sparkling triangle of regulatory perfection, but a </w:t>
      </w:r>
      <w:proofErr w:type="spellStart"/>
      <w:r w:rsidRPr="00BA4486">
        <w:rPr>
          <w:rFonts w:ascii="Cambria" w:hAnsi="Cambria"/>
        </w:rPr>
        <w:t>slumpy</w:t>
      </w:r>
      <w:proofErr w:type="spellEnd"/>
      <w:r w:rsidRPr="00BA4486">
        <w:rPr>
          <w:rFonts w:ascii="Cambria" w:hAnsi="Cambria"/>
        </w:rPr>
        <w:t xml:space="preserve"> regulatory rhomboid. The pyramid has lost its peak. </w:t>
      </w:r>
    </w:p>
    <w:p w:rsidR="00A04916" w:rsidRPr="00BA4486" w:rsidRDefault="00A04916" w:rsidP="00BA4486">
      <w:pPr>
        <w:spacing w:after="100" w:afterAutospacing="1" w:line="240" w:lineRule="auto"/>
        <w:jc w:val="both"/>
        <w:rPr>
          <w:rFonts w:ascii="Cambria" w:hAnsi="Cambria"/>
        </w:rPr>
      </w:pPr>
      <w:proofErr w:type="gramStart"/>
      <w:r w:rsidRPr="00BA4486">
        <w:rPr>
          <w:rFonts w:ascii="Cambria" w:hAnsi="Cambria"/>
        </w:rPr>
        <w:t>So</w:t>
      </w:r>
      <w:proofErr w:type="gramEnd"/>
      <w:r w:rsidRPr="00BA4486">
        <w:rPr>
          <w:rFonts w:ascii="Cambria" w:hAnsi="Cambria"/>
        </w:rPr>
        <w:t xml:space="preserve"> that’s scope and scale. </w:t>
      </w:r>
    </w:p>
    <w:p w:rsidR="00D86B7F" w:rsidRPr="00D86B7F" w:rsidRDefault="00D86B7F" w:rsidP="005B0D41">
      <w:pPr>
        <w:pStyle w:val="ListParagraph"/>
        <w:spacing w:after="100" w:afterAutospacing="1" w:line="240" w:lineRule="auto"/>
        <w:jc w:val="both"/>
        <w:rPr>
          <w:rFonts w:ascii="Cambria" w:hAnsi="Cambria"/>
          <w:b/>
        </w:rPr>
      </w:pPr>
    </w:p>
    <w:p w:rsidR="0072407D" w:rsidRPr="00BA4486" w:rsidRDefault="00A04916" w:rsidP="00BA4486">
      <w:pPr>
        <w:spacing w:after="100" w:afterAutospacing="1" w:line="240" w:lineRule="auto"/>
        <w:jc w:val="both"/>
        <w:rPr>
          <w:rFonts w:ascii="Cambria" w:hAnsi="Cambria"/>
        </w:rPr>
      </w:pPr>
      <w:r w:rsidRPr="00BA4486">
        <w:rPr>
          <w:rFonts w:ascii="Cambria" w:hAnsi="Cambria"/>
        </w:rPr>
        <w:lastRenderedPageBreak/>
        <w:t xml:space="preserve">We </w:t>
      </w:r>
      <w:r w:rsidR="00BA4486">
        <w:rPr>
          <w:rFonts w:ascii="Cambria" w:hAnsi="Cambria"/>
        </w:rPr>
        <w:t xml:space="preserve">should at this point </w:t>
      </w:r>
      <w:proofErr w:type="gramStart"/>
      <w:r w:rsidRPr="00BA4486">
        <w:rPr>
          <w:rFonts w:ascii="Cambria" w:hAnsi="Cambria"/>
        </w:rPr>
        <w:t>consider,</w:t>
      </w:r>
      <w:proofErr w:type="gramEnd"/>
      <w:r w:rsidRPr="00BA4486">
        <w:rPr>
          <w:rFonts w:ascii="Cambria" w:hAnsi="Cambria"/>
        </w:rPr>
        <w:t xml:space="preserve"> the methods of attribution.  </w:t>
      </w:r>
      <w:r w:rsidR="00BA4486">
        <w:rPr>
          <w:rFonts w:ascii="Cambria" w:hAnsi="Cambria"/>
        </w:rPr>
        <w:t>That is, h</w:t>
      </w:r>
      <w:r w:rsidRPr="00BA4486">
        <w:rPr>
          <w:rFonts w:ascii="Cambria" w:hAnsi="Cambria"/>
        </w:rPr>
        <w:t xml:space="preserve">ow criminal liability </w:t>
      </w:r>
      <w:proofErr w:type="gramStart"/>
      <w:r w:rsidRPr="00BA4486">
        <w:rPr>
          <w:rFonts w:ascii="Cambria" w:hAnsi="Cambria"/>
        </w:rPr>
        <w:t>is attributed</w:t>
      </w:r>
      <w:proofErr w:type="gramEnd"/>
      <w:r w:rsidRPr="00BA4486">
        <w:rPr>
          <w:rFonts w:ascii="Cambria" w:hAnsi="Cambria"/>
        </w:rPr>
        <w:t xml:space="preserve"> to corporations. </w:t>
      </w:r>
    </w:p>
    <w:p w:rsidR="0072407D" w:rsidRPr="00D86B7F" w:rsidRDefault="0072407D" w:rsidP="0072407D">
      <w:pPr>
        <w:spacing w:after="100" w:afterAutospacing="1" w:line="240" w:lineRule="auto"/>
        <w:jc w:val="both"/>
        <w:rPr>
          <w:rFonts w:ascii="Cambria" w:hAnsi="Cambria"/>
        </w:rPr>
      </w:pPr>
      <w:r w:rsidRPr="00D86B7F">
        <w:rPr>
          <w:rFonts w:ascii="Cambria" w:hAnsi="Cambria"/>
        </w:rPr>
        <w:t xml:space="preserve">In the early 1990, a group of starry-eyed minds attempted to standardise the foundations of criminal law in Australia – culminating in the </w:t>
      </w:r>
      <w:r w:rsidR="00BA4486">
        <w:rPr>
          <w:rFonts w:ascii="Cambria" w:hAnsi="Cambria"/>
        </w:rPr>
        <w:t>C</w:t>
      </w:r>
      <w:r w:rsidRPr="00BA4486">
        <w:rPr>
          <w:rFonts w:ascii="Cambria" w:hAnsi="Cambria"/>
          <w:i/>
        </w:rPr>
        <w:t xml:space="preserve">riminal </w:t>
      </w:r>
      <w:r w:rsidR="00BA4486">
        <w:rPr>
          <w:rFonts w:ascii="Cambria" w:hAnsi="Cambria"/>
          <w:i/>
        </w:rPr>
        <w:t>C</w:t>
      </w:r>
      <w:r w:rsidRPr="00BA4486">
        <w:rPr>
          <w:rFonts w:ascii="Cambria" w:hAnsi="Cambria"/>
          <w:i/>
        </w:rPr>
        <w:t>ode Act</w:t>
      </w:r>
      <w:r w:rsidRPr="00D86B7F">
        <w:rPr>
          <w:rFonts w:ascii="Cambria" w:hAnsi="Cambria"/>
        </w:rPr>
        <w:t xml:space="preserve"> </w:t>
      </w:r>
      <w:r w:rsidRPr="00BA4486">
        <w:rPr>
          <w:rFonts w:ascii="Cambria" w:hAnsi="Cambria"/>
          <w:i/>
        </w:rPr>
        <w:t>1995</w:t>
      </w:r>
      <w:r w:rsidR="00BA4486">
        <w:rPr>
          <w:rFonts w:ascii="Cambria" w:hAnsi="Cambria"/>
        </w:rPr>
        <w:t xml:space="preserve"> (</w:t>
      </w:r>
      <w:proofErr w:type="spellStart"/>
      <w:r w:rsidR="00BA4486">
        <w:rPr>
          <w:rFonts w:ascii="Cambria" w:hAnsi="Cambria"/>
        </w:rPr>
        <w:t>Cth</w:t>
      </w:r>
      <w:proofErr w:type="spellEnd"/>
      <w:r w:rsidR="00BA4486">
        <w:rPr>
          <w:rFonts w:ascii="Cambria" w:hAnsi="Cambria"/>
        </w:rPr>
        <w:t>)</w:t>
      </w:r>
      <w:r w:rsidRPr="00D86B7F">
        <w:rPr>
          <w:rFonts w:ascii="Cambria" w:hAnsi="Cambria"/>
        </w:rPr>
        <w:t>,</w:t>
      </w:r>
      <w:r w:rsidR="00BA4486">
        <w:rPr>
          <w:rFonts w:ascii="Cambria" w:hAnsi="Cambria"/>
        </w:rPr>
        <w:t xml:space="preserve"> which</w:t>
      </w:r>
      <w:r w:rsidRPr="00D86B7F">
        <w:rPr>
          <w:rFonts w:ascii="Cambria" w:hAnsi="Cambria"/>
        </w:rPr>
        <w:t xml:space="preserve"> commenced in Jan</w:t>
      </w:r>
      <w:r w:rsidR="00BA4486">
        <w:rPr>
          <w:rFonts w:ascii="Cambria" w:hAnsi="Cambria"/>
        </w:rPr>
        <w:t xml:space="preserve">uary </w:t>
      </w:r>
      <w:r w:rsidRPr="00D86B7F">
        <w:rPr>
          <w:rFonts w:ascii="Cambria" w:hAnsi="Cambria"/>
        </w:rPr>
        <w:t xml:space="preserve">1997. </w:t>
      </w:r>
    </w:p>
    <w:p w:rsidR="0072407D" w:rsidRPr="00D86B7F" w:rsidRDefault="0072407D" w:rsidP="0072407D">
      <w:pPr>
        <w:spacing w:after="100" w:afterAutospacing="1" w:line="240" w:lineRule="auto"/>
        <w:jc w:val="both"/>
        <w:rPr>
          <w:rFonts w:ascii="Cambria" w:hAnsi="Cambria"/>
        </w:rPr>
      </w:pPr>
      <w:r w:rsidRPr="00D86B7F">
        <w:rPr>
          <w:rFonts w:ascii="Cambria" w:hAnsi="Cambria"/>
        </w:rPr>
        <w:t xml:space="preserve">Part of this was the creation of an innovative corporate attribution model – in Part 2.5.  </w:t>
      </w:r>
    </w:p>
    <w:p w:rsidR="009E5CBA" w:rsidRDefault="0072407D" w:rsidP="0072407D">
      <w:pPr>
        <w:spacing w:after="100" w:afterAutospacing="1" w:line="240" w:lineRule="auto"/>
        <w:jc w:val="both"/>
        <w:rPr>
          <w:rFonts w:ascii="Cambria" w:hAnsi="Cambria"/>
        </w:rPr>
      </w:pPr>
      <w:r w:rsidRPr="00D86B7F">
        <w:rPr>
          <w:rFonts w:ascii="Cambria" w:hAnsi="Cambria"/>
        </w:rPr>
        <w:t>Two decade</w:t>
      </w:r>
      <w:r w:rsidR="009E5CBA">
        <w:rPr>
          <w:rFonts w:ascii="Cambria" w:hAnsi="Cambria"/>
        </w:rPr>
        <w:t>s</w:t>
      </w:r>
      <w:r w:rsidRPr="00D86B7F">
        <w:rPr>
          <w:rFonts w:ascii="Cambria" w:hAnsi="Cambria"/>
        </w:rPr>
        <w:t xml:space="preserve"> on and I’m reviewing 15 Acts, </w:t>
      </w:r>
    </w:p>
    <w:p w:rsidR="0072407D" w:rsidRPr="00D86B7F" w:rsidRDefault="00BA4486" w:rsidP="009E5CBA">
      <w:pPr>
        <w:spacing w:after="100" w:afterAutospacing="1" w:line="240" w:lineRule="auto"/>
        <w:ind w:firstLine="720"/>
        <w:jc w:val="both"/>
        <w:rPr>
          <w:rFonts w:ascii="Cambria" w:hAnsi="Cambria"/>
        </w:rPr>
      </w:pPr>
      <w:r>
        <w:rPr>
          <w:rFonts w:ascii="Cambria" w:hAnsi="Cambria"/>
        </w:rPr>
        <w:t>Only t</w:t>
      </w:r>
      <w:r w:rsidR="009E5CBA">
        <w:rPr>
          <w:rFonts w:ascii="Cambria" w:hAnsi="Cambria"/>
        </w:rPr>
        <w:t>wo</w:t>
      </w:r>
      <w:r w:rsidR="0072407D" w:rsidRPr="00D86B7F">
        <w:rPr>
          <w:rFonts w:ascii="Cambria" w:hAnsi="Cambria"/>
        </w:rPr>
        <w:t xml:space="preserve"> of which apply Pt 2.5</w:t>
      </w:r>
      <w:r w:rsidR="00507C89">
        <w:rPr>
          <w:rFonts w:ascii="Cambria" w:hAnsi="Cambria"/>
        </w:rPr>
        <w:t xml:space="preserve">. </w:t>
      </w:r>
      <w:r w:rsidR="0072407D" w:rsidRPr="00D86B7F">
        <w:rPr>
          <w:rFonts w:ascii="Cambria" w:hAnsi="Cambria"/>
        </w:rPr>
        <w:t xml:space="preserve"> </w:t>
      </w:r>
    </w:p>
    <w:p w:rsidR="00AD2638" w:rsidRDefault="00D86B7F" w:rsidP="0072407D">
      <w:pPr>
        <w:spacing w:after="100" w:afterAutospacing="1" w:line="240" w:lineRule="auto"/>
        <w:jc w:val="both"/>
        <w:rPr>
          <w:rFonts w:ascii="Cambria" w:hAnsi="Cambria"/>
        </w:rPr>
      </w:pPr>
      <w:r w:rsidRPr="00D86B7F">
        <w:rPr>
          <w:rFonts w:ascii="Cambria" w:hAnsi="Cambria"/>
        </w:rPr>
        <w:t xml:space="preserve">Most apply the model which was in the </w:t>
      </w:r>
      <w:r w:rsidR="00AD2638">
        <w:rPr>
          <w:rFonts w:ascii="Cambria" w:hAnsi="Cambria"/>
        </w:rPr>
        <w:t xml:space="preserve">s 84 </w:t>
      </w:r>
      <w:r w:rsidR="000F35E3">
        <w:rPr>
          <w:rFonts w:ascii="Cambria" w:hAnsi="Cambria"/>
        </w:rPr>
        <w:t xml:space="preserve">of the </w:t>
      </w:r>
      <w:r w:rsidR="000F35E3">
        <w:rPr>
          <w:rFonts w:ascii="Cambria" w:hAnsi="Cambria"/>
          <w:i/>
        </w:rPr>
        <w:t xml:space="preserve">Trade Practices Act </w:t>
      </w:r>
      <w:r w:rsidR="00507C89" w:rsidRPr="000F35E3">
        <w:rPr>
          <w:rFonts w:ascii="Cambria" w:hAnsi="Cambria"/>
          <w:i/>
        </w:rPr>
        <w:t>1974</w:t>
      </w:r>
      <w:r w:rsidR="00507C89">
        <w:rPr>
          <w:rFonts w:ascii="Cambria" w:hAnsi="Cambria"/>
        </w:rPr>
        <w:t xml:space="preserve">  </w:t>
      </w:r>
      <w:r w:rsidR="000F35E3">
        <w:rPr>
          <w:rFonts w:ascii="Cambria" w:hAnsi="Cambria"/>
        </w:rPr>
        <w:t>(</w:t>
      </w:r>
      <w:proofErr w:type="spellStart"/>
      <w:r w:rsidR="000F35E3">
        <w:rPr>
          <w:rFonts w:ascii="Cambria" w:hAnsi="Cambria"/>
        </w:rPr>
        <w:t>Cth</w:t>
      </w:r>
      <w:proofErr w:type="spellEnd"/>
      <w:r w:rsidR="000F35E3">
        <w:rPr>
          <w:rFonts w:ascii="Cambria" w:hAnsi="Cambria"/>
        </w:rPr>
        <w:t>) – or a variation of it – which l</w:t>
      </w:r>
      <w:r w:rsidR="00AD2638">
        <w:rPr>
          <w:rFonts w:ascii="Cambria" w:hAnsi="Cambria"/>
        </w:rPr>
        <w:t xml:space="preserve">oosely deems the conduct and </w:t>
      </w:r>
      <w:proofErr w:type="spellStart"/>
      <w:r w:rsidR="00AD2638">
        <w:rPr>
          <w:rFonts w:ascii="Cambria" w:hAnsi="Cambria"/>
        </w:rPr>
        <w:t>mens</w:t>
      </w:r>
      <w:proofErr w:type="spellEnd"/>
      <w:r w:rsidR="00AD2638">
        <w:rPr>
          <w:rFonts w:ascii="Cambria" w:hAnsi="Cambria"/>
        </w:rPr>
        <w:t xml:space="preserve"> rea of a director, employee or agent, acting in scope of authority, is the conduct or </w:t>
      </w:r>
      <w:proofErr w:type="spellStart"/>
      <w:r w:rsidR="00AD2638">
        <w:rPr>
          <w:rFonts w:ascii="Cambria" w:hAnsi="Cambria"/>
        </w:rPr>
        <w:t>mens</w:t>
      </w:r>
      <w:proofErr w:type="spellEnd"/>
      <w:r w:rsidR="00AD2638">
        <w:rPr>
          <w:rFonts w:ascii="Cambria" w:hAnsi="Cambria"/>
        </w:rPr>
        <w:t xml:space="preserve"> rea of the body corporate. </w:t>
      </w:r>
    </w:p>
    <w:p w:rsidR="000F35E3" w:rsidRPr="00D86B7F" w:rsidRDefault="000F35E3" w:rsidP="0072407D">
      <w:pPr>
        <w:spacing w:after="100" w:afterAutospacing="1" w:line="240" w:lineRule="auto"/>
        <w:jc w:val="both"/>
        <w:rPr>
          <w:rFonts w:ascii="Cambria" w:hAnsi="Cambria"/>
        </w:rPr>
      </w:pPr>
      <w:r>
        <w:rPr>
          <w:rFonts w:ascii="Cambria" w:hAnsi="Cambria"/>
        </w:rPr>
        <w:t xml:space="preserve">When I say ‘variation of it’, there are many aspect of the s 84 TPA </w:t>
      </w:r>
      <w:proofErr w:type="gramStart"/>
      <w:r>
        <w:rPr>
          <w:rFonts w:ascii="Cambria" w:hAnsi="Cambria"/>
        </w:rPr>
        <w:t>test which</w:t>
      </w:r>
      <w:proofErr w:type="gramEnd"/>
      <w:r>
        <w:rPr>
          <w:rFonts w:ascii="Cambria" w:hAnsi="Cambria"/>
        </w:rPr>
        <w:t xml:space="preserve"> vary: </w:t>
      </w:r>
    </w:p>
    <w:p w:rsidR="00D86B7F" w:rsidRPr="00D86B7F" w:rsidRDefault="000F35E3" w:rsidP="00D86B7F">
      <w:pPr>
        <w:pStyle w:val="ListParagraph"/>
        <w:numPr>
          <w:ilvl w:val="0"/>
          <w:numId w:val="16"/>
        </w:numPr>
        <w:spacing w:after="100" w:afterAutospacing="1" w:line="240" w:lineRule="auto"/>
        <w:jc w:val="both"/>
        <w:rPr>
          <w:rFonts w:ascii="Cambria" w:hAnsi="Cambria"/>
        </w:rPr>
      </w:pPr>
      <w:r>
        <w:rPr>
          <w:rFonts w:ascii="Cambria" w:hAnsi="Cambria"/>
        </w:rPr>
        <w:t xml:space="preserve">Does attribution of conduct includes acts under </w:t>
      </w:r>
      <w:proofErr w:type="gramStart"/>
      <w:r>
        <w:rPr>
          <w:rFonts w:ascii="Cambria" w:hAnsi="Cambria"/>
        </w:rPr>
        <w:t>direction?</w:t>
      </w:r>
      <w:proofErr w:type="gramEnd"/>
    </w:p>
    <w:p w:rsidR="00D86B7F" w:rsidRPr="00D86B7F" w:rsidRDefault="00D86B7F" w:rsidP="00D86B7F">
      <w:pPr>
        <w:pStyle w:val="ListParagraph"/>
        <w:numPr>
          <w:ilvl w:val="0"/>
          <w:numId w:val="16"/>
        </w:numPr>
        <w:spacing w:after="100" w:afterAutospacing="1" w:line="240" w:lineRule="auto"/>
        <w:jc w:val="both"/>
        <w:rPr>
          <w:rFonts w:ascii="Cambria" w:hAnsi="Cambria"/>
        </w:rPr>
      </w:pPr>
      <w:r w:rsidRPr="00D86B7F">
        <w:rPr>
          <w:rFonts w:ascii="Cambria" w:hAnsi="Cambria"/>
        </w:rPr>
        <w:t xml:space="preserve">Is state of mind broad or limited to </w:t>
      </w:r>
      <w:r w:rsidR="000F35E3">
        <w:rPr>
          <w:rFonts w:ascii="Cambria" w:hAnsi="Cambria"/>
        </w:rPr>
        <w:t>intentional, knowledge or recklessness?</w:t>
      </w:r>
    </w:p>
    <w:p w:rsidR="00AD2638" w:rsidRPr="00AD2638" w:rsidRDefault="00D86B7F" w:rsidP="00AD2638">
      <w:pPr>
        <w:pStyle w:val="ListParagraph"/>
        <w:numPr>
          <w:ilvl w:val="0"/>
          <w:numId w:val="16"/>
        </w:numPr>
        <w:spacing w:after="100" w:afterAutospacing="1" w:line="240" w:lineRule="auto"/>
        <w:jc w:val="both"/>
        <w:rPr>
          <w:rFonts w:ascii="Cambria" w:hAnsi="Cambria"/>
        </w:rPr>
      </w:pPr>
      <w:r w:rsidRPr="00D86B7F">
        <w:rPr>
          <w:rFonts w:ascii="Cambria" w:hAnsi="Cambria"/>
        </w:rPr>
        <w:t xml:space="preserve">Is there a defence? </w:t>
      </w:r>
    </w:p>
    <w:p w:rsidR="00D86B7F" w:rsidRPr="00D86B7F" w:rsidRDefault="00D86B7F" w:rsidP="00D86B7F">
      <w:pPr>
        <w:pStyle w:val="ListParagraph"/>
        <w:numPr>
          <w:ilvl w:val="0"/>
          <w:numId w:val="16"/>
        </w:numPr>
        <w:spacing w:after="100" w:afterAutospacing="1" w:line="240" w:lineRule="auto"/>
        <w:jc w:val="both"/>
        <w:rPr>
          <w:rFonts w:ascii="Cambria" w:hAnsi="Cambria"/>
        </w:rPr>
      </w:pPr>
      <w:r w:rsidRPr="00D86B7F">
        <w:rPr>
          <w:rFonts w:ascii="Cambria" w:hAnsi="Cambria"/>
        </w:rPr>
        <w:t xml:space="preserve">Is there a defence of </w:t>
      </w:r>
      <w:r w:rsidR="000F35E3">
        <w:rPr>
          <w:rFonts w:ascii="Cambria" w:hAnsi="Cambria"/>
        </w:rPr>
        <w:t>due diligence</w:t>
      </w:r>
      <w:r w:rsidRPr="00D86B7F">
        <w:rPr>
          <w:rFonts w:ascii="Cambria" w:hAnsi="Cambria"/>
        </w:rPr>
        <w:t xml:space="preserve">?  </w:t>
      </w:r>
    </w:p>
    <w:p w:rsidR="00D86B7F" w:rsidRPr="00D86B7F" w:rsidRDefault="000F35E3" w:rsidP="00D86B7F">
      <w:pPr>
        <w:pStyle w:val="ListParagraph"/>
        <w:numPr>
          <w:ilvl w:val="0"/>
          <w:numId w:val="16"/>
        </w:numPr>
        <w:spacing w:after="100" w:afterAutospacing="1" w:line="240" w:lineRule="auto"/>
        <w:jc w:val="both"/>
        <w:rPr>
          <w:rFonts w:ascii="Cambria" w:hAnsi="Cambria"/>
        </w:rPr>
      </w:pPr>
      <w:r>
        <w:rPr>
          <w:rFonts w:ascii="Cambria" w:hAnsi="Cambria"/>
        </w:rPr>
        <w:t xml:space="preserve">Does the defence require proof of due diligence </w:t>
      </w:r>
      <w:r w:rsidRPr="000F35E3">
        <w:rPr>
          <w:rFonts w:ascii="Cambria" w:hAnsi="Cambria"/>
          <w:b/>
          <w:i/>
        </w:rPr>
        <w:t>and</w:t>
      </w:r>
      <w:r>
        <w:rPr>
          <w:rFonts w:ascii="Cambria" w:hAnsi="Cambria"/>
        </w:rPr>
        <w:t xml:space="preserve"> </w:t>
      </w:r>
      <w:proofErr w:type="gramStart"/>
      <w:r>
        <w:rPr>
          <w:rFonts w:ascii="Cambria" w:hAnsi="Cambria"/>
        </w:rPr>
        <w:t xml:space="preserve">reasonable </w:t>
      </w:r>
      <w:r w:rsidR="00D86B7F" w:rsidRPr="00D86B7F">
        <w:rPr>
          <w:rFonts w:ascii="Cambria" w:hAnsi="Cambria"/>
        </w:rPr>
        <w:t xml:space="preserve"> precautions</w:t>
      </w:r>
      <w:proofErr w:type="gramEnd"/>
      <w:r>
        <w:rPr>
          <w:rFonts w:ascii="Cambria" w:hAnsi="Cambria"/>
        </w:rPr>
        <w:t>?</w:t>
      </w:r>
      <w:r w:rsidR="00D86B7F" w:rsidRPr="00D86B7F">
        <w:rPr>
          <w:rFonts w:ascii="Cambria" w:hAnsi="Cambria"/>
        </w:rPr>
        <w:t xml:space="preserve"> </w:t>
      </w:r>
    </w:p>
    <w:p w:rsidR="00D86B7F" w:rsidRPr="00D86B7F" w:rsidRDefault="000F35E3" w:rsidP="00D86B7F">
      <w:pPr>
        <w:pStyle w:val="ListParagraph"/>
        <w:numPr>
          <w:ilvl w:val="0"/>
          <w:numId w:val="16"/>
        </w:numPr>
        <w:spacing w:after="100" w:afterAutospacing="1" w:line="240" w:lineRule="auto"/>
        <w:jc w:val="both"/>
        <w:rPr>
          <w:rFonts w:ascii="Cambria" w:hAnsi="Cambria"/>
        </w:rPr>
      </w:pPr>
      <w:proofErr w:type="gramStart"/>
      <w:r>
        <w:rPr>
          <w:rFonts w:ascii="Cambria" w:hAnsi="Cambria"/>
        </w:rPr>
        <w:t>Or</w:t>
      </w:r>
      <w:proofErr w:type="gramEnd"/>
      <w:r>
        <w:rPr>
          <w:rFonts w:ascii="Cambria" w:hAnsi="Cambria"/>
        </w:rPr>
        <w:t>, just proof of either due diligence or reasonable precautions?</w:t>
      </w:r>
    </w:p>
    <w:p w:rsidR="00507C89" w:rsidRDefault="00D86B7F" w:rsidP="000F35E3">
      <w:pPr>
        <w:spacing w:after="100" w:afterAutospacing="1" w:line="240" w:lineRule="auto"/>
        <w:jc w:val="both"/>
        <w:rPr>
          <w:rFonts w:ascii="Cambria" w:hAnsi="Cambria"/>
        </w:rPr>
      </w:pPr>
      <w:r w:rsidRPr="00D86B7F">
        <w:rPr>
          <w:rFonts w:ascii="Cambria" w:hAnsi="Cambria"/>
        </w:rPr>
        <w:t xml:space="preserve">Where conduct is potentially caught by multiple legislative regimes, there is a risk that those regimes might provide for different tests of attribution and therefore, potentially different corporate liability for the same conduct. </w:t>
      </w:r>
    </w:p>
    <w:p w:rsidR="00507C89" w:rsidRDefault="00507C89" w:rsidP="00507C89">
      <w:pPr>
        <w:spacing w:after="100" w:afterAutospacing="1" w:line="240" w:lineRule="auto"/>
        <w:jc w:val="both"/>
        <w:rPr>
          <w:rFonts w:ascii="Cambria" w:hAnsi="Cambria"/>
        </w:rPr>
      </w:pPr>
      <w:r>
        <w:rPr>
          <w:rFonts w:ascii="Cambria" w:hAnsi="Cambria"/>
        </w:rPr>
        <w:t xml:space="preserve">So, </w:t>
      </w:r>
    </w:p>
    <w:p w:rsidR="00507C89" w:rsidRDefault="00507C89" w:rsidP="00507C89">
      <w:pPr>
        <w:spacing w:after="100" w:afterAutospacing="1" w:line="240" w:lineRule="auto"/>
        <w:jc w:val="both"/>
        <w:rPr>
          <w:rFonts w:ascii="Cambria" w:hAnsi="Cambria"/>
        </w:rPr>
      </w:pPr>
      <w:r>
        <w:rPr>
          <w:rFonts w:ascii="Cambria" w:hAnsi="Cambria"/>
        </w:rPr>
        <w:t xml:space="preserve">There are </w:t>
      </w:r>
      <w:proofErr w:type="gramStart"/>
      <w:r>
        <w:rPr>
          <w:rFonts w:ascii="Cambria" w:hAnsi="Cambria"/>
        </w:rPr>
        <w:t>lots of</w:t>
      </w:r>
      <w:proofErr w:type="gramEnd"/>
      <w:r>
        <w:rPr>
          <w:rFonts w:ascii="Cambria" w:hAnsi="Cambria"/>
        </w:rPr>
        <w:t xml:space="preserve"> offences</w:t>
      </w:r>
    </w:p>
    <w:p w:rsidR="00507C89" w:rsidRDefault="00507C89" w:rsidP="00507C89">
      <w:pPr>
        <w:spacing w:after="100" w:afterAutospacing="1" w:line="240" w:lineRule="auto"/>
        <w:jc w:val="both"/>
        <w:rPr>
          <w:rFonts w:ascii="Cambria" w:hAnsi="Cambria"/>
        </w:rPr>
      </w:pPr>
      <w:proofErr w:type="gramStart"/>
      <w:r>
        <w:rPr>
          <w:rFonts w:ascii="Cambria" w:hAnsi="Cambria"/>
        </w:rPr>
        <w:t>Lots of</w:t>
      </w:r>
      <w:proofErr w:type="gramEnd"/>
      <w:r>
        <w:rPr>
          <w:rFonts w:ascii="Cambria" w:hAnsi="Cambria"/>
        </w:rPr>
        <w:t xml:space="preserve"> ways of attributing responsibility for lots of offences. </w:t>
      </w:r>
    </w:p>
    <w:p w:rsidR="00507C89" w:rsidRDefault="00507C89" w:rsidP="00507C89">
      <w:pPr>
        <w:spacing w:after="100" w:afterAutospacing="1" w:line="240" w:lineRule="auto"/>
        <w:jc w:val="both"/>
        <w:rPr>
          <w:rFonts w:ascii="Cambria" w:hAnsi="Cambria"/>
        </w:rPr>
      </w:pPr>
      <w:r>
        <w:rPr>
          <w:rFonts w:ascii="Cambria" w:hAnsi="Cambria"/>
        </w:rPr>
        <w:t xml:space="preserve">There may also be civil penalties for the same misconduct. </w:t>
      </w:r>
    </w:p>
    <w:p w:rsidR="00507C89" w:rsidRDefault="00161C11" w:rsidP="00507C89">
      <w:pPr>
        <w:spacing w:after="100" w:afterAutospacing="1" w:line="240" w:lineRule="auto"/>
        <w:ind w:left="720"/>
        <w:jc w:val="both"/>
        <w:rPr>
          <w:rFonts w:ascii="Cambria" w:hAnsi="Cambria"/>
        </w:rPr>
      </w:pPr>
      <w:r w:rsidRPr="00D86B7F">
        <w:rPr>
          <w:rFonts w:ascii="Cambria" w:hAnsi="Cambria"/>
        </w:rPr>
        <w:t xml:space="preserve">Does this encourage good behaviour? </w:t>
      </w:r>
    </w:p>
    <w:p w:rsidR="00161C11" w:rsidRDefault="00507C89" w:rsidP="00507C89">
      <w:pPr>
        <w:spacing w:after="100" w:afterAutospacing="1" w:line="240" w:lineRule="auto"/>
        <w:jc w:val="both"/>
        <w:rPr>
          <w:rFonts w:ascii="Cambria" w:hAnsi="Cambria"/>
        </w:rPr>
      </w:pPr>
      <w:r>
        <w:rPr>
          <w:rFonts w:ascii="Cambria" w:hAnsi="Cambria"/>
        </w:rPr>
        <w:t xml:space="preserve">This is a place for criminal law, but our </w:t>
      </w:r>
      <w:r w:rsidR="00161C11" w:rsidRPr="00D86B7F">
        <w:rPr>
          <w:rFonts w:ascii="Cambria" w:hAnsi="Cambria"/>
        </w:rPr>
        <w:t xml:space="preserve">pyramid requires a </w:t>
      </w:r>
      <w:proofErr w:type="gramStart"/>
      <w:r w:rsidR="00161C11" w:rsidRPr="00D86B7F">
        <w:rPr>
          <w:rFonts w:ascii="Cambria" w:hAnsi="Cambria"/>
        </w:rPr>
        <w:t>face lift</w:t>
      </w:r>
      <w:proofErr w:type="gramEnd"/>
      <w:r w:rsidR="00161C11" w:rsidRPr="00D86B7F">
        <w:rPr>
          <w:rFonts w:ascii="Cambria" w:hAnsi="Cambria"/>
        </w:rPr>
        <w:t xml:space="preserve">. </w:t>
      </w:r>
    </w:p>
    <w:p w:rsidR="00507C89" w:rsidRDefault="00507C89" w:rsidP="00507C89">
      <w:pPr>
        <w:spacing w:after="100" w:afterAutospacing="1" w:line="240" w:lineRule="auto"/>
        <w:jc w:val="both"/>
        <w:rPr>
          <w:rFonts w:ascii="Cambria" w:hAnsi="Cambria"/>
        </w:rPr>
      </w:pPr>
      <w:r>
        <w:rPr>
          <w:rFonts w:ascii="Cambria" w:hAnsi="Cambria"/>
        </w:rPr>
        <w:t xml:space="preserve">The rhomboid needs to be a triangle. </w:t>
      </w:r>
    </w:p>
    <w:p w:rsidR="00507C89" w:rsidRDefault="00507C89" w:rsidP="00507C89">
      <w:pPr>
        <w:spacing w:after="100" w:afterAutospacing="1" w:line="240" w:lineRule="auto"/>
        <w:jc w:val="both"/>
        <w:rPr>
          <w:rFonts w:ascii="Cambria" w:hAnsi="Cambria"/>
        </w:rPr>
      </w:pPr>
      <w:r>
        <w:rPr>
          <w:rFonts w:ascii="Cambria" w:hAnsi="Cambria"/>
        </w:rPr>
        <w:t xml:space="preserve">How? </w:t>
      </w:r>
    </w:p>
    <w:p w:rsidR="00507C89" w:rsidRPr="00D86B7F" w:rsidRDefault="00507C89" w:rsidP="00507C89">
      <w:pPr>
        <w:spacing w:after="100" w:afterAutospacing="1" w:line="240" w:lineRule="auto"/>
        <w:jc w:val="both"/>
        <w:rPr>
          <w:rFonts w:ascii="Cambria" w:hAnsi="Cambria"/>
        </w:rPr>
      </w:pPr>
      <w:r>
        <w:rPr>
          <w:rFonts w:ascii="Cambria" w:hAnsi="Cambria"/>
        </w:rPr>
        <w:t xml:space="preserve">Be civil not criminal. </w:t>
      </w:r>
    </w:p>
    <w:p w:rsidR="008A684E" w:rsidRPr="000F35E3" w:rsidRDefault="00507C89" w:rsidP="000F35E3">
      <w:pPr>
        <w:spacing w:after="100" w:afterAutospacing="1" w:line="240" w:lineRule="auto"/>
        <w:jc w:val="both"/>
        <w:rPr>
          <w:rFonts w:ascii="Cambria" w:hAnsi="Cambria"/>
        </w:rPr>
      </w:pPr>
      <w:r>
        <w:rPr>
          <w:rFonts w:ascii="Cambria" w:hAnsi="Cambria" w:cs="Times New Roman"/>
        </w:rPr>
        <w:t xml:space="preserve">That is, perhaps remove the </w:t>
      </w:r>
      <w:r>
        <w:rPr>
          <w:rFonts w:ascii="Cambria" w:hAnsi="Cambria"/>
        </w:rPr>
        <w:t xml:space="preserve">plethora of low-level infractions intermingled with civil liability.  </w:t>
      </w:r>
    </w:p>
    <w:sectPr w:rsidR="008A684E" w:rsidRPr="000F35E3" w:rsidSect="009E5CBA">
      <w:pgSz w:w="11906" w:h="16838"/>
      <w:pgMar w:top="1440" w:right="1440" w:bottom="59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F4E" w:rsidRDefault="00F64F4E" w:rsidP="00586B22">
      <w:pPr>
        <w:spacing w:after="0" w:line="240" w:lineRule="auto"/>
      </w:pPr>
      <w:r>
        <w:separator/>
      </w:r>
    </w:p>
  </w:endnote>
  <w:endnote w:type="continuationSeparator" w:id="0">
    <w:p w:rsidR="00F64F4E" w:rsidRDefault="00F64F4E" w:rsidP="0058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F4E" w:rsidRDefault="00F64F4E" w:rsidP="00586B22">
      <w:pPr>
        <w:spacing w:after="0" w:line="240" w:lineRule="auto"/>
      </w:pPr>
      <w:r>
        <w:separator/>
      </w:r>
    </w:p>
  </w:footnote>
  <w:footnote w:type="continuationSeparator" w:id="0">
    <w:p w:rsidR="00F64F4E" w:rsidRDefault="00F64F4E" w:rsidP="00586B22">
      <w:pPr>
        <w:spacing w:after="0" w:line="240" w:lineRule="auto"/>
      </w:pPr>
      <w:r>
        <w:continuationSeparator/>
      </w:r>
    </w:p>
  </w:footnote>
  <w:footnote w:id="1">
    <w:p w:rsidR="0052561F" w:rsidRPr="00FA40AF" w:rsidRDefault="0052561F" w:rsidP="00FA40AF">
      <w:pPr>
        <w:spacing w:after="0"/>
        <w:rPr>
          <w:rFonts w:ascii="Times New Roman" w:hAnsi="Times New Roman" w:cs="Times New Roman"/>
          <w:sz w:val="20"/>
          <w:szCs w:val="20"/>
        </w:rPr>
      </w:pPr>
      <w:r w:rsidRPr="00FA40AF">
        <w:rPr>
          <w:rFonts w:ascii="Times New Roman" w:hAnsi="Times New Roman" w:cs="Times New Roman"/>
          <w:sz w:val="20"/>
          <w:szCs w:val="20"/>
        </w:rPr>
        <w:t>* Legal Officer</w:t>
      </w:r>
      <w:r w:rsidR="00FA40AF">
        <w:rPr>
          <w:rFonts w:ascii="Times New Roman" w:hAnsi="Times New Roman" w:cs="Times New Roman"/>
          <w:sz w:val="20"/>
          <w:szCs w:val="20"/>
        </w:rPr>
        <w:t>, ALRC</w:t>
      </w:r>
      <w:r w:rsidR="00FA40AF" w:rsidRPr="00FA40AF">
        <w:rPr>
          <w:rFonts w:ascii="Times New Roman" w:hAnsi="Times New Roman" w:cs="Times New Roman"/>
          <w:sz w:val="20"/>
          <w:szCs w:val="20"/>
        </w:rPr>
        <w:t xml:space="preserve">. I acknowledge the assistance of research associates </w:t>
      </w:r>
      <w:proofErr w:type="spellStart"/>
      <w:r w:rsidR="00FA40AF" w:rsidRPr="00FA40AF">
        <w:rPr>
          <w:rFonts w:ascii="Times New Roman" w:hAnsi="Times New Roman" w:cs="Times New Roman"/>
          <w:sz w:val="20"/>
          <w:szCs w:val="20"/>
        </w:rPr>
        <w:t>Pheobe</w:t>
      </w:r>
      <w:proofErr w:type="spellEnd"/>
      <w:r w:rsidR="00FA40AF" w:rsidRPr="00FA40AF">
        <w:rPr>
          <w:rFonts w:ascii="Times New Roman" w:hAnsi="Times New Roman" w:cs="Times New Roman"/>
          <w:sz w:val="20"/>
          <w:szCs w:val="20"/>
        </w:rPr>
        <w:t xml:space="preserve"> </w:t>
      </w:r>
      <w:proofErr w:type="spellStart"/>
      <w:r w:rsidR="00FA40AF" w:rsidRPr="00FA40AF">
        <w:rPr>
          <w:rFonts w:ascii="Times New Roman" w:hAnsi="Times New Roman" w:cs="Times New Roman"/>
          <w:sz w:val="20"/>
          <w:szCs w:val="20"/>
        </w:rPr>
        <w:t>Tapley</w:t>
      </w:r>
      <w:proofErr w:type="spellEnd"/>
      <w:r w:rsidR="00FA40AF" w:rsidRPr="00FA40AF">
        <w:rPr>
          <w:rFonts w:ascii="Times New Roman" w:hAnsi="Times New Roman" w:cs="Times New Roman"/>
          <w:sz w:val="20"/>
          <w:szCs w:val="20"/>
        </w:rPr>
        <w:t xml:space="preserve"> and the lengthy and diligent mapping work and ins</w:t>
      </w:r>
      <w:r w:rsidR="00FA40AF">
        <w:rPr>
          <w:rFonts w:ascii="Times New Roman" w:hAnsi="Times New Roman" w:cs="Times New Roman"/>
          <w:sz w:val="20"/>
          <w:szCs w:val="20"/>
        </w:rPr>
        <w:t>ights collected by Sophie Ryan.</w:t>
      </w:r>
    </w:p>
    <w:p w:rsidR="00E022BF" w:rsidRPr="00832CF0" w:rsidRDefault="00E022BF" w:rsidP="00E022BF">
      <w:pPr>
        <w:pStyle w:val="FootnoteText"/>
        <w:rPr>
          <w:rFonts w:ascii="Times New Roman" w:hAnsi="Times New Roman" w:cs="Times New Roman"/>
        </w:rPr>
      </w:pPr>
      <w:r w:rsidRPr="00832CF0">
        <w:rPr>
          <w:rStyle w:val="FootnoteReference"/>
          <w:rFonts w:ascii="Times New Roman" w:hAnsi="Times New Roman" w:cs="Times New Roman"/>
        </w:rPr>
        <w:footnoteRef/>
      </w:r>
      <w:r w:rsidRPr="00832CF0">
        <w:rPr>
          <w:rFonts w:ascii="Times New Roman" w:hAnsi="Times New Roman" w:cs="Times New Roman"/>
        </w:rPr>
        <w:t xml:space="preserve"> </w:t>
      </w:r>
      <w:r w:rsidRPr="00832CF0">
        <w:rPr>
          <w:rFonts w:ascii="Times New Roman" w:hAnsi="Times New Roman" w:cs="Times New Roman"/>
        </w:rPr>
        <w:fldChar w:fldCharType="begin"/>
      </w:r>
      <w:r w:rsidRPr="00832CF0">
        <w:rPr>
          <w:rFonts w:ascii="Times New Roman" w:hAnsi="Times New Roman" w:cs="Times New Roman"/>
        </w:rPr>
        <w:instrText xml:space="preserve"> ADDIN ZOTERO_ITEM CSL_CITATION {"citationID":"lyvM1JBI","properties":{"formattedCitation":"Andrew Ashworth, \\uc0\\u8216{}Is the Criminal Law a Lost Cause?\\uc0\\u8217{} (2000) 116 {\\i{}Law Quarterly Review} 225, 240.","plainCitation":"Andrew Ashworth, ‘Is the Criminal Law a Lost Cause?’ (2000) 116 Law Quarterly Review 225, 240.","noteIndex":2},"citationItems":[{"id":19366,"uris":["http://zotero.org/groups/97359/items/QB5ID86W"],"uri":["http://zotero.org/groups/97359/items/QB5ID86W"],"itemData":{"id":19366,"type":"article-journal","title":"Is the criminal law a lost cause?","container-title":"Law Quarterly Review","page":"225","volume":"116","source":"Zotero","language":"en","author":[{"family":"Ashworth","given":"Andrew"}],"issued":{"date-parts":[["2000"]]}},"locator":"240"}],"schema":"https://github.com/citation-style-language/schema/raw/master/csl-citation.json"} </w:instrText>
      </w:r>
      <w:r w:rsidRPr="00832CF0">
        <w:rPr>
          <w:rFonts w:ascii="Times New Roman" w:hAnsi="Times New Roman" w:cs="Times New Roman"/>
        </w:rPr>
        <w:fldChar w:fldCharType="separate"/>
      </w:r>
      <w:r w:rsidRPr="00832CF0">
        <w:rPr>
          <w:rFonts w:ascii="Times New Roman" w:hAnsi="Times New Roman" w:cs="Times New Roman"/>
          <w:szCs w:val="24"/>
        </w:rPr>
        <w:t xml:space="preserve">Andrew Ashworth, ‘Is the Criminal Law a Lost Cause?’ (2000) 116 </w:t>
      </w:r>
      <w:r w:rsidRPr="00832CF0">
        <w:rPr>
          <w:rFonts w:ascii="Times New Roman" w:hAnsi="Times New Roman" w:cs="Times New Roman"/>
          <w:i/>
          <w:iCs/>
          <w:szCs w:val="24"/>
        </w:rPr>
        <w:t>Law Quarterly Review</w:t>
      </w:r>
      <w:r w:rsidRPr="00832CF0">
        <w:rPr>
          <w:rFonts w:ascii="Times New Roman" w:hAnsi="Times New Roman" w:cs="Times New Roman"/>
          <w:szCs w:val="24"/>
        </w:rPr>
        <w:t xml:space="preserve"> 225, 240.</w:t>
      </w:r>
      <w:r w:rsidRPr="00832CF0">
        <w:rPr>
          <w:rFonts w:ascii="Times New Roman" w:hAnsi="Times New Roman" w:cs="Times New Roman"/>
        </w:rPr>
        <w:fldChar w:fldCharType="end"/>
      </w:r>
    </w:p>
  </w:footnote>
  <w:footnote w:id="2">
    <w:p w:rsidR="00E022BF" w:rsidRPr="00832CF0" w:rsidRDefault="00E022BF" w:rsidP="00E022BF">
      <w:pPr>
        <w:pStyle w:val="FootnoteText"/>
        <w:rPr>
          <w:rFonts w:ascii="Times New Roman" w:hAnsi="Times New Roman" w:cs="Times New Roman"/>
        </w:rPr>
      </w:pPr>
      <w:r w:rsidRPr="00832CF0">
        <w:rPr>
          <w:rStyle w:val="FootnoteReference"/>
          <w:rFonts w:ascii="Times New Roman" w:hAnsi="Times New Roman" w:cs="Times New Roman"/>
        </w:rPr>
        <w:footnoteRef/>
      </w:r>
      <w:r w:rsidRPr="00832CF0">
        <w:rPr>
          <w:rFonts w:ascii="Times New Roman" w:hAnsi="Times New Roman" w:cs="Times New Roman"/>
        </w:rPr>
        <w:t xml:space="preserve"> </w:t>
      </w:r>
      <w:r w:rsidRPr="00832CF0">
        <w:rPr>
          <w:rFonts w:ascii="Times New Roman" w:hAnsi="Times New Roman" w:cs="Times New Roman"/>
        </w:rPr>
        <w:fldChar w:fldCharType="begin"/>
      </w:r>
      <w:r w:rsidRPr="00832CF0">
        <w:rPr>
          <w:rFonts w:ascii="Times New Roman" w:hAnsi="Times New Roman" w:cs="Times New Roman"/>
        </w:rPr>
        <w:instrText xml:space="preserve"> ADDIN ZOTERO_ITEM CSL_CITATION {"citationID":"u4M9Z9sq","properties":{"formattedCitation":"{\\i{}Corporations Act 2001} 153.","plainCitation":"Corporations Act 2001 153.","noteIndex":3},"citationItems":[{"id":19552,"uris":["http://zotero.org/groups/97359/items/ZGH3UUXF"],"uri":["http://zotero.org/groups/97359/items/ZGH3UUXF"],"itemData":{"id":19552,"type":"legislation","title":"Corporations Act 2001","section":"SCHEDULE 3Schedule","URL":"https://www.austlii.edu.au/cgi-bin/viewdoc/au/legis/cth/consol_act/ca2001172/sch3schedule.html","note":"jurisdiction: Commonwealth","accessed":{"date-parts":[["2019",8,23]]}},"locator":"153","label":"section"}],"schema":"https://github.com/citation-style-language/schema/raw/master/csl-citation.json"} </w:instrText>
      </w:r>
      <w:r w:rsidRPr="00832CF0">
        <w:rPr>
          <w:rFonts w:ascii="Times New Roman" w:hAnsi="Times New Roman" w:cs="Times New Roman"/>
        </w:rPr>
        <w:fldChar w:fldCharType="separate"/>
      </w:r>
      <w:r w:rsidRPr="00832CF0">
        <w:rPr>
          <w:rFonts w:ascii="Times New Roman" w:hAnsi="Times New Roman" w:cs="Times New Roman"/>
          <w:i/>
          <w:iCs/>
          <w:szCs w:val="24"/>
        </w:rPr>
        <w:t>Corporations Act 2001</w:t>
      </w:r>
      <w:r w:rsidRPr="00832CF0">
        <w:rPr>
          <w:rFonts w:ascii="Times New Roman" w:hAnsi="Times New Roman" w:cs="Times New Roman"/>
          <w:szCs w:val="24"/>
        </w:rPr>
        <w:t xml:space="preserve"> 153.</w:t>
      </w:r>
      <w:r w:rsidRPr="00832CF0">
        <w:rPr>
          <w:rFonts w:ascii="Times New Roman" w:hAnsi="Times New Roman" w:cs="Times New Roman"/>
        </w:rPr>
        <w:fldChar w:fldCharType="end"/>
      </w:r>
    </w:p>
  </w:footnote>
  <w:footnote w:id="3">
    <w:p w:rsidR="00E022BF" w:rsidRPr="00832CF0" w:rsidRDefault="00E022BF" w:rsidP="00E022BF">
      <w:pPr>
        <w:pStyle w:val="FootnoteText"/>
        <w:rPr>
          <w:rFonts w:ascii="Times New Roman" w:hAnsi="Times New Roman" w:cs="Times New Roman"/>
        </w:rPr>
      </w:pPr>
      <w:r w:rsidRPr="00832CF0">
        <w:rPr>
          <w:rStyle w:val="FootnoteReference"/>
          <w:rFonts w:ascii="Times New Roman" w:hAnsi="Times New Roman" w:cs="Times New Roman"/>
        </w:rPr>
        <w:footnoteRef/>
      </w:r>
      <w:r w:rsidRPr="00832CF0">
        <w:rPr>
          <w:rFonts w:ascii="Times New Roman" w:hAnsi="Times New Roman" w:cs="Times New Roman"/>
        </w:rPr>
        <w:t xml:space="preserve"> </w:t>
      </w:r>
      <w:r w:rsidRPr="00832CF0">
        <w:rPr>
          <w:rFonts w:ascii="Times New Roman" w:hAnsi="Times New Roman" w:cs="Times New Roman"/>
        </w:rPr>
        <w:fldChar w:fldCharType="begin"/>
      </w:r>
      <w:r w:rsidRPr="00832CF0">
        <w:rPr>
          <w:rFonts w:ascii="Times New Roman" w:hAnsi="Times New Roman" w:cs="Times New Roman"/>
        </w:rPr>
        <w:instrText xml:space="preserve"> ADDIN ZOTERO_ITEM CSL_CITATION {"citationID":"YtG8rHJQ","properties":{"formattedCitation":"Ibid 145(3).","plainCitation":"Ibid 145(3).","noteIndex":4},"citationItems":[{"id":19552,"uris":["http://zotero.org/groups/97359/items/ZGH3UUXF"],"uri":["http://zotero.org/groups/97359/items/ZGH3UUXF"],"itemData":{"id":19552,"type":"legislation","title":"Corporations Act 2001","section":"SCHEDULE 3Schedule","URL":"https://www.austlii.edu.au/cgi-bin/viewdoc/au/legis/cth/consol_act/ca2001172/sch3schedule.html","note":"jurisdiction: Commonwealth","accessed":{"date-parts":[["2019",8,23]]}},"locator":"145(3)","label":"section"}],"schema":"https://github.com/citation-style-language/schema/raw/master/csl-citation.json"} </w:instrText>
      </w:r>
      <w:r w:rsidRPr="00832CF0">
        <w:rPr>
          <w:rFonts w:ascii="Times New Roman" w:hAnsi="Times New Roman" w:cs="Times New Roman"/>
        </w:rPr>
        <w:fldChar w:fldCharType="separate"/>
      </w:r>
      <w:r w:rsidRPr="00832CF0">
        <w:rPr>
          <w:rFonts w:ascii="Times New Roman" w:hAnsi="Times New Roman" w:cs="Times New Roman"/>
        </w:rPr>
        <w:t>Ibid 145(3).</w:t>
      </w:r>
      <w:r w:rsidRPr="00832CF0">
        <w:rPr>
          <w:rFonts w:ascii="Times New Roman" w:hAnsi="Times New Roman" w:cs="Times New Roman"/>
        </w:rPr>
        <w:fldChar w:fldCharType="end"/>
      </w:r>
    </w:p>
  </w:footnote>
  <w:footnote w:id="4">
    <w:p w:rsidR="009E5CBA" w:rsidRPr="00832CF0" w:rsidRDefault="009E5CBA" w:rsidP="009E5CBA">
      <w:pPr>
        <w:pStyle w:val="FootnoteText"/>
        <w:rPr>
          <w:rFonts w:ascii="Times New Roman" w:hAnsi="Times New Roman" w:cs="Times New Roman"/>
        </w:rPr>
      </w:pPr>
      <w:r w:rsidRPr="00832CF0">
        <w:rPr>
          <w:rStyle w:val="FootnoteReference"/>
          <w:rFonts w:ascii="Times New Roman" w:hAnsi="Times New Roman" w:cs="Times New Roman"/>
        </w:rPr>
        <w:footnoteRef/>
      </w:r>
      <w:r w:rsidRPr="00832CF0">
        <w:rPr>
          <w:rFonts w:ascii="Times New Roman" w:hAnsi="Times New Roman" w:cs="Times New Roman"/>
        </w:rPr>
        <w:t xml:space="preserve"> The Attorney-General Department’s </w:t>
      </w:r>
      <w:r w:rsidRPr="00832CF0">
        <w:rPr>
          <w:rFonts w:ascii="Times New Roman" w:hAnsi="Times New Roman" w:cs="Times New Roman"/>
          <w:i/>
        </w:rPr>
        <w:t xml:space="preserve">Guide to Framing Commonwealth Offences </w:t>
      </w:r>
      <w:r w:rsidRPr="00832CF0">
        <w:rPr>
          <w:rFonts w:ascii="Times New Roman" w:hAnsi="Times New Roman" w:cs="Times New Roman"/>
        </w:rPr>
        <w:t>provides that the penalty for a body corporate should be five times that applicable to an individual, meaning that the threshold for a serious offence for a corporation should be 300 penalty units. However, the penalty benchmarks specified across the legislation are inconsistent in their application of this rule. The figures cited by the ALRC on this point thus refer to the penalty benchmarks applicable to individuals.</w:t>
      </w:r>
    </w:p>
  </w:footnote>
  <w:footnote w:id="5">
    <w:p w:rsidR="009E5CBA" w:rsidRPr="00832CF0" w:rsidRDefault="009E5CBA" w:rsidP="009E5CBA">
      <w:pPr>
        <w:pStyle w:val="FootnoteText"/>
        <w:rPr>
          <w:rFonts w:ascii="Times New Roman" w:hAnsi="Times New Roman" w:cs="Times New Roman"/>
        </w:rPr>
      </w:pPr>
      <w:r w:rsidRPr="00832CF0">
        <w:rPr>
          <w:rStyle w:val="FootnoteReference"/>
          <w:rFonts w:ascii="Times New Roman" w:hAnsi="Times New Roman" w:cs="Times New Roman"/>
        </w:rPr>
        <w:footnoteRef/>
      </w:r>
      <w:r w:rsidRPr="00832CF0">
        <w:rPr>
          <w:rFonts w:ascii="Times New Roman" w:hAnsi="Times New Roman" w:cs="Times New Roman"/>
        </w:rPr>
        <w:t xml:space="preserve"> </w:t>
      </w:r>
      <w:r w:rsidRPr="00832CF0">
        <w:rPr>
          <w:rFonts w:ascii="Times New Roman" w:hAnsi="Times New Roman" w:cs="Times New Roman"/>
        </w:rPr>
        <w:fldChar w:fldCharType="begin"/>
      </w:r>
      <w:r w:rsidRPr="00832CF0">
        <w:rPr>
          <w:rFonts w:ascii="Times New Roman" w:hAnsi="Times New Roman" w:cs="Times New Roman"/>
        </w:rPr>
        <w:instrText xml:space="preserve"> ADDIN ZOTERO_ITEM CSL_CITATION {"citationID":"fVTsCONC","properties":{"formattedCitation":"Attorney-General\\uc0\\u8217{}s Department (Cth), {\\i{}A Guide to Framing Commonwealth Offences, Infringement Notices and Enforcement Powers} (2011) 105\\uc0\\u8211{}106.","plainCitation":"Attorney-General’s Department (Cth), A Guide to Framing Commonwealth Offences, Infringement Notices and Enforcement Powers (2011) 105–106.","noteIndex":6},"citationItems":[{"id":1192,"uris":["http://zotero.org/groups/97359/items/AUCH539D"],"uri":["http://zotero.org/groups/97359/items/AUCH539D"],"itemData":{"id":1192,"type":"bill","title":"Attorney-General's Department (Cth), &lt;i&gt;A Guide to Framing Commonwealth Offences, Infringement Notices and Enforcement Powers&lt;/i&gt; (2011)"},"locator":"105-106"}],"schema":"https://github.com/citation-style-language/schema/raw/master/csl-citation.json"} </w:instrText>
      </w:r>
      <w:r w:rsidRPr="00832CF0">
        <w:rPr>
          <w:rFonts w:ascii="Times New Roman" w:hAnsi="Times New Roman" w:cs="Times New Roman"/>
        </w:rPr>
        <w:fldChar w:fldCharType="separate"/>
      </w:r>
      <w:r w:rsidRPr="00832CF0">
        <w:rPr>
          <w:rFonts w:ascii="Times New Roman" w:hAnsi="Times New Roman" w:cs="Times New Roman"/>
          <w:szCs w:val="24"/>
        </w:rPr>
        <w:t xml:space="preserve">Attorney-General’s Department (Cth), </w:t>
      </w:r>
      <w:r w:rsidRPr="00832CF0">
        <w:rPr>
          <w:rFonts w:ascii="Times New Roman" w:hAnsi="Times New Roman" w:cs="Times New Roman"/>
          <w:i/>
          <w:iCs/>
          <w:szCs w:val="24"/>
        </w:rPr>
        <w:t>A Guide to Framing Commonwealth Offences, Infringement Notices and Enforcement Powers</w:t>
      </w:r>
      <w:r w:rsidRPr="00832CF0">
        <w:rPr>
          <w:rFonts w:ascii="Times New Roman" w:hAnsi="Times New Roman" w:cs="Times New Roman"/>
          <w:szCs w:val="24"/>
        </w:rPr>
        <w:t xml:space="preserve"> (2011) 105–106.</w:t>
      </w:r>
      <w:r w:rsidRPr="00832CF0">
        <w:rPr>
          <w:rFonts w:ascii="Times New Roman" w:hAnsi="Times New Roman" w:cs="Times New Roman"/>
        </w:rPr>
        <w:fldChar w:fldCharType="end"/>
      </w:r>
    </w:p>
  </w:footnote>
  <w:footnote w:id="6">
    <w:p w:rsidR="00E022BF" w:rsidRPr="00832CF0" w:rsidRDefault="00E022BF" w:rsidP="00E022BF">
      <w:pPr>
        <w:pStyle w:val="FootnoteText"/>
        <w:rPr>
          <w:rFonts w:ascii="Times New Roman" w:hAnsi="Times New Roman" w:cs="Times New Roman"/>
        </w:rPr>
      </w:pPr>
      <w:r w:rsidRPr="00832CF0">
        <w:rPr>
          <w:rStyle w:val="FootnoteReference"/>
          <w:rFonts w:ascii="Times New Roman" w:hAnsi="Times New Roman" w:cs="Times New Roman"/>
        </w:rPr>
        <w:footnoteRef/>
      </w:r>
      <w:r w:rsidRPr="00832CF0">
        <w:rPr>
          <w:rFonts w:ascii="Times New Roman" w:hAnsi="Times New Roman" w:cs="Times New Roman"/>
        </w:rPr>
        <w:t xml:space="preserve"> For example, see </w:t>
      </w:r>
      <w:r w:rsidRPr="00832CF0">
        <w:rPr>
          <w:rFonts w:ascii="Times New Roman" w:hAnsi="Times New Roman" w:cs="Times New Roman"/>
          <w:i/>
        </w:rPr>
        <w:t xml:space="preserve">Environment Protection and Biodiversity Conservation Act 1999 </w:t>
      </w:r>
      <w:r w:rsidRPr="00832CF0">
        <w:rPr>
          <w:rFonts w:ascii="Times New Roman" w:hAnsi="Times New Roman" w:cs="Times New Roman"/>
        </w:rPr>
        <w:t>(</w:t>
      </w:r>
      <w:proofErr w:type="spellStart"/>
      <w:r w:rsidRPr="00832CF0">
        <w:rPr>
          <w:rFonts w:ascii="Times New Roman" w:hAnsi="Times New Roman" w:cs="Times New Roman"/>
        </w:rPr>
        <w:t>Cth</w:t>
      </w:r>
      <w:proofErr w:type="spellEnd"/>
      <w:r w:rsidRPr="00832CF0">
        <w:rPr>
          <w:rFonts w:ascii="Times New Roman" w:hAnsi="Times New Roman" w:cs="Times New Roman"/>
        </w:rPr>
        <w:t xml:space="preserve">) </w:t>
      </w:r>
      <w:proofErr w:type="spellStart"/>
      <w:r w:rsidRPr="00832CF0">
        <w:rPr>
          <w:rFonts w:ascii="Times New Roman" w:hAnsi="Times New Roman" w:cs="Times New Roman"/>
        </w:rPr>
        <w:t>ss</w:t>
      </w:r>
      <w:proofErr w:type="spellEnd"/>
      <w:r w:rsidRPr="00832CF0">
        <w:rPr>
          <w:rFonts w:ascii="Times New Roman" w:hAnsi="Times New Roman" w:cs="Times New Roman"/>
        </w:rPr>
        <w:t xml:space="preserve"> 395, 399; </w:t>
      </w:r>
      <w:r w:rsidRPr="00832CF0">
        <w:rPr>
          <w:rFonts w:ascii="Times New Roman" w:hAnsi="Times New Roman" w:cs="Times New Roman"/>
          <w:i/>
        </w:rPr>
        <w:t xml:space="preserve">Fair Work Act 2009 </w:t>
      </w:r>
      <w:r w:rsidRPr="00832CF0">
        <w:rPr>
          <w:rFonts w:ascii="Times New Roman" w:hAnsi="Times New Roman" w:cs="Times New Roman"/>
        </w:rPr>
        <w:t>(</w:t>
      </w:r>
      <w:proofErr w:type="spellStart"/>
      <w:r w:rsidRPr="00832CF0">
        <w:rPr>
          <w:rFonts w:ascii="Times New Roman" w:hAnsi="Times New Roman" w:cs="Times New Roman"/>
        </w:rPr>
        <w:t>Cth</w:t>
      </w:r>
      <w:proofErr w:type="spellEnd"/>
      <w:r w:rsidRPr="00832CF0">
        <w:rPr>
          <w:rFonts w:ascii="Times New Roman" w:hAnsi="Times New Roman" w:cs="Times New Roman"/>
        </w:rPr>
        <w:t xml:space="preserve">) s 702(5). These particular offences would, in practice, not </w:t>
      </w:r>
      <w:proofErr w:type="gramStart"/>
      <w:r w:rsidRPr="00832CF0">
        <w:rPr>
          <w:rFonts w:ascii="Times New Roman" w:hAnsi="Times New Roman" w:cs="Times New Roman"/>
        </w:rPr>
        <w:t>be committed</w:t>
      </w:r>
      <w:proofErr w:type="gramEnd"/>
      <w:r w:rsidRPr="00832CF0">
        <w:rPr>
          <w:rFonts w:ascii="Times New Roman" w:hAnsi="Times New Roman" w:cs="Times New Roman"/>
        </w:rPr>
        <w:t xml:space="preserve"> by corporations but nonetheless illustrate the incoherence of the criminal law.</w:t>
      </w:r>
    </w:p>
  </w:footnote>
  <w:footnote w:id="7">
    <w:p w:rsidR="0072407D" w:rsidRPr="00832CF0" w:rsidRDefault="0072407D" w:rsidP="0072407D">
      <w:pPr>
        <w:pStyle w:val="FootnoteText"/>
        <w:rPr>
          <w:rFonts w:ascii="Times New Roman" w:hAnsi="Times New Roman" w:cs="Times New Roman"/>
        </w:rPr>
      </w:pPr>
      <w:r w:rsidRPr="00832CF0">
        <w:rPr>
          <w:rStyle w:val="FootnoteReference"/>
          <w:rFonts w:ascii="Times New Roman" w:hAnsi="Times New Roman" w:cs="Times New Roman"/>
        </w:rPr>
        <w:footnoteRef/>
      </w:r>
      <w:r w:rsidRPr="00832CF0">
        <w:rPr>
          <w:rFonts w:ascii="Times New Roman" w:hAnsi="Times New Roman" w:cs="Times New Roman"/>
        </w:rPr>
        <w:t xml:space="preserve"> </w:t>
      </w:r>
      <w:r w:rsidRPr="00832CF0">
        <w:rPr>
          <w:rFonts w:ascii="Times New Roman" w:hAnsi="Times New Roman" w:cs="Times New Roman"/>
        </w:rPr>
        <w:fldChar w:fldCharType="begin"/>
      </w:r>
      <w:r w:rsidRPr="00832CF0">
        <w:rPr>
          <w:rFonts w:ascii="Times New Roman" w:hAnsi="Times New Roman" w:cs="Times New Roman"/>
        </w:rPr>
        <w:instrText xml:space="preserve"> ADDIN ZOTERO_ITEM CSL_CITATION {"citationID":"oymgedbS","properties":{"formattedCitation":"Royal Commission into Misconduct in the Banking, Superannuation and Financial Services Industry, {\\i{}Interim Report}, (September 2018) 16 [1.5.3].","plainCitation":"Royal Commission into Misconduct in the Banking, Superannuation and Financial Services Industry, Interim Report, (September 2018) 16 [1.5.3].","noteIndex":7},"citationItems":[{"id":12798,"uris":["http://zotero.org/groups/97359/items/6VY22CVA"],"uri":["http://zotero.org/groups/97359/items/6VY22CVA"],"itemData":{"id":12798,"type":"bill","title":"Royal Commission into Misconduct in the Banking, Superannuation and Financial Services Industry, &lt;i&gt;Interim Report&lt;/i&gt;, (September 2018)","volume":"vol 1"},"locator":"16 [1.5.3]"}],"schema":"https://github.com/citation-style-language/schema/raw/master/csl-citation.json"} </w:instrText>
      </w:r>
      <w:r w:rsidRPr="00832CF0">
        <w:rPr>
          <w:rFonts w:ascii="Times New Roman" w:hAnsi="Times New Roman" w:cs="Times New Roman"/>
        </w:rPr>
        <w:fldChar w:fldCharType="separate"/>
      </w:r>
      <w:r w:rsidRPr="00832CF0">
        <w:rPr>
          <w:rFonts w:ascii="Times New Roman" w:hAnsi="Times New Roman" w:cs="Times New Roman"/>
          <w:szCs w:val="24"/>
        </w:rPr>
        <w:t xml:space="preserve">Royal Commission into Misconduct in the Banking, Superannuation and Financial Services Industry, </w:t>
      </w:r>
      <w:r w:rsidRPr="00832CF0">
        <w:rPr>
          <w:rFonts w:ascii="Times New Roman" w:hAnsi="Times New Roman" w:cs="Times New Roman"/>
          <w:i/>
          <w:iCs/>
          <w:szCs w:val="24"/>
        </w:rPr>
        <w:t>Interim Report</w:t>
      </w:r>
      <w:r w:rsidRPr="00832CF0">
        <w:rPr>
          <w:rFonts w:ascii="Times New Roman" w:hAnsi="Times New Roman" w:cs="Times New Roman"/>
          <w:szCs w:val="24"/>
        </w:rPr>
        <w:t>, (September 2018) 16 [1.5.3].</w:t>
      </w:r>
      <w:r w:rsidRPr="00832CF0">
        <w:rPr>
          <w:rFonts w:ascii="Times New Roman" w:hAnsi="Times New Roman" w:cs="Times New Roman"/>
        </w:rPr>
        <w:fldChar w:fldCharType="end"/>
      </w:r>
      <w:r w:rsidRPr="00832CF0">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5452"/>
    <w:multiLevelType w:val="hybridMultilevel"/>
    <w:tmpl w:val="33906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0452805"/>
    <w:multiLevelType w:val="hybridMultilevel"/>
    <w:tmpl w:val="F7B447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492C5B"/>
    <w:multiLevelType w:val="hybridMultilevel"/>
    <w:tmpl w:val="E88499C2"/>
    <w:lvl w:ilvl="0" w:tplc="3BB2867C">
      <w:start w:val="1"/>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C6D1460"/>
    <w:multiLevelType w:val="hybridMultilevel"/>
    <w:tmpl w:val="D1CAEDC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31541640"/>
    <w:multiLevelType w:val="hybridMultilevel"/>
    <w:tmpl w:val="9A984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B71D21"/>
    <w:multiLevelType w:val="hybridMultilevel"/>
    <w:tmpl w:val="7018CB2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276558"/>
    <w:multiLevelType w:val="hybridMultilevel"/>
    <w:tmpl w:val="5E22BFF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ED2F1F"/>
    <w:multiLevelType w:val="hybridMultilevel"/>
    <w:tmpl w:val="E0E2C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1E31CB"/>
    <w:multiLevelType w:val="hybridMultilevel"/>
    <w:tmpl w:val="042C898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624381"/>
    <w:multiLevelType w:val="hybridMultilevel"/>
    <w:tmpl w:val="4A10A858"/>
    <w:lvl w:ilvl="0" w:tplc="DF960B52">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F40E3"/>
    <w:multiLevelType w:val="hybridMultilevel"/>
    <w:tmpl w:val="19FC4EBA"/>
    <w:lvl w:ilvl="0" w:tplc="89948C34">
      <w:start w:val="1"/>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6DD7122"/>
    <w:multiLevelType w:val="hybridMultilevel"/>
    <w:tmpl w:val="084C9BBE"/>
    <w:lvl w:ilvl="0" w:tplc="5CEA0D8E">
      <w:start w:val="5"/>
      <w:numFmt w:val="decimal"/>
      <w:pStyle w:val="BulletList"/>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2351DE"/>
    <w:multiLevelType w:val="hybridMultilevel"/>
    <w:tmpl w:val="53C8941C"/>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29CE534">
      <w:start w:val="1"/>
      <w:numFmt w:val="decimal"/>
      <w:lvlText w:val="%4."/>
      <w:lvlJc w:val="left"/>
      <w:pPr>
        <w:ind w:left="2880" w:hanging="360"/>
      </w:pPr>
      <w:rPr>
        <w:i w:val="0"/>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2F1816"/>
    <w:multiLevelType w:val="hybridMultilevel"/>
    <w:tmpl w:val="73E6DEF2"/>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12"/>
  </w:num>
  <w:num w:numId="3">
    <w:abstractNumId w:val="5"/>
  </w:num>
  <w:num w:numId="4">
    <w:abstractNumId w:val="8"/>
  </w:num>
  <w:num w:numId="5">
    <w:abstractNumId w:val="4"/>
  </w:num>
  <w:num w:numId="6">
    <w:abstractNumId w:val="1"/>
  </w:num>
  <w:num w:numId="7">
    <w:abstractNumId w:val="13"/>
  </w:num>
  <w:num w:numId="8">
    <w:abstractNumId w:val="11"/>
  </w:num>
  <w:num w:numId="9">
    <w:abstractNumId w:val="6"/>
  </w:num>
  <w:num w:numId="10">
    <w:abstractNumId w:val="3"/>
  </w:num>
  <w:num w:numId="11">
    <w:abstractNumId w:val="11"/>
    <w:lvlOverride w:ilvl="0">
      <w:startOverride w:val="11"/>
    </w:lvlOverride>
  </w:num>
  <w:num w:numId="12">
    <w:abstractNumId w:val="11"/>
    <w:lvlOverride w:ilvl="0">
      <w:startOverride w:val="11"/>
    </w:lvlOverride>
  </w:num>
  <w:num w:numId="13">
    <w:abstractNumId w:val="7"/>
  </w:num>
  <w:num w:numId="14">
    <w:abstractNumId w:val="11"/>
    <w:lvlOverride w:ilvl="0">
      <w:startOverride w:val="11"/>
    </w:lvlOverride>
  </w:num>
  <w:num w:numId="15">
    <w:abstractNumId w:val="0"/>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77"/>
    <w:rsid w:val="00026050"/>
    <w:rsid w:val="00097436"/>
    <w:rsid w:val="000A6293"/>
    <w:rsid w:val="000E6049"/>
    <w:rsid w:val="000F35E3"/>
    <w:rsid w:val="00157B48"/>
    <w:rsid w:val="00161C11"/>
    <w:rsid w:val="00175095"/>
    <w:rsid w:val="00194896"/>
    <w:rsid w:val="001B02AC"/>
    <w:rsid w:val="00265EC2"/>
    <w:rsid w:val="002916C9"/>
    <w:rsid w:val="00295EBB"/>
    <w:rsid w:val="002A0177"/>
    <w:rsid w:val="002D4D53"/>
    <w:rsid w:val="00312D9A"/>
    <w:rsid w:val="00351843"/>
    <w:rsid w:val="00370DCB"/>
    <w:rsid w:val="0038198A"/>
    <w:rsid w:val="003E4B34"/>
    <w:rsid w:val="003F1C62"/>
    <w:rsid w:val="003F71B1"/>
    <w:rsid w:val="004226A4"/>
    <w:rsid w:val="004345B8"/>
    <w:rsid w:val="00457D13"/>
    <w:rsid w:val="005041C3"/>
    <w:rsid w:val="005043AB"/>
    <w:rsid w:val="00507C89"/>
    <w:rsid w:val="00511E36"/>
    <w:rsid w:val="0052561F"/>
    <w:rsid w:val="00586B22"/>
    <w:rsid w:val="00595539"/>
    <w:rsid w:val="005B0D41"/>
    <w:rsid w:val="005B734D"/>
    <w:rsid w:val="005E27AB"/>
    <w:rsid w:val="00623880"/>
    <w:rsid w:val="00626C7E"/>
    <w:rsid w:val="006517F5"/>
    <w:rsid w:val="00655CFF"/>
    <w:rsid w:val="006F0C86"/>
    <w:rsid w:val="007140D6"/>
    <w:rsid w:val="0072407D"/>
    <w:rsid w:val="0078275D"/>
    <w:rsid w:val="007827FD"/>
    <w:rsid w:val="00782915"/>
    <w:rsid w:val="007B388D"/>
    <w:rsid w:val="007C4853"/>
    <w:rsid w:val="00817661"/>
    <w:rsid w:val="00832CF0"/>
    <w:rsid w:val="00867110"/>
    <w:rsid w:val="008821FB"/>
    <w:rsid w:val="008A684E"/>
    <w:rsid w:val="009125D4"/>
    <w:rsid w:val="00921B0D"/>
    <w:rsid w:val="00925A7E"/>
    <w:rsid w:val="00943F9D"/>
    <w:rsid w:val="009E5CBA"/>
    <w:rsid w:val="00A04916"/>
    <w:rsid w:val="00A24474"/>
    <w:rsid w:val="00A41788"/>
    <w:rsid w:val="00A62453"/>
    <w:rsid w:val="00A669C2"/>
    <w:rsid w:val="00AC06B9"/>
    <w:rsid w:val="00AC69B6"/>
    <w:rsid w:val="00AC69BA"/>
    <w:rsid w:val="00AD2638"/>
    <w:rsid w:val="00AE48D6"/>
    <w:rsid w:val="00B86019"/>
    <w:rsid w:val="00B947A6"/>
    <w:rsid w:val="00BA4486"/>
    <w:rsid w:val="00BC3341"/>
    <w:rsid w:val="00CC360A"/>
    <w:rsid w:val="00D86B7F"/>
    <w:rsid w:val="00D90B35"/>
    <w:rsid w:val="00D9758F"/>
    <w:rsid w:val="00DC2F95"/>
    <w:rsid w:val="00E01397"/>
    <w:rsid w:val="00E022BF"/>
    <w:rsid w:val="00E41569"/>
    <w:rsid w:val="00E4314A"/>
    <w:rsid w:val="00E44781"/>
    <w:rsid w:val="00E53C03"/>
    <w:rsid w:val="00F21A33"/>
    <w:rsid w:val="00F64F4E"/>
    <w:rsid w:val="00F70937"/>
    <w:rsid w:val="00F741E1"/>
    <w:rsid w:val="00F77B90"/>
    <w:rsid w:val="00F870EA"/>
    <w:rsid w:val="00FA162B"/>
    <w:rsid w:val="00FA4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B610"/>
  <w15:chartTrackingRefBased/>
  <w15:docId w15:val="{CC3F6766-755A-4454-AB04-43DEE813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6B22"/>
    <w:pPr>
      <w:spacing w:after="0" w:line="240" w:lineRule="auto"/>
    </w:pPr>
    <w:rPr>
      <w:sz w:val="20"/>
      <w:szCs w:val="20"/>
    </w:rPr>
  </w:style>
  <w:style w:type="character" w:customStyle="1" w:styleId="FootnoteTextChar">
    <w:name w:val="Footnote Text Char"/>
    <w:basedOn w:val="DefaultParagraphFont"/>
    <w:link w:val="FootnoteText"/>
    <w:uiPriority w:val="99"/>
    <w:rsid w:val="00586B22"/>
    <w:rPr>
      <w:sz w:val="20"/>
      <w:szCs w:val="20"/>
    </w:rPr>
  </w:style>
  <w:style w:type="character" w:styleId="FootnoteReference">
    <w:name w:val="footnote reference"/>
    <w:aliases w:val="opcalrc,callout,Footnotes refss,NO,[0]"/>
    <w:basedOn w:val="DefaultParagraphFont"/>
    <w:unhideWhenUsed/>
    <w:rsid w:val="00586B22"/>
    <w:rPr>
      <w:vertAlign w:val="superscript"/>
    </w:rPr>
  </w:style>
  <w:style w:type="paragraph" w:customStyle="1" w:styleId="BulletList">
    <w:name w:val="BulletList"/>
    <w:basedOn w:val="Normal"/>
    <w:autoRedefine/>
    <w:qFormat/>
    <w:rsid w:val="0078275D"/>
    <w:pPr>
      <w:numPr>
        <w:numId w:val="8"/>
      </w:numPr>
      <w:tabs>
        <w:tab w:val="left" w:pos="567"/>
        <w:tab w:val="left" w:pos="1134"/>
      </w:tabs>
      <w:spacing w:before="120" w:after="120" w:line="240" w:lineRule="auto"/>
      <w:ind w:left="0"/>
      <w:outlineLvl w:val="1"/>
    </w:pPr>
    <w:rPr>
      <w:rFonts w:ascii="Times New Roman" w:eastAsia="Times New Roman" w:hAnsi="Times New Roman" w:cs="Times New Roman"/>
      <w:sz w:val="21"/>
      <w:szCs w:val="20"/>
    </w:rPr>
  </w:style>
  <w:style w:type="table" w:styleId="TableGrid">
    <w:name w:val="Table Grid"/>
    <w:basedOn w:val="TableNormal"/>
    <w:uiPriority w:val="59"/>
    <w:rsid w:val="00265EC2"/>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896"/>
    <w:pPr>
      <w:ind w:left="720"/>
      <w:contextualSpacing/>
    </w:pPr>
  </w:style>
  <w:style w:type="paragraph" w:styleId="Caption">
    <w:name w:val="caption"/>
    <w:basedOn w:val="Normal"/>
    <w:next w:val="Normal"/>
    <w:uiPriority w:val="35"/>
    <w:semiHidden/>
    <w:unhideWhenUsed/>
    <w:qFormat/>
    <w:rsid w:val="00FA16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B3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88D"/>
  </w:style>
  <w:style w:type="paragraph" w:styleId="Footer">
    <w:name w:val="footer"/>
    <w:basedOn w:val="Normal"/>
    <w:link w:val="FooterChar"/>
    <w:uiPriority w:val="99"/>
    <w:unhideWhenUsed/>
    <w:rsid w:val="007B3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88D"/>
  </w:style>
  <w:style w:type="character" w:styleId="CommentReference">
    <w:name w:val="annotation reference"/>
    <w:basedOn w:val="DefaultParagraphFont"/>
    <w:uiPriority w:val="99"/>
    <w:semiHidden/>
    <w:unhideWhenUsed/>
    <w:rsid w:val="00925A7E"/>
    <w:rPr>
      <w:sz w:val="16"/>
      <w:szCs w:val="16"/>
    </w:rPr>
  </w:style>
  <w:style w:type="paragraph" w:styleId="CommentText">
    <w:name w:val="annotation text"/>
    <w:basedOn w:val="Normal"/>
    <w:link w:val="CommentTextChar"/>
    <w:uiPriority w:val="99"/>
    <w:semiHidden/>
    <w:unhideWhenUsed/>
    <w:rsid w:val="00925A7E"/>
    <w:pPr>
      <w:spacing w:line="240" w:lineRule="auto"/>
    </w:pPr>
    <w:rPr>
      <w:sz w:val="20"/>
      <w:szCs w:val="20"/>
    </w:rPr>
  </w:style>
  <w:style w:type="character" w:customStyle="1" w:styleId="CommentTextChar">
    <w:name w:val="Comment Text Char"/>
    <w:basedOn w:val="DefaultParagraphFont"/>
    <w:link w:val="CommentText"/>
    <w:uiPriority w:val="99"/>
    <w:semiHidden/>
    <w:rsid w:val="00925A7E"/>
    <w:rPr>
      <w:sz w:val="20"/>
      <w:szCs w:val="20"/>
    </w:rPr>
  </w:style>
  <w:style w:type="paragraph" w:styleId="CommentSubject">
    <w:name w:val="annotation subject"/>
    <w:basedOn w:val="CommentText"/>
    <w:next w:val="CommentText"/>
    <w:link w:val="CommentSubjectChar"/>
    <w:uiPriority w:val="99"/>
    <w:semiHidden/>
    <w:unhideWhenUsed/>
    <w:rsid w:val="00925A7E"/>
    <w:rPr>
      <w:b/>
      <w:bCs/>
    </w:rPr>
  </w:style>
  <w:style w:type="character" w:customStyle="1" w:styleId="CommentSubjectChar">
    <w:name w:val="Comment Subject Char"/>
    <w:basedOn w:val="CommentTextChar"/>
    <w:link w:val="CommentSubject"/>
    <w:uiPriority w:val="99"/>
    <w:semiHidden/>
    <w:rsid w:val="00925A7E"/>
    <w:rPr>
      <w:b/>
      <w:bCs/>
      <w:sz w:val="20"/>
      <w:szCs w:val="20"/>
    </w:rPr>
  </w:style>
  <w:style w:type="paragraph" w:styleId="BalloonText">
    <w:name w:val="Balloon Text"/>
    <w:basedOn w:val="Normal"/>
    <w:link w:val="BalloonTextChar"/>
    <w:uiPriority w:val="99"/>
    <w:semiHidden/>
    <w:unhideWhenUsed/>
    <w:rsid w:val="00925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A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02218">
      <w:bodyDiv w:val="1"/>
      <w:marLeft w:val="0"/>
      <w:marRight w:val="0"/>
      <w:marTop w:val="0"/>
      <w:marBottom w:val="0"/>
      <w:divBdr>
        <w:top w:val="none" w:sz="0" w:space="0" w:color="auto"/>
        <w:left w:val="none" w:sz="0" w:space="0" w:color="auto"/>
        <w:bottom w:val="none" w:sz="0" w:space="0" w:color="auto"/>
        <w:right w:val="none" w:sz="0" w:space="0" w:color="auto"/>
      </w:divBdr>
    </w:div>
    <w:div w:id="126781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94F46-2464-491E-84F8-BE5D0CB9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Ryan</dc:creator>
  <cp:keywords/>
  <dc:description/>
  <cp:lastModifiedBy>User001</cp:lastModifiedBy>
  <cp:revision>6</cp:revision>
  <cp:lastPrinted>2019-09-12T12:09:00Z</cp:lastPrinted>
  <dcterms:created xsi:type="dcterms:W3CDTF">2019-09-12T12:11:00Z</dcterms:created>
  <dcterms:modified xsi:type="dcterms:W3CDTF">2019-09-23T00:30:00Z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id="CxKNuLj8"/&gt;&lt;style id="http://www.zotero.org/styles/australian-guide-to-legal-citation" hasBibliography="1" bibliographyStyleHasBeenSet="0"/&gt;&lt;prefs&gt;&lt;pref name="fieldType" value="Field"/&gt;&lt;pref name</vt:lpwstr>
  </property>
  <property fmtid="{D5CDD505-2E9C-101B-9397-08002B2CF9AE}" pid="3" name="ZOTERO_PREF_2">
    <vt:lpwstr>="automaticJournalAbbreviations" value="true"/&gt;&lt;pref name="noteType" value="1"/&gt;&lt;/prefs&gt;&lt;/data&gt;</vt:lpwstr>
  </property>
</Properties>
</file>