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0"/>
        <w:gridCol w:w="7630"/>
      </w:tblGrid>
      <w:tr w:rsidR="000600DB" w:rsidRPr="007D3041" w:rsidTr="003234B3">
        <w:tc>
          <w:tcPr>
            <w:tcW w:w="1730" w:type="dxa"/>
          </w:tcPr>
          <w:p w:rsidR="000600DB" w:rsidRPr="007D3041" w:rsidRDefault="000600DB" w:rsidP="003234B3">
            <w:pPr>
              <w:rPr>
                <w:rFonts w:cstheme="minorHAnsi"/>
                <w:b/>
                <w:sz w:val="24"/>
                <w:szCs w:val="24"/>
              </w:rPr>
            </w:pPr>
            <w:r w:rsidRPr="007D3041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961390" cy="12236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tholicCare_Logo_COLOUR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vAlign w:val="center"/>
          </w:tcPr>
          <w:p w:rsidR="000600DB" w:rsidRPr="00C34821" w:rsidRDefault="000600DB" w:rsidP="00EA4D54">
            <w:pPr>
              <w:rPr>
                <w:rFonts w:cstheme="minorHAnsi"/>
                <w:b/>
                <w:sz w:val="32"/>
                <w:szCs w:val="32"/>
              </w:rPr>
            </w:pPr>
            <w:r w:rsidRPr="00C34821">
              <w:rPr>
                <w:rFonts w:cstheme="minorHAnsi"/>
                <w:b/>
                <w:sz w:val="32"/>
                <w:szCs w:val="32"/>
              </w:rPr>
              <w:t>Submission to the Australian Law Reform Commission</w:t>
            </w:r>
            <w:r w:rsidR="00EA4D5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A4D54" w:rsidRPr="00EA4D54">
              <w:rPr>
                <w:rFonts w:cstheme="minorHAnsi"/>
                <w:b/>
                <w:sz w:val="32"/>
                <w:szCs w:val="32"/>
              </w:rPr>
              <w:t>Review of the Family Law System</w:t>
            </w:r>
            <w:r w:rsidRPr="00C34821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0600DB" w:rsidRPr="007D3041" w:rsidRDefault="000600DB">
      <w:pPr>
        <w:rPr>
          <w:rFonts w:cstheme="minorHAnsi"/>
          <w:b/>
          <w:sz w:val="24"/>
          <w:szCs w:val="24"/>
        </w:rPr>
      </w:pPr>
    </w:p>
    <w:p w:rsidR="00053A43" w:rsidRPr="007D3041" w:rsidRDefault="0020034E" w:rsidP="000600DB">
      <w:pPr>
        <w:spacing w:after="120"/>
        <w:jc w:val="both"/>
        <w:rPr>
          <w:rFonts w:cstheme="minorHAnsi"/>
        </w:rPr>
      </w:pPr>
      <w:proofErr w:type="spellStart"/>
      <w:r w:rsidRPr="007D3041">
        <w:rPr>
          <w:rFonts w:cstheme="minorHAnsi"/>
        </w:rPr>
        <w:t>CatholicC</w:t>
      </w:r>
      <w:r w:rsidR="004662F3" w:rsidRPr="007D3041">
        <w:rPr>
          <w:rFonts w:cstheme="minorHAnsi"/>
        </w:rPr>
        <w:t>are</w:t>
      </w:r>
      <w:proofErr w:type="spellEnd"/>
      <w:r w:rsidR="004662F3" w:rsidRPr="007D3041">
        <w:rPr>
          <w:rFonts w:cstheme="minorHAnsi"/>
        </w:rPr>
        <w:t xml:space="preserve"> welcomes the</w:t>
      </w:r>
      <w:r w:rsidR="002F7EEC" w:rsidRPr="007D3041">
        <w:rPr>
          <w:rFonts w:cstheme="minorHAnsi"/>
        </w:rPr>
        <w:t xml:space="preserve"> review of the Family Law System and has previously provided a submission</w:t>
      </w:r>
      <w:r w:rsidR="004662F3" w:rsidRPr="007D3041">
        <w:rPr>
          <w:rFonts w:cstheme="minorHAnsi"/>
        </w:rPr>
        <w:t xml:space="preserve"> </w:t>
      </w:r>
      <w:r w:rsidR="002F7EEC" w:rsidRPr="007D3041">
        <w:rPr>
          <w:rFonts w:cstheme="minorHAnsi"/>
        </w:rPr>
        <w:t xml:space="preserve">to the issues paper </w:t>
      </w:r>
      <w:r w:rsidR="007E7CF1">
        <w:rPr>
          <w:rFonts w:cstheme="minorHAnsi"/>
        </w:rPr>
        <w:t xml:space="preserve">from </w:t>
      </w:r>
      <w:proofErr w:type="spellStart"/>
      <w:r w:rsidR="002F7EEC" w:rsidRPr="007D3041">
        <w:rPr>
          <w:rFonts w:cstheme="minorHAnsi"/>
        </w:rPr>
        <w:t>CatholicCare</w:t>
      </w:r>
      <w:proofErr w:type="spellEnd"/>
      <w:r w:rsidR="002F7EEC" w:rsidRPr="007D3041">
        <w:rPr>
          <w:rFonts w:cstheme="minorHAnsi"/>
        </w:rPr>
        <w:t xml:space="preserve"> Victoria and Tasmania</w:t>
      </w:r>
      <w:r w:rsidR="007E7CF1">
        <w:rPr>
          <w:rFonts w:cstheme="minorHAnsi"/>
        </w:rPr>
        <w:t xml:space="preserve"> (CCVT)</w:t>
      </w:r>
      <w:r w:rsidR="009101F0" w:rsidRPr="009101F0">
        <w:rPr>
          <w:rFonts w:cstheme="minorHAnsi"/>
        </w:rPr>
        <w:t xml:space="preserve"> </w:t>
      </w:r>
      <w:r w:rsidR="009101F0">
        <w:rPr>
          <w:rFonts w:cstheme="minorHAnsi"/>
        </w:rPr>
        <w:t xml:space="preserve">and </w:t>
      </w:r>
      <w:r w:rsidR="007E7CF1">
        <w:rPr>
          <w:rFonts w:cstheme="minorHAnsi"/>
        </w:rPr>
        <w:t xml:space="preserve">has made a contribution to </w:t>
      </w:r>
      <w:r w:rsidR="009101F0">
        <w:rPr>
          <w:rFonts w:cstheme="minorHAnsi"/>
        </w:rPr>
        <w:t xml:space="preserve">the discussion paper as part of the </w:t>
      </w:r>
      <w:r w:rsidR="007E7CF1">
        <w:rPr>
          <w:rFonts w:cstheme="minorHAnsi"/>
        </w:rPr>
        <w:t>Partnerships</w:t>
      </w:r>
      <w:r w:rsidR="009101F0">
        <w:rPr>
          <w:rFonts w:cstheme="minorHAnsi"/>
        </w:rPr>
        <w:t xml:space="preserve"> Victoria FRC Network</w:t>
      </w:r>
      <w:r w:rsidR="00CF4E0B">
        <w:rPr>
          <w:rFonts w:cstheme="minorHAnsi"/>
        </w:rPr>
        <w:t xml:space="preserve"> submission</w:t>
      </w:r>
      <w:r w:rsidR="000B429E">
        <w:rPr>
          <w:rFonts w:cstheme="minorHAnsi"/>
        </w:rPr>
        <w:t>.</w:t>
      </w:r>
      <w:r w:rsidR="002F7EEC" w:rsidRPr="007D3041">
        <w:rPr>
          <w:rFonts w:cstheme="minorHAnsi"/>
        </w:rPr>
        <w:t xml:space="preserve"> However, in recent discussions with senior staff and information provided by our cu</w:t>
      </w:r>
      <w:r w:rsidR="00053A43" w:rsidRPr="007D3041">
        <w:rPr>
          <w:rFonts w:cstheme="minorHAnsi"/>
        </w:rPr>
        <w:t xml:space="preserve">rrent Family Law Services team, </w:t>
      </w:r>
      <w:proofErr w:type="spellStart"/>
      <w:r w:rsidR="00053A43" w:rsidRPr="007D3041">
        <w:rPr>
          <w:rFonts w:cstheme="minorHAnsi"/>
        </w:rPr>
        <w:t>CatholicCare</w:t>
      </w:r>
      <w:proofErr w:type="spellEnd"/>
      <w:r w:rsidR="002F7EEC" w:rsidRPr="007D3041">
        <w:rPr>
          <w:rFonts w:cstheme="minorHAnsi"/>
        </w:rPr>
        <w:t xml:space="preserve"> would like to briefly highlight the specific issues for prisoners </w:t>
      </w:r>
      <w:r w:rsidR="00053A43" w:rsidRPr="007D3041">
        <w:rPr>
          <w:rFonts w:cstheme="minorHAnsi"/>
        </w:rPr>
        <w:t>for consideration as part of this important review process.</w:t>
      </w:r>
    </w:p>
    <w:p w:rsidR="004662F3" w:rsidRPr="007D3041" w:rsidRDefault="004662F3" w:rsidP="000600DB">
      <w:pPr>
        <w:spacing w:before="240" w:after="120"/>
        <w:rPr>
          <w:rFonts w:cstheme="minorHAnsi"/>
          <w:b/>
          <w:sz w:val="24"/>
          <w:szCs w:val="24"/>
        </w:rPr>
      </w:pPr>
      <w:r w:rsidRPr="007D3041">
        <w:rPr>
          <w:rFonts w:cstheme="minorHAnsi"/>
          <w:b/>
          <w:sz w:val="24"/>
          <w:szCs w:val="24"/>
        </w:rPr>
        <w:t xml:space="preserve">About </w:t>
      </w:r>
      <w:proofErr w:type="spellStart"/>
      <w:r w:rsidRPr="007D3041">
        <w:rPr>
          <w:rFonts w:cstheme="minorHAnsi"/>
          <w:b/>
          <w:sz w:val="24"/>
          <w:szCs w:val="24"/>
        </w:rPr>
        <w:t>CatholicCare</w:t>
      </w:r>
      <w:proofErr w:type="spellEnd"/>
    </w:p>
    <w:p w:rsidR="00405A00" w:rsidRPr="007D3041" w:rsidRDefault="004662F3" w:rsidP="000600DB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 xml:space="preserve">Established in 1935, </w:t>
      </w: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has provided support and assistance to the vulnerable and marginalized, responding to the changing needs of the community with a commitment to addressing social disadvantage.</w:t>
      </w:r>
      <w:r w:rsidR="00405A00" w:rsidRPr="007D3041">
        <w:rPr>
          <w:rFonts w:cstheme="minorHAnsi"/>
        </w:rPr>
        <w:t xml:space="preserve"> Today </w:t>
      </w:r>
      <w:proofErr w:type="spellStart"/>
      <w:r w:rsidR="00405A00" w:rsidRPr="007D3041">
        <w:rPr>
          <w:rFonts w:cstheme="minorHAnsi"/>
        </w:rPr>
        <w:t>CatholicCare</w:t>
      </w:r>
      <w:proofErr w:type="spellEnd"/>
      <w:r w:rsidR="00405A00" w:rsidRPr="007D3041">
        <w:rPr>
          <w:rFonts w:cstheme="minorHAnsi"/>
        </w:rPr>
        <w:t xml:space="preserve"> provides family and relationship services, relationship courses, school and education support, refugee and asylum seeker support and a wealth of pastoral services.</w:t>
      </w:r>
    </w:p>
    <w:p w:rsidR="00405A00" w:rsidRPr="007D3041" w:rsidRDefault="00405A00" w:rsidP="000600DB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 xml:space="preserve">With over 380 staff and volunteers in 12 offices, </w:t>
      </w:r>
      <w:proofErr w:type="spellStart"/>
      <w:r w:rsidR="00E22FFF" w:rsidRPr="007D3041">
        <w:rPr>
          <w:rFonts w:cstheme="minorHAnsi"/>
        </w:rPr>
        <w:t>CatholicCare’s</w:t>
      </w:r>
      <w:proofErr w:type="spellEnd"/>
      <w:r w:rsidR="00E22FFF" w:rsidRPr="007D3041">
        <w:rPr>
          <w:rFonts w:cstheme="minorHAnsi"/>
        </w:rPr>
        <w:t xml:space="preserve"> </w:t>
      </w:r>
      <w:r w:rsidRPr="007D3041">
        <w:rPr>
          <w:rFonts w:cstheme="minorHAnsi"/>
        </w:rPr>
        <w:t>geographical reach covers all of Greater Melbourne and Geelong, extends west to Melton, north to Castlemaine and includes all of Gippsland. Some of our programs operate state-wide.</w:t>
      </w:r>
    </w:p>
    <w:p w:rsidR="004662F3" w:rsidRPr="007D3041" w:rsidRDefault="00405A00" w:rsidP="000600DB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 xml:space="preserve">Our services are funded through a mix of </w:t>
      </w:r>
      <w:r w:rsidR="000600DB" w:rsidRPr="007D3041">
        <w:rPr>
          <w:rFonts w:cstheme="minorHAnsi"/>
        </w:rPr>
        <w:t xml:space="preserve">State and Federal </w:t>
      </w:r>
      <w:r w:rsidRPr="007D3041">
        <w:rPr>
          <w:rFonts w:cstheme="minorHAnsi"/>
        </w:rPr>
        <w:t xml:space="preserve">government </w:t>
      </w:r>
      <w:r w:rsidR="000600DB" w:rsidRPr="007D3041">
        <w:rPr>
          <w:rFonts w:cstheme="minorHAnsi"/>
        </w:rPr>
        <w:t xml:space="preserve">contracts, </w:t>
      </w:r>
      <w:r w:rsidRPr="007D3041">
        <w:rPr>
          <w:rFonts w:cstheme="minorHAnsi"/>
        </w:rPr>
        <w:t xml:space="preserve">philanthropic grants, income from fees and investments, and contributions from donors and supporters. </w:t>
      </w:r>
    </w:p>
    <w:p w:rsidR="00053A43" w:rsidRPr="007D3041" w:rsidRDefault="00053A43" w:rsidP="000600DB">
      <w:pPr>
        <w:spacing w:before="240" w:after="120"/>
        <w:rPr>
          <w:rFonts w:cstheme="minorHAnsi"/>
          <w:b/>
          <w:sz w:val="24"/>
          <w:szCs w:val="24"/>
        </w:rPr>
      </w:pPr>
      <w:r w:rsidRPr="007D3041">
        <w:rPr>
          <w:rFonts w:cstheme="minorHAnsi"/>
          <w:b/>
          <w:sz w:val="24"/>
          <w:szCs w:val="24"/>
        </w:rPr>
        <w:t>Review of the Family Law System</w:t>
      </w:r>
    </w:p>
    <w:p w:rsidR="00053A43" w:rsidRPr="007D3041" w:rsidRDefault="00797734" w:rsidP="000600DB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>Over the last 12 months</w:t>
      </w:r>
      <w:r w:rsidR="00027FBE">
        <w:rPr>
          <w:rFonts w:cstheme="minorHAnsi"/>
        </w:rPr>
        <w:t>,</w:t>
      </w:r>
      <w:r w:rsidRPr="007D3041">
        <w:rPr>
          <w:rFonts w:cstheme="minorHAnsi"/>
        </w:rPr>
        <w:t xml:space="preserve"> </w:t>
      </w: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has provided support to more than 12</w:t>
      </w:r>
      <w:r w:rsidR="00027FBE">
        <w:rPr>
          <w:rFonts w:cstheme="minorHAnsi"/>
        </w:rPr>
        <w:t>,</w:t>
      </w:r>
      <w:r w:rsidRPr="007D3041">
        <w:rPr>
          <w:rFonts w:cstheme="minorHAnsi"/>
        </w:rPr>
        <w:t>000 individuals across Victoria. Our staff and volunteers provide us with data and information</w:t>
      </w:r>
      <w:r w:rsidR="00607244" w:rsidRPr="007D3041">
        <w:rPr>
          <w:rFonts w:cstheme="minorHAnsi"/>
        </w:rPr>
        <w:t xml:space="preserve"> reflecting </w:t>
      </w:r>
      <w:r w:rsidRPr="007D3041">
        <w:rPr>
          <w:rFonts w:cstheme="minorHAnsi"/>
        </w:rPr>
        <w:t xml:space="preserve">the </w:t>
      </w:r>
      <w:r w:rsidR="00053A43" w:rsidRPr="007D3041">
        <w:rPr>
          <w:rFonts w:cstheme="minorHAnsi"/>
        </w:rPr>
        <w:t>impact of family breakdown</w:t>
      </w:r>
      <w:r w:rsidRPr="007D3041">
        <w:rPr>
          <w:rFonts w:cstheme="minorHAnsi"/>
        </w:rPr>
        <w:t xml:space="preserve"> across our community. </w:t>
      </w:r>
      <w:r w:rsidR="00053A43" w:rsidRPr="007D3041">
        <w:rPr>
          <w:rFonts w:cstheme="minorHAnsi"/>
        </w:rPr>
        <w:t xml:space="preserve">These </w:t>
      </w:r>
      <w:proofErr w:type="gramStart"/>
      <w:r w:rsidR="00053A43" w:rsidRPr="007D3041">
        <w:rPr>
          <w:rFonts w:cstheme="minorHAnsi"/>
        </w:rPr>
        <w:t>number</w:t>
      </w:r>
      <w:proofErr w:type="gramEnd"/>
      <w:r w:rsidR="00053A43" w:rsidRPr="007D3041">
        <w:rPr>
          <w:rFonts w:cstheme="minorHAnsi"/>
        </w:rPr>
        <w:t xml:space="preserve"> include:</w:t>
      </w:r>
    </w:p>
    <w:p w:rsidR="00053A43" w:rsidRPr="007D3041" w:rsidRDefault="00053A43" w:rsidP="000600D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7D3041">
        <w:rPr>
          <w:rFonts w:cstheme="minorHAnsi"/>
        </w:rPr>
        <w:t xml:space="preserve">8,516 individuals supported across Family and Relationship Services </w:t>
      </w:r>
    </w:p>
    <w:p w:rsidR="00053A43" w:rsidRPr="007D3041" w:rsidRDefault="00053A43" w:rsidP="000600D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7D3041">
        <w:rPr>
          <w:rFonts w:cstheme="minorHAnsi"/>
        </w:rPr>
        <w:t xml:space="preserve">896 Family Relationship </w:t>
      </w:r>
      <w:r w:rsidR="009101F0">
        <w:rPr>
          <w:rFonts w:cstheme="minorHAnsi"/>
        </w:rPr>
        <w:t xml:space="preserve">and Family Law </w:t>
      </w:r>
      <w:r w:rsidRPr="007D3041">
        <w:rPr>
          <w:rFonts w:cstheme="minorHAnsi"/>
        </w:rPr>
        <w:t>Counselling clients</w:t>
      </w:r>
    </w:p>
    <w:p w:rsidR="00053A43" w:rsidRPr="007D3041" w:rsidRDefault="00053A43" w:rsidP="000600D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7D3041">
        <w:rPr>
          <w:rFonts w:cstheme="minorHAnsi"/>
        </w:rPr>
        <w:t>765 Parenting Orders Program clients</w:t>
      </w:r>
    </w:p>
    <w:p w:rsidR="00053A43" w:rsidRPr="007D3041" w:rsidRDefault="00053A43" w:rsidP="000600D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7D3041">
        <w:rPr>
          <w:rFonts w:cstheme="minorHAnsi"/>
        </w:rPr>
        <w:t>549 individuals supported in Gippsland</w:t>
      </w:r>
    </w:p>
    <w:p w:rsidR="00053A43" w:rsidRPr="007D3041" w:rsidRDefault="00053A43" w:rsidP="000600DB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7D3041">
        <w:rPr>
          <w:rFonts w:cstheme="minorHAnsi"/>
        </w:rPr>
        <w:t>470 Family Dispute Resolution clients</w:t>
      </w:r>
    </w:p>
    <w:p w:rsidR="00797734" w:rsidRPr="007D3041" w:rsidRDefault="00797734" w:rsidP="000600DB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>Regardless of the specific nature of ou</w:t>
      </w:r>
      <w:r w:rsidR="00E22FFF" w:rsidRPr="007D3041">
        <w:rPr>
          <w:rFonts w:cstheme="minorHAnsi"/>
        </w:rPr>
        <w:t>r</w:t>
      </w:r>
      <w:r w:rsidRPr="007D3041">
        <w:rPr>
          <w:rFonts w:cstheme="minorHAnsi"/>
        </w:rPr>
        <w:t xml:space="preserve"> programs, we are asked to respond to the needs of individuals </w:t>
      </w:r>
      <w:r w:rsidR="00053A43" w:rsidRPr="007D3041">
        <w:rPr>
          <w:rFonts w:cstheme="minorHAnsi"/>
        </w:rPr>
        <w:t xml:space="preserve">and families requiring assistance with a broad range of issues including family relationship counselling and family legal services, </w:t>
      </w:r>
      <w:r w:rsidRPr="007D3041">
        <w:rPr>
          <w:rFonts w:cstheme="minorHAnsi"/>
        </w:rPr>
        <w:t>many of whom have been unable to access other supports.</w:t>
      </w:r>
      <w:r w:rsidR="00A02861">
        <w:rPr>
          <w:rFonts w:cstheme="minorHAnsi"/>
        </w:rPr>
        <w:t xml:space="preserve"> </w:t>
      </w:r>
      <w:r w:rsidR="00396F58" w:rsidRPr="007D3041">
        <w:rPr>
          <w:rFonts w:cstheme="minorHAnsi"/>
        </w:rPr>
        <w:t xml:space="preserve">However, for the purposes of this consultation, </w:t>
      </w:r>
      <w:proofErr w:type="spellStart"/>
      <w:r w:rsidR="00396F58" w:rsidRPr="007D3041">
        <w:rPr>
          <w:rFonts w:cstheme="minorHAnsi"/>
        </w:rPr>
        <w:t>CatholicCare</w:t>
      </w:r>
      <w:proofErr w:type="spellEnd"/>
      <w:r w:rsidR="00396F58" w:rsidRPr="007D3041">
        <w:rPr>
          <w:rFonts w:cstheme="minorHAnsi"/>
        </w:rPr>
        <w:t xml:space="preserve"> would like to draw close attention to</w:t>
      </w:r>
      <w:r w:rsidR="00857707">
        <w:rPr>
          <w:rFonts w:cstheme="minorHAnsi"/>
        </w:rPr>
        <w:t xml:space="preserve"> the needs of prisoners and ex-</w:t>
      </w:r>
      <w:r w:rsidR="00396F58" w:rsidRPr="007D3041">
        <w:rPr>
          <w:rFonts w:cstheme="minorHAnsi"/>
        </w:rPr>
        <w:t xml:space="preserve">prisoners and more generally, those who come into contact with the criminal justice system, and </w:t>
      </w:r>
      <w:r w:rsidR="00396F58" w:rsidRPr="007D3041">
        <w:rPr>
          <w:rFonts w:cstheme="minorHAnsi"/>
        </w:rPr>
        <w:lastRenderedPageBreak/>
        <w:t xml:space="preserve">urges </w:t>
      </w:r>
      <w:r w:rsidR="00053A43" w:rsidRPr="007D3041">
        <w:rPr>
          <w:rFonts w:cstheme="minorHAnsi"/>
        </w:rPr>
        <w:t xml:space="preserve">the review of the Family Law </w:t>
      </w:r>
      <w:r w:rsidR="00414DA6">
        <w:rPr>
          <w:rFonts w:cstheme="minorHAnsi"/>
        </w:rPr>
        <w:t>S</w:t>
      </w:r>
      <w:r w:rsidR="00053A43" w:rsidRPr="007D3041">
        <w:rPr>
          <w:rFonts w:cstheme="minorHAnsi"/>
        </w:rPr>
        <w:t xml:space="preserve">ystem </w:t>
      </w:r>
      <w:r w:rsidR="005E7F6C">
        <w:rPr>
          <w:rFonts w:cstheme="minorHAnsi"/>
        </w:rPr>
        <w:t xml:space="preserve">to </w:t>
      </w:r>
      <w:r w:rsidR="00053A43" w:rsidRPr="007D3041">
        <w:rPr>
          <w:rFonts w:cstheme="minorHAnsi"/>
        </w:rPr>
        <w:t xml:space="preserve">take into account the needs and likely program responses to </w:t>
      </w:r>
      <w:r w:rsidR="00396F58" w:rsidRPr="007D3041">
        <w:rPr>
          <w:rFonts w:cstheme="minorHAnsi"/>
        </w:rPr>
        <w:t>this growing number of individuals.</w:t>
      </w:r>
    </w:p>
    <w:p w:rsidR="00A7349D" w:rsidRPr="007D3041" w:rsidRDefault="00A7349D" w:rsidP="000600DB">
      <w:pPr>
        <w:spacing w:before="240" w:after="120"/>
        <w:rPr>
          <w:rFonts w:cstheme="minorHAnsi"/>
          <w:b/>
          <w:sz w:val="24"/>
          <w:szCs w:val="24"/>
        </w:rPr>
      </w:pPr>
      <w:r w:rsidRPr="007D3041">
        <w:rPr>
          <w:rFonts w:cstheme="minorHAnsi"/>
          <w:b/>
          <w:sz w:val="24"/>
          <w:szCs w:val="24"/>
        </w:rPr>
        <w:t>Prisoners in Victoria</w:t>
      </w:r>
    </w:p>
    <w:p w:rsidR="00B03477" w:rsidRPr="007D3041" w:rsidRDefault="00B03477" w:rsidP="007011A7">
      <w:pPr>
        <w:spacing w:after="120"/>
        <w:jc w:val="both"/>
        <w:rPr>
          <w:rFonts w:cstheme="minorHAnsi"/>
          <w:color w:val="1F497D"/>
        </w:rPr>
      </w:pPr>
      <w:r w:rsidRPr="007D3041">
        <w:rPr>
          <w:rFonts w:cstheme="minorHAnsi"/>
        </w:rPr>
        <w:t>As at 11</w:t>
      </w:r>
      <w:r w:rsidR="0037112D" w:rsidRPr="0037112D">
        <w:rPr>
          <w:rFonts w:cstheme="minorHAnsi"/>
          <w:vertAlign w:val="superscript"/>
        </w:rPr>
        <w:t>th</w:t>
      </w:r>
      <w:r w:rsidR="0037112D">
        <w:rPr>
          <w:rFonts w:cstheme="minorHAnsi"/>
        </w:rPr>
        <w:t xml:space="preserve"> </w:t>
      </w:r>
      <w:r w:rsidRPr="007D3041">
        <w:rPr>
          <w:rFonts w:cstheme="minorHAnsi"/>
        </w:rPr>
        <w:t>January 2019</w:t>
      </w:r>
      <w:r w:rsidR="00F83CA9">
        <w:rPr>
          <w:rFonts w:cstheme="minorHAnsi"/>
        </w:rPr>
        <w:t>,</w:t>
      </w:r>
      <w:r w:rsidRPr="007D3041">
        <w:rPr>
          <w:rFonts w:cstheme="minorHAnsi"/>
        </w:rPr>
        <w:t xml:space="preserve"> there were</w:t>
      </w:r>
      <w:r w:rsidRPr="007D3041">
        <w:rPr>
          <w:rFonts w:cstheme="minorHAnsi"/>
          <w:b/>
          <w:bCs/>
        </w:rPr>
        <w:t xml:space="preserve"> 8,116 </w:t>
      </w:r>
      <w:r w:rsidRPr="007D3041">
        <w:rPr>
          <w:rFonts w:cstheme="minorHAnsi"/>
        </w:rPr>
        <w:t>prisoners in Victorian prisons</w:t>
      </w:r>
      <w:r w:rsidR="0037112D">
        <w:rPr>
          <w:rFonts w:cstheme="minorHAnsi"/>
        </w:rPr>
        <w:t>,</w:t>
      </w:r>
      <w:r w:rsidRPr="007D3041">
        <w:rPr>
          <w:rFonts w:cstheme="minorHAnsi"/>
        </w:rPr>
        <w:t xml:space="preserve"> comprising 7,523 males and 593 females; 5,047 sentenced and 3,069 un</w:t>
      </w:r>
      <w:r w:rsidR="000600DB" w:rsidRPr="007D3041">
        <w:rPr>
          <w:rFonts w:cstheme="minorHAnsi"/>
        </w:rPr>
        <w:t>-</w:t>
      </w:r>
      <w:r w:rsidRPr="007D3041">
        <w:rPr>
          <w:rFonts w:cstheme="minorHAnsi"/>
        </w:rPr>
        <w:t xml:space="preserve">sentenced prisoners. 37.8 per cent of the total prison population was on remand (3,069 prisoners). </w:t>
      </w:r>
    </w:p>
    <w:p w:rsidR="00B03477" w:rsidRPr="007D3041" w:rsidRDefault="007C2EC0" w:rsidP="007011A7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 xml:space="preserve">Current prison statistics indicate that 32.8 </w:t>
      </w:r>
      <w:r w:rsidR="00715C73">
        <w:rPr>
          <w:rFonts w:cstheme="minorHAnsi"/>
        </w:rPr>
        <w:t>per cent</w:t>
      </w:r>
      <w:r w:rsidRPr="007D3041">
        <w:rPr>
          <w:rFonts w:cstheme="minorHAnsi"/>
        </w:rPr>
        <w:t xml:space="preserve"> of male prisoners are either married or in a </w:t>
      </w:r>
      <w:proofErr w:type="spellStart"/>
      <w:r w:rsidRPr="007D3041">
        <w:rPr>
          <w:rFonts w:cstheme="minorHAnsi"/>
        </w:rPr>
        <w:t>defacto</w:t>
      </w:r>
      <w:proofErr w:type="spellEnd"/>
      <w:r w:rsidRPr="007D3041">
        <w:rPr>
          <w:rFonts w:cstheme="minorHAnsi"/>
        </w:rPr>
        <w:t xml:space="preserve"> relationship and 26.8</w:t>
      </w:r>
      <w:r w:rsidR="00715C73">
        <w:rPr>
          <w:rFonts w:cstheme="minorHAnsi"/>
        </w:rPr>
        <w:t xml:space="preserve"> per cent</w:t>
      </w:r>
      <w:r w:rsidRPr="007D3041">
        <w:rPr>
          <w:rFonts w:cstheme="minorHAnsi"/>
        </w:rPr>
        <w:t xml:space="preserve"> of female prisoners are either married or in a </w:t>
      </w:r>
      <w:proofErr w:type="spellStart"/>
      <w:r w:rsidRPr="007D3041">
        <w:rPr>
          <w:rFonts w:cstheme="minorHAnsi"/>
        </w:rPr>
        <w:t>defacto</w:t>
      </w:r>
      <w:proofErr w:type="spellEnd"/>
      <w:r w:rsidRPr="007D3041">
        <w:rPr>
          <w:rFonts w:cstheme="minorHAnsi"/>
        </w:rPr>
        <w:t xml:space="preserve"> relationship.</w:t>
      </w:r>
    </w:p>
    <w:p w:rsidR="005D7AAC" w:rsidRPr="007D3041" w:rsidRDefault="009A1309" w:rsidP="007011A7">
      <w:pPr>
        <w:spacing w:after="120"/>
        <w:jc w:val="both"/>
        <w:rPr>
          <w:rFonts w:eastAsia="Times New Roman" w:cstheme="minorHAnsi"/>
        </w:rPr>
      </w:pPr>
      <w:r w:rsidRPr="007D3041">
        <w:rPr>
          <w:rFonts w:cstheme="minorHAnsi"/>
        </w:rPr>
        <w:t>A</w:t>
      </w:r>
      <w:r w:rsidR="007C2EC0" w:rsidRPr="007D3041">
        <w:rPr>
          <w:rFonts w:cstheme="minorHAnsi"/>
          <w:shd w:val="clear" w:color="auto" w:fill="FFFFFF"/>
        </w:rPr>
        <w:t xml:space="preserve"> report written by the Australian Institute of Health </w:t>
      </w:r>
      <w:r w:rsidR="00C74C2C">
        <w:rPr>
          <w:rFonts w:cstheme="minorHAnsi"/>
          <w:shd w:val="clear" w:color="auto" w:fill="FFFFFF"/>
        </w:rPr>
        <w:t>and</w:t>
      </w:r>
      <w:r w:rsidR="007C2EC0" w:rsidRPr="007D3041">
        <w:rPr>
          <w:rFonts w:cstheme="minorHAnsi"/>
          <w:shd w:val="clear" w:color="auto" w:fill="FFFFFF"/>
        </w:rPr>
        <w:t xml:space="preserve"> Welfare (AIHW) in 2015,</w:t>
      </w:r>
      <w:r w:rsidRPr="007D3041">
        <w:rPr>
          <w:rFonts w:cstheme="minorHAnsi"/>
          <w:shd w:val="clear" w:color="auto" w:fill="FFFFFF"/>
        </w:rPr>
        <w:t xml:space="preserve"> noted</w:t>
      </w:r>
      <w:r w:rsidR="007C2EC0" w:rsidRPr="007D3041">
        <w:rPr>
          <w:rFonts w:cstheme="minorHAnsi"/>
          <w:shd w:val="clear" w:color="auto" w:fill="FFFFFF"/>
        </w:rPr>
        <w:t xml:space="preserve"> </w:t>
      </w:r>
      <w:r w:rsidRPr="007D3041">
        <w:rPr>
          <w:rFonts w:eastAsia="Times New Roman" w:cstheme="minorHAnsi"/>
        </w:rPr>
        <w:t xml:space="preserve">almost half (49%) of all prison entrants experienced low levels of psychological distress during the four weeks immediately preceding entry to prison, and almost 1 in 3 (31%) had high or very high levels of distress. Of those experiencing “a lot” of distress, 13 </w:t>
      </w:r>
      <w:r w:rsidR="00EE4988">
        <w:rPr>
          <w:rFonts w:eastAsia="Times New Roman" w:cstheme="minorHAnsi"/>
        </w:rPr>
        <w:t>per cent</w:t>
      </w:r>
      <w:r w:rsidRPr="007D3041">
        <w:rPr>
          <w:rFonts w:eastAsia="Times New Roman" w:cstheme="minorHAnsi"/>
        </w:rPr>
        <w:t xml:space="preserve"> </w:t>
      </w:r>
      <w:r w:rsidR="005D7AAC" w:rsidRPr="007D3041">
        <w:rPr>
          <w:rFonts w:eastAsia="Times New Roman" w:cstheme="minorHAnsi"/>
        </w:rPr>
        <w:t>of people identified family and community relationships as the key issue.</w:t>
      </w:r>
      <w:r w:rsidR="00A02861">
        <w:rPr>
          <w:rFonts w:eastAsia="Times New Roman" w:cstheme="minorHAnsi"/>
        </w:rPr>
        <w:t xml:space="preserve"> </w:t>
      </w:r>
      <w:r w:rsidR="005D7AAC" w:rsidRPr="007D3041">
        <w:rPr>
          <w:rFonts w:eastAsia="Times New Roman" w:cstheme="minorHAnsi"/>
        </w:rPr>
        <w:t>The report also notes significantly higher number of females experiencing “a lot” of psychological stress when compared to their male counterparts.</w:t>
      </w:r>
    </w:p>
    <w:p w:rsidR="009A1309" w:rsidRPr="007D3041" w:rsidRDefault="005D7AAC" w:rsidP="007011A7">
      <w:pPr>
        <w:spacing w:after="120"/>
        <w:jc w:val="both"/>
        <w:rPr>
          <w:rFonts w:cstheme="minorHAnsi"/>
          <w:sz w:val="20"/>
          <w:szCs w:val="20"/>
        </w:rPr>
      </w:pPr>
      <w:r w:rsidRPr="007D3041">
        <w:rPr>
          <w:rFonts w:eastAsia="Times New Roman" w:cstheme="minorHAnsi"/>
        </w:rPr>
        <w:t xml:space="preserve">Significant documentation notes the impact of imprisonment on family relationships. There are </w:t>
      </w:r>
      <w:r w:rsidR="00F72D47" w:rsidRPr="007D3041">
        <w:rPr>
          <w:rFonts w:eastAsia="Times New Roman" w:cstheme="minorHAnsi"/>
        </w:rPr>
        <w:t xml:space="preserve">also </w:t>
      </w:r>
      <w:r w:rsidRPr="007D3041">
        <w:rPr>
          <w:rFonts w:eastAsia="Times New Roman" w:cstheme="minorHAnsi"/>
        </w:rPr>
        <w:t xml:space="preserve">multiple reports noting the high levels of family violence, abuse, substance abuse and mental health </w:t>
      </w:r>
      <w:proofErr w:type="gramStart"/>
      <w:r w:rsidR="00AA7DCF">
        <w:rPr>
          <w:rFonts w:eastAsia="Times New Roman" w:cstheme="minorHAnsi"/>
        </w:rPr>
        <w:t>issues</w:t>
      </w:r>
      <w:proofErr w:type="gramEnd"/>
      <w:r w:rsidR="00AA7DCF">
        <w:rPr>
          <w:rFonts w:eastAsia="Times New Roman" w:cstheme="minorHAnsi"/>
        </w:rPr>
        <w:t xml:space="preserve"> </w:t>
      </w:r>
      <w:r w:rsidRPr="007D3041">
        <w:rPr>
          <w:rFonts w:eastAsia="Times New Roman" w:cstheme="minorHAnsi"/>
        </w:rPr>
        <w:t>evident in the prison population.</w:t>
      </w:r>
      <w:r w:rsidR="00A02861">
        <w:rPr>
          <w:rFonts w:eastAsia="Times New Roman" w:cstheme="minorHAnsi"/>
        </w:rPr>
        <w:t xml:space="preserve"> </w:t>
      </w:r>
      <w:r w:rsidR="00F72D47" w:rsidRPr="007D3041">
        <w:rPr>
          <w:rFonts w:eastAsia="Times New Roman" w:cstheme="minorHAnsi"/>
        </w:rPr>
        <w:t>Finally</w:t>
      </w:r>
      <w:r w:rsidR="00C84AB2">
        <w:rPr>
          <w:rFonts w:eastAsia="Times New Roman" w:cstheme="minorHAnsi"/>
        </w:rPr>
        <w:t>,</w:t>
      </w:r>
      <w:r w:rsidR="00F72D47" w:rsidRPr="007D3041">
        <w:rPr>
          <w:rFonts w:eastAsia="Times New Roman" w:cstheme="minorHAnsi"/>
        </w:rPr>
        <w:t xml:space="preserve"> there is </w:t>
      </w:r>
      <w:r w:rsidR="007C2EC0" w:rsidRPr="007D3041">
        <w:rPr>
          <w:rFonts w:cstheme="minorHAnsi"/>
          <w:shd w:val="clear" w:color="auto" w:fill="FFFFFF"/>
        </w:rPr>
        <w:t>a strong correlation between homelessness and crime</w:t>
      </w:r>
      <w:r w:rsidR="000B3324">
        <w:rPr>
          <w:rFonts w:cstheme="minorHAnsi"/>
          <w:shd w:val="clear" w:color="auto" w:fill="FFFFFF"/>
        </w:rPr>
        <w:t xml:space="preserve">: </w:t>
      </w:r>
      <w:r w:rsidR="009A1309" w:rsidRPr="007D3041">
        <w:rPr>
          <w:rStyle w:val="ilfuvd"/>
          <w:rFonts w:cstheme="minorHAnsi"/>
        </w:rPr>
        <w:t>the number of </w:t>
      </w:r>
      <w:r w:rsidR="009A1309" w:rsidRPr="007D3041">
        <w:rPr>
          <w:rStyle w:val="ilfuvd"/>
          <w:rFonts w:cstheme="minorHAnsi"/>
          <w:bCs/>
        </w:rPr>
        <w:t>prisoners released into homelessness</w:t>
      </w:r>
      <w:r w:rsidR="009A1309" w:rsidRPr="007D3041">
        <w:rPr>
          <w:rStyle w:val="ilfuvd"/>
          <w:rFonts w:cstheme="minorHAnsi"/>
        </w:rPr>
        <w:t> in Victoria more than doubl</w:t>
      </w:r>
      <w:r w:rsidR="00F72D47" w:rsidRPr="007D3041">
        <w:rPr>
          <w:rStyle w:val="ilfuvd"/>
          <w:rFonts w:cstheme="minorHAnsi"/>
        </w:rPr>
        <w:t>ing</w:t>
      </w:r>
      <w:r w:rsidR="009A1309" w:rsidRPr="007D3041">
        <w:rPr>
          <w:rStyle w:val="ilfuvd"/>
          <w:rFonts w:cstheme="minorHAnsi"/>
        </w:rPr>
        <w:t xml:space="preserve"> </w:t>
      </w:r>
      <w:r w:rsidR="00F72D47" w:rsidRPr="007D3041">
        <w:rPr>
          <w:rStyle w:val="ilfuvd"/>
          <w:rFonts w:cstheme="minorHAnsi"/>
        </w:rPr>
        <w:t>between 2011/12 -2016/17,</w:t>
      </w:r>
      <w:r w:rsidR="00F72D47" w:rsidRPr="007D3041">
        <w:rPr>
          <w:rStyle w:val="ilfuvd"/>
          <w:rFonts w:cstheme="minorHAnsi"/>
          <w:bCs/>
          <w:sz w:val="20"/>
          <w:szCs w:val="20"/>
        </w:rPr>
        <w:t xml:space="preserve"> </w:t>
      </w:r>
      <w:r w:rsidR="00F72D47" w:rsidRPr="007D3041">
        <w:rPr>
          <w:rStyle w:val="ilfuvd"/>
          <w:rFonts w:cstheme="minorHAnsi"/>
          <w:bCs/>
        </w:rPr>
        <w:t>to</w:t>
      </w:r>
      <w:r w:rsidR="009A1309" w:rsidRPr="007D3041">
        <w:rPr>
          <w:rStyle w:val="ilfuvd"/>
          <w:rFonts w:cstheme="minorHAnsi"/>
        </w:rPr>
        <w:t> 43,751 </w:t>
      </w:r>
      <w:r w:rsidR="009A1309" w:rsidRPr="007D3041">
        <w:rPr>
          <w:rStyle w:val="ilfuvd"/>
          <w:rFonts w:cstheme="minorHAnsi"/>
          <w:bCs/>
        </w:rPr>
        <w:t>prisoners</w:t>
      </w:r>
      <w:r w:rsidR="009A1309" w:rsidRPr="007D3041">
        <w:rPr>
          <w:rStyle w:val="ilfuvd"/>
          <w:rFonts w:cstheme="minorHAnsi"/>
        </w:rPr>
        <w:t> in </w:t>
      </w:r>
      <w:r w:rsidR="009A1309" w:rsidRPr="007D3041">
        <w:rPr>
          <w:rStyle w:val="ilfuvd"/>
          <w:rFonts w:cstheme="minorHAnsi"/>
          <w:bCs/>
        </w:rPr>
        <w:t>2016</w:t>
      </w:r>
      <w:r w:rsidR="000B3324">
        <w:rPr>
          <w:rStyle w:val="ilfuvd"/>
          <w:rFonts w:cstheme="minorHAnsi"/>
          <w:bCs/>
        </w:rPr>
        <w:t>/</w:t>
      </w:r>
      <w:r w:rsidR="009A1309" w:rsidRPr="007D3041">
        <w:rPr>
          <w:rStyle w:val="ilfuvd"/>
          <w:rFonts w:cstheme="minorHAnsi"/>
        </w:rPr>
        <w:t>17.</w:t>
      </w:r>
    </w:p>
    <w:p w:rsidR="00A7349D" w:rsidRPr="007D3041" w:rsidRDefault="00A7349D" w:rsidP="000600DB">
      <w:pPr>
        <w:spacing w:before="240" w:after="120"/>
        <w:rPr>
          <w:rFonts w:cstheme="minorHAnsi"/>
          <w:b/>
          <w:sz w:val="24"/>
          <w:szCs w:val="24"/>
        </w:rPr>
      </w:pPr>
      <w:proofErr w:type="spellStart"/>
      <w:r w:rsidRPr="007D3041">
        <w:rPr>
          <w:rFonts w:cstheme="minorHAnsi"/>
          <w:b/>
          <w:sz w:val="24"/>
          <w:szCs w:val="24"/>
        </w:rPr>
        <w:t>CatholicCare’s</w:t>
      </w:r>
      <w:proofErr w:type="spellEnd"/>
      <w:r w:rsidRPr="007D3041">
        <w:rPr>
          <w:rFonts w:cstheme="minorHAnsi"/>
          <w:b/>
          <w:sz w:val="24"/>
          <w:szCs w:val="24"/>
        </w:rPr>
        <w:t xml:space="preserve"> Prison Ministries</w:t>
      </w:r>
    </w:p>
    <w:p w:rsidR="00A7349D" w:rsidRPr="007D3041" w:rsidRDefault="00A7349D" w:rsidP="007011A7">
      <w:pPr>
        <w:spacing w:after="120"/>
        <w:jc w:val="both"/>
        <w:rPr>
          <w:rFonts w:cstheme="minorHAnsi"/>
        </w:rPr>
      </w:pP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is proud of its status as a major provider of prison chaplaincy services across Victoria. Employed </w:t>
      </w: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chaplains</w:t>
      </w:r>
      <w:r w:rsidR="006247F7" w:rsidRPr="007D3041">
        <w:rPr>
          <w:rFonts w:cstheme="minorHAnsi"/>
        </w:rPr>
        <w:t xml:space="preserve"> </w:t>
      </w:r>
      <w:r w:rsidRPr="007D3041">
        <w:rPr>
          <w:rFonts w:cstheme="minorHAnsi"/>
        </w:rPr>
        <w:t xml:space="preserve">work in each of the 15 prisons in Victoria and also in the two youth justice precincts at Parkville and Malmsbury. </w:t>
      </w:r>
      <w:r w:rsidR="006247F7" w:rsidRPr="007D3041">
        <w:rPr>
          <w:rFonts w:cstheme="minorHAnsi"/>
        </w:rPr>
        <w:t>These positions are supported by our own fundraising in addition to government and private funding. Paid</w:t>
      </w:r>
      <w:r w:rsidRPr="007D3041">
        <w:rPr>
          <w:rFonts w:cstheme="minorHAnsi"/>
        </w:rPr>
        <w:t xml:space="preserve"> </w:t>
      </w:r>
      <w:r w:rsidR="006247F7" w:rsidRPr="007D3041">
        <w:rPr>
          <w:rFonts w:cstheme="minorHAnsi"/>
        </w:rPr>
        <w:t>c</w:t>
      </w:r>
      <w:r w:rsidRPr="007D3041">
        <w:rPr>
          <w:rFonts w:cstheme="minorHAnsi"/>
        </w:rPr>
        <w:t xml:space="preserve">haplains are supported by more than 80 volunteer chaplains, and all are supervised and coordinated through </w:t>
      </w:r>
      <w:proofErr w:type="spellStart"/>
      <w:r w:rsidRPr="007D3041">
        <w:rPr>
          <w:rFonts w:cstheme="minorHAnsi"/>
        </w:rPr>
        <w:t>CatholicCare’s</w:t>
      </w:r>
      <w:proofErr w:type="spellEnd"/>
      <w:r w:rsidRPr="007D3041">
        <w:rPr>
          <w:rFonts w:cstheme="minorHAnsi"/>
        </w:rPr>
        <w:t xml:space="preserve"> pastoral care ministries team.</w:t>
      </w:r>
      <w:r w:rsidR="00A02861">
        <w:rPr>
          <w:rFonts w:cstheme="minorHAnsi"/>
        </w:rPr>
        <w:t xml:space="preserve"> </w:t>
      </w:r>
      <w:r w:rsidRPr="007D3041">
        <w:rPr>
          <w:rFonts w:cstheme="minorHAnsi"/>
        </w:rPr>
        <w:t xml:space="preserve">Over the last financial year (2017/18) </w:t>
      </w:r>
      <w:proofErr w:type="spellStart"/>
      <w:r w:rsidRPr="007D3041">
        <w:rPr>
          <w:rFonts w:cstheme="minorHAnsi"/>
        </w:rPr>
        <w:t>CatholicCare’s</w:t>
      </w:r>
      <w:proofErr w:type="spellEnd"/>
      <w:r w:rsidRPr="007D3041">
        <w:rPr>
          <w:rFonts w:cstheme="minorHAnsi"/>
        </w:rPr>
        <w:t xml:space="preserve"> prison ministries provided almost 14,000 hours</w:t>
      </w:r>
      <w:r w:rsidR="00480AC8">
        <w:rPr>
          <w:rFonts w:cstheme="minorHAnsi"/>
        </w:rPr>
        <w:t xml:space="preserve"> of support to people in prison.</w:t>
      </w:r>
    </w:p>
    <w:p w:rsidR="00A7349D" w:rsidRPr="007D3041" w:rsidRDefault="00A7349D" w:rsidP="007011A7">
      <w:pPr>
        <w:spacing w:after="120"/>
        <w:jc w:val="both"/>
        <w:rPr>
          <w:rFonts w:cstheme="minorHAnsi"/>
        </w:rPr>
      </w:pP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chaplains provide both qualitative and quantitative dat</w:t>
      </w:r>
      <w:r w:rsidR="000600DB" w:rsidRPr="007D3041">
        <w:rPr>
          <w:rFonts w:cstheme="minorHAnsi"/>
        </w:rPr>
        <w:t>a</w:t>
      </w:r>
      <w:r w:rsidRPr="007D3041">
        <w:rPr>
          <w:rFonts w:cstheme="minorHAnsi"/>
        </w:rPr>
        <w:t xml:space="preserve"> reflecting their </w:t>
      </w:r>
      <w:r w:rsidR="00F24624" w:rsidRPr="007D3041">
        <w:rPr>
          <w:rFonts w:cstheme="minorHAnsi"/>
        </w:rPr>
        <w:t>interactions</w:t>
      </w:r>
      <w:r w:rsidRPr="007D3041">
        <w:rPr>
          <w:rFonts w:cstheme="minorHAnsi"/>
        </w:rPr>
        <w:t xml:space="preserve"> </w:t>
      </w:r>
      <w:r w:rsidR="00F24624" w:rsidRPr="007D3041">
        <w:rPr>
          <w:rFonts w:cstheme="minorHAnsi"/>
        </w:rPr>
        <w:t>with</w:t>
      </w:r>
      <w:r w:rsidRPr="007D3041">
        <w:rPr>
          <w:rFonts w:cstheme="minorHAnsi"/>
        </w:rPr>
        <w:t xml:space="preserve"> </w:t>
      </w:r>
      <w:r w:rsidR="00F24624" w:rsidRPr="007D3041">
        <w:rPr>
          <w:rFonts w:cstheme="minorHAnsi"/>
        </w:rPr>
        <w:t>prisoners</w:t>
      </w:r>
      <w:r w:rsidRPr="007D3041">
        <w:rPr>
          <w:rFonts w:cstheme="minorHAnsi"/>
        </w:rPr>
        <w:t xml:space="preserve"> on a daily basis. Whilst the role of professional services and staff across the prison system is greatly valued, the </w:t>
      </w: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</w:t>
      </w:r>
      <w:r w:rsidR="00F24624" w:rsidRPr="007D3041">
        <w:rPr>
          <w:rFonts w:cstheme="minorHAnsi"/>
        </w:rPr>
        <w:t>chaplains</w:t>
      </w:r>
      <w:r w:rsidRPr="007D3041">
        <w:rPr>
          <w:rFonts w:cstheme="minorHAnsi"/>
        </w:rPr>
        <w:t xml:space="preserve"> see their role as founded in the development of a positive relationship with prisoners as needed, often described as delivering kindness and a listening ear at a time in people’s lives when they are in need of companionship and hope.</w:t>
      </w:r>
      <w:r w:rsidR="00F24624" w:rsidRPr="007D3041">
        <w:rPr>
          <w:rFonts w:cstheme="minorHAnsi"/>
        </w:rPr>
        <w:t xml:space="preserve"> This is very different to the required outcomes and planning required of many other support services.</w:t>
      </w:r>
    </w:p>
    <w:p w:rsidR="00404B00" w:rsidRPr="007D3041" w:rsidRDefault="00885E7E" w:rsidP="007011A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CatholicCare</w:t>
      </w:r>
      <w:proofErr w:type="spellEnd"/>
      <w:r>
        <w:rPr>
          <w:rFonts w:cstheme="minorHAnsi"/>
        </w:rPr>
        <w:t xml:space="preserve"> c</w:t>
      </w:r>
      <w:r w:rsidR="00F24624" w:rsidRPr="007D3041">
        <w:rPr>
          <w:rFonts w:cstheme="minorHAnsi"/>
        </w:rPr>
        <w:t xml:space="preserve">haplains assert that the </w:t>
      </w:r>
      <w:r w:rsidR="00404B00" w:rsidRPr="007D3041">
        <w:rPr>
          <w:rFonts w:cstheme="minorHAnsi"/>
        </w:rPr>
        <w:t>review of the Family Law System should consider the provision of services to people in prison as a specific issue. Chaplains</w:t>
      </w:r>
      <w:r w:rsidR="00F24624" w:rsidRPr="007D3041">
        <w:rPr>
          <w:rFonts w:cstheme="minorHAnsi"/>
        </w:rPr>
        <w:t xml:space="preserve"> regularly encounter prisoners who disclose to them, often for the first time,</w:t>
      </w:r>
      <w:r w:rsidR="00404B00" w:rsidRPr="007D3041">
        <w:rPr>
          <w:rFonts w:cstheme="minorHAnsi"/>
        </w:rPr>
        <w:t xml:space="preserve"> a range of issues regarding their relationships with family members and the community. Discussions regarding relationship breakdown, </w:t>
      </w:r>
      <w:r w:rsidR="009101F0">
        <w:rPr>
          <w:rFonts w:cstheme="minorHAnsi"/>
        </w:rPr>
        <w:t>contact with children</w:t>
      </w:r>
      <w:r w:rsidR="007E7CF1">
        <w:rPr>
          <w:rFonts w:cstheme="minorHAnsi"/>
        </w:rPr>
        <w:t xml:space="preserve"> whilst incarcerated</w:t>
      </w:r>
      <w:r w:rsidR="009101F0">
        <w:rPr>
          <w:rFonts w:cstheme="minorHAnsi"/>
        </w:rPr>
        <w:t xml:space="preserve">, </w:t>
      </w:r>
      <w:r w:rsidR="00404B00" w:rsidRPr="007D3041">
        <w:rPr>
          <w:rFonts w:cstheme="minorHAnsi"/>
        </w:rPr>
        <w:t>cultural needs and the loss of family and community connection</w:t>
      </w:r>
      <w:r w:rsidR="00E66FDE">
        <w:rPr>
          <w:rFonts w:cstheme="minorHAnsi"/>
        </w:rPr>
        <w:t>s</w:t>
      </w:r>
      <w:r w:rsidR="00404B00" w:rsidRPr="007D3041">
        <w:rPr>
          <w:rFonts w:cstheme="minorHAnsi"/>
        </w:rPr>
        <w:t xml:space="preserve"> are regularly raised</w:t>
      </w:r>
      <w:r w:rsidR="00E66FDE">
        <w:rPr>
          <w:rFonts w:cstheme="minorHAnsi"/>
        </w:rPr>
        <w:t>,</w:t>
      </w:r>
      <w:r w:rsidR="00404B00" w:rsidRPr="007D3041">
        <w:rPr>
          <w:rFonts w:cstheme="minorHAnsi"/>
        </w:rPr>
        <w:t xml:space="preserve"> as are issue</w:t>
      </w:r>
      <w:r w:rsidR="00E66FDE">
        <w:rPr>
          <w:rFonts w:cstheme="minorHAnsi"/>
        </w:rPr>
        <w:t>s</w:t>
      </w:r>
      <w:r w:rsidR="00404B00" w:rsidRPr="007D3041">
        <w:rPr>
          <w:rFonts w:cstheme="minorHAnsi"/>
        </w:rPr>
        <w:t xml:space="preserve"> related to </w:t>
      </w:r>
      <w:r w:rsidR="00F24624" w:rsidRPr="007D3041">
        <w:rPr>
          <w:rFonts w:cstheme="minorHAnsi"/>
        </w:rPr>
        <w:t>experiences of sexual abuse, family violence, depression, mental illness, and self-harm.</w:t>
      </w:r>
      <w:r w:rsidR="00A02861">
        <w:rPr>
          <w:rFonts w:cstheme="minorHAnsi"/>
        </w:rPr>
        <w:t xml:space="preserve"> </w:t>
      </w:r>
    </w:p>
    <w:p w:rsidR="00404B00" w:rsidRPr="007D3041" w:rsidRDefault="00404B00" w:rsidP="007011A7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lastRenderedPageBreak/>
        <w:t xml:space="preserve">From time to time, </w:t>
      </w:r>
      <w:r w:rsidR="00E66FDE">
        <w:rPr>
          <w:rFonts w:cstheme="minorHAnsi"/>
        </w:rPr>
        <w:t>c</w:t>
      </w:r>
      <w:r w:rsidRPr="007D3041">
        <w:rPr>
          <w:rFonts w:cstheme="minorHAnsi"/>
        </w:rPr>
        <w:t xml:space="preserve">haplains are able to refer prisoners to other </w:t>
      </w: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programs. Not always, but often, these services are requested as prisoners prepare for release.</w:t>
      </w:r>
      <w:r w:rsidR="00A02861">
        <w:rPr>
          <w:rFonts w:cstheme="minorHAnsi"/>
        </w:rPr>
        <w:t xml:space="preserve"> </w:t>
      </w:r>
      <w:r w:rsidRPr="007D3041">
        <w:rPr>
          <w:rFonts w:cstheme="minorHAnsi"/>
        </w:rPr>
        <w:t xml:space="preserve">Examples include assistance in identifying realistic contact or connection with children, reconciliation with family </w:t>
      </w:r>
      <w:r w:rsidR="00411106" w:rsidRPr="007D3041">
        <w:rPr>
          <w:rFonts w:cstheme="minorHAnsi"/>
        </w:rPr>
        <w:t>members,</w:t>
      </w:r>
      <w:r w:rsidRPr="007D3041">
        <w:rPr>
          <w:rFonts w:cstheme="minorHAnsi"/>
        </w:rPr>
        <w:t xml:space="preserve"> and counselling to support prisoners through a range of disclosures which may occur in the context of a prisoner chaplain relationship.</w:t>
      </w:r>
    </w:p>
    <w:p w:rsidR="00411106" w:rsidRPr="007D3041" w:rsidRDefault="00411106" w:rsidP="007011A7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>Support is provided either by phone or in prison.</w:t>
      </w:r>
      <w:r w:rsidR="00A02861">
        <w:rPr>
          <w:rFonts w:cstheme="minorHAnsi"/>
        </w:rPr>
        <w:t xml:space="preserve"> </w:t>
      </w:r>
      <w:r w:rsidRPr="007D3041">
        <w:rPr>
          <w:rFonts w:cstheme="minorHAnsi"/>
        </w:rPr>
        <w:t>On the basis of previous experience</w:t>
      </w:r>
      <w:r w:rsidR="00556FE5">
        <w:rPr>
          <w:rFonts w:cstheme="minorHAnsi"/>
        </w:rPr>
        <w:t>,</w:t>
      </w:r>
      <w:r w:rsidRPr="007D3041">
        <w:rPr>
          <w:rFonts w:cstheme="minorHAnsi"/>
        </w:rPr>
        <w:t xml:space="preserve"> </w:t>
      </w: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is strongly committed to assisting families and communities of people in prison and is establishing a specific program to meet their needs.</w:t>
      </w:r>
    </w:p>
    <w:p w:rsidR="00404B00" w:rsidRPr="007D3041" w:rsidRDefault="00404B00" w:rsidP="007011A7">
      <w:pPr>
        <w:spacing w:after="120"/>
        <w:jc w:val="both"/>
        <w:rPr>
          <w:rFonts w:cstheme="minorHAnsi"/>
        </w:rPr>
      </w:pPr>
      <w:r w:rsidRPr="007D3041">
        <w:rPr>
          <w:rFonts w:cstheme="minorHAnsi"/>
        </w:rPr>
        <w:t xml:space="preserve">The critical relationship with families and the community in contributing to the successful integration of prisoners back into </w:t>
      </w:r>
      <w:r w:rsidR="00556FE5">
        <w:rPr>
          <w:rFonts w:cstheme="minorHAnsi"/>
        </w:rPr>
        <w:t>the community is well recognis</w:t>
      </w:r>
      <w:r w:rsidRPr="007D3041">
        <w:rPr>
          <w:rFonts w:cstheme="minorHAnsi"/>
        </w:rPr>
        <w:t xml:space="preserve">ed by </w:t>
      </w:r>
      <w:proofErr w:type="spellStart"/>
      <w:r w:rsidR="00411106"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services.</w:t>
      </w:r>
      <w:r w:rsidR="00A02861">
        <w:rPr>
          <w:rFonts w:cstheme="minorHAnsi"/>
        </w:rPr>
        <w:t xml:space="preserve"> </w:t>
      </w:r>
      <w:r w:rsidRPr="007D3041">
        <w:rPr>
          <w:rFonts w:cstheme="minorHAnsi"/>
        </w:rPr>
        <w:t xml:space="preserve">The provision of Family Law Services to people in prison may well contribute to the reduced </w:t>
      </w:r>
      <w:r w:rsidR="00411106" w:rsidRPr="007D3041">
        <w:rPr>
          <w:rFonts w:cstheme="minorHAnsi"/>
        </w:rPr>
        <w:t>likelihood</w:t>
      </w:r>
      <w:r w:rsidRPr="007D3041">
        <w:rPr>
          <w:rFonts w:cstheme="minorHAnsi"/>
        </w:rPr>
        <w:t xml:space="preserve"> of recidivism which is of significant benefit to individuals, families and the </w:t>
      </w:r>
      <w:r w:rsidR="00411106" w:rsidRPr="007D3041">
        <w:rPr>
          <w:rFonts w:cstheme="minorHAnsi"/>
        </w:rPr>
        <w:t>entire community.</w:t>
      </w:r>
      <w:r w:rsidRPr="007D3041">
        <w:rPr>
          <w:rFonts w:cstheme="minorHAnsi"/>
        </w:rPr>
        <w:t xml:space="preserve"> </w:t>
      </w:r>
    </w:p>
    <w:p w:rsidR="00DE6861" w:rsidRPr="007D3041" w:rsidRDefault="00DE6861" w:rsidP="000600DB">
      <w:pPr>
        <w:spacing w:before="240" w:after="120"/>
        <w:rPr>
          <w:rFonts w:cstheme="minorHAnsi"/>
          <w:b/>
          <w:sz w:val="24"/>
          <w:szCs w:val="24"/>
        </w:rPr>
      </w:pPr>
      <w:proofErr w:type="spellStart"/>
      <w:r w:rsidRPr="007D3041">
        <w:rPr>
          <w:rFonts w:cstheme="minorHAnsi"/>
          <w:b/>
          <w:sz w:val="24"/>
          <w:szCs w:val="24"/>
        </w:rPr>
        <w:t>CatholicCare</w:t>
      </w:r>
      <w:proofErr w:type="spellEnd"/>
      <w:r w:rsidRPr="007D3041">
        <w:rPr>
          <w:rFonts w:cstheme="minorHAnsi"/>
          <w:b/>
          <w:sz w:val="24"/>
          <w:szCs w:val="24"/>
        </w:rPr>
        <w:t xml:space="preserve"> recommendations for </w:t>
      </w:r>
      <w:proofErr w:type="gramStart"/>
      <w:r w:rsidR="00411106" w:rsidRPr="007D3041">
        <w:rPr>
          <w:rFonts w:cstheme="minorHAnsi"/>
          <w:b/>
          <w:sz w:val="24"/>
          <w:szCs w:val="24"/>
        </w:rPr>
        <w:t>The Australian Law Commissions’</w:t>
      </w:r>
      <w:proofErr w:type="gramEnd"/>
      <w:r w:rsidR="00411106" w:rsidRPr="007D3041">
        <w:rPr>
          <w:rFonts w:cstheme="minorHAnsi"/>
          <w:b/>
          <w:sz w:val="24"/>
          <w:szCs w:val="24"/>
        </w:rPr>
        <w:t xml:space="preserve"> Review of Family Law Systems</w:t>
      </w:r>
    </w:p>
    <w:p w:rsidR="00411106" w:rsidRPr="007D3041" w:rsidRDefault="00411106" w:rsidP="007011A7">
      <w:pPr>
        <w:spacing w:after="120"/>
        <w:jc w:val="both"/>
        <w:rPr>
          <w:rFonts w:cstheme="minorHAnsi"/>
        </w:rPr>
      </w:pP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recommends the following to the ALCR of Family Law Systems:</w:t>
      </w:r>
    </w:p>
    <w:p w:rsidR="00804D45" w:rsidRDefault="00DE6861" w:rsidP="007011A7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cstheme="minorHAnsi"/>
        </w:rPr>
      </w:pPr>
      <w:proofErr w:type="spellStart"/>
      <w:r w:rsidRPr="007D3041">
        <w:rPr>
          <w:rFonts w:cstheme="minorHAnsi"/>
        </w:rPr>
        <w:t>CatholicCare</w:t>
      </w:r>
      <w:proofErr w:type="spellEnd"/>
      <w:r w:rsidRPr="007D3041">
        <w:rPr>
          <w:rFonts w:cstheme="minorHAnsi"/>
        </w:rPr>
        <w:t xml:space="preserve"> </w:t>
      </w:r>
      <w:r w:rsidR="00411106" w:rsidRPr="007D3041">
        <w:rPr>
          <w:rFonts w:cstheme="minorHAnsi"/>
        </w:rPr>
        <w:t>recommends the inclusion of people in prison as a specific group for consideration within the review</w:t>
      </w:r>
    </w:p>
    <w:p w:rsidR="00804D45" w:rsidRPr="00CD43F5" w:rsidRDefault="00411106" w:rsidP="00CD43F5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cstheme="minorHAnsi"/>
        </w:rPr>
      </w:pPr>
      <w:r w:rsidRPr="00CD43F5">
        <w:rPr>
          <w:rFonts w:cstheme="minorHAnsi"/>
        </w:rPr>
        <w:t>Strong consideration is given to the provision of</w:t>
      </w:r>
      <w:r w:rsidR="00C47323" w:rsidRPr="00CD43F5">
        <w:rPr>
          <w:rFonts w:cstheme="minorHAnsi"/>
        </w:rPr>
        <w:t xml:space="preserve"> Family Law Services</w:t>
      </w:r>
      <w:r w:rsidR="00093AAB" w:rsidRPr="00CD43F5">
        <w:rPr>
          <w:rFonts w:cstheme="minorHAnsi"/>
        </w:rPr>
        <w:t xml:space="preserve"> to people in prison,</w:t>
      </w:r>
      <w:r w:rsidR="00C47323" w:rsidRPr="00CD43F5">
        <w:rPr>
          <w:rFonts w:cstheme="minorHAnsi"/>
        </w:rPr>
        <w:t xml:space="preserve"> by</w:t>
      </w:r>
      <w:r w:rsidRPr="00CD43F5">
        <w:rPr>
          <w:rFonts w:cstheme="minorHAnsi"/>
        </w:rPr>
        <w:t xml:space="preserve"> identifying programs</w:t>
      </w:r>
      <w:r w:rsidR="00C47323" w:rsidRPr="00CD43F5">
        <w:rPr>
          <w:rFonts w:cstheme="minorHAnsi"/>
        </w:rPr>
        <w:t xml:space="preserve"> of most relevance and provid</w:t>
      </w:r>
      <w:r w:rsidR="00093AAB" w:rsidRPr="00CD43F5">
        <w:rPr>
          <w:rFonts w:cstheme="minorHAnsi"/>
        </w:rPr>
        <w:t>ing the</w:t>
      </w:r>
      <w:r w:rsidRPr="00CD43F5">
        <w:rPr>
          <w:rFonts w:cstheme="minorHAnsi"/>
        </w:rPr>
        <w:t xml:space="preserve"> </w:t>
      </w:r>
      <w:r w:rsidR="00C47323" w:rsidRPr="00CD43F5">
        <w:rPr>
          <w:rFonts w:cstheme="minorHAnsi"/>
        </w:rPr>
        <w:t>most effective</w:t>
      </w:r>
      <w:r w:rsidRPr="00CD43F5">
        <w:rPr>
          <w:rFonts w:cstheme="minorHAnsi"/>
        </w:rPr>
        <w:t xml:space="preserve"> outcomes to pris</w:t>
      </w:r>
      <w:r w:rsidR="00556FE5" w:rsidRPr="00CD43F5">
        <w:rPr>
          <w:rFonts w:cstheme="minorHAnsi"/>
        </w:rPr>
        <w:t xml:space="preserve">oners and </w:t>
      </w:r>
      <w:r w:rsidR="00C47323" w:rsidRPr="00CD43F5">
        <w:rPr>
          <w:rFonts w:cstheme="minorHAnsi"/>
        </w:rPr>
        <w:t xml:space="preserve">their </w:t>
      </w:r>
      <w:r w:rsidR="00556FE5" w:rsidRPr="00CD43F5">
        <w:rPr>
          <w:rFonts w:cstheme="minorHAnsi"/>
        </w:rPr>
        <w:t xml:space="preserve">families, </w:t>
      </w:r>
      <w:r w:rsidRPr="00CD43F5">
        <w:rPr>
          <w:rFonts w:cstheme="minorHAnsi"/>
        </w:rPr>
        <w:t>in particular children.</w:t>
      </w:r>
    </w:p>
    <w:p w:rsidR="005650BE" w:rsidRDefault="005650BE" w:rsidP="005650BE">
      <w:pPr>
        <w:spacing w:after="0"/>
        <w:rPr>
          <w:rFonts w:cstheme="minorHAnsi"/>
        </w:rPr>
      </w:pPr>
    </w:p>
    <w:p w:rsidR="005650BE" w:rsidRDefault="005650BE" w:rsidP="005650BE">
      <w:pPr>
        <w:spacing w:after="0"/>
        <w:rPr>
          <w:rFonts w:cstheme="minorHAnsi"/>
        </w:rPr>
      </w:pPr>
    </w:p>
    <w:p w:rsidR="00804D45" w:rsidRDefault="00804D45" w:rsidP="005650BE">
      <w:pPr>
        <w:spacing w:after="0"/>
        <w:rPr>
          <w:rFonts w:cstheme="minorHAnsi"/>
        </w:rPr>
      </w:pPr>
      <w:r w:rsidRPr="00924156">
        <w:rPr>
          <w:rFonts w:cstheme="minorHAnsi"/>
        </w:rPr>
        <w:t>January 2019</w:t>
      </w:r>
    </w:p>
    <w:p w:rsidR="00370380" w:rsidRDefault="00370380" w:rsidP="005650BE">
      <w:pPr>
        <w:spacing w:after="0"/>
        <w:rPr>
          <w:rFonts w:cstheme="minorHAnsi"/>
        </w:rPr>
      </w:pPr>
    </w:p>
    <w:p w:rsidR="00370380" w:rsidRDefault="00370380" w:rsidP="005650BE">
      <w:pPr>
        <w:spacing w:after="0"/>
        <w:rPr>
          <w:rFonts w:cstheme="minorHAnsi"/>
        </w:rPr>
      </w:pPr>
    </w:p>
    <w:p w:rsidR="00370380" w:rsidRPr="00924156" w:rsidRDefault="00370380" w:rsidP="005650BE">
      <w:pPr>
        <w:spacing w:after="0"/>
        <w:rPr>
          <w:rFonts w:cstheme="minorHAnsi"/>
        </w:rPr>
      </w:pPr>
    </w:p>
    <w:p w:rsidR="00804D45" w:rsidRDefault="00804D45" w:rsidP="005650BE">
      <w:pPr>
        <w:spacing w:after="0"/>
        <w:rPr>
          <w:rFonts w:cstheme="minorHAnsi"/>
        </w:rPr>
      </w:pPr>
      <w:r w:rsidRPr="00924156">
        <w:rPr>
          <w:rFonts w:cstheme="minorHAnsi"/>
        </w:rPr>
        <w:t xml:space="preserve">For further information please contact </w:t>
      </w:r>
      <w:proofErr w:type="spellStart"/>
      <w:r w:rsidRPr="00924156">
        <w:rPr>
          <w:rFonts w:cstheme="minorHAnsi"/>
        </w:rPr>
        <w:t>Netty</w:t>
      </w:r>
      <w:proofErr w:type="spellEnd"/>
      <w:r w:rsidRPr="00924156">
        <w:rPr>
          <w:rFonts w:cstheme="minorHAnsi"/>
        </w:rPr>
        <w:t xml:space="preserve"> Horton</w:t>
      </w:r>
      <w:r w:rsidR="00C46CEC">
        <w:rPr>
          <w:rFonts w:cstheme="minorHAnsi"/>
        </w:rPr>
        <w:t>,</w:t>
      </w:r>
      <w:r w:rsidR="00370380">
        <w:rPr>
          <w:rFonts w:cstheme="minorHAnsi"/>
        </w:rPr>
        <w:t xml:space="preserve"> </w:t>
      </w:r>
      <w:r w:rsidRPr="00924156">
        <w:rPr>
          <w:rFonts w:cstheme="minorHAnsi"/>
        </w:rPr>
        <w:t xml:space="preserve">CEO </w:t>
      </w:r>
      <w:proofErr w:type="spellStart"/>
      <w:r w:rsidRPr="00924156">
        <w:rPr>
          <w:rFonts w:cstheme="minorHAnsi"/>
        </w:rPr>
        <w:t>CatholicCare</w:t>
      </w:r>
      <w:proofErr w:type="spellEnd"/>
    </w:p>
    <w:p w:rsidR="009D47CA" w:rsidRPr="00924156" w:rsidRDefault="00A22017" w:rsidP="005650BE">
      <w:pPr>
        <w:spacing w:after="0"/>
        <w:rPr>
          <w:rFonts w:cstheme="minorHAnsi"/>
        </w:rPr>
      </w:pPr>
      <w:r>
        <w:rPr>
          <w:rFonts w:cstheme="minorHAnsi"/>
        </w:rPr>
        <w:t>n</w:t>
      </w:r>
      <w:bookmarkStart w:id="0" w:name="_GoBack"/>
      <w:bookmarkEnd w:id="0"/>
      <w:r w:rsidR="009D47CA">
        <w:rPr>
          <w:rFonts w:cstheme="minorHAnsi"/>
        </w:rPr>
        <w:t>etty.horton@ccam.org.au</w:t>
      </w:r>
    </w:p>
    <w:p w:rsidR="007D3041" w:rsidRPr="007D3041" w:rsidRDefault="007D3041" w:rsidP="00804D45">
      <w:pPr>
        <w:ind w:left="720"/>
        <w:jc w:val="right"/>
        <w:rPr>
          <w:rFonts w:cstheme="minorHAnsi"/>
          <w:sz w:val="20"/>
          <w:szCs w:val="20"/>
        </w:rPr>
      </w:pPr>
    </w:p>
    <w:sectPr w:rsidR="007D3041" w:rsidRPr="007D3041" w:rsidSect="00ED78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AF" w:rsidRDefault="00222BAF" w:rsidP="00370380">
      <w:pPr>
        <w:spacing w:after="0" w:line="240" w:lineRule="auto"/>
      </w:pPr>
      <w:r>
        <w:separator/>
      </w:r>
    </w:p>
  </w:endnote>
  <w:endnote w:type="continuationSeparator" w:id="0">
    <w:p w:rsidR="00222BAF" w:rsidRDefault="00222BAF" w:rsidP="0037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80" w:rsidRPr="00370380" w:rsidRDefault="00370380" w:rsidP="00370380">
    <w:pPr>
      <w:pStyle w:val="Footer"/>
      <w:jc w:val="right"/>
      <w:rPr>
        <w:color w:val="A6A6A6" w:themeColor="background1" w:themeShade="A6"/>
        <w:sz w:val="20"/>
      </w:rPr>
    </w:pPr>
    <w:r w:rsidRPr="00370380">
      <w:rPr>
        <w:color w:val="A6A6A6" w:themeColor="background1" w:themeShade="A6"/>
        <w:sz w:val="20"/>
      </w:rPr>
      <w:t xml:space="preserve">Page </w:t>
    </w:r>
    <w:r w:rsidR="00ED781A" w:rsidRPr="00370380">
      <w:rPr>
        <w:b/>
        <w:bCs/>
        <w:color w:val="A6A6A6" w:themeColor="background1" w:themeShade="A6"/>
        <w:sz w:val="20"/>
      </w:rPr>
      <w:fldChar w:fldCharType="begin"/>
    </w:r>
    <w:r w:rsidRPr="00370380">
      <w:rPr>
        <w:b/>
        <w:bCs/>
        <w:color w:val="A6A6A6" w:themeColor="background1" w:themeShade="A6"/>
        <w:sz w:val="20"/>
      </w:rPr>
      <w:instrText xml:space="preserve"> PAGE  \* Arabic  \* MERGEFORMAT </w:instrText>
    </w:r>
    <w:r w:rsidR="00ED781A" w:rsidRPr="00370380">
      <w:rPr>
        <w:b/>
        <w:bCs/>
        <w:color w:val="A6A6A6" w:themeColor="background1" w:themeShade="A6"/>
        <w:sz w:val="20"/>
      </w:rPr>
      <w:fldChar w:fldCharType="separate"/>
    </w:r>
    <w:r w:rsidR="00F858F9">
      <w:rPr>
        <w:b/>
        <w:bCs/>
        <w:noProof/>
        <w:color w:val="A6A6A6" w:themeColor="background1" w:themeShade="A6"/>
        <w:sz w:val="20"/>
      </w:rPr>
      <w:t>1</w:t>
    </w:r>
    <w:r w:rsidR="00ED781A" w:rsidRPr="00370380">
      <w:rPr>
        <w:b/>
        <w:bCs/>
        <w:color w:val="A6A6A6" w:themeColor="background1" w:themeShade="A6"/>
        <w:sz w:val="20"/>
      </w:rPr>
      <w:fldChar w:fldCharType="end"/>
    </w:r>
    <w:r w:rsidRPr="00370380">
      <w:rPr>
        <w:color w:val="A6A6A6" w:themeColor="background1" w:themeShade="A6"/>
        <w:sz w:val="20"/>
      </w:rPr>
      <w:t xml:space="preserve"> of </w:t>
    </w:r>
    <w:fldSimple w:instr=" NUMPAGES  \* Arabic  \* MERGEFORMAT ">
      <w:r w:rsidR="00F858F9">
        <w:rPr>
          <w:b/>
          <w:bCs/>
          <w:noProof/>
          <w:color w:val="A6A6A6" w:themeColor="background1" w:themeShade="A6"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AF" w:rsidRDefault="00222BAF" w:rsidP="00370380">
      <w:pPr>
        <w:spacing w:after="0" w:line="240" w:lineRule="auto"/>
      </w:pPr>
      <w:r>
        <w:separator/>
      </w:r>
    </w:p>
  </w:footnote>
  <w:footnote w:type="continuationSeparator" w:id="0">
    <w:p w:rsidR="00222BAF" w:rsidRDefault="00222BAF" w:rsidP="0037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1E8"/>
    <w:multiLevelType w:val="multilevel"/>
    <w:tmpl w:val="5CC8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D2D2A"/>
    <w:multiLevelType w:val="hybridMultilevel"/>
    <w:tmpl w:val="D9CA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59B"/>
    <w:multiLevelType w:val="multilevel"/>
    <w:tmpl w:val="FDD8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24E9E"/>
    <w:multiLevelType w:val="multilevel"/>
    <w:tmpl w:val="804E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8758D"/>
    <w:multiLevelType w:val="hybridMultilevel"/>
    <w:tmpl w:val="9D44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1D26"/>
    <w:multiLevelType w:val="multilevel"/>
    <w:tmpl w:val="0378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24B9"/>
    <w:multiLevelType w:val="multilevel"/>
    <w:tmpl w:val="1DAA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65D7B"/>
    <w:multiLevelType w:val="hybridMultilevel"/>
    <w:tmpl w:val="11B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0862"/>
    <w:multiLevelType w:val="multilevel"/>
    <w:tmpl w:val="9B7E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14899"/>
    <w:multiLevelType w:val="multilevel"/>
    <w:tmpl w:val="CA8E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8564F"/>
    <w:multiLevelType w:val="hybridMultilevel"/>
    <w:tmpl w:val="BE6C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9F0510"/>
    <w:multiLevelType w:val="multilevel"/>
    <w:tmpl w:val="EF36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F2FC0"/>
    <w:multiLevelType w:val="multilevel"/>
    <w:tmpl w:val="2FAC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D367C"/>
    <w:multiLevelType w:val="multilevel"/>
    <w:tmpl w:val="DF1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52AF6"/>
    <w:multiLevelType w:val="multilevel"/>
    <w:tmpl w:val="AE6E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65074"/>
    <w:multiLevelType w:val="multilevel"/>
    <w:tmpl w:val="8C2A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C5923"/>
    <w:multiLevelType w:val="hybridMultilevel"/>
    <w:tmpl w:val="6440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857"/>
    <w:rsid w:val="00027FBE"/>
    <w:rsid w:val="00050AFA"/>
    <w:rsid w:val="00053A43"/>
    <w:rsid w:val="000600DB"/>
    <w:rsid w:val="00064D38"/>
    <w:rsid w:val="00093AAB"/>
    <w:rsid w:val="000B3324"/>
    <w:rsid w:val="000B429E"/>
    <w:rsid w:val="000F6EC8"/>
    <w:rsid w:val="001F5105"/>
    <w:rsid w:val="0020034E"/>
    <w:rsid w:val="00222BAF"/>
    <w:rsid w:val="00233808"/>
    <w:rsid w:val="002F7EEC"/>
    <w:rsid w:val="00370380"/>
    <w:rsid w:val="0037112D"/>
    <w:rsid w:val="003873D1"/>
    <w:rsid w:val="00396F58"/>
    <w:rsid w:val="00404B00"/>
    <w:rsid w:val="00405A00"/>
    <w:rsid w:val="00411106"/>
    <w:rsid w:val="00414DA6"/>
    <w:rsid w:val="004326A8"/>
    <w:rsid w:val="0045227E"/>
    <w:rsid w:val="00461EE0"/>
    <w:rsid w:val="004662F3"/>
    <w:rsid w:val="00480AC8"/>
    <w:rsid w:val="00556FE5"/>
    <w:rsid w:val="005650BE"/>
    <w:rsid w:val="005D7AAC"/>
    <w:rsid w:val="005E7F6C"/>
    <w:rsid w:val="00607244"/>
    <w:rsid w:val="006247F7"/>
    <w:rsid w:val="00626B03"/>
    <w:rsid w:val="00636820"/>
    <w:rsid w:val="007011A7"/>
    <w:rsid w:val="00715C73"/>
    <w:rsid w:val="00797734"/>
    <w:rsid w:val="007C2EC0"/>
    <w:rsid w:val="007D3041"/>
    <w:rsid w:val="007D3832"/>
    <w:rsid w:val="007E5CDF"/>
    <w:rsid w:val="007E7CF1"/>
    <w:rsid w:val="00804D45"/>
    <w:rsid w:val="0082361B"/>
    <w:rsid w:val="00857707"/>
    <w:rsid w:val="00884117"/>
    <w:rsid w:val="00885E7E"/>
    <w:rsid w:val="008A7857"/>
    <w:rsid w:val="008D5B6B"/>
    <w:rsid w:val="009101F0"/>
    <w:rsid w:val="00924156"/>
    <w:rsid w:val="00924BB1"/>
    <w:rsid w:val="009A1309"/>
    <w:rsid w:val="009D47CA"/>
    <w:rsid w:val="00A02861"/>
    <w:rsid w:val="00A22017"/>
    <w:rsid w:val="00A313C1"/>
    <w:rsid w:val="00A7349D"/>
    <w:rsid w:val="00AA7DCF"/>
    <w:rsid w:val="00AC5B36"/>
    <w:rsid w:val="00B03477"/>
    <w:rsid w:val="00B377E3"/>
    <w:rsid w:val="00BC3F75"/>
    <w:rsid w:val="00BD070F"/>
    <w:rsid w:val="00C34821"/>
    <w:rsid w:val="00C46CEC"/>
    <w:rsid w:val="00C47323"/>
    <w:rsid w:val="00C74C2C"/>
    <w:rsid w:val="00C84AB2"/>
    <w:rsid w:val="00CC5856"/>
    <w:rsid w:val="00CD43F5"/>
    <w:rsid w:val="00CD44B1"/>
    <w:rsid w:val="00CF4E0B"/>
    <w:rsid w:val="00D21C27"/>
    <w:rsid w:val="00D84107"/>
    <w:rsid w:val="00DE6861"/>
    <w:rsid w:val="00E22FFF"/>
    <w:rsid w:val="00E66FDE"/>
    <w:rsid w:val="00E85401"/>
    <w:rsid w:val="00EA4D54"/>
    <w:rsid w:val="00ED781A"/>
    <w:rsid w:val="00EE4988"/>
    <w:rsid w:val="00EF0850"/>
    <w:rsid w:val="00F24624"/>
    <w:rsid w:val="00F72D47"/>
    <w:rsid w:val="00F83CA9"/>
    <w:rsid w:val="00F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A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46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1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oint">
    <w:name w:val="Nopoint"/>
    <w:basedOn w:val="Normal"/>
    <w:rsid w:val="004662F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copy">
    <w:name w:val="Body copy"/>
    <w:basedOn w:val="Normal"/>
    <w:uiPriority w:val="99"/>
    <w:rsid w:val="0082361B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color w:val="000000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1E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1E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-style-override-6">
    <w:name w:val="char-style-override-6"/>
    <w:basedOn w:val="DefaultParagraphFont"/>
    <w:rsid w:val="00461EE0"/>
  </w:style>
  <w:style w:type="character" w:styleId="Emphasis">
    <w:name w:val="Emphasis"/>
    <w:basedOn w:val="DefaultParagraphFont"/>
    <w:uiPriority w:val="20"/>
    <w:qFormat/>
    <w:rsid w:val="00461E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1EE0"/>
    <w:rPr>
      <w:color w:val="0000FF"/>
      <w:u w:val="single"/>
    </w:rPr>
  </w:style>
  <w:style w:type="paragraph" w:customStyle="1" w:styleId="quotes">
    <w:name w:val="quotes"/>
    <w:basedOn w:val="Normal"/>
    <w:rsid w:val="0046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49D"/>
    <w:pPr>
      <w:ind w:left="720"/>
      <w:contextualSpacing/>
    </w:pPr>
  </w:style>
  <w:style w:type="character" w:customStyle="1" w:styleId="ilfuvd">
    <w:name w:val="ilfuvd"/>
    <w:basedOn w:val="DefaultParagraphFont"/>
    <w:rsid w:val="009A1309"/>
  </w:style>
  <w:style w:type="character" w:customStyle="1" w:styleId="kx21rb">
    <w:name w:val="kx21rb"/>
    <w:basedOn w:val="DefaultParagraphFont"/>
    <w:rsid w:val="009A1309"/>
  </w:style>
  <w:style w:type="character" w:styleId="HTMLCite">
    <w:name w:val="HTML Cite"/>
    <w:basedOn w:val="DefaultParagraphFont"/>
    <w:uiPriority w:val="99"/>
    <w:semiHidden/>
    <w:unhideWhenUsed/>
    <w:rsid w:val="009A1309"/>
    <w:rPr>
      <w:i/>
      <w:iCs/>
    </w:rPr>
  </w:style>
  <w:style w:type="table" w:styleId="TableGrid">
    <w:name w:val="Table Grid"/>
    <w:basedOn w:val="TableNormal"/>
    <w:uiPriority w:val="39"/>
    <w:rsid w:val="0006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8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80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0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F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F0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F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tholicC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2A9"/>
      </a:accent1>
      <a:accent2>
        <a:srgbClr val="738639"/>
      </a:accent2>
      <a:accent3>
        <a:srgbClr val="BA6F2E"/>
      </a:accent3>
      <a:accent4>
        <a:srgbClr val="A8996E"/>
      </a:accent4>
      <a:accent5>
        <a:srgbClr val="AEA79F"/>
      </a:accent5>
      <a:accent6>
        <a:srgbClr val="616365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Netty Horton</dc:creator>
  <cp:lastModifiedBy>sarah.dobinson</cp:lastModifiedBy>
  <cp:revision>2</cp:revision>
  <dcterms:created xsi:type="dcterms:W3CDTF">2019-01-28T23:36:00Z</dcterms:created>
  <dcterms:modified xsi:type="dcterms:W3CDTF">2019-01-28T23:36:00Z</dcterms:modified>
</cp:coreProperties>
</file>