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2706" w:rsidRDefault="003E2706" w:rsidP="003E2706">
      <w:pPr>
        <w:spacing w:after="0"/>
        <w:rPr>
          <w:noProof/>
          <w:lang w:eastAsia="en-AU"/>
        </w:rPr>
      </w:pPr>
    </w:p>
    <w:p w:rsidR="003E2706" w:rsidRDefault="003E2706" w:rsidP="003E2706">
      <w:pPr>
        <w:spacing w:after="0"/>
        <w:rPr>
          <w:noProof/>
          <w:lang w:eastAsia="en-AU"/>
        </w:rPr>
      </w:pPr>
      <w:r>
        <w:rPr>
          <w:noProof/>
          <w:lang w:eastAsia="en-AU"/>
        </w:rPr>
        <w:drawing>
          <wp:inline distT="0" distB="0" distL="0" distR="0">
            <wp:extent cx="4066667" cy="819048"/>
            <wp:effectExtent l="0" t="0" r="0"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DV logo 22.1 KB small.pn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4066667" cy="819048"/>
                    </a:xfrm>
                    <a:prstGeom prst="rect">
                      <a:avLst/>
                    </a:prstGeom>
                  </pic:spPr>
                </pic:pic>
              </a:graphicData>
            </a:graphic>
          </wp:inline>
        </w:drawing>
      </w:r>
    </w:p>
    <w:p w:rsidR="003E2706" w:rsidRPr="00671A0B" w:rsidRDefault="003E2706" w:rsidP="003E2706">
      <w:pPr>
        <w:pStyle w:val="Title"/>
        <w:rPr>
          <w:b/>
          <w:color w:val="7030A0"/>
          <w:sz w:val="48"/>
          <w:szCs w:val="48"/>
        </w:rPr>
      </w:pPr>
    </w:p>
    <w:p w:rsidR="003E2706" w:rsidRPr="00671A0B" w:rsidRDefault="003E2706" w:rsidP="003E2706">
      <w:pPr>
        <w:rPr>
          <w:color w:val="7030A0"/>
          <w:sz w:val="48"/>
          <w:szCs w:val="48"/>
        </w:rPr>
      </w:pPr>
      <w:bookmarkStart w:id="0" w:name="_Toc485716428"/>
      <w:bookmarkStart w:id="1" w:name="_Toc485716427"/>
      <w:r w:rsidRPr="00671A0B">
        <w:rPr>
          <w:color w:val="7030A0"/>
          <w:sz w:val="48"/>
          <w:szCs w:val="48"/>
        </w:rPr>
        <w:t xml:space="preserve">Submission to </w:t>
      </w:r>
      <w:bookmarkEnd w:id="0"/>
      <w:bookmarkEnd w:id="1"/>
      <w:r>
        <w:rPr>
          <w:color w:val="7030A0"/>
          <w:sz w:val="48"/>
          <w:szCs w:val="48"/>
        </w:rPr>
        <w:t>Australian Law R</w:t>
      </w:r>
      <w:r w:rsidR="00C35F66">
        <w:rPr>
          <w:color w:val="7030A0"/>
          <w:sz w:val="48"/>
          <w:szCs w:val="48"/>
        </w:rPr>
        <w:t>eform Commission review of the Family Law S</w:t>
      </w:r>
      <w:r>
        <w:rPr>
          <w:color w:val="7030A0"/>
          <w:sz w:val="48"/>
          <w:szCs w:val="48"/>
        </w:rPr>
        <w:t>ystem</w:t>
      </w:r>
    </w:p>
    <w:p w:rsidR="003E2706" w:rsidRPr="0012070B" w:rsidRDefault="003E2706" w:rsidP="003E2706"/>
    <w:p w:rsidR="003E2706" w:rsidRDefault="003E2706" w:rsidP="003E2706"/>
    <w:p w:rsidR="00105CE6" w:rsidRPr="0012070B" w:rsidRDefault="00105CE6" w:rsidP="003E2706"/>
    <w:p w:rsidR="003E2706" w:rsidRPr="0012070B" w:rsidRDefault="00000A1D" w:rsidP="003E2706">
      <w:r>
        <w:t>26</w:t>
      </w:r>
      <w:r w:rsidR="003E2706" w:rsidRPr="00173DA4">
        <w:t xml:space="preserve"> </w:t>
      </w:r>
      <w:r w:rsidR="003E2706">
        <w:t>November 2018</w:t>
      </w:r>
    </w:p>
    <w:p w:rsidR="003E2706" w:rsidRDefault="003E2706" w:rsidP="003E2706"/>
    <w:p w:rsidR="00105CE6" w:rsidRDefault="00105CE6" w:rsidP="003E2706"/>
    <w:p w:rsidR="00105CE6" w:rsidRDefault="00105CE6" w:rsidP="003E2706"/>
    <w:p w:rsidR="00105CE6" w:rsidRDefault="00105CE6" w:rsidP="003E2706"/>
    <w:p w:rsidR="00105CE6" w:rsidRPr="0012070B" w:rsidRDefault="00105CE6" w:rsidP="003E2706"/>
    <w:p w:rsidR="003E2706" w:rsidRPr="00C65146" w:rsidRDefault="003E2706" w:rsidP="00105CE6">
      <w:pPr>
        <w:spacing w:line="276" w:lineRule="auto"/>
        <w:rPr>
          <w:b/>
        </w:rPr>
      </w:pPr>
      <w:bookmarkStart w:id="2" w:name="_Toc485716429"/>
      <w:r w:rsidRPr="00671A0B">
        <w:rPr>
          <w:b/>
        </w:rPr>
        <w:t>Women with Disabilities Victoria</w:t>
      </w:r>
      <w:bookmarkStart w:id="3" w:name="_Toc485716430"/>
      <w:bookmarkEnd w:id="2"/>
      <w:r w:rsidR="00C65146">
        <w:rPr>
          <w:b/>
        </w:rPr>
        <w:br/>
      </w:r>
      <w:r w:rsidRPr="0012070B">
        <w:t>Level 9, 255 Bourke Street</w:t>
      </w:r>
      <w:bookmarkEnd w:id="3"/>
      <w:r w:rsidRPr="0012070B">
        <w:t xml:space="preserve"> </w:t>
      </w:r>
      <w:r w:rsidR="00C65146">
        <w:rPr>
          <w:b/>
        </w:rPr>
        <w:br/>
      </w:r>
      <w:r w:rsidRPr="0012070B">
        <w:t xml:space="preserve">Melbourne 3001 </w:t>
      </w:r>
      <w:r w:rsidR="00C65146">
        <w:rPr>
          <w:b/>
        </w:rPr>
        <w:br/>
      </w:r>
      <w:r w:rsidRPr="0012070B">
        <w:t xml:space="preserve">Phone 9286 7800 </w:t>
      </w:r>
      <w:r w:rsidR="00C65146">
        <w:rPr>
          <w:b/>
        </w:rPr>
        <w:br/>
      </w:r>
      <w:hyperlink r:id="rId9" w:history="1">
        <w:r w:rsidRPr="00562DE5">
          <w:rPr>
            <w:rStyle w:val="Hyperlink"/>
            <w:color w:val="7030A0"/>
          </w:rPr>
          <w:t>www.wdv.org.au</w:t>
        </w:r>
      </w:hyperlink>
    </w:p>
    <w:p w:rsidR="00105CE6" w:rsidRPr="0012070B" w:rsidRDefault="00105CE6" w:rsidP="00105CE6">
      <w:pPr>
        <w:spacing w:line="276" w:lineRule="auto"/>
      </w:pPr>
    </w:p>
    <w:p w:rsidR="003E2706" w:rsidRDefault="003E2706" w:rsidP="00105CE6">
      <w:pPr>
        <w:spacing w:line="276" w:lineRule="auto"/>
        <w:rPr>
          <w:b/>
        </w:rPr>
      </w:pPr>
      <w:bookmarkStart w:id="4" w:name="_Toc485716431"/>
      <w:r w:rsidRPr="00905DA9">
        <w:rPr>
          <w:b/>
        </w:rPr>
        <w:t>Contact</w:t>
      </w:r>
      <w:bookmarkEnd w:id="4"/>
      <w:r w:rsidR="00905DA9">
        <w:rPr>
          <w:b/>
        </w:rPr>
        <w:t>:</w:t>
      </w:r>
    </w:p>
    <w:p w:rsidR="00105CE6" w:rsidRPr="00905DA9" w:rsidRDefault="00105CE6" w:rsidP="00105CE6">
      <w:pPr>
        <w:spacing w:line="276" w:lineRule="auto"/>
        <w:rPr>
          <w:b/>
        </w:rPr>
      </w:pPr>
      <w:r w:rsidRPr="00996668">
        <w:t>Jen Hargrave</w:t>
      </w:r>
      <w:r>
        <w:rPr>
          <w:b/>
        </w:rPr>
        <w:br/>
      </w:r>
      <w:r w:rsidRPr="00996668">
        <w:t xml:space="preserve">Senior Policy Officer – violence against women with disabilities </w:t>
      </w:r>
      <w:r>
        <w:rPr>
          <w:b/>
        </w:rPr>
        <w:br/>
      </w:r>
      <w:hyperlink r:id="rId10" w:history="1">
        <w:r w:rsidR="00BF2DBB" w:rsidRPr="00926859">
          <w:rPr>
            <w:rStyle w:val="Hyperlink"/>
          </w:rPr>
          <w:t>Jen.Hargrave@wdv.org.au</w:t>
        </w:r>
      </w:hyperlink>
      <w:r w:rsidRPr="00996668">
        <w:rPr>
          <w:color w:val="7030A0"/>
        </w:rPr>
        <w:t xml:space="preserve"> </w:t>
      </w:r>
    </w:p>
    <w:p w:rsidR="003E2706" w:rsidRDefault="00824622" w:rsidP="00105CE6">
      <w:pPr>
        <w:spacing w:line="276" w:lineRule="auto"/>
      </w:pPr>
      <w:r>
        <w:t>Amber Karanikolas</w:t>
      </w:r>
      <w:r w:rsidR="00105CE6">
        <w:br/>
      </w:r>
      <w:r>
        <w:t>Policy Officer</w:t>
      </w:r>
      <w:r w:rsidR="00105CE6">
        <w:br/>
      </w:r>
      <w:hyperlink r:id="rId11" w:history="1">
        <w:r w:rsidRPr="001125E9">
          <w:rPr>
            <w:rStyle w:val="Hyperlink"/>
          </w:rPr>
          <w:t>Amber.Karanikolas@wdv.org.au</w:t>
        </w:r>
      </w:hyperlink>
      <w:r w:rsidR="003E2706" w:rsidRPr="00562DE5">
        <w:rPr>
          <w:color w:val="7030A0"/>
        </w:rPr>
        <w:t xml:space="preserve"> </w:t>
      </w:r>
      <w:r w:rsidR="003E2706" w:rsidRPr="000471BE">
        <w:br w:type="page"/>
      </w:r>
    </w:p>
    <w:sdt>
      <w:sdtPr>
        <w:rPr>
          <w:rFonts w:asciiTheme="minorHAnsi" w:eastAsiaTheme="minorHAnsi" w:hAnsiTheme="minorHAnsi" w:cstheme="minorBidi"/>
          <w:color w:val="auto"/>
          <w:sz w:val="22"/>
          <w:szCs w:val="22"/>
          <w:lang w:val="en-AU"/>
        </w:rPr>
        <w:id w:val="1314059904"/>
        <w:docPartObj>
          <w:docPartGallery w:val="Table of Contents"/>
          <w:docPartUnique/>
        </w:docPartObj>
      </w:sdtPr>
      <w:sdtEndPr>
        <w:rPr>
          <w:b/>
          <w:bCs/>
          <w:noProof/>
        </w:rPr>
      </w:sdtEndPr>
      <w:sdtContent>
        <w:p w:rsidR="009A6757" w:rsidRPr="0058476E" w:rsidRDefault="009A6757">
          <w:pPr>
            <w:pStyle w:val="TOCHeading"/>
            <w:rPr>
              <w:b/>
              <w:color w:val="7030A0"/>
            </w:rPr>
          </w:pPr>
          <w:r w:rsidRPr="0058476E">
            <w:rPr>
              <w:b/>
              <w:color w:val="7030A0"/>
            </w:rPr>
            <w:t>Contents</w:t>
          </w:r>
          <w:r w:rsidR="0058476E">
            <w:rPr>
              <w:b/>
              <w:color w:val="7030A0"/>
            </w:rPr>
            <w:br/>
          </w:r>
        </w:p>
        <w:p w:rsidR="00CF38B8" w:rsidRPr="00CF38B8" w:rsidRDefault="003C367F">
          <w:pPr>
            <w:pStyle w:val="TOC2"/>
            <w:tabs>
              <w:tab w:val="right" w:leader="dot" w:pos="9350"/>
            </w:tabs>
            <w:rPr>
              <w:rFonts w:eastAsiaTheme="minorEastAsia"/>
              <w:noProof/>
              <w:lang w:val="en-US"/>
            </w:rPr>
          </w:pPr>
          <w:r w:rsidRPr="003C367F">
            <w:fldChar w:fldCharType="begin"/>
          </w:r>
          <w:r w:rsidR="009A6757" w:rsidRPr="00CF38B8">
            <w:instrText xml:space="preserve"> TOC \o "1-3" \h \z \u </w:instrText>
          </w:r>
          <w:r w:rsidRPr="003C367F">
            <w:fldChar w:fldCharType="separate"/>
          </w:r>
          <w:hyperlink w:anchor="_Toc529796895" w:history="1">
            <w:r w:rsidR="00CF38B8" w:rsidRPr="00306CFB">
              <w:rPr>
                <w:rStyle w:val="Hyperlink"/>
                <w:b/>
                <w:noProof/>
                <w:color w:val="7030A0"/>
              </w:rPr>
              <w:t>About Women with Disabilities Victoria</w:t>
            </w:r>
            <w:r w:rsidR="00CF38B8" w:rsidRPr="00CF38B8">
              <w:rPr>
                <w:noProof/>
                <w:webHidden/>
              </w:rPr>
              <w:tab/>
            </w:r>
            <w:r w:rsidRPr="00CF38B8">
              <w:rPr>
                <w:noProof/>
                <w:webHidden/>
              </w:rPr>
              <w:fldChar w:fldCharType="begin"/>
            </w:r>
            <w:r w:rsidR="00CF38B8" w:rsidRPr="00CF38B8">
              <w:rPr>
                <w:noProof/>
                <w:webHidden/>
              </w:rPr>
              <w:instrText xml:space="preserve"> PAGEREF _Toc529796895 \h </w:instrText>
            </w:r>
            <w:r w:rsidRPr="00CF38B8">
              <w:rPr>
                <w:noProof/>
                <w:webHidden/>
              </w:rPr>
            </w:r>
            <w:r w:rsidRPr="00CF38B8">
              <w:rPr>
                <w:noProof/>
                <w:webHidden/>
              </w:rPr>
              <w:fldChar w:fldCharType="separate"/>
            </w:r>
            <w:r w:rsidR="00CF38B8" w:rsidRPr="00CF38B8">
              <w:rPr>
                <w:noProof/>
                <w:webHidden/>
              </w:rPr>
              <w:t>3</w:t>
            </w:r>
            <w:r w:rsidRPr="00CF38B8">
              <w:rPr>
                <w:noProof/>
                <w:webHidden/>
              </w:rPr>
              <w:fldChar w:fldCharType="end"/>
            </w:r>
          </w:hyperlink>
        </w:p>
        <w:p w:rsidR="00CF38B8" w:rsidRPr="00CF38B8" w:rsidRDefault="003C367F">
          <w:pPr>
            <w:pStyle w:val="TOC2"/>
            <w:tabs>
              <w:tab w:val="right" w:leader="dot" w:pos="9350"/>
            </w:tabs>
            <w:rPr>
              <w:rFonts w:eastAsiaTheme="minorEastAsia"/>
              <w:noProof/>
              <w:lang w:val="en-US"/>
            </w:rPr>
          </w:pPr>
          <w:hyperlink w:anchor="_Toc529796896" w:history="1">
            <w:r w:rsidR="00CF38B8" w:rsidRPr="00306CFB">
              <w:rPr>
                <w:rStyle w:val="Hyperlink"/>
                <w:b/>
                <w:noProof/>
                <w:color w:val="7030A0"/>
              </w:rPr>
              <w:t>Introduction</w:t>
            </w:r>
            <w:r w:rsidR="00CF38B8" w:rsidRPr="00CF38B8">
              <w:rPr>
                <w:noProof/>
                <w:webHidden/>
              </w:rPr>
              <w:tab/>
            </w:r>
            <w:r w:rsidRPr="00CF38B8">
              <w:rPr>
                <w:noProof/>
                <w:webHidden/>
              </w:rPr>
              <w:fldChar w:fldCharType="begin"/>
            </w:r>
            <w:r w:rsidR="00CF38B8" w:rsidRPr="00CF38B8">
              <w:rPr>
                <w:noProof/>
                <w:webHidden/>
              </w:rPr>
              <w:instrText xml:space="preserve"> PAGEREF _Toc529796896 \h </w:instrText>
            </w:r>
            <w:r w:rsidRPr="00CF38B8">
              <w:rPr>
                <w:noProof/>
                <w:webHidden/>
              </w:rPr>
            </w:r>
            <w:r w:rsidRPr="00CF38B8">
              <w:rPr>
                <w:noProof/>
                <w:webHidden/>
              </w:rPr>
              <w:fldChar w:fldCharType="separate"/>
            </w:r>
            <w:r w:rsidR="00CF38B8" w:rsidRPr="00CF38B8">
              <w:rPr>
                <w:noProof/>
                <w:webHidden/>
              </w:rPr>
              <w:t>3</w:t>
            </w:r>
            <w:r w:rsidRPr="00CF38B8">
              <w:rPr>
                <w:noProof/>
                <w:webHidden/>
              </w:rPr>
              <w:fldChar w:fldCharType="end"/>
            </w:r>
          </w:hyperlink>
        </w:p>
        <w:p w:rsidR="00CF38B8" w:rsidRPr="00CF38B8" w:rsidRDefault="003C367F">
          <w:pPr>
            <w:pStyle w:val="TOC2"/>
            <w:tabs>
              <w:tab w:val="right" w:leader="dot" w:pos="9350"/>
            </w:tabs>
            <w:rPr>
              <w:rFonts w:eastAsiaTheme="minorEastAsia"/>
              <w:noProof/>
              <w:lang w:val="en-US"/>
            </w:rPr>
          </w:pPr>
          <w:hyperlink w:anchor="_Toc529796897" w:history="1">
            <w:r w:rsidR="00CF38B8" w:rsidRPr="00306CFB">
              <w:rPr>
                <w:rStyle w:val="Hyperlink"/>
                <w:b/>
                <w:noProof/>
                <w:color w:val="7030A0"/>
              </w:rPr>
              <w:t>A note about language</w:t>
            </w:r>
            <w:r w:rsidR="00CF38B8" w:rsidRPr="00CF38B8">
              <w:rPr>
                <w:noProof/>
                <w:webHidden/>
              </w:rPr>
              <w:tab/>
            </w:r>
            <w:r w:rsidRPr="00CF38B8">
              <w:rPr>
                <w:noProof/>
                <w:webHidden/>
              </w:rPr>
              <w:fldChar w:fldCharType="begin"/>
            </w:r>
            <w:r w:rsidR="00CF38B8" w:rsidRPr="00CF38B8">
              <w:rPr>
                <w:noProof/>
                <w:webHidden/>
              </w:rPr>
              <w:instrText xml:space="preserve"> PAGEREF _Toc529796897 \h </w:instrText>
            </w:r>
            <w:r w:rsidRPr="00CF38B8">
              <w:rPr>
                <w:noProof/>
                <w:webHidden/>
              </w:rPr>
            </w:r>
            <w:r w:rsidRPr="00CF38B8">
              <w:rPr>
                <w:noProof/>
                <w:webHidden/>
              </w:rPr>
              <w:fldChar w:fldCharType="separate"/>
            </w:r>
            <w:r w:rsidR="00CF38B8" w:rsidRPr="00CF38B8">
              <w:rPr>
                <w:noProof/>
                <w:webHidden/>
              </w:rPr>
              <w:t>5</w:t>
            </w:r>
            <w:r w:rsidRPr="00CF38B8">
              <w:rPr>
                <w:noProof/>
                <w:webHidden/>
              </w:rPr>
              <w:fldChar w:fldCharType="end"/>
            </w:r>
          </w:hyperlink>
        </w:p>
        <w:p w:rsidR="00CF38B8" w:rsidRPr="00CF38B8" w:rsidRDefault="003C367F">
          <w:pPr>
            <w:pStyle w:val="TOC2"/>
            <w:tabs>
              <w:tab w:val="right" w:leader="dot" w:pos="9350"/>
            </w:tabs>
            <w:rPr>
              <w:rFonts w:eastAsiaTheme="minorEastAsia"/>
              <w:noProof/>
              <w:lang w:val="en-US"/>
            </w:rPr>
          </w:pPr>
          <w:hyperlink w:anchor="_Toc529796898" w:history="1">
            <w:r w:rsidR="00CF38B8" w:rsidRPr="00306CFB">
              <w:rPr>
                <w:rStyle w:val="Hyperlink"/>
                <w:b/>
                <w:noProof/>
                <w:color w:val="7030A0"/>
              </w:rPr>
              <w:t>Commentary on proposals and responses to questions</w:t>
            </w:r>
            <w:r w:rsidR="00CF38B8" w:rsidRPr="00CF38B8">
              <w:rPr>
                <w:noProof/>
                <w:webHidden/>
              </w:rPr>
              <w:tab/>
            </w:r>
            <w:r w:rsidRPr="00CF38B8">
              <w:rPr>
                <w:noProof/>
                <w:webHidden/>
              </w:rPr>
              <w:fldChar w:fldCharType="begin"/>
            </w:r>
            <w:r w:rsidR="00CF38B8" w:rsidRPr="00CF38B8">
              <w:rPr>
                <w:noProof/>
                <w:webHidden/>
              </w:rPr>
              <w:instrText xml:space="preserve"> PAGEREF _Toc529796898 \h </w:instrText>
            </w:r>
            <w:r w:rsidRPr="00CF38B8">
              <w:rPr>
                <w:noProof/>
                <w:webHidden/>
              </w:rPr>
            </w:r>
            <w:r w:rsidRPr="00CF38B8">
              <w:rPr>
                <w:noProof/>
                <w:webHidden/>
              </w:rPr>
              <w:fldChar w:fldCharType="separate"/>
            </w:r>
            <w:r w:rsidR="00CF38B8" w:rsidRPr="00CF38B8">
              <w:rPr>
                <w:noProof/>
                <w:webHidden/>
              </w:rPr>
              <w:t>6</w:t>
            </w:r>
            <w:r w:rsidRPr="00CF38B8">
              <w:rPr>
                <w:noProof/>
                <w:webHidden/>
              </w:rPr>
              <w:fldChar w:fldCharType="end"/>
            </w:r>
          </w:hyperlink>
        </w:p>
        <w:p w:rsidR="00CF38B8" w:rsidRPr="00CF38B8" w:rsidRDefault="003C367F">
          <w:pPr>
            <w:pStyle w:val="TOC3"/>
            <w:tabs>
              <w:tab w:val="right" w:leader="dot" w:pos="9350"/>
            </w:tabs>
            <w:rPr>
              <w:rFonts w:eastAsiaTheme="minorEastAsia"/>
              <w:noProof/>
              <w:lang w:val="en-US"/>
            </w:rPr>
          </w:pPr>
          <w:hyperlink w:anchor="_Toc529796899" w:history="1">
            <w:r w:rsidR="00CF38B8" w:rsidRPr="00CF38B8">
              <w:rPr>
                <w:rStyle w:val="Hyperlink"/>
                <w:noProof/>
              </w:rPr>
              <w:t>Supported decision making</w:t>
            </w:r>
            <w:r w:rsidR="00CF38B8" w:rsidRPr="00CF38B8">
              <w:rPr>
                <w:noProof/>
                <w:webHidden/>
              </w:rPr>
              <w:tab/>
            </w:r>
            <w:r w:rsidRPr="00CF38B8">
              <w:rPr>
                <w:noProof/>
                <w:webHidden/>
              </w:rPr>
              <w:fldChar w:fldCharType="begin"/>
            </w:r>
            <w:r w:rsidR="00CF38B8" w:rsidRPr="00CF38B8">
              <w:rPr>
                <w:noProof/>
                <w:webHidden/>
              </w:rPr>
              <w:instrText xml:space="preserve"> PAGEREF _Toc529796899 \h </w:instrText>
            </w:r>
            <w:r w:rsidRPr="00CF38B8">
              <w:rPr>
                <w:noProof/>
                <w:webHidden/>
              </w:rPr>
            </w:r>
            <w:r w:rsidRPr="00CF38B8">
              <w:rPr>
                <w:noProof/>
                <w:webHidden/>
              </w:rPr>
              <w:fldChar w:fldCharType="separate"/>
            </w:r>
            <w:r w:rsidR="00CF38B8" w:rsidRPr="00CF38B8">
              <w:rPr>
                <w:noProof/>
                <w:webHidden/>
              </w:rPr>
              <w:t>6</w:t>
            </w:r>
            <w:r w:rsidRPr="00CF38B8">
              <w:rPr>
                <w:noProof/>
                <w:webHidden/>
              </w:rPr>
              <w:fldChar w:fldCharType="end"/>
            </w:r>
          </w:hyperlink>
        </w:p>
        <w:p w:rsidR="00CF38B8" w:rsidRPr="00CF38B8" w:rsidRDefault="003C367F">
          <w:pPr>
            <w:pStyle w:val="TOC3"/>
            <w:tabs>
              <w:tab w:val="right" w:leader="dot" w:pos="9350"/>
            </w:tabs>
            <w:rPr>
              <w:rFonts w:eastAsiaTheme="minorEastAsia"/>
              <w:noProof/>
              <w:lang w:val="en-US"/>
            </w:rPr>
          </w:pPr>
          <w:hyperlink w:anchor="_Toc529796900" w:history="1">
            <w:r w:rsidR="00CF38B8" w:rsidRPr="00CF38B8">
              <w:rPr>
                <w:rStyle w:val="Hyperlink"/>
                <w:rFonts w:eastAsia="Times New Roman" w:cs="Times New Roman"/>
                <w:noProof/>
              </w:rPr>
              <w:t>S</w:t>
            </w:r>
            <w:r w:rsidR="00CF38B8" w:rsidRPr="00CF38B8">
              <w:rPr>
                <w:rStyle w:val="Hyperlink"/>
                <w:rFonts w:eastAsia="Times New Roman"/>
                <w:noProof/>
              </w:rPr>
              <w:t>upporting people with a disability via the National Disability Insurance Scheme (NDIS)</w:t>
            </w:r>
            <w:r w:rsidR="00CF38B8" w:rsidRPr="00CF38B8">
              <w:rPr>
                <w:noProof/>
                <w:webHidden/>
              </w:rPr>
              <w:tab/>
            </w:r>
            <w:r w:rsidRPr="00CF38B8">
              <w:rPr>
                <w:noProof/>
                <w:webHidden/>
              </w:rPr>
              <w:fldChar w:fldCharType="begin"/>
            </w:r>
            <w:r w:rsidR="00CF38B8" w:rsidRPr="00CF38B8">
              <w:rPr>
                <w:noProof/>
                <w:webHidden/>
              </w:rPr>
              <w:instrText xml:space="preserve"> PAGEREF _Toc529796900 \h </w:instrText>
            </w:r>
            <w:r w:rsidRPr="00CF38B8">
              <w:rPr>
                <w:noProof/>
                <w:webHidden/>
              </w:rPr>
            </w:r>
            <w:r w:rsidRPr="00CF38B8">
              <w:rPr>
                <w:noProof/>
                <w:webHidden/>
              </w:rPr>
              <w:fldChar w:fldCharType="separate"/>
            </w:r>
            <w:r w:rsidR="00CF38B8" w:rsidRPr="00CF38B8">
              <w:rPr>
                <w:noProof/>
                <w:webHidden/>
              </w:rPr>
              <w:t>8</w:t>
            </w:r>
            <w:r w:rsidRPr="00CF38B8">
              <w:rPr>
                <w:noProof/>
                <w:webHidden/>
              </w:rPr>
              <w:fldChar w:fldCharType="end"/>
            </w:r>
          </w:hyperlink>
        </w:p>
        <w:p w:rsidR="00CF38B8" w:rsidRPr="00CF38B8" w:rsidRDefault="003C367F">
          <w:pPr>
            <w:pStyle w:val="TOC3"/>
            <w:tabs>
              <w:tab w:val="right" w:leader="dot" w:pos="9350"/>
            </w:tabs>
            <w:rPr>
              <w:rFonts w:eastAsiaTheme="minorEastAsia"/>
              <w:noProof/>
              <w:lang w:val="en-US"/>
            </w:rPr>
          </w:pPr>
          <w:hyperlink w:anchor="_Toc529796901" w:history="1">
            <w:r w:rsidR="00CF38B8" w:rsidRPr="00CF38B8">
              <w:rPr>
                <w:rStyle w:val="Hyperlink"/>
                <w:rFonts w:eastAsia="Times New Roman"/>
                <w:noProof/>
              </w:rPr>
              <w:t>Specialist support to people with disability in the family law system</w:t>
            </w:r>
            <w:r w:rsidR="00CF38B8" w:rsidRPr="00CF38B8">
              <w:rPr>
                <w:noProof/>
                <w:webHidden/>
              </w:rPr>
              <w:tab/>
            </w:r>
            <w:r w:rsidRPr="00CF38B8">
              <w:rPr>
                <w:noProof/>
                <w:webHidden/>
              </w:rPr>
              <w:fldChar w:fldCharType="begin"/>
            </w:r>
            <w:r w:rsidR="00CF38B8" w:rsidRPr="00CF38B8">
              <w:rPr>
                <w:noProof/>
                <w:webHidden/>
              </w:rPr>
              <w:instrText xml:space="preserve"> PAGEREF _Toc529796901 \h </w:instrText>
            </w:r>
            <w:r w:rsidRPr="00CF38B8">
              <w:rPr>
                <w:noProof/>
                <w:webHidden/>
              </w:rPr>
            </w:r>
            <w:r w:rsidRPr="00CF38B8">
              <w:rPr>
                <w:noProof/>
                <w:webHidden/>
              </w:rPr>
              <w:fldChar w:fldCharType="separate"/>
            </w:r>
            <w:r w:rsidR="00CF38B8" w:rsidRPr="00CF38B8">
              <w:rPr>
                <w:noProof/>
                <w:webHidden/>
              </w:rPr>
              <w:t>8</w:t>
            </w:r>
            <w:r w:rsidRPr="00CF38B8">
              <w:rPr>
                <w:noProof/>
                <w:webHidden/>
              </w:rPr>
              <w:fldChar w:fldCharType="end"/>
            </w:r>
          </w:hyperlink>
        </w:p>
        <w:p w:rsidR="00CF38B8" w:rsidRPr="00CF38B8" w:rsidRDefault="003C367F">
          <w:pPr>
            <w:pStyle w:val="TOC3"/>
            <w:tabs>
              <w:tab w:val="right" w:leader="dot" w:pos="9350"/>
            </w:tabs>
            <w:rPr>
              <w:rFonts w:eastAsiaTheme="minorEastAsia"/>
              <w:noProof/>
              <w:lang w:val="en-US"/>
            </w:rPr>
          </w:pPr>
          <w:hyperlink w:anchor="_Toc529796902" w:history="1">
            <w:r w:rsidR="00CF38B8" w:rsidRPr="00CF38B8">
              <w:rPr>
                <w:rStyle w:val="Hyperlink"/>
                <w:rFonts w:eastAsia="Times New Roman"/>
                <w:noProof/>
              </w:rPr>
              <w:t>Forced sterilisation</w:t>
            </w:r>
            <w:r w:rsidR="00CF38B8" w:rsidRPr="00CF38B8">
              <w:rPr>
                <w:noProof/>
                <w:webHidden/>
              </w:rPr>
              <w:tab/>
            </w:r>
            <w:r w:rsidRPr="00CF38B8">
              <w:rPr>
                <w:noProof/>
                <w:webHidden/>
              </w:rPr>
              <w:fldChar w:fldCharType="begin"/>
            </w:r>
            <w:r w:rsidR="00CF38B8" w:rsidRPr="00CF38B8">
              <w:rPr>
                <w:noProof/>
                <w:webHidden/>
              </w:rPr>
              <w:instrText xml:space="preserve"> PAGEREF _Toc529796902 \h </w:instrText>
            </w:r>
            <w:r w:rsidRPr="00CF38B8">
              <w:rPr>
                <w:noProof/>
                <w:webHidden/>
              </w:rPr>
            </w:r>
            <w:r w:rsidRPr="00CF38B8">
              <w:rPr>
                <w:noProof/>
                <w:webHidden/>
              </w:rPr>
              <w:fldChar w:fldCharType="separate"/>
            </w:r>
            <w:r w:rsidR="00CF38B8" w:rsidRPr="00CF38B8">
              <w:rPr>
                <w:noProof/>
                <w:webHidden/>
              </w:rPr>
              <w:t>9</w:t>
            </w:r>
            <w:r w:rsidRPr="00CF38B8">
              <w:rPr>
                <w:noProof/>
                <w:webHidden/>
              </w:rPr>
              <w:fldChar w:fldCharType="end"/>
            </w:r>
          </w:hyperlink>
        </w:p>
        <w:p w:rsidR="00CF38B8" w:rsidRPr="00CF38B8" w:rsidRDefault="003C367F">
          <w:pPr>
            <w:pStyle w:val="TOC3"/>
            <w:tabs>
              <w:tab w:val="right" w:leader="dot" w:pos="9350"/>
            </w:tabs>
            <w:rPr>
              <w:rFonts w:eastAsiaTheme="minorEastAsia"/>
              <w:noProof/>
              <w:lang w:val="en-US"/>
            </w:rPr>
          </w:pPr>
          <w:hyperlink w:anchor="_Toc529796903" w:history="1">
            <w:r w:rsidR="00CF38B8" w:rsidRPr="00CF38B8">
              <w:rPr>
                <w:rStyle w:val="Hyperlink"/>
                <w:rFonts w:eastAsia="Times New Roman"/>
                <w:noProof/>
              </w:rPr>
              <w:t>Assessing a woman with a disability’s ability to parent</w:t>
            </w:r>
            <w:r w:rsidR="00CF38B8" w:rsidRPr="00CF38B8">
              <w:rPr>
                <w:noProof/>
                <w:webHidden/>
              </w:rPr>
              <w:tab/>
            </w:r>
            <w:r w:rsidRPr="00CF38B8">
              <w:rPr>
                <w:noProof/>
                <w:webHidden/>
              </w:rPr>
              <w:fldChar w:fldCharType="begin"/>
            </w:r>
            <w:r w:rsidR="00CF38B8" w:rsidRPr="00CF38B8">
              <w:rPr>
                <w:noProof/>
                <w:webHidden/>
              </w:rPr>
              <w:instrText xml:space="preserve"> PAGEREF _Toc529796903 \h </w:instrText>
            </w:r>
            <w:r w:rsidRPr="00CF38B8">
              <w:rPr>
                <w:noProof/>
                <w:webHidden/>
              </w:rPr>
            </w:r>
            <w:r w:rsidRPr="00CF38B8">
              <w:rPr>
                <w:noProof/>
                <w:webHidden/>
              </w:rPr>
              <w:fldChar w:fldCharType="separate"/>
            </w:r>
            <w:r w:rsidR="00CF38B8" w:rsidRPr="00CF38B8">
              <w:rPr>
                <w:noProof/>
                <w:webHidden/>
              </w:rPr>
              <w:t>10</w:t>
            </w:r>
            <w:r w:rsidRPr="00CF38B8">
              <w:rPr>
                <w:noProof/>
                <w:webHidden/>
              </w:rPr>
              <w:fldChar w:fldCharType="end"/>
            </w:r>
          </w:hyperlink>
        </w:p>
        <w:p w:rsidR="00CF38B8" w:rsidRPr="00CF38B8" w:rsidRDefault="003C367F">
          <w:pPr>
            <w:pStyle w:val="TOC2"/>
            <w:tabs>
              <w:tab w:val="right" w:leader="dot" w:pos="9350"/>
            </w:tabs>
            <w:rPr>
              <w:rFonts w:eastAsiaTheme="minorEastAsia"/>
              <w:noProof/>
              <w:lang w:val="en-US"/>
            </w:rPr>
          </w:pPr>
          <w:hyperlink w:anchor="_Toc529796904" w:history="1">
            <w:r w:rsidR="00CF38B8" w:rsidRPr="00306CFB">
              <w:rPr>
                <w:rStyle w:val="Hyperlink"/>
                <w:b/>
                <w:noProof/>
                <w:color w:val="7030A0"/>
              </w:rPr>
              <w:t>Recommendations</w:t>
            </w:r>
            <w:r w:rsidR="00CF38B8" w:rsidRPr="00CF38B8">
              <w:rPr>
                <w:noProof/>
                <w:webHidden/>
              </w:rPr>
              <w:tab/>
            </w:r>
            <w:r w:rsidRPr="00CF38B8">
              <w:rPr>
                <w:noProof/>
                <w:webHidden/>
              </w:rPr>
              <w:fldChar w:fldCharType="begin"/>
            </w:r>
            <w:r w:rsidR="00CF38B8" w:rsidRPr="00CF38B8">
              <w:rPr>
                <w:noProof/>
                <w:webHidden/>
              </w:rPr>
              <w:instrText xml:space="preserve"> PAGEREF _Toc529796904 \h </w:instrText>
            </w:r>
            <w:r w:rsidRPr="00CF38B8">
              <w:rPr>
                <w:noProof/>
                <w:webHidden/>
              </w:rPr>
            </w:r>
            <w:r w:rsidRPr="00CF38B8">
              <w:rPr>
                <w:noProof/>
                <w:webHidden/>
              </w:rPr>
              <w:fldChar w:fldCharType="separate"/>
            </w:r>
            <w:r w:rsidR="00CF38B8" w:rsidRPr="00CF38B8">
              <w:rPr>
                <w:noProof/>
                <w:webHidden/>
              </w:rPr>
              <w:t>12</w:t>
            </w:r>
            <w:r w:rsidRPr="00CF38B8">
              <w:rPr>
                <w:noProof/>
                <w:webHidden/>
              </w:rPr>
              <w:fldChar w:fldCharType="end"/>
            </w:r>
          </w:hyperlink>
        </w:p>
        <w:p w:rsidR="00CF38B8" w:rsidRPr="00CF38B8" w:rsidRDefault="003C367F">
          <w:pPr>
            <w:pStyle w:val="TOC2"/>
            <w:tabs>
              <w:tab w:val="right" w:leader="dot" w:pos="9350"/>
            </w:tabs>
            <w:rPr>
              <w:rFonts w:eastAsiaTheme="minorEastAsia"/>
              <w:noProof/>
              <w:lang w:val="en-US"/>
            </w:rPr>
          </w:pPr>
          <w:hyperlink w:anchor="_Toc529796905" w:history="1">
            <w:r w:rsidR="00CF38B8" w:rsidRPr="00306CFB">
              <w:rPr>
                <w:rStyle w:val="Hyperlink"/>
                <w:b/>
                <w:noProof/>
                <w:color w:val="7030A0"/>
              </w:rPr>
              <w:t>References</w:t>
            </w:r>
            <w:r w:rsidR="00CF38B8" w:rsidRPr="00CF38B8">
              <w:rPr>
                <w:noProof/>
                <w:webHidden/>
              </w:rPr>
              <w:tab/>
            </w:r>
            <w:r w:rsidRPr="00CF38B8">
              <w:rPr>
                <w:noProof/>
                <w:webHidden/>
              </w:rPr>
              <w:fldChar w:fldCharType="begin"/>
            </w:r>
            <w:r w:rsidR="00CF38B8" w:rsidRPr="00CF38B8">
              <w:rPr>
                <w:noProof/>
                <w:webHidden/>
              </w:rPr>
              <w:instrText xml:space="preserve"> PAGEREF _Toc529796905 \h </w:instrText>
            </w:r>
            <w:r w:rsidRPr="00CF38B8">
              <w:rPr>
                <w:noProof/>
                <w:webHidden/>
              </w:rPr>
            </w:r>
            <w:r w:rsidRPr="00CF38B8">
              <w:rPr>
                <w:noProof/>
                <w:webHidden/>
              </w:rPr>
              <w:fldChar w:fldCharType="separate"/>
            </w:r>
            <w:r w:rsidR="00CF38B8" w:rsidRPr="00CF38B8">
              <w:rPr>
                <w:noProof/>
                <w:webHidden/>
              </w:rPr>
              <w:t>15</w:t>
            </w:r>
            <w:r w:rsidRPr="00CF38B8">
              <w:rPr>
                <w:noProof/>
                <w:webHidden/>
              </w:rPr>
              <w:fldChar w:fldCharType="end"/>
            </w:r>
          </w:hyperlink>
        </w:p>
        <w:p w:rsidR="009A6757" w:rsidRDefault="003C367F" w:rsidP="00CF38B8">
          <w:pPr>
            <w:tabs>
              <w:tab w:val="left" w:pos="825"/>
            </w:tabs>
          </w:pPr>
          <w:r w:rsidRPr="00CF38B8">
            <w:rPr>
              <w:bCs/>
              <w:noProof/>
            </w:rPr>
            <w:fldChar w:fldCharType="end"/>
          </w:r>
          <w:r w:rsidR="00CF38B8">
            <w:rPr>
              <w:bCs/>
              <w:noProof/>
            </w:rPr>
            <w:tab/>
          </w:r>
        </w:p>
      </w:sdtContent>
    </w:sdt>
    <w:p w:rsidR="00C32DC6" w:rsidRDefault="00C32DC6">
      <w:pPr>
        <w:rPr>
          <w:color w:val="7030A0"/>
          <w:sz w:val="24"/>
          <w:szCs w:val="24"/>
        </w:rPr>
      </w:pPr>
      <w:r>
        <w:rPr>
          <w:color w:val="7030A0"/>
          <w:sz w:val="24"/>
          <w:szCs w:val="24"/>
        </w:rPr>
        <w:br w:type="page"/>
      </w:r>
    </w:p>
    <w:p w:rsidR="00BC753C" w:rsidRPr="00915DFA" w:rsidRDefault="00BC753C" w:rsidP="00BC753C">
      <w:pPr>
        <w:pStyle w:val="Heading2"/>
        <w:rPr>
          <w:rFonts w:asciiTheme="minorHAnsi" w:hAnsiTheme="minorHAnsi"/>
          <w:b/>
          <w:color w:val="7030A0"/>
          <w:sz w:val="24"/>
          <w:szCs w:val="24"/>
        </w:rPr>
      </w:pPr>
      <w:bookmarkStart w:id="5" w:name="_Toc529796895"/>
      <w:r w:rsidRPr="00915DFA">
        <w:rPr>
          <w:rFonts w:asciiTheme="minorHAnsi" w:hAnsiTheme="minorHAnsi"/>
          <w:b/>
          <w:color w:val="7030A0"/>
          <w:sz w:val="24"/>
          <w:szCs w:val="24"/>
        </w:rPr>
        <w:lastRenderedPageBreak/>
        <w:t>About Women with Disabilities Victoria</w:t>
      </w:r>
      <w:bookmarkEnd w:id="5"/>
    </w:p>
    <w:p w:rsidR="00C4025D" w:rsidRPr="00C4025D" w:rsidRDefault="00BC753C" w:rsidP="00C4025D">
      <w:pPr>
        <w:jc w:val="center"/>
      </w:pPr>
      <w:r>
        <w:br/>
      </w:r>
      <w:r w:rsidR="00C4025D" w:rsidRPr="005D16B4">
        <w:rPr>
          <w:noProof/>
          <w:lang w:eastAsia="en-AU"/>
        </w:rPr>
        <w:drawing>
          <wp:inline distT="0" distB="0" distL="0" distR="0">
            <wp:extent cx="5676900" cy="1304816"/>
            <wp:effectExtent l="19050" t="0" r="19050" b="39116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rotWithShape="1">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l="-989"/>
                    <a:stretch/>
                  </pic:blipFill>
                  <pic:spPr>
                    <a:xfrm>
                      <a:off x="0" y="0"/>
                      <a:ext cx="5740751" cy="1319492"/>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r w:rsidR="00C4025D" w:rsidRPr="00C4025D">
        <w:rPr>
          <w:sz w:val="16"/>
          <w:szCs w:val="16"/>
        </w:rPr>
        <w:t>Pictured: Women with Disabilities Victoria members, associate members, board, staff and supporters.</w:t>
      </w:r>
    </w:p>
    <w:p w:rsidR="00C4025D" w:rsidRDefault="00C4025D" w:rsidP="00D13069">
      <w:pPr>
        <w:jc w:val="both"/>
      </w:pPr>
    </w:p>
    <w:p w:rsidR="00BC753C" w:rsidRDefault="00BC753C" w:rsidP="00D13069">
      <w:pPr>
        <w:jc w:val="both"/>
      </w:pPr>
      <w:r>
        <w:t xml:space="preserve">Women with Disabilities Victoria is an organisation run by women with disabilities for women with disabilities. Our members, board and staff live across the state and have a range of disabilities, lifestyles and ages. We are united in working towards our vision of a world where all women are respected and can fully experience life. </w:t>
      </w:r>
    </w:p>
    <w:p w:rsidR="00BC753C" w:rsidRDefault="00BC753C" w:rsidP="00D13069">
      <w:pPr>
        <w:jc w:val="both"/>
      </w:pPr>
      <w:r>
        <w:t xml:space="preserve">Our gender perspective allows us to focus on areas of particular inequity to women with disabilities: access to women’s health services, gendered </w:t>
      </w:r>
      <w:r w:rsidR="00C35F66">
        <w:t>National Disability Insurance Scheme (NDIS) services</w:t>
      </w:r>
      <w:r>
        <w:t xml:space="preserve"> and safety from gender-based violence</w:t>
      </w:r>
      <w:r w:rsidR="00C35F66">
        <w:t>.</w:t>
      </w:r>
      <w:r w:rsidR="00EF0FA6">
        <w:t xml:space="preserve"> </w:t>
      </w:r>
      <w:r>
        <w:t>We undertake research and consultation. We provide professional educati</w:t>
      </w:r>
      <w:r w:rsidR="00C35F66">
        <w:t>on, representation, information</w:t>
      </w:r>
      <w:r>
        <w:t xml:space="preserve"> and leadership programs for women with disabilities. </w:t>
      </w:r>
    </w:p>
    <w:p w:rsidR="00BC753C" w:rsidRDefault="00BC753C" w:rsidP="00D13069">
      <w:pPr>
        <w:jc w:val="both"/>
      </w:pPr>
      <w:r>
        <w:t>We have dedicated particular attention to the issue of men’s violence against women with disabilities, due to its gravity and prevalence in our lives. Since 2009 we have had a Policy Officer, funded by the Victorian Government, to focus on violence against women with disabilities. This has been a valuable resource for the community sector and government. Our representation at the Royal Commission into Fa</w:t>
      </w:r>
      <w:r w:rsidR="00E22D9F">
        <w:t>mily Violence in Victoria</w:t>
      </w:r>
      <w:r w:rsidR="001B0E1E">
        <w:t xml:space="preserve"> (RCFV) contributed to sixteen RCFV</w:t>
      </w:r>
      <w:r>
        <w:t xml:space="preserve"> recommendations with specific disability content, and our representation to the Victorian Parliamentary Inquiry into Abuse in Disability Services resulted in a chapter on gender in the Committee’s final report. </w:t>
      </w:r>
    </w:p>
    <w:p w:rsidR="00BC753C" w:rsidRDefault="00BC753C" w:rsidP="00D13069">
      <w:pPr>
        <w:jc w:val="both"/>
      </w:pPr>
      <w:r>
        <w:t>Under Victoria’s Plan to Address Violence Against Women and Children we were funded to pilot a ground breaking workforce development program in disability services. The Gender and Disability Workforce Development Program commenced in 2013 and the program eva</w:t>
      </w:r>
      <w:r w:rsidR="00EF0FA6">
        <w:t>luation was completed in August</w:t>
      </w:r>
      <w:r>
        <w:t xml:space="preserve"> 2015.</w:t>
      </w:r>
    </w:p>
    <w:p w:rsidR="009D02F1" w:rsidRDefault="00EF0FA6" w:rsidP="00D13069">
      <w:pPr>
        <w:jc w:val="both"/>
      </w:pPr>
      <w:r>
        <w:t xml:space="preserve">In 2014, </w:t>
      </w:r>
      <w:r w:rsidR="00BC753C">
        <w:t xml:space="preserve">we published </w:t>
      </w:r>
      <w:r w:rsidR="00D9549D">
        <w:t>‘Voices A</w:t>
      </w:r>
      <w:r>
        <w:t>gainst Violence</w:t>
      </w:r>
      <w:r w:rsidR="00D9549D">
        <w:t>’</w:t>
      </w:r>
      <w:r>
        <w:t>.</w:t>
      </w:r>
      <w:r w:rsidR="00105CE6">
        <w:rPr>
          <w:rStyle w:val="FootnoteReference"/>
        </w:rPr>
        <w:footnoteReference w:id="1"/>
      </w:r>
      <w:r>
        <w:t xml:space="preserve"> This was the result of a two year</w:t>
      </w:r>
      <w:r w:rsidR="00BC753C">
        <w:t xml:space="preserve"> research project with partners Office of the</w:t>
      </w:r>
      <w:r w:rsidR="00E22D9F">
        <w:t xml:space="preserve"> Public Advocate Victoria (OPA) </w:t>
      </w:r>
      <w:r w:rsidR="00BC753C">
        <w:t>and Domestic Violence</w:t>
      </w:r>
      <w:r>
        <w:t xml:space="preserve"> Resource Centre Victoria. The seven</w:t>
      </w:r>
      <w:r w:rsidR="00BC753C">
        <w:t xml:space="preserve"> papers of the project examined the intersecting f</w:t>
      </w:r>
      <w:r w:rsidR="00E22D9F">
        <w:t>orms of gendered and disability-</w:t>
      </w:r>
      <w:r w:rsidR="00BC753C">
        <w:t xml:space="preserve">based </w:t>
      </w:r>
      <w:r w:rsidR="00BC753C">
        <w:lastRenderedPageBreak/>
        <w:t xml:space="preserve">violence experienced by women with disabilities, studying literature, </w:t>
      </w:r>
      <w:r w:rsidR="00E22D9F">
        <w:t xml:space="preserve">OPA </w:t>
      </w:r>
      <w:r w:rsidR="00BC753C">
        <w:t>files, legislation, and interviewing OPA staf</w:t>
      </w:r>
      <w:r>
        <w:t xml:space="preserve">f and women with disabilities. </w:t>
      </w:r>
    </w:p>
    <w:p w:rsidR="00C4025D" w:rsidRDefault="001B0E1E" w:rsidP="00C4025D">
      <w:pPr>
        <w:jc w:val="both"/>
      </w:pPr>
      <w:r>
        <w:t xml:space="preserve">This submission draws on findings and recommendations from these projects, alongside our previous projects, work with other organisations and consultations with women with disabilities. </w:t>
      </w:r>
    </w:p>
    <w:p w:rsidR="00BC753C" w:rsidRPr="00000A1D" w:rsidRDefault="00C4025D" w:rsidP="00000A1D">
      <w:r>
        <w:br w:type="page"/>
      </w:r>
      <w:bookmarkStart w:id="6" w:name="_Toc529796896"/>
      <w:r w:rsidR="006A0069" w:rsidRPr="00915DFA">
        <w:rPr>
          <w:b/>
          <w:color w:val="7030A0"/>
          <w:sz w:val="24"/>
          <w:szCs w:val="24"/>
        </w:rPr>
        <w:lastRenderedPageBreak/>
        <w:t>Introduction</w:t>
      </w:r>
      <w:bookmarkEnd w:id="6"/>
      <w:r w:rsidR="00385F34" w:rsidRPr="00915DFA">
        <w:rPr>
          <w:b/>
          <w:color w:val="7030A0"/>
          <w:sz w:val="24"/>
          <w:szCs w:val="24"/>
        </w:rPr>
        <w:br/>
      </w:r>
    </w:p>
    <w:p w:rsidR="004173EF" w:rsidRPr="004173EF" w:rsidRDefault="004173EF" w:rsidP="004173EF">
      <w:pPr>
        <w:ind w:left="720" w:right="720"/>
        <w:jc w:val="both"/>
        <w:rPr>
          <w:color w:val="385623" w:themeColor="accent6" w:themeShade="80"/>
        </w:rPr>
      </w:pPr>
      <w:r w:rsidRPr="004173EF">
        <w:rPr>
          <w:i/>
          <w:color w:val="385623" w:themeColor="accent6" w:themeShade="80"/>
        </w:rPr>
        <w:t>“Despite the evolution of normative frameworks concerning both the human rights of women and of persons with disabilities, the impact of the combined effects of both gender and disability have not gained sufficient attention, and violence against women with disabilities remains largely unaddressed.”</w:t>
      </w:r>
      <w:r w:rsidRPr="004173EF">
        <w:rPr>
          <w:color w:val="385623" w:themeColor="accent6" w:themeShade="80"/>
        </w:rPr>
        <w:t xml:space="preserve"> - Rashida Manjoo, UN Special Rapporteur on Violence against Women, its Causes and Consequences</w:t>
      </w:r>
      <w:r>
        <w:rPr>
          <w:color w:val="385623" w:themeColor="accent6" w:themeShade="80"/>
        </w:rPr>
        <w:t>.</w:t>
      </w:r>
    </w:p>
    <w:p w:rsidR="0056551F" w:rsidRDefault="00000A1D" w:rsidP="0056551F">
      <w:pPr>
        <w:jc w:val="both"/>
      </w:pPr>
      <w:r>
        <w:br/>
      </w:r>
      <w:r w:rsidR="006A0069">
        <w:t>Women with Disabilities Victoria</w:t>
      </w:r>
      <w:r w:rsidR="006A0069" w:rsidRPr="006A0069">
        <w:t xml:space="preserve"> welcomes the opportunity to contribute to the Australian Law Reform Commission’s (ALRC) Review of the Family Law System </w:t>
      </w:r>
      <w:r w:rsidR="006A0069">
        <w:t>Discussion Paper.</w:t>
      </w:r>
      <w:r w:rsidR="00D11422">
        <w:t xml:space="preserve"> </w:t>
      </w:r>
      <w:r w:rsidR="00BC753C" w:rsidRPr="00BC753C">
        <w:t xml:space="preserve">As an organisation run by and for women with disabilities, we strongly support the Discussion Paper making note of priority issues for </w:t>
      </w:r>
      <w:r w:rsidR="00F2166C">
        <w:t>people</w:t>
      </w:r>
      <w:r w:rsidR="00BC753C" w:rsidRPr="00BC753C">
        <w:t xml:space="preserve"> with disabilities</w:t>
      </w:r>
      <w:r w:rsidR="00545336">
        <w:t xml:space="preserve"> </w:t>
      </w:r>
      <w:r w:rsidR="00D9549D">
        <w:t>in</w:t>
      </w:r>
      <w:r w:rsidR="00024896">
        <w:t xml:space="preserve"> the </w:t>
      </w:r>
      <w:r w:rsidR="00545336">
        <w:t xml:space="preserve">family law system. </w:t>
      </w:r>
      <w:r w:rsidR="002B7D9C">
        <w:t xml:space="preserve">The entire Australian legal system </w:t>
      </w:r>
      <w:r w:rsidR="00024896">
        <w:t>should</w:t>
      </w:r>
      <w:r w:rsidR="002B7D9C">
        <w:t xml:space="preserve"> provide an environment </w:t>
      </w:r>
      <w:r w:rsidR="00517C3A">
        <w:t>that</w:t>
      </w:r>
      <w:r w:rsidR="002B7D9C">
        <w:t xml:space="preserve"> all </w:t>
      </w:r>
      <w:r w:rsidR="00024896">
        <w:t>people with disabilities</w:t>
      </w:r>
      <w:r w:rsidR="00BA3B8E">
        <w:t xml:space="preserve"> can access</w:t>
      </w:r>
      <w:r w:rsidR="0056551F">
        <w:t xml:space="preserve"> and</w:t>
      </w:r>
      <w:r w:rsidR="00BA3B8E">
        <w:t xml:space="preserve"> </w:t>
      </w:r>
      <w:r w:rsidR="00D9549D">
        <w:t>fully participate</w:t>
      </w:r>
      <w:r w:rsidR="0056551F">
        <w:t xml:space="preserve"> in</w:t>
      </w:r>
      <w:r>
        <w:t>, in</w:t>
      </w:r>
      <w:r w:rsidR="00154388">
        <w:t xml:space="preserve"> accordance with the </w:t>
      </w:r>
      <w:r w:rsidRPr="00000A1D">
        <w:rPr>
          <w:i/>
        </w:rPr>
        <w:t>Disability Discrimination Act</w:t>
      </w:r>
      <w:r>
        <w:t xml:space="preserve"> 1992 (Cth) and the United Nations</w:t>
      </w:r>
      <w:r w:rsidR="00154388">
        <w:t xml:space="preserve"> Convention of the Rights of Persons with Disabilities</w:t>
      </w:r>
      <w:r>
        <w:t xml:space="preserve"> (UNCRPD). </w:t>
      </w:r>
    </w:p>
    <w:p w:rsidR="00024896" w:rsidRPr="00024896" w:rsidRDefault="00F2166C" w:rsidP="00B312A3">
      <w:pPr>
        <w:jc w:val="both"/>
      </w:pPr>
      <w:r w:rsidRPr="00F2166C">
        <w:t xml:space="preserve">However, </w:t>
      </w:r>
      <w:r w:rsidR="00545336">
        <w:t>we wish to highlight some of the</w:t>
      </w:r>
      <w:r w:rsidR="00545336" w:rsidRPr="00F2166C">
        <w:t xml:space="preserve"> issues</w:t>
      </w:r>
      <w:r w:rsidRPr="00F2166C">
        <w:t xml:space="preserve"> </w:t>
      </w:r>
      <w:r w:rsidRPr="002A4055">
        <w:t>specific</w:t>
      </w:r>
      <w:r w:rsidRPr="00F2166C">
        <w:t xml:space="preserve"> to women with disabilities </w:t>
      </w:r>
      <w:r w:rsidR="00545336">
        <w:t>as people who come into contact with the family law system.</w:t>
      </w:r>
      <w:r w:rsidR="004E6661">
        <w:t xml:space="preserve"> </w:t>
      </w:r>
      <w:r w:rsidR="00024896">
        <w:t>Recently, t</w:t>
      </w:r>
      <w:r w:rsidR="00024896" w:rsidRPr="00024896">
        <w:t>he Victorian Royal Commission into Family Violence found that women with disabilities experience all kinds of violence at higher rates, increased severity and for longer than other women.</w:t>
      </w:r>
      <w:r w:rsidR="00024896">
        <w:rPr>
          <w:rStyle w:val="FootnoteReference"/>
        </w:rPr>
        <w:footnoteReference w:id="2"/>
      </w:r>
      <w:r w:rsidR="00B312A3" w:rsidRPr="00B312A3">
        <w:t xml:space="preserve"> </w:t>
      </w:r>
      <w:r w:rsidR="00B312A3" w:rsidRPr="00EC163B">
        <w:t>Research</w:t>
      </w:r>
      <w:r w:rsidR="00B312A3">
        <w:t xml:space="preserve"> also</w:t>
      </w:r>
      <w:r w:rsidR="00B312A3" w:rsidRPr="00EC163B">
        <w:t xml:space="preserve"> </w:t>
      </w:r>
      <w:r w:rsidR="00B312A3">
        <w:t>suggests</w:t>
      </w:r>
      <w:r w:rsidR="00B312A3" w:rsidRPr="00EC163B">
        <w:t xml:space="preserve"> that women with disabilities experience </w:t>
      </w:r>
      <w:r w:rsidR="00B312A3">
        <w:t xml:space="preserve">violence over their lifetime </w:t>
      </w:r>
      <w:r w:rsidR="00B312A3" w:rsidRPr="00EC163B">
        <w:t>at the hands of a greater number of perpetrators.</w:t>
      </w:r>
      <w:r w:rsidR="00B312A3" w:rsidRPr="00EC163B">
        <w:rPr>
          <w:rStyle w:val="FootnoteReference"/>
        </w:rPr>
        <w:footnoteReference w:id="3"/>
      </w:r>
    </w:p>
    <w:p w:rsidR="00021FE7" w:rsidRDefault="00B839B4" w:rsidP="00D13069">
      <w:pPr>
        <w:jc w:val="both"/>
      </w:pPr>
      <w:r w:rsidRPr="00B839B4">
        <w:t>Violence against women with disabilities is a result not only of systemic gender-bas</w:t>
      </w:r>
      <w:r w:rsidR="00021FE7">
        <w:t xml:space="preserve">ed discrimination against women, </w:t>
      </w:r>
      <w:r w:rsidRPr="00B839B4">
        <w:t>but also of disability-based discrimination against people with disabilities. These intersect with othe</w:t>
      </w:r>
      <w:r w:rsidR="00D9549D">
        <w:t xml:space="preserve">r sources of power inequalities, </w:t>
      </w:r>
      <w:r w:rsidRPr="00B839B4">
        <w:t xml:space="preserve">such as colonisation, ethnicity, citizenship status, sexuality, age and class. </w:t>
      </w:r>
      <w:r w:rsidR="00D11422">
        <w:t>As a result, w</w:t>
      </w:r>
      <w:r w:rsidR="00021FE7" w:rsidRPr="00021FE7">
        <w:t xml:space="preserve">omen with disabilities experience specific forms of violence that are often invisible to </w:t>
      </w:r>
      <w:r w:rsidR="00D9549D">
        <w:t xml:space="preserve">others, </w:t>
      </w:r>
      <w:r w:rsidR="00021FE7" w:rsidRPr="00021FE7">
        <w:t xml:space="preserve">as well as experiencing the violence and abuse that is common to all women. </w:t>
      </w:r>
    </w:p>
    <w:p w:rsidR="00B839B4" w:rsidRDefault="00021FE7" w:rsidP="00D13069">
      <w:pPr>
        <w:jc w:val="both"/>
      </w:pPr>
      <w:r w:rsidRPr="00021FE7">
        <w:t>Women with disabilities are at a greater disadvantage in respondin</w:t>
      </w:r>
      <w:r w:rsidR="00D9549D">
        <w:t xml:space="preserve">g to violence. As we found in our research ‘Voices Against Violence’, this is often because </w:t>
      </w:r>
      <w:r w:rsidR="00FC0183" w:rsidRPr="00FC0183">
        <w:t>women with disabilities may not perceive that what is occurring is violence</w:t>
      </w:r>
      <w:r w:rsidR="004061B4">
        <w:t xml:space="preserve">. </w:t>
      </w:r>
      <w:r w:rsidRPr="00021FE7">
        <w:t xml:space="preserve">Even when women with disabilities do register complaints of violence, we </w:t>
      </w:r>
      <w:r w:rsidR="00BC7A14">
        <w:t>are less likely to be believed.</w:t>
      </w:r>
      <w:r w:rsidR="004061B4">
        <w:rPr>
          <w:rStyle w:val="FootnoteReference"/>
        </w:rPr>
        <w:footnoteReference w:id="4"/>
      </w:r>
      <w:r w:rsidR="00BC7A14">
        <w:t xml:space="preserve"> </w:t>
      </w:r>
      <w:r w:rsidRPr="00021FE7">
        <w:t>Assumptions and stereotypes about carers on the other hand, depict carers as generous, hardworking peo</w:t>
      </w:r>
      <w:r w:rsidR="009D45FF">
        <w:t xml:space="preserve">ple taking on ‘burdens of care’, which </w:t>
      </w:r>
      <w:r w:rsidRPr="00021FE7">
        <w:t xml:space="preserve">does not </w:t>
      </w:r>
      <w:r w:rsidR="00480093">
        <w:t xml:space="preserve">always </w:t>
      </w:r>
      <w:r w:rsidRPr="00021FE7">
        <w:t xml:space="preserve">reflect the reality of violence and abuse that </w:t>
      </w:r>
      <w:r w:rsidR="004E6661">
        <w:t>can be</w:t>
      </w:r>
      <w:r w:rsidRPr="00021FE7">
        <w:t xml:space="preserve"> perpetrated agains</w:t>
      </w:r>
      <w:r w:rsidR="009D45FF">
        <w:t xml:space="preserve">t </w:t>
      </w:r>
      <w:r w:rsidR="004061B4">
        <w:t>women</w:t>
      </w:r>
      <w:r w:rsidR="009D45FF">
        <w:t xml:space="preserve"> with disabilities by </w:t>
      </w:r>
      <w:r w:rsidR="004E6661">
        <w:t>those</w:t>
      </w:r>
      <w:r w:rsidR="009D45FF">
        <w:t xml:space="preserve"> </w:t>
      </w:r>
      <w:r w:rsidRPr="00021FE7">
        <w:lastRenderedPageBreak/>
        <w:t xml:space="preserve">responsible for </w:t>
      </w:r>
      <w:r w:rsidR="00D11422">
        <w:t>our</w:t>
      </w:r>
      <w:r w:rsidRPr="00021FE7">
        <w:t xml:space="preserve"> care.</w:t>
      </w:r>
      <w:r w:rsidR="00FB6A76">
        <w:t xml:space="preserve"> As we found in our ‘Voices Against Violence’ research, many women with disabilities are </w:t>
      </w:r>
      <w:r w:rsidR="00FB6A76" w:rsidRPr="00FB6A76">
        <w:t>made to feel that they should be grateful to anyone who was providing care for them</w:t>
      </w:r>
      <w:r w:rsidR="00FB6A76">
        <w:t>.</w:t>
      </w:r>
      <w:r w:rsidR="00FB6A76">
        <w:rPr>
          <w:rStyle w:val="FootnoteReference"/>
        </w:rPr>
        <w:footnoteReference w:id="5"/>
      </w:r>
    </w:p>
    <w:p w:rsidR="00E563E1" w:rsidRDefault="00E563E1" w:rsidP="00D13069">
      <w:pPr>
        <w:jc w:val="both"/>
      </w:pPr>
      <w:r w:rsidRPr="00E563E1">
        <w:t xml:space="preserve">Women with disabilities also do not enjoy the same levels of social and economic resources </w:t>
      </w:r>
      <w:r w:rsidR="00893AC3">
        <w:t>as</w:t>
      </w:r>
      <w:r w:rsidRPr="00E563E1">
        <w:t xml:space="preserve"> the general community and</w:t>
      </w:r>
      <w:r w:rsidR="00B260CF">
        <w:t xml:space="preserve"> are</w:t>
      </w:r>
      <w:r w:rsidRPr="00E563E1">
        <w:t xml:space="preserve"> more likely to live in poverty.</w:t>
      </w:r>
      <w:r w:rsidR="00D73A5E">
        <w:rPr>
          <w:rStyle w:val="FootnoteReference"/>
        </w:rPr>
        <w:footnoteReference w:id="6"/>
      </w:r>
      <w:r w:rsidRPr="00E563E1">
        <w:t xml:space="preserve"> Because of negative community attitudes towards disability, ingrained cultural assumptions, systemic disadvantage and discrimination, we also experience high rates of removal of our children from our care, particularly thro</w:t>
      </w:r>
      <w:r w:rsidR="00D73A5E">
        <w:t>ugh the child protection system or through parenting orders in the Family Court.</w:t>
      </w:r>
      <w:r w:rsidR="00316D29" w:rsidRPr="00316D29">
        <w:t xml:space="preserve"> </w:t>
      </w:r>
      <w:r w:rsidR="00D73A5E" w:rsidRPr="004E5BDD">
        <w:t xml:space="preserve">Mothers with disability are up to ten times more likely than other parents to have a child removed from their care by authorities on the basis of the mother’s disability, rather than </w:t>
      </w:r>
      <w:r w:rsidR="00D73A5E">
        <w:t>any evidence of child neglect.</w:t>
      </w:r>
      <w:r w:rsidR="00D73A5E">
        <w:rPr>
          <w:rStyle w:val="FootnoteReference"/>
        </w:rPr>
        <w:footnoteReference w:id="7"/>
      </w:r>
      <w:r w:rsidR="00D73A5E">
        <w:t xml:space="preserve"> </w:t>
      </w:r>
      <w:r w:rsidR="00316D29" w:rsidRPr="00316D29">
        <w:t>If a child is ultimately placed in pe</w:t>
      </w:r>
      <w:r w:rsidR="00316D29">
        <w:t>rmanent care as a result of formal removal or child protection intervention</w:t>
      </w:r>
      <w:r w:rsidR="00316D29" w:rsidRPr="00316D29">
        <w:t>, the legal relationship between the child and the parents is effectively severed.</w:t>
      </w:r>
      <w:r w:rsidR="004E5BDD">
        <w:t xml:space="preserve"> </w:t>
      </w:r>
    </w:p>
    <w:p w:rsidR="00021FE7" w:rsidRDefault="000E2115" w:rsidP="00D13069">
      <w:pPr>
        <w:jc w:val="both"/>
      </w:pPr>
      <w:r>
        <w:t>W</w:t>
      </w:r>
      <w:r w:rsidR="008E2A87">
        <w:t>e</w:t>
      </w:r>
      <w:r w:rsidR="004E6661">
        <w:t xml:space="preserve"> specifically support</w:t>
      </w:r>
      <w:r w:rsidR="008E2A87">
        <w:t xml:space="preserve"> taking a social model </w:t>
      </w:r>
      <w:r w:rsidR="004E6661">
        <w:t>approach to understanding</w:t>
      </w:r>
      <w:r w:rsidR="008E2A87">
        <w:t xml:space="preserve"> disability. </w:t>
      </w:r>
      <w:r w:rsidR="003C294D">
        <w:t>This approach is reflected in the United Nations Convention on the Rights of Persons with Disabilities (UNCRPD).</w:t>
      </w:r>
      <w:r w:rsidR="004A428D">
        <w:rPr>
          <w:rStyle w:val="FootnoteReference"/>
        </w:rPr>
        <w:footnoteReference w:id="8"/>
      </w:r>
      <w:r w:rsidR="003C294D">
        <w:t xml:space="preserve"> </w:t>
      </w:r>
      <w:r w:rsidR="00A63B61" w:rsidRPr="00A63B61">
        <w:t>The social model of disability provides a conceptual framework for social inclusion</w:t>
      </w:r>
      <w:r w:rsidR="001F0EC2">
        <w:t xml:space="preserve"> and does not see</w:t>
      </w:r>
      <w:r w:rsidR="00A63B61" w:rsidRPr="00A63B61">
        <w:t xml:space="preserve"> having an impairment itself a</w:t>
      </w:r>
      <w:r w:rsidR="001F0EC2">
        <w:t>s a</w:t>
      </w:r>
      <w:r w:rsidR="004C36BF">
        <w:t xml:space="preserve"> barrier</w:t>
      </w:r>
      <w:r w:rsidR="00A63B61" w:rsidRPr="00A63B61">
        <w:t>. A social model of disability views disability as the result of the interaction between living with impairments and an environment filled with physical, attitudinal, communication and social barriers. The social model of disability is a recognised way to view and addre</w:t>
      </w:r>
      <w:r w:rsidR="001F0EC2">
        <w:t>ss barriers to social inclusion</w:t>
      </w:r>
      <w:r w:rsidR="00D67057">
        <w:rPr>
          <w:rStyle w:val="FootnoteReference"/>
        </w:rPr>
        <w:footnoteReference w:id="9"/>
      </w:r>
      <w:r w:rsidR="001F0EC2">
        <w:t xml:space="preserve"> and is the approach the ALRC should take towards </w:t>
      </w:r>
      <w:r w:rsidR="008E2A87">
        <w:t xml:space="preserve">disability in </w:t>
      </w:r>
      <w:r w:rsidR="001F0EC2">
        <w:t xml:space="preserve">any review </w:t>
      </w:r>
      <w:r w:rsidR="00D11422">
        <w:t xml:space="preserve">of the family law system and in making </w:t>
      </w:r>
      <w:r>
        <w:t>recommendations for law reform.</w:t>
      </w:r>
      <w:r w:rsidR="00D11422">
        <w:t xml:space="preserve"> </w:t>
      </w:r>
      <w:r w:rsidR="00FF4F1B">
        <w:t xml:space="preserve">A social model view of disability should also recognise the </w:t>
      </w:r>
      <w:r w:rsidR="00FF4F1B" w:rsidRPr="00FF4F1B">
        <w:t>evolving capacities of children with disabilities and respect for the right of children with disabilities to preserve their identities.</w:t>
      </w:r>
    </w:p>
    <w:p w:rsidR="004E74BB" w:rsidRDefault="00021FE7" w:rsidP="00FE2130">
      <w:pPr>
        <w:jc w:val="both"/>
      </w:pPr>
      <w:r>
        <w:t xml:space="preserve">We also stress the need </w:t>
      </w:r>
      <w:r w:rsidR="00D67057">
        <w:t>for an intersectional</w:t>
      </w:r>
      <w:r w:rsidR="004E74BB">
        <w:t xml:space="preserve"> and </w:t>
      </w:r>
      <w:r w:rsidR="00007CB0">
        <w:t xml:space="preserve">human </w:t>
      </w:r>
      <w:r w:rsidR="004E74BB">
        <w:t>rights-based</w:t>
      </w:r>
      <w:r w:rsidR="00D67057">
        <w:t xml:space="preserve"> approach </w:t>
      </w:r>
      <w:r w:rsidR="001557E1">
        <w:t xml:space="preserve">to the family law system </w:t>
      </w:r>
      <w:r w:rsidR="00D67057">
        <w:t xml:space="preserve">which acknowledges the </w:t>
      </w:r>
      <w:r w:rsidR="00D67057" w:rsidRPr="00D67057">
        <w:t xml:space="preserve">intersection </w:t>
      </w:r>
      <w:r w:rsidR="00B745D0">
        <w:t xml:space="preserve">of gender, disability, language, </w:t>
      </w:r>
      <w:r w:rsidR="00D67057" w:rsidRPr="00D67057">
        <w:t>cultural background and other characteristics or identities that are</w:t>
      </w:r>
      <w:r w:rsidR="004E74BB">
        <w:t xml:space="preserve"> associated with disadvantage. Such an approach </w:t>
      </w:r>
      <w:r>
        <w:t xml:space="preserve">should </w:t>
      </w:r>
      <w:r w:rsidR="00054A9A">
        <w:t xml:space="preserve">also </w:t>
      </w:r>
      <w:r>
        <w:t xml:space="preserve">acknowledge the rights </w:t>
      </w:r>
      <w:r w:rsidR="004E74BB">
        <w:t xml:space="preserve">of adults </w:t>
      </w:r>
      <w:r w:rsidR="004E74BB" w:rsidRPr="00333117">
        <w:rPr>
          <w:i/>
        </w:rPr>
        <w:t>and</w:t>
      </w:r>
      <w:r w:rsidR="004E74BB">
        <w:t xml:space="preserve"> children, including women’s rights</w:t>
      </w:r>
      <w:r w:rsidR="00054A9A">
        <w:t xml:space="preserve"> </w:t>
      </w:r>
      <w:r>
        <w:t xml:space="preserve">to </w:t>
      </w:r>
      <w:r w:rsidR="008970F3">
        <w:t xml:space="preserve">live </w:t>
      </w:r>
      <w:r>
        <w:t>free f</w:t>
      </w:r>
      <w:r w:rsidR="00007CB0">
        <w:t xml:space="preserve">rom violence and abuse </w:t>
      </w:r>
      <w:r>
        <w:t>as well as the disadvantage wome</w:t>
      </w:r>
      <w:r w:rsidR="004E74BB">
        <w:t xml:space="preserve">n face in the family law system, acknowledging that the </w:t>
      </w:r>
      <w:r w:rsidR="004E74BB" w:rsidRPr="004E74BB">
        <w:t>family law system can be used by perpetrators t</w:t>
      </w:r>
      <w:r w:rsidR="004E74BB">
        <w:t>o further victimise women and children.</w:t>
      </w:r>
    </w:p>
    <w:p w:rsidR="00333117" w:rsidRDefault="00417A6C" w:rsidP="003240A0">
      <w:pPr>
        <w:jc w:val="both"/>
      </w:pPr>
      <w:r w:rsidRPr="00417A6C">
        <w:t>A dominant fear for women</w:t>
      </w:r>
      <w:r w:rsidR="00007CB0">
        <w:t xml:space="preserve"> with disabilities interviewed</w:t>
      </w:r>
      <w:r w:rsidRPr="00417A6C">
        <w:t xml:space="preserve"> in our research </w:t>
      </w:r>
      <w:r w:rsidR="00007CB0">
        <w:t>is</w:t>
      </w:r>
      <w:r w:rsidRPr="00417A6C">
        <w:t xml:space="preserve"> that their children would be removed if they told anyone about the</w:t>
      </w:r>
      <w:r w:rsidR="00007CB0">
        <w:t xml:space="preserve">ir experiences of </w:t>
      </w:r>
      <w:r w:rsidR="00D9549D">
        <w:t xml:space="preserve">family </w:t>
      </w:r>
      <w:r w:rsidR="00007CB0">
        <w:t>violence</w:t>
      </w:r>
      <w:r w:rsidRPr="00417A6C">
        <w:t>.</w:t>
      </w:r>
      <w:r>
        <w:rPr>
          <w:rStyle w:val="FootnoteReference"/>
        </w:rPr>
        <w:footnoteReference w:id="10"/>
      </w:r>
      <w:r w:rsidRPr="00417A6C">
        <w:t xml:space="preserve"> </w:t>
      </w:r>
      <w:r>
        <w:t>Sadly, t</w:t>
      </w:r>
      <w:r w:rsidRPr="00417A6C">
        <w:t xml:space="preserve">hese fears are often </w:t>
      </w:r>
      <w:r w:rsidRPr="00417A6C">
        <w:lastRenderedPageBreak/>
        <w:t>realised. For interviewees in our research, children were sometimes placed in the custody of a violent partner without a disability. While we understand that one of the influences</w:t>
      </w:r>
      <w:r w:rsidR="00007CB0">
        <w:t xml:space="preserve"> of the family law system is upholding the</w:t>
      </w:r>
      <w:r w:rsidRPr="00417A6C">
        <w:t xml:space="preserve"> best interests of children, </w:t>
      </w:r>
      <w:r w:rsidR="00007CB0">
        <w:t>for</w:t>
      </w:r>
      <w:r w:rsidRPr="00417A6C">
        <w:t xml:space="preserve"> women with di</w:t>
      </w:r>
      <w:r w:rsidR="008969D2">
        <w:t xml:space="preserve">sabilities, </w:t>
      </w:r>
      <w:r w:rsidR="00D32368">
        <w:t>a</w:t>
      </w:r>
      <w:r w:rsidR="00D32368" w:rsidRPr="00D32368">
        <w:t xml:space="preserve"> child centred approach to post-separation parenting </w:t>
      </w:r>
      <w:r w:rsidR="008969D2">
        <w:t xml:space="preserve">causes concern, </w:t>
      </w:r>
      <w:r w:rsidRPr="00417A6C">
        <w:t>as the child protection system</w:t>
      </w:r>
      <w:r w:rsidR="00007CB0">
        <w:t xml:space="preserve"> and courts have</w:t>
      </w:r>
      <w:r w:rsidRPr="00417A6C">
        <w:t xml:space="preserve"> been shown to significantly discriminate against women with disabilities as parents</w:t>
      </w:r>
      <w:r>
        <w:t>.</w:t>
      </w:r>
      <w:r w:rsidRPr="00417A6C">
        <w:t xml:space="preserve"> </w:t>
      </w:r>
      <w:r w:rsidR="00BA3B8E">
        <w:t xml:space="preserve">Much of the </w:t>
      </w:r>
      <w:r w:rsidRPr="00417A6C">
        <w:t>perceived parenting difficulties experienced by parents with disabilities are most likely to be due to social and economic factors such as poverty, inadequate housing, and social isolation</w:t>
      </w:r>
      <w:r w:rsidR="008969D2">
        <w:t>,</w:t>
      </w:r>
      <w:r w:rsidRPr="00417A6C">
        <w:t xml:space="preserve"> rather than due to their disabilities.</w:t>
      </w:r>
      <w:r w:rsidR="00007CB0">
        <w:rPr>
          <w:rStyle w:val="FootnoteReference"/>
        </w:rPr>
        <w:footnoteReference w:id="11"/>
      </w:r>
      <w:r w:rsidR="006C7C42">
        <w:t xml:space="preserve"> </w:t>
      </w:r>
      <w:r>
        <w:t xml:space="preserve">This is why </w:t>
      </w:r>
      <w:r w:rsidR="006C7C42">
        <w:t xml:space="preserve">we recommend that </w:t>
      </w:r>
      <w:r>
        <w:t>s</w:t>
      </w:r>
      <w:r w:rsidR="00021FE7">
        <w:t xml:space="preserve">afety </w:t>
      </w:r>
      <w:r w:rsidR="00F0175B">
        <w:t xml:space="preserve">for women </w:t>
      </w:r>
      <w:r w:rsidR="00021FE7">
        <w:t>must</w:t>
      </w:r>
      <w:r w:rsidR="00B745D0">
        <w:t xml:space="preserve"> be </w:t>
      </w:r>
      <w:r w:rsidR="003240A0">
        <w:t xml:space="preserve">specifically </w:t>
      </w:r>
      <w:r w:rsidR="00B745D0">
        <w:t xml:space="preserve">recognised as a key pillar </w:t>
      </w:r>
      <w:r w:rsidR="00007CB0">
        <w:t>of</w:t>
      </w:r>
      <w:r w:rsidR="00B745D0">
        <w:t xml:space="preserve"> the </w:t>
      </w:r>
      <w:r w:rsidR="008970F3" w:rsidRPr="00FC03F3">
        <w:rPr>
          <w:i/>
        </w:rPr>
        <w:t>Family Law Act 1975</w:t>
      </w:r>
      <w:r w:rsidR="008970F3" w:rsidRPr="008970F3">
        <w:t xml:space="preserve"> (Cth)</w:t>
      </w:r>
      <w:r w:rsidR="00154D86" w:rsidRPr="00154D86">
        <w:t xml:space="preserve"> </w:t>
      </w:r>
      <w:r w:rsidR="00154D86">
        <w:t xml:space="preserve">(‘Family Law Act’). </w:t>
      </w:r>
    </w:p>
    <w:p w:rsidR="002602E8" w:rsidRPr="00915DFA" w:rsidRDefault="00620F5C" w:rsidP="002602E8">
      <w:pPr>
        <w:pStyle w:val="Heading2"/>
        <w:rPr>
          <w:rFonts w:asciiTheme="minorHAnsi" w:hAnsiTheme="minorHAnsi"/>
          <w:b/>
          <w:color w:val="7030A0"/>
          <w:sz w:val="24"/>
          <w:szCs w:val="24"/>
        </w:rPr>
      </w:pPr>
      <w:bookmarkStart w:id="7" w:name="_Toc529796897"/>
      <w:r w:rsidRPr="00915DFA">
        <w:rPr>
          <w:rFonts w:asciiTheme="minorHAnsi" w:hAnsiTheme="minorHAnsi"/>
          <w:b/>
          <w:color w:val="7030A0"/>
          <w:sz w:val="24"/>
          <w:szCs w:val="24"/>
        </w:rPr>
        <w:t>A note about language</w:t>
      </w:r>
      <w:bookmarkEnd w:id="7"/>
      <w:r w:rsidR="002602E8" w:rsidRPr="00915DFA">
        <w:rPr>
          <w:rFonts w:asciiTheme="minorHAnsi" w:hAnsiTheme="minorHAnsi"/>
          <w:b/>
          <w:color w:val="7030A0"/>
          <w:sz w:val="24"/>
          <w:szCs w:val="24"/>
        </w:rPr>
        <w:br/>
      </w:r>
    </w:p>
    <w:p w:rsidR="00FB6A76" w:rsidRDefault="00620F5C" w:rsidP="00FB6A76">
      <w:pPr>
        <w:jc w:val="both"/>
      </w:pPr>
      <w:r w:rsidRPr="00620F5C">
        <w:t>Many people with disabilities have come to refer to themselves as ‘targeted’ and ‘at risk’ rather than ‘vulnerable.’ This change of language shifts the focus away from a blaming tone towards the victim</w:t>
      </w:r>
      <w:r w:rsidR="008470A8">
        <w:t>/survivor</w:t>
      </w:r>
      <w:r w:rsidRPr="00620F5C">
        <w:t xml:space="preserve"> – and on to the people who choose to abuse people with disabilities and the social conditions that make </w:t>
      </w:r>
      <w:r w:rsidR="004C36BF">
        <w:t xml:space="preserve">this common. </w:t>
      </w:r>
      <w:r w:rsidR="008470A8">
        <w:t>Where relevant, this language should be adopted over language which paints women with disabilities as powerless.</w:t>
      </w:r>
    </w:p>
    <w:p w:rsidR="00FB6A76" w:rsidRPr="00FB6A76" w:rsidRDefault="00FB6A76" w:rsidP="00FB6A76">
      <w:pPr>
        <w:jc w:val="both"/>
      </w:pPr>
    </w:p>
    <w:p w:rsidR="00FB6A76" w:rsidRPr="00FB6A76" w:rsidRDefault="00FB6A76" w:rsidP="00FB6A76">
      <w:pPr>
        <w:ind w:left="1440" w:right="1440"/>
        <w:jc w:val="both"/>
        <w:rPr>
          <w:i/>
          <w:color w:val="385623" w:themeColor="accent6" w:themeShade="80"/>
          <w:sz w:val="21"/>
          <w:szCs w:val="21"/>
        </w:rPr>
      </w:pPr>
      <w:r w:rsidRPr="00FB6A76">
        <w:rPr>
          <w:i/>
          <w:color w:val="385623" w:themeColor="accent6" w:themeShade="80"/>
          <w:sz w:val="21"/>
          <w:szCs w:val="21"/>
        </w:rPr>
        <w:t>“I found they [court workers] were as supportive as they could be… It was more the system that prevented them or myself accessing other things.</w:t>
      </w:r>
    </w:p>
    <w:p w:rsidR="00FB6A76" w:rsidRPr="00FB6A76" w:rsidRDefault="00FB6A76" w:rsidP="00FB6A76">
      <w:pPr>
        <w:ind w:left="1440" w:right="1440"/>
        <w:jc w:val="both"/>
        <w:rPr>
          <w:i/>
          <w:color w:val="385623" w:themeColor="accent6" w:themeShade="80"/>
          <w:sz w:val="21"/>
          <w:szCs w:val="21"/>
        </w:rPr>
      </w:pPr>
      <w:r w:rsidRPr="00FB6A76">
        <w:rPr>
          <w:i/>
          <w:color w:val="385623" w:themeColor="accent6" w:themeShade="80"/>
          <w:sz w:val="21"/>
          <w:szCs w:val="21"/>
        </w:rPr>
        <w:t>I found the actual physical accessibility to the courts… was horrible! I had to ride past Ethan [the man who raped her], nearly running over his feet because there wasn’t enough space between the chairs to get to the witness stand. It’s bad enough having to go to court as it is, without trying to meander through this and knocking that chair, knocking that chair and then you’re faced with steps, either that or you sit there, feeling naked because there’s nothing around you in your wheelchair. It disempowered me going in to that court. Steps up to the witness stand!</w:t>
      </w:r>
    </w:p>
    <w:p w:rsidR="00D43079" w:rsidRDefault="00FB6A76" w:rsidP="00FB6A76">
      <w:pPr>
        <w:ind w:left="1440" w:right="1440"/>
        <w:jc w:val="both"/>
      </w:pPr>
      <w:r w:rsidRPr="00FB6A76">
        <w:rPr>
          <w:i/>
          <w:color w:val="385623" w:themeColor="accent6" w:themeShade="80"/>
          <w:sz w:val="21"/>
          <w:szCs w:val="21"/>
        </w:rPr>
        <w:t xml:space="preserve">And that was the big beef I had with the court system. Given the amount of cases they must hear every day and the number of re-vamps they’ve done and renovations they’ve obviously not taken disability in to consideration within the court.” </w:t>
      </w:r>
      <w:r w:rsidRPr="00FB6A76">
        <w:rPr>
          <w:color w:val="385623" w:themeColor="accent6" w:themeShade="80"/>
          <w:sz w:val="21"/>
          <w:szCs w:val="21"/>
        </w:rPr>
        <w:t>- Janet.</w:t>
      </w:r>
      <w:r w:rsidRPr="00FB6A76">
        <w:rPr>
          <w:color w:val="385623" w:themeColor="accent6" w:themeShade="80"/>
        </w:rPr>
        <w:t xml:space="preserve"> </w:t>
      </w:r>
      <w:r>
        <w:rPr>
          <w:rStyle w:val="FootnoteReference"/>
          <w:color w:val="385623" w:themeColor="accent6" w:themeShade="80"/>
        </w:rPr>
        <w:footnoteReference w:id="12"/>
      </w:r>
      <w:bookmarkStart w:id="8" w:name="_Toc529796898"/>
    </w:p>
    <w:p w:rsidR="00D43079" w:rsidRDefault="00D43079" w:rsidP="00FB6A76">
      <w:pPr>
        <w:ind w:left="1440" w:right="1440"/>
        <w:jc w:val="both"/>
        <w:rPr>
          <w:b/>
          <w:color w:val="7030A0"/>
          <w:sz w:val="24"/>
          <w:szCs w:val="24"/>
        </w:rPr>
      </w:pPr>
    </w:p>
    <w:p w:rsidR="00D43079" w:rsidRDefault="00D43079" w:rsidP="00FB6A76">
      <w:pPr>
        <w:ind w:left="1440" w:right="1440"/>
        <w:jc w:val="both"/>
        <w:rPr>
          <w:b/>
          <w:color w:val="7030A0"/>
          <w:sz w:val="24"/>
          <w:szCs w:val="24"/>
        </w:rPr>
      </w:pPr>
    </w:p>
    <w:p w:rsidR="00D43079" w:rsidRDefault="00D43079" w:rsidP="00FB6A76">
      <w:pPr>
        <w:ind w:left="1440" w:right="1440"/>
        <w:jc w:val="both"/>
        <w:rPr>
          <w:b/>
          <w:color w:val="7030A0"/>
          <w:sz w:val="24"/>
          <w:szCs w:val="24"/>
        </w:rPr>
      </w:pPr>
    </w:p>
    <w:p w:rsidR="00317A58" w:rsidRDefault="00317A58" w:rsidP="00317A58">
      <w:pPr>
        <w:ind w:right="1440"/>
        <w:jc w:val="both"/>
        <w:rPr>
          <w:b/>
          <w:color w:val="7030A0"/>
          <w:sz w:val="24"/>
          <w:szCs w:val="24"/>
        </w:rPr>
      </w:pPr>
    </w:p>
    <w:p w:rsidR="00BC753C" w:rsidRPr="00D43079" w:rsidRDefault="00BC753C" w:rsidP="00FB6A76">
      <w:pPr>
        <w:ind w:left="1440" w:right="1440"/>
        <w:jc w:val="both"/>
        <w:rPr>
          <w:b/>
          <w:sz w:val="28"/>
          <w:szCs w:val="28"/>
        </w:rPr>
      </w:pPr>
      <w:r w:rsidRPr="00D43079">
        <w:rPr>
          <w:b/>
          <w:color w:val="7030A0"/>
          <w:sz w:val="28"/>
          <w:szCs w:val="28"/>
        </w:rPr>
        <w:lastRenderedPageBreak/>
        <w:t>Commentary</w:t>
      </w:r>
      <w:r w:rsidR="00D90972" w:rsidRPr="00D43079">
        <w:rPr>
          <w:b/>
          <w:color w:val="7030A0"/>
          <w:sz w:val="28"/>
          <w:szCs w:val="28"/>
        </w:rPr>
        <w:t xml:space="preserve"> on proposals and responses to questions</w:t>
      </w:r>
      <w:bookmarkEnd w:id="8"/>
    </w:p>
    <w:p w:rsidR="00AB78A1" w:rsidRDefault="008969D2" w:rsidP="00D13069">
      <w:pPr>
        <w:jc w:val="both"/>
      </w:pPr>
      <w:r>
        <w:br/>
      </w:r>
      <w:r w:rsidR="00BC753C" w:rsidRPr="00BC753C">
        <w:t xml:space="preserve">We base these </w:t>
      </w:r>
      <w:r w:rsidR="008C4E5F">
        <w:t xml:space="preserve">responses and recommendations </w:t>
      </w:r>
      <w:r w:rsidR="00BC753C" w:rsidRPr="00BC753C">
        <w:t xml:space="preserve">on our research, reports from stakeholders and consultation with members. </w:t>
      </w:r>
    </w:p>
    <w:p w:rsidR="00AB78A1" w:rsidRPr="00915DFA" w:rsidRDefault="009A6757" w:rsidP="002602E8">
      <w:pPr>
        <w:pStyle w:val="Heading3"/>
        <w:rPr>
          <w:rFonts w:asciiTheme="minorHAnsi" w:hAnsiTheme="minorHAnsi"/>
          <w:b/>
          <w:color w:val="7030A0"/>
        </w:rPr>
      </w:pPr>
      <w:bookmarkStart w:id="9" w:name="_Toc529796899"/>
      <w:r w:rsidRPr="00915DFA">
        <w:rPr>
          <w:rFonts w:asciiTheme="minorHAnsi" w:hAnsiTheme="minorHAnsi"/>
          <w:b/>
          <w:color w:val="7030A0"/>
        </w:rPr>
        <w:t>Supported decision making</w:t>
      </w:r>
      <w:bookmarkEnd w:id="9"/>
      <w:r w:rsidR="002602E8" w:rsidRPr="00915DFA">
        <w:rPr>
          <w:rFonts w:asciiTheme="minorHAnsi" w:hAnsiTheme="minorHAnsi"/>
          <w:b/>
          <w:color w:val="7030A0"/>
        </w:rPr>
        <w:br/>
      </w:r>
    </w:p>
    <w:p w:rsidR="00ED302D" w:rsidRPr="00D13069" w:rsidRDefault="00062B75" w:rsidP="00865D94">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b/>
        </w:rPr>
      </w:pPr>
      <w:r w:rsidRPr="00D13069">
        <w:rPr>
          <w:b/>
        </w:rPr>
        <w:t>Proposal 9 -1:</w:t>
      </w:r>
      <w:r w:rsidRPr="00865D94">
        <w:t xml:space="preserve"> </w:t>
      </w:r>
      <w:r w:rsidR="00ED302D" w:rsidRPr="00865D94">
        <w:t>The Family Law Act 1975 (Cth) should include a supported decision making framework for people with disability to recognise they have the right to make choices for themselves. The provisions should be in a form consistent with the following recommendations of the ALRC Report 124, Equality, Capacity and Dis</w:t>
      </w:r>
      <w:r w:rsidR="001618F0" w:rsidRPr="00865D94">
        <w:t xml:space="preserve">ability in Commonwealth Laws: </w:t>
      </w:r>
      <w:r w:rsidR="00ED302D" w:rsidRPr="00865D94">
        <w:rPr>
          <w:rFonts w:ascii="Calibri" w:hAnsi="Calibri"/>
        </w:rPr>
        <w:t>Recommendations 3–1 to 3–4 on National Decision Making P</w:t>
      </w:r>
      <w:r w:rsidR="001618F0" w:rsidRPr="00865D94">
        <w:rPr>
          <w:rFonts w:ascii="Calibri" w:hAnsi="Calibri"/>
        </w:rPr>
        <w:t>rinciples and Guidelines; and</w:t>
      </w:r>
      <w:r w:rsidRPr="00865D94">
        <w:t xml:space="preserve"> </w:t>
      </w:r>
      <w:r w:rsidR="00ED302D" w:rsidRPr="00865D94">
        <w:rPr>
          <w:rFonts w:ascii="Calibri" w:hAnsi="Calibri"/>
        </w:rPr>
        <w:t>Recommendations 4–3 to 4–5 on the appointment, recognition, functions and duties of a ‘supporter’.</w:t>
      </w:r>
    </w:p>
    <w:p w:rsidR="00C819B3" w:rsidRDefault="00210D5B" w:rsidP="00D13069">
      <w:pPr>
        <w:jc w:val="both"/>
        <w:rPr>
          <w:rFonts w:ascii="Calibri" w:hAnsi="Calibri"/>
        </w:rPr>
      </w:pPr>
      <w:r>
        <w:rPr>
          <w:rFonts w:ascii="Calibri" w:hAnsi="Calibri"/>
        </w:rPr>
        <w:t>We agree</w:t>
      </w:r>
      <w:r w:rsidR="009646EB">
        <w:rPr>
          <w:rFonts w:ascii="Calibri" w:hAnsi="Calibri"/>
        </w:rPr>
        <w:t xml:space="preserve"> that </w:t>
      </w:r>
      <w:r w:rsidR="00D11422">
        <w:rPr>
          <w:rFonts w:ascii="Calibri" w:hAnsi="Calibri"/>
        </w:rPr>
        <w:t>a renewed</w:t>
      </w:r>
      <w:r w:rsidR="009646EB">
        <w:rPr>
          <w:rFonts w:ascii="Calibri" w:hAnsi="Calibri"/>
        </w:rPr>
        <w:t xml:space="preserve"> </w:t>
      </w:r>
      <w:r w:rsidR="008969D2" w:rsidRPr="00FF204E">
        <w:rPr>
          <w:rFonts w:ascii="Calibri" w:hAnsi="Calibri"/>
          <w:i/>
        </w:rPr>
        <w:t>Family Law Act</w:t>
      </w:r>
      <w:r w:rsidR="008E40B3">
        <w:rPr>
          <w:rFonts w:ascii="Calibri" w:hAnsi="Calibri"/>
        </w:rPr>
        <w:t xml:space="preserve"> </w:t>
      </w:r>
      <w:r w:rsidR="00FF204E">
        <w:rPr>
          <w:rFonts w:ascii="Calibri" w:hAnsi="Calibri"/>
        </w:rPr>
        <w:t xml:space="preserve">1975 (Cth) </w:t>
      </w:r>
      <w:r w:rsidR="009646EB">
        <w:rPr>
          <w:rFonts w:ascii="Calibri" w:hAnsi="Calibri"/>
        </w:rPr>
        <w:t xml:space="preserve">should include a supported decision making (SDM) framework </w:t>
      </w:r>
      <w:r w:rsidR="00254805">
        <w:rPr>
          <w:rFonts w:ascii="Calibri" w:hAnsi="Calibri"/>
        </w:rPr>
        <w:t>to ensure that</w:t>
      </w:r>
      <w:r w:rsidR="009646EB">
        <w:rPr>
          <w:rFonts w:ascii="Calibri" w:hAnsi="Calibri"/>
        </w:rPr>
        <w:t xml:space="preserve"> people with disabilities </w:t>
      </w:r>
      <w:r w:rsidR="00254805">
        <w:rPr>
          <w:rFonts w:ascii="Calibri" w:hAnsi="Calibri"/>
        </w:rPr>
        <w:t>have a right</w:t>
      </w:r>
      <w:r w:rsidR="009646EB">
        <w:rPr>
          <w:rFonts w:ascii="Calibri" w:hAnsi="Calibri"/>
        </w:rPr>
        <w:t xml:space="preserve"> to make c</w:t>
      </w:r>
      <w:r w:rsidR="00254805">
        <w:rPr>
          <w:rFonts w:ascii="Calibri" w:hAnsi="Calibri"/>
        </w:rPr>
        <w:t>hoices for themselves</w:t>
      </w:r>
      <w:r w:rsidR="008C4E5F">
        <w:rPr>
          <w:rFonts w:ascii="Calibri" w:hAnsi="Calibri"/>
        </w:rPr>
        <w:t xml:space="preserve">. </w:t>
      </w:r>
      <w:r w:rsidR="007608B2">
        <w:rPr>
          <w:rFonts w:ascii="Calibri" w:hAnsi="Calibri"/>
        </w:rPr>
        <w:t>We agree</w:t>
      </w:r>
      <w:r w:rsidR="009646EB">
        <w:rPr>
          <w:rFonts w:ascii="Calibri" w:hAnsi="Calibri"/>
        </w:rPr>
        <w:t xml:space="preserve"> that these provisions should be consistent with the ALRC’s recommendations in ALRC Report 124, </w:t>
      </w:r>
      <w:r w:rsidR="009646EB" w:rsidRPr="009646EB">
        <w:rPr>
          <w:rFonts w:ascii="Calibri" w:hAnsi="Calibri"/>
        </w:rPr>
        <w:t>Equality, Capacity and Disabilit</w:t>
      </w:r>
      <w:r w:rsidR="00FF204E">
        <w:rPr>
          <w:rFonts w:ascii="Calibri" w:hAnsi="Calibri"/>
        </w:rPr>
        <w:t xml:space="preserve">y in Commonwealth Laws and the UNCRPD. </w:t>
      </w:r>
    </w:p>
    <w:p w:rsidR="007A2597" w:rsidRDefault="002E3B9D" w:rsidP="003A0A23">
      <w:pPr>
        <w:jc w:val="both"/>
        <w:rPr>
          <w:rFonts w:ascii="Calibri" w:hAnsi="Calibri"/>
        </w:rPr>
      </w:pPr>
      <w:r>
        <w:rPr>
          <w:rFonts w:ascii="Calibri" w:hAnsi="Calibri"/>
        </w:rPr>
        <w:t>A supported d</w:t>
      </w:r>
      <w:r w:rsidR="00915DFA">
        <w:rPr>
          <w:rFonts w:ascii="Calibri" w:hAnsi="Calibri"/>
        </w:rPr>
        <w:t xml:space="preserve">ecision-making </w:t>
      </w:r>
      <w:r>
        <w:rPr>
          <w:rFonts w:ascii="Calibri" w:hAnsi="Calibri"/>
        </w:rPr>
        <w:t xml:space="preserve">framework within the </w:t>
      </w:r>
      <w:r w:rsidRPr="002E3B9D">
        <w:rPr>
          <w:rFonts w:ascii="Calibri" w:hAnsi="Calibri"/>
          <w:i/>
        </w:rPr>
        <w:t>Family Law Act</w:t>
      </w:r>
      <w:r w:rsidRPr="002E3B9D">
        <w:rPr>
          <w:rFonts w:ascii="Calibri" w:hAnsi="Calibri"/>
        </w:rPr>
        <w:t xml:space="preserve"> 1975 (Cth)</w:t>
      </w:r>
      <w:r>
        <w:rPr>
          <w:rFonts w:ascii="Calibri" w:hAnsi="Calibri"/>
        </w:rPr>
        <w:t xml:space="preserve"> </w:t>
      </w:r>
      <w:r w:rsidR="000977CC">
        <w:rPr>
          <w:rFonts w:ascii="Calibri" w:hAnsi="Calibri"/>
        </w:rPr>
        <w:t xml:space="preserve">should </w:t>
      </w:r>
      <w:r>
        <w:rPr>
          <w:rFonts w:ascii="Calibri" w:hAnsi="Calibri"/>
        </w:rPr>
        <w:t>ensure that</w:t>
      </w:r>
      <w:r w:rsidR="000977CC">
        <w:rPr>
          <w:rFonts w:ascii="Calibri" w:hAnsi="Calibri"/>
        </w:rPr>
        <w:t xml:space="preserve"> </w:t>
      </w:r>
      <w:r>
        <w:rPr>
          <w:rFonts w:ascii="Calibri" w:hAnsi="Calibri"/>
        </w:rPr>
        <w:t xml:space="preserve">the role of supporters is to assist people with disabilities to </w:t>
      </w:r>
      <w:r w:rsidRPr="002E3B9D">
        <w:rPr>
          <w:rFonts w:ascii="Calibri" w:hAnsi="Calibri"/>
        </w:rPr>
        <w:t>make their own decisions, where such support is needed</w:t>
      </w:r>
      <w:r w:rsidR="00D62076">
        <w:rPr>
          <w:rFonts w:ascii="Calibri" w:hAnsi="Calibri"/>
        </w:rPr>
        <w:t xml:space="preserve"> or requested by the person</w:t>
      </w:r>
      <w:r w:rsidRPr="002E3B9D">
        <w:rPr>
          <w:rFonts w:ascii="Calibri" w:hAnsi="Calibri"/>
        </w:rPr>
        <w:t>.</w:t>
      </w:r>
      <w:r>
        <w:rPr>
          <w:rFonts w:ascii="Calibri" w:hAnsi="Calibri"/>
        </w:rPr>
        <w:t xml:space="preserve"> </w:t>
      </w:r>
      <w:r w:rsidR="000977CC">
        <w:rPr>
          <w:rFonts w:ascii="Calibri" w:hAnsi="Calibri"/>
        </w:rPr>
        <w:t>T</w:t>
      </w:r>
      <w:r w:rsidR="003A0A23" w:rsidRPr="003A0A23">
        <w:rPr>
          <w:rFonts w:ascii="Calibri" w:hAnsi="Calibri"/>
        </w:rPr>
        <w:t xml:space="preserve">he will, preferences and rights of </w:t>
      </w:r>
      <w:r w:rsidR="00D11422">
        <w:rPr>
          <w:rFonts w:ascii="Calibri" w:hAnsi="Calibri"/>
        </w:rPr>
        <w:t xml:space="preserve">persons </w:t>
      </w:r>
      <w:r w:rsidR="00715431">
        <w:rPr>
          <w:rFonts w:ascii="Calibri" w:hAnsi="Calibri"/>
        </w:rPr>
        <w:t>with disabilities</w:t>
      </w:r>
      <w:r w:rsidR="008C4E5F">
        <w:rPr>
          <w:rFonts w:ascii="Calibri" w:hAnsi="Calibri"/>
        </w:rPr>
        <w:t xml:space="preserve"> </w:t>
      </w:r>
      <w:r w:rsidR="00414533">
        <w:rPr>
          <w:rFonts w:ascii="Calibri" w:hAnsi="Calibri"/>
        </w:rPr>
        <w:t xml:space="preserve">should </w:t>
      </w:r>
      <w:r w:rsidR="003A0A23" w:rsidRPr="003A0A23">
        <w:rPr>
          <w:rFonts w:ascii="Calibri" w:hAnsi="Calibri"/>
        </w:rPr>
        <w:t xml:space="preserve">direct </w:t>
      </w:r>
      <w:r w:rsidR="00D11422">
        <w:rPr>
          <w:rFonts w:ascii="Calibri" w:hAnsi="Calibri"/>
        </w:rPr>
        <w:t xml:space="preserve">the </w:t>
      </w:r>
      <w:r w:rsidR="003A0A23" w:rsidRPr="003A0A23">
        <w:rPr>
          <w:rFonts w:ascii="Calibri" w:hAnsi="Calibri"/>
        </w:rPr>
        <w:t>dec</w:t>
      </w:r>
      <w:r w:rsidR="000977CC">
        <w:rPr>
          <w:rFonts w:ascii="Calibri" w:hAnsi="Calibri"/>
        </w:rPr>
        <w:t xml:space="preserve">isions that affect their lives and this should guide decision making supporters. </w:t>
      </w:r>
      <w:r w:rsidR="007A2597">
        <w:rPr>
          <w:rFonts w:ascii="Calibri" w:hAnsi="Calibri"/>
        </w:rPr>
        <w:t>It should be clear within the framework that the role of support</w:t>
      </w:r>
      <w:r w:rsidR="00FF204E">
        <w:rPr>
          <w:rFonts w:ascii="Calibri" w:hAnsi="Calibri"/>
        </w:rPr>
        <w:t>er</w:t>
      </w:r>
      <w:r w:rsidR="007A2597">
        <w:rPr>
          <w:rFonts w:ascii="Calibri" w:hAnsi="Calibri"/>
        </w:rPr>
        <w:t>s is to assist the person with disabilities to make decisions</w:t>
      </w:r>
      <w:r w:rsidR="007A2597" w:rsidRPr="007A2597">
        <w:rPr>
          <w:rFonts w:ascii="Calibri" w:hAnsi="Calibri"/>
        </w:rPr>
        <w:t>, and not their family members, carers or other people in their lives.</w:t>
      </w:r>
    </w:p>
    <w:p w:rsidR="00915DFA" w:rsidRPr="009646EB" w:rsidRDefault="007A2597" w:rsidP="003A0A23">
      <w:pPr>
        <w:jc w:val="both"/>
        <w:rPr>
          <w:rFonts w:ascii="Calibri" w:hAnsi="Calibri"/>
        </w:rPr>
      </w:pPr>
      <w:r>
        <w:rPr>
          <w:rFonts w:ascii="Calibri" w:hAnsi="Calibri"/>
        </w:rPr>
        <w:t>Under the decision making framework, a</w:t>
      </w:r>
      <w:r w:rsidR="003A0A23" w:rsidRPr="003A0A23">
        <w:rPr>
          <w:rFonts w:ascii="Calibri" w:hAnsi="Calibri"/>
        </w:rPr>
        <w:t xml:space="preserve"> person who requires decision-making support should be able to choose to be assisted by a supporter, and to ce</w:t>
      </w:r>
      <w:r w:rsidR="00414533">
        <w:rPr>
          <w:rFonts w:ascii="Calibri" w:hAnsi="Calibri"/>
        </w:rPr>
        <w:t>ase being supported at any time.</w:t>
      </w:r>
      <w:r w:rsidR="00715431">
        <w:rPr>
          <w:rFonts w:ascii="Calibri" w:hAnsi="Calibri"/>
        </w:rPr>
        <w:t xml:space="preserve"> </w:t>
      </w:r>
      <w:r w:rsidR="00D11422">
        <w:rPr>
          <w:rFonts w:ascii="Calibri" w:hAnsi="Calibri"/>
        </w:rPr>
        <w:t>It</w:t>
      </w:r>
      <w:r w:rsidR="00D844E7" w:rsidRPr="00D844E7">
        <w:rPr>
          <w:rFonts w:ascii="Calibri" w:hAnsi="Calibri"/>
        </w:rPr>
        <w:t xml:space="preserve"> is important to recognise that there are many different forms of disability, and </w:t>
      </w:r>
      <w:r w:rsidR="00D11422">
        <w:rPr>
          <w:rFonts w:ascii="Calibri" w:hAnsi="Calibri"/>
        </w:rPr>
        <w:t>provisions around supported decision making</w:t>
      </w:r>
      <w:r w:rsidR="00D844E7" w:rsidRPr="00D844E7">
        <w:rPr>
          <w:rFonts w:ascii="Calibri" w:hAnsi="Calibri"/>
        </w:rPr>
        <w:t xml:space="preserve"> ne</w:t>
      </w:r>
      <w:r w:rsidR="00414533">
        <w:rPr>
          <w:rFonts w:ascii="Calibri" w:hAnsi="Calibri"/>
        </w:rPr>
        <w:t>eds to be applied accordingly. One</w:t>
      </w:r>
      <w:r w:rsidR="00D844E7" w:rsidRPr="00D844E7">
        <w:rPr>
          <w:rFonts w:ascii="Calibri" w:hAnsi="Calibri"/>
        </w:rPr>
        <w:t xml:space="preserve"> </w:t>
      </w:r>
      <w:r w:rsidR="00414533">
        <w:rPr>
          <w:rFonts w:ascii="Calibri" w:hAnsi="Calibri"/>
        </w:rPr>
        <w:t xml:space="preserve">woman with a disability </w:t>
      </w:r>
      <w:r w:rsidR="00AB78A1">
        <w:rPr>
          <w:rFonts w:ascii="Calibri" w:hAnsi="Calibri"/>
        </w:rPr>
        <w:t xml:space="preserve">may </w:t>
      </w:r>
      <w:r w:rsidR="00D11422">
        <w:rPr>
          <w:rFonts w:ascii="Calibri" w:hAnsi="Calibri"/>
        </w:rPr>
        <w:t>want</w:t>
      </w:r>
      <w:r w:rsidR="00AB78A1">
        <w:rPr>
          <w:rFonts w:ascii="Calibri" w:hAnsi="Calibri"/>
        </w:rPr>
        <w:t xml:space="preserve"> access to </w:t>
      </w:r>
      <w:r w:rsidR="00AB78A1" w:rsidRPr="007608B2">
        <w:rPr>
          <w:rFonts w:ascii="Calibri" w:hAnsi="Calibri"/>
        </w:rPr>
        <w:t>a</w:t>
      </w:r>
      <w:r w:rsidR="00D844E7" w:rsidRPr="007608B2">
        <w:rPr>
          <w:rFonts w:ascii="Calibri" w:hAnsi="Calibri"/>
        </w:rPr>
        <w:t xml:space="preserve"> </w:t>
      </w:r>
      <w:r w:rsidR="00492071" w:rsidRPr="007608B2">
        <w:rPr>
          <w:rFonts w:ascii="Calibri" w:hAnsi="Calibri"/>
        </w:rPr>
        <w:t>supporter</w:t>
      </w:r>
      <w:r w:rsidR="00D844E7" w:rsidRPr="007608B2">
        <w:rPr>
          <w:rFonts w:ascii="Calibri" w:hAnsi="Calibri"/>
        </w:rPr>
        <w:t>, a</w:t>
      </w:r>
      <w:r w:rsidR="00414533">
        <w:rPr>
          <w:rFonts w:ascii="Calibri" w:hAnsi="Calibri"/>
        </w:rPr>
        <w:t>nother woman with a disability</w:t>
      </w:r>
      <w:r w:rsidR="00D844E7" w:rsidRPr="007608B2">
        <w:rPr>
          <w:rFonts w:ascii="Calibri" w:hAnsi="Calibri"/>
        </w:rPr>
        <w:t xml:space="preserve"> may not. The use of supporters should be sensitive</w:t>
      </w:r>
      <w:r w:rsidR="00D844E7">
        <w:rPr>
          <w:rFonts w:ascii="Calibri" w:hAnsi="Calibri"/>
        </w:rPr>
        <w:t xml:space="preserve"> to what is </w:t>
      </w:r>
      <w:r w:rsidR="00414533">
        <w:rPr>
          <w:rFonts w:ascii="Calibri" w:hAnsi="Calibri"/>
        </w:rPr>
        <w:t xml:space="preserve">wanted </w:t>
      </w:r>
      <w:r w:rsidR="007608B2">
        <w:rPr>
          <w:rFonts w:ascii="Calibri" w:hAnsi="Calibri"/>
        </w:rPr>
        <w:t xml:space="preserve">by a </w:t>
      </w:r>
      <w:r w:rsidR="00414533">
        <w:rPr>
          <w:rFonts w:ascii="Calibri" w:hAnsi="Calibri"/>
        </w:rPr>
        <w:t>woman</w:t>
      </w:r>
      <w:r w:rsidR="007608B2">
        <w:rPr>
          <w:rFonts w:ascii="Calibri" w:hAnsi="Calibri"/>
        </w:rPr>
        <w:t xml:space="preserve"> with</w:t>
      </w:r>
      <w:r w:rsidR="00414533">
        <w:rPr>
          <w:rFonts w:ascii="Calibri" w:hAnsi="Calibri"/>
        </w:rPr>
        <w:t xml:space="preserve"> a</w:t>
      </w:r>
      <w:r w:rsidR="007608B2">
        <w:rPr>
          <w:rFonts w:ascii="Calibri" w:hAnsi="Calibri"/>
        </w:rPr>
        <w:t xml:space="preserve"> </w:t>
      </w:r>
      <w:r w:rsidR="00414533">
        <w:rPr>
          <w:rFonts w:ascii="Calibri" w:hAnsi="Calibri"/>
        </w:rPr>
        <w:t>disability</w:t>
      </w:r>
      <w:r w:rsidR="007608B2">
        <w:rPr>
          <w:rFonts w:ascii="Calibri" w:hAnsi="Calibri"/>
        </w:rPr>
        <w:t xml:space="preserve"> </w:t>
      </w:r>
      <w:r w:rsidR="00D844E7">
        <w:rPr>
          <w:rFonts w:ascii="Calibri" w:hAnsi="Calibri"/>
        </w:rPr>
        <w:t xml:space="preserve">on a </w:t>
      </w:r>
      <w:r w:rsidR="00D844E7" w:rsidRPr="00D844E7">
        <w:rPr>
          <w:rFonts w:ascii="Calibri" w:hAnsi="Calibri"/>
        </w:rPr>
        <w:t>case by case basis and what is appropriate in the circumstances.</w:t>
      </w:r>
      <w:r w:rsidR="00577A21">
        <w:rPr>
          <w:rFonts w:ascii="Calibri" w:hAnsi="Calibri"/>
        </w:rPr>
        <w:t xml:space="preserve"> </w:t>
      </w:r>
      <w:r w:rsidR="001B2374">
        <w:rPr>
          <w:rFonts w:ascii="Calibri" w:hAnsi="Calibri"/>
        </w:rPr>
        <w:t>People</w:t>
      </w:r>
      <w:r w:rsidR="00577A21">
        <w:rPr>
          <w:rFonts w:ascii="Calibri" w:hAnsi="Calibri"/>
        </w:rPr>
        <w:t xml:space="preserve"> </w:t>
      </w:r>
      <w:r w:rsidR="005009D7">
        <w:rPr>
          <w:rFonts w:ascii="Calibri" w:hAnsi="Calibri"/>
        </w:rPr>
        <w:t xml:space="preserve">with disabilities </w:t>
      </w:r>
      <w:r w:rsidR="00577A21">
        <w:rPr>
          <w:rFonts w:ascii="Calibri" w:hAnsi="Calibri"/>
        </w:rPr>
        <w:t xml:space="preserve">should also be able </w:t>
      </w:r>
      <w:r w:rsidR="003A7F12">
        <w:rPr>
          <w:rFonts w:ascii="Calibri" w:hAnsi="Calibri"/>
        </w:rPr>
        <w:t xml:space="preserve">to </w:t>
      </w:r>
      <w:r w:rsidR="005009D7">
        <w:rPr>
          <w:rFonts w:ascii="Calibri" w:hAnsi="Calibri"/>
        </w:rPr>
        <w:t>have a choice in who</w:t>
      </w:r>
      <w:r w:rsidR="00FF4F1B">
        <w:rPr>
          <w:rFonts w:ascii="Calibri" w:hAnsi="Calibri"/>
        </w:rPr>
        <w:t xml:space="preserve"> their </w:t>
      </w:r>
      <w:r w:rsidR="00915DFA">
        <w:rPr>
          <w:rFonts w:ascii="Calibri" w:hAnsi="Calibri"/>
        </w:rPr>
        <w:t xml:space="preserve">supporter </w:t>
      </w:r>
      <w:r w:rsidR="00FF4F1B">
        <w:rPr>
          <w:rFonts w:ascii="Calibri" w:hAnsi="Calibri"/>
        </w:rPr>
        <w:t>is</w:t>
      </w:r>
      <w:r w:rsidR="0098015E">
        <w:rPr>
          <w:rFonts w:ascii="Calibri" w:hAnsi="Calibri"/>
        </w:rPr>
        <w:t xml:space="preserve">, or </w:t>
      </w:r>
      <w:r w:rsidR="008969D2">
        <w:rPr>
          <w:rFonts w:ascii="Calibri" w:hAnsi="Calibri"/>
        </w:rPr>
        <w:t xml:space="preserve">able to </w:t>
      </w:r>
      <w:r w:rsidR="008866A2">
        <w:rPr>
          <w:rFonts w:ascii="Calibri" w:hAnsi="Calibri"/>
        </w:rPr>
        <w:t>express their preference in</w:t>
      </w:r>
      <w:r w:rsidR="003A7F12">
        <w:rPr>
          <w:rFonts w:ascii="Calibri" w:hAnsi="Calibri"/>
        </w:rPr>
        <w:t xml:space="preserve"> the gender of their </w:t>
      </w:r>
      <w:r w:rsidR="00915DFA">
        <w:rPr>
          <w:rFonts w:ascii="Calibri" w:hAnsi="Calibri"/>
        </w:rPr>
        <w:t>supporter.</w:t>
      </w:r>
    </w:p>
    <w:p w:rsidR="00062B75" w:rsidRPr="00D13069" w:rsidRDefault="00ED302D" w:rsidP="00865D94">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Calibri" w:hAnsi="Calibri"/>
          <w:b/>
        </w:rPr>
      </w:pPr>
      <w:r w:rsidRPr="00D13069">
        <w:rPr>
          <w:rFonts w:ascii="Calibri" w:hAnsi="Calibri"/>
          <w:b/>
        </w:rPr>
        <w:t>Proposal 9-2</w:t>
      </w:r>
      <w:r w:rsidR="00062B75" w:rsidRPr="00D13069">
        <w:rPr>
          <w:rFonts w:ascii="Calibri" w:hAnsi="Calibri"/>
          <w:b/>
        </w:rPr>
        <w:t xml:space="preserve">: </w:t>
      </w:r>
      <w:r w:rsidRPr="00865D94">
        <w:rPr>
          <w:rFonts w:ascii="Calibri" w:hAnsi="Calibri"/>
        </w:rPr>
        <w:t>The Australian Government should ensure that people who require decision making support in family law matters, and their supporters, are provided with information and guidance to enable them to understand their functions and duties.</w:t>
      </w:r>
    </w:p>
    <w:p w:rsidR="00C94941" w:rsidRDefault="006B04F7" w:rsidP="00F55540">
      <w:pPr>
        <w:jc w:val="both"/>
      </w:pPr>
      <w:r>
        <w:t>All Australian courts</w:t>
      </w:r>
      <w:r w:rsidR="006F4594">
        <w:t xml:space="preserve"> </w:t>
      </w:r>
      <w:r>
        <w:t>have</w:t>
      </w:r>
      <w:r w:rsidR="006F4594">
        <w:t xml:space="preserve"> a duty </w:t>
      </w:r>
      <w:r w:rsidR="001C44B1">
        <w:t xml:space="preserve">under the </w:t>
      </w:r>
      <w:r w:rsidR="001C44B1" w:rsidRPr="001C44B1">
        <w:rPr>
          <w:i/>
        </w:rPr>
        <w:t>Disability Discrimination Act</w:t>
      </w:r>
      <w:r w:rsidR="001C44B1">
        <w:t xml:space="preserve"> 1992 (Cth) to ensure that the</w:t>
      </w:r>
      <w:r w:rsidR="006F4594">
        <w:t xml:space="preserve"> build</w:t>
      </w:r>
      <w:r w:rsidR="001C44B1">
        <w:t>ings, information and services it provides are accessible.</w:t>
      </w:r>
      <w:r w:rsidR="00FF2A09">
        <w:t xml:space="preserve"> </w:t>
      </w:r>
      <w:r w:rsidR="003225EE">
        <w:t xml:space="preserve">Accessible information and guidance </w:t>
      </w:r>
      <w:r w:rsidR="006E57E9">
        <w:t>on</w:t>
      </w:r>
      <w:r w:rsidR="00C94941">
        <w:t xml:space="preserve"> the functions and role of a person requiring decision making</w:t>
      </w:r>
      <w:r w:rsidR="00E627ED">
        <w:t xml:space="preserve"> support, and their supporter(s), </w:t>
      </w:r>
      <w:r w:rsidR="000F2C1C">
        <w:t>must</w:t>
      </w:r>
      <w:r w:rsidR="00C94941">
        <w:t xml:space="preserve"> be made readily available. </w:t>
      </w:r>
      <w:r w:rsidR="000F2C1C">
        <w:t xml:space="preserve">To be accessible </w:t>
      </w:r>
      <w:r w:rsidR="008969D2">
        <w:t xml:space="preserve">to all people with disabilities, </w:t>
      </w:r>
      <w:r w:rsidR="000F2C1C">
        <w:t>t</w:t>
      </w:r>
      <w:r w:rsidR="00C94941">
        <w:t xml:space="preserve">his information and guidance must be provided in a range of </w:t>
      </w:r>
      <w:r w:rsidR="008969D2">
        <w:t xml:space="preserve">accessible </w:t>
      </w:r>
      <w:r w:rsidR="006E6CD9">
        <w:t xml:space="preserve">digital and non-digital </w:t>
      </w:r>
      <w:r w:rsidR="00C94941">
        <w:t>f</w:t>
      </w:r>
      <w:r w:rsidR="006E57E9">
        <w:t>ormats</w:t>
      </w:r>
      <w:r w:rsidR="008969D2">
        <w:t>,</w:t>
      </w:r>
      <w:r w:rsidR="006E57E9">
        <w:t xml:space="preserve"> including through Auslan interpreting,</w:t>
      </w:r>
      <w:r w:rsidR="00C94941">
        <w:t xml:space="preserve"> braille </w:t>
      </w:r>
      <w:r w:rsidR="006E57E9">
        <w:t xml:space="preserve">and Plain and Easy English versions. </w:t>
      </w:r>
      <w:r w:rsidR="000F2C1C" w:rsidRPr="000F2C1C">
        <w:t xml:space="preserve">The family law system information package (Proposal 2-7) should </w:t>
      </w:r>
      <w:r w:rsidR="006E57E9">
        <w:t xml:space="preserve">also </w:t>
      </w:r>
      <w:r w:rsidR="000F2C1C" w:rsidRPr="000F2C1C">
        <w:t xml:space="preserve">be accessible in a </w:t>
      </w:r>
      <w:r w:rsidR="00865D94">
        <w:t xml:space="preserve">range of languages and formats and </w:t>
      </w:r>
      <w:r w:rsidR="000F2C1C" w:rsidRPr="000F2C1C">
        <w:t>materials</w:t>
      </w:r>
      <w:r w:rsidR="00577A21">
        <w:t xml:space="preserve">, and </w:t>
      </w:r>
      <w:r w:rsidR="000F2C1C" w:rsidRPr="000F2C1C">
        <w:t xml:space="preserve">should </w:t>
      </w:r>
      <w:r w:rsidR="000F2C1C" w:rsidRPr="000F2C1C">
        <w:lastRenderedPageBreak/>
        <w:t xml:space="preserve">be </w:t>
      </w:r>
      <w:r w:rsidR="00577A21">
        <w:t xml:space="preserve">designed and </w:t>
      </w:r>
      <w:r w:rsidR="000F2C1C" w:rsidRPr="000F2C1C">
        <w:t>user-tested for accessibility by</w:t>
      </w:r>
      <w:r w:rsidR="00577A21">
        <w:t xml:space="preserve"> </w:t>
      </w:r>
      <w:r w:rsidR="000F2C1C" w:rsidRPr="000F2C1C">
        <w:t>women with disabilities.</w:t>
      </w:r>
      <w:r w:rsidR="006A0069" w:rsidRPr="006A0069">
        <w:t xml:space="preserve"> </w:t>
      </w:r>
      <w:r w:rsidR="0015486E">
        <w:t xml:space="preserve">Discussion of materials in court should be in </w:t>
      </w:r>
      <w:r w:rsidR="00E627ED">
        <w:t xml:space="preserve">Plain English, where possible, </w:t>
      </w:r>
      <w:r w:rsidR="0015486E">
        <w:t>and court staff must undertake disability awareness training.</w:t>
      </w:r>
    </w:p>
    <w:p w:rsidR="00617409" w:rsidRDefault="003225EE" w:rsidP="00F55540">
      <w:pPr>
        <w:jc w:val="both"/>
      </w:pPr>
      <w:r>
        <w:t>To this proposal, w</w:t>
      </w:r>
      <w:r w:rsidR="00AB78A1">
        <w:t>e would add that i</w:t>
      </w:r>
      <w:r w:rsidR="00AB78A1" w:rsidRPr="00AB78A1">
        <w:t xml:space="preserve">t is crucial that </w:t>
      </w:r>
      <w:r w:rsidR="00210D5B">
        <w:t xml:space="preserve">accessible legal information and </w:t>
      </w:r>
      <w:r w:rsidR="005D37F9">
        <w:t xml:space="preserve">legal assistance </w:t>
      </w:r>
      <w:r w:rsidR="008969D2">
        <w:t>is</w:t>
      </w:r>
      <w:r w:rsidR="005D37F9">
        <w:t xml:space="preserve"> </w:t>
      </w:r>
      <w:r w:rsidR="00AB78A1" w:rsidRPr="00AB78A1">
        <w:t xml:space="preserve">genuinely accessible to </w:t>
      </w:r>
      <w:r w:rsidR="00AB78A1" w:rsidRPr="0065699F">
        <w:t>all</w:t>
      </w:r>
      <w:r w:rsidR="00AB78A1" w:rsidRPr="00AB78A1">
        <w:t xml:space="preserve"> parties</w:t>
      </w:r>
      <w:r w:rsidR="000F2C1C">
        <w:t xml:space="preserve"> in the Family Court. </w:t>
      </w:r>
      <w:r w:rsidR="005E18CA">
        <w:t xml:space="preserve">We support efforts to improve the </w:t>
      </w:r>
      <w:r w:rsidR="005E18CA" w:rsidRPr="005E18CA">
        <w:t>clarity and accessibility of the law</w:t>
      </w:r>
      <w:r w:rsidR="000F2C1C">
        <w:t xml:space="preserve"> generally, as this is also part of the meaning of ‘accessibility’. </w:t>
      </w:r>
    </w:p>
    <w:p w:rsidR="008969D2" w:rsidRDefault="00E627ED" w:rsidP="00F55540">
      <w:pPr>
        <w:jc w:val="both"/>
      </w:pPr>
      <w:r>
        <w:t>Additionally, a</w:t>
      </w:r>
      <w:r w:rsidR="000F2C1C" w:rsidRPr="000F2C1C">
        <w:t xml:space="preserve">dversarial court environments can often be intimidating, and there are still courts which do not provide sufficient </w:t>
      </w:r>
      <w:r w:rsidR="00617409">
        <w:t xml:space="preserve">physical </w:t>
      </w:r>
      <w:r w:rsidR="000F2C1C" w:rsidRPr="000F2C1C">
        <w:t xml:space="preserve">access for people with disabilities. </w:t>
      </w:r>
      <w:r w:rsidR="008969D2" w:rsidRPr="008969D2">
        <w:t xml:space="preserve">A recent disability access survey report by </w:t>
      </w:r>
      <w:r w:rsidR="00FF2A09">
        <w:t>Women with Disabilities Victoria</w:t>
      </w:r>
      <w:r w:rsidR="008969D2" w:rsidRPr="008969D2">
        <w:t xml:space="preserve"> identified a wide range of practical obstacles experienced by wome</w:t>
      </w:r>
      <w:r>
        <w:t xml:space="preserve">n with disabilities attending </w:t>
      </w:r>
      <w:r w:rsidR="008969D2" w:rsidRPr="008969D2">
        <w:t xml:space="preserve">courts. Issues included an inability to access private interview rooms in a wheelchair; women with impaired hearing missing their </w:t>
      </w:r>
      <w:r w:rsidR="00FF2A09">
        <w:t xml:space="preserve">matter being called over the public announcement (PA) </w:t>
      </w:r>
      <w:r w:rsidR="008969D2" w:rsidRPr="008969D2">
        <w:t>system; and stairs, heavy doors and other impediments which made the court premises difficult or impossible to access.</w:t>
      </w:r>
      <w:r w:rsidR="008969D2">
        <w:rPr>
          <w:rStyle w:val="FootnoteReference"/>
        </w:rPr>
        <w:footnoteReference w:id="13"/>
      </w:r>
      <w:r w:rsidR="00A6767C">
        <w:t xml:space="preserve"> </w:t>
      </w:r>
      <w:r w:rsidR="00A6767C" w:rsidRPr="00A6767C">
        <w:t xml:space="preserve">The survey also found that the </w:t>
      </w:r>
      <w:r w:rsidR="00A6767C">
        <w:t xml:space="preserve">inaccessible </w:t>
      </w:r>
      <w:r w:rsidR="00A6767C" w:rsidRPr="00A6767C">
        <w:t>condition of court facilities made women with disabilities feel unsafe</w:t>
      </w:r>
      <w:r w:rsidR="00A6767C">
        <w:t>. This was</w:t>
      </w:r>
      <w:r w:rsidR="00A6767C" w:rsidRPr="00A6767C">
        <w:t xml:space="preserve"> </w:t>
      </w:r>
      <w:r w:rsidR="00617409">
        <w:t xml:space="preserve">further </w:t>
      </w:r>
      <w:r w:rsidR="00A6767C" w:rsidRPr="00A6767C">
        <w:t xml:space="preserve">exacerbated </w:t>
      </w:r>
      <w:r w:rsidR="00A6767C">
        <w:t>as</w:t>
      </w:r>
      <w:r w:rsidR="00A6767C" w:rsidRPr="00A6767C">
        <w:t xml:space="preserve"> perpetrators of violence </w:t>
      </w:r>
      <w:r w:rsidR="00A6767C">
        <w:t>could</w:t>
      </w:r>
      <w:r w:rsidR="00A6767C" w:rsidRPr="00A6767C">
        <w:t xml:space="preserve"> also </w:t>
      </w:r>
      <w:r w:rsidR="00A6767C">
        <w:t xml:space="preserve">be present in the environment. </w:t>
      </w:r>
      <w:r w:rsidR="00A6767C" w:rsidRPr="00A6767C">
        <w:t xml:space="preserve">Women </w:t>
      </w:r>
      <w:r w:rsidR="00A6767C">
        <w:t xml:space="preserve">in the survey </w:t>
      </w:r>
      <w:r w:rsidR="00A6767C" w:rsidRPr="00A6767C">
        <w:t xml:space="preserve">reported </w:t>
      </w:r>
      <w:r w:rsidR="00A6767C">
        <w:t xml:space="preserve">that </w:t>
      </w:r>
      <w:r w:rsidR="00A6767C" w:rsidRPr="00A6767C">
        <w:t>experiencing restricted freedom of</w:t>
      </w:r>
      <w:r w:rsidR="00617409">
        <w:t xml:space="preserve"> movement in courts made it easier</w:t>
      </w:r>
      <w:r w:rsidR="00A6767C" w:rsidRPr="00A6767C">
        <w:t xml:space="preserve"> for perpetrators to know where</w:t>
      </w:r>
      <w:r w:rsidR="00A6767C">
        <w:t xml:space="preserve"> they would be in the building</w:t>
      </w:r>
      <w:r w:rsidR="00A6767C" w:rsidRPr="00A6767C">
        <w:t xml:space="preserve"> and </w:t>
      </w:r>
      <w:r w:rsidR="00617409">
        <w:t xml:space="preserve">made it </w:t>
      </w:r>
      <w:r w:rsidR="00A6767C" w:rsidRPr="00A6767C">
        <w:t xml:space="preserve">harder for them to escape. While no acts of physical violence </w:t>
      </w:r>
      <w:r w:rsidR="00A6767C">
        <w:t>occurred</w:t>
      </w:r>
      <w:r w:rsidR="00A6767C" w:rsidRPr="00A6767C">
        <w:t xml:space="preserve"> to </w:t>
      </w:r>
      <w:r w:rsidR="00617409">
        <w:t>the</w:t>
      </w:r>
      <w:r w:rsidR="00A6767C" w:rsidRPr="00A6767C">
        <w:t xml:space="preserve"> women</w:t>
      </w:r>
      <w:r w:rsidR="00617409">
        <w:t xml:space="preserve"> survey</w:t>
      </w:r>
      <w:r w:rsidR="00A6767C" w:rsidRPr="00A6767C">
        <w:t xml:space="preserve"> in court buildings, we must ack</w:t>
      </w:r>
      <w:r w:rsidR="00617409">
        <w:t xml:space="preserve">nowledge the trauma this causes, </w:t>
      </w:r>
      <w:r w:rsidR="00A6767C" w:rsidRPr="00A6767C">
        <w:t>and the potential for controlling forms of violence to occur.</w:t>
      </w:r>
    </w:p>
    <w:p w:rsidR="000F2C1C" w:rsidRDefault="000F2C1C" w:rsidP="00F55540">
      <w:pPr>
        <w:jc w:val="both"/>
      </w:pPr>
      <w:r w:rsidRPr="000F2C1C">
        <w:t xml:space="preserve">As a result, </w:t>
      </w:r>
      <w:r w:rsidR="00FF2A09">
        <w:t xml:space="preserve">the </w:t>
      </w:r>
      <w:r>
        <w:t xml:space="preserve">accessibility </w:t>
      </w:r>
      <w:r w:rsidR="00FF2A09">
        <w:t xml:space="preserve">of </w:t>
      </w:r>
      <w:r w:rsidR="00FF2A09" w:rsidRPr="00FF2A09">
        <w:t>courts wher</w:t>
      </w:r>
      <w:r w:rsidR="00FF2A09">
        <w:t xml:space="preserve">e family law matters are heard </w:t>
      </w:r>
      <w:r w:rsidRPr="000F2C1C">
        <w:t>needs to be improved as a matter of priority. We also argue that there must be adequate provisions of separate waiting areas for applicants and respondents, safe entrances and exits, improved disabili</w:t>
      </w:r>
      <w:r w:rsidR="00FF2A09">
        <w:t>ty access and private spaces</w:t>
      </w:r>
      <w:r w:rsidRPr="000F2C1C">
        <w:t>.</w:t>
      </w:r>
      <w:r w:rsidR="005C19B1">
        <w:t xml:space="preserve"> </w:t>
      </w:r>
      <w:r w:rsidR="00FF2A09">
        <w:t>Courts where family law matters are heard need</w:t>
      </w:r>
      <w:r w:rsidR="005D37F9">
        <w:t xml:space="preserve"> </w:t>
      </w:r>
      <w:r w:rsidR="001B7BCD" w:rsidRPr="001B7BCD">
        <w:t xml:space="preserve">to </w:t>
      </w:r>
      <w:r>
        <w:t xml:space="preserve">also </w:t>
      </w:r>
      <w:r w:rsidR="001B7BCD" w:rsidRPr="001B7BCD">
        <w:t xml:space="preserve">create an environment that is comfortable and accessible for all affected persons, </w:t>
      </w:r>
      <w:r w:rsidR="00210D5B">
        <w:t>regardless of whether they require decision making support.</w:t>
      </w:r>
      <w:r w:rsidR="00B8063E">
        <w:t xml:space="preserve"> </w:t>
      </w:r>
    </w:p>
    <w:p w:rsidR="009A6757" w:rsidRPr="00D13069" w:rsidRDefault="00ED302D" w:rsidP="00973A24">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b/>
          <w:i/>
        </w:rPr>
      </w:pPr>
      <w:r w:rsidRPr="00D13069">
        <w:rPr>
          <w:b/>
        </w:rPr>
        <w:t>Proposal 9-3</w:t>
      </w:r>
      <w:r w:rsidR="00062B75" w:rsidRPr="00D13069">
        <w:rPr>
          <w:b/>
        </w:rPr>
        <w:t>:</w:t>
      </w:r>
      <w:r w:rsidR="00062B75" w:rsidRPr="00973A24">
        <w:rPr>
          <w:b/>
        </w:rPr>
        <w:t xml:space="preserve"> </w:t>
      </w:r>
      <w:r w:rsidRPr="00973A24">
        <w:t xml:space="preserve">The Family Law Act 1975 (Cth) should include provisions for the appointment of a litigation representative where a person with disability, who is involved in family law proceedings, is unable to be supported to make their own decisions. The Act should set out the circumstances for a person to have a litigation representative and the functions of the litigation representative. These provisions should be in a form consistent with recommendations 7–3 to 7–4 recommendations of ALRC Report 124, Equality, Capacity and </w:t>
      </w:r>
      <w:r w:rsidR="004F356E">
        <w:t>Disability in Commonwealth Laws.</w:t>
      </w:r>
    </w:p>
    <w:p w:rsidR="00793A91" w:rsidRDefault="00793A91" w:rsidP="003A0A23">
      <w:pPr>
        <w:jc w:val="both"/>
      </w:pPr>
      <w:r w:rsidRPr="00793A91">
        <w:t>Noting that the restriction of legal capacity has a serious impact,</w:t>
      </w:r>
      <w:r>
        <w:t xml:space="preserve"> w</w:t>
      </w:r>
      <w:r w:rsidR="00D62076">
        <w:t xml:space="preserve">e believe further </w:t>
      </w:r>
      <w:r>
        <w:t>consultation is</w:t>
      </w:r>
      <w:r w:rsidR="00D62076">
        <w:t xml:space="preserve"> needed around any provisions in the </w:t>
      </w:r>
      <w:r w:rsidR="00D62076" w:rsidRPr="00D62076">
        <w:rPr>
          <w:i/>
        </w:rPr>
        <w:t>Family Law Act</w:t>
      </w:r>
      <w:r w:rsidR="00D62076" w:rsidRPr="00973A24">
        <w:t xml:space="preserve"> 1975 (Cth)</w:t>
      </w:r>
      <w:r w:rsidR="00D62076">
        <w:t xml:space="preserve"> around litigation representatives in fa</w:t>
      </w:r>
      <w:r w:rsidR="004F356E">
        <w:t xml:space="preserve">mily law proceedings (including Proposal 9-4; </w:t>
      </w:r>
      <w:r w:rsidR="001B2374">
        <w:t xml:space="preserve">Proposal </w:t>
      </w:r>
      <w:r w:rsidR="004F356E">
        <w:t xml:space="preserve">9-5). </w:t>
      </w:r>
      <w:r>
        <w:t xml:space="preserve">More detail needs to be provided as to what </w:t>
      </w:r>
      <w:r w:rsidR="001B2374">
        <w:t>provisions for appointment</w:t>
      </w:r>
      <w:r>
        <w:t xml:space="preserve"> are</w:t>
      </w:r>
      <w:r w:rsidR="001B2374">
        <w:t xml:space="preserve"> being proposed and </w:t>
      </w:r>
      <w:r w:rsidR="007A2FCA">
        <w:t>the research it is based on</w:t>
      </w:r>
      <w:r w:rsidR="001B2374">
        <w:t xml:space="preserve">. </w:t>
      </w:r>
      <w:r w:rsidR="007A2FCA">
        <w:t>Consideration</w:t>
      </w:r>
      <w:r w:rsidR="00646617">
        <w:t xml:space="preserve"> </w:t>
      </w:r>
      <w:r w:rsidR="003A0A23">
        <w:t>should be</w:t>
      </w:r>
      <w:r w:rsidR="007A2FCA">
        <w:t xml:space="preserve"> given to the</w:t>
      </w:r>
      <w:r w:rsidR="003A0A23">
        <w:t xml:space="preserve"> </w:t>
      </w:r>
      <w:r w:rsidR="003A0A23" w:rsidRPr="003A0A23">
        <w:t xml:space="preserve">ALRC Report 124, Equality, Capacity and </w:t>
      </w:r>
      <w:r>
        <w:t xml:space="preserve">Disability in Commonwealth Laws, the UNCRPD and </w:t>
      </w:r>
      <w:r w:rsidR="007A2FCA">
        <w:t xml:space="preserve">user-led experiences, acknowledging that </w:t>
      </w:r>
      <w:r w:rsidR="007D2B10">
        <w:t>t</w:t>
      </w:r>
      <w:r w:rsidR="00F656AE">
        <w:t xml:space="preserve">he </w:t>
      </w:r>
      <w:r w:rsidR="006E7A2A">
        <w:t xml:space="preserve">legal </w:t>
      </w:r>
      <w:r w:rsidR="007D2B10">
        <w:t xml:space="preserve">and decision making </w:t>
      </w:r>
      <w:r w:rsidR="00F656AE">
        <w:t xml:space="preserve">capacity of a person with disabilities must always be presumed and their right to legal representation </w:t>
      </w:r>
      <w:r w:rsidR="007D2B10">
        <w:t xml:space="preserve">and </w:t>
      </w:r>
      <w:r w:rsidR="007D2B10" w:rsidRPr="007D2B10">
        <w:t>right to equality before the law</w:t>
      </w:r>
      <w:r w:rsidR="007D2B10">
        <w:t xml:space="preserve"> be </w:t>
      </w:r>
      <w:r w:rsidR="00F656AE">
        <w:t>respected.</w:t>
      </w:r>
      <w:r w:rsidR="007D2B10">
        <w:rPr>
          <w:rStyle w:val="FootnoteReference"/>
        </w:rPr>
        <w:footnoteReference w:id="14"/>
      </w:r>
      <w:r w:rsidR="00F656AE">
        <w:t xml:space="preserve"> </w:t>
      </w:r>
    </w:p>
    <w:p w:rsidR="003A0A23" w:rsidRDefault="007A2FCA" w:rsidP="003A0A23">
      <w:pPr>
        <w:jc w:val="both"/>
      </w:pPr>
      <w:r>
        <w:lastRenderedPageBreak/>
        <w:t>Additional considerations at this stage include:</w:t>
      </w:r>
      <w:r w:rsidR="00F330D2">
        <w:t xml:space="preserve"> </w:t>
      </w:r>
      <w:r>
        <w:t xml:space="preserve">the role of an </w:t>
      </w:r>
      <w:r w:rsidR="00F330D2">
        <w:t xml:space="preserve">appeal process for </w:t>
      </w:r>
      <w:r w:rsidR="00DF58AC">
        <w:t>decision</w:t>
      </w:r>
      <w:r w:rsidR="00F330D2">
        <w:t>s</w:t>
      </w:r>
      <w:r w:rsidR="00DF58AC">
        <w:t xml:space="preserve"> that a </w:t>
      </w:r>
      <w:r w:rsidR="00F330D2">
        <w:t xml:space="preserve">litigation representative </w:t>
      </w:r>
      <w:r>
        <w:t>be appointed</w:t>
      </w:r>
      <w:r w:rsidR="00F330D2">
        <w:t xml:space="preserve">, </w:t>
      </w:r>
      <w:r>
        <w:t>how the</w:t>
      </w:r>
      <w:r w:rsidR="00F330D2">
        <w:t xml:space="preserve"> process should be explained to </w:t>
      </w:r>
      <w:r w:rsidR="00EE5E17">
        <w:t>the person</w:t>
      </w:r>
      <w:r>
        <w:t xml:space="preserve"> with disabilities and safeguards to ensure that </w:t>
      </w:r>
      <w:r w:rsidR="00A6181D">
        <w:t xml:space="preserve">the wishes </w:t>
      </w:r>
      <w:r w:rsidR="00FF5975">
        <w:t>of the person with disabilities</w:t>
      </w:r>
      <w:r w:rsidR="00DF58AC">
        <w:t>, and not their family members, carers or other people in their lives</w:t>
      </w:r>
      <w:r>
        <w:t xml:space="preserve"> are heard.</w:t>
      </w:r>
      <w:r w:rsidR="00A6181D">
        <w:t xml:space="preserve"> </w:t>
      </w:r>
      <w:r w:rsidR="00564F31">
        <w:t>R</w:t>
      </w:r>
      <w:r w:rsidR="00672B28">
        <w:t xml:space="preserve">epresentatives </w:t>
      </w:r>
      <w:r w:rsidR="00564F31">
        <w:t>could be appointed in</w:t>
      </w:r>
      <w:r w:rsidR="00A6181D">
        <w:t xml:space="preserve"> circumstances where</w:t>
      </w:r>
      <w:r w:rsidR="00672B28">
        <w:t xml:space="preserve"> </w:t>
      </w:r>
      <w:r w:rsidR="00A6181D">
        <w:t>a person with disabilities</w:t>
      </w:r>
      <w:r w:rsidR="00672B28">
        <w:t xml:space="preserve"> could </w:t>
      </w:r>
      <w:r w:rsidR="00564F31">
        <w:t xml:space="preserve">in fact </w:t>
      </w:r>
      <w:r w:rsidR="00672B28">
        <w:t>be supported to make their own decisions</w:t>
      </w:r>
      <w:r w:rsidR="004F356E">
        <w:t>, especially if court staff and family law professionals do not have contemporary</w:t>
      </w:r>
      <w:r w:rsidR="004F356E" w:rsidRPr="004F356E">
        <w:t xml:space="preserve"> understanding and awareness of disability.</w:t>
      </w:r>
    </w:p>
    <w:p w:rsidR="00006980" w:rsidRPr="00915DFA" w:rsidRDefault="00D66F8A" w:rsidP="00D66F8A">
      <w:pPr>
        <w:rPr>
          <w:rFonts w:ascii="Calibri" w:eastAsia="Times New Roman" w:hAnsi="Calibri" w:cs="Times New Roman"/>
          <w:sz w:val="24"/>
          <w:szCs w:val="24"/>
        </w:rPr>
      </w:pPr>
      <w:r>
        <w:rPr>
          <w:rFonts w:ascii="Calibri" w:eastAsia="Times New Roman" w:hAnsi="Calibri" w:cs="Times New Roman"/>
        </w:rPr>
        <w:br w:type="page"/>
      </w:r>
      <w:bookmarkStart w:id="10" w:name="_Toc529796900"/>
      <w:r w:rsidR="009A6757" w:rsidRPr="00915DFA">
        <w:rPr>
          <w:rFonts w:eastAsia="Times New Roman" w:cs="Times New Roman"/>
          <w:b/>
          <w:color w:val="7030A0"/>
          <w:sz w:val="24"/>
          <w:szCs w:val="24"/>
        </w:rPr>
        <w:lastRenderedPageBreak/>
        <w:t>S</w:t>
      </w:r>
      <w:r w:rsidR="009A6757" w:rsidRPr="00915DFA">
        <w:rPr>
          <w:rFonts w:eastAsia="Times New Roman"/>
          <w:b/>
          <w:color w:val="7030A0"/>
          <w:sz w:val="24"/>
          <w:szCs w:val="24"/>
        </w:rPr>
        <w:t>upporting people with a disability via the National Disability Insurance Scheme (NDIS)</w:t>
      </w:r>
      <w:bookmarkEnd w:id="10"/>
    </w:p>
    <w:p w:rsidR="00006980" w:rsidRPr="00FF5975" w:rsidRDefault="00FF5975" w:rsidP="00FF5975">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both"/>
        <w:rPr>
          <w:rFonts w:ascii="Calibri" w:eastAsia="Times New Roman" w:hAnsi="Calibri" w:cs="Times New Roman"/>
        </w:rPr>
      </w:pPr>
      <w:r w:rsidRPr="00FF5975">
        <w:rPr>
          <w:rFonts w:ascii="Calibri" w:eastAsia="Times New Roman" w:hAnsi="Calibri" w:cs="Times New Roman"/>
          <w:b/>
        </w:rPr>
        <w:t>Proposal 9-6:</w:t>
      </w:r>
      <w:r>
        <w:rPr>
          <w:rFonts w:ascii="Calibri" w:eastAsia="Times New Roman" w:hAnsi="Calibri" w:cs="Times New Roman"/>
        </w:rPr>
        <w:t xml:space="preserve"> </w:t>
      </w:r>
      <w:r w:rsidR="00006980" w:rsidRPr="00FF5975">
        <w:rPr>
          <w:rFonts w:ascii="Calibri" w:eastAsia="Times New Roman" w:hAnsi="Calibri" w:cs="Times New Roman"/>
        </w:rPr>
        <w:t>The Australian Government should work with the National Disability Insurance Agency (NDIA) to consider how referrals can be made to the NDIA by family law professionals, and how the National Disability Insurance Scheme (NDIS) could be used to fund appropriate supports for eligible people with disability to: build parenting abilities; access early intervention parenting supports;</w:t>
      </w:r>
      <w:r>
        <w:rPr>
          <w:rFonts w:ascii="Calibri" w:eastAsia="Times New Roman" w:hAnsi="Calibri" w:cs="Times New Roman"/>
        </w:rPr>
        <w:t xml:space="preserve"> </w:t>
      </w:r>
      <w:r w:rsidR="00006980" w:rsidRPr="00FF5975">
        <w:rPr>
          <w:rFonts w:ascii="Calibri" w:eastAsia="Times New Roman" w:hAnsi="Calibri" w:cs="Times New Roman"/>
        </w:rPr>
        <w:t>carry out their parenting responsibilities; access family support services and alternative dispute resolution processes; and navigate the family law system.</w:t>
      </w:r>
    </w:p>
    <w:p w:rsidR="009A6757" w:rsidRDefault="009A6757" w:rsidP="009A6757">
      <w:pPr>
        <w:spacing w:after="0" w:line="240" w:lineRule="auto"/>
        <w:rPr>
          <w:rFonts w:ascii="Calibri" w:eastAsia="Times New Roman" w:hAnsi="Calibri" w:cs="Times New Roman"/>
        </w:rPr>
      </w:pPr>
    </w:p>
    <w:p w:rsidR="006F4594" w:rsidRPr="0059226D" w:rsidRDefault="006F4594" w:rsidP="00BF2DBB">
      <w:pPr>
        <w:pStyle w:val="NormalWeb"/>
        <w:jc w:val="both"/>
        <w:rPr>
          <w:rFonts w:asciiTheme="minorHAnsi" w:hAnsiTheme="minorHAnsi" w:cs="Calibri"/>
          <w:color w:val="000000"/>
          <w:sz w:val="22"/>
          <w:szCs w:val="22"/>
        </w:rPr>
      </w:pPr>
      <w:r w:rsidRPr="0059226D">
        <w:rPr>
          <w:rFonts w:ascii="Calibri" w:hAnsi="Calibri" w:cs="Calibri"/>
          <w:color w:val="000000"/>
          <w:sz w:val="22"/>
          <w:szCs w:val="22"/>
        </w:rPr>
        <w:t xml:space="preserve">It is the role of the </w:t>
      </w:r>
      <w:r w:rsidR="00BC5A84" w:rsidRPr="0059226D">
        <w:rPr>
          <w:rFonts w:ascii="Calibri" w:hAnsi="Calibri" w:cs="Calibri"/>
          <w:color w:val="000000"/>
          <w:sz w:val="22"/>
          <w:szCs w:val="22"/>
        </w:rPr>
        <w:t>National Disability Insurance Agency</w:t>
      </w:r>
      <w:r w:rsidRPr="0059226D">
        <w:rPr>
          <w:rFonts w:ascii="Calibri" w:hAnsi="Calibri" w:cs="Calibri"/>
          <w:color w:val="000000"/>
          <w:sz w:val="22"/>
          <w:szCs w:val="22"/>
        </w:rPr>
        <w:t xml:space="preserve"> </w:t>
      </w:r>
      <w:r w:rsidR="0092532A" w:rsidRPr="0059226D">
        <w:rPr>
          <w:rFonts w:ascii="Calibri" w:hAnsi="Calibri" w:cs="Calibri"/>
          <w:color w:val="000000"/>
          <w:sz w:val="22"/>
          <w:szCs w:val="22"/>
        </w:rPr>
        <w:t xml:space="preserve">(NDIA) </w:t>
      </w:r>
      <w:r w:rsidRPr="0059226D">
        <w:rPr>
          <w:rFonts w:ascii="Calibri" w:hAnsi="Calibri" w:cs="Calibri"/>
          <w:color w:val="000000"/>
          <w:sz w:val="22"/>
          <w:szCs w:val="22"/>
        </w:rPr>
        <w:t xml:space="preserve">to fund people's daily disability support requirements. </w:t>
      </w:r>
      <w:r w:rsidR="0092532A" w:rsidRPr="0059226D">
        <w:rPr>
          <w:rFonts w:ascii="Calibri" w:hAnsi="Calibri" w:cs="Calibri"/>
          <w:color w:val="000000"/>
          <w:sz w:val="22"/>
          <w:szCs w:val="22"/>
        </w:rPr>
        <w:t>Women with Disabilities Victoria</w:t>
      </w:r>
      <w:r w:rsidRPr="0059226D">
        <w:rPr>
          <w:rFonts w:ascii="Calibri" w:hAnsi="Calibri" w:cs="Calibri"/>
          <w:color w:val="000000"/>
          <w:sz w:val="22"/>
          <w:szCs w:val="22"/>
        </w:rPr>
        <w:t> support</w:t>
      </w:r>
      <w:r w:rsidR="0092532A" w:rsidRPr="0059226D">
        <w:rPr>
          <w:rFonts w:ascii="Calibri" w:hAnsi="Calibri" w:cs="Calibri"/>
          <w:color w:val="000000"/>
          <w:sz w:val="22"/>
          <w:szCs w:val="22"/>
        </w:rPr>
        <w:t>s</w:t>
      </w:r>
      <w:r w:rsidRPr="0059226D">
        <w:rPr>
          <w:rFonts w:ascii="Calibri" w:hAnsi="Calibri" w:cs="Calibri"/>
          <w:color w:val="000000"/>
          <w:sz w:val="22"/>
          <w:szCs w:val="22"/>
        </w:rPr>
        <w:t xml:space="preserve"> the </w:t>
      </w:r>
      <w:r w:rsidR="0092532A" w:rsidRPr="0059226D">
        <w:rPr>
          <w:rFonts w:ascii="Calibri" w:hAnsi="Calibri" w:cs="Calibri"/>
          <w:color w:val="000000"/>
          <w:sz w:val="22"/>
          <w:szCs w:val="22"/>
        </w:rPr>
        <w:t xml:space="preserve">family law system building links with the NDIA, specifically </w:t>
      </w:r>
      <w:r w:rsidRPr="0059226D">
        <w:rPr>
          <w:rFonts w:ascii="Calibri" w:hAnsi="Calibri" w:cs="Calibri"/>
          <w:color w:val="000000"/>
          <w:sz w:val="22"/>
          <w:szCs w:val="22"/>
        </w:rPr>
        <w:t xml:space="preserve">supporting the NDIA to better </w:t>
      </w:r>
      <w:r w:rsidR="0059226D" w:rsidRPr="0059226D">
        <w:rPr>
          <w:rFonts w:asciiTheme="minorHAnsi" w:hAnsiTheme="minorHAnsi" w:cs="Calibri"/>
          <w:color w:val="000000"/>
          <w:sz w:val="22"/>
          <w:szCs w:val="22"/>
        </w:rPr>
        <w:t>understand family v</w:t>
      </w:r>
      <w:r w:rsidRPr="0059226D">
        <w:rPr>
          <w:rFonts w:asciiTheme="minorHAnsi" w:hAnsiTheme="minorHAnsi" w:cs="Calibri"/>
          <w:color w:val="000000"/>
          <w:sz w:val="22"/>
          <w:szCs w:val="22"/>
        </w:rPr>
        <w:t xml:space="preserve">iolence, </w:t>
      </w:r>
      <w:r w:rsidR="0059226D" w:rsidRPr="0059226D">
        <w:rPr>
          <w:rFonts w:asciiTheme="minorHAnsi" w:hAnsiTheme="minorHAnsi" w:cs="Calibri"/>
          <w:color w:val="000000"/>
          <w:sz w:val="22"/>
          <w:szCs w:val="22"/>
        </w:rPr>
        <w:t xml:space="preserve">and </w:t>
      </w:r>
      <w:r w:rsidRPr="0059226D">
        <w:rPr>
          <w:rFonts w:asciiTheme="minorHAnsi" w:hAnsiTheme="minorHAnsi" w:cs="Calibri"/>
          <w:color w:val="000000"/>
          <w:sz w:val="22"/>
          <w:szCs w:val="22"/>
        </w:rPr>
        <w:t>family</w:t>
      </w:r>
      <w:r w:rsidR="0059226D" w:rsidRPr="0059226D">
        <w:rPr>
          <w:rFonts w:asciiTheme="minorHAnsi" w:hAnsiTheme="minorHAnsi" w:cs="Calibri"/>
          <w:color w:val="000000"/>
          <w:sz w:val="22"/>
          <w:szCs w:val="22"/>
        </w:rPr>
        <w:t xml:space="preserve"> and parenting issues for people with disabilities. </w:t>
      </w:r>
      <w:r w:rsidRPr="0059226D">
        <w:rPr>
          <w:rFonts w:asciiTheme="minorHAnsi" w:hAnsiTheme="minorHAnsi" w:cs="Calibri"/>
          <w:color w:val="000000"/>
          <w:sz w:val="22"/>
          <w:szCs w:val="22"/>
        </w:rPr>
        <w:t xml:space="preserve">However, this does not </w:t>
      </w:r>
      <w:r w:rsidR="0059226D" w:rsidRPr="0059226D">
        <w:rPr>
          <w:rFonts w:asciiTheme="minorHAnsi" w:hAnsiTheme="minorHAnsi" w:cs="Calibri"/>
          <w:color w:val="000000"/>
          <w:sz w:val="22"/>
          <w:szCs w:val="22"/>
        </w:rPr>
        <w:t xml:space="preserve">diminish </w:t>
      </w:r>
      <w:r w:rsidR="001E6289">
        <w:rPr>
          <w:rFonts w:asciiTheme="minorHAnsi" w:hAnsiTheme="minorHAnsi" w:cs="Calibri"/>
          <w:color w:val="000000"/>
          <w:sz w:val="22"/>
          <w:szCs w:val="22"/>
        </w:rPr>
        <w:t xml:space="preserve">the court system’s </w:t>
      </w:r>
      <w:r w:rsidRPr="0059226D">
        <w:rPr>
          <w:rFonts w:asciiTheme="minorHAnsi" w:hAnsiTheme="minorHAnsi" w:cs="Calibri"/>
          <w:color w:val="000000"/>
          <w:sz w:val="22"/>
          <w:szCs w:val="22"/>
        </w:rPr>
        <w:t xml:space="preserve">responsibilities </w:t>
      </w:r>
      <w:r w:rsidR="0059226D" w:rsidRPr="0059226D">
        <w:rPr>
          <w:rFonts w:asciiTheme="minorHAnsi" w:hAnsiTheme="minorHAnsi" w:cs="Calibri"/>
          <w:color w:val="000000"/>
          <w:sz w:val="22"/>
          <w:szCs w:val="22"/>
        </w:rPr>
        <w:t>under the</w:t>
      </w:r>
      <w:r w:rsidRPr="0059226D">
        <w:rPr>
          <w:rFonts w:asciiTheme="minorHAnsi" w:hAnsiTheme="minorHAnsi" w:cs="Calibri"/>
          <w:color w:val="000000"/>
          <w:sz w:val="22"/>
          <w:szCs w:val="22"/>
        </w:rPr>
        <w:t xml:space="preserve"> </w:t>
      </w:r>
      <w:r w:rsidR="0059226D" w:rsidRPr="0059226D">
        <w:rPr>
          <w:rFonts w:asciiTheme="minorHAnsi" w:hAnsiTheme="minorHAnsi"/>
          <w:i/>
          <w:sz w:val="22"/>
          <w:szCs w:val="22"/>
        </w:rPr>
        <w:t>Disability Discrimination Act</w:t>
      </w:r>
      <w:r w:rsidR="0059226D" w:rsidRPr="0059226D">
        <w:rPr>
          <w:rFonts w:asciiTheme="minorHAnsi" w:hAnsiTheme="minorHAnsi"/>
          <w:sz w:val="22"/>
          <w:szCs w:val="22"/>
        </w:rPr>
        <w:t xml:space="preserve"> 1992 (Cth)</w:t>
      </w:r>
      <w:r w:rsidR="0059226D">
        <w:rPr>
          <w:rFonts w:asciiTheme="minorHAnsi" w:hAnsiTheme="minorHAnsi" w:cs="Calibri"/>
          <w:color w:val="000000"/>
          <w:sz w:val="22"/>
          <w:szCs w:val="22"/>
        </w:rPr>
        <w:t xml:space="preserve"> </w:t>
      </w:r>
      <w:r w:rsidRPr="0059226D">
        <w:rPr>
          <w:rFonts w:ascii="Calibri" w:hAnsi="Calibri" w:cs="Calibri"/>
          <w:color w:val="000000"/>
          <w:sz w:val="22"/>
          <w:szCs w:val="22"/>
        </w:rPr>
        <w:t>to provide accessible services and informati</w:t>
      </w:r>
      <w:r w:rsidR="0059226D">
        <w:rPr>
          <w:rFonts w:ascii="Calibri" w:hAnsi="Calibri" w:cs="Calibri"/>
          <w:color w:val="000000"/>
          <w:sz w:val="22"/>
          <w:szCs w:val="22"/>
        </w:rPr>
        <w:t>on for people with disabilities, whether they are an NDIS participant</w:t>
      </w:r>
      <w:r w:rsidR="001E6289">
        <w:rPr>
          <w:rFonts w:ascii="Calibri" w:hAnsi="Calibri" w:cs="Calibri"/>
          <w:color w:val="000000"/>
          <w:sz w:val="22"/>
          <w:szCs w:val="22"/>
        </w:rPr>
        <w:t xml:space="preserve">, </w:t>
      </w:r>
      <w:r w:rsidRPr="0059226D">
        <w:rPr>
          <w:rFonts w:ascii="Calibri" w:hAnsi="Calibri" w:cs="Calibri"/>
          <w:color w:val="000000"/>
          <w:sz w:val="22"/>
          <w:szCs w:val="22"/>
        </w:rPr>
        <w:t xml:space="preserve">or among the </w:t>
      </w:r>
      <w:r w:rsidR="0059226D">
        <w:rPr>
          <w:rFonts w:ascii="Calibri" w:hAnsi="Calibri" w:cs="Calibri"/>
          <w:color w:val="000000"/>
          <w:sz w:val="22"/>
          <w:szCs w:val="22"/>
        </w:rPr>
        <w:t xml:space="preserve">majority of Australians with disabilities, </w:t>
      </w:r>
      <w:r w:rsidRPr="0059226D">
        <w:rPr>
          <w:rFonts w:ascii="Calibri" w:hAnsi="Calibri" w:cs="Calibri"/>
          <w:color w:val="000000"/>
          <w:sz w:val="22"/>
          <w:szCs w:val="22"/>
        </w:rPr>
        <w:t xml:space="preserve">who </w:t>
      </w:r>
      <w:r w:rsidR="0059226D">
        <w:rPr>
          <w:rFonts w:ascii="Calibri" w:hAnsi="Calibri" w:cs="Calibri"/>
          <w:color w:val="000000"/>
          <w:sz w:val="22"/>
          <w:szCs w:val="22"/>
        </w:rPr>
        <w:t>will not</w:t>
      </w:r>
      <w:r w:rsidRPr="0059226D">
        <w:rPr>
          <w:rFonts w:ascii="Calibri" w:hAnsi="Calibri" w:cs="Calibri"/>
          <w:color w:val="000000"/>
          <w:sz w:val="22"/>
          <w:szCs w:val="22"/>
        </w:rPr>
        <w:t xml:space="preserve"> receive NDIS funding.</w:t>
      </w:r>
      <w:r w:rsidR="0059226D">
        <w:rPr>
          <w:rStyle w:val="FootnoteReference"/>
          <w:rFonts w:ascii="Calibri" w:hAnsi="Calibri" w:cs="Calibri"/>
          <w:color w:val="000000"/>
          <w:sz w:val="22"/>
          <w:szCs w:val="22"/>
        </w:rPr>
        <w:footnoteReference w:id="15"/>
      </w:r>
    </w:p>
    <w:p w:rsidR="006F4594" w:rsidRPr="009A6757" w:rsidRDefault="006F4594" w:rsidP="009A6757">
      <w:pPr>
        <w:spacing w:after="0" w:line="240" w:lineRule="auto"/>
        <w:rPr>
          <w:rFonts w:ascii="Calibri" w:eastAsia="Times New Roman" w:hAnsi="Calibri" w:cs="Times New Roman"/>
        </w:rPr>
      </w:pPr>
    </w:p>
    <w:p w:rsidR="00CB70C4" w:rsidRDefault="00CB70C4" w:rsidP="008E6251">
      <w:pPr>
        <w:jc w:val="both"/>
      </w:pPr>
      <w:r>
        <w:t xml:space="preserve">Referrals to the </w:t>
      </w:r>
      <w:r w:rsidR="00035D90">
        <w:t>NDIA,</w:t>
      </w:r>
      <w:r>
        <w:t xml:space="preserve"> or any other service or government body, should only be made with the </w:t>
      </w:r>
      <w:r w:rsidR="00035D90">
        <w:t xml:space="preserve">fully </w:t>
      </w:r>
      <w:r>
        <w:t>informed consent of the woman with in question. Access to parenting for women with disabilities, through parenting orders, should not be contingent upon ac</w:t>
      </w:r>
      <w:r w:rsidR="00035D90">
        <w:t xml:space="preserve">cepting a referral to the NDIS for individual support. </w:t>
      </w:r>
      <w:r>
        <w:t xml:space="preserve">If a judge determines that parenting supports are required, these must be provided in a way which the woman with a disability is given a choice about – including whether these supports are obtained through mainstream </w:t>
      </w:r>
      <w:r w:rsidR="00651451">
        <w:t xml:space="preserve">or community </w:t>
      </w:r>
      <w:r>
        <w:t>services or the NDIS, and the nature, frequency and type of these supports.</w:t>
      </w:r>
    </w:p>
    <w:p w:rsidR="008E6251" w:rsidRDefault="00CB70C4" w:rsidP="008E6251">
      <w:pPr>
        <w:jc w:val="both"/>
      </w:pPr>
      <w:r>
        <w:t xml:space="preserve">Family law professionals, including judges, must be provided with adequate training to understand parenting for people with disabilities, particularly women with disabilities, if they are allowed to make these referrals. Any discussion between family law professionals, the Australian Government and the NDIA need to include </w:t>
      </w:r>
      <w:r w:rsidR="009F1E78">
        <w:t>the person in question</w:t>
      </w:r>
      <w:r>
        <w:t xml:space="preserve"> </w:t>
      </w:r>
      <w:r w:rsidR="009F1E78">
        <w:t>–</w:t>
      </w:r>
      <w:r>
        <w:t xml:space="preserve"> </w:t>
      </w:r>
      <w:r w:rsidR="009F1E78">
        <w:t xml:space="preserve">while </w:t>
      </w:r>
      <w:r w:rsidR="003E510B">
        <w:t>women</w:t>
      </w:r>
      <w:r w:rsidR="007E41B7">
        <w:t xml:space="preserve"> with disabilities </w:t>
      </w:r>
      <w:r>
        <w:t>should be supported</w:t>
      </w:r>
      <w:r w:rsidR="007E41B7">
        <w:t xml:space="preserve"> to stay in their parenting or caring roles, including ac</w:t>
      </w:r>
      <w:r w:rsidR="009557ED">
        <w:t xml:space="preserve">cessing family support services, </w:t>
      </w:r>
      <w:r>
        <w:t xml:space="preserve">this </w:t>
      </w:r>
      <w:r w:rsidR="009F1E78">
        <w:t>must be done in a way that respect</w:t>
      </w:r>
      <w:r w:rsidR="007E75B9">
        <w:t>s</w:t>
      </w:r>
      <w:r w:rsidR="009F1E78">
        <w:t xml:space="preserve"> their autonomy, their </w:t>
      </w:r>
      <w:r>
        <w:t>goals, preferences and wishes.</w:t>
      </w:r>
    </w:p>
    <w:p w:rsidR="00F03182" w:rsidRDefault="00187861" w:rsidP="00883224">
      <w:pPr>
        <w:jc w:val="both"/>
      </w:pPr>
      <w:r>
        <w:t>I</w:t>
      </w:r>
      <w:r w:rsidR="00883224">
        <w:t xml:space="preserve">t is important to remember that </w:t>
      </w:r>
      <w:r w:rsidR="00630BC5">
        <w:t>most</w:t>
      </w:r>
      <w:r w:rsidR="00883224">
        <w:t xml:space="preserve"> people with disabilities, </w:t>
      </w:r>
      <w:r w:rsidR="00630BC5">
        <w:t>indeed</w:t>
      </w:r>
      <w:r w:rsidR="00883224">
        <w:t xml:space="preserve"> </w:t>
      </w:r>
      <w:r w:rsidR="00D25E3D">
        <w:t xml:space="preserve">most </w:t>
      </w:r>
      <w:r w:rsidR="00883224">
        <w:t xml:space="preserve">women with disabilities, will </w:t>
      </w:r>
      <w:r w:rsidR="00630BC5">
        <w:t xml:space="preserve">not </w:t>
      </w:r>
      <w:r w:rsidR="003E510B">
        <w:t xml:space="preserve">access the NDIS as participants with individual NDIS plans. </w:t>
      </w:r>
      <w:r w:rsidR="00F03182">
        <w:t>We would also point out that there is an underlying assumption in the way this question is framed whi</w:t>
      </w:r>
      <w:r w:rsidR="00A1031A">
        <w:t xml:space="preserve">ch suggests that being a parent or a mother </w:t>
      </w:r>
      <w:r w:rsidR="00F03182">
        <w:t xml:space="preserve">with a disability is a barrier to parenting – which is not the case. </w:t>
      </w:r>
    </w:p>
    <w:p w:rsidR="00CB70C4" w:rsidRDefault="00CB70C4" w:rsidP="00883224">
      <w:pPr>
        <w:jc w:val="both"/>
      </w:pPr>
    </w:p>
    <w:p w:rsidR="00D66F8A" w:rsidRDefault="00D66F8A" w:rsidP="00883224">
      <w:pPr>
        <w:jc w:val="both"/>
      </w:pPr>
    </w:p>
    <w:p w:rsidR="00D66F8A" w:rsidRDefault="00D66F8A" w:rsidP="00883224">
      <w:pPr>
        <w:jc w:val="both"/>
      </w:pPr>
    </w:p>
    <w:p w:rsidR="00D66F8A" w:rsidRDefault="00D66F8A" w:rsidP="00883224">
      <w:pPr>
        <w:jc w:val="both"/>
      </w:pPr>
    </w:p>
    <w:p w:rsidR="00D66F8A" w:rsidRDefault="00D66F8A" w:rsidP="00883224">
      <w:pPr>
        <w:jc w:val="both"/>
      </w:pPr>
    </w:p>
    <w:p w:rsidR="00905DA9" w:rsidRPr="00915DFA" w:rsidRDefault="00905DA9" w:rsidP="00BC753C">
      <w:pPr>
        <w:pStyle w:val="Heading3"/>
        <w:rPr>
          <w:rFonts w:asciiTheme="minorHAnsi" w:eastAsia="Times New Roman" w:hAnsiTheme="minorHAnsi"/>
          <w:b/>
          <w:color w:val="7030A0"/>
        </w:rPr>
      </w:pPr>
      <w:bookmarkStart w:id="11" w:name="_Toc529796901"/>
      <w:r w:rsidRPr="00915DFA">
        <w:rPr>
          <w:rFonts w:asciiTheme="minorHAnsi" w:eastAsia="Times New Roman" w:hAnsiTheme="minorHAnsi"/>
          <w:b/>
          <w:color w:val="7030A0"/>
        </w:rPr>
        <w:t>Specialist support to people with disability in the family law system</w:t>
      </w:r>
      <w:bookmarkEnd w:id="11"/>
      <w:r w:rsidRPr="00915DFA">
        <w:rPr>
          <w:rFonts w:asciiTheme="minorHAnsi" w:eastAsia="Times New Roman" w:hAnsiTheme="minorHAnsi"/>
          <w:b/>
          <w:color w:val="7030A0"/>
        </w:rPr>
        <w:t xml:space="preserve"> </w:t>
      </w:r>
    </w:p>
    <w:p w:rsidR="001618F0" w:rsidRDefault="001618F0" w:rsidP="001618F0">
      <w:pPr>
        <w:spacing w:after="0" w:line="240" w:lineRule="auto"/>
        <w:rPr>
          <w:rFonts w:ascii="Calibri" w:eastAsia="Times New Roman" w:hAnsi="Calibri" w:cs="Times New Roman"/>
        </w:rPr>
      </w:pPr>
    </w:p>
    <w:p w:rsidR="001618F0" w:rsidRPr="005510C8" w:rsidRDefault="001618F0" w:rsidP="005510C8">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both"/>
        <w:rPr>
          <w:rFonts w:ascii="Calibri" w:eastAsia="Times New Roman" w:hAnsi="Calibri" w:cs="Times New Roman"/>
        </w:rPr>
      </w:pPr>
      <w:r w:rsidRPr="001618F0">
        <w:rPr>
          <w:rFonts w:ascii="Calibri" w:eastAsia="Times New Roman" w:hAnsi="Calibri" w:cs="Times New Roman"/>
          <w:b/>
        </w:rPr>
        <w:t>Proposal 9-7</w:t>
      </w:r>
      <w:r w:rsidR="00062B75">
        <w:rPr>
          <w:rFonts w:ascii="Calibri" w:eastAsia="Times New Roman" w:hAnsi="Calibri" w:cs="Times New Roman"/>
          <w:b/>
        </w:rPr>
        <w:t xml:space="preserve">: </w:t>
      </w:r>
      <w:r w:rsidRPr="005510C8">
        <w:rPr>
          <w:rFonts w:ascii="Calibri" w:eastAsia="Times New Roman" w:hAnsi="Calibri" w:cs="Times New Roman"/>
        </w:rPr>
        <w:t>The Australian Government should ensure that the family law system has specialist professionals and services to support people with disability to engage with the family law system</w:t>
      </w:r>
      <w:r w:rsidR="001B7BCD" w:rsidRPr="005510C8">
        <w:rPr>
          <w:rFonts w:ascii="Calibri" w:eastAsia="Times New Roman" w:hAnsi="Calibri" w:cs="Times New Roman"/>
        </w:rPr>
        <w:t>.</w:t>
      </w:r>
    </w:p>
    <w:p w:rsidR="00AC11D9" w:rsidRPr="00062B75" w:rsidRDefault="00AC11D9" w:rsidP="00062B75">
      <w:pPr>
        <w:spacing w:after="0" w:line="240" w:lineRule="auto"/>
        <w:jc w:val="both"/>
        <w:rPr>
          <w:rFonts w:ascii="Calibri" w:eastAsia="Times New Roman" w:hAnsi="Calibri" w:cs="Times New Roman"/>
          <w:b/>
        </w:rPr>
      </w:pPr>
    </w:p>
    <w:p w:rsidR="0022048E" w:rsidRDefault="00AC11D9" w:rsidP="001B2374">
      <w:pPr>
        <w:jc w:val="both"/>
      </w:pPr>
      <w:r>
        <w:t>We</w:t>
      </w:r>
      <w:r w:rsidR="00F2166C">
        <w:t xml:space="preserve"> broadl</w:t>
      </w:r>
      <w:r w:rsidR="00A54D7D">
        <w:t>y endorse</w:t>
      </w:r>
      <w:r w:rsidR="00351EB0">
        <w:t xml:space="preserve"> this proposal. However, a</w:t>
      </w:r>
      <w:r w:rsidR="001B7BCD">
        <w:t xml:space="preserve">ny specialist professionals </w:t>
      </w:r>
      <w:r>
        <w:t xml:space="preserve">and services to support people with disability to engage with the family law system </w:t>
      </w:r>
      <w:r w:rsidR="001B7BCD">
        <w:t xml:space="preserve">must have </w:t>
      </w:r>
      <w:r w:rsidR="00351EB0">
        <w:t xml:space="preserve">sufficient training </w:t>
      </w:r>
      <w:r w:rsidR="001B7BCD">
        <w:t xml:space="preserve">in family violence. </w:t>
      </w:r>
      <w:r w:rsidR="006D5035">
        <w:t>It is our observation that t</w:t>
      </w:r>
      <w:r w:rsidR="006D5035" w:rsidRPr="006D5035">
        <w:t>here is a lack of understanding of family violence, trauma and risk among judges,</w:t>
      </w:r>
      <w:r w:rsidR="006D5035">
        <w:t xml:space="preserve"> report writers and court staff and trained family violence specialists professionals </w:t>
      </w:r>
      <w:r w:rsidR="00351EB0">
        <w:t>would be beneficial</w:t>
      </w:r>
      <w:r w:rsidR="006D5035">
        <w:t>. Professionals should also be recruited in a way that encourages people with disab</w:t>
      </w:r>
      <w:r w:rsidR="00EC55E9">
        <w:t xml:space="preserve">ility to apply for these roles and roles should also </w:t>
      </w:r>
      <w:r w:rsidR="00CD64E9">
        <w:t xml:space="preserve">be reserved for women. </w:t>
      </w:r>
      <w:r w:rsidR="00B77C63" w:rsidRPr="00B77C63">
        <w:t>It is important that diverse women</w:t>
      </w:r>
      <w:r w:rsidR="00CD64E9">
        <w:t xml:space="preserve"> are represented in these roles</w:t>
      </w:r>
      <w:r w:rsidR="00B77C63" w:rsidRPr="00B77C63">
        <w:t xml:space="preserve">, for example </w:t>
      </w:r>
      <w:r>
        <w:t>Culturally and Linguistically Diverse (CALD)</w:t>
      </w:r>
      <w:r w:rsidR="00B77C63" w:rsidRPr="00B77C63">
        <w:t xml:space="preserve"> and </w:t>
      </w:r>
      <w:r w:rsidR="00092B09">
        <w:t>Aboriginal and Torres Strait Islander</w:t>
      </w:r>
      <w:r w:rsidR="00B77C63" w:rsidRPr="00B77C63">
        <w:t xml:space="preserve"> women with disabilities</w:t>
      </w:r>
      <w:r w:rsidR="00351EB0">
        <w:t xml:space="preserve"> </w:t>
      </w:r>
      <w:r w:rsidR="00CD64E9">
        <w:t xml:space="preserve">should be prioritised in </w:t>
      </w:r>
      <w:r w:rsidR="00351EB0">
        <w:t>these specialist and support roles.</w:t>
      </w:r>
      <w:r w:rsidR="00187861">
        <w:br/>
      </w:r>
      <w:bookmarkStart w:id="12" w:name="_Toc529796902"/>
    </w:p>
    <w:p w:rsidR="0022048E" w:rsidRDefault="0022048E" w:rsidP="00D66F8A"/>
    <w:p w:rsidR="0022048E" w:rsidRDefault="0022048E" w:rsidP="00D66F8A"/>
    <w:p w:rsidR="0022048E" w:rsidRDefault="0022048E" w:rsidP="00D66F8A"/>
    <w:p w:rsidR="0022048E" w:rsidRDefault="0022048E" w:rsidP="00D66F8A"/>
    <w:p w:rsidR="0022048E" w:rsidRDefault="0022048E" w:rsidP="00D66F8A"/>
    <w:p w:rsidR="0022048E" w:rsidRDefault="0022048E" w:rsidP="00D66F8A"/>
    <w:p w:rsidR="0022048E" w:rsidRDefault="0022048E" w:rsidP="00D66F8A"/>
    <w:p w:rsidR="0022048E" w:rsidRDefault="0022048E" w:rsidP="00D66F8A"/>
    <w:p w:rsidR="0022048E" w:rsidRDefault="0022048E" w:rsidP="00D66F8A"/>
    <w:p w:rsidR="0022048E" w:rsidRDefault="0022048E" w:rsidP="00D66F8A"/>
    <w:p w:rsidR="001B2374" w:rsidRDefault="001B2374" w:rsidP="00D66F8A"/>
    <w:p w:rsidR="001B2374" w:rsidRDefault="001B2374" w:rsidP="00D66F8A"/>
    <w:p w:rsidR="001B2374" w:rsidRDefault="001B2374" w:rsidP="00D66F8A"/>
    <w:p w:rsidR="001B2374" w:rsidRDefault="001B2374" w:rsidP="00D66F8A"/>
    <w:p w:rsidR="001B2374" w:rsidRDefault="001B2374" w:rsidP="00D66F8A"/>
    <w:p w:rsidR="001B2374" w:rsidRDefault="001B2374" w:rsidP="00D66F8A"/>
    <w:p w:rsidR="001B2374" w:rsidRDefault="001B2374" w:rsidP="00D66F8A"/>
    <w:p w:rsidR="001B2374" w:rsidRDefault="001B2374" w:rsidP="00D66F8A"/>
    <w:p w:rsidR="001B2374" w:rsidRDefault="001B2374" w:rsidP="00D66F8A">
      <w:bookmarkStart w:id="13" w:name="_GoBack"/>
      <w:bookmarkEnd w:id="13"/>
    </w:p>
    <w:p w:rsidR="001618F0" w:rsidRPr="00915DFA" w:rsidRDefault="00905DA9" w:rsidP="00D66F8A">
      <w:pPr>
        <w:rPr>
          <w:sz w:val="24"/>
          <w:szCs w:val="24"/>
        </w:rPr>
      </w:pPr>
      <w:r w:rsidRPr="00915DFA">
        <w:rPr>
          <w:rFonts w:eastAsia="Times New Roman"/>
          <w:b/>
          <w:color w:val="7030A0"/>
          <w:sz w:val="24"/>
          <w:szCs w:val="24"/>
        </w:rPr>
        <w:t>Forced sterilisation</w:t>
      </w:r>
      <w:bookmarkEnd w:id="12"/>
    </w:p>
    <w:p w:rsidR="001618F0" w:rsidRPr="005510C8" w:rsidRDefault="001618F0" w:rsidP="005510C8">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both"/>
        <w:rPr>
          <w:rFonts w:ascii="Calibri" w:eastAsia="Times New Roman" w:hAnsi="Calibri" w:cs="Times New Roman"/>
          <w:b/>
        </w:rPr>
      </w:pPr>
      <w:r>
        <w:rPr>
          <w:rFonts w:ascii="Calibri" w:eastAsia="Times New Roman" w:hAnsi="Calibri" w:cs="Times New Roman"/>
          <w:b/>
        </w:rPr>
        <w:t>Question 9-1</w:t>
      </w:r>
      <w:r w:rsidR="00062B75">
        <w:rPr>
          <w:rFonts w:ascii="Calibri" w:eastAsia="Times New Roman" w:hAnsi="Calibri" w:cs="Times New Roman"/>
          <w:b/>
        </w:rPr>
        <w:t xml:space="preserve">: </w:t>
      </w:r>
      <w:r w:rsidRPr="005510C8">
        <w:rPr>
          <w:rFonts w:ascii="Calibri" w:eastAsia="Times New Roman" w:hAnsi="Calibri" w:cs="Times New Roman"/>
        </w:rPr>
        <w:t xml:space="preserve">In relation to the welfare jurisdiction: </w:t>
      </w:r>
      <w:r w:rsidR="005510C8" w:rsidRPr="005510C8">
        <w:rPr>
          <w:rFonts w:ascii="Calibri" w:eastAsia="Times New Roman" w:hAnsi="Calibri" w:cs="Times New Roman"/>
        </w:rPr>
        <w:t>s</w:t>
      </w:r>
      <w:r w:rsidRPr="005510C8">
        <w:rPr>
          <w:rFonts w:ascii="Calibri" w:eastAsia="Times New Roman" w:hAnsi="Calibri" w:cs="Times New Roman"/>
        </w:rPr>
        <w:t>hould authorisation by a court, tribunal, or other regulatory body be required for procedures such as sterilisation of children with disability or intersex medical procedures? What body would be most appropriate to undertake this function? In what circumstances should it be possible for this body to authorise sterilisation procedures or intersex medical procedures before a child is legally able to personally make these decisions?</w:t>
      </w:r>
      <w:r w:rsidR="005510C8" w:rsidRPr="005510C8">
        <w:rPr>
          <w:rFonts w:ascii="Calibri" w:eastAsia="Times New Roman" w:hAnsi="Calibri" w:cs="Times New Roman"/>
        </w:rPr>
        <w:t xml:space="preserve"> </w:t>
      </w:r>
      <w:r w:rsidRPr="005510C8">
        <w:rPr>
          <w:rFonts w:ascii="Calibri" w:eastAsia="Times New Roman" w:hAnsi="Calibri" w:cs="Times New Roman"/>
        </w:rPr>
        <w:t>What additional legislative, procedural or other safeguards, if any, should be put in place to ensure that the human rights of children are protected in these cases?</w:t>
      </w:r>
    </w:p>
    <w:p w:rsidR="006F2B6D" w:rsidRDefault="006F2B6D" w:rsidP="006F2B6D">
      <w:pPr>
        <w:spacing w:after="0" w:line="240" w:lineRule="auto"/>
        <w:rPr>
          <w:rFonts w:ascii="Calibri" w:eastAsia="Times New Roman" w:hAnsi="Calibri" w:cs="Times New Roman"/>
          <w:i/>
        </w:rPr>
      </w:pPr>
    </w:p>
    <w:p w:rsidR="008520E5" w:rsidRPr="00760A53" w:rsidRDefault="00952933" w:rsidP="00760A53">
      <w:pPr>
        <w:spacing w:after="0" w:line="240" w:lineRule="auto"/>
        <w:jc w:val="both"/>
        <w:rPr>
          <w:rFonts w:ascii="Calibri" w:eastAsia="Times New Roman" w:hAnsi="Calibri" w:cs="Times New Roman"/>
        </w:rPr>
      </w:pPr>
      <w:r>
        <w:rPr>
          <w:rFonts w:ascii="Calibri" w:eastAsia="Times New Roman" w:hAnsi="Calibri" w:cs="Times New Roman"/>
        </w:rPr>
        <w:t>Women with Disabilities Victoria</w:t>
      </w:r>
      <w:r w:rsidR="00EC55E9">
        <w:rPr>
          <w:rFonts w:ascii="Calibri" w:eastAsia="Times New Roman" w:hAnsi="Calibri" w:cs="Times New Roman"/>
        </w:rPr>
        <w:t xml:space="preserve"> rais</w:t>
      </w:r>
      <w:r w:rsidR="00062B75">
        <w:rPr>
          <w:rFonts w:ascii="Calibri" w:eastAsia="Times New Roman" w:hAnsi="Calibri" w:cs="Times New Roman"/>
        </w:rPr>
        <w:t>es concern</w:t>
      </w:r>
      <w:r w:rsidR="00F02126">
        <w:rPr>
          <w:rFonts w:ascii="Calibri" w:eastAsia="Times New Roman" w:hAnsi="Calibri" w:cs="Times New Roman"/>
        </w:rPr>
        <w:t>s</w:t>
      </w:r>
      <w:r w:rsidR="00062B75">
        <w:rPr>
          <w:rFonts w:ascii="Calibri" w:eastAsia="Times New Roman" w:hAnsi="Calibri" w:cs="Times New Roman"/>
        </w:rPr>
        <w:t xml:space="preserve"> about this question and the way </w:t>
      </w:r>
      <w:r w:rsidR="00072617">
        <w:rPr>
          <w:rFonts w:ascii="Calibri" w:eastAsia="Times New Roman" w:hAnsi="Calibri" w:cs="Times New Roman"/>
        </w:rPr>
        <w:t>in which</w:t>
      </w:r>
      <w:r w:rsidR="00062B75">
        <w:rPr>
          <w:rFonts w:ascii="Calibri" w:eastAsia="Times New Roman" w:hAnsi="Calibri" w:cs="Times New Roman"/>
        </w:rPr>
        <w:t xml:space="preserve"> it is framed. </w:t>
      </w:r>
      <w:r w:rsidR="006F2B6D">
        <w:rPr>
          <w:rFonts w:ascii="Calibri" w:eastAsia="Times New Roman" w:hAnsi="Calibri" w:cs="Times New Roman"/>
        </w:rPr>
        <w:t>Forced</w:t>
      </w:r>
      <w:r w:rsidR="005A2BC6">
        <w:rPr>
          <w:rFonts w:ascii="Calibri" w:eastAsia="Times New Roman" w:hAnsi="Calibri" w:cs="Times New Roman"/>
        </w:rPr>
        <w:t xml:space="preserve"> or coerced</w:t>
      </w:r>
      <w:r w:rsidR="006F2B6D">
        <w:rPr>
          <w:rFonts w:ascii="Calibri" w:eastAsia="Times New Roman" w:hAnsi="Calibri" w:cs="Times New Roman"/>
        </w:rPr>
        <w:t xml:space="preserve"> sterilisation </w:t>
      </w:r>
      <w:r w:rsidR="005A2BC6">
        <w:rPr>
          <w:rFonts w:ascii="Calibri" w:eastAsia="Times New Roman" w:hAnsi="Calibri" w:cs="Times New Roman"/>
        </w:rPr>
        <w:t xml:space="preserve">in the absence of the free and informed consent of </w:t>
      </w:r>
      <w:r w:rsidR="0082125D">
        <w:rPr>
          <w:rFonts w:ascii="Calibri" w:eastAsia="Times New Roman" w:hAnsi="Calibri" w:cs="Times New Roman"/>
        </w:rPr>
        <w:t>an</w:t>
      </w:r>
      <w:r w:rsidR="005A2BC6">
        <w:rPr>
          <w:rFonts w:ascii="Calibri" w:eastAsia="Times New Roman" w:hAnsi="Calibri" w:cs="Times New Roman"/>
        </w:rPr>
        <w:t xml:space="preserve"> individual, including where sterilisation has been authorised by a third part</w:t>
      </w:r>
      <w:r w:rsidR="008661E4">
        <w:rPr>
          <w:rFonts w:ascii="Calibri" w:eastAsia="Times New Roman" w:hAnsi="Calibri" w:cs="Times New Roman"/>
        </w:rPr>
        <w:t>y</w:t>
      </w:r>
      <w:r w:rsidR="005A2BC6">
        <w:rPr>
          <w:rFonts w:ascii="Calibri" w:eastAsia="Times New Roman" w:hAnsi="Calibri" w:cs="Times New Roman"/>
        </w:rPr>
        <w:t>,</w:t>
      </w:r>
      <w:r w:rsidR="00760A53">
        <w:rPr>
          <w:rFonts w:ascii="Calibri" w:eastAsia="Times New Roman" w:hAnsi="Calibri" w:cs="Times New Roman"/>
        </w:rPr>
        <w:t xml:space="preserve"> </w:t>
      </w:r>
      <w:r w:rsidR="006F2B6D">
        <w:rPr>
          <w:rFonts w:ascii="Calibri" w:eastAsia="Times New Roman" w:hAnsi="Calibri" w:cs="Times New Roman"/>
        </w:rPr>
        <w:t xml:space="preserve">is </w:t>
      </w:r>
      <w:r w:rsidR="006F2B6D" w:rsidRPr="00AD0CFD">
        <w:rPr>
          <w:rFonts w:ascii="Calibri" w:eastAsia="Times New Roman" w:hAnsi="Calibri" w:cs="Times New Roman"/>
        </w:rPr>
        <w:t>a human rights violation</w:t>
      </w:r>
      <w:r w:rsidR="00F02126" w:rsidRPr="00AD0CFD">
        <w:rPr>
          <w:rFonts w:ascii="Calibri" w:eastAsia="Times New Roman" w:hAnsi="Calibri" w:cs="Times New Roman"/>
        </w:rPr>
        <w:t xml:space="preserve">. </w:t>
      </w:r>
      <w:r w:rsidR="00F02126">
        <w:rPr>
          <w:rFonts w:ascii="Calibri" w:eastAsia="Times New Roman" w:hAnsi="Calibri" w:cs="Times New Roman"/>
        </w:rPr>
        <w:t xml:space="preserve">It is internationally recognised as </w:t>
      </w:r>
      <w:r w:rsidR="008520E5">
        <w:rPr>
          <w:rFonts w:ascii="Calibri" w:eastAsia="Times New Roman" w:hAnsi="Calibri" w:cs="Times New Roman"/>
        </w:rPr>
        <w:t>a form of torture and is a</w:t>
      </w:r>
      <w:r w:rsidR="006F2B6D">
        <w:rPr>
          <w:rFonts w:ascii="Calibri" w:eastAsia="Times New Roman" w:hAnsi="Calibri" w:cs="Times New Roman"/>
        </w:rPr>
        <w:t xml:space="preserve"> </w:t>
      </w:r>
      <w:r w:rsidR="006F2B6D" w:rsidRPr="00AD0CFD">
        <w:rPr>
          <w:rFonts w:ascii="Calibri" w:eastAsia="Times New Roman" w:hAnsi="Calibri" w:cs="Times New Roman"/>
        </w:rPr>
        <w:t>form of violence against women.</w:t>
      </w:r>
      <w:r w:rsidR="005A2BC6">
        <w:rPr>
          <w:rStyle w:val="FootnoteReference"/>
          <w:rFonts w:ascii="Calibri" w:eastAsia="Times New Roman" w:hAnsi="Calibri" w:cs="Times New Roman"/>
        </w:rPr>
        <w:footnoteReference w:id="16"/>
      </w:r>
      <w:r w:rsidR="00F0566F">
        <w:rPr>
          <w:rFonts w:ascii="Calibri" w:eastAsia="Times New Roman" w:hAnsi="Calibri" w:cs="Times New Roman"/>
        </w:rPr>
        <w:t xml:space="preserve"> </w:t>
      </w:r>
      <w:r w:rsidR="008520E5" w:rsidRPr="008520E5">
        <w:rPr>
          <w:rFonts w:ascii="Calibri" w:eastAsia="Times New Roman" w:hAnsi="Calibri" w:cs="Times New Roman"/>
        </w:rPr>
        <w:t>Forced and coerced sterilisation has long-lasting physical, psychological and social effects and causes severe mental pain and suffering, extreme psychological trauma, including depression and grief</w:t>
      </w:r>
      <w:r w:rsidR="008520E5">
        <w:rPr>
          <w:rFonts w:ascii="Calibri" w:eastAsia="Times New Roman" w:hAnsi="Calibri" w:cs="Times New Roman"/>
        </w:rPr>
        <w:t>.</w:t>
      </w:r>
      <w:r w:rsidR="008520E5">
        <w:rPr>
          <w:rStyle w:val="FootnoteReference"/>
          <w:rFonts w:ascii="Calibri" w:eastAsia="Times New Roman" w:hAnsi="Calibri" w:cs="Times New Roman"/>
        </w:rPr>
        <w:footnoteReference w:id="17"/>
      </w:r>
      <w:r w:rsidR="00760A53">
        <w:rPr>
          <w:rFonts w:ascii="Calibri" w:eastAsia="Times New Roman" w:hAnsi="Calibri" w:cs="Times New Roman"/>
        </w:rPr>
        <w:t xml:space="preserve"> Laws which allow for the f</w:t>
      </w:r>
      <w:r w:rsidR="00760A53" w:rsidRPr="00760A53">
        <w:rPr>
          <w:rFonts w:ascii="Calibri" w:eastAsia="Times New Roman" w:hAnsi="Calibri" w:cs="Times New Roman"/>
        </w:rPr>
        <w:t xml:space="preserve">orced </w:t>
      </w:r>
      <w:r w:rsidR="002B736C">
        <w:rPr>
          <w:rFonts w:ascii="Calibri" w:eastAsia="Times New Roman" w:hAnsi="Calibri" w:cs="Times New Roman"/>
        </w:rPr>
        <w:t xml:space="preserve">and coerced </w:t>
      </w:r>
      <w:r w:rsidR="00760A53" w:rsidRPr="00760A53">
        <w:rPr>
          <w:rFonts w:ascii="Calibri" w:eastAsia="Times New Roman" w:hAnsi="Calibri" w:cs="Times New Roman"/>
        </w:rPr>
        <w:t xml:space="preserve">sterilisation </w:t>
      </w:r>
      <w:r w:rsidR="00760A53">
        <w:rPr>
          <w:rFonts w:ascii="Calibri" w:eastAsia="Times New Roman" w:hAnsi="Calibri" w:cs="Times New Roman"/>
        </w:rPr>
        <w:t xml:space="preserve">of women </w:t>
      </w:r>
      <w:r w:rsidR="002B736C">
        <w:rPr>
          <w:rFonts w:ascii="Calibri" w:eastAsia="Times New Roman" w:hAnsi="Calibri" w:cs="Times New Roman"/>
        </w:rPr>
        <w:t xml:space="preserve">and girls </w:t>
      </w:r>
      <w:r w:rsidR="00760A53">
        <w:rPr>
          <w:rFonts w:ascii="Calibri" w:eastAsia="Times New Roman" w:hAnsi="Calibri" w:cs="Times New Roman"/>
        </w:rPr>
        <w:t xml:space="preserve">with disabilities </w:t>
      </w:r>
      <w:r w:rsidR="002B736C">
        <w:rPr>
          <w:rFonts w:ascii="Calibri" w:eastAsia="Times New Roman" w:hAnsi="Calibri" w:cs="Times New Roman"/>
        </w:rPr>
        <w:t xml:space="preserve">and </w:t>
      </w:r>
      <w:r w:rsidR="00AD0CFD">
        <w:rPr>
          <w:rFonts w:ascii="Calibri" w:eastAsia="Times New Roman" w:hAnsi="Calibri" w:cs="Times New Roman"/>
        </w:rPr>
        <w:t xml:space="preserve">performance of </w:t>
      </w:r>
      <w:r w:rsidR="00F02126">
        <w:rPr>
          <w:rFonts w:ascii="Calibri" w:eastAsia="Times New Roman" w:hAnsi="Calibri" w:cs="Times New Roman"/>
        </w:rPr>
        <w:t xml:space="preserve">medical procedures for those born with </w:t>
      </w:r>
      <w:r w:rsidR="002B736C">
        <w:rPr>
          <w:rFonts w:ascii="Calibri" w:eastAsia="Times New Roman" w:hAnsi="Calibri" w:cs="Times New Roman"/>
        </w:rPr>
        <w:t xml:space="preserve">intersex characteristics </w:t>
      </w:r>
      <w:r w:rsidR="00F02126">
        <w:rPr>
          <w:rFonts w:ascii="Calibri" w:eastAsia="Times New Roman" w:hAnsi="Calibri" w:cs="Times New Roman"/>
        </w:rPr>
        <w:t xml:space="preserve">before </w:t>
      </w:r>
      <w:r w:rsidR="00AD0CFD">
        <w:rPr>
          <w:rFonts w:ascii="Calibri" w:eastAsia="Times New Roman" w:hAnsi="Calibri" w:cs="Times New Roman"/>
        </w:rPr>
        <w:t>they are</w:t>
      </w:r>
      <w:r w:rsidR="00F02126">
        <w:rPr>
          <w:rFonts w:ascii="Calibri" w:eastAsia="Times New Roman" w:hAnsi="Calibri" w:cs="Times New Roman"/>
        </w:rPr>
        <w:t xml:space="preserve"> legally able to make such decisions</w:t>
      </w:r>
      <w:r w:rsidR="002B736C">
        <w:rPr>
          <w:rFonts w:ascii="Calibri" w:eastAsia="Times New Roman" w:hAnsi="Calibri" w:cs="Times New Roman"/>
        </w:rPr>
        <w:t xml:space="preserve"> </w:t>
      </w:r>
      <w:r w:rsidR="00760A53" w:rsidRPr="00760A53">
        <w:rPr>
          <w:rFonts w:ascii="Calibri" w:eastAsia="Times New Roman" w:hAnsi="Calibri" w:cs="Times New Roman"/>
        </w:rPr>
        <w:t xml:space="preserve">should be </w:t>
      </w:r>
      <w:r w:rsidR="00E9642F">
        <w:rPr>
          <w:rFonts w:ascii="Calibri" w:eastAsia="Times New Roman" w:hAnsi="Calibri" w:cs="Times New Roman"/>
        </w:rPr>
        <w:t>abolished</w:t>
      </w:r>
      <w:r w:rsidR="00760A53" w:rsidRPr="00760A53">
        <w:rPr>
          <w:rFonts w:ascii="Calibri" w:eastAsia="Times New Roman" w:hAnsi="Calibri" w:cs="Times New Roman"/>
        </w:rPr>
        <w:t xml:space="preserve">, unless </w:t>
      </w:r>
      <w:r w:rsidR="00AD0CFD">
        <w:rPr>
          <w:rFonts w:ascii="Calibri" w:eastAsia="Times New Roman" w:hAnsi="Calibri" w:cs="Times New Roman"/>
        </w:rPr>
        <w:t>in circumstances where there</w:t>
      </w:r>
      <w:r w:rsidR="00760A53" w:rsidRPr="00760A53">
        <w:rPr>
          <w:rFonts w:ascii="Calibri" w:eastAsia="Times New Roman" w:hAnsi="Calibri" w:cs="Times New Roman"/>
        </w:rPr>
        <w:t xml:space="preserve"> is a serious threat to life.</w:t>
      </w:r>
    </w:p>
    <w:p w:rsidR="008520E5" w:rsidRDefault="008520E5" w:rsidP="006E220C">
      <w:pPr>
        <w:spacing w:after="0" w:line="240" w:lineRule="auto"/>
        <w:jc w:val="both"/>
        <w:rPr>
          <w:rFonts w:ascii="Calibri" w:eastAsia="Times New Roman" w:hAnsi="Calibri" w:cs="Times New Roman"/>
        </w:rPr>
      </w:pPr>
    </w:p>
    <w:p w:rsidR="008520E5" w:rsidRPr="00AD0CFD" w:rsidRDefault="008520E5" w:rsidP="00AD0CFD">
      <w:pPr>
        <w:spacing w:after="0" w:line="240" w:lineRule="auto"/>
        <w:jc w:val="both"/>
        <w:rPr>
          <w:rFonts w:ascii="Calibri" w:eastAsia="Times New Roman" w:hAnsi="Calibri" w:cs="Times New Roman"/>
        </w:rPr>
      </w:pPr>
      <w:r>
        <w:rPr>
          <w:rFonts w:ascii="Calibri" w:eastAsia="Times New Roman" w:hAnsi="Calibri" w:cs="Times New Roman"/>
        </w:rPr>
        <w:t xml:space="preserve">Women with Disabilities Australia, our sister organisation, has </w:t>
      </w:r>
      <w:r w:rsidR="0067351A">
        <w:rPr>
          <w:rFonts w:ascii="Calibri" w:eastAsia="Times New Roman" w:hAnsi="Calibri" w:cs="Times New Roman"/>
        </w:rPr>
        <w:t xml:space="preserve">previously provided numerous </w:t>
      </w:r>
      <w:r w:rsidR="00AD0CFD">
        <w:rPr>
          <w:rFonts w:ascii="Calibri" w:eastAsia="Times New Roman" w:hAnsi="Calibri" w:cs="Times New Roman"/>
        </w:rPr>
        <w:t xml:space="preserve">submissions and </w:t>
      </w:r>
      <w:r w:rsidRPr="008520E5">
        <w:rPr>
          <w:rFonts w:ascii="Calibri" w:eastAsia="Times New Roman" w:hAnsi="Calibri" w:cs="Times New Roman"/>
        </w:rPr>
        <w:t>re</w:t>
      </w:r>
      <w:r w:rsidR="00AD0CFD">
        <w:rPr>
          <w:rFonts w:ascii="Calibri" w:eastAsia="Times New Roman" w:hAnsi="Calibri" w:cs="Times New Roman"/>
        </w:rPr>
        <w:t xml:space="preserve">ports </w:t>
      </w:r>
      <w:r w:rsidRPr="008520E5">
        <w:rPr>
          <w:rFonts w:ascii="Calibri" w:eastAsia="Times New Roman" w:hAnsi="Calibri" w:cs="Times New Roman"/>
        </w:rPr>
        <w:t>to successive Australian Gove</w:t>
      </w:r>
      <w:r>
        <w:rPr>
          <w:rFonts w:ascii="Calibri" w:eastAsia="Times New Roman" w:hAnsi="Calibri" w:cs="Times New Roman"/>
        </w:rPr>
        <w:t xml:space="preserve">rnments on this issue. </w:t>
      </w:r>
      <w:r w:rsidR="00062B75" w:rsidRPr="00062B75">
        <w:rPr>
          <w:rFonts w:ascii="Calibri" w:eastAsia="Times New Roman" w:hAnsi="Calibri" w:cs="Times New Roman"/>
        </w:rPr>
        <w:t>Sin</w:t>
      </w:r>
      <w:r w:rsidR="005A2BC6">
        <w:rPr>
          <w:rFonts w:ascii="Calibri" w:eastAsia="Times New Roman" w:hAnsi="Calibri" w:cs="Times New Roman"/>
        </w:rPr>
        <w:t>ce 2005, six out of the seven United Nations</w:t>
      </w:r>
      <w:r w:rsidR="00062B75" w:rsidRPr="00062B75">
        <w:rPr>
          <w:rFonts w:ascii="Calibri" w:eastAsia="Times New Roman" w:hAnsi="Calibri" w:cs="Times New Roman"/>
        </w:rPr>
        <w:t xml:space="preserve"> committees tasked with monitoring implementation of treatie</w:t>
      </w:r>
      <w:r w:rsidR="003B0CFA">
        <w:rPr>
          <w:rFonts w:ascii="Calibri" w:eastAsia="Times New Roman" w:hAnsi="Calibri" w:cs="Times New Roman"/>
        </w:rPr>
        <w:t>s to which Australia is a party</w:t>
      </w:r>
      <w:r w:rsidR="00062B75" w:rsidRPr="00062B75">
        <w:rPr>
          <w:rFonts w:ascii="Calibri" w:eastAsia="Times New Roman" w:hAnsi="Calibri" w:cs="Times New Roman"/>
        </w:rPr>
        <w:t xml:space="preserve"> have called on successive Australian Governments to legislate to end forced and coerced sterilisation.</w:t>
      </w:r>
      <w:r w:rsidR="00062B75">
        <w:rPr>
          <w:rStyle w:val="FootnoteReference"/>
          <w:rFonts w:ascii="Calibri" w:eastAsia="Times New Roman" w:hAnsi="Calibri" w:cs="Times New Roman"/>
        </w:rPr>
        <w:footnoteReference w:id="18"/>
      </w:r>
      <w:r w:rsidR="00AD0CFD">
        <w:rPr>
          <w:rFonts w:ascii="Calibri" w:eastAsia="Times New Roman" w:hAnsi="Calibri" w:cs="Times New Roman"/>
        </w:rPr>
        <w:t xml:space="preserve"> </w:t>
      </w:r>
      <w:r w:rsidR="00AD0CFD" w:rsidRPr="00AD0CFD">
        <w:rPr>
          <w:rFonts w:ascii="Calibri" w:eastAsia="Times New Roman" w:hAnsi="Calibri" w:cs="Times New Roman"/>
        </w:rPr>
        <w:t>The Family Law Act should be amended to remove all provisions which allow it to provide authorisation for such procedures, except where there is a serious threat to life.</w:t>
      </w:r>
      <w:r w:rsidR="00AD0CFD">
        <w:rPr>
          <w:rFonts w:ascii="Calibri" w:eastAsia="Times New Roman" w:hAnsi="Calibri" w:cs="Times New Roman"/>
        </w:rPr>
        <w:t xml:space="preserve"> </w:t>
      </w:r>
      <w:r>
        <w:t xml:space="preserve">As an immediate action, we </w:t>
      </w:r>
      <w:r w:rsidR="0067351A">
        <w:t>recommend</w:t>
      </w:r>
      <w:r>
        <w:t xml:space="preserve"> that </w:t>
      </w:r>
      <w:r w:rsidRPr="008520E5">
        <w:t>national legislation</w:t>
      </w:r>
      <w:r>
        <w:t xml:space="preserve"> be enacted</w:t>
      </w:r>
      <w:r w:rsidRPr="008520E5">
        <w:t xml:space="preserve"> prohibiting, except where there is a serious threat to life, the use of sterilisation of </w:t>
      </w:r>
      <w:r w:rsidR="00BE410C">
        <w:t>girls</w:t>
      </w:r>
      <w:r w:rsidRPr="008520E5">
        <w:t>, regardless of whether they have a disability, and of adult women with disabilities in the absence of their fully informed and free consent</w:t>
      </w:r>
      <w:r>
        <w:t>.</w:t>
      </w:r>
      <w:r w:rsidR="0001457D">
        <w:t xml:space="preserve"> We also advocate for an apology to victim/survivors and the establishment of a redress scheme. </w:t>
      </w:r>
    </w:p>
    <w:p w:rsidR="00AD0CFD" w:rsidRDefault="00AD0CFD" w:rsidP="00AD0CFD">
      <w:pPr>
        <w:spacing w:after="0" w:line="240" w:lineRule="auto"/>
        <w:jc w:val="both"/>
        <w:rPr>
          <w:rFonts w:ascii="Calibri" w:eastAsia="Times New Roman" w:hAnsi="Calibri" w:cs="Times New Roman"/>
        </w:rPr>
      </w:pPr>
    </w:p>
    <w:p w:rsidR="00D66F8A" w:rsidRDefault="00D66F8A" w:rsidP="00AD0CFD">
      <w:pPr>
        <w:spacing w:after="0" w:line="240" w:lineRule="auto"/>
        <w:jc w:val="both"/>
        <w:rPr>
          <w:rFonts w:ascii="Calibri" w:eastAsia="Times New Roman" w:hAnsi="Calibri" w:cs="Times New Roman"/>
        </w:rPr>
      </w:pPr>
    </w:p>
    <w:p w:rsidR="00D66F8A" w:rsidRDefault="00D66F8A" w:rsidP="00AD0CFD">
      <w:pPr>
        <w:spacing w:after="0" w:line="240" w:lineRule="auto"/>
        <w:jc w:val="both"/>
        <w:rPr>
          <w:rFonts w:ascii="Calibri" w:eastAsia="Times New Roman" w:hAnsi="Calibri" w:cs="Times New Roman"/>
        </w:rPr>
      </w:pPr>
    </w:p>
    <w:p w:rsidR="00CF7496" w:rsidRDefault="00CF7496" w:rsidP="00AD0CFD">
      <w:pPr>
        <w:spacing w:after="0" w:line="240" w:lineRule="auto"/>
        <w:jc w:val="both"/>
        <w:rPr>
          <w:rFonts w:ascii="Calibri" w:eastAsia="Times New Roman" w:hAnsi="Calibri" w:cs="Times New Roman"/>
        </w:rPr>
      </w:pPr>
    </w:p>
    <w:p w:rsidR="00D66F8A" w:rsidRDefault="00D66F8A" w:rsidP="00AD0CFD">
      <w:pPr>
        <w:spacing w:after="0" w:line="240" w:lineRule="auto"/>
        <w:jc w:val="both"/>
        <w:rPr>
          <w:rFonts w:ascii="Calibri" w:eastAsia="Times New Roman" w:hAnsi="Calibri" w:cs="Times New Roman"/>
        </w:rPr>
      </w:pPr>
    </w:p>
    <w:p w:rsidR="00D66F8A" w:rsidRPr="00AD0CFD" w:rsidRDefault="00D66F8A" w:rsidP="00AD0CFD">
      <w:pPr>
        <w:spacing w:after="0" w:line="240" w:lineRule="auto"/>
        <w:jc w:val="both"/>
        <w:rPr>
          <w:rFonts w:ascii="Calibri" w:eastAsia="Times New Roman" w:hAnsi="Calibri" w:cs="Times New Roman"/>
        </w:rPr>
      </w:pPr>
    </w:p>
    <w:p w:rsidR="00CC3740" w:rsidRPr="00915DFA" w:rsidRDefault="00905DA9" w:rsidP="00D13069">
      <w:pPr>
        <w:pStyle w:val="Heading3"/>
        <w:rPr>
          <w:rFonts w:asciiTheme="minorHAnsi" w:eastAsia="Times New Roman" w:hAnsiTheme="minorHAnsi"/>
          <w:b/>
          <w:color w:val="7030A0"/>
        </w:rPr>
      </w:pPr>
      <w:bookmarkStart w:id="14" w:name="_Toc529796903"/>
      <w:r w:rsidRPr="00915DFA">
        <w:rPr>
          <w:rFonts w:asciiTheme="minorHAnsi" w:eastAsia="Times New Roman" w:hAnsiTheme="minorHAnsi"/>
          <w:b/>
          <w:color w:val="7030A0"/>
        </w:rPr>
        <w:lastRenderedPageBreak/>
        <w:t>Assessing a woman with a disability’s ability to parent</w:t>
      </w:r>
      <w:bookmarkEnd w:id="14"/>
      <w:r w:rsidR="00D13069" w:rsidRPr="00915DFA">
        <w:rPr>
          <w:rFonts w:asciiTheme="minorHAnsi" w:eastAsia="Times New Roman" w:hAnsiTheme="minorHAnsi"/>
          <w:b/>
          <w:color w:val="7030A0"/>
        </w:rPr>
        <w:br/>
      </w:r>
    </w:p>
    <w:p w:rsidR="00F0566F" w:rsidRPr="00062B75" w:rsidRDefault="00D85A95" w:rsidP="004477A9">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b/>
        </w:rPr>
      </w:pPr>
      <w:r w:rsidRPr="00D85A95">
        <w:rPr>
          <w:b/>
        </w:rPr>
        <w:t>Proposal 10-13</w:t>
      </w:r>
      <w:r w:rsidR="00062B75">
        <w:rPr>
          <w:b/>
        </w:rPr>
        <w:t xml:space="preserve">: </w:t>
      </w:r>
      <w:r w:rsidRPr="004477A9">
        <w:t xml:space="preserve">The Family Law Act 1975 (Cth) should provide that, where concerns are raised about the parenting ability of a person with disability in proceedings for parenting orders, a report writer </w:t>
      </w:r>
      <w:r w:rsidR="00FE57B3" w:rsidRPr="004477A9">
        <w:t xml:space="preserve">with requisite skills should: </w:t>
      </w:r>
      <w:r w:rsidRPr="004477A9">
        <w:t>prepare a report for the court about the person’s parenting ability, including what supports could be provided to</w:t>
      </w:r>
      <w:r w:rsidR="00062B75" w:rsidRPr="004477A9">
        <w:t xml:space="preserve"> improve their parenting; and </w:t>
      </w:r>
      <w:r w:rsidRPr="004477A9">
        <w:t>make recommendations about how that person’s disability may, or may not, affect their parenting.</w:t>
      </w:r>
    </w:p>
    <w:p w:rsidR="00F4552A" w:rsidRDefault="004E2076" w:rsidP="00316D29">
      <w:pPr>
        <w:jc w:val="both"/>
      </w:pPr>
      <w:r>
        <w:t>We support the principles behind this proposal</w:t>
      </w:r>
      <w:r w:rsidR="00280842">
        <w:t>. W</w:t>
      </w:r>
      <w:r>
        <w:t xml:space="preserve">e are supportive of the family law system </w:t>
      </w:r>
      <w:r w:rsidR="00F4552A">
        <w:t xml:space="preserve">and family law professionals working in a supportive capacity </w:t>
      </w:r>
      <w:r>
        <w:t xml:space="preserve">with women with disabilities to </w:t>
      </w:r>
      <w:r w:rsidR="00F4552A">
        <w:t>maintain and develop</w:t>
      </w:r>
      <w:r>
        <w:t xml:space="preserve"> their parenting </w:t>
      </w:r>
      <w:r w:rsidR="00F4552A">
        <w:t xml:space="preserve">skills </w:t>
      </w:r>
      <w:r>
        <w:t xml:space="preserve">and </w:t>
      </w:r>
      <w:r w:rsidR="00F4552A">
        <w:t>connect</w:t>
      </w:r>
      <w:r>
        <w:t xml:space="preserve"> them with mainstream </w:t>
      </w:r>
      <w:r w:rsidR="00280842">
        <w:t xml:space="preserve">and/or community supports, where this is helpful. </w:t>
      </w:r>
      <w:r>
        <w:t xml:space="preserve">However, there is an </w:t>
      </w:r>
      <w:r w:rsidR="00731134">
        <w:t>underlying a</w:t>
      </w:r>
      <w:r w:rsidR="00731134" w:rsidRPr="00731134">
        <w:t xml:space="preserve">ssumption </w:t>
      </w:r>
      <w:r w:rsidR="00F4552A">
        <w:t>in the broader community that</w:t>
      </w:r>
      <w:r w:rsidR="00731134" w:rsidRPr="00731134">
        <w:t xml:space="preserve"> </w:t>
      </w:r>
      <w:r w:rsidR="00731134">
        <w:t xml:space="preserve">having a </w:t>
      </w:r>
      <w:r w:rsidR="00731134" w:rsidRPr="00731134">
        <w:t>disability is a barrier to parenting</w:t>
      </w:r>
      <w:r w:rsidR="00F4552A">
        <w:t xml:space="preserve"> – this is not the case</w:t>
      </w:r>
      <w:r w:rsidR="00731134" w:rsidRPr="00731134">
        <w:t xml:space="preserve">. </w:t>
      </w:r>
      <w:r w:rsidR="00F4552A">
        <w:t>Where there are concerns about a woman with disability’s parenting abilities, connecting the mother with</w:t>
      </w:r>
      <w:r w:rsidR="009D5251">
        <w:t xml:space="preserve"> support</w:t>
      </w:r>
      <w:r w:rsidR="00731134" w:rsidRPr="00731134">
        <w:t xml:space="preserve"> options that assist </w:t>
      </w:r>
      <w:r w:rsidR="00F4552A">
        <w:t>her and her</w:t>
      </w:r>
      <w:r w:rsidR="00731134" w:rsidRPr="00731134">
        <w:t xml:space="preserve"> children to remain in the home </w:t>
      </w:r>
      <w:r w:rsidR="00731134">
        <w:t xml:space="preserve">safely </w:t>
      </w:r>
      <w:r w:rsidR="00F4552A">
        <w:t>is the best approach. Women with disability should be able to</w:t>
      </w:r>
      <w:r w:rsidR="00021FE7">
        <w:t xml:space="preserve"> </w:t>
      </w:r>
      <w:r w:rsidR="00F4552A">
        <w:t>be receive</w:t>
      </w:r>
      <w:r w:rsidR="00021FE7">
        <w:t xml:space="preserve"> encouragement and assistance from the community </w:t>
      </w:r>
      <w:r w:rsidR="003822B2">
        <w:t xml:space="preserve">and </w:t>
      </w:r>
      <w:r w:rsidR="00F4552A">
        <w:t xml:space="preserve">other </w:t>
      </w:r>
      <w:r w:rsidR="003822B2">
        <w:t xml:space="preserve">service systems </w:t>
      </w:r>
      <w:r w:rsidR="00F4552A">
        <w:t xml:space="preserve">in order to parent successfully. </w:t>
      </w:r>
    </w:p>
    <w:p w:rsidR="00021FE7" w:rsidRDefault="00057DAF" w:rsidP="00C02F8E">
      <w:pPr>
        <w:jc w:val="both"/>
      </w:pPr>
      <w:r w:rsidRPr="00057DAF">
        <w:t xml:space="preserve">Because of negative community attitudes towards disability, ingrained cultural assumptions, systemic disadvantage and discrimination, </w:t>
      </w:r>
      <w:r>
        <w:t xml:space="preserve">parents with disabilities, but particularly women with disabilities, </w:t>
      </w:r>
      <w:r w:rsidRPr="00057DAF">
        <w:t>experience high rates of removal of our children from our care, particularly through the operation of the child protection system ac</w:t>
      </w:r>
      <w:r w:rsidR="00B454C6">
        <w:t xml:space="preserve">ross the states and territories and the courts. </w:t>
      </w:r>
      <w:r w:rsidR="00F4552A">
        <w:t>Because of this, we caution that</w:t>
      </w:r>
      <w:r>
        <w:t xml:space="preserve"> </w:t>
      </w:r>
      <w:r w:rsidR="005E6445">
        <w:t xml:space="preserve">the use of report writers could be utilised by perpetrators </w:t>
      </w:r>
      <w:r w:rsidR="00AC6625">
        <w:t xml:space="preserve">abusing the family law system in order </w:t>
      </w:r>
      <w:r w:rsidR="005E6445">
        <w:t>to</w:t>
      </w:r>
      <w:r>
        <w:t xml:space="preserve"> </w:t>
      </w:r>
      <w:r w:rsidR="005E6445" w:rsidRPr="005E6445">
        <w:t xml:space="preserve">further victimise </w:t>
      </w:r>
      <w:r w:rsidR="00AC6625">
        <w:t xml:space="preserve">women and children; </w:t>
      </w:r>
      <w:r w:rsidR="005E6445">
        <w:t>this is particularly a concern for pr</w:t>
      </w:r>
      <w:r w:rsidR="00AC6625">
        <w:t xml:space="preserve">oceedings for parenting orders and in </w:t>
      </w:r>
      <w:r w:rsidR="003822B2">
        <w:t xml:space="preserve">situations where </w:t>
      </w:r>
      <w:r w:rsidR="00AC6625">
        <w:t xml:space="preserve">family </w:t>
      </w:r>
      <w:r w:rsidR="003822B2">
        <w:t xml:space="preserve">violence and abuse has been disclosed. </w:t>
      </w:r>
      <w:r w:rsidR="00FF56E8">
        <w:t xml:space="preserve">The potential for perpetrators to </w:t>
      </w:r>
      <w:r w:rsidR="005E6445">
        <w:t xml:space="preserve">successfully convince the </w:t>
      </w:r>
      <w:r w:rsidR="00FF56E8">
        <w:t>court</w:t>
      </w:r>
      <w:r w:rsidR="005E6445">
        <w:t xml:space="preserve"> and</w:t>
      </w:r>
      <w:r w:rsidR="00B454C6">
        <w:t>/or</w:t>
      </w:r>
      <w:r w:rsidR="005E6445">
        <w:t xml:space="preserve"> family law professionals that a woman’s disabilities</w:t>
      </w:r>
      <w:r w:rsidR="00FF56E8">
        <w:t xml:space="preserve"> </w:t>
      </w:r>
      <w:r w:rsidR="005E6445">
        <w:t>are a barrier to parenting is likely to heighten and</w:t>
      </w:r>
      <w:r w:rsidR="00EE0DEA">
        <w:t xml:space="preserve"> facilitate disability-</w:t>
      </w:r>
      <w:r w:rsidR="00FF56E8">
        <w:t>abuse against women with disabil</w:t>
      </w:r>
      <w:r w:rsidR="00316D29">
        <w:t xml:space="preserve">ities in family law matters. </w:t>
      </w:r>
      <w:r w:rsidR="00EE0DEA">
        <w:t>We stress that t</w:t>
      </w:r>
      <w:r w:rsidR="00021FE7">
        <w:t xml:space="preserve">he rights of all children to be raised by their natural parents wherever possible, whether or not they or </w:t>
      </w:r>
      <w:r w:rsidR="00316D29">
        <w:t>their parents have a disability, needs to be respected.</w:t>
      </w:r>
      <w:r w:rsidR="00021FE7">
        <w:t xml:space="preserve"> </w:t>
      </w:r>
    </w:p>
    <w:p w:rsidR="002602E8" w:rsidRDefault="00B454C6" w:rsidP="00C819B3">
      <w:pPr>
        <w:jc w:val="both"/>
      </w:pPr>
      <w:r>
        <w:t>Laws which permit the writing of</w:t>
      </w:r>
      <w:r w:rsidR="00316D4D" w:rsidRPr="00316D4D">
        <w:t xml:space="preserve"> </w:t>
      </w:r>
      <w:r>
        <w:t xml:space="preserve">reports, particularly from those without specified requirements to have disability awareness or understanding of the dynamics of family violence, </w:t>
      </w:r>
      <w:r w:rsidR="00316D4D" w:rsidRPr="00316D4D">
        <w:t>to assess a parent’s parenting abilities</w:t>
      </w:r>
      <w:r w:rsidR="00316D4D">
        <w:t xml:space="preserve"> in the Family Court process </w:t>
      </w:r>
      <w:r>
        <w:t>are likely to</w:t>
      </w:r>
      <w:r w:rsidR="00690D2A" w:rsidRPr="00690D2A">
        <w:t xml:space="preserve"> perpetuate discriminatory practices. </w:t>
      </w:r>
      <w:r w:rsidR="009D5251">
        <w:t>If employed by the courts, r</w:t>
      </w:r>
      <w:r w:rsidR="00316D4D">
        <w:t>eport writers</w:t>
      </w:r>
      <w:r w:rsidR="00316D4D" w:rsidRPr="00316D4D">
        <w:t xml:space="preserve"> must be informed by the significance of responses to wome</w:t>
      </w:r>
      <w:r w:rsidR="00316D4D">
        <w:t xml:space="preserve">n and children with disability and should address the support needs of women with disabilities only. </w:t>
      </w:r>
      <w:r w:rsidR="00316D4D" w:rsidRPr="00316D4D">
        <w:t xml:space="preserve">Report writers must </w:t>
      </w:r>
      <w:r w:rsidR="009D5251">
        <w:t xml:space="preserve">ideally </w:t>
      </w:r>
      <w:r w:rsidR="00316D4D" w:rsidRPr="00316D4D">
        <w:t>represent the wishes of the person with a disability, have an understanding of disability and of family violence.</w:t>
      </w:r>
      <w:r w:rsidR="009D5251">
        <w:t xml:space="preserve"> </w:t>
      </w:r>
    </w:p>
    <w:p w:rsidR="004173EF" w:rsidRPr="004173EF" w:rsidRDefault="004173EF" w:rsidP="00C819B3">
      <w:pPr>
        <w:jc w:val="both"/>
      </w:pPr>
    </w:p>
    <w:p w:rsidR="004173EF" w:rsidRPr="00026F38" w:rsidRDefault="004173EF" w:rsidP="004173EF">
      <w:pPr>
        <w:ind w:left="1440" w:right="1440"/>
        <w:jc w:val="both"/>
        <w:rPr>
          <w:color w:val="385623" w:themeColor="accent6" w:themeShade="80"/>
          <w:sz w:val="21"/>
          <w:szCs w:val="21"/>
        </w:rPr>
      </w:pPr>
      <w:r w:rsidRPr="00026F38">
        <w:rPr>
          <w:i/>
          <w:color w:val="385623" w:themeColor="accent6" w:themeShade="80"/>
          <w:sz w:val="21"/>
          <w:szCs w:val="21"/>
        </w:rPr>
        <w:t xml:space="preserve">“... </w:t>
      </w:r>
      <w:r>
        <w:rPr>
          <w:i/>
          <w:color w:val="385623" w:themeColor="accent6" w:themeShade="80"/>
          <w:sz w:val="21"/>
          <w:szCs w:val="21"/>
        </w:rPr>
        <w:t>[A]</w:t>
      </w:r>
      <w:r w:rsidRPr="00026F38">
        <w:rPr>
          <w:i/>
          <w:color w:val="385623" w:themeColor="accent6" w:themeShade="80"/>
          <w:sz w:val="21"/>
          <w:szCs w:val="21"/>
        </w:rPr>
        <w:t xml:space="preserve">s my ‘carer’ they’d look to him, oh, and he’d discredit me and then they’d not believe what I’d say. And ‘oh, she’s just making this up’. The whole community could not believe that this person could do this. It makes </w:t>
      </w:r>
      <w:r w:rsidRPr="00026F38">
        <w:rPr>
          <w:i/>
          <w:color w:val="385623" w:themeColor="accent6" w:themeShade="80"/>
          <w:sz w:val="21"/>
          <w:szCs w:val="21"/>
        </w:rPr>
        <w:lastRenderedPageBreak/>
        <w:t>it so much harder for the victim to voice something ‘cause they know nobody’s going to believe them!”</w:t>
      </w:r>
      <w:r w:rsidRPr="00026F38">
        <w:rPr>
          <w:color w:val="385623" w:themeColor="accent6" w:themeShade="80"/>
          <w:sz w:val="21"/>
          <w:szCs w:val="21"/>
        </w:rPr>
        <w:t xml:space="preserve"> – Michelle.</w:t>
      </w:r>
      <w:r w:rsidRPr="00026F38">
        <w:rPr>
          <w:rStyle w:val="FootnoteReference"/>
          <w:color w:val="385623" w:themeColor="accent6" w:themeShade="80"/>
          <w:sz w:val="21"/>
          <w:szCs w:val="21"/>
        </w:rPr>
        <w:footnoteReference w:id="19"/>
      </w:r>
    </w:p>
    <w:p w:rsidR="00731134" w:rsidRPr="00553EA7" w:rsidRDefault="00553EA7" w:rsidP="00553EA7">
      <w:pPr>
        <w:rPr>
          <w:b/>
        </w:rPr>
      </w:pPr>
      <w:r>
        <w:rPr>
          <w:b/>
        </w:rPr>
        <w:br w:type="page"/>
      </w:r>
      <w:bookmarkStart w:id="15" w:name="_Toc529796904"/>
      <w:r w:rsidR="00731134" w:rsidRPr="002602E8">
        <w:rPr>
          <w:b/>
          <w:color w:val="7030A0"/>
          <w:sz w:val="24"/>
          <w:szCs w:val="24"/>
        </w:rPr>
        <w:lastRenderedPageBreak/>
        <w:t>Recommendations</w:t>
      </w:r>
      <w:bookmarkEnd w:id="15"/>
    </w:p>
    <w:p w:rsidR="00523028" w:rsidRDefault="002B7D9C" w:rsidP="00C819B3">
      <w:pPr>
        <w:jc w:val="both"/>
      </w:pPr>
      <w:r>
        <w:t>Women with Disabilities Victoria mak</w:t>
      </w:r>
      <w:r w:rsidR="00523028">
        <w:t xml:space="preserve">e a number of submissions in relation to </w:t>
      </w:r>
      <w:r w:rsidR="005866F8">
        <w:t>ALRC’s</w:t>
      </w:r>
      <w:r w:rsidR="00523028">
        <w:t xml:space="preserve"> </w:t>
      </w:r>
      <w:r>
        <w:t>review of the family law system.</w:t>
      </w:r>
      <w:r w:rsidR="00523028">
        <w:t xml:space="preserve"> These include:</w:t>
      </w:r>
    </w:p>
    <w:p w:rsidR="004173EF" w:rsidRDefault="000E2115" w:rsidP="004173EF">
      <w:pPr>
        <w:pStyle w:val="ListParagraph"/>
        <w:numPr>
          <w:ilvl w:val="0"/>
          <w:numId w:val="3"/>
        </w:numPr>
      </w:pPr>
      <w:r>
        <w:t xml:space="preserve">That the ALRC takes a social model approach to </w:t>
      </w:r>
      <w:r w:rsidR="005866F8">
        <w:t>understanding disability and inclusion.</w:t>
      </w:r>
    </w:p>
    <w:p w:rsidR="004173EF" w:rsidRDefault="005866F8" w:rsidP="004173EF">
      <w:pPr>
        <w:pStyle w:val="ListParagraph"/>
        <w:numPr>
          <w:ilvl w:val="0"/>
          <w:numId w:val="3"/>
        </w:numPr>
      </w:pPr>
      <w:r>
        <w:t xml:space="preserve">That </w:t>
      </w:r>
      <w:r w:rsidR="0026773B">
        <w:t>the family law system take an</w:t>
      </w:r>
      <w:r w:rsidR="0031253A">
        <w:t xml:space="preserve"> </w:t>
      </w:r>
      <w:r w:rsidR="0026773B" w:rsidRPr="0026773B">
        <w:t>intersectional and human rights-based approach which acknowledges the intersection of gender, disability, language, cultural background and other characteristics or identities that are associated with disadvantage.</w:t>
      </w:r>
    </w:p>
    <w:p w:rsidR="00A92A73" w:rsidRPr="00AA7747" w:rsidRDefault="00A92A73" w:rsidP="00AA7747">
      <w:pPr>
        <w:pStyle w:val="ListParagraph"/>
        <w:numPr>
          <w:ilvl w:val="0"/>
          <w:numId w:val="3"/>
        </w:numPr>
      </w:pPr>
      <w:r>
        <w:t xml:space="preserve">The ALRC and </w:t>
      </w:r>
      <w:r w:rsidR="00AA7747">
        <w:t>courts which hear family law matters,</w:t>
      </w:r>
      <w:r>
        <w:t xml:space="preserve"> make a commitment to</w:t>
      </w:r>
      <w:r w:rsidR="00AA7747">
        <w:t xml:space="preserve"> fulfil their obligations under</w:t>
      </w:r>
      <w:r>
        <w:t xml:space="preserve"> the </w:t>
      </w:r>
      <w:r w:rsidR="00AA7747" w:rsidRPr="00AA7747">
        <w:rPr>
          <w:i/>
        </w:rPr>
        <w:t>Disability Discrimination Act</w:t>
      </w:r>
      <w:r w:rsidR="00AA7747" w:rsidRPr="00AA7747">
        <w:t xml:space="preserve"> 1992 (Cth)</w:t>
      </w:r>
      <w:r w:rsidR="00AA7747">
        <w:t>.</w:t>
      </w:r>
    </w:p>
    <w:p w:rsidR="0031253A" w:rsidRDefault="0031253A" w:rsidP="004173EF">
      <w:pPr>
        <w:pStyle w:val="ListParagraph"/>
        <w:numPr>
          <w:ilvl w:val="0"/>
          <w:numId w:val="3"/>
        </w:numPr>
      </w:pPr>
      <w:r w:rsidRPr="0031253A">
        <w:t xml:space="preserve">That the </w:t>
      </w:r>
      <w:r w:rsidRPr="00AA7747">
        <w:rPr>
          <w:i/>
        </w:rPr>
        <w:t>Family Law Act</w:t>
      </w:r>
      <w:r w:rsidRPr="0031253A">
        <w:t xml:space="preserve"> 1975 and the Family Law Rules are amended to include recognition and an understanding o</w:t>
      </w:r>
      <w:r w:rsidR="001659AA">
        <w:t>f in</w:t>
      </w:r>
      <w:r w:rsidR="00AA7747">
        <w:t>tersectional discrimination.</w:t>
      </w:r>
    </w:p>
    <w:p w:rsidR="005866F8" w:rsidRDefault="005866F8" w:rsidP="004173EF">
      <w:pPr>
        <w:pStyle w:val="ListParagraph"/>
        <w:numPr>
          <w:ilvl w:val="0"/>
          <w:numId w:val="3"/>
        </w:numPr>
      </w:pPr>
      <w:r>
        <w:t xml:space="preserve">That the ALRC takes an approach that acknowledges the human rights of adults </w:t>
      </w:r>
      <w:r w:rsidRPr="00AA7747">
        <w:rPr>
          <w:i/>
        </w:rPr>
        <w:t>and</w:t>
      </w:r>
      <w:r>
        <w:t xml:space="preserve"> children, including the rights as enshrined in the Convention on the Rights of Persons with Disabilities (CRPD), Convention on the Rights of Children (CRC) and </w:t>
      </w:r>
      <w:r w:rsidRPr="005866F8">
        <w:t>Convention on the Elimination of all Forms of Discrimination Against Women</w:t>
      </w:r>
      <w:r>
        <w:t xml:space="preserve"> (CEDAW).</w:t>
      </w:r>
    </w:p>
    <w:p w:rsidR="003F6116" w:rsidRPr="005866F8" w:rsidRDefault="003F6116" w:rsidP="004173EF">
      <w:pPr>
        <w:pStyle w:val="ListParagraph"/>
        <w:numPr>
          <w:ilvl w:val="0"/>
          <w:numId w:val="3"/>
        </w:numPr>
      </w:pPr>
      <w:r>
        <w:t>That the review of the family law system r</w:t>
      </w:r>
      <w:r w:rsidRPr="003F6116">
        <w:t>ecognise the evolv</w:t>
      </w:r>
      <w:r>
        <w:t xml:space="preserve">ing capacities of children with </w:t>
      </w:r>
      <w:r w:rsidRPr="003F6116">
        <w:t>disabilities and respect the right</w:t>
      </w:r>
      <w:r w:rsidR="003C0E0A">
        <w:t>s</w:t>
      </w:r>
      <w:r w:rsidRPr="003F6116">
        <w:t xml:space="preserve"> of children with disabiliti</w:t>
      </w:r>
      <w:r>
        <w:t>es to preserve their identities.</w:t>
      </w:r>
    </w:p>
    <w:p w:rsidR="005866F8" w:rsidRDefault="005866F8" w:rsidP="004173EF">
      <w:pPr>
        <w:pStyle w:val="ListParagraph"/>
        <w:numPr>
          <w:ilvl w:val="0"/>
          <w:numId w:val="3"/>
        </w:numPr>
      </w:pPr>
      <w:r>
        <w:t xml:space="preserve">That </w:t>
      </w:r>
      <w:r w:rsidR="00863342">
        <w:t xml:space="preserve">family </w:t>
      </w:r>
      <w:r>
        <w:t xml:space="preserve">court proceedings be made accessible and emphasise ease of use of the </w:t>
      </w:r>
      <w:r w:rsidR="003C0E0A">
        <w:t xml:space="preserve">family law </w:t>
      </w:r>
      <w:r>
        <w:t>system, by simplifying languag</w:t>
      </w:r>
      <w:r w:rsidR="003C0E0A">
        <w:t>e and the use of Plain English in comm</w:t>
      </w:r>
      <w:r w:rsidR="00863342">
        <w:t>unications.</w:t>
      </w:r>
    </w:p>
    <w:p w:rsidR="0015486E" w:rsidRDefault="005866F8" w:rsidP="00AA7747">
      <w:pPr>
        <w:pStyle w:val="ListParagraph"/>
        <w:numPr>
          <w:ilvl w:val="0"/>
          <w:numId w:val="3"/>
        </w:numPr>
      </w:pPr>
      <w:r>
        <w:t xml:space="preserve">That any provision </w:t>
      </w:r>
      <w:r w:rsidR="0015486E" w:rsidRPr="0015486E">
        <w:t xml:space="preserve">of materials </w:t>
      </w:r>
      <w:r>
        <w:t>in the family law system</w:t>
      </w:r>
      <w:r w:rsidR="0015486E" w:rsidRPr="0015486E">
        <w:t xml:space="preserve"> </w:t>
      </w:r>
      <w:r>
        <w:t xml:space="preserve">are </w:t>
      </w:r>
      <w:r w:rsidR="003C0E0A">
        <w:t xml:space="preserve">provided </w:t>
      </w:r>
      <w:r>
        <w:t xml:space="preserve">in a range of digital and non-digital accessible formats, including </w:t>
      </w:r>
      <w:r w:rsidR="00AA7747">
        <w:t xml:space="preserve">in Plain and Easy English, including </w:t>
      </w:r>
      <w:r w:rsidR="00AA7747" w:rsidRPr="00AA7747">
        <w:t xml:space="preserve">information on family violence and family violence services. </w:t>
      </w:r>
    </w:p>
    <w:p w:rsidR="005866F8" w:rsidRDefault="005866F8" w:rsidP="00153A11">
      <w:pPr>
        <w:pStyle w:val="ListParagraph"/>
        <w:numPr>
          <w:ilvl w:val="0"/>
          <w:numId w:val="3"/>
        </w:numPr>
      </w:pPr>
      <w:r>
        <w:t xml:space="preserve">That </w:t>
      </w:r>
      <w:r w:rsidR="00AA7747">
        <w:t>staff at all levels of the family law system</w:t>
      </w:r>
      <w:r>
        <w:t xml:space="preserve"> </w:t>
      </w:r>
      <w:r w:rsidR="00153A11" w:rsidRPr="00153A11">
        <w:t>(including judicial officers, family consultants,</w:t>
      </w:r>
      <w:r w:rsidR="00153A11">
        <w:t xml:space="preserve"> family dispute resolution</w:t>
      </w:r>
      <w:r w:rsidR="00153A11" w:rsidRPr="00153A11">
        <w:t xml:space="preserve"> practitioners, </w:t>
      </w:r>
      <w:r w:rsidR="00153A11">
        <w:t xml:space="preserve">family law advisers and lawyers) </w:t>
      </w:r>
      <w:r w:rsidRPr="005866F8">
        <w:t xml:space="preserve">undertake </w:t>
      </w:r>
      <w:r w:rsidR="00153A11">
        <w:t xml:space="preserve">comprehensive and ongoing </w:t>
      </w:r>
      <w:r w:rsidRPr="005866F8">
        <w:t>disability awareness</w:t>
      </w:r>
      <w:r w:rsidR="003F6116">
        <w:t xml:space="preserve"> and family violence</w:t>
      </w:r>
      <w:r w:rsidR="00AA7747">
        <w:t xml:space="preserve"> training.</w:t>
      </w:r>
    </w:p>
    <w:p w:rsidR="00D03058" w:rsidRDefault="003F6116" w:rsidP="004173EF">
      <w:pPr>
        <w:pStyle w:val="ListParagraph"/>
        <w:numPr>
          <w:ilvl w:val="0"/>
          <w:numId w:val="3"/>
        </w:numPr>
      </w:pPr>
      <w:r>
        <w:t>That e</w:t>
      </w:r>
      <w:r w:rsidR="00523028">
        <w:t xml:space="preserve">very effort should be made to provide screens and install appropriate CCTV facilities in all </w:t>
      </w:r>
      <w:r>
        <w:t>f</w:t>
      </w:r>
      <w:r w:rsidR="00F656AE">
        <w:t xml:space="preserve">amily </w:t>
      </w:r>
      <w:r>
        <w:t>c</w:t>
      </w:r>
      <w:r w:rsidR="00523028">
        <w:t xml:space="preserve">ourts where family violence matters are held. </w:t>
      </w:r>
    </w:p>
    <w:p w:rsidR="003C0E0A" w:rsidRDefault="003C0E0A" w:rsidP="004173EF">
      <w:pPr>
        <w:pStyle w:val="ListParagraph"/>
        <w:numPr>
          <w:ilvl w:val="0"/>
          <w:numId w:val="3"/>
        </w:numPr>
      </w:pPr>
      <w:r>
        <w:t xml:space="preserve">That </w:t>
      </w:r>
      <w:r w:rsidR="003E11DD">
        <w:t>courts</w:t>
      </w:r>
      <w:r>
        <w:t xml:space="preserve"> </w:t>
      </w:r>
      <w:r w:rsidR="003E11DD">
        <w:t>hearing family law matters</w:t>
      </w:r>
      <w:r>
        <w:t xml:space="preserve"> </w:t>
      </w:r>
      <w:r w:rsidR="00863342">
        <w:t>improve</w:t>
      </w:r>
      <w:r>
        <w:t xml:space="preserve"> their physical accessibility</w:t>
      </w:r>
      <w:r w:rsidR="00863342">
        <w:t xml:space="preserve"> as a matter of priority – by upgrading</w:t>
      </w:r>
      <w:r w:rsidR="00863342" w:rsidRPr="00863342">
        <w:t xml:space="preserve"> court services and facilitates to ensure safe and accessible courts.</w:t>
      </w:r>
    </w:p>
    <w:p w:rsidR="00417A6C" w:rsidRDefault="003C0E0A" w:rsidP="004173EF">
      <w:pPr>
        <w:pStyle w:val="ListParagraph"/>
        <w:numPr>
          <w:ilvl w:val="0"/>
          <w:numId w:val="3"/>
        </w:numPr>
      </w:pPr>
      <w:r>
        <w:t>That the ALRC, or other relevant statutory body, undertake an</w:t>
      </w:r>
      <w:r w:rsidR="00417A6C" w:rsidRPr="00417A6C">
        <w:t xml:space="preserve"> independent review of </w:t>
      </w:r>
      <w:r>
        <w:t xml:space="preserve">the Australian </w:t>
      </w:r>
      <w:r w:rsidR="00417A6C" w:rsidRPr="00417A6C">
        <w:t>child protection</w:t>
      </w:r>
      <w:r>
        <w:t xml:space="preserve"> system</w:t>
      </w:r>
      <w:r w:rsidR="00417A6C" w:rsidRPr="00417A6C">
        <w:t xml:space="preserve">, to form actions for due recognition of family violence, perpetrator accountability, and practices which do not discriminate against high risk women, such as women with disabilities, </w:t>
      </w:r>
      <w:r>
        <w:t>from Culturally and Linguistically Diverse (CALD) backgrounds</w:t>
      </w:r>
      <w:r w:rsidR="00417A6C" w:rsidRPr="00417A6C">
        <w:t xml:space="preserve"> and Aboriginal </w:t>
      </w:r>
      <w:r>
        <w:t xml:space="preserve">and Torres Strait Islander </w:t>
      </w:r>
      <w:r w:rsidR="00417A6C" w:rsidRPr="00417A6C">
        <w:t>women</w:t>
      </w:r>
      <w:r w:rsidR="00863342">
        <w:t>, and that an</w:t>
      </w:r>
      <w:r w:rsidR="00976FAF" w:rsidRPr="00976FAF">
        <w:t xml:space="preserve"> investigation be performed into discrimination against parents with disability in the family law system.</w:t>
      </w:r>
    </w:p>
    <w:p w:rsidR="00863342" w:rsidRDefault="003C0E0A" w:rsidP="004173EF">
      <w:pPr>
        <w:pStyle w:val="ListParagraph"/>
        <w:numPr>
          <w:ilvl w:val="0"/>
          <w:numId w:val="3"/>
        </w:numPr>
      </w:pPr>
      <w:r>
        <w:t>That the family law system provide</w:t>
      </w:r>
      <w:r w:rsidR="004D5B9D">
        <w:t xml:space="preserve"> support services for people with disabilities to</w:t>
      </w:r>
      <w:r w:rsidR="00863342">
        <w:t xml:space="preserve"> navigate the family law system – for example, that</w:t>
      </w:r>
      <w:r w:rsidR="00863342" w:rsidRPr="00863342">
        <w:t xml:space="preserve"> the Family Court resources a Court Disability Quality </w:t>
      </w:r>
      <w:r w:rsidR="000A6AA5">
        <w:t>Portfolio</w:t>
      </w:r>
      <w:r w:rsidR="00863342" w:rsidRPr="00863342">
        <w:t xml:space="preserve"> </w:t>
      </w:r>
      <w:r w:rsidR="000A6AA5">
        <w:t>which</w:t>
      </w:r>
      <w:r w:rsidR="00863342" w:rsidRPr="00863342">
        <w:t xml:space="preserve"> develops systemic policies, processes and protocols to make court buildings, information and communications accessible to people with disabilities.  </w:t>
      </w:r>
    </w:p>
    <w:p w:rsidR="004D5B9D" w:rsidRDefault="004D5B9D" w:rsidP="004173EF">
      <w:pPr>
        <w:pStyle w:val="ListParagraph"/>
        <w:numPr>
          <w:ilvl w:val="0"/>
          <w:numId w:val="3"/>
        </w:numPr>
      </w:pPr>
      <w:r>
        <w:t>T</w:t>
      </w:r>
      <w:r w:rsidR="00DC3EAA">
        <w:t xml:space="preserve">hat there be a standard </w:t>
      </w:r>
      <w:r>
        <w:t xml:space="preserve">family violence </w:t>
      </w:r>
      <w:r w:rsidR="00DC3EAA">
        <w:t xml:space="preserve">risk assessment tool </w:t>
      </w:r>
      <w:r w:rsidR="00863342">
        <w:t xml:space="preserve">(which </w:t>
      </w:r>
      <w:r w:rsidR="00863342" w:rsidRPr="00863342">
        <w:t>also include</w:t>
      </w:r>
      <w:r w:rsidR="00863342">
        <w:t xml:space="preserve">s disability risk factors) </w:t>
      </w:r>
      <w:r w:rsidR="00DC3EAA">
        <w:t>to be used by all</w:t>
      </w:r>
      <w:r w:rsidR="003E11DD">
        <w:t xml:space="preserve"> staff in the family law system - c</w:t>
      </w:r>
      <w:r w:rsidR="00DC3EAA">
        <w:t xml:space="preserve">ommon risk assessment frameworks, tools and procedures assist support staff and decision makers to recognise ‘red flags’ and take action to enhance safety. </w:t>
      </w:r>
    </w:p>
    <w:p w:rsidR="00D03058" w:rsidRDefault="004D5B9D" w:rsidP="004173EF">
      <w:pPr>
        <w:pStyle w:val="ListParagraph"/>
        <w:numPr>
          <w:ilvl w:val="0"/>
          <w:numId w:val="3"/>
        </w:numPr>
      </w:pPr>
      <w:r w:rsidRPr="004D5B9D">
        <w:lastRenderedPageBreak/>
        <w:t>R</w:t>
      </w:r>
      <w:r w:rsidR="003E380A" w:rsidRPr="004D5B9D">
        <w:t>emove disin</w:t>
      </w:r>
      <w:r w:rsidR="00863342">
        <w:t>centives to disclosing violence in the Family Law Act,</w:t>
      </w:r>
      <w:r>
        <w:t xml:space="preserve"> including the</w:t>
      </w:r>
      <w:r w:rsidR="00D03058">
        <w:rPr>
          <w:b/>
        </w:rPr>
        <w:t xml:space="preserve"> </w:t>
      </w:r>
      <w:r w:rsidRPr="005846DC">
        <w:t>friendly parent provision</w:t>
      </w:r>
      <w:r w:rsidR="00D03058">
        <w:t xml:space="preserve"> </w:t>
      </w:r>
      <w:r>
        <w:t>and false allegations</w:t>
      </w:r>
      <w:r w:rsidR="00863342">
        <w:t xml:space="preserve"> </w:t>
      </w:r>
      <w:r>
        <w:t>– costs provision</w:t>
      </w:r>
      <w:r w:rsidR="005846DC">
        <w:t>s</w:t>
      </w:r>
      <w:r w:rsidR="00863342">
        <w:t xml:space="preserve">, </w:t>
      </w:r>
      <w:r>
        <w:t>as these act</w:t>
      </w:r>
      <w:r w:rsidR="003E380A">
        <w:t xml:space="preserve"> as a barrier to disclosure for many women experiencing family violence.</w:t>
      </w:r>
      <w:r w:rsidR="005846DC">
        <w:rPr>
          <w:rStyle w:val="FootnoteReference"/>
        </w:rPr>
        <w:footnoteReference w:id="20"/>
      </w:r>
    </w:p>
    <w:p w:rsidR="00FB66DF" w:rsidRDefault="00FB66DF" w:rsidP="004173EF">
      <w:pPr>
        <w:pStyle w:val="ListParagraph"/>
        <w:numPr>
          <w:ilvl w:val="0"/>
          <w:numId w:val="3"/>
        </w:numPr>
      </w:pPr>
      <w:r>
        <w:t>That the Family Court develops and impl</w:t>
      </w:r>
      <w:r w:rsidR="00031036">
        <w:t>ements a Disability Action Plan, which it must report against.</w:t>
      </w:r>
    </w:p>
    <w:p w:rsidR="00FB66DF" w:rsidRPr="00863342" w:rsidRDefault="00FB66DF" w:rsidP="004173EF">
      <w:pPr>
        <w:pStyle w:val="ListParagraph"/>
        <w:numPr>
          <w:ilvl w:val="0"/>
          <w:numId w:val="3"/>
        </w:numPr>
      </w:pPr>
      <w:r w:rsidRPr="00FB66DF">
        <w:t>R</w:t>
      </w:r>
      <w:r w:rsidR="00021FE7" w:rsidRPr="00FB66DF">
        <w:t>emove references to protecting</w:t>
      </w:r>
      <w:r w:rsidR="00863342">
        <w:t xml:space="preserve"> the</w:t>
      </w:r>
      <w:r w:rsidR="00021FE7" w:rsidRPr="00FB66DF">
        <w:t xml:space="preserve"> institution of marriage from the Family Law Act</w:t>
      </w:r>
      <w:r w:rsidR="00863342">
        <w:t xml:space="preserve"> - th</w:t>
      </w:r>
      <w:r w:rsidR="00863342" w:rsidRPr="00863342">
        <w:t>is type of attitude prevents people</w:t>
      </w:r>
      <w:r w:rsidR="003E11DD">
        <w:t xml:space="preserve"> experiencing harm to get help, it is </w:t>
      </w:r>
      <w:r w:rsidR="00863342" w:rsidRPr="00863342">
        <w:t>outdated and does not assist those experiencing violence.</w:t>
      </w:r>
    </w:p>
    <w:p w:rsidR="00FB66DF" w:rsidRDefault="0058476E" w:rsidP="004173EF">
      <w:pPr>
        <w:pStyle w:val="ListParagraph"/>
        <w:numPr>
          <w:ilvl w:val="0"/>
          <w:numId w:val="3"/>
        </w:numPr>
      </w:pPr>
      <w:r>
        <w:t>Amend</w:t>
      </w:r>
      <w:r w:rsidR="00DA285B" w:rsidRPr="00523028">
        <w:t xml:space="preserve"> the definition of family </w:t>
      </w:r>
      <w:r w:rsidR="00531722">
        <w:t xml:space="preserve">violence within the Family Law Act to specifically </w:t>
      </w:r>
      <w:r>
        <w:t>include</w:t>
      </w:r>
      <w:r w:rsidR="00531722" w:rsidRPr="00531722">
        <w:t xml:space="preserve"> violence in settings and relationships of particular relevance to people with disability,</w:t>
      </w:r>
      <w:r w:rsidR="00531722">
        <w:t xml:space="preserve"> such as</w:t>
      </w:r>
      <w:r w:rsidR="00531722" w:rsidRPr="00531722">
        <w:t xml:space="preserve"> in residential and institutional settings</w:t>
      </w:r>
      <w:r w:rsidR="00531722">
        <w:t xml:space="preserve">, and </w:t>
      </w:r>
      <w:r w:rsidR="00DA285B" w:rsidRPr="00523028">
        <w:t>carers of people with disabilities where that carer is in a ‘family-like</w:t>
      </w:r>
      <w:r w:rsidR="00531722">
        <w:t>’ relationship with the person</w:t>
      </w:r>
      <w:r w:rsidR="00DA285B">
        <w:t>.</w:t>
      </w:r>
    </w:p>
    <w:p w:rsidR="00FB66DF" w:rsidRDefault="00FB66DF" w:rsidP="004173EF">
      <w:pPr>
        <w:pStyle w:val="ListParagraph"/>
        <w:numPr>
          <w:ilvl w:val="0"/>
          <w:numId w:val="3"/>
        </w:numPr>
      </w:pPr>
      <w:r w:rsidRPr="00FB66DF">
        <w:t xml:space="preserve">That </w:t>
      </w:r>
      <w:r w:rsidR="00863342">
        <w:t>the Family Law Act actively recognise the rights of women, as well as children, to</w:t>
      </w:r>
      <w:r w:rsidR="004C36BF" w:rsidRPr="00FB66DF">
        <w:t xml:space="preserve"> be </w:t>
      </w:r>
      <w:r w:rsidR="00863342">
        <w:t>free</w:t>
      </w:r>
      <w:r w:rsidRPr="00FB66DF">
        <w:t xml:space="preserve"> from abuse and violence</w:t>
      </w:r>
      <w:r w:rsidR="00D32368">
        <w:t>, recognising that</w:t>
      </w:r>
      <w:r w:rsidR="004E008F">
        <w:t xml:space="preserve"> </w:t>
      </w:r>
      <w:r w:rsidR="00D32368">
        <w:t>h</w:t>
      </w:r>
      <w:r w:rsidR="004E008F" w:rsidRPr="004E008F">
        <w:t>arm perpetrated against an adult is also perpetrated against a child.</w:t>
      </w:r>
    </w:p>
    <w:p w:rsidR="00031036" w:rsidRPr="00E16CA5" w:rsidRDefault="00031036" w:rsidP="004173EF">
      <w:pPr>
        <w:pStyle w:val="ListParagraph"/>
        <w:numPr>
          <w:ilvl w:val="0"/>
          <w:numId w:val="3"/>
        </w:numPr>
      </w:pPr>
      <w:r>
        <w:rPr>
          <w:rFonts w:eastAsiaTheme="majorEastAsia" w:cstheme="majorBidi"/>
        </w:rPr>
        <w:t xml:space="preserve">Definition </w:t>
      </w:r>
      <w:r w:rsidR="00CE4765" w:rsidRPr="00031036">
        <w:rPr>
          <w:rFonts w:eastAsiaTheme="majorEastAsia" w:cstheme="majorBidi"/>
        </w:rPr>
        <w:t xml:space="preserve">of family violence in the </w:t>
      </w:r>
      <w:r w:rsidR="00CE4765" w:rsidRPr="00E16CA5">
        <w:rPr>
          <w:rFonts w:eastAsiaTheme="majorEastAsia" w:cstheme="majorBidi"/>
          <w:i/>
        </w:rPr>
        <w:t>Family Law Act</w:t>
      </w:r>
      <w:r w:rsidR="00CE4765" w:rsidRPr="00031036">
        <w:rPr>
          <w:rFonts w:eastAsiaTheme="majorEastAsia" w:cstheme="majorBidi"/>
        </w:rPr>
        <w:t xml:space="preserve"> 1975 (Cth) be amended to include misuse of legal and other systems and processes in the list of examples of acts that can constitute family violence in s 4AB(2) by inserting a new subsection referring to the ‘use of systems or processes to cause harm, distress or financial loss’.</w:t>
      </w:r>
    </w:p>
    <w:p w:rsidR="00E16CA5" w:rsidRPr="00E16CA5" w:rsidRDefault="00E16CA5" w:rsidP="00E16CA5">
      <w:pPr>
        <w:pStyle w:val="ListParagraph"/>
        <w:numPr>
          <w:ilvl w:val="0"/>
          <w:numId w:val="3"/>
        </w:numPr>
      </w:pPr>
      <w:r w:rsidRPr="00E16CA5">
        <w:t xml:space="preserve">That additional funding be made available to community legal centres and Legal Aid </w:t>
      </w:r>
      <w:r>
        <w:t xml:space="preserve">commissions </w:t>
      </w:r>
      <w:r w:rsidRPr="00E16CA5">
        <w:t>to ensure appropriate, accessible and affordable legal support is available to people with disability interacting with the family law system.</w:t>
      </w:r>
    </w:p>
    <w:p w:rsidR="00E16CA5" w:rsidRPr="00031036" w:rsidRDefault="00E16CA5" w:rsidP="00E16CA5">
      <w:pPr>
        <w:pStyle w:val="ListParagraph"/>
        <w:ind w:left="360"/>
      </w:pPr>
    </w:p>
    <w:p w:rsidR="00C06E5C" w:rsidRPr="00C06E5C" w:rsidRDefault="00C06E5C" w:rsidP="00AA254E">
      <w:pPr>
        <w:jc w:val="both"/>
      </w:pPr>
      <w:r>
        <w:t>WDV</w:t>
      </w:r>
      <w:r w:rsidRPr="00C06E5C">
        <w:t xml:space="preserve"> thanks the Australian Law Reform Commission for the opportunity to contribute to this </w:t>
      </w:r>
      <w:r>
        <w:t>Discussion Paper</w:t>
      </w:r>
      <w:r w:rsidRPr="00C06E5C">
        <w:t>, and we would welcome further consultation on any of the matters raised in this submission.</w:t>
      </w:r>
    </w:p>
    <w:p w:rsidR="004173EF" w:rsidRDefault="004173EF">
      <w:pPr>
        <w:rPr>
          <w:rFonts w:eastAsiaTheme="majorEastAsia" w:cstheme="majorBidi"/>
          <w:b/>
          <w:color w:val="7030A0"/>
        </w:rPr>
      </w:pPr>
      <w:bookmarkStart w:id="16" w:name="_Toc529796905"/>
      <w:r>
        <w:rPr>
          <w:b/>
          <w:color w:val="7030A0"/>
        </w:rPr>
        <w:br w:type="page"/>
      </w:r>
    </w:p>
    <w:p w:rsidR="00385F34" w:rsidRPr="00915DFA" w:rsidRDefault="00385F34" w:rsidP="00FF56E8">
      <w:pPr>
        <w:pStyle w:val="Heading2"/>
        <w:rPr>
          <w:rFonts w:asciiTheme="minorHAnsi" w:hAnsiTheme="minorHAnsi"/>
          <w:b/>
          <w:color w:val="7030A0"/>
          <w:sz w:val="24"/>
          <w:szCs w:val="24"/>
        </w:rPr>
      </w:pPr>
      <w:r w:rsidRPr="00915DFA">
        <w:rPr>
          <w:rFonts w:asciiTheme="minorHAnsi" w:hAnsiTheme="minorHAnsi"/>
          <w:b/>
          <w:color w:val="7030A0"/>
          <w:sz w:val="24"/>
          <w:szCs w:val="24"/>
        </w:rPr>
        <w:lastRenderedPageBreak/>
        <w:t>References</w:t>
      </w:r>
      <w:bookmarkEnd w:id="16"/>
    </w:p>
    <w:p w:rsidR="00385F34" w:rsidRDefault="00385F34" w:rsidP="00385F34"/>
    <w:p w:rsidR="000A6AA5" w:rsidRDefault="000A6AA5" w:rsidP="00105CE6">
      <w:r w:rsidRPr="000A6AA5">
        <w:t>Brophy, L., Bruxner, A. &amp; Wilson, E., (2014), ‘Consumer choices about mental health support services’, New Paradigm, No. Summer 2014, pp. 2729.</w:t>
      </w:r>
    </w:p>
    <w:p w:rsidR="00105CE6" w:rsidRDefault="00105CE6" w:rsidP="00105CE6">
      <w:r w:rsidRPr="008E40B3">
        <w:t xml:space="preserve">K. Hughes, M.A. Bellis et al, 2012, ‘Prevalence and risk of violence against adults with disabilities: a systematic review and meta-analysis of </w:t>
      </w:r>
      <w:r>
        <w:t>observational studies,’ Lancet.</w:t>
      </w:r>
    </w:p>
    <w:p w:rsidR="000A6AA5" w:rsidRDefault="00105CE6" w:rsidP="00105CE6">
      <w:r w:rsidRPr="008E40B3">
        <w:t xml:space="preserve">R. B. Hughes, E. M. Lund et al, 2011, ‘Prevalence of Interpersonal Violence Against Community-living Adults with Disabilities: A Literature Review’, </w:t>
      </w:r>
      <w:r w:rsidRPr="00107C27">
        <w:rPr>
          <w:i/>
        </w:rPr>
        <w:t>Rehabilitation Psychology</w:t>
      </w:r>
      <w:r w:rsidRPr="008E40B3">
        <w:t>, 56, 4: 302-319; H. Khalifeh, L. Howard et al, 2013, ‘Violence Against People With Disability in England and Wales: findings from a National Cross-S</w:t>
      </w:r>
      <w:r>
        <w:t>ectional Survey’, PLOS ONE, 8,2.</w:t>
      </w:r>
    </w:p>
    <w:p w:rsidR="00105CE6" w:rsidRDefault="00105CE6" w:rsidP="00105CE6">
      <w:r w:rsidRPr="008E40B3">
        <w:t xml:space="preserve">S-B. Plummer </w:t>
      </w:r>
      <w:r>
        <w:t xml:space="preserve">&amp; </w:t>
      </w:r>
      <w:r w:rsidRPr="008E40B3">
        <w:t>P. Findley, 2012, ‘Women with Disabilities’ Experience with Physical and Sexual Abuse: Review of the Literature and Implications for the Field, Trauma, Violence and Abuse, 13, 1: 15-29; D. A. Brownridge, 2009, Violence Against Women: Vulnerable Populations, Routledge, New York.</w:t>
      </w:r>
    </w:p>
    <w:p w:rsidR="00105CE6" w:rsidRDefault="00105CE6" w:rsidP="00105CE6">
      <w:r w:rsidRPr="00532DBA">
        <w:t>State of Victoria, Department of Health and Human Services, (May 2016), ‘A discussion paper of the Victorian State D</w:t>
      </w:r>
      <w:r>
        <w:t>isability Plan 2017-2020’.</w:t>
      </w:r>
    </w:p>
    <w:p w:rsidR="00105CE6" w:rsidRDefault="00105CE6" w:rsidP="00105CE6">
      <w:r w:rsidRPr="00532DBA">
        <w:t>Victorian Equal Opportunity and Human Rights Commission, ‘Beyond Doubt: The Experiences of People with Disabilities Reporting Crime— Summary Report’ (July 2014) 24.</w:t>
      </w:r>
    </w:p>
    <w:p w:rsidR="00105CE6" w:rsidRDefault="00105CE6" w:rsidP="00105CE6">
      <w:r w:rsidRPr="00532DBA">
        <w:t>D. Woodlock Delanie, L. Healey, K. Howe, M. McGuire, et al. 2014, ‘Voices Against Violence Paper One:  Summary Report and Recommendations.’ Women with Disabilities Victoria, Office of the Public Advocate and Domestic Violence Resource Centre Victoria, 2014.</w:t>
      </w:r>
    </w:p>
    <w:p w:rsidR="00105CE6" w:rsidRDefault="00105CE6" w:rsidP="00105CE6">
      <w:r w:rsidRPr="00532DBA">
        <w:t>Tanton, R., Peel, D. and Vidyattama, Y., (2018), ‘Poverty in Victoria’, NATSEM, Institute for Governance and Policy Analysis (IGPA), University of Canberra. Report commissioned by VCOSS, p. 6.</w:t>
      </w:r>
    </w:p>
    <w:p w:rsidR="00105CE6" w:rsidRDefault="00105CE6" w:rsidP="00105CE6">
      <w:r w:rsidRPr="00532DBA">
        <w:t>Victorian Office of the Public Advocate (OPA) (2012) OPA Position Statement: The removal of children from their parent with a disability.</w:t>
      </w:r>
    </w:p>
    <w:p w:rsidR="00105CE6" w:rsidRDefault="00105CE6" w:rsidP="00105CE6">
      <w:r w:rsidRPr="00532DBA">
        <w:t>McConnell, D., Llewellyn, G., &amp; Ferronato, L. (2000), ‘Parents with a disability and the NSW Children's Court’, The Family Support and Services Project, The University of Sydney, 2000.</w:t>
      </w:r>
    </w:p>
    <w:p w:rsidR="00105CE6" w:rsidRDefault="00105CE6" w:rsidP="00105CE6">
      <w:r>
        <w:t>Howe, K., Hargrave, J. (2015), Women with Disabilities Victoria, Royal Commission into Family Violence.</w:t>
      </w:r>
    </w:p>
    <w:p w:rsidR="00105CE6" w:rsidRDefault="00105CE6" w:rsidP="00105CE6">
      <w:r>
        <w:t>D. Woodlock, D. Western, P. Bailey, ‘Voices Against Violence: Paper 6, Raising our voices—hearing from women with disabilities,’ WDV, Melbourne, 2014.</w:t>
      </w:r>
    </w:p>
    <w:p w:rsidR="00105CE6" w:rsidRDefault="00105CE6" w:rsidP="00105CE6">
      <w:r w:rsidRPr="004546B6">
        <w:t>Convention on the Rights of P</w:t>
      </w:r>
      <w:r>
        <w:t>ersons with Disabilities (CRPD).</w:t>
      </w:r>
    </w:p>
    <w:p w:rsidR="00105CE6" w:rsidRDefault="00105CE6" w:rsidP="00105CE6">
      <w:r w:rsidRPr="001C1DD2">
        <w:t>Frohmader, C. ‘Dehumanised: the Forced Sterilisation of Women and Girls with Disabilities in Australia’, Women with Disabilities Victoria (WWDA), Submission to the Senate Inquiry into the involuntary or coerced sterilisation of people with disabilities in Australia, p. 8.</w:t>
      </w:r>
    </w:p>
    <w:p w:rsidR="00105CE6" w:rsidRDefault="00105CE6" w:rsidP="00105CE6">
      <w:r w:rsidRPr="001C1DD2">
        <w:t xml:space="preserve">CEDAW Concluding Observations 2018 (July 2018), </w:t>
      </w:r>
      <w:hyperlink r:id="rId13" w:history="1">
        <w:r w:rsidRPr="00BC35C6">
          <w:rPr>
            <w:rStyle w:val="Hyperlink"/>
          </w:rPr>
          <w:t>https://tbinternet.ohchr.org/_layouts/treatybodyexternal/Download.aspx?symbolno=CEDAW/C/AUS/CO/8&amp;Lang=En</w:t>
        </w:r>
      </w:hyperlink>
    </w:p>
    <w:p w:rsidR="00105CE6" w:rsidRDefault="00105CE6" w:rsidP="00105CE6">
      <w:r w:rsidRPr="00CA4F8E">
        <w:lastRenderedPageBreak/>
        <w:t>Federation of Community Legal Centres Victoria, Domestic Violence Resource Centre Victoria, Domestic Violence Victoria, Women with Disabilities Victoria Victorian Women’s Trust, Joint Submission to Public Consultation:  Family Law Amendment (Family Violence) Bill 2010.</w:t>
      </w:r>
    </w:p>
    <w:p w:rsidR="00105CE6" w:rsidRPr="001C1DD2" w:rsidRDefault="00105CE6" w:rsidP="00105CE6">
      <w:r w:rsidRPr="00CA4F8E">
        <w:t>See with particular relevance to the Exposure Draft, Australian Law Reform Commission and NSW Law Reform Commission, Family Violence – A National Legal Response (2010), Recommendations 161-16-13, 17-1-17-6, 30-1-30-8, 30-14-30-19.</w:t>
      </w:r>
    </w:p>
    <w:p w:rsidR="00C06E5C" w:rsidRDefault="00C06E5C" w:rsidP="008E40B3"/>
    <w:p w:rsidR="00C06E5C" w:rsidRPr="008E40B3" w:rsidRDefault="00C06E5C" w:rsidP="008E40B3"/>
    <w:sectPr w:rsidR="00C06E5C" w:rsidRPr="008E40B3" w:rsidSect="003C367F">
      <w:footerReference w:type="default" r:id="rId1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5FB4" w:rsidRDefault="00585FB4" w:rsidP="003E2706">
      <w:pPr>
        <w:spacing w:after="0" w:line="240" w:lineRule="auto"/>
      </w:pPr>
      <w:r>
        <w:separator/>
      </w:r>
    </w:p>
  </w:endnote>
  <w:endnote w:type="continuationSeparator" w:id="0">
    <w:p w:rsidR="00585FB4" w:rsidRDefault="00585FB4" w:rsidP="003E270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9406122"/>
      <w:docPartObj>
        <w:docPartGallery w:val="Page Numbers (Bottom of Page)"/>
        <w:docPartUnique/>
      </w:docPartObj>
    </w:sdtPr>
    <w:sdtEndPr>
      <w:rPr>
        <w:noProof/>
      </w:rPr>
    </w:sdtEndPr>
    <w:sdtContent>
      <w:p w:rsidR="0007725C" w:rsidRDefault="003C367F">
        <w:pPr>
          <w:pStyle w:val="Footer"/>
          <w:jc w:val="center"/>
        </w:pPr>
        <w:r>
          <w:fldChar w:fldCharType="begin"/>
        </w:r>
        <w:r w:rsidR="0007725C">
          <w:instrText xml:space="preserve"> PAGE   \* MERGEFORMAT </w:instrText>
        </w:r>
        <w:r>
          <w:fldChar w:fldCharType="separate"/>
        </w:r>
        <w:r w:rsidR="000A5FD8">
          <w:rPr>
            <w:noProof/>
          </w:rPr>
          <w:t>1</w:t>
        </w:r>
        <w:r>
          <w:rPr>
            <w:noProof/>
          </w:rPr>
          <w:fldChar w:fldCharType="end"/>
        </w:r>
      </w:p>
    </w:sdtContent>
  </w:sdt>
  <w:p w:rsidR="0007725C" w:rsidRDefault="0007725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5FB4" w:rsidRDefault="00585FB4" w:rsidP="003E2706">
      <w:pPr>
        <w:spacing w:after="0" w:line="240" w:lineRule="auto"/>
      </w:pPr>
      <w:r>
        <w:separator/>
      </w:r>
    </w:p>
  </w:footnote>
  <w:footnote w:type="continuationSeparator" w:id="0">
    <w:p w:rsidR="00585FB4" w:rsidRDefault="00585FB4" w:rsidP="003E2706">
      <w:pPr>
        <w:spacing w:after="0" w:line="240" w:lineRule="auto"/>
      </w:pPr>
      <w:r>
        <w:continuationSeparator/>
      </w:r>
    </w:p>
  </w:footnote>
  <w:footnote w:id="1">
    <w:p w:rsidR="00105CE6" w:rsidRPr="00105CE6" w:rsidRDefault="00105CE6" w:rsidP="00105CE6">
      <w:r>
        <w:rPr>
          <w:rStyle w:val="FootnoteReference"/>
        </w:rPr>
        <w:footnoteRef/>
      </w:r>
      <w:r>
        <w:t xml:space="preserve"> </w:t>
      </w:r>
      <w:r w:rsidRPr="00105CE6">
        <w:rPr>
          <w:sz w:val="16"/>
          <w:szCs w:val="16"/>
        </w:rPr>
        <w:t>D. Woodlock Delanie, L. Healey, K. Howe, M. McGuire, et al. 2014, ‘Voices Against Violence Paper One:  Summary Report and Recommendations.’ Women with Disabilities Victoria, Office of the Public Advocate and Domestic Violence Resource Centre Victoria, 2014.</w:t>
      </w:r>
      <w:r>
        <w:rPr>
          <w:sz w:val="16"/>
          <w:szCs w:val="16"/>
        </w:rPr>
        <w:t xml:space="preserve"> For all seven papers of Voices Against Violence, including an Easy English summary, visit &lt;</w:t>
      </w:r>
      <w:hyperlink r:id="rId1" w:history="1">
        <w:r w:rsidRPr="00926859">
          <w:rPr>
            <w:rStyle w:val="Hyperlink"/>
            <w:sz w:val="16"/>
            <w:szCs w:val="16"/>
          </w:rPr>
          <w:t>http://www.wdv.org.au/our-work/building-the-knowledge/voices-against-violence/</w:t>
        </w:r>
      </w:hyperlink>
      <w:r>
        <w:rPr>
          <w:sz w:val="16"/>
          <w:szCs w:val="16"/>
        </w:rPr>
        <w:t>&gt;.</w:t>
      </w:r>
    </w:p>
  </w:footnote>
  <w:footnote w:id="2">
    <w:p w:rsidR="00024896" w:rsidRPr="00B312A3" w:rsidRDefault="00024896">
      <w:pPr>
        <w:pStyle w:val="FootnoteText"/>
        <w:rPr>
          <w:sz w:val="16"/>
          <w:szCs w:val="16"/>
          <w:lang w:val="en-US"/>
        </w:rPr>
      </w:pPr>
      <w:r>
        <w:rPr>
          <w:rStyle w:val="FootnoteReference"/>
        </w:rPr>
        <w:footnoteRef/>
      </w:r>
      <w:r>
        <w:t xml:space="preserve"> </w:t>
      </w:r>
      <w:r w:rsidR="00B312A3" w:rsidRPr="00B312A3">
        <w:rPr>
          <w:sz w:val="16"/>
          <w:szCs w:val="16"/>
        </w:rPr>
        <w:t>State of Victoria, Department of Health and Human Services, (May 2016), A discussion paper of the Victorian State Disability Plan 2017-2020, p. 9.</w:t>
      </w:r>
    </w:p>
  </w:footnote>
  <w:footnote w:id="3">
    <w:p w:rsidR="00B312A3" w:rsidRPr="00005946" w:rsidRDefault="00B312A3" w:rsidP="00B312A3">
      <w:pPr>
        <w:pStyle w:val="FootnoteText"/>
        <w:rPr>
          <w:sz w:val="16"/>
          <w:szCs w:val="16"/>
        </w:rPr>
      </w:pPr>
      <w:r>
        <w:rPr>
          <w:rStyle w:val="FootnoteReference"/>
        </w:rPr>
        <w:footnoteRef/>
      </w:r>
      <w:r>
        <w:rPr>
          <w:rStyle w:val="FootnoteReference"/>
          <w:sz w:val="16"/>
          <w:szCs w:val="16"/>
        </w:rPr>
        <w:t xml:space="preserve"> </w:t>
      </w:r>
      <w:r w:rsidRPr="00005946">
        <w:rPr>
          <w:sz w:val="16"/>
          <w:szCs w:val="16"/>
        </w:rPr>
        <w:t>K. Hughes, M.A. Bellis et al, 2012, ‘</w:t>
      </w:r>
      <w:hyperlink r:id="rId2" w:history="1">
        <w:r w:rsidRPr="00D620BF">
          <w:rPr>
            <w:rStyle w:val="Hyperlink"/>
            <w:color w:val="7030A0"/>
            <w:sz w:val="16"/>
            <w:szCs w:val="16"/>
          </w:rPr>
          <w:t>Prevalence and risk of violence against adults with disabilities: a systematic review and meta-analysis of observational studies</w:t>
        </w:r>
      </w:hyperlink>
      <w:r>
        <w:rPr>
          <w:sz w:val="16"/>
          <w:szCs w:val="16"/>
        </w:rPr>
        <w:t>,’ Lancet</w:t>
      </w:r>
      <w:r w:rsidRPr="00005946">
        <w:rPr>
          <w:sz w:val="16"/>
          <w:szCs w:val="16"/>
        </w:rPr>
        <w:t xml:space="preserve">; R. B. Hughes, E. M. Lund et al, 2011, ‘Prevalence of Interpersonal Violence Against Community-living Adults with Disabilities: A Literature Review’, </w:t>
      </w:r>
      <w:r w:rsidRPr="00005946">
        <w:rPr>
          <w:i/>
          <w:sz w:val="16"/>
          <w:szCs w:val="16"/>
        </w:rPr>
        <w:t>Rehabilitation Psychology</w:t>
      </w:r>
      <w:r w:rsidRPr="00005946">
        <w:rPr>
          <w:sz w:val="16"/>
          <w:szCs w:val="16"/>
        </w:rPr>
        <w:t xml:space="preserve">, 56, 4: 302-319; H. Khalifeh, L. Howard et al, 2013, ‘Violence Against People With Disability in England and Wales: findings from a National Cross-Sectional Survey’, </w:t>
      </w:r>
      <w:r w:rsidRPr="00005946">
        <w:rPr>
          <w:i/>
          <w:sz w:val="16"/>
          <w:szCs w:val="16"/>
        </w:rPr>
        <w:t>PLOS ONE</w:t>
      </w:r>
      <w:r>
        <w:rPr>
          <w:sz w:val="16"/>
          <w:szCs w:val="16"/>
        </w:rPr>
        <w:t>, 8,2</w:t>
      </w:r>
      <w:r w:rsidRPr="00005946">
        <w:rPr>
          <w:sz w:val="16"/>
          <w:szCs w:val="16"/>
        </w:rPr>
        <w:t xml:space="preserve">; S-B. Plummer and P. Findley, 2012, ‘Women with Disabilities’ Experience with Physical and Sexual Abuse: Review of the Literature and Implications for the Field, </w:t>
      </w:r>
      <w:r w:rsidRPr="00005946">
        <w:rPr>
          <w:i/>
          <w:sz w:val="16"/>
          <w:szCs w:val="16"/>
        </w:rPr>
        <w:t>Trauma, Violence and Abuse</w:t>
      </w:r>
      <w:r w:rsidRPr="00005946">
        <w:rPr>
          <w:sz w:val="16"/>
          <w:szCs w:val="16"/>
        </w:rPr>
        <w:t xml:space="preserve">, 13, 1: 15-29; D. A. Brownridge, 2009, </w:t>
      </w:r>
      <w:r w:rsidRPr="00005946">
        <w:rPr>
          <w:i/>
          <w:sz w:val="16"/>
          <w:szCs w:val="16"/>
        </w:rPr>
        <w:t>Violence Against Women: Vulnerable Populations</w:t>
      </w:r>
      <w:r w:rsidRPr="00005946">
        <w:rPr>
          <w:sz w:val="16"/>
          <w:szCs w:val="16"/>
        </w:rPr>
        <w:t>, Routledge, New York.</w:t>
      </w:r>
    </w:p>
  </w:footnote>
  <w:footnote w:id="4">
    <w:p w:rsidR="004061B4" w:rsidRPr="00FC1AB4" w:rsidRDefault="004061B4" w:rsidP="004061B4">
      <w:pPr>
        <w:pStyle w:val="FootnoteText"/>
        <w:rPr>
          <w:sz w:val="16"/>
          <w:szCs w:val="16"/>
          <w:lang w:val="en-US"/>
        </w:rPr>
      </w:pPr>
      <w:r>
        <w:rPr>
          <w:rStyle w:val="FootnoteReference"/>
        </w:rPr>
        <w:footnoteRef/>
      </w:r>
      <w:r>
        <w:t xml:space="preserve"> </w:t>
      </w:r>
      <w:r w:rsidRPr="00FC1AB4">
        <w:rPr>
          <w:sz w:val="16"/>
          <w:szCs w:val="16"/>
          <w:lang w:val="en-US"/>
        </w:rPr>
        <w:t>For example,</w:t>
      </w:r>
      <w:r>
        <w:rPr>
          <w:lang w:val="en-US"/>
        </w:rPr>
        <w:t xml:space="preserve"> </w:t>
      </w:r>
      <w:r w:rsidRPr="00FC1AB4">
        <w:rPr>
          <w:sz w:val="16"/>
          <w:szCs w:val="16"/>
          <w:lang w:val="en-US"/>
        </w:rPr>
        <w:t xml:space="preserve">the Victorian Equal Opportunity and Human Rights Commission noted in its </w:t>
      </w:r>
      <w:r w:rsidRPr="00FC1AB4">
        <w:rPr>
          <w:i/>
          <w:sz w:val="16"/>
          <w:szCs w:val="16"/>
          <w:lang w:val="en-US"/>
        </w:rPr>
        <w:t>Beyond Doubt</w:t>
      </w:r>
      <w:r w:rsidRPr="00FC1AB4">
        <w:rPr>
          <w:sz w:val="16"/>
          <w:szCs w:val="16"/>
          <w:lang w:val="en-US"/>
        </w:rPr>
        <w:t xml:space="preserve"> report that it had received reports of police members failing to take family violence reports f</w:t>
      </w:r>
      <w:r>
        <w:rPr>
          <w:sz w:val="16"/>
          <w:szCs w:val="16"/>
          <w:lang w:val="en-US"/>
        </w:rPr>
        <w:t xml:space="preserve">rom victims with disabilities, see: </w:t>
      </w:r>
      <w:r w:rsidRPr="00FC1AB4">
        <w:rPr>
          <w:sz w:val="16"/>
          <w:szCs w:val="16"/>
          <w:lang w:val="en-US"/>
        </w:rPr>
        <w:t>Victorian Equal Opportunity and Human Rights Commission, ‘Beyond Doubt: The Experiences of People with Disabilities Reporting Crime— Summary Report’ (July 2014) 24.</w:t>
      </w:r>
      <w:r>
        <w:rPr>
          <w:sz w:val="16"/>
          <w:szCs w:val="16"/>
          <w:lang w:val="en-US"/>
        </w:rPr>
        <w:t xml:space="preserve"> </w:t>
      </w:r>
    </w:p>
  </w:footnote>
  <w:footnote w:id="5">
    <w:p w:rsidR="00FB6A76" w:rsidRPr="00FB6A76" w:rsidRDefault="00FB6A76" w:rsidP="00FB6A76">
      <w:pPr>
        <w:pStyle w:val="FootnoteText"/>
      </w:pPr>
      <w:r>
        <w:rPr>
          <w:rStyle w:val="FootnoteReference"/>
        </w:rPr>
        <w:footnoteRef/>
      </w:r>
      <w:r>
        <w:t xml:space="preserve"> </w:t>
      </w:r>
      <w:r w:rsidRPr="00FB6A76">
        <w:rPr>
          <w:sz w:val="16"/>
          <w:szCs w:val="16"/>
        </w:rPr>
        <w:t>D. Woodlock Delanie, L. Healey, K. Howe, M. McGuire, et al. 2014, ‘Voices Against Violence Paper One:  Summary Report and Recommendations.’ Women with Disabilities Victoria, Office of the Public Advocate and Domestic Violence Resource Centre Victoria, 2014.</w:t>
      </w:r>
    </w:p>
  </w:footnote>
  <w:footnote w:id="6">
    <w:p w:rsidR="00D73A5E" w:rsidRPr="00D73A5E" w:rsidRDefault="00D73A5E">
      <w:pPr>
        <w:pStyle w:val="FootnoteText"/>
        <w:rPr>
          <w:lang w:val="en-US"/>
        </w:rPr>
      </w:pPr>
      <w:r>
        <w:rPr>
          <w:rStyle w:val="FootnoteReference"/>
        </w:rPr>
        <w:footnoteRef/>
      </w:r>
      <w:r>
        <w:t xml:space="preserve"> </w:t>
      </w:r>
      <w:r w:rsidR="007D642F" w:rsidRPr="007D642F">
        <w:rPr>
          <w:sz w:val="16"/>
          <w:szCs w:val="16"/>
          <w:lang w:val="en-US"/>
        </w:rPr>
        <w:t>Recent data shows that in Victoria, 774,000 Victorians live in poverty (13.2%), with regional Victoria having a higher poverty rate than Melbourne. Women comprise the majority of adults living in poverty (54.1% or 311,800 women) and more than one third of adults living in poverty have a disability (34.3% or 197,600 people) in Victoria</w:t>
      </w:r>
      <w:r w:rsidR="007D642F">
        <w:rPr>
          <w:sz w:val="16"/>
          <w:szCs w:val="16"/>
          <w:lang w:val="en-US"/>
        </w:rPr>
        <w:t xml:space="preserve">. </w:t>
      </w:r>
      <w:r w:rsidR="007D642F" w:rsidRPr="007D642F">
        <w:rPr>
          <w:sz w:val="16"/>
          <w:szCs w:val="16"/>
          <w:lang w:val="en-US"/>
        </w:rPr>
        <w:t>Tanton, R., Peel, D. and Vidyattama, Y., (2018), ‘Poverty in Victoria’, NATSEM, Institute for Governance and Policy Analysis (IGPA), University of Canberra. Report commissioned by VCOSS, p. 6.</w:t>
      </w:r>
    </w:p>
  </w:footnote>
  <w:footnote w:id="7">
    <w:p w:rsidR="00D73A5E" w:rsidRPr="004E5BDD" w:rsidRDefault="00D73A5E" w:rsidP="00D73A5E">
      <w:pPr>
        <w:pStyle w:val="FootnoteText"/>
      </w:pPr>
      <w:r>
        <w:rPr>
          <w:rStyle w:val="FootnoteReference"/>
        </w:rPr>
        <w:footnoteRef/>
      </w:r>
      <w:r>
        <w:t xml:space="preserve"> </w:t>
      </w:r>
      <w:r w:rsidRPr="004E5BDD">
        <w:rPr>
          <w:sz w:val="16"/>
          <w:szCs w:val="16"/>
        </w:rPr>
        <w:t>See: Victorian Office of the Public Advocate (OPA) (2012) OPA Position Statement: The removal of children from their parent with a disability.</w:t>
      </w:r>
      <w:r w:rsidRPr="004E5BDD">
        <w:t xml:space="preserve"> </w:t>
      </w:r>
      <w:hyperlink r:id="rId3" w:history="1">
        <w:r w:rsidRPr="009F5D62">
          <w:rPr>
            <w:rStyle w:val="Hyperlink"/>
            <w:sz w:val="16"/>
            <w:szCs w:val="16"/>
          </w:rPr>
          <w:t>http://www.publicadvocate.vic.gov.au/research/302/</w:t>
        </w:r>
      </w:hyperlink>
      <w:r>
        <w:rPr>
          <w:sz w:val="16"/>
          <w:szCs w:val="16"/>
        </w:rPr>
        <w:t xml:space="preserve"> and </w:t>
      </w:r>
      <w:r w:rsidRPr="004E5BDD">
        <w:rPr>
          <w:sz w:val="16"/>
          <w:szCs w:val="16"/>
        </w:rPr>
        <w:t>Women with Disabilities Australia (WWDA), 2018. The Status of Women and Girls with Disability in Australia (2018). WWDA: Hobart, Tasmania.</w:t>
      </w:r>
    </w:p>
  </w:footnote>
  <w:footnote w:id="8">
    <w:p w:rsidR="004A428D" w:rsidRPr="004A428D" w:rsidRDefault="004A428D" w:rsidP="00FC1AB4">
      <w:pPr>
        <w:pStyle w:val="FootnoteText"/>
        <w:rPr>
          <w:lang w:val="en-US"/>
        </w:rPr>
      </w:pPr>
      <w:r w:rsidRPr="00FC1AB4">
        <w:rPr>
          <w:rStyle w:val="FootnoteReference"/>
          <w:lang w:val="en-US"/>
        </w:rPr>
        <w:footnoteRef/>
      </w:r>
      <w:r>
        <w:t xml:space="preserve"> </w:t>
      </w:r>
      <w:r w:rsidRPr="004A428D">
        <w:rPr>
          <w:sz w:val="16"/>
          <w:szCs w:val="16"/>
        </w:rPr>
        <w:t>United Nations Convention on the Rights of Persons with Disabilities, (CRPD</w:t>
      </w:r>
      <w:r>
        <w:rPr>
          <w:sz w:val="16"/>
          <w:szCs w:val="16"/>
        </w:rPr>
        <w:t xml:space="preserve">), </w:t>
      </w:r>
      <w:r w:rsidR="00793EDC">
        <w:rPr>
          <w:sz w:val="16"/>
          <w:szCs w:val="16"/>
        </w:rPr>
        <w:t>preamble</w:t>
      </w:r>
      <w:r>
        <w:rPr>
          <w:sz w:val="16"/>
          <w:szCs w:val="16"/>
        </w:rPr>
        <w:t xml:space="preserve"> para. (e).</w:t>
      </w:r>
    </w:p>
  </w:footnote>
  <w:footnote w:id="9">
    <w:p w:rsidR="0007725C" w:rsidRPr="00D67057" w:rsidRDefault="0007725C">
      <w:pPr>
        <w:pStyle w:val="FootnoteText"/>
        <w:rPr>
          <w:lang w:val="en-US"/>
        </w:rPr>
      </w:pPr>
      <w:r>
        <w:rPr>
          <w:rStyle w:val="FootnoteReference"/>
        </w:rPr>
        <w:footnoteRef/>
      </w:r>
      <w:r>
        <w:t xml:space="preserve"> </w:t>
      </w:r>
      <w:r w:rsidRPr="00D67057">
        <w:rPr>
          <w:sz w:val="16"/>
          <w:szCs w:val="16"/>
          <w:lang w:val="en-US"/>
        </w:rPr>
        <w:t>Howe, K., and Hargrave, J. (2014), Women with Disabilities Victoria, ‘Written submission to provide comment to the Victorian Parliament’s Family and Community Development Committee – Inquiry into Social Inclusion and Victorians with a Disability’.</w:t>
      </w:r>
    </w:p>
  </w:footnote>
  <w:footnote w:id="10">
    <w:p w:rsidR="00417A6C" w:rsidRPr="00815EE3" w:rsidRDefault="00417A6C" w:rsidP="00815EE3">
      <w:pPr>
        <w:pStyle w:val="FootnoteText"/>
        <w:rPr>
          <w:sz w:val="16"/>
          <w:szCs w:val="16"/>
        </w:rPr>
      </w:pPr>
      <w:r>
        <w:rPr>
          <w:rStyle w:val="FootnoteReference"/>
        </w:rPr>
        <w:footnoteRef/>
      </w:r>
      <w:r w:rsidR="008969D2">
        <w:t xml:space="preserve"> </w:t>
      </w:r>
      <w:r w:rsidR="00815EE3" w:rsidRPr="00FB6A76">
        <w:rPr>
          <w:sz w:val="16"/>
          <w:szCs w:val="16"/>
        </w:rPr>
        <w:t>D. Woodlock Delanie, L. Healey, K. Howe, M. McGuire, et al. 2014, ‘Voices Against Violence Paper One:  Summary Report and Recommendations.’ Women with Disabilities Victoria, Office of the Public Advocate and Domestic Violence Resource Centre Victoria, 2014.</w:t>
      </w:r>
      <w:r w:rsidR="00815EE3">
        <w:rPr>
          <w:sz w:val="16"/>
          <w:szCs w:val="16"/>
        </w:rPr>
        <w:t xml:space="preserve"> </w:t>
      </w:r>
      <w:r w:rsidR="008969D2" w:rsidRPr="003F245A">
        <w:rPr>
          <w:sz w:val="16"/>
          <w:szCs w:val="16"/>
        </w:rPr>
        <w:t>See also:</w:t>
      </w:r>
      <w:r w:rsidRPr="003F245A">
        <w:rPr>
          <w:sz w:val="16"/>
          <w:szCs w:val="16"/>
        </w:rPr>
        <w:t xml:space="preserve"> </w:t>
      </w:r>
      <w:r w:rsidR="008969D2" w:rsidRPr="003F245A">
        <w:rPr>
          <w:sz w:val="16"/>
          <w:szCs w:val="16"/>
        </w:rPr>
        <w:t>a</w:t>
      </w:r>
      <w:r w:rsidRPr="003F245A">
        <w:rPr>
          <w:sz w:val="16"/>
          <w:szCs w:val="16"/>
        </w:rPr>
        <w:t>n Australian study of custody cases before the NSW Children’s Court found that 1 in 10 cases involved a par</w:t>
      </w:r>
      <w:r w:rsidR="00815EE3">
        <w:rPr>
          <w:sz w:val="16"/>
          <w:szCs w:val="16"/>
        </w:rPr>
        <w:t xml:space="preserve">ent with cognitive disability; McConnell, D., </w:t>
      </w:r>
      <w:r w:rsidR="00815EE3" w:rsidRPr="00815EE3">
        <w:rPr>
          <w:sz w:val="16"/>
          <w:szCs w:val="16"/>
        </w:rPr>
        <w:t>Llewellyn</w:t>
      </w:r>
      <w:r w:rsidR="00815EE3">
        <w:rPr>
          <w:sz w:val="16"/>
          <w:szCs w:val="16"/>
        </w:rPr>
        <w:t>, G., &amp; Ferronato, L. (2000), ‘</w:t>
      </w:r>
      <w:r w:rsidR="00815EE3" w:rsidRPr="00815EE3">
        <w:rPr>
          <w:sz w:val="16"/>
          <w:szCs w:val="16"/>
        </w:rPr>
        <w:t>Parents with a disability and the NSW Children's Court</w:t>
      </w:r>
      <w:r w:rsidR="00815EE3">
        <w:rPr>
          <w:sz w:val="16"/>
          <w:szCs w:val="16"/>
        </w:rPr>
        <w:t xml:space="preserve">’, </w:t>
      </w:r>
      <w:r w:rsidR="00815EE3" w:rsidRPr="00815EE3">
        <w:rPr>
          <w:sz w:val="16"/>
          <w:szCs w:val="16"/>
        </w:rPr>
        <w:t>The Family Support and Services Project, The University of Sydney, 2000.</w:t>
      </w:r>
    </w:p>
  </w:footnote>
  <w:footnote w:id="11">
    <w:p w:rsidR="00007CB0" w:rsidRPr="00BA3B8E" w:rsidRDefault="00007CB0" w:rsidP="00BA3B8E">
      <w:pPr>
        <w:pStyle w:val="FootnoteText"/>
      </w:pPr>
      <w:r w:rsidRPr="00444C92">
        <w:rPr>
          <w:rStyle w:val="FootnoteReference"/>
        </w:rPr>
        <w:footnoteRef/>
      </w:r>
      <w:r w:rsidRPr="00444C92">
        <w:t xml:space="preserve"> </w:t>
      </w:r>
      <w:r w:rsidR="00444C92">
        <w:t xml:space="preserve">Howe, K., Hargrave, J. (2015), </w:t>
      </w:r>
      <w:r w:rsidR="00444C92" w:rsidRPr="00444C92">
        <w:rPr>
          <w:sz w:val="18"/>
          <w:szCs w:val="18"/>
        </w:rPr>
        <w:t xml:space="preserve">Women with Disabilities Victoria, </w:t>
      </w:r>
      <w:r w:rsidR="00444C92">
        <w:rPr>
          <w:sz w:val="18"/>
          <w:szCs w:val="18"/>
        </w:rPr>
        <w:t>Royal Commission into Family Violence.</w:t>
      </w:r>
    </w:p>
  </w:footnote>
  <w:footnote w:id="12">
    <w:p w:rsidR="00FB6A76" w:rsidRPr="00FB6A76" w:rsidRDefault="00FB6A76">
      <w:pPr>
        <w:pStyle w:val="FootnoteText"/>
        <w:rPr>
          <w:lang w:val="en-US"/>
        </w:rPr>
      </w:pPr>
      <w:r w:rsidRPr="00444C92">
        <w:rPr>
          <w:rStyle w:val="FootnoteReference"/>
        </w:rPr>
        <w:footnoteRef/>
      </w:r>
      <w:r w:rsidRPr="00444C92">
        <w:t xml:space="preserve"> </w:t>
      </w:r>
      <w:r w:rsidRPr="00444C92">
        <w:rPr>
          <w:sz w:val="18"/>
          <w:szCs w:val="18"/>
        </w:rPr>
        <w:t>D. Woodlock, D. Western, P. Bailey, ‘Voices Against Violence: Paper 6, Raising our voices—hearing from women with disabilities,’ WDV, Melbourne, 2014.</w:t>
      </w:r>
    </w:p>
  </w:footnote>
  <w:footnote w:id="13">
    <w:p w:rsidR="008969D2" w:rsidRPr="008969D2" w:rsidRDefault="008969D2">
      <w:pPr>
        <w:pStyle w:val="FootnoteText"/>
        <w:rPr>
          <w:lang w:val="en-US"/>
        </w:rPr>
      </w:pPr>
      <w:r>
        <w:rPr>
          <w:rStyle w:val="FootnoteReference"/>
        </w:rPr>
        <w:footnoteRef/>
      </w:r>
      <w:r>
        <w:t xml:space="preserve"> </w:t>
      </w:r>
      <w:r w:rsidR="009036D8" w:rsidRPr="009036D8">
        <w:t>Howe, K., Hargrave, J. (2015), Women with Disabilities Victoria, Royal Commission into Family Violence.</w:t>
      </w:r>
    </w:p>
  </w:footnote>
  <w:footnote w:id="14">
    <w:p w:rsidR="007D2B10" w:rsidRPr="007D2B10" w:rsidRDefault="007D2B10">
      <w:pPr>
        <w:pStyle w:val="FootnoteText"/>
        <w:rPr>
          <w:lang w:val="en-US"/>
        </w:rPr>
      </w:pPr>
      <w:r>
        <w:rPr>
          <w:rStyle w:val="FootnoteReference"/>
        </w:rPr>
        <w:footnoteRef/>
      </w:r>
      <w:r>
        <w:t xml:space="preserve"> </w:t>
      </w:r>
      <w:r w:rsidR="009036D8" w:rsidRPr="009036D8">
        <w:t>Convention on the Rights of Persons with Disabilities (CRPD), Article 12.</w:t>
      </w:r>
    </w:p>
  </w:footnote>
  <w:footnote w:id="15">
    <w:p w:rsidR="0059226D" w:rsidRPr="0059226D" w:rsidRDefault="0059226D">
      <w:pPr>
        <w:pStyle w:val="FootnoteText"/>
        <w:rPr>
          <w:lang w:val="en-US"/>
        </w:rPr>
      </w:pPr>
      <w:r>
        <w:rPr>
          <w:rStyle w:val="FootnoteReference"/>
        </w:rPr>
        <w:footnoteRef/>
      </w:r>
      <w:r>
        <w:t xml:space="preserve"> </w:t>
      </w:r>
      <w:r w:rsidRPr="0059226D">
        <w:rPr>
          <w:lang w:val="en-US"/>
        </w:rPr>
        <w:t xml:space="preserve">When the </w:t>
      </w:r>
      <w:r>
        <w:rPr>
          <w:lang w:val="en-US"/>
        </w:rPr>
        <w:t>NDIS is fully implemented</w:t>
      </w:r>
      <w:r w:rsidRPr="0059226D">
        <w:rPr>
          <w:lang w:val="en-US"/>
        </w:rPr>
        <w:t>, up to 10% of people with a disability</w:t>
      </w:r>
      <w:r>
        <w:rPr>
          <w:lang w:val="en-US"/>
        </w:rPr>
        <w:t xml:space="preserve"> nationally</w:t>
      </w:r>
      <w:r w:rsidRPr="0059226D">
        <w:rPr>
          <w:lang w:val="en-US"/>
        </w:rPr>
        <w:t xml:space="preserve"> – about 460,000 peo</w:t>
      </w:r>
      <w:r>
        <w:rPr>
          <w:lang w:val="en-US"/>
        </w:rPr>
        <w:t>ple – are expected to become NDIS participants. Brophy, L., Bruxner, A. &amp; Wilson, E., (</w:t>
      </w:r>
      <w:r w:rsidRPr="0059226D">
        <w:rPr>
          <w:lang w:val="en-US"/>
        </w:rPr>
        <w:t>2014</w:t>
      </w:r>
      <w:r>
        <w:rPr>
          <w:lang w:val="en-US"/>
        </w:rPr>
        <w:t>)</w:t>
      </w:r>
      <w:r w:rsidRPr="0059226D">
        <w:rPr>
          <w:lang w:val="en-US"/>
        </w:rPr>
        <w:t xml:space="preserve">, </w:t>
      </w:r>
      <w:r>
        <w:rPr>
          <w:lang w:val="en-US"/>
        </w:rPr>
        <w:t>‘</w:t>
      </w:r>
      <w:r w:rsidRPr="0059226D">
        <w:rPr>
          <w:lang w:val="en-US"/>
        </w:rPr>
        <w:t>Consumer choices about mental health s</w:t>
      </w:r>
      <w:r>
        <w:rPr>
          <w:lang w:val="en-US"/>
        </w:rPr>
        <w:t xml:space="preserve">upport services’, </w:t>
      </w:r>
      <w:r w:rsidRPr="0059226D">
        <w:rPr>
          <w:i/>
          <w:lang w:val="en-US"/>
        </w:rPr>
        <w:t>New Paradigm</w:t>
      </w:r>
      <w:r>
        <w:rPr>
          <w:lang w:val="en-US"/>
        </w:rPr>
        <w:t>, N</w:t>
      </w:r>
      <w:r w:rsidRPr="0059226D">
        <w:rPr>
          <w:lang w:val="en-US"/>
        </w:rPr>
        <w:t>o. Summer 2014, pp. 2729</w:t>
      </w:r>
      <w:r>
        <w:rPr>
          <w:lang w:val="en-US"/>
        </w:rPr>
        <w:t>.</w:t>
      </w:r>
    </w:p>
  </w:footnote>
  <w:footnote w:id="16">
    <w:p w:rsidR="0007725C" w:rsidRPr="005A2BC6" w:rsidRDefault="0007725C">
      <w:pPr>
        <w:pStyle w:val="FootnoteText"/>
        <w:rPr>
          <w:lang w:val="en-US"/>
        </w:rPr>
      </w:pPr>
      <w:r>
        <w:rPr>
          <w:rStyle w:val="FootnoteReference"/>
        </w:rPr>
        <w:footnoteRef/>
      </w:r>
      <w:r>
        <w:t xml:space="preserve"> </w:t>
      </w:r>
      <w:r w:rsidRPr="00317A58">
        <w:rPr>
          <w:sz w:val="18"/>
          <w:szCs w:val="18"/>
        </w:rPr>
        <w:t xml:space="preserve">Frohmader, C. ‘Dehumanised: the Forced Sterilisation of Women and Girls with Disabilities in Australia’, Women with Disabilities Victoria (WWDA), Submission to the Senate Inquiry into the involuntary or coerced sterilisation of people with disabilities in Australia, </w:t>
      </w:r>
      <w:r w:rsidRPr="00317A58">
        <w:rPr>
          <w:sz w:val="18"/>
          <w:szCs w:val="18"/>
          <w:lang w:val="en-US"/>
        </w:rPr>
        <w:t>p. 8.</w:t>
      </w:r>
      <w:r>
        <w:rPr>
          <w:lang w:val="en-US"/>
        </w:rPr>
        <w:t xml:space="preserve"> </w:t>
      </w:r>
    </w:p>
  </w:footnote>
  <w:footnote w:id="17">
    <w:p w:rsidR="0007725C" w:rsidRPr="008520E5" w:rsidRDefault="0007725C" w:rsidP="008520E5">
      <w:pPr>
        <w:pStyle w:val="FootnoteText"/>
      </w:pPr>
      <w:r>
        <w:rPr>
          <w:rStyle w:val="FootnoteReference"/>
        </w:rPr>
        <w:footnoteRef/>
      </w:r>
      <w:r>
        <w:t xml:space="preserve"> </w:t>
      </w:r>
      <w:r w:rsidRPr="00317A58">
        <w:rPr>
          <w:sz w:val="18"/>
          <w:szCs w:val="18"/>
        </w:rPr>
        <w:t>Frohmader, C. ‘Dehumanised: the Forced Sterilisation of Women and Girls with Disabilities in Australia’, Women with Disabilities Victoria (WWDA), Submission to the Senate Inquiry into the involuntary or coerced sterilisation of people with disabilities in Australia, p. 11.</w:t>
      </w:r>
    </w:p>
  </w:footnote>
  <w:footnote w:id="18">
    <w:p w:rsidR="0007725C" w:rsidRPr="00062B75" w:rsidRDefault="0007725C">
      <w:pPr>
        <w:pStyle w:val="FootnoteText"/>
        <w:rPr>
          <w:lang w:val="en-US"/>
        </w:rPr>
      </w:pPr>
      <w:r>
        <w:rPr>
          <w:rStyle w:val="FootnoteReference"/>
        </w:rPr>
        <w:footnoteRef/>
      </w:r>
      <w:r>
        <w:t xml:space="preserve"> </w:t>
      </w:r>
      <w:r w:rsidRPr="00317A58">
        <w:rPr>
          <w:sz w:val="18"/>
          <w:szCs w:val="18"/>
        </w:rPr>
        <w:t>CEDAW Concluding Observations 2018 (July 2018), &lt;</w:t>
      </w:r>
      <w:hyperlink r:id="rId4" w:history="1">
        <w:r w:rsidRPr="00317A58">
          <w:rPr>
            <w:rStyle w:val="Hyperlink"/>
            <w:sz w:val="18"/>
            <w:szCs w:val="18"/>
          </w:rPr>
          <w:t>https://tbinternet.ohchr.org/_layouts/treatybodyexternal/Download.aspx?symbolno=CEDAW/C/AUS/CO/8&amp;Lang=En</w:t>
        </w:r>
      </w:hyperlink>
      <w:r w:rsidRPr="00317A58">
        <w:rPr>
          <w:sz w:val="18"/>
          <w:szCs w:val="18"/>
        </w:rPr>
        <w:t>&gt;</w:t>
      </w:r>
      <w:r>
        <w:t xml:space="preserve"> </w:t>
      </w:r>
    </w:p>
  </w:footnote>
  <w:footnote w:id="19">
    <w:p w:rsidR="004173EF" w:rsidRPr="009F2E15" w:rsidRDefault="004173EF" w:rsidP="004173EF">
      <w:pPr>
        <w:pStyle w:val="FootnoteText"/>
        <w:rPr>
          <w:sz w:val="16"/>
          <w:szCs w:val="16"/>
        </w:rPr>
      </w:pPr>
      <w:r w:rsidRPr="00C43280">
        <w:rPr>
          <w:rStyle w:val="FootnoteReference"/>
          <w:sz w:val="16"/>
          <w:szCs w:val="16"/>
        </w:rPr>
        <w:footnoteRef/>
      </w:r>
      <w:r w:rsidRPr="00C43280">
        <w:rPr>
          <w:sz w:val="16"/>
          <w:szCs w:val="16"/>
        </w:rPr>
        <w:t xml:space="preserve"> D. Woodlock, D. Western, P. Bailey, ‘Voices Against Violence: Paper 6, Raising our voices—hearing from women with disabilities,’ WDV, Melbourne, 2014.</w:t>
      </w:r>
    </w:p>
  </w:footnote>
  <w:footnote w:id="20">
    <w:p w:rsidR="005846DC" w:rsidRPr="005846DC" w:rsidRDefault="005846DC">
      <w:pPr>
        <w:pStyle w:val="FootnoteText"/>
        <w:rPr>
          <w:lang w:val="en-US"/>
        </w:rPr>
      </w:pPr>
      <w:r>
        <w:rPr>
          <w:rStyle w:val="FootnoteReference"/>
        </w:rPr>
        <w:footnoteRef/>
      </w:r>
      <w:r>
        <w:t xml:space="preserve"> </w:t>
      </w:r>
      <w:r w:rsidR="00AF17E7" w:rsidRPr="00AF17E7">
        <w:t>Federation of C</w:t>
      </w:r>
      <w:r w:rsidR="00AF17E7">
        <w:t xml:space="preserve">ommunity Legal Centres Victoria, </w:t>
      </w:r>
      <w:r w:rsidR="00AF17E7" w:rsidRPr="00AF17E7">
        <w:t>Domestic Vi</w:t>
      </w:r>
      <w:r w:rsidR="00AF17E7">
        <w:t xml:space="preserve">olence Resource Centre Victoria, </w:t>
      </w:r>
      <w:r w:rsidR="00AF17E7" w:rsidRPr="00AF17E7">
        <w:t>Domestic Violence Victoria</w:t>
      </w:r>
      <w:r w:rsidR="00AF17E7">
        <w:t>,</w:t>
      </w:r>
      <w:r w:rsidR="00AF17E7" w:rsidRPr="00AF17E7">
        <w:t xml:space="preserve"> Women with Disabilities Victoria Victorian Women’s Trust</w:t>
      </w:r>
      <w:r w:rsidR="00AF17E7">
        <w:t xml:space="preserve">, </w:t>
      </w:r>
      <w:r w:rsidR="00AF17E7" w:rsidRPr="00AF17E7">
        <w:t>Joint Submission to Public Consultation:  Family Law Amendment (Family Violence) Bill 2010</w:t>
      </w:r>
      <w:r w:rsidR="00AF17E7">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D73D7C"/>
    <w:multiLevelType w:val="hybridMultilevel"/>
    <w:tmpl w:val="DF4C130E"/>
    <w:lvl w:ilvl="0" w:tplc="4D6C8254">
      <w:numFmt w:val="bullet"/>
      <w:lvlText w:val="-"/>
      <w:lvlJc w:val="left"/>
      <w:pPr>
        <w:ind w:left="720" w:hanging="360"/>
      </w:pPr>
      <w:rPr>
        <w:rFonts w:ascii="Calibri" w:eastAsia="Calibri" w:hAnsi="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nsid w:val="57B34983"/>
    <w:multiLevelType w:val="hybridMultilevel"/>
    <w:tmpl w:val="DDBE6C6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78DD1568"/>
    <w:multiLevelType w:val="hybridMultilevel"/>
    <w:tmpl w:val="516C0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0241"/>
  </w:hdrShapeDefaults>
  <w:footnotePr>
    <w:footnote w:id="-1"/>
    <w:footnote w:id="0"/>
  </w:footnotePr>
  <w:endnotePr>
    <w:endnote w:id="-1"/>
    <w:endnote w:id="0"/>
  </w:endnotePr>
  <w:compat/>
  <w:rsids>
    <w:rsidRoot w:val="003E2706"/>
    <w:rsid w:val="00000A1D"/>
    <w:rsid w:val="00006980"/>
    <w:rsid w:val="00007CB0"/>
    <w:rsid w:val="0001457D"/>
    <w:rsid w:val="00021FE7"/>
    <w:rsid w:val="00024896"/>
    <w:rsid w:val="00026F38"/>
    <w:rsid w:val="00031036"/>
    <w:rsid w:val="000328A9"/>
    <w:rsid w:val="00035D90"/>
    <w:rsid w:val="00054A9A"/>
    <w:rsid w:val="00057DAF"/>
    <w:rsid w:val="00062B75"/>
    <w:rsid w:val="00072617"/>
    <w:rsid w:val="0007725C"/>
    <w:rsid w:val="00092B09"/>
    <w:rsid w:val="000977CC"/>
    <w:rsid w:val="000A5FD8"/>
    <w:rsid w:val="000A6AA5"/>
    <w:rsid w:val="000E2115"/>
    <w:rsid w:val="000F2C1C"/>
    <w:rsid w:val="000F6B8F"/>
    <w:rsid w:val="00105CE6"/>
    <w:rsid w:val="00115315"/>
    <w:rsid w:val="00153A11"/>
    <w:rsid w:val="00154388"/>
    <w:rsid w:val="0015486E"/>
    <w:rsid w:val="00154D86"/>
    <w:rsid w:val="001557E1"/>
    <w:rsid w:val="001618F0"/>
    <w:rsid w:val="001659AA"/>
    <w:rsid w:val="00186A7C"/>
    <w:rsid w:val="001876AE"/>
    <w:rsid w:val="00187861"/>
    <w:rsid w:val="001A1808"/>
    <w:rsid w:val="001A78BD"/>
    <w:rsid w:val="001B0E1E"/>
    <w:rsid w:val="001B2374"/>
    <w:rsid w:val="001B7BCD"/>
    <w:rsid w:val="001C44B1"/>
    <w:rsid w:val="001E10D9"/>
    <w:rsid w:val="001E6289"/>
    <w:rsid w:val="001E6C9E"/>
    <w:rsid w:val="001F0EC2"/>
    <w:rsid w:val="00210D5B"/>
    <w:rsid w:val="00217CE2"/>
    <w:rsid w:val="0022048E"/>
    <w:rsid w:val="00222F06"/>
    <w:rsid w:val="00250C2E"/>
    <w:rsid w:val="00254805"/>
    <w:rsid w:val="00255BFC"/>
    <w:rsid w:val="002602E8"/>
    <w:rsid w:val="0026773B"/>
    <w:rsid w:val="00280842"/>
    <w:rsid w:val="0028261C"/>
    <w:rsid w:val="00291245"/>
    <w:rsid w:val="00294258"/>
    <w:rsid w:val="002A4055"/>
    <w:rsid w:val="002B736C"/>
    <w:rsid w:val="002B7D9C"/>
    <w:rsid w:val="002E35E5"/>
    <w:rsid w:val="002E3B9D"/>
    <w:rsid w:val="002E64B5"/>
    <w:rsid w:val="00306CFB"/>
    <w:rsid w:val="00307EEE"/>
    <w:rsid w:val="003124EF"/>
    <w:rsid w:val="0031253A"/>
    <w:rsid w:val="00316D29"/>
    <w:rsid w:val="00316D4D"/>
    <w:rsid w:val="00317A58"/>
    <w:rsid w:val="003225EE"/>
    <w:rsid w:val="003240A0"/>
    <w:rsid w:val="00333117"/>
    <w:rsid w:val="00346A19"/>
    <w:rsid w:val="00351EB0"/>
    <w:rsid w:val="00357F55"/>
    <w:rsid w:val="00377F8C"/>
    <w:rsid w:val="003822B2"/>
    <w:rsid w:val="00385F34"/>
    <w:rsid w:val="00397604"/>
    <w:rsid w:val="003A0A23"/>
    <w:rsid w:val="003A6339"/>
    <w:rsid w:val="003A7F12"/>
    <w:rsid w:val="003B0CFA"/>
    <w:rsid w:val="003C0E0A"/>
    <w:rsid w:val="003C294D"/>
    <w:rsid w:val="003C367F"/>
    <w:rsid w:val="003E11DD"/>
    <w:rsid w:val="003E18C7"/>
    <w:rsid w:val="003E2706"/>
    <w:rsid w:val="003E380A"/>
    <w:rsid w:val="003E510B"/>
    <w:rsid w:val="003F245A"/>
    <w:rsid w:val="003F6116"/>
    <w:rsid w:val="004061B4"/>
    <w:rsid w:val="004069BC"/>
    <w:rsid w:val="00414533"/>
    <w:rsid w:val="004173EF"/>
    <w:rsid w:val="00417A6C"/>
    <w:rsid w:val="00427602"/>
    <w:rsid w:val="00430CB5"/>
    <w:rsid w:val="00444C92"/>
    <w:rsid w:val="00444D14"/>
    <w:rsid w:val="004461B9"/>
    <w:rsid w:val="004477A9"/>
    <w:rsid w:val="00463524"/>
    <w:rsid w:val="00480093"/>
    <w:rsid w:val="004842F6"/>
    <w:rsid w:val="00492071"/>
    <w:rsid w:val="00496905"/>
    <w:rsid w:val="004A428D"/>
    <w:rsid w:val="004B71D6"/>
    <w:rsid w:val="004B79BA"/>
    <w:rsid w:val="004C36BF"/>
    <w:rsid w:val="004D5B9D"/>
    <w:rsid w:val="004E008F"/>
    <w:rsid w:val="004E2076"/>
    <w:rsid w:val="004E5BDD"/>
    <w:rsid w:val="004E6661"/>
    <w:rsid w:val="004E6E44"/>
    <w:rsid w:val="004E74BB"/>
    <w:rsid w:val="004F356E"/>
    <w:rsid w:val="005009D7"/>
    <w:rsid w:val="00517C3A"/>
    <w:rsid w:val="00523028"/>
    <w:rsid w:val="00524D0B"/>
    <w:rsid w:val="00531722"/>
    <w:rsid w:val="00535C64"/>
    <w:rsid w:val="00545336"/>
    <w:rsid w:val="005510C8"/>
    <w:rsid w:val="00553EA7"/>
    <w:rsid w:val="00557C61"/>
    <w:rsid w:val="00564F31"/>
    <w:rsid w:val="0056551F"/>
    <w:rsid w:val="00577A21"/>
    <w:rsid w:val="00577EAF"/>
    <w:rsid w:val="005846DC"/>
    <w:rsid w:val="0058476E"/>
    <w:rsid w:val="00585FB4"/>
    <w:rsid w:val="005866F8"/>
    <w:rsid w:val="0059226D"/>
    <w:rsid w:val="005A2BC6"/>
    <w:rsid w:val="005B3D6E"/>
    <w:rsid w:val="005C19B1"/>
    <w:rsid w:val="005D37F9"/>
    <w:rsid w:val="005D3B10"/>
    <w:rsid w:val="005E010C"/>
    <w:rsid w:val="005E0F89"/>
    <w:rsid w:val="005E18CA"/>
    <w:rsid w:val="005E6445"/>
    <w:rsid w:val="005F0BAD"/>
    <w:rsid w:val="00617409"/>
    <w:rsid w:val="00620E0F"/>
    <w:rsid w:val="00620F5C"/>
    <w:rsid w:val="00622D6D"/>
    <w:rsid w:val="00630BC5"/>
    <w:rsid w:val="00646617"/>
    <w:rsid w:val="00651451"/>
    <w:rsid w:val="0065699F"/>
    <w:rsid w:val="00672B28"/>
    <w:rsid w:val="0067351A"/>
    <w:rsid w:val="00676592"/>
    <w:rsid w:val="0068627A"/>
    <w:rsid w:val="00690D2A"/>
    <w:rsid w:val="006A0069"/>
    <w:rsid w:val="006B04F7"/>
    <w:rsid w:val="006C6150"/>
    <w:rsid w:val="006C7C42"/>
    <w:rsid w:val="006D5035"/>
    <w:rsid w:val="006D6B1E"/>
    <w:rsid w:val="006E220C"/>
    <w:rsid w:val="006E5462"/>
    <w:rsid w:val="006E57E9"/>
    <w:rsid w:val="006E6CD9"/>
    <w:rsid w:val="006E7A2A"/>
    <w:rsid w:val="006F2B6D"/>
    <w:rsid w:val="006F4594"/>
    <w:rsid w:val="00713C33"/>
    <w:rsid w:val="00715431"/>
    <w:rsid w:val="00731134"/>
    <w:rsid w:val="00740A0D"/>
    <w:rsid w:val="00744132"/>
    <w:rsid w:val="00747320"/>
    <w:rsid w:val="007608B2"/>
    <w:rsid w:val="00760A53"/>
    <w:rsid w:val="00762EBF"/>
    <w:rsid w:val="00785379"/>
    <w:rsid w:val="00793A91"/>
    <w:rsid w:val="00793EDC"/>
    <w:rsid w:val="007A2597"/>
    <w:rsid w:val="007A2FCA"/>
    <w:rsid w:val="007B31A2"/>
    <w:rsid w:val="007D2B10"/>
    <w:rsid w:val="007D52C2"/>
    <w:rsid w:val="007D642F"/>
    <w:rsid w:val="007E41B7"/>
    <w:rsid w:val="007E75B9"/>
    <w:rsid w:val="00815EE3"/>
    <w:rsid w:val="0082125D"/>
    <w:rsid w:val="00822F1E"/>
    <w:rsid w:val="00824622"/>
    <w:rsid w:val="00831F61"/>
    <w:rsid w:val="008330B2"/>
    <w:rsid w:val="00846587"/>
    <w:rsid w:val="008470A8"/>
    <w:rsid w:val="008520E5"/>
    <w:rsid w:val="00863288"/>
    <w:rsid w:val="00863342"/>
    <w:rsid w:val="00865D94"/>
    <w:rsid w:val="008661E4"/>
    <w:rsid w:val="00883224"/>
    <w:rsid w:val="008866A2"/>
    <w:rsid w:val="008875A8"/>
    <w:rsid w:val="00893AC3"/>
    <w:rsid w:val="00894A65"/>
    <w:rsid w:val="008969D2"/>
    <w:rsid w:val="00896A80"/>
    <w:rsid w:val="008970F3"/>
    <w:rsid w:val="008C4E5F"/>
    <w:rsid w:val="008D02EE"/>
    <w:rsid w:val="008D73E1"/>
    <w:rsid w:val="008E2A87"/>
    <w:rsid w:val="008E40B3"/>
    <w:rsid w:val="008E6251"/>
    <w:rsid w:val="009036D8"/>
    <w:rsid w:val="00905DA9"/>
    <w:rsid w:val="00915DFA"/>
    <w:rsid w:val="00917A71"/>
    <w:rsid w:val="0092532A"/>
    <w:rsid w:val="00934309"/>
    <w:rsid w:val="00952933"/>
    <w:rsid w:val="00953BDE"/>
    <w:rsid w:val="00953BFF"/>
    <w:rsid w:val="009557ED"/>
    <w:rsid w:val="009646EB"/>
    <w:rsid w:val="00973A24"/>
    <w:rsid w:val="00974316"/>
    <w:rsid w:val="00976FAF"/>
    <w:rsid w:val="0098015E"/>
    <w:rsid w:val="009906EF"/>
    <w:rsid w:val="009A6757"/>
    <w:rsid w:val="009B21A7"/>
    <w:rsid w:val="009B3E5B"/>
    <w:rsid w:val="009D02F1"/>
    <w:rsid w:val="009D45FF"/>
    <w:rsid w:val="009D5251"/>
    <w:rsid w:val="009F193D"/>
    <w:rsid w:val="009F1E78"/>
    <w:rsid w:val="00A045A4"/>
    <w:rsid w:val="00A1031A"/>
    <w:rsid w:val="00A517A7"/>
    <w:rsid w:val="00A54D7D"/>
    <w:rsid w:val="00A6181D"/>
    <w:rsid w:val="00A63B61"/>
    <w:rsid w:val="00A6511F"/>
    <w:rsid w:val="00A6767C"/>
    <w:rsid w:val="00A7510D"/>
    <w:rsid w:val="00A92A73"/>
    <w:rsid w:val="00A92CBA"/>
    <w:rsid w:val="00AA254E"/>
    <w:rsid w:val="00AA3B74"/>
    <w:rsid w:val="00AA488B"/>
    <w:rsid w:val="00AA7747"/>
    <w:rsid w:val="00AB61D8"/>
    <w:rsid w:val="00AB6888"/>
    <w:rsid w:val="00AB78A1"/>
    <w:rsid w:val="00AC11D9"/>
    <w:rsid w:val="00AC6625"/>
    <w:rsid w:val="00AC7098"/>
    <w:rsid w:val="00AD0CFD"/>
    <w:rsid w:val="00AF17E7"/>
    <w:rsid w:val="00AF339A"/>
    <w:rsid w:val="00AF4A4D"/>
    <w:rsid w:val="00B260CF"/>
    <w:rsid w:val="00B312A3"/>
    <w:rsid w:val="00B454C6"/>
    <w:rsid w:val="00B57FAB"/>
    <w:rsid w:val="00B60783"/>
    <w:rsid w:val="00B745D0"/>
    <w:rsid w:val="00B77C63"/>
    <w:rsid w:val="00B8063E"/>
    <w:rsid w:val="00B82805"/>
    <w:rsid w:val="00B839B4"/>
    <w:rsid w:val="00B8633E"/>
    <w:rsid w:val="00B91B8D"/>
    <w:rsid w:val="00B95298"/>
    <w:rsid w:val="00BA3B8E"/>
    <w:rsid w:val="00BB0399"/>
    <w:rsid w:val="00BC0244"/>
    <w:rsid w:val="00BC2EF1"/>
    <w:rsid w:val="00BC5A84"/>
    <w:rsid w:val="00BC753C"/>
    <w:rsid w:val="00BC7A14"/>
    <w:rsid w:val="00BD54FE"/>
    <w:rsid w:val="00BE342B"/>
    <w:rsid w:val="00BE410C"/>
    <w:rsid w:val="00BF2DBB"/>
    <w:rsid w:val="00C02F8E"/>
    <w:rsid w:val="00C04497"/>
    <w:rsid w:val="00C04A56"/>
    <w:rsid w:val="00C06E5C"/>
    <w:rsid w:val="00C1318D"/>
    <w:rsid w:val="00C20511"/>
    <w:rsid w:val="00C32DC6"/>
    <w:rsid w:val="00C35F66"/>
    <w:rsid w:val="00C4025D"/>
    <w:rsid w:val="00C43A19"/>
    <w:rsid w:val="00C54FD9"/>
    <w:rsid w:val="00C6295F"/>
    <w:rsid w:val="00C65146"/>
    <w:rsid w:val="00C75452"/>
    <w:rsid w:val="00C819B3"/>
    <w:rsid w:val="00C8697B"/>
    <w:rsid w:val="00C93062"/>
    <w:rsid w:val="00C94941"/>
    <w:rsid w:val="00CB577B"/>
    <w:rsid w:val="00CB70C4"/>
    <w:rsid w:val="00CC3740"/>
    <w:rsid w:val="00CD64E9"/>
    <w:rsid w:val="00CE0418"/>
    <w:rsid w:val="00CE4765"/>
    <w:rsid w:val="00CF38B8"/>
    <w:rsid w:val="00CF7496"/>
    <w:rsid w:val="00D03058"/>
    <w:rsid w:val="00D11422"/>
    <w:rsid w:val="00D13069"/>
    <w:rsid w:val="00D25E3D"/>
    <w:rsid w:val="00D32368"/>
    <w:rsid w:val="00D43079"/>
    <w:rsid w:val="00D552F4"/>
    <w:rsid w:val="00D62076"/>
    <w:rsid w:val="00D66F8A"/>
    <w:rsid w:val="00D67057"/>
    <w:rsid w:val="00D73A5E"/>
    <w:rsid w:val="00D844E7"/>
    <w:rsid w:val="00D85A95"/>
    <w:rsid w:val="00D90972"/>
    <w:rsid w:val="00D930D6"/>
    <w:rsid w:val="00D9549D"/>
    <w:rsid w:val="00DA135C"/>
    <w:rsid w:val="00DA285B"/>
    <w:rsid w:val="00DA4454"/>
    <w:rsid w:val="00DB14FD"/>
    <w:rsid w:val="00DC289A"/>
    <w:rsid w:val="00DC3EAA"/>
    <w:rsid w:val="00DC6A72"/>
    <w:rsid w:val="00DC6B49"/>
    <w:rsid w:val="00DF404A"/>
    <w:rsid w:val="00DF58AC"/>
    <w:rsid w:val="00DF60B6"/>
    <w:rsid w:val="00E07439"/>
    <w:rsid w:val="00E12BEB"/>
    <w:rsid w:val="00E16CA5"/>
    <w:rsid w:val="00E22D9F"/>
    <w:rsid w:val="00E259BA"/>
    <w:rsid w:val="00E25B9E"/>
    <w:rsid w:val="00E26D8E"/>
    <w:rsid w:val="00E33E4B"/>
    <w:rsid w:val="00E51B9F"/>
    <w:rsid w:val="00E558D2"/>
    <w:rsid w:val="00E563E1"/>
    <w:rsid w:val="00E627ED"/>
    <w:rsid w:val="00E9642F"/>
    <w:rsid w:val="00EB587C"/>
    <w:rsid w:val="00EC55E9"/>
    <w:rsid w:val="00EC5EB3"/>
    <w:rsid w:val="00ED302D"/>
    <w:rsid w:val="00ED48C0"/>
    <w:rsid w:val="00ED6A7B"/>
    <w:rsid w:val="00EE0DEA"/>
    <w:rsid w:val="00EE5E17"/>
    <w:rsid w:val="00EF0FA6"/>
    <w:rsid w:val="00F0175B"/>
    <w:rsid w:val="00F02126"/>
    <w:rsid w:val="00F03182"/>
    <w:rsid w:val="00F0566F"/>
    <w:rsid w:val="00F116D5"/>
    <w:rsid w:val="00F1702C"/>
    <w:rsid w:val="00F2166C"/>
    <w:rsid w:val="00F330D2"/>
    <w:rsid w:val="00F4552A"/>
    <w:rsid w:val="00F55077"/>
    <w:rsid w:val="00F55540"/>
    <w:rsid w:val="00F656AE"/>
    <w:rsid w:val="00F75599"/>
    <w:rsid w:val="00FB66DF"/>
    <w:rsid w:val="00FB6A76"/>
    <w:rsid w:val="00FC0183"/>
    <w:rsid w:val="00FC03F3"/>
    <w:rsid w:val="00FC1AB4"/>
    <w:rsid w:val="00FC5BDB"/>
    <w:rsid w:val="00FC750B"/>
    <w:rsid w:val="00FD09D6"/>
    <w:rsid w:val="00FE2130"/>
    <w:rsid w:val="00FE57B3"/>
    <w:rsid w:val="00FE5DC4"/>
    <w:rsid w:val="00FF002F"/>
    <w:rsid w:val="00FF204E"/>
    <w:rsid w:val="00FF2A09"/>
    <w:rsid w:val="00FF4F1B"/>
    <w:rsid w:val="00FF56E8"/>
    <w:rsid w:val="00FF5975"/>
    <w:rsid w:val="00FF620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706"/>
    <w:rPr>
      <w:lang w:val="en-AU"/>
    </w:rPr>
  </w:style>
  <w:style w:type="paragraph" w:styleId="Heading1">
    <w:name w:val="heading 1"/>
    <w:basedOn w:val="Normal"/>
    <w:next w:val="Normal"/>
    <w:link w:val="Heading1Char"/>
    <w:uiPriority w:val="9"/>
    <w:qFormat/>
    <w:rsid w:val="003E270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A675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C753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E2706"/>
    <w:rPr>
      <w:color w:val="0000FF"/>
      <w:u w:val="single"/>
    </w:rPr>
  </w:style>
  <w:style w:type="paragraph" w:styleId="Title">
    <w:name w:val="Title"/>
    <w:basedOn w:val="Normal"/>
    <w:next w:val="Normal"/>
    <w:link w:val="TitleChar"/>
    <w:uiPriority w:val="10"/>
    <w:qFormat/>
    <w:rsid w:val="003E270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E2706"/>
    <w:rPr>
      <w:rFonts w:asciiTheme="majorHAnsi" w:eastAsiaTheme="majorEastAsia" w:hAnsiTheme="majorHAnsi" w:cstheme="majorBidi"/>
      <w:spacing w:val="-10"/>
      <w:kern w:val="28"/>
      <w:sz w:val="56"/>
      <w:szCs w:val="56"/>
      <w:lang w:val="en-AU"/>
    </w:rPr>
  </w:style>
  <w:style w:type="paragraph" w:styleId="Header">
    <w:name w:val="header"/>
    <w:basedOn w:val="Normal"/>
    <w:link w:val="HeaderChar"/>
    <w:uiPriority w:val="99"/>
    <w:unhideWhenUsed/>
    <w:rsid w:val="003E27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2706"/>
    <w:rPr>
      <w:lang w:val="en-AU"/>
    </w:rPr>
  </w:style>
  <w:style w:type="paragraph" w:styleId="Footer">
    <w:name w:val="footer"/>
    <w:basedOn w:val="Normal"/>
    <w:link w:val="FooterChar"/>
    <w:uiPriority w:val="99"/>
    <w:unhideWhenUsed/>
    <w:rsid w:val="003E27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2706"/>
    <w:rPr>
      <w:lang w:val="en-AU"/>
    </w:rPr>
  </w:style>
  <w:style w:type="character" w:customStyle="1" w:styleId="Heading1Char">
    <w:name w:val="Heading 1 Char"/>
    <w:basedOn w:val="DefaultParagraphFont"/>
    <w:link w:val="Heading1"/>
    <w:uiPriority w:val="9"/>
    <w:rsid w:val="003E2706"/>
    <w:rPr>
      <w:rFonts w:asciiTheme="majorHAnsi" w:eastAsiaTheme="majorEastAsia" w:hAnsiTheme="majorHAnsi" w:cstheme="majorBidi"/>
      <w:color w:val="2E74B5" w:themeColor="accent1" w:themeShade="BF"/>
      <w:sz w:val="32"/>
      <w:szCs w:val="32"/>
      <w:lang w:val="en-AU"/>
    </w:rPr>
  </w:style>
  <w:style w:type="paragraph" w:styleId="TOCHeading">
    <w:name w:val="TOC Heading"/>
    <w:basedOn w:val="Heading1"/>
    <w:next w:val="Normal"/>
    <w:uiPriority w:val="39"/>
    <w:unhideWhenUsed/>
    <w:qFormat/>
    <w:rsid w:val="003E2706"/>
    <w:pPr>
      <w:outlineLvl w:val="9"/>
    </w:pPr>
    <w:rPr>
      <w:lang w:val="en-US"/>
    </w:rPr>
  </w:style>
  <w:style w:type="character" w:customStyle="1" w:styleId="Heading2Char">
    <w:name w:val="Heading 2 Char"/>
    <w:basedOn w:val="DefaultParagraphFont"/>
    <w:link w:val="Heading2"/>
    <w:uiPriority w:val="9"/>
    <w:rsid w:val="009A6757"/>
    <w:rPr>
      <w:rFonts w:asciiTheme="majorHAnsi" w:eastAsiaTheme="majorEastAsia" w:hAnsiTheme="majorHAnsi" w:cstheme="majorBidi"/>
      <w:color w:val="2E74B5" w:themeColor="accent1" w:themeShade="BF"/>
      <w:sz w:val="26"/>
      <w:szCs w:val="26"/>
      <w:lang w:val="en-AU"/>
    </w:rPr>
  </w:style>
  <w:style w:type="paragraph" w:styleId="ListParagraph">
    <w:name w:val="List Paragraph"/>
    <w:basedOn w:val="Normal"/>
    <w:uiPriority w:val="34"/>
    <w:qFormat/>
    <w:rsid w:val="009A6757"/>
    <w:pPr>
      <w:ind w:left="720"/>
      <w:contextualSpacing/>
    </w:pPr>
  </w:style>
  <w:style w:type="paragraph" w:styleId="FootnoteText">
    <w:name w:val="footnote text"/>
    <w:aliases w:val="FN,fn,Footnote Text Char Char,Footnote Text Char1 Char Char,Footnote Text Char Char Char Char,Footnote Text Char Char1,Footnote Text Char1 Char,Footnote Text Char Char Char,Char"/>
    <w:basedOn w:val="Normal"/>
    <w:link w:val="FootnoteTextChar"/>
    <w:unhideWhenUsed/>
    <w:rsid w:val="00905DA9"/>
    <w:pPr>
      <w:spacing w:after="0" w:line="240" w:lineRule="auto"/>
    </w:pPr>
    <w:rPr>
      <w:sz w:val="20"/>
      <w:szCs w:val="20"/>
    </w:rPr>
  </w:style>
  <w:style w:type="character" w:customStyle="1" w:styleId="FootnoteTextChar">
    <w:name w:val="Footnote Text Char"/>
    <w:aliases w:val="FN Char,fn Char,Footnote Text Char Char Char1,Footnote Text Char1 Char Char Char,Footnote Text Char Char Char Char Char,Footnote Text Char Char1 Char,Footnote Text Char1 Char Char1,Footnote Text Char Char Char Char1,Char Char"/>
    <w:basedOn w:val="DefaultParagraphFont"/>
    <w:link w:val="FootnoteText"/>
    <w:rsid w:val="00905DA9"/>
    <w:rPr>
      <w:sz w:val="20"/>
      <w:szCs w:val="20"/>
      <w:lang w:val="en-AU"/>
    </w:rPr>
  </w:style>
  <w:style w:type="character" w:styleId="FootnoteReference">
    <w:name w:val="footnote reference"/>
    <w:aliases w:val="NO,Footnotes refss,Footnote number,Footnote"/>
    <w:basedOn w:val="DefaultParagraphFont"/>
    <w:uiPriority w:val="99"/>
    <w:unhideWhenUsed/>
    <w:rsid w:val="00905DA9"/>
    <w:rPr>
      <w:vertAlign w:val="superscript"/>
    </w:rPr>
  </w:style>
  <w:style w:type="paragraph" w:styleId="TOC2">
    <w:name w:val="toc 2"/>
    <w:basedOn w:val="Normal"/>
    <w:next w:val="Normal"/>
    <w:autoRedefine/>
    <w:uiPriority w:val="39"/>
    <w:unhideWhenUsed/>
    <w:rsid w:val="00C32DC6"/>
    <w:pPr>
      <w:spacing w:after="100"/>
      <w:ind w:left="220"/>
    </w:pPr>
  </w:style>
  <w:style w:type="character" w:customStyle="1" w:styleId="Heading3Char">
    <w:name w:val="Heading 3 Char"/>
    <w:basedOn w:val="DefaultParagraphFont"/>
    <w:link w:val="Heading3"/>
    <w:uiPriority w:val="9"/>
    <w:rsid w:val="00BC753C"/>
    <w:rPr>
      <w:rFonts w:asciiTheme="majorHAnsi" w:eastAsiaTheme="majorEastAsia" w:hAnsiTheme="majorHAnsi" w:cstheme="majorBidi"/>
      <w:color w:val="1F4D78" w:themeColor="accent1" w:themeShade="7F"/>
      <w:sz w:val="24"/>
      <w:szCs w:val="24"/>
      <w:lang w:val="en-AU"/>
    </w:rPr>
  </w:style>
  <w:style w:type="paragraph" w:styleId="TOC3">
    <w:name w:val="toc 3"/>
    <w:basedOn w:val="Normal"/>
    <w:next w:val="Normal"/>
    <w:autoRedefine/>
    <w:uiPriority w:val="39"/>
    <w:unhideWhenUsed/>
    <w:rsid w:val="00BC753C"/>
    <w:pPr>
      <w:spacing w:after="100"/>
      <w:ind w:left="440"/>
    </w:pPr>
  </w:style>
  <w:style w:type="character" w:styleId="CommentReference">
    <w:name w:val="annotation reference"/>
    <w:basedOn w:val="DefaultParagraphFont"/>
    <w:uiPriority w:val="99"/>
    <w:semiHidden/>
    <w:unhideWhenUsed/>
    <w:rsid w:val="00831F61"/>
    <w:rPr>
      <w:sz w:val="16"/>
      <w:szCs w:val="16"/>
    </w:rPr>
  </w:style>
  <w:style w:type="paragraph" w:styleId="CommentText">
    <w:name w:val="annotation text"/>
    <w:basedOn w:val="Normal"/>
    <w:link w:val="CommentTextChar"/>
    <w:uiPriority w:val="99"/>
    <w:semiHidden/>
    <w:unhideWhenUsed/>
    <w:rsid w:val="00831F61"/>
    <w:pPr>
      <w:spacing w:line="240" w:lineRule="auto"/>
    </w:pPr>
    <w:rPr>
      <w:sz w:val="20"/>
      <w:szCs w:val="20"/>
    </w:rPr>
  </w:style>
  <w:style w:type="character" w:customStyle="1" w:styleId="CommentTextChar">
    <w:name w:val="Comment Text Char"/>
    <w:basedOn w:val="DefaultParagraphFont"/>
    <w:link w:val="CommentText"/>
    <w:uiPriority w:val="99"/>
    <w:semiHidden/>
    <w:rsid w:val="00831F61"/>
    <w:rPr>
      <w:sz w:val="20"/>
      <w:szCs w:val="20"/>
      <w:lang w:val="en-AU"/>
    </w:rPr>
  </w:style>
  <w:style w:type="paragraph" w:styleId="CommentSubject">
    <w:name w:val="annotation subject"/>
    <w:basedOn w:val="CommentText"/>
    <w:next w:val="CommentText"/>
    <w:link w:val="CommentSubjectChar"/>
    <w:uiPriority w:val="99"/>
    <w:semiHidden/>
    <w:unhideWhenUsed/>
    <w:rsid w:val="00831F61"/>
    <w:rPr>
      <w:b/>
      <w:bCs/>
    </w:rPr>
  </w:style>
  <w:style w:type="character" w:customStyle="1" w:styleId="CommentSubjectChar">
    <w:name w:val="Comment Subject Char"/>
    <w:basedOn w:val="CommentTextChar"/>
    <w:link w:val="CommentSubject"/>
    <w:uiPriority w:val="99"/>
    <w:semiHidden/>
    <w:rsid w:val="00831F61"/>
    <w:rPr>
      <w:b/>
      <w:bCs/>
      <w:sz w:val="20"/>
      <w:szCs w:val="20"/>
      <w:lang w:val="en-AU"/>
    </w:rPr>
  </w:style>
  <w:style w:type="paragraph" w:styleId="BalloonText">
    <w:name w:val="Balloon Text"/>
    <w:basedOn w:val="Normal"/>
    <w:link w:val="BalloonTextChar"/>
    <w:uiPriority w:val="99"/>
    <w:semiHidden/>
    <w:unhideWhenUsed/>
    <w:rsid w:val="00831F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1F61"/>
    <w:rPr>
      <w:rFonts w:ascii="Segoe UI" w:hAnsi="Segoe UI" w:cs="Segoe UI"/>
      <w:sz w:val="18"/>
      <w:szCs w:val="18"/>
      <w:lang w:val="en-AU"/>
    </w:rPr>
  </w:style>
  <w:style w:type="paragraph" w:styleId="NormalWeb">
    <w:name w:val="Normal (Web)"/>
    <w:basedOn w:val="Normal"/>
    <w:uiPriority w:val="99"/>
    <w:semiHidden/>
    <w:unhideWhenUsed/>
    <w:rsid w:val="006F4594"/>
    <w:pPr>
      <w:spacing w:after="0" w:line="240" w:lineRule="auto"/>
    </w:pPr>
    <w:rPr>
      <w:rFonts w:ascii="Times New Roman" w:hAnsi="Times New Roman" w:cs="Times New Roman"/>
      <w:sz w:val="24"/>
      <w:szCs w:val="24"/>
      <w:lang w:eastAsia="en-AU"/>
    </w:rPr>
  </w:style>
</w:styles>
</file>

<file path=word/webSettings.xml><?xml version="1.0" encoding="utf-8"?>
<w:webSettings xmlns:r="http://schemas.openxmlformats.org/officeDocument/2006/relationships" xmlns:w="http://schemas.openxmlformats.org/wordprocessingml/2006/main">
  <w:divs>
    <w:div w:id="608707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tbinternet.ohchr.org/_layouts/treatybodyexternal/Download.aspx?symbolno=CEDAW/C/AUS/CO/8&amp;Lang=E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mber.Karanikolas@wdv.org.a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Jen.Hargrave@wdv.org.au" TargetMode="External"/><Relationship Id="rId4" Type="http://schemas.openxmlformats.org/officeDocument/2006/relationships/settings" Target="settings.xml"/><Relationship Id="rId9" Type="http://schemas.openxmlformats.org/officeDocument/2006/relationships/hyperlink" Target="http://www.wdv.org.au"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publicadvocate.vic.gov.au/research/302/" TargetMode="External"/><Relationship Id="rId2" Type="http://schemas.openxmlformats.org/officeDocument/2006/relationships/hyperlink" Target="http://www.thelancet.com/journals/lancet/article/PIIS0140-6736(11)61851-5/abstract" TargetMode="External"/><Relationship Id="rId1" Type="http://schemas.openxmlformats.org/officeDocument/2006/relationships/hyperlink" Target="http://www.wdv.org.au/our-work/building-the-knowledge/voices-against-violence/" TargetMode="External"/><Relationship Id="rId4" Type="http://schemas.openxmlformats.org/officeDocument/2006/relationships/hyperlink" Target="https://tbinternet.ohchr.org/_layouts/treatybodyexternal/Download.aspx?symbolno=CEDAW/C/AUS/CO/8&amp;Lang=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515BAA-9E67-40F6-A00F-8722667F7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5750</Words>
  <Characters>32776</Characters>
  <Application>Microsoft Office Word</Application>
  <DocSecurity>0</DocSecurity>
  <Lines>273</Lines>
  <Paragraphs>76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38450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Amber Karanikolas</dc:creator>
  <cp:lastModifiedBy>sarah.dobinson</cp:lastModifiedBy>
  <cp:revision>2</cp:revision>
  <cp:lastPrinted>2018-11-20T23:46:00Z</cp:lastPrinted>
  <dcterms:created xsi:type="dcterms:W3CDTF">2018-11-26T22:28:00Z</dcterms:created>
  <dcterms:modified xsi:type="dcterms:W3CDTF">2018-11-26T22:28:00Z</dcterms:modified>
</cp:coreProperties>
</file>