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13148" w14:textId="77777777" w:rsidR="007514DC" w:rsidRPr="007514DC" w:rsidRDefault="007514DC" w:rsidP="007514DC">
      <w:pPr>
        <w:pStyle w:val="PlainText"/>
        <w:spacing w:line="360" w:lineRule="auto"/>
        <w:rPr>
          <w:rFonts w:ascii="Arial" w:hAnsi="Arial" w:cs="Arial"/>
        </w:rPr>
      </w:pPr>
      <w:bookmarkStart w:id="0" w:name="_GoBack"/>
      <w:bookmarkEnd w:id="0"/>
    </w:p>
    <w:p w14:paraId="60970604" w14:textId="77777777" w:rsidR="007514DC" w:rsidRPr="007514DC" w:rsidRDefault="007514DC" w:rsidP="002E0BEA">
      <w:pPr>
        <w:pStyle w:val="PlainText"/>
        <w:spacing w:line="360" w:lineRule="auto"/>
        <w:jc w:val="center"/>
        <w:rPr>
          <w:rFonts w:ascii="Arial" w:hAnsi="Arial" w:cs="Arial"/>
        </w:rPr>
      </w:pPr>
    </w:p>
    <w:p w14:paraId="6489FCA8" w14:textId="533EB205" w:rsidR="002E0BEA" w:rsidRPr="002E0BEA" w:rsidRDefault="002E0BEA" w:rsidP="002E0BEA">
      <w:pPr>
        <w:pStyle w:val="PlainText"/>
        <w:spacing w:line="360" w:lineRule="auto"/>
        <w:jc w:val="center"/>
        <w:rPr>
          <w:rFonts w:ascii="Arial Black" w:hAnsi="Arial Black" w:cs="Arial"/>
          <w:b/>
          <w:sz w:val="28"/>
          <w:szCs w:val="28"/>
          <w:u w:val="single"/>
        </w:rPr>
      </w:pPr>
      <w:r w:rsidRPr="002E0BEA">
        <w:rPr>
          <w:rFonts w:ascii="Arial Black" w:hAnsi="Arial Black" w:cs="Arial"/>
          <w:b/>
          <w:sz w:val="28"/>
          <w:szCs w:val="28"/>
          <w:u w:val="single"/>
        </w:rPr>
        <w:t>SUBMISSION TO THE AUSTRALIAN LAW REFORM COMMISSION REVIEW OF THE FMAILY LAW SYSTEM ISSUES PAPER</w:t>
      </w:r>
    </w:p>
    <w:p w14:paraId="27404C6D" w14:textId="68C0A692" w:rsidR="002E0BEA" w:rsidRDefault="002E0BEA" w:rsidP="007514DC">
      <w:pPr>
        <w:pStyle w:val="PlainText"/>
        <w:spacing w:line="360" w:lineRule="auto"/>
        <w:rPr>
          <w:rFonts w:ascii="Arial Black" w:hAnsi="Arial Black" w:cs="Arial"/>
          <w:b/>
          <w:u w:val="single"/>
        </w:rPr>
      </w:pPr>
    </w:p>
    <w:p w14:paraId="41C318FD" w14:textId="310EE244" w:rsidR="002E0BEA" w:rsidRPr="002E0BEA" w:rsidRDefault="002E0BEA" w:rsidP="007514DC">
      <w:pPr>
        <w:pStyle w:val="PlainText"/>
        <w:spacing w:line="360" w:lineRule="auto"/>
        <w:rPr>
          <w:rFonts w:ascii="Arial Black" w:hAnsi="Arial Black" w:cs="Arial"/>
          <w:b/>
        </w:rPr>
      </w:pPr>
      <w:r w:rsidRPr="002E0BEA">
        <w:rPr>
          <w:rFonts w:ascii="Arial Black" w:hAnsi="Arial Black" w:cs="Arial"/>
          <w:b/>
        </w:rPr>
        <w:t xml:space="preserve">By Neil Jackson, Barrister </w:t>
      </w:r>
    </w:p>
    <w:p w14:paraId="75080FD9" w14:textId="77777777" w:rsidR="002E0BEA" w:rsidRDefault="002E0BEA" w:rsidP="007514DC">
      <w:pPr>
        <w:pStyle w:val="PlainText"/>
        <w:spacing w:line="360" w:lineRule="auto"/>
        <w:rPr>
          <w:rFonts w:ascii="Arial Black" w:hAnsi="Arial Black" w:cs="Arial"/>
          <w:b/>
          <w:u w:val="single"/>
        </w:rPr>
      </w:pPr>
    </w:p>
    <w:p w14:paraId="3D1FF3D5" w14:textId="77777777" w:rsidR="002E0BEA" w:rsidRDefault="002E0BEA" w:rsidP="007514DC">
      <w:pPr>
        <w:pStyle w:val="PlainText"/>
        <w:spacing w:line="360" w:lineRule="auto"/>
        <w:rPr>
          <w:rFonts w:ascii="Arial Black" w:hAnsi="Arial Black" w:cs="Arial"/>
          <w:b/>
          <w:u w:val="single"/>
        </w:rPr>
      </w:pPr>
    </w:p>
    <w:p w14:paraId="319DB772" w14:textId="6689521C" w:rsidR="00987CCD" w:rsidRPr="00987CCD" w:rsidRDefault="00987CCD" w:rsidP="007514DC">
      <w:pPr>
        <w:pStyle w:val="PlainText"/>
        <w:spacing w:line="360" w:lineRule="auto"/>
        <w:rPr>
          <w:rFonts w:ascii="Arial Black" w:hAnsi="Arial Black" w:cs="Arial"/>
          <w:b/>
          <w:u w:val="single"/>
        </w:rPr>
      </w:pPr>
      <w:r w:rsidRPr="00987CCD">
        <w:rPr>
          <w:rFonts w:ascii="Arial Black" w:hAnsi="Arial Black" w:cs="Arial"/>
          <w:b/>
          <w:u w:val="single"/>
        </w:rPr>
        <w:t>Question 20:  What changes to Court processes could be made to facilitate and cost-effective resolution of Family Law disputes?</w:t>
      </w:r>
    </w:p>
    <w:p w14:paraId="35DC94CD" w14:textId="77777777" w:rsidR="00987CCD" w:rsidRDefault="00987CCD" w:rsidP="007514DC">
      <w:pPr>
        <w:pStyle w:val="PlainText"/>
        <w:spacing w:line="360" w:lineRule="auto"/>
        <w:rPr>
          <w:rFonts w:ascii="Arial" w:hAnsi="Arial" w:cs="Arial"/>
          <w:b/>
          <w:u w:val="single"/>
        </w:rPr>
      </w:pPr>
    </w:p>
    <w:p w14:paraId="1CCEAFAE" w14:textId="064C3D69" w:rsidR="007514DC" w:rsidRPr="001D006C" w:rsidRDefault="007514DC" w:rsidP="007514DC">
      <w:pPr>
        <w:pStyle w:val="PlainText"/>
        <w:spacing w:line="360" w:lineRule="auto"/>
        <w:rPr>
          <w:rFonts w:ascii="Arial" w:hAnsi="Arial" w:cs="Arial"/>
          <w:b/>
          <w:u w:val="single"/>
        </w:rPr>
      </w:pPr>
      <w:r w:rsidRPr="001D006C">
        <w:rPr>
          <w:rFonts w:ascii="Arial" w:hAnsi="Arial" w:cs="Arial"/>
          <w:b/>
          <w:u w:val="single"/>
        </w:rPr>
        <w:t>*Senior Registrars greater role, and more of them.</w:t>
      </w:r>
    </w:p>
    <w:p w14:paraId="40367316" w14:textId="77777777" w:rsidR="007514DC" w:rsidRPr="007514DC" w:rsidRDefault="007514DC" w:rsidP="007514DC">
      <w:pPr>
        <w:pStyle w:val="PlainText"/>
        <w:spacing w:line="360" w:lineRule="auto"/>
        <w:rPr>
          <w:rFonts w:ascii="Arial" w:hAnsi="Arial" w:cs="Arial"/>
        </w:rPr>
      </w:pPr>
      <w:r w:rsidRPr="007514DC">
        <w:rPr>
          <w:rFonts w:ascii="Arial" w:hAnsi="Arial" w:cs="Arial"/>
        </w:rPr>
        <w:t>For a period from the late 1990’s and the early 2000’s, the Family Court of Australia was greatly assisted by Senior Registrars. These officers of the Court were responsible for determining disputes involving interlocutory related matters such an interim parenting matters, injunctions, and spousal maintenance applications.</w:t>
      </w:r>
    </w:p>
    <w:p w14:paraId="03E9FAC6" w14:textId="77777777" w:rsidR="007514DC" w:rsidRPr="007514DC" w:rsidRDefault="007514DC" w:rsidP="007514DC">
      <w:pPr>
        <w:pStyle w:val="PlainText"/>
        <w:spacing w:line="360" w:lineRule="auto"/>
        <w:rPr>
          <w:rFonts w:ascii="Arial" w:hAnsi="Arial" w:cs="Arial"/>
        </w:rPr>
      </w:pPr>
    </w:p>
    <w:p w14:paraId="424620FF" w14:textId="77777777" w:rsidR="007514DC" w:rsidRPr="007514DC" w:rsidRDefault="007514DC" w:rsidP="007514DC">
      <w:pPr>
        <w:pStyle w:val="PlainText"/>
        <w:spacing w:line="360" w:lineRule="auto"/>
        <w:rPr>
          <w:rFonts w:ascii="Arial" w:hAnsi="Arial" w:cs="Arial"/>
        </w:rPr>
      </w:pPr>
      <w:r w:rsidRPr="007514DC">
        <w:rPr>
          <w:rFonts w:ascii="Arial" w:hAnsi="Arial" w:cs="Arial"/>
        </w:rPr>
        <w:t>It is submitted that their assistance to the Court during this past period of two decades ago greatly aided in ensuring that Judges were responsible almost exclusively to determine final hearings or trial. This in turn I suggest ensured that the listing period between the filing of Applications and the final trial was considerably shorter than it presently is.</w:t>
      </w:r>
    </w:p>
    <w:p w14:paraId="176CB0C7" w14:textId="77777777" w:rsidR="007514DC" w:rsidRPr="007514DC" w:rsidRDefault="007514DC" w:rsidP="007514DC">
      <w:pPr>
        <w:pStyle w:val="PlainText"/>
        <w:spacing w:line="360" w:lineRule="auto"/>
        <w:rPr>
          <w:rFonts w:ascii="Arial" w:hAnsi="Arial" w:cs="Arial"/>
        </w:rPr>
      </w:pPr>
    </w:p>
    <w:p w14:paraId="3FC6897A" w14:textId="77777777" w:rsidR="007514DC" w:rsidRPr="007514DC" w:rsidRDefault="007514DC" w:rsidP="007514DC">
      <w:pPr>
        <w:pStyle w:val="PlainText"/>
        <w:spacing w:line="360" w:lineRule="auto"/>
        <w:rPr>
          <w:rFonts w:ascii="Arial" w:hAnsi="Arial" w:cs="Arial"/>
        </w:rPr>
      </w:pPr>
      <w:r w:rsidRPr="007514DC">
        <w:rPr>
          <w:rFonts w:ascii="Arial" w:hAnsi="Arial" w:cs="Arial"/>
        </w:rPr>
        <w:t>In my recent years the Family Court of Australia in the Sydney registry has had the assistance of one single Senior Registrar. There are no other Senior Registrars in New South Wales. Further there are none appointed to the Federal Circuit Court, apparently throughout the Commonwealth.</w:t>
      </w:r>
    </w:p>
    <w:p w14:paraId="3E94D63A" w14:textId="77777777" w:rsidR="007514DC" w:rsidRPr="007514DC" w:rsidRDefault="007514DC" w:rsidP="007514DC">
      <w:pPr>
        <w:pStyle w:val="PlainText"/>
        <w:spacing w:line="360" w:lineRule="auto"/>
        <w:rPr>
          <w:rFonts w:ascii="Arial" w:hAnsi="Arial" w:cs="Arial"/>
        </w:rPr>
      </w:pPr>
    </w:p>
    <w:p w14:paraId="6EEB3ECB" w14:textId="01896CB8" w:rsidR="007514DC" w:rsidRPr="007514DC" w:rsidRDefault="007514DC" w:rsidP="007514DC">
      <w:pPr>
        <w:pStyle w:val="PlainText"/>
        <w:spacing w:line="360" w:lineRule="auto"/>
        <w:rPr>
          <w:rFonts w:ascii="Arial" w:hAnsi="Arial" w:cs="Arial"/>
        </w:rPr>
      </w:pPr>
      <w:r w:rsidRPr="007514DC">
        <w:rPr>
          <w:rFonts w:ascii="Arial" w:hAnsi="Arial" w:cs="Arial"/>
        </w:rPr>
        <w:t xml:space="preserve">It is submitted that the Family Law Court system would greatly be aided by the appointment of several Senior </w:t>
      </w:r>
      <w:r w:rsidR="00CD5DE0" w:rsidRPr="007514DC">
        <w:rPr>
          <w:rFonts w:ascii="Arial" w:hAnsi="Arial" w:cs="Arial"/>
        </w:rPr>
        <w:t>Registrars</w:t>
      </w:r>
      <w:r w:rsidRPr="007514DC">
        <w:rPr>
          <w:rFonts w:ascii="Arial" w:hAnsi="Arial" w:cs="Arial"/>
        </w:rPr>
        <w:t xml:space="preserve">, with </w:t>
      </w:r>
      <w:r w:rsidR="00CD5DE0" w:rsidRPr="007514DC">
        <w:rPr>
          <w:rFonts w:ascii="Arial" w:hAnsi="Arial" w:cs="Arial"/>
        </w:rPr>
        <w:t>responsibilities</w:t>
      </w:r>
      <w:r w:rsidRPr="007514DC">
        <w:rPr>
          <w:rFonts w:ascii="Arial" w:hAnsi="Arial" w:cs="Arial"/>
        </w:rPr>
        <w:t xml:space="preserve"> akin to what they had more than 15 years ago. Such appointments should be considered </w:t>
      </w:r>
      <w:r w:rsidR="00CD5DE0" w:rsidRPr="007514DC">
        <w:rPr>
          <w:rFonts w:ascii="Arial" w:hAnsi="Arial" w:cs="Arial"/>
        </w:rPr>
        <w:t>whether</w:t>
      </w:r>
      <w:r w:rsidRPr="007514DC">
        <w:rPr>
          <w:rFonts w:ascii="Arial" w:hAnsi="Arial" w:cs="Arial"/>
        </w:rPr>
        <w:t xml:space="preserve"> or not the Family Court and the </w:t>
      </w:r>
      <w:r w:rsidR="00CD5DE0" w:rsidRPr="007514DC">
        <w:rPr>
          <w:rFonts w:ascii="Arial" w:hAnsi="Arial" w:cs="Arial"/>
        </w:rPr>
        <w:t>Federal</w:t>
      </w:r>
      <w:r w:rsidRPr="007514DC">
        <w:rPr>
          <w:rFonts w:ascii="Arial" w:hAnsi="Arial" w:cs="Arial"/>
        </w:rPr>
        <w:t xml:space="preserve"> </w:t>
      </w:r>
      <w:r w:rsidRPr="007514DC">
        <w:rPr>
          <w:rFonts w:ascii="Arial" w:hAnsi="Arial" w:cs="Arial"/>
        </w:rPr>
        <w:lastRenderedPageBreak/>
        <w:t>Circuit Court are to merge</w:t>
      </w:r>
      <w:r w:rsidR="002E0BEA">
        <w:rPr>
          <w:rFonts w:ascii="Arial" w:hAnsi="Arial" w:cs="Arial"/>
        </w:rPr>
        <w:t>.</w:t>
      </w:r>
      <w:r w:rsidRPr="007514DC">
        <w:rPr>
          <w:rFonts w:ascii="Arial" w:hAnsi="Arial" w:cs="Arial"/>
        </w:rPr>
        <w:t xml:space="preserve"> If a merge</w:t>
      </w:r>
      <w:r w:rsidR="00CD5DE0">
        <w:rPr>
          <w:rFonts w:ascii="Arial" w:hAnsi="Arial" w:cs="Arial"/>
        </w:rPr>
        <w:t xml:space="preserve">r </w:t>
      </w:r>
      <w:r w:rsidRPr="007514DC">
        <w:rPr>
          <w:rFonts w:ascii="Arial" w:hAnsi="Arial" w:cs="Arial"/>
        </w:rPr>
        <w:t>does not occur, such appointments should be considered for both existing Courts in their present form.</w:t>
      </w:r>
    </w:p>
    <w:p w14:paraId="188B44A7" w14:textId="77777777" w:rsidR="007514DC" w:rsidRPr="007514DC" w:rsidRDefault="007514DC" w:rsidP="007514DC">
      <w:pPr>
        <w:pStyle w:val="PlainText"/>
        <w:spacing w:line="360" w:lineRule="auto"/>
        <w:rPr>
          <w:rFonts w:ascii="Arial" w:hAnsi="Arial" w:cs="Arial"/>
        </w:rPr>
      </w:pPr>
    </w:p>
    <w:p w14:paraId="31D56B26" w14:textId="77777777" w:rsidR="007514DC" w:rsidRPr="001D006C" w:rsidRDefault="007514DC" w:rsidP="007514DC">
      <w:pPr>
        <w:pStyle w:val="PlainText"/>
        <w:spacing w:line="360" w:lineRule="auto"/>
        <w:rPr>
          <w:rFonts w:ascii="Arial" w:hAnsi="Arial" w:cs="Arial"/>
          <w:b/>
          <w:u w:val="single"/>
        </w:rPr>
      </w:pPr>
      <w:r w:rsidRPr="001D006C">
        <w:rPr>
          <w:rFonts w:ascii="Arial" w:hAnsi="Arial" w:cs="Arial"/>
          <w:u w:val="single"/>
        </w:rPr>
        <w:t>*</w:t>
      </w:r>
      <w:r w:rsidRPr="001D006C">
        <w:rPr>
          <w:rFonts w:ascii="Arial" w:hAnsi="Arial" w:cs="Arial"/>
          <w:b/>
          <w:u w:val="single"/>
        </w:rPr>
        <w:t>Arbitrators re interim hearings</w:t>
      </w:r>
    </w:p>
    <w:p w14:paraId="49E15A8C" w14:textId="39FFAE29" w:rsidR="00CD5DE0" w:rsidRPr="00CD5DE0" w:rsidRDefault="00CD5DE0" w:rsidP="007514DC">
      <w:pPr>
        <w:pStyle w:val="PlainText"/>
        <w:spacing w:line="360" w:lineRule="auto"/>
        <w:rPr>
          <w:rFonts w:ascii="Arial" w:hAnsi="Arial" w:cs="Arial"/>
          <w:szCs w:val="22"/>
        </w:rPr>
      </w:pPr>
      <w:r w:rsidRPr="00CD5DE0">
        <w:rPr>
          <w:rFonts w:ascii="Arial" w:hAnsi="Arial" w:cs="Arial"/>
          <w:szCs w:val="22"/>
        </w:rPr>
        <w:t xml:space="preserve">Arbitration has been possible in property cases under the under the </w:t>
      </w:r>
      <w:r w:rsidRPr="002E0BEA">
        <w:rPr>
          <w:rFonts w:ascii="Arial" w:hAnsi="Arial" w:cs="Arial"/>
          <w:i/>
          <w:szCs w:val="22"/>
        </w:rPr>
        <w:t>Family Law Act</w:t>
      </w:r>
      <w:r w:rsidRPr="00CD5DE0">
        <w:rPr>
          <w:rFonts w:ascii="Arial" w:hAnsi="Arial" w:cs="Arial"/>
          <w:szCs w:val="22"/>
        </w:rPr>
        <w:t xml:space="preserve"> for </w:t>
      </w:r>
      <w:r w:rsidR="002E0BEA">
        <w:rPr>
          <w:rFonts w:ascii="Arial" w:hAnsi="Arial" w:cs="Arial"/>
          <w:szCs w:val="22"/>
        </w:rPr>
        <w:t xml:space="preserve">over </w:t>
      </w:r>
      <w:r w:rsidRPr="00CD5DE0">
        <w:rPr>
          <w:rFonts w:ascii="Arial" w:hAnsi="Arial" w:cs="Arial"/>
          <w:szCs w:val="22"/>
        </w:rPr>
        <w:t>25 years</w:t>
      </w:r>
      <w:r w:rsidR="002E0BEA">
        <w:rPr>
          <w:rFonts w:ascii="Arial" w:hAnsi="Arial" w:cs="Arial"/>
          <w:szCs w:val="22"/>
        </w:rPr>
        <w:t>. B</w:t>
      </w:r>
      <w:r w:rsidRPr="00CD5DE0">
        <w:rPr>
          <w:rFonts w:ascii="Arial" w:hAnsi="Arial" w:cs="Arial"/>
          <w:szCs w:val="22"/>
        </w:rPr>
        <w:t xml:space="preserve">ut it is only since new rules were introduced from April 1 2016 that all the elements have been put in place to provide a comprehensive system. These Rules are the </w:t>
      </w:r>
      <w:r w:rsidRPr="00CD5DE0">
        <w:rPr>
          <w:rFonts w:ascii="Arial" w:hAnsi="Arial" w:cs="Arial"/>
          <w:szCs w:val="22"/>
          <w:u w:val="single"/>
        </w:rPr>
        <w:t>Family Law Amendment (Arbitration and Other Measures) Rules</w:t>
      </w:r>
      <w:r w:rsidRPr="00CD5DE0">
        <w:rPr>
          <w:rFonts w:ascii="Arial" w:hAnsi="Arial" w:cs="Arial"/>
          <w:szCs w:val="22"/>
        </w:rPr>
        <w:t xml:space="preserve"> 2015 and amend the Family Law Rules 2004 to insert a new Chapter 26B on arbitration</w:t>
      </w:r>
    </w:p>
    <w:p w14:paraId="4CD942AF" w14:textId="77777777" w:rsidR="00CD5DE0" w:rsidRDefault="00CD5DE0" w:rsidP="007514DC">
      <w:pPr>
        <w:pStyle w:val="PlainText"/>
        <w:spacing w:line="360" w:lineRule="auto"/>
        <w:rPr>
          <w:rFonts w:ascii="Arial" w:hAnsi="Arial" w:cs="Arial"/>
        </w:rPr>
      </w:pPr>
    </w:p>
    <w:p w14:paraId="637C5849" w14:textId="3BB37A31" w:rsidR="007514DC" w:rsidRPr="007514DC" w:rsidRDefault="00CD5DE0" w:rsidP="007514DC">
      <w:pPr>
        <w:pStyle w:val="PlainText"/>
        <w:spacing w:line="360" w:lineRule="auto"/>
        <w:rPr>
          <w:rFonts w:ascii="Arial" w:hAnsi="Arial" w:cs="Arial"/>
        </w:rPr>
      </w:pPr>
      <w:r>
        <w:rPr>
          <w:rFonts w:ascii="Arial" w:hAnsi="Arial" w:cs="Arial"/>
        </w:rPr>
        <w:t>A</w:t>
      </w:r>
      <w:r w:rsidR="007514DC" w:rsidRPr="007514DC">
        <w:rPr>
          <w:rFonts w:ascii="Arial" w:hAnsi="Arial" w:cs="Arial"/>
        </w:rPr>
        <w:t xml:space="preserve">s a </w:t>
      </w:r>
      <w:r w:rsidRPr="007514DC">
        <w:rPr>
          <w:rFonts w:ascii="Arial" w:hAnsi="Arial" w:cs="Arial"/>
        </w:rPr>
        <w:t>long-standing</w:t>
      </w:r>
      <w:r w:rsidR="007514DC" w:rsidRPr="007514DC">
        <w:rPr>
          <w:rFonts w:ascii="Arial" w:hAnsi="Arial" w:cs="Arial"/>
        </w:rPr>
        <w:t xml:space="preserve"> </w:t>
      </w:r>
      <w:r w:rsidR="002E0BEA">
        <w:rPr>
          <w:rFonts w:ascii="Arial" w:hAnsi="Arial" w:cs="Arial"/>
        </w:rPr>
        <w:t xml:space="preserve">Sydney based </w:t>
      </w:r>
      <w:r w:rsidR="007514DC" w:rsidRPr="007514DC">
        <w:rPr>
          <w:rFonts w:ascii="Arial" w:hAnsi="Arial" w:cs="Arial"/>
        </w:rPr>
        <w:t xml:space="preserve">family law practitioner, it appears that only in 2018 has the Federal Circuit Court </w:t>
      </w:r>
      <w:r w:rsidR="002E0BEA">
        <w:rPr>
          <w:rFonts w:ascii="Arial" w:hAnsi="Arial" w:cs="Arial"/>
        </w:rPr>
        <w:t xml:space="preserve">in the Sydney Registry </w:t>
      </w:r>
      <w:r w:rsidR="007514DC" w:rsidRPr="007514DC">
        <w:rPr>
          <w:rFonts w:ascii="Arial" w:hAnsi="Arial" w:cs="Arial"/>
        </w:rPr>
        <w:t>referred matters to Arbitration. That appears to have been a very beneficial policy for the community. Herein parties are able to have their disputes determined on a final basis considerably quicker than having to wait many years in the Court lists.</w:t>
      </w:r>
    </w:p>
    <w:p w14:paraId="3453CD4D" w14:textId="77777777" w:rsidR="007514DC" w:rsidRPr="007514DC" w:rsidRDefault="007514DC" w:rsidP="007514DC">
      <w:pPr>
        <w:pStyle w:val="PlainText"/>
        <w:spacing w:line="360" w:lineRule="auto"/>
        <w:rPr>
          <w:rFonts w:ascii="Arial" w:hAnsi="Arial" w:cs="Arial"/>
        </w:rPr>
      </w:pPr>
    </w:p>
    <w:p w14:paraId="0DF7C237" w14:textId="6375B1B4" w:rsidR="007514DC" w:rsidRPr="007514DC" w:rsidRDefault="007514DC" w:rsidP="007514DC">
      <w:pPr>
        <w:pStyle w:val="PlainText"/>
        <w:spacing w:line="360" w:lineRule="auto"/>
        <w:rPr>
          <w:rFonts w:ascii="Arial" w:hAnsi="Arial" w:cs="Arial"/>
        </w:rPr>
      </w:pPr>
      <w:r w:rsidRPr="007514DC">
        <w:rPr>
          <w:rFonts w:ascii="Arial" w:hAnsi="Arial" w:cs="Arial"/>
        </w:rPr>
        <w:t xml:space="preserve">I have observed that delays in the Court are often created by parties engaging in multiple interlocutory or interim disputes. These disputes require the involvement of busy Federal Circuit Judges, thereby further delaying the listing of final hearings or trials. In essence, their dockets become increasing difficult to manage. Considerable delays become </w:t>
      </w:r>
      <w:r w:rsidR="00CD5DE0" w:rsidRPr="007514DC">
        <w:rPr>
          <w:rFonts w:ascii="Arial" w:hAnsi="Arial" w:cs="Arial"/>
        </w:rPr>
        <w:t>inevitable</w:t>
      </w:r>
      <w:r w:rsidRPr="007514DC">
        <w:rPr>
          <w:rFonts w:ascii="Arial" w:hAnsi="Arial" w:cs="Arial"/>
        </w:rPr>
        <w:t>.</w:t>
      </w:r>
    </w:p>
    <w:p w14:paraId="74E27724" w14:textId="77777777" w:rsidR="007514DC" w:rsidRPr="007514DC" w:rsidRDefault="007514DC" w:rsidP="007514DC">
      <w:pPr>
        <w:pStyle w:val="PlainText"/>
        <w:spacing w:line="360" w:lineRule="auto"/>
        <w:rPr>
          <w:rFonts w:ascii="Arial" w:hAnsi="Arial" w:cs="Arial"/>
        </w:rPr>
      </w:pPr>
    </w:p>
    <w:p w14:paraId="2F01A501" w14:textId="77777777" w:rsidR="007514DC" w:rsidRPr="007514DC" w:rsidRDefault="007514DC" w:rsidP="007514DC">
      <w:pPr>
        <w:pStyle w:val="PlainText"/>
        <w:spacing w:line="360" w:lineRule="auto"/>
        <w:rPr>
          <w:rFonts w:ascii="Arial" w:hAnsi="Arial" w:cs="Arial"/>
        </w:rPr>
      </w:pPr>
      <w:r w:rsidRPr="007514DC">
        <w:rPr>
          <w:rFonts w:ascii="Arial" w:hAnsi="Arial" w:cs="Arial"/>
        </w:rPr>
        <w:t>It is submitted that it is highly likely that if the Family Law Arbitration process were to extend to the hearings of interlocutory or interim disputes, this would greatly ease the judicial workload of judges, thereby greatly shortening the time parties’ disputes relating to final or substantive trials were listed.</w:t>
      </w:r>
    </w:p>
    <w:p w14:paraId="6D23D3D4" w14:textId="77777777" w:rsidR="007514DC" w:rsidRPr="007514DC" w:rsidRDefault="007514DC" w:rsidP="007514DC">
      <w:pPr>
        <w:pStyle w:val="PlainText"/>
        <w:spacing w:line="360" w:lineRule="auto"/>
        <w:rPr>
          <w:rFonts w:ascii="Arial" w:hAnsi="Arial" w:cs="Arial"/>
        </w:rPr>
      </w:pPr>
    </w:p>
    <w:p w14:paraId="75EFBB9F" w14:textId="77777777" w:rsidR="001D006C" w:rsidRPr="00987CCD" w:rsidRDefault="001D006C" w:rsidP="001D006C">
      <w:pPr>
        <w:pStyle w:val="PlainText"/>
        <w:spacing w:line="360" w:lineRule="auto"/>
        <w:rPr>
          <w:rFonts w:ascii="Arial Black" w:hAnsi="Arial Black"/>
          <w:b/>
          <w:u w:val="single"/>
        </w:rPr>
      </w:pPr>
    </w:p>
    <w:p w14:paraId="2118EA47" w14:textId="0CB357A6" w:rsidR="00987CCD" w:rsidRPr="00987CCD" w:rsidRDefault="00987CCD" w:rsidP="001D006C">
      <w:pPr>
        <w:pStyle w:val="PlainText"/>
        <w:spacing w:line="360" w:lineRule="auto"/>
        <w:rPr>
          <w:rFonts w:ascii="Arial Black" w:hAnsi="Arial Black"/>
          <w:b/>
          <w:u w:val="single"/>
        </w:rPr>
      </w:pPr>
      <w:r w:rsidRPr="00987CCD">
        <w:rPr>
          <w:rFonts w:ascii="Arial Black" w:hAnsi="Arial Black"/>
          <w:b/>
          <w:u w:val="single"/>
        </w:rPr>
        <w:t xml:space="preserve">Question 14: What changes to the provisions of the Family Law Act could be made to produce the best outcome for children  </w:t>
      </w:r>
    </w:p>
    <w:p w14:paraId="63823E92" w14:textId="77777777" w:rsidR="00987CCD" w:rsidRDefault="00987CCD" w:rsidP="001D006C">
      <w:pPr>
        <w:pStyle w:val="PlainText"/>
        <w:spacing w:line="360" w:lineRule="auto"/>
        <w:rPr>
          <w:u w:val="single"/>
        </w:rPr>
      </w:pPr>
    </w:p>
    <w:p w14:paraId="11503786" w14:textId="53E06B53" w:rsidR="001D006C" w:rsidRPr="001D006C" w:rsidRDefault="001D006C" w:rsidP="001D006C">
      <w:pPr>
        <w:pStyle w:val="PlainText"/>
        <w:spacing w:line="360" w:lineRule="auto"/>
        <w:rPr>
          <w:rFonts w:ascii="Arial" w:hAnsi="Arial" w:cs="Arial"/>
          <w:b/>
          <w:u w:val="single"/>
        </w:rPr>
      </w:pPr>
      <w:r w:rsidRPr="001D006C">
        <w:rPr>
          <w:u w:val="single"/>
        </w:rPr>
        <w:t>*</w:t>
      </w:r>
      <w:r w:rsidRPr="001D006C">
        <w:rPr>
          <w:rFonts w:ascii="Arial" w:hAnsi="Arial" w:cs="Arial"/>
          <w:b/>
          <w:u w:val="single"/>
        </w:rPr>
        <w:t xml:space="preserve">Codification </w:t>
      </w:r>
      <w:r w:rsidRPr="001D006C">
        <w:rPr>
          <w:rFonts w:ascii="Arial" w:hAnsi="Arial" w:cs="Arial"/>
          <w:b/>
          <w:i/>
          <w:u w:val="single"/>
        </w:rPr>
        <w:t xml:space="preserve">Rice and </w:t>
      </w:r>
      <w:proofErr w:type="spellStart"/>
      <w:r w:rsidRPr="001D006C">
        <w:rPr>
          <w:rFonts w:ascii="Arial" w:hAnsi="Arial" w:cs="Arial"/>
          <w:b/>
          <w:i/>
          <w:u w:val="single"/>
        </w:rPr>
        <w:t>Asplund</w:t>
      </w:r>
      <w:proofErr w:type="spellEnd"/>
    </w:p>
    <w:p w14:paraId="4D6EB79E" w14:textId="278B08D4" w:rsidR="001D006C" w:rsidRPr="007514DC" w:rsidRDefault="001D006C" w:rsidP="001D006C">
      <w:pPr>
        <w:pStyle w:val="PlainText"/>
        <w:spacing w:line="360" w:lineRule="auto"/>
        <w:rPr>
          <w:rFonts w:ascii="Arial" w:hAnsi="Arial" w:cs="Arial"/>
        </w:rPr>
      </w:pPr>
      <w:r w:rsidRPr="007514DC">
        <w:rPr>
          <w:rFonts w:ascii="Arial" w:hAnsi="Arial" w:cs="Arial"/>
        </w:rPr>
        <w:t>In 197</w:t>
      </w:r>
      <w:r>
        <w:rPr>
          <w:rFonts w:ascii="Arial" w:hAnsi="Arial" w:cs="Arial"/>
        </w:rPr>
        <w:t>9</w:t>
      </w:r>
      <w:r w:rsidRPr="007514DC">
        <w:rPr>
          <w:rFonts w:ascii="Arial" w:hAnsi="Arial" w:cs="Arial"/>
        </w:rPr>
        <w:t xml:space="preserve"> the Full Court of the Family Court </w:t>
      </w:r>
      <w:r>
        <w:rPr>
          <w:rFonts w:ascii="Arial" w:hAnsi="Arial" w:cs="Arial"/>
        </w:rPr>
        <w:t xml:space="preserve">in </w:t>
      </w:r>
      <w:r w:rsidRPr="00380F05">
        <w:rPr>
          <w:rFonts w:ascii="Arial" w:hAnsi="Arial" w:cs="Arial"/>
          <w:i/>
        </w:rPr>
        <w:t xml:space="preserve">Rice and </w:t>
      </w:r>
      <w:proofErr w:type="spellStart"/>
      <w:r w:rsidRPr="00380F05">
        <w:rPr>
          <w:rFonts w:ascii="Arial" w:hAnsi="Arial" w:cs="Arial"/>
          <w:i/>
        </w:rPr>
        <w:t>Asplund</w:t>
      </w:r>
      <w:proofErr w:type="spellEnd"/>
      <w:r>
        <w:rPr>
          <w:rFonts w:ascii="Arial" w:hAnsi="Arial" w:cs="Arial"/>
        </w:rPr>
        <w:t xml:space="preserve"> </w:t>
      </w:r>
      <w:r w:rsidRPr="00380F05">
        <w:rPr>
          <w:rFonts w:ascii="Arial" w:hAnsi="Arial" w:cs="Arial"/>
        </w:rPr>
        <w:t>(1979) FLC ¶90-72</w:t>
      </w:r>
      <w:r>
        <w:rPr>
          <w:rFonts w:ascii="Arial" w:hAnsi="Arial" w:cs="Arial"/>
        </w:rPr>
        <w:t xml:space="preserve"> </w:t>
      </w:r>
      <w:r w:rsidRPr="007514DC">
        <w:rPr>
          <w:rFonts w:ascii="Arial" w:hAnsi="Arial" w:cs="Arial"/>
        </w:rPr>
        <w:t xml:space="preserve">set what could be best described as a guild line to parties in parenting matters seeking to reagitate </w:t>
      </w:r>
      <w:r w:rsidRPr="007514DC">
        <w:rPr>
          <w:rFonts w:ascii="Arial" w:hAnsi="Arial" w:cs="Arial"/>
        </w:rPr>
        <w:lastRenderedPageBreak/>
        <w:t>proceedings in the Court system.</w:t>
      </w:r>
      <w:r>
        <w:rPr>
          <w:rFonts w:ascii="Arial" w:hAnsi="Arial" w:cs="Arial"/>
        </w:rPr>
        <w:t xml:space="preserve"> In simpl</w:t>
      </w:r>
      <w:r w:rsidR="002E0BEA">
        <w:rPr>
          <w:rFonts w:ascii="Arial" w:hAnsi="Arial" w:cs="Arial"/>
        </w:rPr>
        <w:t>e</w:t>
      </w:r>
      <w:r>
        <w:rPr>
          <w:rFonts w:ascii="Arial" w:hAnsi="Arial" w:cs="Arial"/>
        </w:rPr>
        <w:t xml:space="preserve"> terms, has there </w:t>
      </w:r>
      <w:r w:rsidRPr="00F034B3">
        <w:rPr>
          <w:rFonts w:ascii="Arial" w:hAnsi="Arial" w:cs="Arial"/>
        </w:rPr>
        <w:t xml:space="preserve">been material changes in circumstances since the making of the </w:t>
      </w:r>
      <w:r>
        <w:rPr>
          <w:rFonts w:ascii="Arial" w:hAnsi="Arial" w:cs="Arial"/>
        </w:rPr>
        <w:t xml:space="preserve">parenting </w:t>
      </w:r>
      <w:r w:rsidRPr="00F034B3">
        <w:rPr>
          <w:rFonts w:ascii="Arial" w:hAnsi="Arial" w:cs="Arial"/>
        </w:rPr>
        <w:t>orders sufficient to warrant this court's considering afresh where these children's long-term interests lie</w:t>
      </w:r>
      <w:r w:rsidR="002E0BEA">
        <w:rPr>
          <w:rFonts w:ascii="Arial" w:hAnsi="Arial" w:cs="Arial"/>
        </w:rPr>
        <w:t>?</w:t>
      </w:r>
    </w:p>
    <w:p w14:paraId="2B86FB1F" w14:textId="77777777" w:rsidR="001D006C" w:rsidRPr="007514DC" w:rsidRDefault="001D006C" w:rsidP="001D006C">
      <w:pPr>
        <w:pStyle w:val="PlainText"/>
        <w:spacing w:line="360" w:lineRule="auto"/>
        <w:rPr>
          <w:rFonts w:ascii="Arial" w:hAnsi="Arial" w:cs="Arial"/>
        </w:rPr>
      </w:pPr>
    </w:p>
    <w:p w14:paraId="745C9C1D" w14:textId="1BDE72C7" w:rsidR="001D006C" w:rsidRDefault="001D006C" w:rsidP="001D006C">
      <w:pPr>
        <w:pStyle w:val="PlainText"/>
        <w:spacing w:line="360" w:lineRule="auto"/>
        <w:rPr>
          <w:rFonts w:ascii="Arial" w:hAnsi="Arial" w:cs="Arial"/>
        </w:rPr>
      </w:pPr>
      <w:r w:rsidRPr="007514DC">
        <w:rPr>
          <w:rFonts w:ascii="Arial" w:hAnsi="Arial" w:cs="Arial"/>
        </w:rPr>
        <w:t>The jurisprudence that have developed since 197</w:t>
      </w:r>
      <w:r>
        <w:rPr>
          <w:rFonts w:ascii="Arial" w:hAnsi="Arial" w:cs="Arial"/>
        </w:rPr>
        <w:t>9</w:t>
      </w:r>
      <w:r w:rsidRPr="007514DC">
        <w:rPr>
          <w:rFonts w:ascii="Arial" w:hAnsi="Arial" w:cs="Arial"/>
        </w:rPr>
        <w:t xml:space="preserve">, particularly since the 2006 Amendments to the </w:t>
      </w:r>
      <w:r w:rsidRPr="00F034B3">
        <w:rPr>
          <w:rFonts w:ascii="Arial" w:hAnsi="Arial" w:cs="Arial"/>
          <w:i/>
        </w:rPr>
        <w:t>Family Law Act</w:t>
      </w:r>
      <w:r w:rsidRPr="007514DC">
        <w:rPr>
          <w:rFonts w:ascii="Arial" w:hAnsi="Arial" w:cs="Arial"/>
        </w:rPr>
        <w:t xml:space="preserve">, </w:t>
      </w:r>
      <w:r w:rsidRPr="00380F05">
        <w:rPr>
          <w:rFonts w:ascii="Arial" w:hAnsi="Arial" w:cs="Arial"/>
          <w:i/>
        </w:rPr>
        <w:t>(Family Law Amendment (Shared Parental Responsibility) Act</w:t>
      </w:r>
      <w:r>
        <w:rPr>
          <w:rFonts w:ascii="Arial" w:hAnsi="Arial" w:cs="Arial"/>
        </w:rPr>
        <w:t xml:space="preserve"> 2006)</w:t>
      </w:r>
      <w:r w:rsidR="002E0BEA">
        <w:rPr>
          <w:rFonts w:ascii="Arial" w:hAnsi="Arial" w:cs="Arial"/>
        </w:rPr>
        <w:t>,</w:t>
      </w:r>
      <w:r>
        <w:rPr>
          <w:rFonts w:ascii="Arial" w:hAnsi="Arial" w:cs="Arial"/>
        </w:rPr>
        <w:t xml:space="preserve"> </w:t>
      </w:r>
      <w:r w:rsidRPr="007514DC">
        <w:rPr>
          <w:rFonts w:ascii="Arial" w:hAnsi="Arial" w:cs="Arial"/>
        </w:rPr>
        <w:t>have led to a confused and unclear interpretation of what is the required threshold for a party to seek to vary an existing final parenting order.</w:t>
      </w:r>
    </w:p>
    <w:p w14:paraId="1FDE0C28" w14:textId="77777777" w:rsidR="001D006C" w:rsidRDefault="001D006C" w:rsidP="001D006C">
      <w:pPr>
        <w:pStyle w:val="PlainText"/>
        <w:spacing w:line="360" w:lineRule="auto"/>
        <w:rPr>
          <w:rFonts w:ascii="Arial" w:hAnsi="Arial" w:cs="Arial"/>
        </w:rPr>
      </w:pPr>
    </w:p>
    <w:p w14:paraId="24852BAE" w14:textId="0E3396D4" w:rsidR="001D006C" w:rsidRDefault="001D006C" w:rsidP="001D006C">
      <w:pPr>
        <w:pStyle w:val="PlainText"/>
        <w:spacing w:line="360" w:lineRule="auto"/>
        <w:rPr>
          <w:rFonts w:ascii="Arial" w:hAnsi="Arial" w:cs="Arial"/>
        </w:rPr>
      </w:pPr>
      <w:r>
        <w:rPr>
          <w:rFonts w:ascii="Arial" w:hAnsi="Arial" w:cs="Arial"/>
        </w:rPr>
        <w:t xml:space="preserve">In </w:t>
      </w:r>
      <w:r w:rsidRPr="00380F05">
        <w:rPr>
          <w:rFonts w:ascii="Arial" w:hAnsi="Arial" w:cs="Arial"/>
          <w:i/>
        </w:rPr>
        <w:t>SPS and PLS</w:t>
      </w:r>
      <w:r w:rsidRPr="00380F05">
        <w:rPr>
          <w:rFonts w:ascii="Arial" w:hAnsi="Arial" w:cs="Arial"/>
        </w:rPr>
        <w:t xml:space="preserve"> (2008) FLC ¶93-363</w:t>
      </w:r>
      <w:r>
        <w:rPr>
          <w:rFonts w:ascii="Arial" w:hAnsi="Arial" w:cs="Arial"/>
        </w:rPr>
        <w:t xml:space="preserve"> there was an e</w:t>
      </w:r>
      <w:r w:rsidRPr="00380F05">
        <w:rPr>
          <w:rFonts w:ascii="Arial" w:hAnsi="Arial" w:cs="Arial"/>
        </w:rPr>
        <w:t xml:space="preserve">xtensive consideration of the rule in </w:t>
      </w:r>
      <w:r w:rsidRPr="00380F05">
        <w:rPr>
          <w:rFonts w:ascii="Arial" w:hAnsi="Arial" w:cs="Arial"/>
          <w:i/>
        </w:rPr>
        <w:t xml:space="preserve">Rice and </w:t>
      </w:r>
      <w:proofErr w:type="spellStart"/>
      <w:r w:rsidRPr="00380F05">
        <w:rPr>
          <w:rFonts w:ascii="Arial" w:hAnsi="Arial" w:cs="Arial"/>
          <w:i/>
        </w:rPr>
        <w:t>Asplund</w:t>
      </w:r>
      <w:proofErr w:type="spellEnd"/>
      <w:r w:rsidRPr="00380F05">
        <w:rPr>
          <w:rFonts w:ascii="Arial" w:hAnsi="Arial" w:cs="Arial"/>
        </w:rPr>
        <w:t xml:space="preserve"> required. </w:t>
      </w:r>
      <w:r>
        <w:rPr>
          <w:rFonts w:ascii="Arial" w:hAnsi="Arial" w:cs="Arial"/>
        </w:rPr>
        <w:t xml:space="preserve">The Full Court </w:t>
      </w:r>
      <w:r w:rsidRPr="00380F05">
        <w:rPr>
          <w:rFonts w:ascii="Arial" w:hAnsi="Arial" w:cs="Arial"/>
        </w:rPr>
        <w:t xml:space="preserve">concluded that a more extensive and subtle consideration of the </w:t>
      </w:r>
      <w:r w:rsidRPr="00380F05">
        <w:rPr>
          <w:rFonts w:ascii="Arial" w:hAnsi="Arial" w:cs="Arial"/>
          <w:i/>
        </w:rPr>
        <w:t xml:space="preserve">Rice and </w:t>
      </w:r>
      <w:proofErr w:type="spellStart"/>
      <w:r w:rsidRPr="00380F05">
        <w:rPr>
          <w:rFonts w:ascii="Arial" w:hAnsi="Arial" w:cs="Arial"/>
          <w:i/>
        </w:rPr>
        <w:t>Asplund</w:t>
      </w:r>
      <w:proofErr w:type="spellEnd"/>
      <w:r>
        <w:rPr>
          <w:rFonts w:ascii="Arial" w:hAnsi="Arial" w:cs="Arial"/>
        </w:rPr>
        <w:t xml:space="preserve"> </w:t>
      </w:r>
      <w:r w:rsidRPr="00380F05">
        <w:rPr>
          <w:rFonts w:ascii="Arial" w:hAnsi="Arial" w:cs="Arial"/>
        </w:rPr>
        <w:t>rule in the case than was given by the federal magistrate was necessary</w:t>
      </w:r>
      <w:r w:rsidR="002E0BEA">
        <w:rPr>
          <w:rFonts w:ascii="Arial" w:hAnsi="Arial" w:cs="Arial"/>
        </w:rPr>
        <w:t xml:space="preserve">. </w:t>
      </w:r>
      <w:r w:rsidRPr="00380F05">
        <w:rPr>
          <w:rFonts w:ascii="Arial" w:hAnsi="Arial" w:cs="Arial"/>
        </w:rPr>
        <w:t>(</w:t>
      </w:r>
      <w:r w:rsidR="002E0BEA">
        <w:rPr>
          <w:rFonts w:ascii="Arial" w:hAnsi="Arial" w:cs="Arial"/>
        </w:rPr>
        <w:t>S</w:t>
      </w:r>
      <w:r w:rsidRPr="00380F05">
        <w:rPr>
          <w:rFonts w:ascii="Arial" w:hAnsi="Arial" w:cs="Arial"/>
        </w:rPr>
        <w:t xml:space="preserve">ee also </w:t>
      </w:r>
      <w:r w:rsidRPr="00380F05">
        <w:rPr>
          <w:rFonts w:ascii="Arial" w:hAnsi="Arial" w:cs="Arial"/>
          <w:i/>
        </w:rPr>
        <w:t>Barrett &amp; Plant</w:t>
      </w:r>
      <w:r w:rsidRPr="00380F05">
        <w:rPr>
          <w:rFonts w:ascii="Arial" w:hAnsi="Arial" w:cs="Arial"/>
        </w:rPr>
        <w:t xml:space="preserve"> [2009] </w:t>
      </w:r>
      <w:proofErr w:type="spellStart"/>
      <w:r w:rsidRPr="00380F05">
        <w:rPr>
          <w:rFonts w:ascii="Arial" w:hAnsi="Arial" w:cs="Arial"/>
        </w:rPr>
        <w:t>FMCAfam</w:t>
      </w:r>
      <w:proofErr w:type="spellEnd"/>
      <w:r w:rsidRPr="00380F05">
        <w:rPr>
          <w:rFonts w:ascii="Arial" w:hAnsi="Arial" w:cs="Arial"/>
        </w:rPr>
        <w:t xml:space="preserve"> 417). </w:t>
      </w:r>
    </w:p>
    <w:p w14:paraId="23E98130" w14:textId="77777777" w:rsidR="001D006C" w:rsidRPr="007514DC" w:rsidRDefault="001D006C" w:rsidP="001D006C">
      <w:pPr>
        <w:pStyle w:val="PlainText"/>
        <w:spacing w:line="360" w:lineRule="auto"/>
        <w:rPr>
          <w:rFonts w:ascii="Arial" w:hAnsi="Arial" w:cs="Arial"/>
        </w:rPr>
      </w:pPr>
    </w:p>
    <w:p w14:paraId="500DD325" w14:textId="77777777" w:rsidR="001D006C" w:rsidRDefault="001D006C" w:rsidP="001D006C">
      <w:pPr>
        <w:pStyle w:val="PlainText"/>
        <w:spacing w:line="360" w:lineRule="auto"/>
        <w:rPr>
          <w:rFonts w:ascii="Arial" w:hAnsi="Arial" w:cs="Arial"/>
        </w:rPr>
      </w:pPr>
      <w:r w:rsidRPr="00380F05">
        <w:rPr>
          <w:rFonts w:ascii="Arial" w:hAnsi="Arial" w:cs="Arial"/>
        </w:rPr>
        <w:t xml:space="preserve">The Full Court provided a detailed review and application of the rule in </w:t>
      </w:r>
      <w:r w:rsidRPr="00380F05">
        <w:rPr>
          <w:rFonts w:ascii="Arial" w:hAnsi="Arial" w:cs="Arial"/>
          <w:i/>
        </w:rPr>
        <w:t xml:space="preserve">Rice &amp; </w:t>
      </w:r>
      <w:proofErr w:type="spellStart"/>
      <w:r w:rsidRPr="00380F05">
        <w:rPr>
          <w:rFonts w:ascii="Arial" w:hAnsi="Arial" w:cs="Arial"/>
          <w:i/>
        </w:rPr>
        <w:t>Asplund</w:t>
      </w:r>
      <w:proofErr w:type="spellEnd"/>
      <w:r w:rsidRPr="00380F05">
        <w:rPr>
          <w:rFonts w:ascii="Arial" w:hAnsi="Arial" w:cs="Arial"/>
        </w:rPr>
        <w:t xml:space="preserve"> (1979) FLC ¶90-725 in </w:t>
      </w:r>
      <w:proofErr w:type="spellStart"/>
      <w:r w:rsidRPr="00380F05">
        <w:rPr>
          <w:rFonts w:ascii="Arial" w:hAnsi="Arial" w:cs="Arial"/>
          <w:i/>
        </w:rPr>
        <w:t>Searson</w:t>
      </w:r>
      <w:proofErr w:type="spellEnd"/>
      <w:r w:rsidRPr="00380F05">
        <w:rPr>
          <w:rFonts w:ascii="Arial" w:hAnsi="Arial" w:cs="Arial"/>
          <w:i/>
        </w:rPr>
        <w:t xml:space="preserve"> &amp; </w:t>
      </w:r>
      <w:proofErr w:type="spellStart"/>
      <w:r w:rsidRPr="00380F05">
        <w:rPr>
          <w:rFonts w:ascii="Arial" w:hAnsi="Arial" w:cs="Arial"/>
          <w:i/>
        </w:rPr>
        <w:t>Searson</w:t>
      </w:r>
      <w:proofErr w:type="spellEnd"/>
      <w:r w:rsidRPr="00380F05">
        <w:rPr>
          <w:rFonts w:ascii="Arial" w:hAnsi="Arial" w:cs="Arial"/>
        </w:rPr>
        <w:t xml:space="preserve"> (2017) FLC ¶93-788. The Full Court allowed the mother's appeal after finding that the trial judge, in considering the application of the rule in </w:t>
      </w:r>
      <w:r w:rsidRPr="00380F05">
        <w:rPr>
          <w:rFonts w:ascii="Arial" w:hAnsi="Arial" w:cs="Arial"/>
          <w:i/>
        </w:rPr>
        <w:t xml:space="preserve">Rice &amp; </w:t>
      </w:r>
      <w:proofErr w:type="spellStart"/>
      <w:r w:rsidRPr="00380F05">
        <w:rPr>
          <w:rFonts w:ascii="Arial" w:hAnsi="Arial" w:cs="Arial"/>
          <w:i/>
        </w:rPr>
        <w:t>Asplun</w:t>
      </w:r>
      <w:r w:rsidRPr="00380F05">
        <w:rPr>
          <w:rFonts w:ascii="Arial" w:hAnsi="Arial" w:cs="Arial"/>
        </w:rPr>
        <w:t>d</w:t>
      </w:r>
      <w:proofErr w:type="spellEnd"/>
      <w:r w:rsidRPr="00380F05">
        <w:rPr>
          <w:rFonts w:ascii="Arial" w:hAnsi="Arial" w:cs="Arial"/>
        </w:rPr>
        <w:t xml:space="preserve"> at the preliminary stage of the proceedings, was bound to assume the acceptance of the mother's evidence on the question of whether a sufficient change in circumstances was demonstrated. The Full Court further found that the conclusion reached by the trial judge, that there was no material change in circumstances, was not reasonably open to her on the evidence. </w:t>
      </w:r>
      <w:r>
        <w:rPr>
          <w:rFonts w:ascii="Arial" w:hAnsi="Arial" w:cs="Arial"/>
        </w:rPr>
        <w:t xml:space="preserve">Their </w:t>
      </w:r>
      <w:proofErr w:type="spellStart"/>
      <w:r>
        <w:rPr>
          <w:rFonts w:ascii="Arial" w:hAnsi="Arial" w:cs="Arial"/>
        </w:rPr>
        <w:t>Honours</w:t>
      </w:r>
      <w:proofErr w:type="spellEnd"/>
      <w:r>
        <w:rPr>
          <w:rFonts w:ascii="Arial" w:hAnsi="Arial" w:cs="Arial"/>
        </w:rPr>
        <w:t xml:space="preserve"> noted that in </w:t>
      </w:r>
      <w:r w:rsidRPr="00380F05">
        <w:rPr>
          <w:rFonts w:ascii="Arial" w:hAnsi="Arial" w:cs="Arial"/>
          <w:i/>
        </w:rPr>
        <w:t>SPS &amp; PLS</w:t>
      </w:r>
      <w:r>
        <w:rPr>
          <w:rFonts w:ascii="Arial" w:hAnsi="Arial" w:cs="Arial"/>
          <w:i/>
        </w:rPr>
        <w:t xml:space="preserve">, </w:t>
      </w:r>
      <w:r w:rsidRPr="00380F05">
        <w:rPr>
          <w:rFonts w:ascii="Arial" w:hAnsi="Arial" w:cs="Arial"/>
        </w:rPr>
        <w:t xml:space="preserve">the Court held that the discussion of the rule in the various authorities had "not always used consistent terminology". </w:t>
      </w:r>
      <w:r>
        <w:rPr>
          <w:rFonts w:ascii="Arial" w:hAnsi="Arial" w:cs="Arial"/>
        </w:rPr>
        <w:t xml:space="preserve">In </w:t>
      </w:r>
      <w:r w:rsidRPr="00380F05">
        <w:rPr>
          <w:rFonts w:ascii="Arial" w:hAnsi="Arial" w:cs="Arial"/>
          <w:i/>
        </w:rPr>
        <w:t>SPS &amp; PLS</w:t>
      </w:r>
      <w:r>
        <w:rPr>
          <w:rFonts w:ascii="Arial" w:hAnsi="Arial" w:cs="Arial"/>
        </w:rPr>
        <w:t xml:space="preserve"> the Court </w:t>
      </w:r>
      <w:r w:rsidRPr="00380F05">
        <w:rPr>
          <w:rFonts w:ascii="Arial" w:hAnsi="Arial" w:cs="Arial"/>
        </w:rPr>
        <w:t xml:space="preserve">noted, in particular, that the term "threshold" has had different connotations. </w:t>
      </w:r>
    </w:p>
    <w:p w14:paraId="3D6A21EF" w14:textId="77777777" w:rsidR="001D006C" w:rsidRDefault="001D006C" w:rsidP="001D006C">
      <w:pPr>
        <w:pStyle w:val="PlainText"/>
        <w:spacing w:line="360" w:lineRule="auto"/>
        <w:rPr>
          <w:rFonts w:ascii="Arial" w:hAnsi="Arial" w:cs="Arial"/>
        </w:rPr>
      </w:pPr>
    </w:p>
    <w:p w14:paraId="2BA4B274" w14:textId="77777777" w:rsidR="001D006C" w:rsidRPr="007514DC" w:rsidRDefault="001D006C" w:rsidP="001D006C">
      <w:pPr>
        <w:pStyle w:val="PlainText"/>
        <w:spacing w:line="360" w:lineRule="auto"/>
        <w:rPr>
          <w:rFonts w:ascii="Arial" w:hAnsi="Arial" w:cs="Arial"/>
        </w:rPr>
      </w:pPr>
      <w:r w:rsidRPr="007514DC">
        <w:rPr>
          <w:rFonts w:ascii="Arial" w:hAnsi="Arial" w:cs="Arial"/>
        </w:rPr>
        <w:t>It is submitted that the legislation should be amended to provide a clear and unambiguous position as to what is the required threshold in seeking a variation.</w:t>
      </w:r>
    </w:p>
    <w:p w14:paraId="685EE3CE" w14:textId="77777777" w:rsidR="001D006C" w:rsidRPr="007514DC" w:rsidRDefault="001D006C" w:rsidP="001D006C">
      <w:pPr>
        <w:pStyle w:val="PlainText"/>
        <w:spacing w:line="360" w:lineRule="auto"/>
        <w:rPr>
          <w:rFonts w:ascii="Arial" w:hAnsi="Arial" w:cs="Arial"/>
        </w:rPr>
      </w:pPr>
    </w:p>
    <w:p w14:paraId="1B56439C" w14:textId="62F30DB0" w:rsidR="001D006C" w:rsidRDefault="001D006C" w:rsidP="001D006C">
      <w:pPr>
        <w:pStyle w:val="PlainText"/>
        <w:spacing w:line="360" w:lineRule="auto"/>
        <w:rPr>
          <w:rFonts w:ascii="Arial" w:hAnsi="Arial" w:cs="Arial"/>
        </w:rPr>
      </w:pPr>
      <w:r w:rsidRPr="007514DC">
        <w:rPr>
          <w:rFonts w:ascii="Arial" w:hAnsi="Arial" w:cs="Arial"/>
        </w:rPr>
        <w:t>In addition, there should there be a mandatory threshold hearing heard early in the Court proceedings. This would avoid a common feature of present parenting applications before the Court that seek a variation of an existing final parenting orders, whereupon the threshold test is not considered until a final trial, often after several years of drawn out litigation</w:t>
      </w:r>
      <w:r w:rsidR="00987CCD">
        <w:rPr>
          <w:rFonts w:ascii="Arial" w:hAnsi="Arial" w:cs="Arial"/>
        </w:rPr>
        <w:t>.</w:t>
      </w:r>
    </w:p>
    <w:p w14:paraId="2161104D" w14:textId="6C2DFA3C" w:rsidR="00987CCD" w:rsidRDefault="00987CCD" w:rsidP="001D006C">
      <w:pPr>
        <w:pStyle w:val="PlainText"/>
        <w:spacing w:line="360" w:lineRule="auto"/>
        <w:rPr>
          <w:rFonts w:ascii="Arial" w:hAnsi="Arial" w:cs="Arial"/>
        </w:rPr>
      </w:pPr>
    </w:p>
    <w:p w14:paraId="3AE5CAFB" w14:textId="77777777" w:rsidR="002E0BEA" w:rsidRDefault="002E0BEA" w:rsidP="001D006C">
      <w:pPr>
        <w:pStyle w:val="PlainText"/>
        <w:spacing w:line="360" w:lineRule="auto"/>
        <w:rPr>
          <w:rFonts w:ascii="Arial" w:hAnsi="Arial" w:cs="Arial"/>
        </w:rPr>
      </w:pPr>
    </w:p>
    <w:p w14:paraId="3C35E161" w14:textId="77777777" w:rsidR="00987CCD" w:rsidRPr="001D006C" w:rsidRDefault="00987CCD" w:rsidP="00987CCD">
      <w:pPr>
        <w:pStyle w:val="PlainText"/>
        <w:spacing w:line="360" w:lineRule="auto"/>
        <w:rPr>
          <w:rFonts w:ascii="Arial" w:hAnsi="Arial" w:cs="Arial"/>
          <w:u w:val="single"/>
        </w:rPr>
      </w:pPr>
      <w:r w:rsidRPr="001D006C">
        <w:rPr>
          <w:rFonts w:ascii="Arial" w:hAnsi="Arial" w:cs="Arial"/>
          <w:b/>
          <w:u w:val="single"/>
        </w:rPr>
        <w:lastRenderedPageBreak/>
        <w:t>*Welfare matters-merge with State Courts</w:t>
      </w:r>
      <w:r w:rsidRPr="001D006C">
        <w:rPr>
          <w:rFonts w:ascii="Arial" w:hAnsi="Arial" w:cs="Arial"/>
          <w:u w:val="single"/>
        </w:rPr>
        <w:t xml:space="preserve"> </w:t>
      </w:r>
    </w:p>
    <w:p w14:paraId="7A140B8B" w14:textId="1CA8CA57" w:rsidR="00987CCD" w:rsidRPr="00F034B3" w:rsidRDefault="00987CCD" w:rsidP="00987CCD">
      <w:pPr>
        <w:spacing w:after="160" w:line="360" w:lineRule="auto"/>
        <w:rPr>
          <w:rFonts w:ascii="Arial" w:eastAsia="Calibri" w:hAnsi="Arial" w:cs="Arial"/>
          <w:lang w:val="en-AU"/>
        </w:rPr>
      </w:pPr>
      <w:r>
        <w:rPr>
          <w:rFonts w:ascii="Arial" w:eastAsia="Calibri" w:hAnsi="Arial" w:cs="Arial"/>
          <w:lang w:val="en-AU"/>
        </w:rPr>
        <w:t xml:space="preserve">It is submitted that consideration should be made for the </w:t>
      </w:r>
      <w:r w:rsidRPr="00F034B3">
        <w:rPr>
          <w:rFonts w:ascii="Arial" w:eastAsia="Calibri" w:hAnsi="Arial" w:cs="Arial"/>
          <w:lang w:val="en-AU"/>
        </w:rPr>
        <w:t xml:space="preserve">transfer the state jurisdiction related to the care and welfare of children in respect to the state Children’s Court, to the </w:t>
      </w:r>
      <w:r>
        <w:rPr>
          <w:rFonts w:ascii="Arial" w:eastAsia="Calibri" w:hAnsi="Arial" w:cs="Arial"/>
          <w:lang w:val="en-AU"/>
        </w:rPr>
        <w:t xml:space="preserve">existing </w:t>
      </w:r>
      <w:r w:rsidRPr="00F034B3">
        <w:rPr>
          <w:rFonts w:ascii="Arial" w:eastAsia="Calibri" w:hAnsi="Arial" w:cs="Arial"/>
          <w:lang w:val="en-AU"/>
        </w:rPr>
        <w:t>Federal Family Law Courts, (being the Family Court of Australia (FCA) and the Federal Circuit Court (FCC))</w:t>
      </w:r>
      <w:r>
        <w:rPr>
          <w:rFonts w:ascii="Arial" w:eastAsia="Calibri" w:hAnsi="Arial" w:cs="Arial"/>
          <w:lang w:val="en-AU"/>
        </w:rPr>
        <w:t>, or an anticipated merged court, namely t</w:t>
      </w:r>
      <w:r w:rsidRPr="00F034B3">
        <w:rPr>
          <w:rFonts w:ascii="Arial" w:eastAsia="Calibri" w:hAnsi="Arial" w:cs="Arial"/>
          <w:lang w:val="en-AU"/>
        </w:rPr>
        <w:t>he Federal Circuit and Family Court of Australia (FCFCA).</w:t>
      </w:r>
    </w:p>
    <w:p w14:paraId="6E0BD45F" w14:textId="77777777" w:rsidR="00987CCD" w:rsidRPr="00F034B3" w:rsidRDefault="00987CCD" w:rsidP="00987CCD">
      <w:pPr>
        <w:spacing w:after="160" w:line="360" w:lineRule="auto"/>
        <w:rPr>
          <w:rFonts w:ascii="Arial" w:eastAsia="Calibri" w:hAnsi="Arial" w:cs="Arial"/>
          <w:lang w:val="en-AU"/>
        </w:rPr>
      </w:pPr>
      <w:r w:rsidRPr="00F034B3">
        <w:rPr>
          <w:rFonts w:ascii="Arial" w:eastAsia="Calibri" w:hAnsi="Arial" w:cs="Arial"/>
          <w:lang w:val="en-AU"/>
        </w:rPr>
        <w:t xml:space="preserve">Section 91B of the </w:t>
      </w:r>
      <w:r w:rsidRPr="00F034B3">
        <w:rPr>
          <w:rFonts w:ascii="Arial" w:eastAsia="Calibri" w:hAnsi="Arial" w:cs="Arial"/>
          <w:i/>
          <w:lang w:val="en-AU"/>
        </w:rPr>
        <w:t>Family Law Act</w:t>
      </w:r>
      <w:r w:rsidRPr="00F034B3">
        <w:rPr>
          <w:rFonts w:ascii="Arial" w:eastAsia="Calibri" w:hAnsi="Arial" w:cs="Arial"/>
          <w:lang w:val="en-AU"/>
        </w:rPr>
        <w:t xml:space="preserve"> (FLA) states that the F</w:t>
      </w:r>
      <w:r>
        <w:rPr>
          <w:rFonts w:ascii="Arial" w:eastAsia="Calibri" w:hAnsi="Arial" w:cs="Arial"/>
          <w:lang w:val="en-AU"/>
        </w:rPr>
        <w:t xml:space="preserve">CA or FCC </w:t>
      </w:r>
      <w:r w:rsidRPr="00F034B3">
        <w:rPr>
          <w:rFonts w:ascii="Arial" w:eastAsia="Calibri" w:hAnsi="Arial" w:cs="Arial"/>
          <w:lang w:val="en-AU"/>
        </w:rPr>
        <w:t>may request the intervention in the proceedings of an officer of a State being the officer who is responsible for the administration of the laws of the State in which the proceedings are being heard that relate to child welfare. Further, where the officer so intervenes, the officer shall be deemed to be a party to the proceedings with all the rights, duties and liabilities of a party.</w:t>
      </w:r>
    </w:p>
    <w:p w14:paraId="56DF2A89" w14:textId="77777777" w:rsidR="00987CCD" w:rsidRPr="00F034B3" w:rsidRDefault="00987CCD" w:rsidP="00987CCD">
      <w:pPr>
        <w:spacing w:after="160" w:line="360" w:lineRule="auto"/>
        <w:rPr>
          <w:rFonts w:ascii="Arial" w:eastAsia="Calibri" w:hAnsi="Arial" w:cs="Arial"/>
          <w:lang w:val="en-AU"/>
        </w:rPr>
      </w:pPr>
      <w:r w:rsidRPr="00F034B3">
        <w:rPr>
          <w:rFonts w:ascii="Arial" w:eastAsia="Calibri" w:hAnsi="Arial" w:cs="Arial"/>
          <w:lang w:val="en-AU"/>
        </w:rPr>
        <w:t>The necessary appearance in the state Department of Family and Community Services in the FFLCs have involved potential confusion associated with two different but not dissimilar statutory laws (Federal and State) and legal principles. There are also clearly different cultures that lawyers who regularly participate in the FFLC, compared with the lawyers who regularly appear in the state Children’s Court.</w:t>
      </w:r>
    </w:p>
    <w:p w14:paraId="4A6FA482" w14:textId="77777777" w:rsidR="00987CCD" w:rsidRPr="00F034B3" w:rsidRDefault="00987CCD" w:rsidP="00987CCD">
      <w:pPr>
        <w:spacing w:after="160" w:line="360" w:lineRule="auto"/>
        <w:rPr>
          <w:rFonts w:ascii="Arial" w:eastAsia="Calibri" w:hAnsi="Arial" w:cs="Arial"/>
          <w:lang w:val="en-AU"/>
        </w:rPr>
      </w:pPr>
      <w:r w:rsidRPr="00F034B3">
        <w:rPr>
          <w:rFonts w:ascii="Arial" w:eastAsia="Calibri" w:hAnsi="Arial" w:cs="Arial"/>
          <w:lang w:val="en-AU"/>
        </w:rPr>
        <w:t xml:space="preserve">Ultimately there is a uniform object that both jurisdictions thrive to achieve: the best interest of children. Hence the need for a singular forum to determine issues in dispute. </w:t>
      </w:r>
    </w:p>
    <w:p w14:paraId="5C080F0A" w14:textId="77777777" w:rsidR="00987CCD" w:rsidRPr="007514DC" w:rsidRDefault="00987CCD" w:rsidP="001D006C">
      <w:pPr>
        <w:pStyle w:val="PlainText"/>
        <w:spacing w:line="360" w:lineRule="auto"/>
        <w:rPr>
          <w:rFonts w:ascii="Arial" w:hAnsi="Arial" w:cs="Arial"/>
        </w:rPr>
      </w:pPr>
    </w:p>
    <w:p w14:paraId="061F9E3E" w14:textId="77777777" w:rsidR="001D006C" w:rsidRDefault="001D006C" w:rsidP="007514DC">
      <w:pPr>
        <w:pStyle w:val="PlainText"/>
        <w:spacing w:line="360" w:lineRule="auto"/>
        <w:rPr>
          <w:rFonts w:ascii="Arial" w:hAnsi="Arial" w:cs="Arial"/>
          <w:b/>
          <w:u w:val="single"/>
        </w:rPr>
      </w:pPr>
    </w:p>
    <w:p w14:paraId="1D266B8D" w14:textId="77777777" w:rsidR="00987CCD" w:rsidRDefault="00987CCD" w:rsidP="00987CCD">
      <w:pPr>
        <w:pStyle w:val="PlainText"/>
        <w:spacing w:line="360" w:lineRule="auto"/>
        <w:rPr>
          <w:rFonts w:ascii="Arial Black" w:hAnsi="Arial Black"/>
          <w:b/>
          <w:u w:val="single"/>
        </w:rPr>
      </w:pPr>
      <w:r w:rsidRPr="00987CCD">
        <w:rPr>
          <w:rFonts w:ascii="Arial Black" w:hAnsi="Arial Black"/>
          <w:b/>
          <w:u w:val="single"/>
        </w:rPr>
        <w:t>Question 1</w:t>
      </w:r>
      <w:r>
        <w:rPr>
          <w:rFonts w:ascii="Arial Black" w:hAnsi="Arial Black"/>
          <w:b/>
          <w:u w:val="single"/>
        </w:rPr>
        <w:t>7</w:t>
      </w:r>
      <w:r w:rsidRPr="00987CCD">
        <w:rPr>
          <w:rFonts w:ascii="Arial Black" w:hAnsi="Arial Black"/>
          <w:b/>
          <w:u w:val="single"/>
        </w:rPr>
        <w:t xml:space="preserve">: What changes </w:t>
      </w:r>
      <w:r>
        <w:rPr>
          <w:rFonts w:ascii="Arial Black" w:hAnsi="Arial Black"/>
          <w:b/>
          <w:u w:val="single"/>
        </w:rPr>
        <w:t xml:space="preserve">could be made </w:t>
      </w:r>
      <w:r w:rsidRPr="00987CCD">
        <w:rPr>
          <w:rFonts w:ascii="Arial Black" w:hAnsi="Arial Black"/>
          <w:b/>
          <w:u w:val="single"/>
        </w:rPr>
        <w:t xml:space="preserve">to the provisions of the Family Law Act </w:t>
      </w:r>
      <w:r>
        <w:rPr>
          <w:rFonts w:ascii="Arial Black" w:hAnsi="Arial Black"/>
          <w:b/>
          <w:u w:val="single"/>
        </w:rPr>
        <w:t>governing property for parties to promote fair outcomes</w:t>
      </w:r>
    </w:p>
    <w:p w14:paraId="15D294FF" w14:textId="77777777" w:rsidR="00987CCD" w:rsidRDefault="00987CCD" w:rsidP="00987CCD">
      <w:pPr>
        <w:pStyle w:val="PlainText"/>
        <w:spacing w:line="360" w:lineRule="auto"/>
        <w:rPr>
          <w:rFonts w:ascii="Arial Black" w:hAnsi="Arial Black"/>
          <w:b/>
          <w:u w:val="single"/>
        </w:rPr>
      </w:pPr>
    </w:p>
    <w:p w14:paraId="12825C43" w14:textId="003290B4" w:rsidR="007514DC" w:rsidRPr="001D006C" w:rsidRDefault="007514DC" w:rsidP="007514DC">
      <w:pPr>
        <w:pStyle w:val="PlainText"/>
        <w:spacing w:line="360" w:lineRule="auto"/>
        <w:rPr>
          <w:rFonts w:ascii="Arial" w:hAnsi="Arial" w:cs="Arial"/>
          <w:b/>
          <w:u w:val="single"/>
        </w:rPr>
      </w:pPr>
      <w:r w:rsidRPr="001D006C">
        <w:rPr>
          <w:rFonts w:ascii="Arial" w:hAnsi="Arial" w:cs="Arial"/>
          <w:b/>
          <w:u w:val="single"/>
        </w:rPr>
        <w:t>*Presumption of equality of contributions for lengthy marriages/</w:t>
      </w:r>
      <w:r w:rsidR="00CD5DE0" w:rsidRPr="001D006C">
        <w:rPr>
          <w:rFonts w:ascii="Arial" w:hAnsi="Arial" w:cs="Arial"/>
          <w:b/>
          <w:u w:val="single"/>
        </w:rPr>
        <w:t xml:space="preserve">de facto relationship of </w:t>
      </w:r>
      <w:r w:rsidRPr="001D006C">
        <w:rPr>
          <w:rFonts w:ascii="Arial" w:hAnsi="Arial" w:cs="Arial"/>
          <w:b/>
          <w:u w:val="single"/>
        </w:rPr>
        <w:t>say 12 years</w:t>
      </w:r>
      <w:r w:rsidR="00CD5DE0" w:rsidRPr="001D006C">
        <w:rPr>
          <w:rFonts w:ascii="Arial" w:hAnsi="Arial" w:cs="Arial"/>
          <w:b/>
          <w:u w:val="single"/>
        </w:rPr>
        <w:t xml:space="preserve"> in duration, in</w:t>
      </w:r>
      <w:r w:rsidRPr="001D006C">
        <w:rPr>
          <w:rFonts w:ascii="Arial" w:hAnsi="Arial" w:cs="Arial"/>
          <w:b/>
          <w:u w:val="single"/>
        </w:rPr>
        <w:t xml:space="preserve"> the absence of ICs, windfalls, gifts, inheritances.</w:t>
      </w:r>
    </w:p>
    <w:p w14:paraId="4B7C8FEE" w14:textId="77777777" w:rsidR="003B1154" w:rsidRDefault="00CD5DE0" w:rsidP="00CD5DE0">
      <w:pPr>
        <w:shd w:val="clear" w:color="auto" w:fill="FFFFFF"/>
        <w:spacing w:after="0" w:line="360" w:lineRule="auto"/>
        <w:rPr>
          <w:rFonts w:ascii="Arial" w:eastAsia="Times New Roman" w:hAnsi="Arial" w:cs="Arial"/>
          <w:color w:val="373A3C"/>
          <w:lang w:val="en" w:eastAsia="en-AU"/>
        </w:rPr>
      </w:pPr>
      <w:r>
        <w:rPr>
          <w:rFonts w:ascii="Arial" w:eastAsia="Times New Roman" w:hAnsi="Arial" w:cs="Arial"/>
          <w:color w:val="373A3C"/>
          <w:lang w:val="en" w:eastAsia="en-AU"/>
        </w:rPr>
        <w:t xml:space="preserve">In recent years the Full Court of the Family Court has examined the </w:t>
      </w:r>
      <w:r w:rsidR="003B1154">
        <w:rPr>
          <w:rFonts w:ascii="Arial" w:eastAsia="Times New Roman" w:hAnsi="Arial" w:cs="Arial"/>
          <w:color w:val="373A3C"/>
          <w:lang w:val="en" w:eastAsia="en-AU"/>
        </w:rPr>
        <w:t>argument</w:t>
      </w:r>
      <w:r>
        <w:rPr>
          <w:rFonts w:ascii="Arial" w:eastAsia="Times New Roman" w:hAnsi="Arial" w:cs="Arial"/>
          <w:color w:val="373A3C"/>
          <w:lang w:val="en" w:eastAsia="en-AU"/>
        </w:rPr>
        <w:t xml:space="preserve"> about drawing a </w:t>
      </w:r>
      <w:r w:rsidRPr="00CD5DE0">
        <w:rPr>
          <w:rFonts w:ascii="Arial" w:eastAsia="Times New Roman" w:hAnsi="Arial" w:cs="Arial"/>
          <w:color w:val="373A3C"/>
          <w:lang w:val="en" w:eastAsia="en-AU"/>
        </w:rPr>
        <w:t xml:space="preserve">nexus with </w:t>
      </w:r>
      <w:r>
        <w:rPr>
          <w:rFonts w:ascii="Arial" w:eastAsia="Times New Roman" w:hAnsi="Arial" w:cs="Arial"/>
          <w:color w:val="373A3C"/>
          <w:lang w:val="en" w:eastAsia="en-AU"/>
        </w:rPr>
        <w:t>so called “</w:t>
      </w:r>
      <w:r w:rsidRPr="00CD5DE0">
        <w:rPr>
          <w:rFonts w:ascii="Arial" w:eastAsia="Times New Roman" w:hAnsi="Arial" w:cs="Arial"/>
          <w:color w:val="373A3C"/>
          <w:lang w:val="en" w:eastAsia="en-AU"/>
        </w:rPr>
        <w:t>big money</w:t>
      </w:r>
      <w:r>
        <w:rPr>
          <w:rFonts w:ascii="Arial" w:eastAsia="Times New Roman" w:hAnsi="Arial" w:cs="Arial"/>
          <w:color w:val="373A3C"/>
          <w:lang w:val="en" w:eastAsia="en-AU"/>
        </w:rPr>
        <w:t>”</w:t>
      </w:r>
      <w:r w:rsidRPr="00CD5DE0">
        <w:rPr>
          <w:rFonts w:ascii="Arial" w:eastAsia="Times New Roman" w:hAnsi="Arial" w:cs="Arial"/>
          <w:color w:val="373A3C"/>
          <w:lang w:val="en" w:eastAsia="en-AU"/>
        </w:rPr>
        <w:t xml:space="preserve"> cases and the weight of contributions. </w:t>
      </w:r>
    </w:p>
    <w:p w14:paraId="1A4DDB0B" w14:textId="77777777" w:rsidR="003B1154" w:rsidRDefault="003B1154" w:rsidP="00CD5DE0">
      <w:pPr>
        <w:shd w:val="clear" w:color="auto" w:fill="FFFFFF"/>
        <w:spacing w:after="0" w:line="360" w:lineRule="auto"/>
        <w:rPr>
          <w:rFonts w:ascii="Arial" w:eastAsia="Times New Roman" w:hAnsi="Arial" w:cs="Arial"/>
          <w:color w:val="373A3C"/>
          <w:lang w:val="en" w:eastAsia="en-AU"/>
        </w:rPr>
      </w:pPr>
    </w:p>
    <w:p w14:paraId="0C1A5AC1" w14:textId="69C5F01A" w:rsidR="00CD5DE0" w:rsidRPr="00CD5DE0" w:rsidRDefault="00CD5DE0" w:rsidP="00CD5DE0">
      <w:pPr>
        <w:shd w:val="clear" w:color="auto" w:fill="FFFFFF"/>
        <w:spacing w:after="0" w:line="360" w:lineRule="auto"/>
        <w:rPr>
          <w:rFonts w:ascii="Arial" w:eastAsia="Times New Roman" w:hAnsi="Arial" w:cs="Arial"/>
          <w:color w:val="373A3C"/>
          <w:lang w:val="en" w:eastAsia="en-AU"/>
        </w:rPr>
      </w:pPr>
      <w:r w:rsidRPr="00CD5DE0">
        <w:rPr>
          <w:rFonts w:ascii="Arial" w:eastAsia="Times New Roman" w:hAnsi="Arial" w:cs="Arial"/>
          <w:color w:val="373A3C"/>
          <w:lang w:val="en" w:eastAsia="en-AU"/>
        </w:rPr>
        <w:t xml:space="preserve">The husband </w:t>
      </w:r>
      <w:r w:rsidR="003B1154">
        <w:rPr>
          <w:rFonts w:ascii="Arial" w:eastAsia="Times New Roman" w:hAnsi="Arial" w:cs="Arial"/>
          <w:color w:val="373A3C"/>
          <w:lang w:val="en" w:eastAsia="en-AU"/>
        </w:rPr>
        <w:t xml:space="preserve">in a Full Court </w:t>
      </w:r>
      <w:r w:rsidR="002E0BEA">
        <w:rPr>
          <w:rFonts w:ascii="Arial" w:eastAsia="Times New Roman" w:hAnsi="Arial" w:cs="Arial"/>
          <w:color w:val="373A3C"/>
          <w:lang w:val="en" w:eastAsia="en-AU"/>
        </w:rPr>
        <w:t xml:space="preserve">of the Family Court </w:t>
      </w:r>
      <w:r w:rsidR="003B1154">
        <w:rPr>
          <w:rFonts w:ascii="Arial" w:eastAsia="Times New Roman" w:hAnsi="Arial" w:cs="Arial"/>
          <w:color w:val="373A3C"/>
          <w:lang w:val="en" w:eastAsia="en-AU"/>
        </w:rPr>
        <w:t xml:space="preserve">case of </w:t>
      </w:r>
      <w:r w:rsidR="002E0BEA" w:rsidRPr="002E0BEA">
        <w:rPr>
          <w:rFonts w:ascii="Arial" w:eastAsia="Times New Roman" w:hAnsi="Arial" w:cs="Arial"/>
          <w:i/>
          <w:color w:val="373A3C"/>
          <w:lang w:val="en" w:eastAsia="en-AU"/>
        </w:rPr>
        <w:t>F</w:t>
      </w:r>
      <w:r w:rsidR="003B1154" w:rsidRPr="002E0BEA">
        <w:rPr>
          <w:rFonts w:ascii="Arial" w:eastAsia="Times New Roman" w:hAnsi="Arial" w:cs="Arial"/>
          <w:i/>
          <w:color w:val="373A3C"/>
          <w:lang w:val="en" w:eastAsia="en-AU"/>
        </w:rPr>
        <w:t xml:space="preserve">ield </w:t>
      </w:r>
      <w:r w:rsidR="002E0BEA" w:rsidRPr="002E0BEA">
        <w:rPr>
          <w:rFonts w:ascii="Arial" w:eastAsia="Times New Roman" w:hAnsi="Arial" w:cs="Arial"/>
          <w:i/>
          <w:color w:val="373A3C"/>
          <w:lang w:val="en" w:eastAsia="en-AU"/>
        </w:rPr>
        <w:t>and Smith</w:t>
      </w:r>
      <w:r w:rsidR="002E0BEA">
        <w:rPr>
          <w:rFonts w:ascii="Arial" w:eastAsia="Times New Roman" w:hAnsi="Arial" w:cs="Arial"/>
          <w:color w:val="373A3C"/>
          <w:lang w:val="en" w:eastAsia="en-AU"/>
        </w:rPr>
        <w:t xml:space="preserve"> </w:t>
      </w:r>
      <w:r w:rsidR="002E0BEA" w:rsidRPr="002E0BEA">
        <w:rPr>
          <w:rFonts w:ascii="Arial" w:eastAsia="Times New Roman" w:hAnsi="Arial" w:cs="Arial"/>
          <w:color w:val="373A3C"/>
          <w:lang w:val="en" w:eastAsia="en-AU"/>
        </w:rPr>
        <w:t>(2015) FLC ¶93-638</w:t>
      </w:r>
      <w:r w:rsidR="002E0BEA">
        <w:rPr>
          <w:rFonts w:ascii="Arial" w:eastAsia="Times New Roman" w:hAnsi="Arial" w:cs="Arial"/>
          <w:color w:val="373A3C"/>
          <w:lang w:val="en" w:eastAsia="en-AU"/>
        </w:rPr>
        <w:t xml:space="preserve"> </w:t>
      </w:r>
      <w:r w:rsidR="003B1154">
        <w:rPr>
          <w:rFonts w:ascii="Arial" w:eastAsia="Times New Roman" w:hAnsi="Arial" w:cs="Arial"/>
          <w:color w:val="373A3C"/>
          <w:lang w:val="en" w:eastAsia="en-AU"/>
        </w:rPr>
        <w:t>submitted</w:t>
      </w:r>
      <w:r w:rsidRPr="00CD5DE0">
        <w:rPr>
          <w:rFonts w:ascii="Arial" w:eastAsia="Times New Roman" w:hAnsi="Arial" w:cs="Arial"/>
          <w:color w:val="373A3C"/>
          <w:lang w:val="en" w:eastAsia="en-AU"/>
        </w:rPr>
        <w:t xml:space="preserve"> that households “with wealth that exceeded $10M represent a mere 0.3% of Australian households. What we have here is a net pool of $32M - $39M, none of which arises </w:t>
      </w:r>
      <w:r w:rsidRPr="00CD5DE0">
        <w:rPr>
          <w:rFonts w:ascii="Arial" w:eastAsia="Times New Roman" w:hAnsi="Arial" w:cs="Arial"/>
          <w:color w:val="373A3C"/>
          <w:lang w:val="en" w:eastAsia="en-AU"/>
        </w:rPr>
        <w:lastRenderedPageBreak/>
        <w:t xml:space="preserve">from inheritance or windfall and all of which was created from very little when the business commenced in 1990”. </w:t>
      </w:r>
    </w:p>
    <w:p w14:paraId="6A184A65" w14:textId="77777777" w:rsidR="00CD5DE0" w:rsidRPr="001D6323" w:rsidRDefault="00CD5DE0" w:rsidP="00CD5DE0">
      <w:pPr>
        <w:shd w:val="clear" w:color="auto" w:fill="FFFFFF"/>
        <w:spacing w:after="0" w:line="360" w:lineRule="auto"/>
        <w:rPr>
          <w:rFonts w:ascii="Arial" w:eastAsia="Times New Roman" w:hAnsi="Arial" w:cs="Arial"/>
          <w:color w:val="373A3C"/>
          <w:lang w:val="en" w:eastAsia="en-AU"/>
        </w:rPr>
      </w:pPr>
    </w:p>
    <w:p w14:paraId="40EAEBF1" w14:textId="0E24198C" w:rsidR="00CD5DE0" w:rsidRPr="00CD5DE0" w:rsidRDefault="00CD5DE0" w:rsidP="003B1154">
      <w:pPr>
        <w:shd w:val="clear" w:color="auto" w:fill="FFFFFF"/>
        <w:spacing w:after="0" w:line="360" w:lineRule="auto"/>
        <w:rPr>
          <w:rFonts w:ascii="Arial" w:eastAsia="Times New Roman" w:hAnsi="Arial" w:cs="Arial"/>
          <w:color w:val="373A3C"/>
          <w:lang w:val="en" w:eastAsia="en-AU"/>
        </w:rPr>
      </w:pPr>
      <w:r w:rsidRPr="00CD5DE0">
        <w:rPr>
          <w:rFonts w:ascii="Arial" w:eastAsia="Times New Roman" w:hAnsi="Arial" w:cs="Arial"/>
          <w:color w:val="373A3C"/>
          <w:lang w:val="en" w:eastAsia="en-AU"/>
        </w:rPr>
        <w:t xml:space="preserve">The Full Court responded by stating that the fact that the parties find themselves in the upper echelons of wealthy Australians says nothing about the contributions that each of them made during the course of a lengthy marriage to the acquisition and conservation of their wealth. </w:t>
      </w:r>
    </w:p>
    <w:p w14:paraId="0F6A61EF" w14:textId="77777777" w:rsidR="00CD5DE0" w:rsidRPr="001D6323" w:rsidRDefault="00CD5DE0" w:rsidP="00CD5DE0">
      <w:pPr>
        <w:shd w:val="clear" w:color="auto" w:fill="FFFFFF"/>
        <w:spacing w:after="0" w:line="360" w:lineRule="auto"/>
        <w:rPr>
          <w:rFonts w:ascii="Arial" w:eastAsia="Times New Roman" w:hAnsi="Arial" w:cs="Arial"/>
          <w:color w:val="373A3C"/>
          <w:lang w:val="en" w:eastAsia="en-AU"/>
        </w:rPr>
      </w:pPr>
    </w:p>
    <w:p w14:paraId="7F3BB815" w14:textId="24D80C86" w:rsidR="00CD5DE0" w:rsidRPr="00CD5DE0" w:rsidRDefault="00CD5DE0" w:rsidP="003B1154">
      <w:pPr>
        <w:shd w:val="clear" w:color="auto" w:fill="FFFFFF"/>
        <w:spacing w:after="0" w:line="360" w:lineRule="auto"/>
        <w:rPr>
          <w:rFonts w:ascii="Arial" w:eastAsia="Times New Roman" w:hAnsi="Arial" w:cs="Arial"/>
          <w:b/>
          <w:color w:val="373A3C"/>
          <w:lang w:val="en" w:eastAsia="en-AU"/>
        </w:rPr>
      </w:pPr>
      <w:r w:rsidRPr="00CD5DE0">
        <w:rPr>
          <w:rFonts w:ascii="Arial" w:eastAsia="Times New Roman" w:hAnsi="Arial" w:cs="Arial"/>
          <w:color w:val="373A3C"/>
          <w:lang w:val="en" w:eastAsia="en-AU"/>
        </w:rPr>
        <w:t>Such broad statements such as this are inconsistent with the obligation of the court to weigh the respective contributions to the acquisition, conservation and improvement of the parties' assets acquired, in this case, over a very lengthy marriage, and to give appropriate weight to contributions of each of the parties.</w:t>
      </w:r>
      <w:r w:rsidRPr="00CD5DE0">
        <w:rPr>
          <w:rFonts w:ascii="Arial" w:eastAsia="Times New Roman" w:hAnsi="Arial" w:cs="Arial"/>
          <w:b/>
          <w:color w:val="373A3C"/>
          <w:lang w:val="en" w:eastAsia="en-AU"/>
        </w:rPr>
        <w:t xml:space="preserve"> </w:t>
      </w:r>
      <w:r w:rsidRPr="00CD5DE0">
        <w:rPr>
          <w:rFonts w:ascii="Arial" w:eastAsia="Times New Roman" w:hAnsi="Arial" w:cs="Arial"/>
          <w:color w:val="373A3C"/>
          <w:lang w:val="en" w:eastAsia="en-AU"/>
        </w:rPr>
        <w:t xml:space="preserve">Similarly, the Full Court rejected the submissions of the husband made at that a 20 per cent disparity between what the parties received “paid no proper regard to the massive disparity in the true worth of the contribution of each.” </w:t>
      </w:r>
    </w:p>
    <w:p w14:paraId="7F52C541" w14:textId="77777777" w:rsidR="003B1154" w:rsidRDefault="003B1154" w:rsidP="003B1154">
      <w:pPr>
        <w:shd w:val="clear" w:color="auto" w:fill="FFFFFF"/>
        <w:spacing w:after="0" w:line="360" w:lineRule="auto"/>
        <w:rPr>
          <w:rFonts w:ascii="Arial" w:eastAsia="Times New Roman" w:hAnsi="Arial" w:cs="Arial"/>
          <w:b/>
          <w:color w:val="373A3C"/>
          <w:lang w:val="en" w:eastAsia="en-AU"/>
        </w:rPr>
      </w:pPr>
    </w:p>
    <w:p w14:paraId="17134ADB" w14:textId="1D3188F2" w:rsidR="00CD5DE0" w:rsidRPr="00CD5DE0" w:rsidRDefault="003B1154" w:rsidP="003B1154">
      <w:pPr>
        <w:shd w:val="clear" w:color="auto" w:fill="FFFFFF"/>
        <w:spacing w:after="0" w:line="360" w:lineRule="auto"/>
        <w:rPr>
          <w:rFonts w:ascii="Arial" w:eastAsia="Times New Roman" w:hAnsi="Arial" w:cs="Arial"/>
          <w:lang w:val="en" w:eastAsia="en-AU"/>
        </w:rPr>
      </w:pPr>
      <w:r w:rsidRPr="00CD5DE0">
        <w:rPr>
          <w:rFonts w:ascii="Arial" w:eastAsia="Times New Roman" w:hAnsi="Arial" w:cs="Arial"/>
          <w:lang w:val="en" w:eastAsia="en-AU"/>
        </w:rPr>
        <w:t>Finally,</w:t>
      </w:r>
      <w:r w:rsidR="00CD5DE0" w:rsidRPr="00CD5DE0">
        <w:rPr>
          <w:rFonts w:ascii="Arial" w:eastAsia="Times New Roman" w:hAnsi="Arial" w:cs="Arial"/>
          <w:lang w:val="en" w:eastAsia="en-AU"/>
        </w:rPr>
        <w:t xml:space="preserve"> the Full Court gave emphasis to a link that can commonly arise, regardless of the size of the matrimonial pool between the length of a relationship and an ultimately tendency towards contribution related equality. In</w:t>
      </w:r>
      <w:r w:rsidR="00CD5DE0" w:rsidRPr="00CD5DE0">
        <w:rPr>
          <w:rFonts w:ascii="Arial" w:eastAsia="Times New Roman" w:hAnsi="Arial" w:cs="Arial"/>
          <w:i/>
          <w:lang w:val="en" w:eastAsia="en-AU"/>
        </w:rPr>
        <w:t xml:space="preserve"> </w:t>
      </w:r>
      <w:proofErr w:type="gramStart"/>
      <w:r w:rsidR="00CD5DE0" w:rsidRPr="00CD5DE0">
        <w:rPr>
          <w:rFonts w:ascii="Arial" w:eastAsia="Times New Roman" w:hAnsi="Arial" w:cs="Arial"/>
          <w:i/>
          <w:iCs/>
          <w:lang w:val="en" w:eastAsia="en-AU"/>
        </w:rPr>
        <w:t>Malle</w:t>
      </w:r>
      <w:r w:rsidR="002E0BEA">
        <w:rPr>
          <w:rFonts w:ascii="Arial" w:eastAsia="Times New Roman" w:hAnsi="Arial" w:cs="Arial"/>
          <w:i/>
          <w:iCs/>
          <w:lang w:val="en" w:eastAsia="en-AU"/>
        </w:rPr>
        <w:t>t</w:t>
      </w:r>
      <w:r w:rsidR="00CD5DE0" w:rsidRPr="00CD5DE0">
        <w:rPr>
          <w:rFonts w:ascii="Arial" w:eastAsia="Times New Roman" w:hAnsi="Arial" w:cs="Arial"/>
          <w:i/>
          <w:iCs/>
          <w:lang w:val="en" w:eastAsia="en-AU"/>
        </w:rPr>
        <w:t>t</w:t>
      </w:r>
      <w:r w:rsidR="00CD5DE0" w:rsidRPr="00CD5DE0">
        <w:rPr>
          <w:rFonts w:ascii="Arial" w:eastAsia="Times New Roman" w:hAnsi="Arial" w:cs="Arial"/>
          <w:lang w:val="en" w:eastAsia="en-AU"/>
        </w:rPr>
        <w:t xml:space="preserve"> </w:t>
      </w:r>
      <w:r w:rsidR="002E0BEA" w:rsidRPr="002E0BEA">
        <w:rPr>
          <w:rFonts w:ascii="Arial" w:eastAsia="Times New Roman" w:hAnsi="Arial" w:cs="Arial"/>
          <w:lang w:val="en" w:eastAsia="en-AU"/>
        </w:rPr>
        <w:t xml:space="preserve"> (</w:t>
      </w:r>
      <w:proofErr w:type="gramEnd"/>
      <w:r w:rsidR="002E0BEA" w:rsidRPr="002E0BEA">
        <w:rPr>
          <w:rFonts w:ascii="Arial" w:eastAsia="Times New Roman" w:hAnsi="Arial" w:cs="Arial"/>
          <w:lang w:val="en" w:eastAsia="en-AU"/>
        </w:rPr>
        <w:t>1984) 156 CLR 605, 608</w:t>
      </w:r>
      <w:r w:rsidR="002E0BEA">
        <w:rPr>
          <w:rFonts w:ascii="Arial" w:eastAsia="Times New Roman" w:hAnsi="Arial" w:cs="Arial"/>
          <w:lang w:val="en" w:eastAsia="en-AU"/>
        </w:rPr>
        <w:t xml:space="preserve">, </w:t>
      </w:r>
      <w:r w:rsidR="00CD5DE0" w:rsidRPr="00CD5DE0">
        <w:rPr>
          <w:rFonts w:ascii="Arial" w:eastAsia="Times New Roman" w:hAnsi="Arial" w:cs="Arial"/>
          <w:lang w:val="en" w:eastAsia="en-AU"/>
        </w:rPr>
        <w:t xml:space="preserve">the High Court said that equality was not the starting point, that much can be readily accepted. That is not to prevent equality from being the conclusion once contributions and other relevant factors have been evaluated. Here the parties had </w:t>
      </w:r>
      <w:proofErr w:type="spellStart"/>
      <w:r w:rsidR="00CD5DE0" w:rsidRPr="00CD5DE0">
        <w:rPr>
          <w:rFonts w:ascii="Arial" w:eastAsia="Times New Roman" w:hAnsi="Arial" w:cs="Arial"/>
          <w:lang w:val="en" w:eastAsia="en-AU"/>
        </w:rPr>
        <w:t>organised</w:t>
      </w:r>
      <w:proofErr w:type="spellEnd"/>
      <w:r w:rsidR="00CD5DE0" w:rsidRPr="00CD5DE0">
        <w:rPr>
          <w:rFonts w:ascii="Arial" w:eastAsia="Times New Roman" w:hAnsi="Arial" w:cs="Arial"/>
          <w:lang w:val="en" w:eastAsia="en-AU"/>
        </w:rPr>
        <w:t xml:space="preserve"> their financial affairs in a manner which strongly pointed to a joint </w:t>
      </w:r>
      <w:proofErr w:type="spellStart"/>
      <w:r w:rsidR="00CD5DE0" w:rsidRPr="00CD5DE0">
        <w:rPr>
          <w:rFonts w:ascii="Arial" w:eastAsia="Times New Roman" w:hAnsi="Arial" w:cs="Arial"/>
          <w:lang w:val="en" w:eastAsia="en-AU"/>
        </w:rPr>
        <w:t>endeavour</w:t>
      </w:r>
      <w:proofErr w:type="spellEnd"/>
      <w:r w:rsidR="00CD5DE0" w:rsidRPr="00CD5DE0">
        <w:rPr>
          <w:rFonts w:ascii="Arial" w:eastAsia="Times New Roman" w:hAnsi="Arial" w:cs="Arial"/>
          <w:lang w:val="en" w:eastAsia="en-AU"/>
        </w:rPr>
        <w:t>, at least during the continuance of the marriage and up until their separation. All their financial dealings were consistent with that position.</w:t>
      </w:r>
    </w:p>
    <w:p w14:paraId="5A2B8108" w14:textId="77777777" w:rsidR="00CD5DE0" w:rsidRDefault="00CD5DE0" w:rsidP="00CD5DE0">
      <w:pPr>
        <w:shd w:val="clear" w:color="auto" w:fill="FFFFFF"/>
        <w:spacing w:after="0" w:line="360" w:lineRule="auto"/>
        <w:rPr>
          <w:rFonts w:ascii="Arial" w:eastAsia="Times New Roman" w:hAnsi="Arial" w:cs="Arial"/>
          <w:b/>
          <w:color w:val="373A3C"/>
          <w:lang w:val="en" w:eastAsia="en-AU"/>
        </w:rPr>
      </w:pPr>
    </w:p>
    <w:p w14:paraId="52020911" w14:textId="77777777" w:rsidR="00CD5DE0" w:rsidRPr="00CD5DE0" w:rsidRDefault="00CD5DE0" w:rsidP="00CD5DE0">
      <w:pPr>
        <w:shd w:val="clear" w:color="auto" w:fill="FFFFFF"/>
        <w:spacing w:after="0" w:line="240" w:lineRule="auto"/>
        <w:ind w:left="1080"/>
        <w:rPr>
          <w:rFonts w:ascii="Arial" w:eastAsia="Times New Roman" w:hAnsi="Arial" w:cs="Arial"/>
          <w:b/>
          <w:sz w:val="20"/>
          <w:szCs w:val="20"/>
          <w:lang w:val="en" w:eastAsia="en-AU"/>
        </w:rPr>
      </w:pPr>
      <w:r w:rsidRPr="00CD5DE0">
        <w:rPr>
          <w:rFonts w:ascii="Arial" w:eastAsia="Times New Roman" w:hAnsi="Arial" w:cs="Arial"/>
          <w:b/>
          <w:sz w:val="20"/>
          <w:szCs w:val="20"/>
          <w:lang w:val="en" w:eastAsia="en-AU"/>
        </w:rPr>
        <w:t>“Whilst the exercise is a holistic one and the contributions are to be considered up until the time of trial, it is important to give appropriate weight to the contributions made by the wife in all of the spheres, including to the welfare of the family</w:t>
      </w:r>
      <w:proofErr w:type="gramStart"/>
      <w:r w:rsidRPr="00CD5DE0">
        <w:rPr>
          <w:rFonts w:ascii="Arial" w:eastAsia="Times New Roman" w:hAnsi="Arial" w:cs="Arial"/>
          <w:b/>
          <w:sz w:val="20"/>
          <w:szCs w:val="20"/>
          <w:lang w:val="en" w:eastAsia="en-AU"/>
        </w:rPr>
        <w:t>…..</w:t>
      </w:r>
      <w:proofErr w:type="gramEnd"/>
      <w:r w:rsidRPr="00CD5DE0">
        <w:rPr>
          <w:rFonts w:ascii="Arial" w:eastAsia="Times New Roman" w:hAnsi="Arial" w:cs="Arial"/>
          <w:b/>
          <w:sz w:val="20"/>
          <w:szCs w:val="20"/>
          <w:lang w:val="en" w:eastAsia="en-AU"/>
        </w:rPr>
        <w:t xml:space="preserve">In this case, the contributions of both parties over a lengthy period were substantial and significant. The wife's contributions to the welfare of the family are in themselves significant contributions and section 79 does not suggest that one kind of contribution should be treated as less important or valuable than another. As his </w:t>
      </w:r>
      <w:proofErr w:type="spellStart"/>
      <w:r w:rsidRPr="00CD5DE0">
        <w:rPr>
          <w:rFonts w:ascii="Arial" w:eastAsia="Times New Roman" w:hAnsi="Arial" w:cs="Arial"/>
          <w:b/>
          <w:sz w:val="20"/>
          <w:szCs w:val="20"/>
          <w:lang w:val="en" w:eastAsia="en-AU"/>
        </w:rPr>
        <w:t>Honour</w:t>
      </w:r>
      <w:proofErr w:type="spellEnd"/>
      <w:r w:rsidRPr="00CD5DE0">
        <w:rPr>
          <w:rFonts w:ascii="Arial" w:eastAsia="Times New Roman" w:hAnsi="Arial" w:cs="Arial"/>
          <w:b/>
          <w:sz w:val="20"/>
          <w:szCs w:val="20"/>
          <w:lang w:val="en" w:eastAsia="en-AU"/>
        </w:rPr>
        <w:t xml:space="preserve"> noted at [78] of his reasons, and we confirm, references to one party freeing up the other party in the maintenance and stability within the business are examples of one party being rendered more able to make contributions with in their role by reason of the contributions made by the other party within their role.”</w:t>
      </w:r>
    </w:p>
    <w:p w14:paraId="3322A000" w14:textId="77777777" w:rsidR="00CD5DE0" w:rsidRPr="006E28BC" w:rsidRDefault="00CD5DE0" w:rsidP="00CD5DE0">
      <w:pPr>
        <w:shd w:val="clear" w:color="auto" w:fill="FFFFFF"/>
        <w:spacing w:after="0" w:line="360" w:lineRule="auto"/>
        <w:rPr>
          <w:rFonts w:ascii="Arial" w:eastAsia="Times New Roman" w:hAnsi="Arial" w:cs="Arial"/>
          <w:color w:val="373A3C"/>
          <w:lang w:val="en" w:eastAsia="en-AU"/>
        </w:rPr>
      </w:pPr>
    </w:p>
    <w:p w14:paraId="5260FD23" w14:textId="5CA7433A" w:rsidR="00CD5DE0" w:rsidRPr="003B1154" w:rsidRDefault="00CD5DE0" w:rsidP="00CD5DE0">
      <w:pPr>
        <w:pBdr>
          <w:bottom w:val="single" w:sz="6" w:space="1" w:color="auto"/>
        </w:pBdr>
        <w:shd w:val="clear" w:color="auto" w:fill="FFFFFF"/>
        <w:spacing w:after="0" w:line="360" w:lineRule="auto"/>
        <w:ind w:left="360"/>
        <w:rPr>
          <w:rFonts w:ascii="Arial" w:eastAsia="Times New Roman" w:hAnsi="Arial" w:cs="Arial"/>
          <w:color w:val="373A3C"/>
          <w:lang w:val="en" w:eastAsia="en-AU"/>
        </w:rPr>
      </w:pPr>
      <w:r w:rsidRPr="00CD5DE0">
        <w:rPr>
          <w:rFonts w:ascii="Arial" w:eastAsia="Times New Roman" w:hAnsi="Arial" w:cs="Arial"/>
          <w:color w:val="373A3C"/>
          <w:lang w:val="en" w:eastAsia="en-AU"/>
        </w:rPr>
        <w:t xml:space="preserve">Ultimately each of the parties was held to have contributed over a lengthy marriage to the acquisition, conservation and improvement of the assets which they owned at the date </w:t>
      </w:r>
      <w:r w:rsidRPr="003B1154">
        <w:rPr>
          <w:rFonts w:ascii="Arial" w:eastAsia="Times New Roman" w:hAnsi="Arial" w:cs="Arial"/>
          <w:color w:val="373A3C"/>
          <w:lang w:val="en" w:eastAsia="en-AU"/>
        </w:rPr>
        <w:t xml:space="preserve">of hearing. </w:t>
      </w:r>
    </w:p>
    <w:p w14:paraId="6DDBF916" w14:textId="77777777" w:rsidR="00CD5DE0" w:rsidRPr="003B1154" w:rsidRDefault="00CD5DE0" w:rsidP="00CD5DE0">
      <w:pPr>
        <w:pBdr>
          <w:bottom w:val="single" w:sz="6" w:space="1" w:color="auto"/>
        </w:pBdr>
        <w:shd w:val="clear" w:color="auto" w:fill="FFFFFF"/>
        <w:spacing w:after="0" w:line="360" w:lineRule="auto"/>
        <w:rPr>
          <w:rFonts w:ascii="Arial" w:eastAsia="Times New Roman" w:hAnsi="Arial" w:cs="Arial"/>
          <w:color w:val="373A3C"/>
          <w:lang w:val="en" w:eastAsia="en-AU"/>
        </w:rPr>
      </w:pPr>
    </w:p>
    <w:p w14:paraId="2AEFA4E0" w14:textId="77777777" w:rsidR="00CD5DE0" w:rsidRPr="003B1154" w:rsidRDefault="00CD5DE0" w:rsidP="00CD5DE0">
      <w:pPr>
        <w:pBdr>
          <w:bottom w:val="single" w:sz="6" w:space="0" w:color="auto"/>
        </w:pBdr>
        <w:shd w:val="clear" w:color="auto" w:fill="FFFFFF"/>
        <w:spacing w:after="0" w:line="240" w:lineRule="auto"/>
        <w:ind w:left="360"/>
        <w:rPr>
          <w:rFonts w:ascii="Arial" w:eastAsia="Times New Roman" w:hAnsi="Arial" w:cs="Arial"/>
          <w:b/>
          <w:lang w:val="en" w:eastAsia="en-AU"/>
        </w:rPr>
      </w:pPr>
      <w:r w:rsidRPr="003B1154">
        <w:rPr>
          <w:rFonts w:ascii="Arial" w:eastAsia="Times New Roman" w:hAnsi="Arial" w:cs="Arial"/>
          <w:b/>
          <w:lang w:val="en" w:eastAsia="en-AU"/>
        </w:rPr>
        <w:t>“</w:t>
      </w:r>
      <w:r w:rsidRPr="003B1154">
        <w:rPr>
          <w:rFonts w:ascii="Arial" w:eastAsia="Times New Roman" w:hAnsi="Arial" w:cs="Arial"/>
          <w:b/>
          <w:sz w:val="20"/>
          <w:szCs w:val="20"/>
          <w:lang w:val="en" w:eastAsia="en-AU"/>
        </w:rPr>
        <w:t>In our view, to place greater weight on the contributions made by the husband in his sphere does not do justice to the wife's contributions in the various capacities that we have outlined. Giving appropriate weight to the contributions of both parties and where, as the trial judge also found, the nature and form of their partnership was that of a “practical union of lives and property” (at [79]), that leads us to conclude that the contributions made by the parties should be treated as equal.”</w:t>
      </w:r>
    </w:p>
    <w:p w14:paraId="4694DDCC" w14:textId="77777777" w:rsidR="00CD5DE0" w:rsidRPr="003B1154" w:rsidRDefault="00CD5DE0" w:rsidP="00CD5DE0">
      <w:pPr>
        <w:spacing w:after="0" w:line="360" w:lineRule="auto"/>
        <w:rPr>
          <w:rFonts w:ascii="Arial" w:eastAsia="Times New Roman" w:hAnsi="Arial" w:cs="Arial"/>
          <w:lang w:val="en" w:eastAsia="en-AU"/>
        </w:rPr>
      </w:pPr>
    </w:p>
    <w:p w14:paraId="4DDA753D" w14:textId="7D00E93D" w:rsidR="00CD5DE0" w:rsidRPr="00CD5DE0" w:rsidRDefault="00CD5DE0" w:rsidP="00CD5DE0">
      <w:pPr>
        <w:spacing w:after="0" w:line="360" w:lineRule="auto"/>
        <w:ind w:left="360"/>
        <w:rPr>
          <w:rFonts w:ascii="Arial" w:eastAsia="Times New Roman" w:hAnsi="Arial" w:cs="Arial"/>
          <w:color w:val="000000"/>
        </w:rPr>
      </w:pPr>
      <w:r w:rsidRPr="00CD5DE0">
        <w:rPr>
          <w:rFonts w:ascii="Arial" w:hAnsi="Arial" w:cs="Arial"/>
          <w:i/>
        </w:rPr>
        <w:t>Kane and Kane</w:t>
      </w:r>
      <w:r w:rsidRPr="00CD5DE0">
        <w:rPr>
          <w:rFonts w:ascii="Arial" w:hAnsi="Arial" w:cs="Arial"/>
        </w:rPr>
        <w:t xml:space="preserve"> (2013) FLC ¶93-569 was a decision of the Full Court of the Family Court. In the context of an almost three-decade long marriage, with the exception of superannuation, a 50:50 position was agreed by the parties in relation to their respective contributions.  </w:t>
      </w:r>
    </w:p>
    <w:p w14:paraId="50D09507" w14:textId="77777777" w:rsidR="00CD5DE0" w:rsidRDefault="00CD5DE0" w:rsidP="00CD5DE0">
      <w:pPr>
        <w:spacing w:after="0" w:line="360" w:lineRule="auto"/>
        <w:rPr>
          <w:rFonts w:ascii="Arial" w:hAnsi="Arial" w:cs="Arial"/>
        </w:rPr>
      </w:pPr>
    </w:p>
    <w:p w14:paraId="6CF20EA6" w14:textId="15A4A42C" w:rsidR="00CD5DE0" w:rsidRPr="00CD5DE0" w:rsidRDefault="00CD5DE0" w:rsidP="00CD5DE0">
      <w:pPr>
        <w:spacing w:after="0" w:line="360" w:lineRule="auto"/>
        <w:ind w:left="360"/>
        <w:rPr>
          <w:rFonts w:ascii="Arial" w:eastAsia="Times New Roman" w:hAnsi="Arial" w:cs="Arial"/>
          <w:color w:val="000000"/>
        </w:rPr>
      </w:pPr>
      <w:r w:rsidRPr="00CD5DE0">
        <w:rPr>
          <w:rFonts w:ascii="Arial" w:hAnsi="Arial" w:cs="Arial"/>
        </w:rPr>
        <w:t xml:space="preserve">The critical aspect of the matter arose in the final year of the marriage. Herein the Husband had against the position taken by the Wife.  </w:t>
      </w:r>
    </w:p>
    <w:p w14:paraId="1D28DFBB" w14:textId="77777777" w:rsidR="00CD5DE0" w:rsidRDefault="00CD5DE0" w:rsidP="00CD5DE0">
      <w:pPr>
        <w:spacing w:after="0" w:line="360" w:lineRule="auto"/>
        <w:rPr>
          <w:rFonts w:ascii="Arial" w:eastAsia="Times New Roman" w:hAnsi="Arial" w:cs="Arial"/>
          <w:color w:val="000000"/>
        </w:rPr>
      </w:pPr>
    </w:p>
    <w:p w14:paraId="20AB2C38" w14:textId="32ED22F0" w:rsidR="00CD5DE0" w:rsidRPr="00CD5DE0" w:rsidRDefault="00CD5DE0" w:rsidP="003B1154">
      <w:pPr>
        <w:spacing w:after="0" w:line="360" w:lineRule="auto"/>
        <w:ind w:left="360"/>
        <w:rPr>
          <w:rFonts w:ascii="Arial" w:eastAsia="Times New Roman" w:hAnsi="Arial" w:cs="Arial"/>
          <w:color w:val="000000"/>
        </w:rPr>
      </w:pPr>
      <w:r w:rsidRPr="00CD5DE0">
        <w:rPr>
          <w:rFonts w:ascii="Arial" w:hAnsi="Arial" w:cs="Arial"/>
        </w:rPr>
        <w:t xml:space="preserve">Faulks DCJ </w:t>
      </w:r>
      <w:r w:rsidR="003B1154">
        <w:rPr>
          <w:rFonts w:ascii="Arial" w:hAnsi="Arial" w:cs="Arial"/>
        </w:rPr>
        <w:t xml:space="preserve">sitting in the Full Court </w:t>
      </w:r>
      <w:r w:rsidRPr="00CD5DE0">
        <w:rPr>
          <w:rFonts w:ascii="Arial" w:hAnsi="Arial" w:cs="Arial"/>
        </w:rPr>
        <w:t xml:space="preserve">held that the trial judge was mistaken to the extent that he formed a </w:t>
      </w:r>
      <w:r w:rsidR="003B1154" w:rsidRPr="00CD5DE0">
        <w:rPr>
          <w:rFonts w:ascii="Arial" w:hAnsi="Arial" w:cs="Arial"/>
        </w:rPr>
        <w:t>posit</w:t>
      </w:r>
      <w:r w:rsidR="003B1154">
        <w:rPr>
          <w:rFonts w:ascii="Arial" w:hAnsi="Arial" w:cs="Arial"/>
        </w:rPr>
        <w:t>ion</w:t>
      </w:r>
      <w:r w:rsidRPr="00CD5DE0">
        <w:rPr>
          <w:rFonts w:ascii="Arial" w:hAnsi="Arial" w:cs="Arial"/>
        </w:rPr>
        <w:t xml:space="preserve"> that the Court was obliged by authority to determine the contribution aspects to a division of matrimonial property by reference to the doctrine "special skills"</w:t>
      </w:r>
      <w:r w:rsidR="003B1154">
        <w:rPr>
          <w:rFonts w:ascii="Arial" w:hAnsi="Arial" w:cs="Arial"/>
        </w:rPr>
        <w:t xml:space="preserve">. </w:t>
      </w:r>
      <w:r w:rsidRPr="00CD5DE0">
        <w:rPr>
          <w:rFonts w:ascii="Arial" w:hAnsi="Arial" w:cs="Arial"/>
        </w:rPr>
        <w:t>Here</w:t>
      </w:r>
      <w:r w:rsidR="003B1154">
        <w:rPr>
          <w:rFonts w:ascii="Arial" w:hAnsi="Arial" w:cs="Arial"/>
        </w:rPr>
        <w:t xml:space="preserve">in it was stated </w:t>
      </w:r>
      <w:r w:rsidRPr="00CD5DE0">
        <w:rPr>
          <w:rFonts w:ascii="Arial" w:hAnsi="Arial" w:cs="Arial"/>
        </w:rPr>
        <w:t xml:space="preserve">the </w:t>
      </w:r>
      <w:r w:rsidRPr="00CD5DE0">
        <w:rPr>
          <w:rFonts w:ascii="Arial" w:hAnsi="Arial" w:cs="Arial"/>
          <w:i/>
        </w:rPr>
        <w:t>Family Law Act</w:t>
      </w:r>
      <w:r w:rsidRPr="00CD5DE0">
        <w:rPr>
          <w:rFonts w:ascii="Arial" w:hAnsi="Arial" w:cs="Arial"/>
        </w:rPr>
        <w:t xml:space="preserve"> does not require such a doctrine. Further none of the authorities according to the Deputy Chief Justice mandate any such doctrine. Even if the prior judgments of the Full Court might have been perceived to have championed such a principle, they should no longer be regarded as binding. </w:t>
      </w:r>
    </w:p>
    <w:p w14:paraId="61CC3443" w14:textId="77777777" w:rsidR="00CD5DE0" w:rsidRDefault="00CD5DE0" w:rsidP="00CD5DE0">
      <w:pPr>
        <w:spacing w:after="0" w:line="360" w:lineRule="auto"/>
        <w:rPr>
          <w:rFonts w:ascii="Arial" w:eastAsia="Times New Roman" w:hAnsi="Arial" w:cs="Arial"/>
          <w:color w:val="000000"/>
        </w:rPr>
      </w:pPr>
    </w:p>
    <w:p w14:paraId="71FDD8F6" w14:textId="034EBCFD" w:rsidR="00CD5DE0" w:rsidRPr="00CD5DE0" w:rsidRDefault="00CD5DE0" w:rsidP="00CD5DE0">
      <w:pPr>
        <w:spacing w:after="0" w:line="360" w:lineRule="auto"/>
        <w:ind w:left="360"/>
        <w:rPr>
          <w:rFonts w:ascii="Arial" w:eastAsia="Times New Roman" w:hAnsi="Arial" w:cs="Arial"/>
          <w:color w:val="000000"/>
        </w:rPr>
      </w:pPr>
      <w:r w:rsidRPr="00CD5DE0">
        <w:rPr>
          <w:rFonts w:ascii="Arial" w:hAnsi="Arial" w:cs="Arial"/>
        </w:rPr>
        <w:t>The error reflected the trial judge's miscarried discretion. This was because he took into account the "special skills" of the husband in accordance with what he might reasonably have thought was authority binding on him, but which in Faulks DCJ’s view, should not have been.</w:t>
      </w:r>
    </w:p>
    <w:p w14:paraId="3279416A" w14:textId="77777777" w:rsidR="00CD5DE0" w:rsidRDefault="00CD5DE0" w:rsidP="00CD5DE0">
      <w:pPr>
        <w:spacing w:after="0" w:line="360" w:lineRule="auto"/>
        <w:rPr>
          <w:rFonts w:ascii="Arial" w:hAnsi="Arial" w:cs="Arial"/>
        </w:rPr>
      </w:pPr>
    </w:p>
    <w:p w14:paraId="70CF56A6" w14:textId="1CBD014E" w:rsidR="00CD5DE0" w:rsidRPr="00CD5DE0" w:rsidRDefault="00CD5DE0" w:rsidP="00CD5DE0">
      <w:pPr>
        <w:spacing w:after="0" w:line="360" w:lineRule="auto"/>
        <w:ind w:left="360"/>
        <w:rPr>
          <w:rFonts w:ascii="Arial" w:eastAsia="Times New Roman" w:hAnsi="Arial" w:cs="Arial"/>
          <w:color w:val="000000"/>
        </w:rPr>
      </w:pPr>
      <w:r w:rsidRPr="00CD5DE0">
        <w:rPr>
          <w:rFonts w:ascii="Arial" w:hAnsi="Arial" w:cs="Arial"/>
        </w:rPr>
        <w:t xml:space="preserve">Even setting aside the arguable semantics of the labelling of “special skills”, the Deputy Chief Justice held on the facts that a disproportionate division of property in </w:t>
      </w:r>
      <w:proofErr w:type="spellStart"/>
      <w:r w:rsidRPr="00CD5DE0">
        <w:rPr>
          <w:rFonts w:ascii="Arial" w:hAnsi="Arial" w:cs="Arial"/>
        </w:rPr>
        <w:t>favour</w:t>
      </w:r>
      <w:proofErr w:type="spellEnd"/>
      <w:r w:rsidRPr="00CD5DE0">
        <w:rPr>
          <w:rFonts w:ascii="Arial" w:hAnsi="Arial" w:cs="Arial"/>
        </w:rPr>
        <w:t xml:space="preserve"> of the husband arrived had been arrived at by the Court below which could not be justified.</w:t>
      </w:r>
    </w:p>
    <w:p w14:paraId="5D3C01A8" w14:textId="77777777" w:rsidR="00CD5DE0" w:rsidRPr="00403712" w:rsidRDefault="00CD5DE0" w:rsidP="00CD5DE0">
      <w:pPr>
        <w:pStyle w:val="ListParagraph"/>
        <w:spacing w:after="0" w:line="360" w:lineRule="auto"/>
        <w:rPr>
          <w:rFonts w:ascii="Arial" w:eastAsia="Times New Roman" w:hAnsi="Arial" w:cs="Arial"/>
          <w:color w:val="000000"/>
        </w:rPr>
      </w:pPr>
    </w:p>
    <w:p w14:paraId="621884D6" w14:textId="557813C0" w:rsidR="00CD5DE0" w:rsidRPr="00CD5DE0" w:rsidRDefault="00CD5DE0" w:rsidP="00CD5DE0">
      <w:pPr>
        <w:spacing w:after="0" w:line="360" w:lineRule="auto"/>
        <w:ind w:left="360"/>
        <w:rPr>
          <w:rFonts w:ascii="Arial" w:eastAsia="Times New Roman" w:hAnsi="Arial" w:cs="Arial"/>
          <w:color w:val="000000"/>
        </w:rPr>
      </w:pPr>
      <w:r w:rsidRPr="00CD5DE0">
        <w:rPr>
          <w:rFonts w:ascii="Arial" w:eastAsia="Times New Roman" w:hAnsi="Arial" w:cs="Arial"/>
          <w:lang w:val="en" w:eastAsia="en-AU"/>
        </w:rPr>
        <w:t>Faulks DCJ said:</w:t>
      </w:r>
    </w:p>
    <w:p w14:paraId="61ACFAC7" w14:textId="77777777" w:rsidR="00CD5DE0" w:rsidRPr="00CD5DE0" w:rsidRDefault="00CD5DE0" w:rsidP="00CD5DE0">
      <w:pPr>
        <w:shd w:val="clear" w:color="auto" w:fill="FFFFFF"/>
        <w:spacing w:before="100" w:beforeAutospacing="1" w:after="75" w:line="240" w:lineRule="auto"/>
        <w:ind w:left="1980" w:right="947"/>
        <w:rPr>
          <w:rFonts w:ascii="Arial" w:eastAsia="Times New Roman" w:hAnsi="Arial" w:cs="Arial"/>
          <w:b/>
          <w:color w:val="000000"/>
          <w:sz w:val="20"/>
          <w:szCs w:val="20"/>
          <w:lang w:val="en" w:eastAsia="en-AU"/>
        </w:rPr>
      </w:pPr>
      <w:r w:rsidRPr="00CD5DE0">
        <w:rPr>
          <w:rFonts w:ascii="Arial" w:eastAsia="Times New Roman" w:hAnsi="Arial" w:cs="Arial"/>
          <w:b/>
          <w:color w:val="000000"/>
          <w:sz w:val="20"/>
          <w:szCs w:val="20"/>
          <w:lang w:val="en" w:eastAsia="en-AU"/>
        </w:rPr>
        <w:t>“</w:t>
      </w:r>
      <w:proofErr w:type="gramStart"/>
      <w:r w:rsidRPr="00CD5DE0">
        <w:rPr>
          <w:rFonts w:ascii="Arial" w:eastAsia="Times New Roman" w:hAnsi="Arial" w:cs="Arial"/>
          <w:b/>
          <w:color w:val="000000"/>
          <w:sz w:val="20"/>
          <w:szCs w:val="20"/>
          <w:lang w:val="en" w:eastAsia="en-AU"/>
        </w:rPr>
        <w:t>7.To</w:t>
      </w:r>
      <w:proofErr w:type="gramEnd"/>
      <w:r w:rsidRPr="00CD5DE0">
        <w:rPr>
          <w:rFonts w:ascii="Arial" w:eastAsia="Times New Roman" w:hAnsi="Arial" w:cs="Arial"/>
          <w:b/>
          <w:color w:val="000000"/>
          <w:sz w:val="20"/>
          <w:szCs w:val="20"/>
          <w:lang w:val="en" w:eastAsia="en-AU"/>
        </w:rPr>
        <w:t xml:space="preserve"> the extent that the trial judge believed himself to be obliged by authority to determine the division of the property of the parties by reference to some doctrine acknowledging ‘special skills’ in my opinion, for the reasons set out above, he was mistaken. The Act </w:t>
      </w:r>
      <w:r w:rsidRPr="00CD5DE0">
        <w:rPr>
          <w:rFonts w:ascii="Arial" w:eastAsia="Times New Roman" w:hAnsi="Arial" w:cs="Arial"/>
          <w:b/>
          <w:color w:val="000000"/>
          <w:sz w:val="20"/>
          <w:szCs w:val="20"/>
          <w:lang w:val="en" w:eastAsia="en-AU"/>
        </w:rPr>
        <w:lastRenderedPageBreak/>
        <w:t>does not require and in my opinion the authorities do not mandate, any such doctrine and if judgments of the Full Court of this Court might be thought to have espoused such a principle in my opinion, they should no longer be regarded as binding.</w:t>
      </w:r>
    </w:p>
    <w:p w14:paraId="441D99DB" w14:textId="77777777" w:rsidR="00CD5DE0" w:rsidRPr="00CD5DE0" w:rsidRDefault="00CD5DE0" w:rsidP="00CD5DE0">
      <w:pPr>
        <w:shd w:val="clear" w:color="auto" w:fill="FFFFFF"/>
        <w:spacing w:before="100" w:beforeAutospacing="1" w:after="100" w:line="240" w:lineRule="auto"/>
        <w:ind w:left="1980" w:right="947"/>
        <w:rPr>
          <w:rFonts w:ascii="Arial" w:eastAsia="Times New Roman" w:hAnsi="Arial" w:cs="Arial"/>
          <w:b/>
          <w:color w:val="000000"/>
          <w:sz w:val="20"/>
          <w:szCs w:val="20"/>
          <w:lang w:val="en" w:eastAsia="en-AU"/>
        </w:rPr>
      </w:pPr>
      <w:r w:rsidRPr="00CD5DE0">
        <w:rPr>
          <w:rFonts w:ascii="Arial" w:eastAsia="Times New Roman" w:hAnsi="Arial" w:cs="Arial"/>
          <w:b/>
          <w:color w:val="000000"/>
          <w:sz w:val="20"/>
          <w:szCs w:val="20"/>
          <w:lang w:val="en" w:eastAsia="en-AU"/>
        </w:rPr>
        <w:t xml:space="preserve">8. It is difficult to correlate effort or skill (even if special) with result. Frequently, the financial result of a contribution (whether by physical or intellectual </w:t>
      </w:r>
      <w:proofErr w:type="spellStart"/>
      <w:r w:rsidRPr="00CD5DE0">
        <w:rPr>
          <w:rFonts w:ascii="Arial" w:eastAsia="Times New Roman" w:hAnsi="Arial" w:cs="Arial"/>
          <w:b/>
          <w:color w:val="000000"/>
          <w:sz w:val="20"/>
          <w:szCs w:val="20"/>
          <w:lang w:val="en" w:eastAsia="en-AU"/>
        </w:rPr>
        <w:t>labour</w:t>
      </w:r>
      <w:proofErr w:type="spellEnd"/>
      <w:r w:rsidRPr="00CD5DE0">
        <w:rPr>
          <w:rFonts w:ascii="Arial" w:eastAsia="Times New Roman" w:hAnsi="Arial" w:cs="Arial"/>
          <w:b/>
          <w:color w:val="000000"/>
          <w:sz w:val="20"/>
          <w:szCs w:val="20"/>
          <w:lang w:val="en" w:eastAsia="en-AU"/>
        </w:rPr>
        <w:t xml:space="preserve"> or imagination foresight and perspicacity) will be influenced by external factors beyond the control of the party contributing </w:t>
      </w:r>
      <w:proofErr w:type="gramStart"/>
      <w:r w:rsidRPr="00CD5DE0">
        <w:rPr>
          <w:rFonts w:ascii="Arial" w:eastAsia="Times New Roman" w:hAnsi="Arial" w:cs="Arial"/>
          <w:b/>
          <w:color w:val="000000"/>
          <w:sz w:val="20"/>
          <w:szCs w:val="20"/>
          <w:lang w:val="en" w:eastAsia="en-AU"/>
        </w:rPr>
        <w:t>… ”</w:t>
      </w:r>
      <w:proofErr w:type="gramEnd"/>
    </w:p>
    <w:p w14:paraId="67E68383" w14:textId="77777777" w:rsidR="001D006C" w:rsidRDefault="001D006C" w:rsidP="00CD5DE0">
      <w:pPr>
        <w:spacing w:after="0" w:line="360" w:lineRule="auto"/>
        <w:ind w:left="360"/>
        <w:rPr>
          <w:rFonts w:ascii="Arial" w:hAnsi="Arial" w:cs="Arial"/>
        </w:rPr>
      </w:pPr>
    </w:p>
    <w:p w14:paraId="3E3EBB1D" w14:textId="4EE95173" w:rsidR="00CD5DE0" w:rsidRPr="00CD5DE0" w:rsidRDefault="003B1154" w:rsidP="00CD5DE0">
      <w:pPr>
        <w:spacing w:after="0" w:line="360" w:lineRule="auto"/>
        <w:ind w:left="360"/>
        <w:rPr>
          <w:rFonts w:ascii="Arial" w:hAnsi="Arial" w:cs="Arial"/>
        </w:rPr>
      </w:pPr>
      <w:r>
        <w:rPr>
          <w:rFonts w:ascii="Arial" w:hAnsi="Arial" w:cs="Arial"/>
        </w:rPr>
        <w:t>T</w:t>
      </w:r>
      <w:r w:rsidR="00CD5DE0" w:rsidRPr="00CD5DE0">
        <w:rPr>
          <w:rFonts w:ascii="Arial" w:hAnsi="Arial" w:cs="Arial"/>
        </w:rPr>
        <w:t xml:space="preserve">heir </w:t>
      </w:r>
      <w:proofErr w:type="spellStart"/>
      <w:r w:rsidR="00CD5DE0" w:rsidRPr="00CD5DE0">
        <w:rPr>
          <w:rFonts w:ascii="Arial" w:hAnsi="Arial" w:cs="Arial"/>
        </w:rPr>
        <w:t>Honours</w:t>
      </w:r>
      <w:proofErr w:type="spellEnd"/>
      <w:r w:rsidR="00CD5DE0" w:rsidRPr="00CD5DE0">
        <w:rPr>
          <w:rFonts w:ascii="Arial" w:hAnsi="Arial" w:cs="Arial"/>
        </w:rPr>
        <w:t xml:space="preserve"> May and Johnston JJ </w:t>
      </w:r>
      <w:r w:rsidRPr="00CD5DE0">
        <w:rPr>
          <w:rFonts w:ascii="Arial" w:hAnsi="Arial" w:cs="Arial"/>
        </w:rPr>
        <w:t>held</w:t>
      </w:r>
      <w:r w:rsidR="00CD5DE0" w:rsidRPr="00CD5DE0">
        <w:rPr>
          <w:rFonts w:ascii="Arial" w:hAnsi="Arial" w:cs="Arial"/>
        </w:rPr>
        <w:t xml:space="preserve"> that the Court below had been wrongly influenced by an assessment of the husband's contribution to the superannuation assets and thus could not be said to have been just and equitable. Essentially, Their </w:t>
      </w:r>
      <w:proofErr w:type="spellStart"/>
      <w:r w:rsidR="00CD5DE0" w:rsidRPr="00CD5DE0">
        <w:rPr>
          <w:rFonts w:ascii="Arial" w:hAnsi="Arial" w:cs="Arial"/>
        </w:rPr>
        <w:t>Honours</w:t>
      </w:r>
      <w:proofErr w:type="spellEnd"/>
      <w:r w:rsidR="00CD5DE0" w:rsidRPr="00CD5DE0">
        <w:rPr>
          <w:rFonts w:ascii="Arial" w:hAnsi="Arial" w:cs="Arial"/>
        </w:rPr>
        <w:t xml:space="preserve"> also noted that by relying on a percentage in assessing the parties’ respective contributions revealed an excessive weight given to the superannuation assets. The trial judge had fallen into error in attributing to the husband skills or acumen at a level which caused his </w:t>
      </w:r>
      <w:proofErr w:type="spellStart"/>
      <w:r w:rsidR="00CD5DE0" w:rsidRPr="00CD5DE0">
        <w:rPr>
          <w:rFonts w:ascii="Arial" w:hAnsi="Arial" w:cs="Arial"/>
        </w:rPr>
        <w:t>Honour's</w:t>
      </w:r>
      <w:proofErr w:type="spellEnd"/>
      <w:r w:rsidR="00CD5DE0" w:rsidRPr="00CD5DE0">
        <w:rPr>
          <w:rFonts w:ascii="Arial" w:hAnsi="Arial" w:cs="Arial"/>
        </w:rPr>
        <w:t xml:space="preserve"> finding about contributions to be disproportionately in the husband's </w:t>
      </w:r>
      <w:proofErr w:type="spellStart"/>
      <w:r w:rsidR="00CD5DE0" w:rsidRPr="00CD5DE0">
        <w:rPr>
          <w:rFonts w:ascii="Arial" w:hAnsi="Arial" w:cs="Arial"/>
        </w:rPr>
        <w:t>favour</w:t>
      </w:r>
      <w:proofErr w:type="spellEnd"/>
      <w:r w:rsidR="00CD5DE0" w:rsidRPr="00CD5DE0">
        <w:rPr>
          <w:rFonts w:ascii="Arial" w:hAnsi="Arial" w:cs="Arial"/>
        </w:rPr>
        <w:t xml:space="preserve">. </w:t>
      </w:r>
    </w:p>
    <w:p w14:paraId="079D2D4B" w14:textId="77777777" w:rsidR="00CD5DE0" w:rsidRDefault="00CD5DE0" w:rsidP="00CD5DE0">
      <w:pPr>
        <w:spacing w:after="0" w:line="360" w:lineRule="auto"/>
        <w:rPr>
          <w:rFonts w:ascii="Arial" w:hAnsi="Arial" w:cs="Arial"/>
        </w:rPr>
      </w:pPr>
    </w:p>
    <w:p w14:paraId="4CD7B2B7" w14:textId="36CC290E" w:rsidR="00CD5DE0" w:rsidRPr="00CD5DE0" w:rsidRDefault="00CD5DE0" w:rsidP="00CD5DE0">
      <w:pPr>
        <w:spacing w:after="0" w:line="360" w:lineRule="auto"/>
        <w:ind w:left="360"/>
        <w:rPr>
          <w:rFonts w:ascii="Arial" w:eastAsia="Times New Roman" w:hAnsi="Arial" w:cs="Arial"/>
          <w:color w:val="000000"/>
        </w:rPr>
      </w:pPr>
      <w:r w:rsidRPr="00CD5DE0">
        <w:rPr>
          <w:rFonts w:ascii="Arial" w:eastAsia="Times New Roman" w:hAnsi="Arial" w:cs="Arial"/>
          <w:color w:val="000000"/>
          <w:lang w:val="en" w:eastAsia="en-AU"/>
        </w:rPr>
        <w:t xml:space="preserve">In </w:t>
      </w:r>
      <w:r w:rsidRPr="00CD5DE0">
        <w:rPr>
          <w:rFonts w:ascii="Arial" w:eastAsia="Times New Roman" w:hAnsi="Arial" w:cs="Arial"/>
          <w:i/>
          <w:color w:val="000000"/>
          <w:lang w:val="en" w:eastAsia="en-AU"/>
        </w:rPr>
        <w:t>Hoffman and Hoffman</w:t>
      </w:r>
      <w:r w:rsidRPr="00CD5DE0">
        <w:rPr>
          <w:rFonts w:ascii="Arial" w:eastAsia="Times New Roman" w:hAnsi="Arial" w:cs="Arial"/>
          <w:color w:val="000000"/>
          <w:lang w:val="en" w:eastAsia="en-AU"/>
        </w:rPr>
        <w:t xml:space="preserve"> (2014) FLC ¶93-591 the Full Court stated that it did not hold a position that there is any "legitimate guideline" of "special contributions". Nor did Their </w:t>
      </w:r>
      <w:proofErr w:type="spellStart"/>
      <w:r w:rsidRPr="00CD5DE0">
        <w:rPr>
          <w:rFonts w:ascii="Arial" w:eastAsia="Times New Roman" w:hAnsi="Arial" w:cs="Arial"/>
          <w:color w:val="000000"/>
          <w:lang w:val="en" w:eastAsia="en-AU"/>
        </w:rPr>
        <w:t>Honours</w:t>
      </w:r>
      <w:proofErr w:type="spellEnd"/>
      <w:r w:rsidRPr="00CD5DE0">
        <w:rPr>
          <w:rFonts w:ascii="Arial" w:eastAsia="Times New Roman" w:hAnsi="Arial" w:cs="Arial"/>
          <w:color w:val="000000"/>
          <w:lang w:val="en" w:eastAsia="en-AU"/>
        </w:rPr>
        <w:t xml:space="preserve"> rally behind the ideal that a guideline pertaining to particular contributions contained any "special" factors or features that "eases the burden" in establishing a miscarriage of discretion. </w:t>
      </w:r>
    </w:p>
    <w:p w14:paraId="09EFF1BF" w14:textId="77777777" w:rsidR="00CD5DE0" w:rsidRDefault="00CD5DE0" w:rsidP="00CD5DE0">
      <w:pPr>
        <w:spacing w:after="0" w:line="360" w:lineRule="auto"/>
        <w:rPr>
          <w:rFonts w:ascii="Arial" w:eastAsia="Times New Roman" w:hAnsi="Arial" w:cs="Arial"/>
          <w:color w:val="000000"/>
        </w:rPr>
      </w:pPr>
    </w:p>
    <w:p w14:paraId="25DCF10E" w14:textId="514FE0C4" w:rsidR="00CD5DE0" w:rsidRPr="00CD5DE0" w:rsidRDefault="00CD5DE0" w:rsidP="00CD5DE0">
      <w:pPr>
        <w:spacing w:after="0" w:line="360" w:lineRule="auto"/>
        <w:ind w:left="360"/>
        <w:rPr>
          <w:rFonts w:ascii="Arial" w:eastAsia="Times New Roman" w:hAnsi="Arial" w:cs="Arial"/>
          <w:color w:val="000000"/>
          <w:lang w:val="en" w:eastAsia="en-AU"/>
        </w:rPr>
      </w:pPr>
      <w:r w:rsidRPr="00CD5DE0">
        <w:rPr>
          <w:rFonts w:ascii="Arial" w:eastAsia="Times New Roman" w:hAnsi="Arial" w:cs="Arial"/>
          <w:color w:val="000000"/>
          <w:lang w:val="en" w:eastAsia="en-AU"/>
        </w:rPr>
        <w:t>In dismissing the Appeal, the Full Court emphasized the partnership impact of marriages and how that leads to a more equal assessment of the parties’ contributions at para 49:</w:t>
      </w:r>
    </w:p>
    <w:p w14:paraId="28187BA8" w14:textId="77777777" w:rsidR="00CD5DE0" w:rsidRPr="00CD5DE0" w:rsidRDefault="00CD5DE0" w:rsidP="00CD5DE0">
      <w:pPr>
        <w:spacing w:after="0" w:line="240" w:lineRule="auto"/>
        <w:ind w:left="1080"/>
        <w:rPr>
          <w:rFonts w:ascii="Arial" w:eastAsia="Times New Roman" w:hAnsi="Arial" w:cs="Arial"/>
          <w:color w:val="000000"/>
          <w:sz w:val="20"/>
          <w:szCs w:val="20"/>
          <w:lang w:val="en" w:eastAsia="en-AU"/>
        </w:rPr>
      </w:pPr>
      <w:r w:rsidRPr="00CD5DE0">
        <w:rPr>
          <w:rFonts w:ascii="Arial" w:hAnsi="Arial" w:cs="Arial"/>
          <w:b/>
          <w:sz w:val="20"/>
          <w:szCs w:val="20"/>
        </w:rPr>
        <w:t>“Marriage is and should be regarded as a genuine partnership to which each brings different gifts. The fact that one is productive of money in large quantities is no reason to disadvantage the other.”</w:t>
      </w:r>
    </w:p>
    <w:p w14:paraId="3030FADE" w14:textId="77777777" w:rsidR="002E0BEA" w:rsidRDefault="002E0BEA" w:rsidP="003B1154">
      <w:pPr>
        <w:shd w:val="clear" w:color="auto" w:fill="FFFFFF"/>
        <w:spacing w:after="0" w:line="360" w:lineRule="auto"/>
        <w:ind w:left="584" w:hanging="584"/>
        <w:rPr>
          <w:rFonts w:ascii="Arial" w:hAnsi="Arial" w:cs="Arial"/>
        </w:rPr>
      </w:pPr>
    </w:p>
    <w:p w14:paraId="5E99DE3F" w14:textId="69991113"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3B1154">
        <w:rPr>
          <w:rFonts w:ascii="Arial" w:hAnsi="Arial" w:cs="Arial"/>
        </w:rPr>
        <w:t xml:space="preserve">In </w:t>
      </w:r>
      <w:r w:rsidRPr="001D6323">
        <w:rPr>
          <w:rFonts w:ascii="Arial" w:hAnsi="Arial" w:cs="Arial"/>
          <w:i/>
        </w:rPr>
        <w:t xml:space="preserve">Grier v </w:t>
      </w:r>
      <w:proofErr w:type="spellStart"/>
      <w:proofErr w:type="gramStart"/>
      <w:r w:rsidRPr="001D6323">
        <w:rPr>
          <w:rFonts w:ascii="Arial" w:hAnsi="Arial" w:cs="Arial"/>
          <w:i/>
        </w:rPr>
        <w:t>Malphas</w:t>
      </w:r>
      <w:proofErr w:type="spellEnd"/>
      <w:r>
        <w:rPr>
          <w:rFonts w:ascii="Arial" w:hAnsi="Arial" w:cs="Arial"/>
          <w:i/>
        </w:rPr>
        <w:t xml:space="preserve">  </w:t>
      </w:r>
      <w:r w:rsidRPr="00DA3045">
        <w:rPr>
          <w:rFonts w:ascii="Arial" w:hAnsi="Arial" w:cs="Arial"/>
        </w:rPr>
        <w:t>[</w:t>
      </w:r>
      <w:proofErr w:type="gramEnd"/>
      <w:r w:rsidRPr="00DA3045">
        <w:rPr>
          <w:rFonts w:ascii="Arial" w:hAnsi="Arial" w:cs="Arial"/>
        </w:rPr>
        <w:t xml:space="preserve">2016] </w:t>
      </w:r>
      <w:proofErr w:type="spellStart"/>
      <w:r w:rsidRPr="00DA3045">
        <w:rPr>
          <w:rFonts w:ascii="Arial" w:hAnsi="Arial" w:cs="Arial"/>
        </w:rPr>
        <w:t>FamCAFC</w:t>
      </w:r>
      <w:proofErr w:type="spellEnd"/>
      <w:r w:rsidRPr="00DA3045">
        <w:rPr>
          <w:rFonts w:ascii="Arial" w:hAnsi="Arial" w:cs="Arial"/>
        </w:rPr>
        <w:t xml:space="preserve"> 84</w:t>
      </w:r>
      <w:r>
        <w:rPr>
          <w:rFonts w:ascii="Arial" w:hAnsi="Arial" w:cs="Arial"/>
        </w:rPr>
        <w:t xml:space="preserve"> </w:t>
      </w:r>
      <w:r w:rsidRPr="000F01CC">
        <w:rPr>
          <w:rFonts w:ascii="Arial" w:eastAsia="Times New Roman" w:hAnsi="Arial" w:cs="Arial"/>
          <w:bCs/>
          <w:lang w:val="en" w:eastAsia="en-AU"/>
        </w:rPr>
        <w:t xml:space="preserve">Murphy and Kent JJ agreed with the </w:t>
      </w:r>
      <w:r w:rsidRPr="000F01CC">
        <w:rPr>
          <w:rFonts w:ascii="Arial" w:eastAsia="Times New Roman" w:hAnsi="Arial" w:cs="Arial"/>
          <w:lang w:val="en" w:eastAsia="en-AU"/>
        </w:rPr>
        <w:t>Chief Justice</w:t>
      </w:r>
      <w:r>
        <w:rPr>
          <w:rFonts w:ascii="Arial" w:eastAsia="Times New Roman" w:hAnsi="Arial" w:cs="Arial"/>
          <w:lang w:val="en" w:eastAsia="en-AU"/>
        </w:rPr>
        <w:t>’s</w:t>
      </w:r>
    </w:p>
    <w:p w14:paraId="47904C17"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reasons for rejecting the contentions of the husband as to his “skill set” and the asserted role </w:t>
      </w:r>
    </w:p>
    <w:p w14:paraId="46C10292"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that should play in assessing contributions.</w:t>
      </w:r>
      <w:r>
        <w:rPr>
          <w:rFonts w:ascii="Arial" w:eastAsia="Times New Roman" w:hAnsi="Arial" w:cs="Arial"/>
          <w:lang w:val="en" w:eastAsia="en-AU"/>
        </w:rPr>
        <w:t xml:space="preserve"> Their </w:t>
      </w:r>
      <w:proofErr w:type="spellStart"/>
      <w:r>
        <w:rPr>
          <w:rFonts w:ascii="Arial" w:eastAsia="Times New Roman" w:hAnsi="Arial" w:cs="Arial"/>
          <w:lang w:val="en" w:eastAsia="en-AU"/>
        </w:rPr>
        <w:t>Honours</w:t>
      </w:r>
      <w:proofErr w:type="spellEnd"/>
      <w:r>
        <w:rPr>
          <w:rFonts w:ascii="Arial" w:eastAsia="Times New Roman" w:hAnsi="Arial" w:cs="Arial"/>
          <w:lang w:val="en" w:eastAsia="en-AU"/>
        </w:rPr>
        <w:t xml:space="preserve"> noted that w</w:t>
      </w:r>
      <w:r w:rsidRPr="000F01CC">
        <w:rPr>
          <w:rFonts w:ascii="Arial" w:eastAsia="Times New Roman" w:hAnsi="Arial" w:cs="Arial"/>
          <w:lang w:val="en" w:eastAsia="en-AU"/>
        </w:rPr>
        <w:t xml:space="preserve">hat skill or skills a person </w:t>
      </w:r>
    </w:p>
    <w:p w14:paraId="27DFD3C0"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brings to a relationship which are said to result in the making of money or accumulation of </w:t>
      </w:r>
    </w:p>
    <w:p w14:paraId="1D15D1EF"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capital is no more or less relevant than the skill set a person brings to a relationship as a </w:t>
      </w:r>
    </w:p>
    <w:p w14:paraId="0FE0E719"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homemaker and parent, or as the performer of two roles as a homemaker and parent and </w:t>
      </w:r>
    </w:p>
    <w:p w14:paraId="3A6D5C8A"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income earner. The “skill set” or “potential” of “talent” a party brings to the role or roles which the </w:t>
      </w:r>
    </w:p>
    <w:p w14:paraId="2E81882B"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parties have determined each will undertake in the relationship is, for s</w:t>
      </w:r>
      <w:r>
        <w:rPr>
          <w:rFonts w:ascii="Arial" w:eastAsia="Times New Roman" w:hAnsi="Arial" w:cs="Arial"/>
          <w:lang w:val="en" w:eastAsia="en-AU"/>
        </w:rPr>
        <w:t xml:space="preserve">ection </w:t>
      </w:r>
      <w:r w:rsidRPr="000F01CC">
        <w:rPr>
          <w:rFonts w:ascii="Arial" w:eastAsia="Times New Roman" w:hAnsi="Arial" w:cs="Arial"/>
          <w:lang w:val="en" w:eastAsia="en-AU"/>
        </w:rPr>
        <w:t xml:space="preserve">79's purposes, </w:t>
      </w:r>
    </w:p>
    <w:p w14:paraId="6A0B56CC"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lastRenderedPageBreak/>
        <w:t>relevant only to how those attributes manifest themselves in what s</w:t>
      </w:r>
      <w:r>
        <w:rPr>
          <w:rFonts w:ascii="Arial" w:eastAsia="Times New Roman" w:hAnsi="Arial" w:cs="Arial"/>
          <w:lang w:val="en" w:eastAsia="en-AU"/>
        </w:rPr>
        <w:t>ection</w:t>
      </w:r>
      <w:r w:rsidRPr="000F01CC">
        <w:rPr>
          <w:rFonts w:ascii="Arial" w:eastAsia="Times New Roman" w:hAnsi="Arial" w:cs="Arial"/>
          <w:lang w:val="en" w:eastAsia="en-AU"/>
        </w:rPr>
        <w:t xml:space="preserve"> 79 says must be </w:t>
      </w:r>
    </w:p>
    <w:p w14:paraId="3B0EF4FB"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considered.</w:t>
      </w:r>
      <w:r>
        <w:rPr>
          <w:rFonts w:ascii="Arial" w:eastAsia="Times New Roman" w:hAnsi="Arial" w:cs="Arial"/>
          <w:lang w:val="en" w:eastAsia="en-AU"/>
        </w:rPr>
        <w:t xml:space="preserve"> Herein, i</w:t>
      </w:r>
      <w:r w:rsidRPr="000F01CC">
        <w:rPr>
          <w:rFonts w:ascii="Arial" w:eastAsia="Times New Roman" w:hAnsi="Arial" w:cs="Arial"/>
          <w:lang w:val="en" w:eastAsia="en-AU"/>
        </w:rPr>
        <w:t xml:space="preserve">t is not a party's “skill set” which must be considered, but </w:t>
      </w:r>
      <w:proofErr w:type="gramStart"/>
      <w:r w:rsidRPr="000F01CC">
        <w:rPr>
          <w:rFonts w:ascii="Arial" w:eastAsia="Times New Roman" w:hAnsi="Arial" w:cs="Arial"/>
          <w:lang w:val="en" w:eastAsia="en-AU"/>
        </w:rPr>
        <w:t>their</w:t>
      </w:r>
      <w:proofErr w:type="gramEnd"/>
      <w:r w:rsidRPr="000F01CC">
        <w:rPr>
          <w:rFonts w:ascii="Arial" w:eastAsia="Times New Roman" w:hAnsi="Arial" w:cs="Arial"/>
          <w:lang w:val="en" w:eastAsia="en-AU"/>
        </w:rPr>
        <w:t xml:space="preserve"> </w:t>
      </w:r>
    </w:p>
    <w:p w14:paraId="6BDAEA49"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contributions. Contributions are the product of many things: talent, industry, selflessness and, </w:t>
      </w:r>
    </w:p>
    <w:p w14:paraId="60CB9B3C"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 xml:space="preserve">indeed, luck, to name a few. It is the contributions (in all senses in which that expression is used </w:t>
      </w:r>
    </w:p>
    <w:p w14:paraId="26192F16"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in s</w:t>
      </w:r>
      <w:r>
        <w:rPr>
          <w:rFonts w:ascii="Arial" w:eastAsia="Times New Roman" w:hAnsi="Arial" w:cs="Arial"/>
          <w:lang w:val="en" w:eastAsia="en-AU"/>
        </w:rPr>
        <w:t>ection</w:t>
      </w:r>
      <w:r w:rsidRPr="000F01CC">
        <w:rPr>
          <w:rFonts w:ascii="Arial" w:eastAsia="Times New Roman" w:hAnsi="Arial" w:cs="Arial"/>
          <w:lang w:val="en" w:eastAsia="en-AU"/>
        </w:rPr>
        <w:t xml:space="preserve"> 79) that fall for consideration and assessment, not the combination of factors that has </w:t>
      </w:r>
    </w:p>
    <w:p w14:paraId="1334F669" w14:textId="7E0F255C" w:rsidR="003B1154" w:rsidRDefault="003B1154" w:rsidP="003B1154">
      <w:pPr>
        <w:shd w:val="clear" w:color="auto" w:fill="FFFFFF"/>
        <w:spacing w:after="0" w:line="360" w:lineRule="auto"/>
        <w:ind w:left="584" w:hanging="584"/>
        <w:rPr>
          <w:rFonts w:ascii="Arial" w:eastAsia="Times New Roman" w:hAnsi="Arial" w:cs="Arial"/>
          <w:lang w:val="en" w:eastAsia="en-AU"/>
        </w:rPr>
      </w:pPr>
      <w:r w:rsidRPr="000F01CC">
        <w:rPr>
          <w:rFonts w:ascii="Arial" w:eastAsia="Times New Roman" w:hAnsi="Arial" w:cs="Arial"/>
          <w:lang w:val="en" w:eastAsia="en-AU"/>
        </w:rPr>
        <w:t>created the capacity for the making of those contributions.</w:t>
      </w:r>
    </w:p>
    <w:p w14:paraId="6A39C0C7" w14:textId="77777777" w:rsidR="003B1154" w:rsidRDefault="003B1154" w:rsidP="003B1154">
      <w:pPr>
        <w:shd w:val="clear" w:color="auto" w:fill="FFFFFF"/>
        <w:spacing w:after="0" w:line="360" w:lineRule="auto"/>
        <w:ind w:left="584" w:hanging="584"/>
        <w:rPr>
          <w:rFonts w:ascii="Arial" w:eastAsia="Times New Roman" w:hAnsi="Arial" w:cs="Arial"/>
          <w:lang w:val="en" w:eastAsia="en-AU"/>
        </w:rPr>
      </w:pPr>
    </w:p>
    <w:p w14:paraId="533DB5F0" w14:textId="77777777" w:rsidR="003B1154" w:rsidRDefault="003B1154" w:rsidP="003B1154">
      <w:pPr>
        <w:shd w:val="clear" w:color="auto" w:fill="FFFFFF"/>
        <w:spacing w:after="0" w:line="360" w:lineRule="auto"/>
        <w:ind w:left="584" w:hanging="584"/>
        <w:rPr>
          <w:rFonts w:ascii="Arial" w:eastAsia="Times New Roman" w:hAnsi="Arial" w:cs="Arial"/>
          <w:color w:val="000000"/>
          <w:lang w:eastAsia="en-AU"/>
        </w:rPr>
      </w:pPr>
      <w:r>
        <w:rPr>
          <w:rFonts w:ascii="Arial" w:eastAsia="Times New Roman" w:hAnsi="Arial" w:cs="Arial"/>
          <w:bCs/>
          <w:i/>
          <w:color w:val="000000"/>
          <w:lang w:eastAsia="en-AU"/>
        </w:rPr>
        <w:t xml:space="preserve">In </w:t>
      </w:r>
      <w:r w:rsidRPr="00790307">
        <w:rPr>
          <w:rFonts w:ascii="Arial" w:eastAsia="Times New Roman" w:hAnsi="Arial" w:cs="Arial"/>
          <w:bCs/>
          <w:i/>
          <w:color w:val="000000"/>
          <w:lang w:eastAsia="en-AU"/>
        </w:rPr>
        <w:t>Wallis &amp; Manning</w:t>
      </w:r>
      <w:r w:rsidRPr="00790307">
        <w:rPr>
          <w:rFonts w:ascii="Arial" w:eastAsia="Times New Roman" w:hAnsi="Arial" w:cs="Arial"/>
          <w:bCs/>
          <w:color w:val="000000"/>
          <w:lang w:eastAsia="en-AU"/>
        </w:rPr>
        <w:t xml:space="preserve"> [2017] </w:t>
      </w:r>
      <w:proofErr w:type="spellStart"/>
      <w:r w:rsidRPr="00790307">
        <w:rPr>
          <w:rFonts w:ascii="Arial" w:eastAsia="Times New Roman" w:hAnsi="Arial" w:cs="Arial"/>
          <w:bCs/>
          <w:color w:val="000000"/>
          <w:lang w:eastAsia="en-AU"/>
        </w:rPr>
        <w:t>FamCAFC</w:t>
      </w:r>
      <w:proofErr w:type="spellEnd"/>
      <w:r w:rsidRPr="00790307">
        <w:rPr>
          <w:rFonts w:ascii="Arial" w:eastAsia="Times New Roman" w:hAnsi="Arial" w:cs="Arial"/>
          <w:bCs/>
          <w:color w:val="000000"/>
          <w:lang w:eastAsia="en-AU"/>
        </w:rPr>
        <w:t xml:space="preserve"> 14 (10 February 2017) </w:t>
      </w:r>
      <w:r>
        <w:rPr>
          <w:rFonts w:ascii="Arial" w:eastAsia="Times New Roman" w:hAnsi="Arial" w:cs="Arial"/>
          <w:bCs/>
          <w:color w:val="000000"/>
          <w:lang w:eastAsia="en-AU"/>
        </w:rPr>
        <w:t>t</w:t>
      </w:r>
      <w:r>
        <w:rPr>
          <w:rFonts w:ascii="Arial" w:eastAsia="Times New Roman" w:hAnsi="Arial" w:cs="Arial"/>
          <w:color w:val="000000"/>
          <w:lang w:eastAsia="en-AU"/>
        </w:rPr>
        <w:t xml:space="preserve">he </w:t>
      </w:r>
      <w:r w:rsidRPr="009408FB">
        <w:rPr>
          <w:rFonts w:ascii="Arial" w:eastAsia="Times New Roman" w:hAnsi="Arial" w:cs="Arial"/>
          <w:color w:val="000000"/>
          <w:lang w:eastAsia="en-AU"/>
        </w:rPr>
        <w:t xml:space="preserve">Full Court </w:t>
      </w:r>
      <w:r>
        <w:rPr>
          <w:rFonts w:ascii="Arial" w:eastAsia="Times New Roman" w:hAnsi="Arial" w:cs="Arial"/>
          <w:color w:val="000000"/>
          <w:lang w:eastAsia="en-AU"/>
        </w:rPr>
        <w:t>was at pains to</w:t>
      </w:r>
    </w:p>
    <w:p w14:paraId="08202275" w14:textId="5DE7C9BE" w:rsidR="003B1154" w:rsidRPr="00790307" w:rsidRDefault="003B1154" w:rsidP="003B1154">
      <w:pPr>
        <w:shd w:val="clear" w:color="auto" w:fill="FFFFFF"/>
        <w:spacing w:after="0" w:line="360" w:lineRule="auto"/>
        <w:ind w:left="584" w:hanging="584"/>
        <w:rPr>
          <w:rFonts w:ascii="Arial" w:eastAsia="Times New Roman" w:hAnsi="Arial" w:cs="Arial"/>
          <w:lang w:val="en" w:eastAsia="en-AU"/>
        </w:rPr>
      </w:pPr>
      <w:r>
        <w:rPr>
          <w:rFonts w:ascii="Arial" w:eastAsia="Times New Roman" w:hAnsi="Arial" w:cs="Arial"/>
          <w:color w:val="000000"/>
          <w:lang w:eastAsia="en-AU"/>
        </w:rPr>
        <w:t xml:space="preserve">quote a 1998 decision of the same Court </w:t>
      </w:r>
      <w:r w:rsidRPr="009408FB">
        <w:rPr>
          <w:rFonts w:ascii="Arial" w:eastAsia="Times New Roman" w:hAnsi="Arial" w:cs="Arial"/>
          <w:color w:val="000000"/>
          <w:lang w:eastAsia="en-AU"/>
        </w:rPr>
        <w:t xml:space="preserve">in </w:t>
      </w:r>
      <w:proofErr w:type="spellStart"/>
      <w:r w:rsidRPr="00790307">
        <w:rPr>
          <w:rFonts w:ascii="Arial" w:eastAsia="Times New Roman" w:hAnsi="Arial" w:cs="Arial"/>
          <w:i/>
          <w:iCs/>
          <w:color w:val="000000"/>
          <w:lang w:eastAsia="en-AU"/>
        </w:rPr>
        <w:t>Dickons</w:t>
      </w:r>
      <w:proofErr w:type="spellEnd"/>
      <w:r w:rsidRPr="00790307">
        <w:rPr>
          <w:rFonts w:ascii="Arial" w:eastAsia="Times New Roman" w:hAnsi="Arial" w:cs="Arial"/>
          <w:i/>
          <w:iCs/>
          <w:color w:val="000000"/>
          <w:lang w:eastAsia="en-AU"/>
        </w:rPr>
        <w:t xml:space="preserve"> v </w:t>
      </w:r>
      <w:proofErr w:type="spellStart"/>
      <w:proofErr w:type="gramStart"/>
      <w:r w:rsidRPr="00790307">
        <w:rPr>
          <w:rFonts w:ascii="Arial" w:eastAsia="Times New Roman" w:hAnsi="Arial" w:cs="Arial"/>
          <w:i/>
          <w:iCs/>
          <w:color w:val="000000"/>
          <w:lang w:eastAsia="en-AU"/>
        </w:rPr>
        <w:t>Dickons</w:t>
      </w:r>
      <w:proofErr w:type="spellEnd"/>
      <w:r w:rsidR="002E0BEA">
        <w:rPr>
          <w:rFonts w:ascii="Arial" w:eastAsia="Times New Roman" w:hAnsi="Arial" w:cs="Arial"/>
          <w:i/>
          <w:iCs/>
          <w:color w:val="000000"/>
          <w:lang w:eastAsia="en-AU"/>
        </w:rPr>
        <w:t xml:space="preserve"> </w:t>
      </w:r>
      <w:r w:rsidR="002E0BEA" w:rsidRPr="002E0BEA">
        <w:rPr>
          <w:rFonts w:ascii="Arial" w:eastAsia="Times New Roman" w:hAnsi="Arial" w:cs="Arial"/>
          <w:i/>
          <w:iCs/>
          <w:color w:val="000000"/>
          <w:lang w:eastAsia="en-AU"/>
        </w:rPr>
        <w:t xml:space="preserve"> </w:t>
      </w:r>
      <w:r w:rsidR="002E0BEA" w:rsidRPr="002E0BEA">
        <w:rPr>
          <w:rFonts w:ascii="Arial" w:eastAsia="Times New Roman" w:hAnsi="Arial" w:cs="Arial"/>
          <w:iCs/>
          <w:color w:val="000000"/>
          <w:lang w:eastAsia="en-AU"/>
        </w:rPr>
        <w:t>(</w:t>
      </w:r>
      <w:proofErr w:type="gramEnd"/>
      <w:r w:rsidR="002E0BEA" w:rsidRPr="002E0BEA">
        <w:rPr>
          <w:rFonts w:ascii="Arial" w:eastAsia="Times New Roman" w:hAnsi="Arial" w:cs="Arial"/>
          <w:iCs/>
          <w:color w:val="000000"/>
          <w:lang w:eastAsia="en-AU"/>
        </w:rPr>
        <w:t xml:space="preserve">[2012] </w:t>
      </w:r>
      <w:proofErr w:type="spellStart"/>
      <w:r w:rsidR="002E0BEA" w:rsidRPr="002E0BEA">
        <w:rPr>
          <w:rFonts w:ascii="Arial" w:eastAsia="Times New Roman" w:hAnsi="Arial" w:cs="Arial"/>
          <w:iCs/>
          <w:color w:val="000000"/>
          <w:lang w:eastAsia="en-AU"/>
        </w:rPr>
        <w:t>FamCAFC</w:t>
      </w:r>
      <w:proofErr w:type="spellEnd"/>
      <w:r w:rsidR="002E0BEA" w:rsidRPr="002E0BEA">
        <w:rPr>
          <w:rFonts w:ascii="Arial" w:eastAsia="Times New Roman" w:hAnsi="Arial" w:cs="Arial"/>
          <w:iCs/>
          <w:color w:val="000000"/>
          <w:lang w:eastAsia="en-AU"/>
        </w:rPr>
        <w:t xml:space="preserve"> 154</w:t>
      </w:r>
      <w:r w:rsidRPr="002E0BEA">
        <w:rPr>
          <w:rFonts w:ascii="Arial" w:eastAsia="Times New Roman" w:hAnsi="Arial" w:cs="Arial"/>
          <w:color w:val="000000"/>
          <w:lang w:eastAsia="en-AU"/>
        </w:rPr>
        <w:t>:</w:t>
      </w:r>
    </w:p>
    <w:p w14:paraId="53D69A8D" w14:textId="77777777" w:rsidR="003B1154" w:rsidRDefault="003B1154" w:rsidP="003B1154">
      <w:pPr>
        <w:shd w:val="clear" w:color="auto" w:fill="FFFFFF"/>
        <w:spacing w:after="0" w:line="240" w:lineRule="auto"/>
        <w:ind w:left="584"/>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w:t>
      </w:r>
      <w:r w:rsidRPr="00790307">
        <w:rPr>
          <w:rFonts w:ascii="Arial" w:eastAsia="Times New Roman" w:hAnsi="Arial" w:cs="Arial"/>
          <w:b/>
          <w:color w:val="000000"/>
          <w:sz w:val="20"/>
          <w:szCs w:val="20"/>
          <w:lang w:eastAsia="en-AU"/>
        </w:rPr>
        <w:t xml:space="preserve">... the requirements of the section are met by approaching the assessment of contributions holistically and by </w:t>
      </w:r>
      <w:proofErr w:type="spellStart"/>
      <w:r w:rsidRPr="00790307">
        <w:rPr>
          <w:rFonts w:ascii="Arial" w:eastAsia="Times New Roman" w:hAnsi="Arial" w:cs="Arial"/>
          <w:b/>
          <w:color w:val="000000"/>
          <w:sz w:val="20"/>
          <w:szCs w:val="20"/>
          <w:lang w:eastAsia="en-AU"/>
        </w:rPr>
        <w:t>analysing</w:t>
      </w:r>
      <w:proofErr w:type="spellEnd"/>
      <w:r w:rsidRPr="00790307">
        <w:rPr>
          <w:rFonts w:ascii="Arial" w:eastAsia="Times New Roman" w:hAnsi="Arial" w:cs="Arial"/>
          <w:b/>
          <w:color w:val="000000"/>
          <w:sz w:val="20"/>
          <w:szCs w:val="20"/>
          <w:lang w:eastAsia="en-AU"/>
        </w:rPr>
        <w:t xml:space="preserve"> the nature, form, characteristics and origin of the property currently comprising that to which </w:t>
      </w:r>
      <w:r>
        <w:rPr>
          <w:rFonts w:ascii="Arial" w:eastAsia="Times New Roman" w:hAnsi="Arial" w:cs="Arial"/>
          <w:b/>
          <w:color w:val="000000"/>
          <w:sz w:val="20"/>
          <w:szCs w:val="20"/>
          <w:lang w:eastAsia="en-AU"/>
        </w:rPr>
        <w:t>section 79</w:t>
      </w:r>
      <w:r w:rsidRPr="00790307">
        <w:rPr>
          <w:rFonts w:ascii="Arial" w:eastAsia="Times New Roman" w:hAnsi="Arial" w:cs="Arial"/>
          <w:b/>
          <w:color w:val="000000"/>
          <w:sz w:val="20"/>
          <w:szCs w:val="20"/>
          <w:lang w:eastAsia="en-AU"/>
        </w:rPr>
        <w:t xml:space="preserve"> applies, and, in turn, </w:t>
      </w:r>
      <w:proofErr w:type="spellStart"/>
      <w:r w:rsidRPr="00790307">
        <w:rPr>
          <w:rFonts w:ascii="Arial" w:eastAsia="Times New Roman" w:hAnsi="Arial" w:cs="Arial"/>
          <w:b/>
          <w:color w:val="000000"/>
          <w:sz w:val="20"/>
          <w:szCs w:val="20"/>
          <w:lang w:eastAsia="en-AU"/>
        </w:rPr>
        <w:t>analysing</w:t>
      </w:r>
      <w:proofErr w:type="spellEnd"/>
      <w:r w:rsidRPr="00790307">
        <w:rPr>
          <w:rFonts w:ascii="Arial" w:eastAsia="Times New Roman" w:hAnsi="Arial" w:cs="Arial"/>
          <w:b/>
          <w:color w:val="000000"/>
          <w:sz w:val="20"/>
          <w:szCs w:val="20"/>
          <w:lang w:eastAsia="en-AU"/>
        </w:rPr>
        <w:t xml:space="preserve"> the nature, form and extent of the contributions (of all types) contemplated by </w:t>
      </w:r>
      <w:r>
        <w:rPr>
          <w:rFonts w:ascii="Arial" w:eastAsia="Times New Roman" w:hAnsi="Arial" w:cs="Arial"/>
          <w:b/>
          <w:color w:val="000000"/>
          <w:sz w:val="20"/>
          <w:szCs w:val="20"/>
          <w:lang w:eastAsia="en-AU"/>
        </w:rPr>
        <w:t>section 79”.</w:t>
      </w:r>
    </w:p>
    <w:p w14:paraId="6AF3E7F7" w14:textId="77777777" w:rsidR="003B1154" w:rsidRDefault="003B1154" w:rsidP="003B1154">
      <w:pPr>
        <w:shd w:val="clear" w:color="auto" w:fill="FFFFFF"/>
        <w:spacing w:after="0" w:line="240" w:lineRule="auto"/>
        <w:ind w:left="584"/>
        <w:rPr>
          <w:rFonts w:ascii="Arial" w:eastAsia="Times New Roman" w:hAnsi="Arial" w:cs="Arial"/>
          <w:b/>
          <w:color w:val="000000"/>
          <w:sz w:val="20"/>
          <w:szCs w:val="20"/>
          <w:lang w:eastAsia="en-AU"/>
        </w:rPr>
      </w:pPr>
    </w:p>
    <w:p w14:paraId="5A9391CD" w14:textId="77777777" w:rsidR="003B1154" w:rsidRDefault="003B1154" w:rsidP="003B1154">
      <w:pPr>
        <w:spacing w:after="0" w:line="360" w:lineRule="auto"/>
        <w:ind w:left="584" w:hanging="584"/>
        <w:rPr>
          <w:rFonts w:ascii="Arial" w:eastAsia="Times New Roman" w:hAnsi="Arial" w:cs="Arial"/>
          <w:color w:val="000000"/>
          <w:lang w:eastAsia="en-AU"/>
        </w:rPr>
      </w:pPr>
      <w:r w:rsidRPr="0046649D">
        <w:rPr>
          <w:rFonts w:ascii="Arial" w:eastAsia="Times New Roman" w:hAnsi="Arial" w:cs="Arial"/>
          <w:color w:val="000000"/>
          <w:lang w:eastAsia="en-AU"/>
        </w:rPr>
        <w:t>Herein the emphasis here is that</w:t>
      </w:r>
      <w:r w:rsidRPr="00790307">
        <w:rPr>
          <w:rFonts w:ascii="Arial" w:eastAsia="Times New Roman" w:hAnsi="Arial" w:cs="Arial"/>
          <w:color w:val="000000"/>
          <w:sz w:val="20"/>
          <w:szCs w:val="20"/>
          <w:lang w:eastAsia="en-AU"/>
        </w:rPr>
        <w:t xml:space="preserve"> </w:t>
      </w:r>
      <w:r w:rsidRPr="00790307">
        <w:rPr>
          <w:rFonts w:ascii="Arial" w:eastAsia="Times New Roman" w:hAnsi="Arial" w:cs="Arial"/>
          <w:color w:val="000000"/>
          <w:lang w:eastAsia="en-AU"/>
        </w:rPr>
        <w:t xml:space="preserve">the task of assessing contributions is holistic and but part of a </w:t>
      </w:r>
    </w:p>
    <w:p w14:paraId="32881A75" w14:textId="77777777" w:rsidR="003B1154" w:rsidRDefault="003B1154" w:rsidP="003B1154">
      <w:pPr>
        <w:spacing w:after="0" w:line="360" w:lineRule="auto"/>
        <w:ind w:left="584" w:hanging="584"/>
        <w:rPr>
          <w:rFonts w:ascii="Arial" w:eastAsia="Times New Roman" w:hAnsi="Arial" w:cs="Arial"/>
          <w:color w:val="000000"/>
          <w:lang w:eastAsia="en-AU"/>
        </w:rPr>
      </w:pPr>
      <w:r w:rsidRPr="00790307">
        <w:rPr>
          <w:rFonts w:ascii="Arial" w:eastAsia="Times New Roman" w:hAnsi="Arial" w:cs="Arial"/>
          <w:color w:val="000000"/>
          <w:lang w:eastAsia="en-AU"/>
        </w:rPr>
        <w:t xml:space="preserve">yet further holistic determination of what orders, if any, represent justice and equity in the </w:t>
      </w:r>
    </w:p>
    <w:p w14:paraId="03BE5CAA" w14:textId="77777777" w:rsidR="003B1154" w:rsidRDefault="003B1154" w:rsidP="003B1154">
      <w:pPr>
        <w:spacing w:after="0" w:line="360" w:lineRule="auto"/>
        <w:ind w:left="584" w:hanging="584"/>
        <w:rPr>
          <w:rFonts w:ascii="Arial" w:eastAsia="Times New Roman" w:hAnsi="Arial" w:cs="Arial"/>
          <w:color w:val="000000"/>
          <w:lang w:eastAsia="en-AU"/>
        </w:rPr>
      </w:pPr>
      <w:r w:rsidRPr="00790307">
        <w:rPr>
          <w:rFonts w:ascii="Arial" w:eastAsia="Times New Roman" w:hAnsi="Arial" w:cs="Arial"/>
          <w:color w:val="000000"/>
          <w:lang w:eastAsia="en-AU"/>
        </w:rPr>
        <w:t xml:space="preserve">particular circumstances of this particular relationship. It is a wide discretion, even though the </w:t>
      </w:r>
    </w:p>
    <w:p w14:paraId="41A55D3A" w14:textId="77777777" w:rsidR="003B1154" w:rsidRDefault="003B1154" w:rsidP="003B1154">
      <w:pPr>
        <w:spacing w:after="0" w:line="360" w:lineRule="auto"/>
        <w:ind w:left="584" w:hanging="584"/>
        <w:rPr>
          <w:rFonts w:ascii="Arial" w:eastAsia="Times New Roman" w:hAnsi="Arial" w:cs="Arial"/>
          <w:color w:val="000000"/>
          <w:lang w:eastAsia="en-AU"/>
        </w:rPr>
      </w:pPr>
      <w:r w:rsidRPr="00790307">
        <w:rPr>
          <w:rFonts w:ascii="Arial" w:eastAsia="Times New Roman" w:hAnsi="Arial" w:cs="Arial"/>
          <w:color w:val="000000"/>
          <w:lang w:eastAsia="en-AU"/>
        </w:rPr>
        <w:t xml:space="preserve">essential task is to assess the nature, form and extent of the contributions of all types made by </w:t>
      </w:r>
    </w:p>
    <w:p w14:paraId="2A16D948" w14:textId="38F59D6E" w:rsidR="003B1154" w:rsidRDefault="003B1154" w:rsidP="003B1154">
      <w:pPr>
        <w:spacing w:after="0" w:line="360" w:lineRule="auto"/>
        <w:ind w:left="584" w:hanging="584"/>
        <w:rPr>
          <w:rFonts w:ascii="Arial" w:eastAsia="Times New Roman" w:hAnsi="Arial" w:cs="Arial"/>
          <w:color w:val="000000"/>
          <w:lang w:eastAsia="en-AU"/>
        </w:rPr>
      </w:pPr>
      <w:r w:rsidRPr="00790307">
        <w:rPr>
          <w:rFonts w:ascii="Arial" w:eastAsia="Times New Roman" w:hAnsi="Arial" w:cs="Arial"/>
          <w:color w:val="000000"/>
          <w:lang w:eastAsia="en-AU"/>
        </w:rPr>
        <w:t xml:space="preserve">each of the parties within the context of an analysis of their particular relationship. </w:t>
      </w:r>
    </w:p>
    <w:p w14:paraId="499A5E05" w14:textId="77777777" w:rsidR="003B1154" w:rsidRDefault="003B1154" w:rsidP="003B1154">
      <w:pPr>
        <w:spacing w:after="0" w:line="360" w:lineRule="auto"/>
        <w:ind w:left="584" w:hanging="584"/>
        <w:rPr>
          <w:rFonts w:ascii="Arial" w:eastAsia="Times New Roman" w:hAnsi="Arial" w:cs="Arial"/>
          <w:color w:val="000000"/>
          <w:lang w:eastAsia="en-AU"/>
        </w:rPr>
      </w:pPr>
    </w:p>
    <w:p w14:paraId="57F907D6" w14:textId="019593F5" w:rsidR="003B1154" w:rsidRDefault="003B1154" w:rsidP="003B1154">
      <w:pPr>
        <w:spacing w:after="0" w:line="360" w:lineRule="auto"/>
        <w:ind w:left="584" w:hanging="584"/>
        <w:rPr>
          <w:rFonts w:ascii="Arial" w:eastAsia="Times New Roman" w:hAnsi="Arial" w:cs="Arial"/>
          <w:color w:val="000000"/>
          <w:lang w:eastAsia="en-AU"/>
        </w:rPr>
      </w:pPr>
      <w:r>
        <w:rPr>
          <w:rFonts w:ascii="Arial" w:eastAsia="Times New Roman" w:hAnsi="Arial" w:cs="Arial"/>
          <w:color w:val="000000"/>
          <w:lang w:eastAsia="en-AU"/>
        </w:rPr>
        <w:t xml:space="preserve">Again, there was an emphasis on the impact of long relationships and perhaps consequentially </w:t>
      </w:r>
    </w:p>
    <w:p w14:paraId="4215CEDE" w14:textId="4CB170A9" w:rsidR="003B1154" w:rsidRDefault="003B1154" w:rsidP="003B1154">
      <w:pPr>
        <w:spacing w:after="0" w:line="360" w:lineRule="auto"/>
        <w:ind w:left="584" w:hanging="584"/>
        <w:rPr>
          <w:rFonts w:ascii="Arial" w:eastAsia="Times New Roman" w:hAnsi="Arial" w:cs="Arial"/>
          <w:color w:val="000000"/>
          <w:lang w:eastAsia="en-AU"/>
        </w:rPr>
      </w:pPr>
      <w:r>
        <w:rPr>
          <w:rFonts w:ascii="Arial" w:eastAsia="Times New Roman" w:hAnsi="Arial" w:cs="Arial"/>
          <w:color w:val="000000"/>
          <w:lang w:eastAsia="en-AU"/>
        </w:rPr>
        <w:t xml:space="preserve">on the mutuality associated with such relationships: </w:t>
      </w:r>
    </w:p>
    <w:p w14:paraId="59ADE773" w14:textId="77777777" w:rsidR="003B1154" w:rsidRDefault="003B1154" w:rsidP="003B1154">
      <w:pPr>
        <w:spacing w:after="0" w:line="360" w:lineRule="auto"/>
        <w:ind w:left="584" w:hanging="584"/>
        <w:rPr>
          <w:rFonts w:ascii="Arial" w:eastAsia="Times New Roman" w:hAnsi="Arial" w:cs="Arial"/>
          <w:color w:val="000000"/>
          <w:lang w:eastAsia="en-AU"/>
        </w:rPr>
      </w:pPr>
    </w:p>
    <w:p w14:paraId="7F950795" w14:textId="77777777" w:rsidR="003B1154" w:rsidRDefault="003B1154" w:rsidP="003B1154">
      <w:pPr>
        <w:spacing w:after="0" w:line="240" w:lineRule="auto"/>
        <w:ind w:left="720"/>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w:t>
      </w:r>
      <w:r w:rsidRPr="007B0C4C">
        <w:rPr>
          <w:rFonts w:ascii="Arial" w:eastAsia="Times New Roman" w:hAnsi="Arial" w:cs="Arial"/>
          <w:b/>
          <w:color w:val="000000"/>
          <w:sz w:val="20"/>
          <w:szCs w:val="20"/>
          <w:lang w:eastAsia="en-AU"/>
        </w:rPr>
        <w:t xml:space="preserve">Much more recently, in </w:t>
      </w:r>
      <w:r w:rsidRPr="007B0C4C">
        <w:rPr>
          <w:rFonts w:ascii="Arial" w:eastAsia="Times New Roman" w:hAnsi="Arial" w:cs="Arial"/>
          <w:b/>
          <w:i/>
          <w:iCs/>
          <w:color w:val="000000"/>
          <w:sz w:val="20"/>
          <w:szCs w:val="20"/>
          <w:lang w:eastAsia="en-AU"/>
        </w:rPr>
        <w:t>Stanford</w:t>
      </w:r>
      <w:r w:rsidRPr="007B0C4C">
        <w:rPr>
          <w:rFonts w:ascii="Arial" w:eastAsia="Times New Roman" w:hAnsi="Arial" w:cs="Arial"/>
          <w:b/>
          <w:color w:val="000000"/>
          <w:sz w:val="20"/>
          <w:szCs w:val="20"/>
          <w:lang w:eastAsia="en-AU"/>
        </w:rPr>
        <w:t>,</w:t>
      </w:r>
      <w:r w:rsidRPr="007B0C4C">
        <w:rPr>
          <w:rFonts w:ascii="Arial" w:eastAsia="Times New Roman" w:hAnsi="Arial" w:cs="Arial"/>
          <w:b/>
          <w:i/>
          <w:iCs/>
          <w:color w:val="000000"/>
          <w:sz w:val="20"/>
          <w:szCs w:val="20"/>
          <w:lang w:eastAsia="en-AU"/>
        </w:rPr>
        <w:t xml:space="preserve"> </w:t>
      </w:r>
      <w:r w:rsidRPr="007B0C4C">
        <w:rPr>
          <w:rFonts w:ascii="Arial" w:eastAsia="Times New Roman" w:hAnsi="Arial" w:cs="Arial"/>
          <w:b/>
          <w:color w:val="000000"/>
          <w:sz w:val="20"/>
          <w:szCs w:val="20"/>
          <w:lang w:eastAsia="en-AU"/>
        </w:rPr>
        <w:t>above, the High Court spoke of the “mutuality of the marital relationship” and the (often) “unstated assumptions” upon which the mutuality of a marital relationship is built. The nature and extent of the sharing of the roles, duties and responsibilities inform, in part, the mutuality of a particular marriage relationship. So, too, the extent to which the parties, by reference to formal or informal agreements, maintain separate lives, and in particular financial lives, impacts upon the mutuality of the parties’ relationship. The exigencies to which the parties’ relationship and their property interests can be subject can also impact upon the mutuality of the relationship. The nature of a particular relationship so viewed can impact upon the manner in which the parties’ respective contributions within the meaning of s 79(4) might be viewed by a court, and of course on the determination of whether it is just and equitable to interfere with existing property interests at all</w:t>
      </w:r>
      <w:r>
        <w:rPr>
          <w:rFonts w:ascii="Arial" w:eastAsia="Times New Roman" w:hAnsi="Arial" w:cs="Arial"/>
          <w:b/>
          <w:color w:val="000000"/>
          <w:sz w:val="20"/>
          <w:szCs w:val="20"/>
          <w:lang w:eastAsia="en-AU"/>
        </w:rPr>
        <w:t>……</w:t>
      </w:r>
    </w:p>
    <w:p w14:paraId="1350D30C" w14:textId="77777777" w:rsidR="003B1154" w:rsidRDefault="003B1154" w:rsidP="003B1154">
      <w:pPr>
        <w:spacing w:after="0" w:line="240" w:lineRule="auto"/>
        <w:ind w:left="720"/>
        <w:rPr>
          <w:rFonts w:ascii="Arial" w:eastAsia="Times New Roman" w:hAnsi="Arial" w:cs="Arial"/>
          <w:b/>
          <w:color w:val="000000"/>
          <w:sz w:val="20"/>
          <w:szCs w:val="20"/>
          <w:lang w:eastAsia="en-AU"/>
        </w:rPr>
      </w:pPr>
    </w:p>
    <w:p w14:paraId="1EBD26D6" w14:textId="77777777" w:rsidR="003B1154" w:rsidRDefault="003B1154" w:rsidP="003B1154">
      <w:pPr>
        <w:spacing w:after="0" w:line="240" w:lineRule="auto"/>
        <w:ind w:left="720"/>
        <w:rPr>
          <w:rFonts w:ascii="Arial" w:eastAsia="Times New Roman" w:hAnsi="Arial" w:cs="Arial"/>
          <w:b/>
          <w:color w:val="000000"/>
          <w:sz w:val="20"/>
          <w:szCs w:val="20"/>
          <w:lang w:eastAsia="en-AU"/>
        </w:rPr>
      </w:pPr>
      <w:r w:rsidRPr="007B0C4C">
        <w:rPr>
          <w:rFonts w:ascii="Arial" w:eastAsia="Times New Roman" w:hAnsi="Arial" w:cs="Arial"/>
          <w:b/>
          <w:color w:val="000000"/>
          <w:sz w:val="20"/>
          <w:szCs w:val="20"/>
          <w:lang w:eastAsia="en-AU"/>
        </w:rPr>
        <w:t>The length of a marriage is important, then, in assessing the respective contributions of the parties, particularly when it is said that significant capital contributions made early in the marriage are a dominant feature of that assessment. It is, accordingly, an important consideration in seeking decisions that might assist in the assessment of contributions by reason of being “more or less similar” to the present.</w:t>
      </w:r>
      <w:r>
        <w:rPr>
          <w:rFonts w:ascii="Arial" w:eastAsia="Times New Roman" w:hAnsi="Arial" w:cs="Arial"/>
          <w:b/>
          <w:color w:val="000000"/>
          <w:sz w:val="20"/>
          <w:szCs w:val="20"/>
          <w:lang w:eastAsia="en-AU"/>
        </w:rPr>
        <w:t>”</w:t>
      </w:r>
      <w:r w:rsidRPr="007B0C4C">
        <w:rPr>
          <w:rFonts w:ascii="Arial" w:eastAsia="Times New Roman" w:hAnsi="Arial" w:cs="Arial"/>
          <w:b/>
          <w:color w:val="000000"/>
          <w:sz w:val="20"/>
          <w:szCs w:val="20"/>
          <w:lang w:eastAsia="en-AU"/>
        </w:rPr>
        <w:t xml:space="preserve"> </w:t>
      </w:r>
    </w:p>
    <w:p w14:paraId="4E4CA024" w14:textId="77777777" w:rsidR="00CD5DE0" w:rsidRDefault="00CD5DE0" w:rsidP="00CD5DE0">
      <w:pPr>
        <w:spacing w:after="0" w:line="360" w:lineRule="auto"/>
        <w:rPr>
          <w:rFonts w:ascii="Arial" w:eastAsia="Times New Roman" w:hAnsi="Arial" w:cs="Arial"/>
          <w:color w:val="000000"/>
        </w:rPr>
      </w:pPr>
    </w:p>
    <w:p w14:paraId="3953B540" w14:textId="77777777" w:rsidR="003B1154" w:rsidRDefault="003B1154" w:rsidP="003B1154">
      <w:pPr>
        <w:spacing w:line="360" w:lineRule="auto"/>
        <w:ind w:left="720"/>
        <w:rPr>
          <w:rFonts w:ascii="Arial" w:hAnsi="Arial" w:cs="Arial"/>
        </w:rPr>
      </w:pPr>
      <w:r w:rsidRPr="00D0760C">
        <w:rPr>
          <w:rFonts w:ascii="Arial" w:hAnsi="Arial" w:cs="Arial"/>
        </w:rPr>
        <w:lastRenderedPageBreak/>
        <w:t xml:space="preserve">A reading and appreciation of the recent decisions of the Full Court of the Family Court of Australia points to a move away from not only the labelling of the concept of “special skills”, but also a tendency to give particular weight to long marriages and the consequent tendency towards equality in relation to </w:t>
      </w:r>
      <w:r>
        <w:rPr>
          <w:rFonts w:ascii="Arial" w:hAnsi="Arial" w:cs="Arial"/>
        </w:rPr>
        <w:t xml:space="preserve">parties’ respective </w:t>
      </w:r>
      <w:r w:rsidRPr="00D0760C">
        <w:rPr>
          <w:rFonts w:ascii="Arial" w:hAnsi="Arial" w:cs="Arial"/>
        </w:rPr>
        <w:t>contributions.</w:t>
      </w:r>
    </w:p>
    <w:p w14:paraId="5D05330F" w14:textId="7F2B567F" w:rsidR="003B1154" w:rsidRPr="00D0760C" w:rsidRDefault="003B1154" w:rsidP="003B1154">
      <w:pPr>
        <w:spacing w:line="360" w:lineRule="auto"/>
        <w:ind w:left="720" w:hanging="720"/>
        <w:rPr>
          <w:rFonts w:ascii="Arial" w:hAnsi="Arial" w:cs="Arial"/>
        </w:rPr>
      </w:pPr>
      <w:r w:rsidRPr="00D0760C">
        <w:rPr>
          <w:rFonts w:ascii="Arial" w:hAnsi="Arial" w:cs="Arial"/>
        </w:rPr>
        <w:tab/>
        <w:t xml:space="preserve">It no longer appears to be apparent as it was fifteen to twenty years ago, that by virtue of one party to a marriage, (usually the husband), working outside the home for paid income; whilst the other party, (commonly the wife), largely staying at home and performing a greater role as a homemaker and parent; that the accumulation of a large matrimonial asset pool of at least $10 million should automatically </w:t>
      </w:r>
      <w:proofErr w:type="spellStart"/>
      <w:r w:rsidRPr="00D0760C">
        <w:rPr>
          <w:rFonts w:ascii="Arial" w:hAnsi="Arial" w:cs="Arial"/>
        </w:rPr>
        <w:t>favour</w:t>
      </w:r>
      <w:proofErr w:type="spellEnd"/>
      <w:r w:rsidRPr="00D0760C">
        <w:rPr>
          <w:rFonts w:ascii="Arial" w:hAnsi="Arial" w:cs="Arial"/>
        </w:rPr>
        <w:t xml:space="preserve"> the former in relation to his </w:t>
      </w:r>
      <w:r>
        <w:rPr>
          <w:rFonts w:ascii="Arial" w:hAnsi="Arial" w:cs="Arial"/>
        </w:rPr>
        <w:t xml:space="preserve">direct financial </w:t>
      </w:r>
      <w:r w:rsidRPr="00D0760C">
        <w:rPr>
          <w:rFonts w:ascii="Arial" w:hAnsi="Arial" w:cs="Arial"/>
        </w:rPr>
        <w:t>contributions.</w:t>
      </w:r>
    </w:p>
    <w:p w14:paraId="2B84C0E2" w14:textId="3CA24810" w:rsidR="003B1154" w:rsidRPr="00D0760C" w:rsidRDefault="003B1154" w:rsidP="003B1154">
      <w:pPr>
        <w:spacing w:line="360" w:lineRule="auto"/>
        <w:ind w:left="720" w:hanging="720"/>
        <w:rPr>
          <w:rFonts w:ascii="Arial" w:hAnsi="Arial" w:cs="Arial"/>
        </w:rPr>
      </w:pPr>
      <w:r w:rsidRPr="00D0760C">
        <w:rPr>
          <w:rFonts w:ascii="Arial" w:hAnsi="Arial" w:cs="Arial"/>
        </w:rPr>
        <w:tab/>
        <w:t xml:space="preserve">There is an apparent constant theme in these recent </w:t>
      </w:r>
      <w:r>
        <w:rPr>
          <w:rFonts w:ascii="Arial" w:hAnsi="Arial" w:cs="Arial"/>
        </w:rPr>
        <w:t>F</w:t>
      </w:r>
      <w:r w:rsidRPr="00D0760C">
        <w:rPr>
          <w:rFonts w:ascii="Arial" w:hAnsi="Arial" w:cs="Arial"/>
        </w:rPr>
        <w:t xml:space="preserve">ull </w:t>
      </w:r>
      <w:r>
        <w:rPr>
          <w:rFonts w:ascii="Arial" w:hAnsi="Arial" w:cs="Arial"/>
        </w:rPr>
        <w:t>C</w:t>
      </w:r>
      <w:r w:rsidRPr="00D0760C">
        <w:rPr>
          <w:rFonts w:ascii="Arial" w:hAnsi="Arial" w:cs="Arial"/>
        </w:rPr>
        <w:t xml:space="preserve">ourt decisions that reflects the importance of a long marriage. There is also an appropriate recognition of what a marriage involves in terms of a partnership and a mutual cooperative team.  </w:t>
      </w:r>
    </w:p>
    <w:p w14:paraId="75D01B23" w14:textId="7BB896BE" w:rsidR="003B1154" w:rsidRDefault="003B1154" w:rsidP="003B1154">
      <w:pPr>
        <w:spacing w:line="360" w:lineRule="auto"/>
        <w:ind w:left="720"/>
        <w:rPr>
          <w:rFonts w:ascii="Arial" w:hAnsi="Arial" w:cs="Arial"/>
        </w:rPr>
      </w:pPr>
      <w:r>
        <w:rPr>
          <w:rFonts w:ascii="Arial" w:hAnsi="Arial" w:cs="Arial"/>
        </w:rPr>
        <w:t xml:space="preserve">It is submitted </w:t>
      </w:r>
      <w:r w:rsidRPr="0041580D">
        <w:rPr>
          <w:rFonts w:ascii="Arial" w:hAnsi="Arial" w:cs="Arial"/>
        </w:rPr>
        <w:t xml:space="preserve">it is time for </w:t>
      </w:r>
      <w:r>
        <w:rPr>
          <w:rFonts w:ascii="Arial" w:hAnsi="Arial" w:cs="Arial"/>
        </w:rPr>
        <w:t>Commonwealth P</w:t>
      </w:r>
      <w:r w:rsidRPr="0041580D">
        <w:rPr>
          <w:rFonts w:ascii="Arial" w:hAnsi="Arial" w:cs="Arial"/>
        </w:rPr>
        <w:t xml:space="preserve">arliament to reconsider the position of contributions in the context of long marriages </w:t>
      </w:r>
      <w:r>
        <w:rPr>
          <w:rFonts w:ascii="Arial" w:hAnsi="Arial" w:cs="Arial"/>
        </w:rPr>
        <w:t>a</w:t>
      </w:r>
      <w:r w:rsidRPr="0041580D">
        <w:rPr>
          <w:rFonts w:ascii="Arial" w:hAnsi="Arial" w:cs="Arial"/>
        </w:rPr>
        <w:t xml:space="preserve">nd indeed </w:t>
      </w:r>
      <w:r>
        <w:rPr>
          <w:rFonts w:ascii="Arial" w:hAnsi="Arial" w:cs="Arial"/>
        </w:rPr>
        <w:t xml:space="preserve">long de facto </w:t>
      </w:r>
      <w:r w:rsidRPr="0041580D">
        <w:rPr>
          <w:rFonts w:ascii="Arial" w:hAnsi="Arial" w:cs="Arial"/>
        </w:rPr>
        <w:t>relationships</w:t>
      </w:r>
      <w:r>
        <w:rPr>
          <w:rFonts w:ascii="Arial" w:hAnsi="Arial" w:cs="Arial"/>
        </w:rPr>
        <w:t xml:space="preserve">. </w:t>
      </w:r>
      <w:r w:rsidRPr="0041580D">
        <w:rPr>
          <w:rFonts w:ascii="Arial" w:hAnsi="Arial" w:cs="Arial"/>
        </w:rPr>
        <w:t xml:space="preserve">Although the High Court in </w:t>
      </w:r>
      <w:r w:rsidRPr="00E00220">
        <w:rPr>
          <w:rFonts w:ascii="Arial" w:hAnsi="Arial" w:cs="Arial"/>
          <w:i/>
        </w:rPr>
        <w:t xml:space="preserve">Mallet </w:t>
      </w:r>
      <w:r>
        <w:rPr>
          <w:rFonts w:ascii="Arial" w:hAnsi="Arial" w:cs="Arial"/>
        </w:rPr>
        <w:t xml:space="preserve">rejected the concept of there being </w:t>
      </w:r>
      <w:r w:rsidRPr="0041580D">
        <w:rPr>
          <w:rFonts w:ascii="Arial" w:hAnsi="Arial" w:cs="Arial"/>
        </w:rPr>
        <w:t xml:space="preserve">a presumption </w:t>
      </w:r>
      <w:r>
        <w:rPr>
          <w:rFonts w:ascii="Arial" w:hAnsi="Arial" w:cs="Arial"/>
        </w:rPr>
        <w:t xml:space="preserve">of equality in relation to contributions, </w:t>
      </w:r>
      <w:r w:rsidRPr="0041580D">
        <w:rPr>
          <w:rFonts w:ascii="Arial" w:hAnsi="Arial" w:cs="Arial"/>
        </w:rPr>
        <w:t xml:space="preserve">it may well be consistent with the judicial expressions formed by recent </w:t>
      </w:r>
      <w:r>
        <w:rPr>
          <w:rFonts w:ascii="Arial" w:hAnsi="Arial" w:cs="Arial"/>
        </w:rPr>
        <w:t>F</w:t>
      </w:r>
      <w:r w:rsidRPr="0041580D">
        <w:rPr>
          <w:rFonts w:ascii="Arial" w:hAnsi="Arial" w:cs="Arial"/>
        </w:rPr>
        <w:t xml:space="preserve">ull </w:t>
      </w:r>
      <w:r>
        <w:rPr>
          <w:rFonts w:ascii="Arial" w:hAnsi="Arial" w:cs="Arial"/>
        </w:rPr>
        <w:t>C</w:t>
      </w:r>
      <w:r w:rsidRPr="0041580D">
        <w:rPr>
          <w:rFonts w:ascii="Arial" w:hAnsi="Arial" w:cs="Arial"/>
        </w:rPr>
        <w:t>ourt decisions and indeed the community a</w:t>
      </w:r>
      <w:r>
        <w:rPr>
          <w:rFonts w:ascii="Arial" w:hAnsi="Arial" w:cs="Arial"/>
        </w:rPr>
        <w:t xml:space="preserve">t large, that there should now be </w:t>
      </w:r>
      <w:r w:rsidRPr="0041580D">
        <w:rPr>
          <w:rFonts w:ascii="Arial" w:hAnsi="Arial" w:cs="Arial"/>
        </w:rPr>
        <w:t>a</w:t>
      </w:r>
      <w:r>
        <w:rPr>
          <w:rFonts w:ascii="Arial" w:hAnsi="Arial" w:cs="Arial"/>
        </w:rPr>
        <w:t xml:space="preserve"> statutory </w:t>
      </w:r>
      <w:r w:rsidRPr="0041580D">
        <w:rPr>
          <w:rFonts w:ascii="Arial" w:hAnsi="Arial" w:cs="Arial"/>
        </w:rPr>
        <w:t xml:space="preserve">presumption of </w:t>
      </w:r>
      <w:r>
        <w:rPr>
          <w:rFonts w:ascii="Arial" w:hAnsi="Arial" w:cs="Arial"/>
        </w:rPr>
        <w:t>e</w:t>
      </w:r>
      <w:r w:rsidRPr="0041580D">
        <w:rPr>
          <w:rFonts w:ascii="Arial" w:hAnsi="Arial" w:cs="Arial"/>
        </w:rPr>
        <w:t xml:space="preserve">quality of contributions in relation to a long marriage or relationship of say in excess of 12 years. </w:t>
      </w:r>
    </w:p>
    <w:p w14:paraId="4BADFBDC" w14:textId="23F240B9" w:rsidR="003B1154" w:rsidRDefault="003B1154" w:rsidP="003B1154">
      <w:pPr>
        <w:spacing w:line="360" w:lineRule="auto"/>
        <w:ind w:left="720"/>
        <w:rPr>
          <w:rFonts w:ascii="Arial" w:hAnsi="Arial" w:cs="Arial"/>
        </w:rPr>
      </w:pPr>
      <w:r w:rsidRPr="0041580D">
        <w:rPr>
          <w:rFonts w:ascii="Arial" w:hAnsi="Arial" w:cs="Arial"/>
        </w:rPr>
        <w:t>That presumption c</w:t>
      </w:r>
      <w:r>
        <w:rPr>
          <w:rFonts w:ascii="Arial" w:hAnsi="Arial" w:cs="Arial"/>
        </w:rPr>
        <w:t xml:space="preserve">ould </w:t>
      </w:r>
      <w:r w:rsidRPr="0041580D">
        <w:rPr>
          <w:rFonts w:ascii="Arial" w:hAnsi="Arial" w:cs="Arial"/>
        </w:rPr>
        <w:t>be rebutted by way of the following</w:t>
      </w:r>
      <w:r>
        <w:rPr>
          <w:rFonts w:ascii="Arial" w:hAnsi="Arial" w:cs="Arial"/>
        </w:rPr>
        <w:t xml:space="preserve"> stated ways</w:t>
      </w:r>
      <w:r w:rsidRPr="0041580D">
        <w:rPr>
          <w:rFonts w:ascii="Arial" w:hAnsi="Arial" w:cs="Arial"/>
        </w:rPr>
        <w:t xml:space="preserve">: </w:t>
      </w:r>
    </w:p>
    <w:p w14:paraId="6CA4015C" w14:textId="77777777" w:rsidR="003B1154" w:rsidRDefault="003B1154" w:rsidP="003B1154">
      <w:pPr>
        <w:pStyle w:val="ListParagraph"/>
        <w:numPr>
          <w:ilvl w:val="1"/>
          <w:numId w:val="2"/>
        </w:numPr>
        <w:spacing w:line="360" w:lineRule="auto"/>
        <w:rPr>
          <w:rFonts w:ascii="Arial" w:hAnsi="Arial" w:cs="Arial"/>
        </w:rPr>
      </w:pPr>
      <w:r w:rsidRPr="003C31E0">
        <w:rPr>
          <w:rFonts w:ascii="Arial" w:hAnsi="Arial" w:cs="Arial"/>
        </w:rPr>
        <w:t>a reasonable disparity in the parties</w:t>
      </w:r>
      <w:r>
        <w:rPr>
          <w:rFonts w:ascii="Arial" w:hAnsi="Arial" w:cs="Arial"/>
        </w:rPr>
        <w:t>’</w:t>
      </w:r>
      <w:r w:rsidRPr="003C31E0">
        <w:rPr>
          <w:rFonts w:ascii="Arial" w:hAnsi="Arial" w:cs="Arial"/>
        </w:rPr>
        <w:t xml:space="preserve"> respective initial contributions</w:t>
      </w:r>
      <w:r>
        <w:rPr>
          <w:rFonts w:ascii="Arial" w:hAnsi="Arial" w:cs="Arial"/>
        </w:rPr>
        <w:t>’</w:t>
      </w:r>
    </w:p>
    <w:p w14:paraId="6AD5097A" w14:textId="77777777" w:rsidR="003B1154" w:rsidRDefault="003B1154" w:rsidP="003B1154">
      <w:pPr>
        <w:pStyle w:val="ListParagraph"/>
        <w:numPr>
          <w:ilvl w:val="1"/>
          <w:numId w:val="2"/>
        </w:numPr>
        <w:spacing w:line="360" w:lineRule="auto"/>
        <w:rPr>
          <w:rFonts w:ascii="Arial" w:hAnsi="Arial" w:cs="Arial"/>
        </w:rPr>
      </w:pPr>
      <w:r w:rsidRPr="003C31E0">
        <w:rPr>
          <w:rFonts w:ascii="Arial" w:hAnsi="Arial" w:cs="Arial"/>
        </w:rPr>
        <w:t xml:space="preserve">the injection of </w:t>
      </w:r>
      <w:r>
        <w:rPr>
          <w:rFonts w:ascii="Arial" w:hAnsi="Arial" w:cs="Arial"/>
        </w:rPr>
        <w:t>monies from one side through i</w:t>
      </w:r>
      <w:r w:rsidRPr="003C31E0">
        <w:rPr>
          <w:rFonts w:ascii="Arial" w:hAnsi="Arial" w:cs="Arial"/>
        </w:rPr>
        <w:t>nheritances and/or windfalls.</w:t>
      </w:r>
    </w:p>
    <w:p w14:paraId="09D96C42" w14:textId="77777777" w:rsidR="003B1154" w:rsidRPr="003C31E0" w:rsidRDefault="003B1154" w:rsidP="003B1154">
      <w:pPr>
        <w:pStyle w:val="ListParagraph"/>
        <w:numPr>
          <w:ilvl w:val="1"/>
          <w:numId w:val="2"/>
        </w:numPr>
        <w:spacing w:line="360" w:lineRule="auto"/>
        <w:rPr>
          <w:rFonts w:ascii="Arial" w:hAnsi="Arial" w:cs="Arial"/>
        </w:rPr>
      </w:pPr>
      <w:r>
        <w:rPr>
          <w:rFonts w:ascii="Arial" w:hAnsi="Arial" w:cs="Arial"/>
        </w:rPr>
        <w:t>a</w:t>
      </w:r>
      <w:r w:rsidRPr="003C31E0">
        <w:rPr>
          <w:rFonts w:ascii="Arial" w:hAnsi="Arial" w:cs="Arial"/>
        </w:rPr>
        <w:t>ny other circumstances that may be relevant</w:t>
      </w:r>
    </w:p>
    <w:p w14:paraId="751AD8D8" w14:textId="1FA9C87C" w:rsidR="003B1154" w:rsidRDefault="003B1154" w:rsidP="003B1154">
      <w:pPr>
        <w:spacing w:line="360" w:lineRule="auto"/>
        <w:ind w:left="720"/>
        <w:rPr>
          <w:rFonts w:ascii="Arial" w:hAnsi="Arial" w:cs="Arial"/>
        </w:rPr>
      </w:pPr>
      <w:r>
        <w:rPr>
          <w:rFonts w:ascii="Arial" w:hAnsi="Arial" w:cs="Arial"/>
        </w:rPr>
        <w:t>T</w:t>
      </w:r>
      <w:r w:rsidRPr="0041580D">
        <w:rPr>
          <w:rFonts w:ascii="Arial" w:hAnsi="Arial" w:cs="Arial"/>
        </w:rPr>
        <w:t xml:space="preserve">he last </w:t>
      </w:r>
      <w:r>
        <w:rPr>
          <w:rFonts w:ascii="Arial" w:hAnsi="Arial" w:cs="Arial"/>
        </w:rPr>
        <w:t xml:space="preserve">bullet </w:t>
      </w:r>
      <w:r w:rsidRPr="0041580D">
        <w:rPr>
          <w:rFonts w:ascii="Arial" w:hAnsi="Arial" w:cs="Arial"/>
        </w:rPr>
        <w:t xml:space="preserve">point </w:t>
      </w:r>
      <w:r>
        <w:rPr>
          <w:rFonts w:ascii="Arial" w:hAnsi="Arial" w:cs="Arial"/>
        </w:rPr>
        <w:t xml:space="preserve">is to ensure that there remains adequate judicial discretion. </w:t>
      </w:r>
    </w:p>
    <w:p w14:paraId="21FDD181" w14:textId="533B8E3E" w:rsidR="003B1154" w:rsidRDefault="003B1154" w:rsidP="003B1154">
      <w:pPr>
        <w:spacing w:line="360" w:lineRule="auto"/>
        <w:ind w:left="720" w:hanging="720"/>
        <w:rPr>
          <w:rFonts w:ascii="Arial" w:hAnsi="Arial" w:cs="Arial"/>
        </w:rPr>
      </w:pPr>
      <w:r>
        <w:rPr>
          <w:rFonts w:ascii="Arial" w:hAnsi="Arial" w:cs="Arial"/>
        </w:rPr>
        <w:t>.</w:t>
      </w:r>
      <w:r>
        <w:rPr>
          <w:rFonts w:ascii="Arial" w:hAnsi="Arial" w:cs="Arial"/>
        </w:rPr>
        <w:tab/>
        <w:t>However, some may argue that it h</w:t>
      </w:r>
      <w:r w:rsidRPr="0041580D">
        <w:rPr>
          <w:rFonts w:ascii="Arial" w:hAnsi="Arial" w:cs="Arial"/>
        </w:rPr>
        <w:t>as the potential of opening</w:t>
      </w:r>
      <w:r>
        <w:rPr>
          <w:rFonts w:ascii="Arial" w:hAnsi="Arial" w:cs="Arial"/>
        </w:rPr>
        <w:t xml:space="preserve"> up cases where say, the assessment of the weight to be given to </w:t>
      </w:r>
      <w:r w:rsidRPr="0041580D">
        <w:rPr>
          <w:rFonts w:ascii="Arial" w:hAnsi="Arial" w:cs="Arial"/>
        </w:rPr>
        <w:t xml:space="preserve">homemaker </w:t>
      </w:r>
      <w:r>
        <w:rPr>
          <w:rFonts w:ascii="Arial" w:hAnsi="Arial" w:cs="Arial"/>
        </w:rPr>
        <w:t xml:space="preserve">or parenting </w:t>
      </w:r>
      <w:r w:rsidRPr="0041580D">
        <w:rPr>
          <w:rFonts w:ascii="Arial" w:hAnsi="Arial" w:cs="Arial"/>
        </w:rPr>
        <w:t>contributions</w:t>
      </w:r>
      <w:r>
        <w:rPr>
          <w:rFonts w:ascii="Arial" w:hAnsi="Arial" w:cs="Arial"/>
        </w:rPr>
        <w:t xml:space="preserve">, is subject to a large focus of the litigation, and where Judges are required to greatly scrutinize such non-financial contributions. This may arise where one party’s case is that the other party’s homemaker and parenting contributions were otherwise </w:t>
      </w:r>
      <w:r w:rsidRPr="0041580D">
        <w:rPr>
          <w:rFonts w:ascii="Arial" w:hAnsi="Arial" w:cs="Arial"/>
        </w:rPr>
        <w:t xml:space="preserve">deficient. </w:t>
      </w:r>
    </w:p>
    <w:p w14:paraId="215AFF3B" w14:textId="29B08EA4" w:rsidR="003B1154" w:rsidRDefault="003B1154" w:rsidP="003B1154">
      <w:pPr>
        <w:spacing w:line="360" w:lineRule="auto"/>
        <w:ind w:left="720" w:hanging="720"/>
        <w:rPr>
          <w:rFonts w:ascii="Arial" w:hAnsi="Arial" w:cs="Arial"/>
        </w:rPr>
      </w:pPr>
      <w:r>
        <w:rPr>
          <w:rFonts w:ascii="Arial" w:hAnsi="Arial" w:cs="Arial"/>
        </w:rPr>
        <w:lastRenderedPageBreak/>
        <w:t>.</w:t>
      </w:r>
      <w:r>
        <w:rPr>
          <w:rFonts w:ascii="Arial" w:hAnsi="Arial" w:cs="Arial"/>
        </w:rPr>
        <w:tab/>
      </w:r>
      <w:r w:rsidRPr="0041580D">
        <w:rPr>
          <w:rFonts w:ascii="Arial" w:hAnsi="Arial" w:cs="Arial"/>
        </w:rPr>
        <w:t xml:space="preserve">This of course has </w:t>
      </w:r>
      <w:r w:rsidRPr="00C71B26">
        <w:rPr>
          <w:rFonts w:ascii="Arial" w:hAnsi="Arial" w:cs="Arial"/>
          <w:u w:val="single"/>
        </w:rPr>
        <w:t>always</w:t>
      </w:r>
      <w:r w:rsidRPr="0041580D">
        <w:rPr>
          <w:rFonts w:ascii="Arial" w:hAnsi="Arial" w:cs="Arial"/>
        </w:rPr>
        <w:t xml:space="preserve"> been an argument that a primary bread earner could </w:t>
      </w:r>
      <w:r>
        <w:rPr>
          <w:rFonts w:ascii="Arial" w:hAnsi="Arial" w:cs="Arial"/>
        </w:rPr>
        <w:t xml:space="preserve">potentially </w:t>
      </w:r>
      <w:r w:rsidRPr="0041580D">
        <w:rPr>
          <w:rFonts w:ascii="Arial" w:hAnsi="Arial" w:cs="Arial"/>
        </w:rPr>
        <w:t xml:space="preserve">rely upon. I can recall many years ago attending a </w:t>
      </w:r>
      <w:r>
        <w:rPr>
          <w:rFonts w:ascii="Arial" w:hAnsi="Arial" w:cs="Arial"/>
        </w:rPr>
        <w:t>C</w:t>
      </w:r>
      <w:r w:rsidRPr="0041580D">
        <w:rPr>
          <w:rFonts w:ascii="Arial" w:hAnsi="Arial" w:cs="Arial"/>
        </w:rPr>
        <w:t xml:space="preserve">onciliation </w:t>
      </w:r>
      <w:r>
        <w:rPr>
          <w:rFonts w:ascii="Arial" w:hAnsi="Arial" w:cs="Arial"/>
        </w:rPr>
        <w:t>C</w:t>
      </w:r>
      <w:r w:rsidRPr="0041580D">
        <w:rPr>
          <w:rFonts w:ascii="Arial" w:hAnsi="Arial" w:cs="Arial"/>
        </w:rPr>
        <w:t>onference acting on behalf the wife who had been the primary homemaker according to</w:t>
      </w:r>
      <w:r>
        <w:rPr>
          <w:rFonts w:ascii="Arial" w:hAnsi="Arial" w:cs="Arial"/>
        </w:rPr>
        <w:t xml:space="preserve"> her</w:t>
      </w:r>
      <w:r w:rsidRPr="0041580D">
        <w:rPr>
          <w:rFonts w:ascii="Arial" w:hAnsi="Arial" w:cs="Arial"/>
        </w:rPr>
        <w:t xml:space="preserve"> case. The solicitor on behalf the husband</w:t>
      </w:r>
      <w:r>
        <w:rPr>
          <w:rFonts w:ascii="Arial" w:hAnsi="Arial" w:cs="Arial"/>
        </w:rPr>
        <w:t>, (</w:t>
      </w:r>
      <w:r w:rsidRPr="0041580D">
        <w:rPr>
          <w:rFonts w:ascii="Arial" w:hAnsi="Arial" w:cs="Arial"/>
        </w:rPr>
        <w:t>who was a very senior solicitor)</w:t>
      </w:r>
      <w:r>
        <w:rPr>
          <w:rFonts w:ascii="Arial" w:hAnsi="Arial" w:cs="Arial"/>
        </w:rPr>
        <w:t>,</w:t>
      </w:r>
      <w:r w:rsidRPr="0041580D">
        <w:rPr>
          <w:rFonts w:ascii="Arial" w:hAnsi="Arial" w:cs="Arial"/>
        </w:rPr>
        <w:t xml:space="preserve"> inform</w:t>
      </w:r>
      <w:r>
        <w:rPr>
          <w:rFonts w:ascii="Arial" w:hAnsi="Arial" w:cs="Arial"/>
        </w:rPr>
        <w:t>ed</w:t>
      </w:r>
      <w:r w:rsidRPr="0041580D">
        <w:rPr>
          <w:rFonts w:ascii="Arial" w:hAnsi="Arial" w:cs="Arial"/>
        </w:rPr>
        <w:t xml:space="preserve"> me </w:t>
      </w:r>
      <w:r>
        <w:rPr>
          <w:rFonts w:ascii="Arial" w:hAnsi="Arial" w:cs="Arial"/>
        </w:rPr>
        <w:t>at the C</w:t>
      </w:r>
      <w:r w:rsidRPr="0041580D">
        <w:rPr>
          <w:rFonts w:ascii="Arial" w:hAnsi="Arial" w:cs="Arial"/>
        </w:rPr>
        <w:t xml:space="preserve">onference that he was intending under instructions </w:t>
      </w:r>
      <w:r>
        <w:rPr>
          <w:rFonts w:ascii="Arial" w:hAnsi="Arial" w:cs="Arial"/>
        </w:rPr>
        <w:t xml:space="preserve">to </w:t>
      </w:r>
      <w:r w:rsidRPr="0041580D">
        <w:rPr>
          <w:rFonts w:ascii="Arial" w:hAnsi="Arial" w:cs="Arial"/>
        </w:rPr>
        <w:t xml:space="preserve">present photographs </w:t>
      </w:r>
      <w:r>
        <w:rPr>
          <w:rFonts w:ascii="Arial" w:hAnsi="Arial" w:cs="Arial"/>
        </w:rPr>
        <w:t xml:space="preserve">to the Court </w:t>
      </w:r>
      <w:r w:rsidRPr="0041580D">
        <w:rPr>
          <w:rFonts w:ascii="Arial" w:hAnsi="Arial" w:cs="Arial"/>
        </w:rPr>
        <w:t>of the matrimonial home</w:t>
      </w:r>
      <w:r>
        <w:rPr>
          <w:rFonts w:ascii="Arial" w:hAnsi="Arial" w:cs="Arial"/>
        </w:rPr>
        <w:t xml:space="preserve">, </w:t>
      </w:r>
      <w:r w:rsidRPr="0041580D">
        <w:rPr>
          <w:rFonts w:ascii="Arial" w:hAnsi="Arial" w:cs="Arial"/>
        </w:rPr>
        <w:t>that would create</w:t>
      </w:r>
      <w:r>
        <w:rPr>
          <w:rFonts w:ascii="Arial" w:hAnsi="Arial" w:cs="Arial"/>
        </w:rPr>
        <w:t xml:space="preserve"> an impression that </w:t>
      </w:r>
      <w:r w:rsidRPr="0041580D">
        <w:rPr>
          <w:rFonts w:ascii="Arial" w:hAnsi="Arial" w:cs="Arial"/>
        </w:rPr>
        <w:t xml:space="preserve">my client’s homemaker contributions had been deficient. This issue never arose </w:t>
      </w:r>
      <w:r>
        <w:rPr>
          <w:rFonts w:ascii="Arial" w:hAnsi="Arial" w:cs="Arial"/>
        </w:rPr>
        <w:t>as</w:t>
      </w:r>
      <w:r w:rsidRPr="0041580D">
        <w:rPr>
          <w:rFonts w:ascii="Arial" w:hAnsi="Arial" w:cs="Arial"/>
        </w:rPr>
        <w:t xml:space="preserve"> the matter subsequently settled. </w:t>
      </w:r>
    </w:p>
    <w:p w14:paraId="3AFE4B35" w14:textId="6502D520" w:rsidR="003B1154" w:rsidRDefault="003B1154" w:rsidP="003B1154">
      <w:pPr>
        <w:spacing w:line="360" w:lineRule="auto"/>
        <w:ind w:left="720" w:hanging="720"/>
        <w:rPr>
          <w:rFonts w:ascii="Arial" w:hAnsi="Arial" w:cs="Arial"/>
        </w:rPr>
      </w:pPr>
      <w:r>
        <w:rPr>
          <w:rFonts w:ascii="Arial" w:hAnsi="Arial" w:cs="Arial"/>
        </w:rPr>
        <w:tab/>
      </w:r>
      <w:r w:rsidR="001D006C" w:rsidRPr="0041580D">
        <w:rPr>
          <w:rFonts w:ascii="Arial" w:hAnsi="Arial" w:cs="Arial"/>
        </w:rPr>
        <w:t>However,</w:t>
      </w:r>
      <w:r w:rsidRPr="0041580D">
        <w:rPr>
          <w:rFonts w:ascii="Arial" w:hAnsi="Arial" w:cs="Arial"/>
        </w:rPr>
        <w:t xml:space="preserve"> from my experience it is extremely unusual for an argument to be presented successfully that a homemaker </w:t>
      </w:r>
      <w:r>
        <w:rPr>
          <w:rFonts w:ascii="Arial" w:hAnsi="Arial" w:cs="Arial"/>
        </w:rPr>
        <w:t xml:space="preserve">and/or parenting </w:t>
      </w:r>
      <w:r w:rsidRPr="0041580D">
        <w:rPr>
          <w:rFonts w:ascii="Arial" w:hAnsi="Arial" w:cs="Arial"/>
        </w:rPr>
        <w:t>contribution</w:t>
      </w:r>
      <w:r>
        <w:rPr>
          <w:rFonts w:ascii="Arial" w:hAnsi="Arial" w:cs="Arial"/>
        </w:rPr>
        <w:t>s were</w:t>
      </w:r>
      <w:r w:rsidRPr="0041580D">
        <w:rPr>
          <w:rFonts w:ascii="Arial" w:hAnsi="Arial" w:cs="Arial"/>
        </w:rPr>
        <w:t xml:space="preserve"> deficient and inadequate. </w:t>
      </w:r>
    </w:p>
    <w:p w14:paraId="489802C0" w14:textId="309AD5C2" w:rsidR="003B1154" w:rsidRDefault="003B1154" w:rsidP="003B1154">
      <w:pPr>
        <w:spacing w:line="360" w:lineRule="auto"/>
        <w:ind w:left="720" w:hanging="720"/>
        <w:rPr>
          <w:rFonts w:ascii="Arial" w:hAnsi="Arial" w:cs="Arial"/>
        </w:rPr>
      </w:pPr>
      <w:r>
        <w:rPr>
          <w:rFonts w:ascii="Arial" w:hAnsi="Arial" w:cs="Arial"/>
        </w:rPr>
        <w:t>.</w:t>
      </w:r>
      <w:r>
        <w:rPr>
          <w:rFonts w:ascii="Arial" w:hAnsi="Arial" w:cs="Arial"/>
        </w:rPr>
        <w:tab/>
        <w:t xml:space="preserve">It has </w:t>
      </w:r>
      <w:r w:rsidRPr="0041580D">
        <w:rPr>
          <w:rFonts w:ascii="Arial" w:hAnsi="Arial" w:cs="Arial"/>
        </w:rPr>
        <w:t xml:space="preserve">also never been a strong </w:t>
      </w:r>
      <w:r>
        <w:rPr>
          <w:rFonts w:ascii="Arial" w:hAnsi="Arial" w:cs="Arial"/>
        </w:rPr>
        <w:t xml:space="preserve">nor common </w:t>
      </w:r>
      <w:r w:rsidRPr="0041580D">
        <w:rPr>
          <w:rFonts w:ascii="Arial" w:hAnsi="Arial" w:cs="Arial"/>
        </w:rPr>
        <w:t xml:space="preserve">position for someone to argue that because of the couples’ strong financial position </w:t>
      </w:r>
      <w:r>
        <w:rPr>
          <w:rFonts w:ascii="Arial" w:hAnsi="Arial" w:cs="Arial"/>
        </w:rPr>
        <w:t xml:space="preserve">to be </w:t>
      </w:r>
      <w:r w:rsidRPr="0041580D">
        <w:rPr>
          <w:rFonts w:ascii="Arial" w:hAnsi="Arial" w:cs="Arial"/>
        </w:rPr>
        <w:t>able to afford domestic staff</w:t>
      </w:r>
      <w:r>
        <w:rPr>
          <w:rFonts w:ascii="Arial" w:hAnsi="Arial" w:cs="Arial"/>
        </w:rPr>
        <w:t xml:space="preserve">, that had the effect of diluting one of the parties’ homemaker and parenting </w:t>
      </w:r>
      <w:r w:rsidRPr="0041580D">
        <w:rPr>
          <w:rFonts w:ascii="Arial" w:hAnsi="Arial" w:cs="Arial"/>
        </w:rPr>
        <w:t>contributions</w:t>
      </w:r>
      <w:r>
        <w:rPr>
          <w:rFonts w:ascii="Arial" w:hAnsi="Arial" w:cs="Arial"/>
        </w:rPr>
        <w:t>. In effect, she would be reduced to “</w:t>
      </w:r>
      <w:r w:rsidRPr="0041580D">
        <w:rPr>
          <w:rFonts w:ascii="Arial" w:hAnsi="Arial" w:cs="Arial"/>
        </w:rPr>
        <w:t>a lady who lunched</w:t>
      </w:r>
      <w:r>
        <w:rPr>
          <w:rFonts w:ascii="Arial" w:hAnsi="Arial" w:cs="Arial"/>
        </w:rPr>
        <w:t xml:space="preserve">”, and spend most her time </w:t>
      </w:r>
      <w:proofErr w:type="spellStart"/>
      <w:r>
        <w:rPr>
          <w:rFonts w:ascii="Arial" w:hAnsi="Arial" w:cs="Arial"/>
        </w:rPr>
        <w:t>socialising</w:t>
      </w:r>
      <w:proofErr w:type="spellEnd"/>
      <w:r>
        <w:rPr>
          <w:rFonts w:ascii="Arial" w:hAnsi="Arial" w:cs="Arial"/>
        </w:rPr>
        <w:t xml:space="preserve">, </w:t>
      </w:r>
      <w:r w:rsidRPr="0041580D">
        <w:rPr>
          <w:rFonts w:ascii="Arial" w:hAnsi="Arial" w:cs="Arial"/>
        </w:rPr>
        <w:t xml:space="preserve">rather than making any </w:t>
      </w:r>
      <w:r>
        <w:rPr>
          <w:rFonts w:ascii="Arial" w:hAnsi="Arial" w:cs="Arial"/>
        </w:rPr>
        <w:t>“</w:t>
      </w:r>
      <w:r w:rsidRPr="0041580D">
        <w:rPr>
          <w:rFonts w:ascii="Arial" w:hAnsi="Arial" w:cs="Arial"/>
        </w:rPr>
        <w:t>real effort</w:t>
      </w:r>
      <w:r>
        <w:rPr>
          <w:rFonts w:ascii="Arial" w:hAnsi="Arial" w:cs="Arial"/>
        </w:rPr>
        <w:t>” to contribute to the matrimonial pool.</w:t>
      </w:r>
    </w:p>
    <w:p w14:paraId="0AAE5911" w14:textId="38B713F4" w:rsidR="003B1154" w:rsidRDefault="003B1154" w:rsidP="001D006C">
      <w:pPr>
        <w:spacing w:line="360" w:lineRule="auto"/>
        <w:ind w:left="720"/>
        <w:rPr>
          <w:rFonts w:ascii="Arial" w:hAnsi="Arial" w:cs="Arial"/>
        </w:rPr>
      </w:pPr>
      <w:r w:rsidRPr="0041580D">
        <w:rPr>
          <w:rFonts w:ascii="Arial" w:hAnsi="Arial" w:cs="Arial"/>
        </w:rPr>
        <w:t>That argument of course fails to appreciate the supportive role that is usually played by spouses or partners in marriages or de facto relationships</w:t>
      </w:r>
    </w:p>
    <w:p w14:paraId="5D9BA86E" w14:textId="77B01F4D" w:rsidR="003B1154" w:rsidRDefault="003B1154" w:rsidP="003B1154">
      <w:pPr>
        <w:spacing w:line="360" w:lineRule="auto"/>
        <w:ind w:left="720" w:hanging="720"/>
        <w:rPr>
          <w:rFonts w:ascii="Arial" w:hAnsi="Arial" w:cs="Arial"/>
        </w:rPr>
      </w:pPr>
      <w:r>
        <w:rPr>
          <w:rFonts w:ascii="Arial" w:hAnsi="Arial" w:cs="Arial"/>
        </w:rPr>
        <w:t>.</w:t>
      </w:r>
      <w:r>
        <w:rPr>
          <w:rFonts w:ascii="Arial" w:hAnsi="Arial" w:cs="Arial"/>
        </w:rPr>
        <w:tab/>
        <w:t>Returning to my su</w:t>
      </w:r>
      <w:r w:rsidR="001D006C">
        <w:rPr>
          <w:rFonts w:ascii="Arial" w:hAnsi="Arial" w:cs="Arial"/>
        </w:rPr>
        <w:t xml:space="preserve">bmitted </w:t>
      </w:r>
      <w:r>
        <w:rPr>
          <w:rFonts w:ascii="Arial" w:hAnsi="Arial" w:cs="Arial"/>
        </w:rPr>
        <w:t>change in the legislation, such a presumption of equality would c</w:t>
      </w:r>
      <w:r w:rsidRPr="0041580D">
        <w:rPr>
          <w:rFonts w:ascii="Arial" w:hAnsi="Arial" w:cs="Arial"/>
        </w:rPr>
        <w:t xml:space="preserve">onsequently </w:t>
      </w:r>
      <w:r>
        <w:rPr>
          <w:rFonts w:ascii="Arial" w:hAnsi="Arial" w:cs="Arial"/>
        </w:rPr>
        <w:t xml:space="preserve">have the effect of </w:t>
      </w:r>
      <w:r w:rsidRPr="0041580D">
        <w:rPr>
          <w:rFonts w:ascii="Arial" w:hAnsi="Arial" w:cs="Arial"/>
        </w:rPr>
        <w:t>free</w:t>
      </w:r>
      <w:r>
        <w:rPr>
          <w:rFonts w:ascii="Arial" w:hAnsi="Arial" w:cs="Arial"/>
        </w:rPr>
        <w:t>ing</w:t>
      </w:r>
      <w:r w:rsidRPr="0041580D">
        <w:rPr>
          <w:rFonts w:ascii="Arial" w:hAnsi="Arial" w:cs="Arial"/>
        </w:rPr>
        <w:t xml:space="preserve"> up a considerable </w:t>
      </w:r>
      <w:r>
        <w:rPr>
          <w:rFonts w:ascii="Arial" w:hAnsi="Arial" w:cs="Arial"/>
        </w:rPr>
        <w:t xml:space="preserve">litigation </w:t>
      </w:r>
      <w:r w:rsidRPr="0041580D">
        <w:rPr>
          <w:rFonts w:ascii="Arial" w:hAnsi="Arial" w:cs="Arial"/>
        </w:rPr>
        <w:t>time and effort in respect to arguments associated</w:t>
      </w:r>
      <w:r>
        <w:rPr>
          <w:rFonts w:ascii="Arial" w:hAnsi="Arial" w:cs="Arial"/>
        </w:rPr>
        <w:t xml:space="preserve"> with the </w:t>
      </w:r>
      <w:r w:rsidR="00987CCD" w:rsidRPr="0041580D">
        <w:rPr>
          <w:rFonts w:ascii="Arial" w:hAnsi="Arial" w:cs="Arial"/>
        </w:rPr>
        <w:t>contribution’s</w:t>
      </w:r>
      <w:r>
        <w:rPr>
          <w:rFonts w:ascii="Arial" w:hAnsi="Arial" w:cs="Arial"/>
        </w:rPr>
        <w:t xml:space="preserve"> issues, </w:t>
      </w:r>
      <w:r w:rsidRPr="0041580D">
        <w:rPr>
          <w:rFonts w:ascii="Arial" w:hAnsi="Arial" w:cs="Arial"/>
        </w:rPr>
        <w:t xml:space="preserve">and in particular </w:t>
      </w:r>
      <w:r>
        <w:rPr>
          <w:rFonts w:ascii="Arial" w:hAnsi="Arial" w:cs="Arial"/>
        </w:rPr>
        <w:t>any so called “</w:t>
      </w:r>
      <w:r w:rsidRPr="0041580D">
        <w:rPr>
          <w:rFonts w:ascii="Arial" w:hAnsi="Arial" w:cs="Arial"/>
        </w:rPr>
        <w:t>special skill</w:t>
      </w:r>
      <w:r>
        <w:rPr>
          <w:rFonts w:ascii="Arial" w:hAnsi="Arial" w:cs="Arial"/>
        </w:rPr>
        <w:t>”</w:t>
      </w:r>
      <w:r w:rsidRPr="0041580D">
        <w:rPr>
          <w:rFonts w:ascii="Arial" w:hAnsi="Arial" w:cs="Arial"/>
        </w:rPr>
        <w:t xml:space="preserve"> type contributions. </w:t>
      </w:r>
    </w:p>
    <w:p w14:paraId="37997A33" w14:textId="3751E3E5" w:rsidR="003B1154" w:rsidRDefault="003B1154" w:rsidP="003B1154">
      <w:pPr>
        <w:spacing w:line="360" w:lineRule="auto"/>
        <w:ind w:left="720" w:hanging="720"/>
        <w:rPr>
          <w:rFonts w:ascii="Arial" w:hAnsi="Arial" w:cs="Arial"/>
        </w:rPr>
      </w:pPr>
      <w:r>
        <w:rPr>
          <w:rFonts w:ascii="Arial" w:hAnsi="Arial" w:cs="Arial"/>
        </w:rPr>
        <w:t>.</w:t>
      </w:r>
      <w:r>
        <w:rPr>
          <w:rFonts w:ascii="Arial" w:hAnsi="Arial" w:cs="Arial"/>
        </w:rPr>
        <w:tab/>
      </w:r>
      <w:r w:rsidRPr="0041580D">
        <w:rPr>
          <w:rFonts w:ascii="Arial" w:hAnsi="Arial" w:cs="Arial"/>
        </w:rPr>
        <w:t xml:space="preserve">It would not </w:t>
      </w:r>
      <w:r>
        <w:rPr>
          <w:rFonts w:ascii="Arial" w:hAnsi="Arial" w:cs="Arial"/>
        </w:rPr>
        <w:t xml:space="preserve">however </w:t>
      </w:r>
      <w:r w:rsidRPr="0041580D">
        <w:rPr>
          <w:rFonts w:ascii="Arial" w:hAnsi="Arial" w:cs="Arial"/>
        </w:rPr>
        <w:t xml:space="preserve">take away issues that we traditionally find in the </w:t>
      </w:r>
      <w:r>
        <w:rPr>
          <w:rFonts w:ascii="Arial" w:hAnsi="Arial" w:cs="Arial"/>
        </w:rPr>
        <w:t>F</w:t>
      </w:r>
      <w:r w:rsidRPr="0041580D">
        <w:rPr>
          <w:rFonts w:ascii="Arial" w:hAnsi="Arial" w:cs="Arial"/>
        </w:rPr>
        <w:t xml:space="preserve">amily </w:t>
      </w:r>
      <w:r>
        <w:rPr>
          <w:rFonts w:ascii="Arial" w:hAnsi="Arial" w:cs="Arial"/>
        </w:rPr>
        <w:t>Law</w:t>
      </w:r>
      <w:r w:rsidRPr="0041580D">
        <w:rPr>
          <w:rFonts w:ascii="Arial" w:hAnsi="Arial" w:cs="Arial"/>
        </w:rPr>
        <w:t xml:space="preserve"> property cases such as </w:t>
      </w:r>
      <w:r>
        <w:rPr>
          <w:rFonts w:ascii="Arial" w:hAnsi="Arial" w:cs="Arial"/>
        </w:rPr>
        <w:t xml:space="preserve">who controls the assets, valuations, </w:t>
      </w:r>
      <w:r w:rsidRPr="0041580D">
        <w:rPr>
          <w:rFonts w:ascii="Arial" w:hAnsi="Arial" w:cs="Arial"/>
        </w:rPr>
        <w:t>non</w:t>
      </w:r>
      <w:r>
        <w:rPr>
          <w:rFonts w:ascii="Arial" w:hAnsi="Arial" w:cs="Arial"/>
        </w:rPr>
        <w:t>-</w:t>
      </w:r>
      <w:r w:rsidRPr="0041580D">
        <w:rPr>
          <w:rFonts w:ascii="Arial" w:hAnsi="Arial" w:cs="Arial"/>
        </w:rPr>
        <w:t>disclosure</w:t>
      </w:r>
      <w:r>
        <w:rPr>
          <w:rFonts w:ascii="Arial" w:hAnsi="Arial" w:cs="Arial"/>
        </w:rPr>
        <w:t xml:space="preserve">, </w:t>
      </w:r>
      <w:r w:rsidRPr="0041580D">
        <w:rPr>
          <w:rFonts w:ascii="Arial" w:hAnsi="Arial" w:cs="Arial"/>
        </w:rPr>
        <w:t>premature distribution of assets</w:t>
      </w:r>
      <w:r>
        <w:rPr>
          <w:rFonts w:ascii="Arial" w:hAnsi="Arial" w:cs="Arial"/>
        </w:rPr>
        <w:t>,</w:t>
      </w:r>
      <w:r w:rsidRPr="0041580D">
        <w:rPr>
          <w:rFonts w:ascii="Arial" w:hAnsi="Arial" w:cs="Arial"/>
        </w:rPr>
        <w:t xml:space="preserve"> and waste. Those sorts of issues could still be relevant particularly in relation </w:t>
      </w:r>
      <w:r>
        <w:rPr>
          <w:rFonts w:ascii="Arial" w:hAnsi="Arial" w:cs="Arial"/>
        </w:rPr>
        <w:t xml:space="preserve">assessing the size of the net matrimonial pool as well as evaluating </w:t>
      </w:r>
      <w:r w:rsidRPr="0041580D">
        <w:rPr>
          <w:rFonts w:ascii="Arial" w:hAnsi="Arial" w:cs="Arial"/>
        </w:rPr>
        <w:t>to the part</w:t>
      </w:r>
      <w:r>
        <w:rPr>
          <w:rFonts w:ascii="Arial" w:hAnsi="Arial" w:cs="Arial"/>
        </w:rPr>
        <w:t xml:space="preserve">ies’ </w:t>
      </w:r>
      <w:r w:rsidRPr="0041580D">
        <w:rPr>
          <w:rFonts w:ascii="Arial" w:hAnsi="Arial" w:cs="Arial"/>
        </w:rPr>
        <w:t xml:space="preserve">section 75 </w:t>
      </w:r>
      <w:r>
        <w:rPr>
          <w:rFonts w:ascii="Arial" w:hAnsi="Arial" w:cs="Arial"/>
        </w:rPr>
        <w:t xml:space="preserve">(2) (o) </w:t>
      </w:r>
      <w:r w:rsidRPr="0041580D">
        <w:rPr>
          <w:rFonts w:ascii="Arial" w:hAnsi="Arial" w:cs="Arial"/>
        </w:rPr>
        <w:t>factors</w:t>
      </w:r>
      <w:r w:rsidR="001D006C">
        <w:rPr>
          <w:rFonts w:ascii="Arial" w:hAnsi="Arial" w:cs="Arial"/>
        </w:rPr>
        <w:t xml:space="preserve"> of the </w:t>
      </w:r>
      <w:r w:rsidR="00987CCD">
        <w:rPr>
          <w:rFonts w:ascii="Arial" w:hAnsi="Arial" w:cs="Arial"/>
        </w:rPr>
        <w:t>Act.</w:t>
      </w:r>
      <w:r w:rsidRPr="0041580D">
        <w:rPr>
          <w:rFonts w:ascii="Arial" w:hAnsi="Arial" w:cs="Arial"/>
        </w:rPr>
        <w:t xml:space="preserve"> </w:t>
      </w:r>
    </w:p>
    <w:p w14:paraId="6FB288F1" w14:textId="77777777" w:rsidR="002E0BEA" w:rsidRDefault="003B1154" w:rsidP="003B1154">
      <w:pPr>
        <w:spacing w:line="360" w:lineRule="auto"/>
        <w:ind w:left="720" w:hanging="720"/>
        <w:rPr>
          <w:rFonts w:ascii="Arial" w:hAnsi="Arial" w:cs="Arial"/>
        </w:rPr>
      </w:pPr>
      <w:r>
        <w:rPr>
          <w:rFonts w:ascii="Arial" w:hAnsi="Arial" w:cs="Arial"/>
        </w:rPr>
        <w:t>.</w:t>
      </w:r>
    </w:p>
    <w:p w14:paraId="3E60003F" w14:textId="77777777" w:rsidR="002E0BEA" w:rsidRDefault="002E0BEA" w:rsidP="003B1154">
      <w:pPr>
        <w:spacing w:line="360" w:lineRule="auto"/>
        <w:ind w:left="720" w:hanging="720"/>
        <w:rPr>
          <w:rFonts w:ascii="Arial" w:hAnsi="Arial" w:cs="Arial"/>
        </w:rPr>
      </w:pPr>
    </w:p>
    <w:p w14:paraId="15F1C222" w14:textId="2F3C7BA4" w:rsidR="003B1154" w:rsidRDefault="003B1154" w:rsidP="003B1154">
      <w:pPr>
        <w:spacing w:line="360" w:lineRule="auto"/>
        <w:ind w:left="720" w:hanging="720"/>
        <w:rPr>
          <w:rFonts w:ascii="Arial" w:hAnsi="Arial" w:cs="Arial"/>
        </w:rPr>
      </w:pPr>
      <w:r>
        <w:rPr>
          <w:rFonts w:ascii="Arial" w:hAnsi="Arial" w:cs="Arial"/>
        </w:rPr>
        <w:lastRenderedPageBreak/>
        <w:tab/>
      </w:r>
      <w:r w:rsidRPr="0041580D">
        <w:rPr>
          <w:rFonts w:ascii="Arial" w:hAnsi="Arial" w:cs="Arial"/>
        </w:rPr>
        <w:t>And of course, section 75</w:t>
      </w:r>
      <w:r>
        <w:rPr>
          <w:rFonts w:ascii="Arial" w:hAnsi="Arial" w:cs="Arial"/>
        </w:rPr>
        <w:t xml:space="preserve">(2) </w:t>
      </w:r>
      <w:r w:rsidR="001D006C">
        <w:rPr>
          <w:rFonts w:ascii="Arial" w:hAnsi="Arial" w:cs="Arial"/>
        </w:rPr>
        <w:t xml:space="preserve">of the Act </w:t>
      </w:r>
      <w:r>
        <w:rPr>
          <w:rFonts w:ascii="Arial" w:hAnsi="Arial" w:cs="Arial"/>
        </w:rPr>
        <w:t xml:space="preserve">generally </w:t>
      </w:r>
      <w:r w:rsidRPr="0041580D">
        <w:rPr>
          <w:rFonts w:ascii="Arial" w:hAnsi="Arial" w:cs="Arial"/>
        </w:rPr>
        <w:t xml:space="preserve">would still be a relevant position where we had a situation where one party’s future needs and resources were limited </w:t>
      </w:r>
      <w:r>
        <w:rPr>
          <w:rFonts w:ascii="Arial" w:hAnsi="Arial" w:cs="Arial"/>
        </w:rPr>
        <w:t xml:space="preserve">compared with the other </w:t>
      </w:r>
      <w:r w:rsidR="00987CCD">
        <w:rPr>
          <w:rFonts w:ascii="Arial" w:hAnsi="Arial" w:cs="Arial"/>
        </w:rPr>
        <w:t>parties</w:t>
      </w:r>
      <w:r>
        <w:rPr>
          <w:rFonts w:ascii="Arial" w:hAnsi="Arial" w:cs="Arial"/>
        </w:rPr>
        <w:t>.</w:t>
      </w:r>
    </w:p>
    <w:p w14:paraId="3B698A9B" w14:textId="5AF73552" w:rsidR="00987CCD" w:rsidRDefault="00987CCD" w:rsidP="003B1154">
      <w:pPr>
        <w:spacing w:line="360" w:lineRule="auto"/>
        <w:ind w:left="720" w:hanging="720"/>
        <w:rPr>
          <w:rFonts w:ascii="Arial" w:hAnsi="Arial" w:cs="Arial"/>
        </w:rPr>
      </w:pPr>
    </w:p>
    <w:p w14:paraId="7811626B" w14:textId="092505FC" w:rsidR="00987CCD" w:rsidRPr="00987CCD" w:rsidRDefault="00987CCD" w:rsidP="00987CCD">
      <w:pPr>
        <w:spacing w:line="360" w:lineRule="auto"/>
        <w:rPr>
          <w:rFonts w:ascii="Arial" w:hAnsi="Arial" w:cs="Arial"/>
          <w:b/>
        </w:rPr>
      </w:pPr>
      <w:r w:rsidRPr="00987CCD">
        <w:rPr>
          <w:rFonts w:ascii="Arial" w:hAnsi="Arial" w:cs="Arial"/>
          <w:b/>
        </w:rPr>
        <w:t xml:space="preserve">Neil Jackson </w:t>
      </w:r>
    </w:p>
    <w:p w14:paraId="6E6680C8" w14:textId="4F95B86A" w:rsidR="00987CCD" w:rsidRPr="00987CCD" w:rsidRDefault="00987CCD" w:rsidP="00987CCD">
      <w:pPr>
        <w:spacing w:line="360" w:lineRule="auto"/>
        <w:rPr>
          <w:rFonts w:ascii="Arial" w:hAnsi="Arial" w:cs="Arial"/>
          <w:b/>
        </w:rPr>
      </w:pPr>
      <w:r w:rsidRPr="00987CCD">
        <w:rPr>
          <w:rFonts w:ascii="Arial" w:hAnsi="Arial" w:cs="Arial"/>
          <w:b/>
        </w:rPr>
        <w:t>Family Law Barrister and Mediator</w:t>
      </w:r>
    </w:p>
    <w:p w14:paraId="1375FD7A" w14:textId="77777777" w:rsidR="00987CCD" w:rsidRPr="00987CCD" w:rsidRDefault="00987CCD" w:rsidP="00987CCD">
      <w:pPr>
        <w:spacing w:line="360" w:lineRule="auto"/>
        <w:rPr>
          <w:rFonts w:ascii="Arial" w:hAnsi="Arial" w:cs="Arial"/>
          <w:b/>
        </w:rPr>
      </w:pPr>
      <w:r w:rsidRPr="00987CCD">
        <w:rPr>
          <w:rFonts w:ascii="Arial" w:hAnsi="Arial" w:cs="Arial"/>
          <w:b/>
        </w:rPr>
        <w:t>53 Martin Place Sydney</w:t>
      </w:r>
    </w:p>
    <w:p w14:paraId="09CFF056" w14:textId="6C63579B" w:rsidR="00987CCD" w:rsidRDefault="00987CCD" w:rsidP="00987CCD">
      <w:pPr>
        <w:spacing w:line="360" w:lineRule="auto"/>
        <w:rPr>
          <w:rFonts w:ascii="Arial" w:hAnsi="Arial" w:cs="Arial"/>
          <w:b/>
        </w:rPr>
      </w:pPr>
      <w:r w:rsidRPr="00987CCD">
        <w:rPr>
          <w:rFonts w:ascii="Arial" w:hAnsi="Arial" w:cs="Arial"/>
          <w:b/>
        </w:rPr>
        <w:t xml:space="preserve">0410403965 </w:t>
      </w:r>
    </w:p>
    <w:p w14:paraId="3A24C4F4" w14:textId="37559812" w:rsidR="00987CCD" w:rsidRPr="00987CCD" w:rsidRDefault="00987CCD" w:rsidP="00C608AD">
      <w:pPr>
        <w:spacing w:line="360" w:lineRule="auto"/>
        <w:ind w:left="4320" w:firstLine="720"/>
        <w:rPr>
          <w:rFonts w:ascii="Arial" w:hAnsi="Arial" w:cs="Arial"/>
          <w:b/>
        </w:rPr>
      </w:pPr>
      <w:r>
        <w:rPr>
          <w:rFonts w:ascii="Arial" w:hAnsi="Arial" w:cs="Arial"/>
          <w:b/>
        </w:rPr>
        <w:t xml:space="preserve">20 November 2018 </w:t>
      </w:r>
    </w:p>
    <w:p w14:paraId="6FD9BC3A" w14:textId="77777777" w:rsidR="00CD5DE0" w:rsidRPr="007514DC" w:rsidRDefault="00CD5DE0" w:rsidP="007514DC">
      <w:pPr>
        <w:spacing w:line="360" w:lineRule="auto"/>
        <w:rPr>
          <w:rFonts w:ascii="Arial" w:hAnsi="Arial" w:cs="Arial"/>
        </w:rPr>
      </w:pPr>
    </w:p>
    <w:sectPr w:rsidR="00CD5DE0" w:rsidRPr="00751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E906" w14:textId="77777777" w:rsidR="00D44A28" w:rsidRDefault="00D44A28" w:rsidP="00C608AD">
      <w:pPr>
        <w:spacing w:after="0" w:line="240" w:lineRule="auto"/>
      </w:pPr>
      <w:r>
        <w:separator/>
      </w:r>
    </w:p>
  </w:endnote>
  <w:endnote w:type="continuationSeparator" w:id="0">
    <w:p w14:paraId="66AC1C26" w14:textId="77777777" w:rsidR="00D44A28" w:rsidRDefault="00D44A28" w:rsidP="00C6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0FAB" w14:textId="77777777" w:rsidR="00C608AD" w:rsidRDefault="00C60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0286" w14:textId="77777777" w:rsidR="00C608AD" w:rsidRDefault="00C60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2E38" w14:textId="77777777" w:rsidR="00C608AD" w:rsidRDefault="00C6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50FF" w14:textId="77777777" w:rsidR="00D44A28" w:rsidRDefault="00D44A28" w:rsidP="00C608AD">
      <w:pPr>
        <w:spacing w:after="0" w:line="240" w:lineRule="auto"/>
      </w:pPr>
      <w:r>
        <w:separator/>
      </w:r>
    </w:p>
  </w:footnote>
  <w:footnote w:type="continuationSeparator" w:id="0">
    <w:p w14:paraId="4142502E" w14:textId="77777777" w:rsidR="00D44A28" w:rsidRDefault="00D44A28" w:rsidP="00C60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096E" w14:textId="77777777" w:rsidR="00C608AD" w:rsidRDefault="00C6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494302"/>
      <w:docPartObj>
        <w:docPartGallery w:val="Page Numbers (Top of Page)"/>
        <w:docPartUnique/>
      </w:docPartObj>
    </w:sdtPr>
    <w:sdtEndPr>
      <w:rPr>
        <w:noProof/>
      </w:rPr>
    </w:sdtEndPr>
    <w:sdtContent>
      <w:p w14:paraId="4E29DC6E" w14:textId="3AEBD970" w:rsidR="00C608AD" w:rsidRDefault="00C608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D0A27C" w14:textId="77777777" w:rsidR="00C608AD" w:rsidRDefault="00C60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DDC6" w14:textId="77777777" w:rsidR="00C608AD" w:rsidRDefault="00C6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6992"/>
    <w:multiLevelType w:val="multilevel"/>
    <w:tmpl w:val="7BFCE4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712F1"/>
    <w:multiLevelType w:val="hybridMultilevel"/>
    <w:tmpl w:val="D438F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C"/>
    <w:rsid w:val="0005223C"/>
    <w:rsid w:val="00171B83"/>
    <w:rsid w:val="001D006C"/>
    <w:rsid w:val="002E0BEA"/>
    <w:rsid w:val="00380F05"/>
    <w:rsid w:val="00380F5C"/>
    <w:rsid w:val="003B1154"/>
    <w:rsid w:val="00656806"/>
    <w:rsid w:val="00664F60"/>
    <w:rsid w:val="007514DC"/>
    <w:rsid w:val="00987CCD"/>
    <w:rsid w:val="009B31DD"/>
    <w:rsid w:val="00AC0BEF"/>
    <w:rsid w:val="00AD57DF"/>
    <w:rsid w:val="00C608AD"/>
    <w:rsid w:val="00CD5DE0"/>
    <w:rsid w:val="00D44A28"/>
    <w:rsid w:val="00F0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F3B"/>
  <w15:chartTrackingRefBased/>
  <w15:docId w15:val="{F164F959-9094-4426-9EED-6D46D7A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514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514DC"/>
    <w:rPr>
      <w:rFonts w:ascii="Calibri" w:hAnsi="Calibri"/>
      <w:szCs w:val="21"/>
    </w:rPr>
  </w:style>
  <w:style w:type="paragraph" w:styleId="ListParagraph">
    <w:name w:val="List Paragraph"/>
    <w:basedOn w:val="Normal"/>
    <w:uiPriority w:val="34"/>
    <w:qFormat/>
    <w:rsid w:val="00CD5DE0"/>
    <w:pPr>
      <w:ind w:left="720"/>
      <w:contextualSpacing/>
    </w:pPr>
    <w:rPr>
      <w:lang w:val="en-AU"/>
    </w:rPr>
  </w:style>
  <w:style w:type="paragraph" w:styleId="Header">
    <w:name w:val="header"/>
    <w:basedOn w:val="Normal"/>
    <w:link w:val="HeaderChar"/>
    <w:uiPriority w:val="99"/>
    <w:unhideWhenUsed/>
    <w:rsid w:val="00C6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AD"/>
  </w:style>
  <w:style w:type="paragraph" w:styleId="Footer">
    <w:name w:val="footer"/>
    <w:basedOn w:val="Normal"/>
    <w:link w:val="FooterChar"/>
    <w:uiPriority w:val="99"/>
    <w:unhideWhenUsed/>
    <w:rsid w:val="00C6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MyComputer</cp:lastModifiedBy>
  <cp:revision>2</cp:revision>
  <dcterms:created xsi:type="dcterms:W3CDTF">2018-11-20T04:02:00Z</dcterms:created>
  <dcterms:modified xsi:type="dcterms:W3CDTF">2018-11-20T04:02:00Z</dcterms:modified>
</cp:coreProperties>
</file>