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EDD6" w14:textId="77777777" w:rsidR="001D73DE" w:rsidRPr="002F1AA2" w:rsidRDefault="001D73DE" w:rsidP="001D73DE">
      <w:pPr>
        <w:jc w:val="center"/>
        <w:rPr>
          <w:b/>
          <w:lang w:val="en"/>
        </w:rPr>
      </w:pPr>
      <w:r w:rsidRPr="002F1AA2">
        <w:rPr>
          <w:b/>
          <w:lang w:val="en"/>
        </w:rPr>
        <w:t>Submission to the Australian Law Reform Commission’s Review of the Family Law System</w:t>
      </w:r>
    </w:p>
    <w:p w14:paraId="3EE0F6A5" w14:textId="0326DB8D" w:rsidR="001D73DE" w:rsidRPr="002F1AA2" w:rsidRDefault="001D73DE" w:rsidP="001D73DE">
      <w:pPr>
        <w:jc w:val="center"/>
        <w:rPr>
          <w:b/>
          <w:lang w:val="en"/>
        </w:rPr>
      </w:pPr>
      <w:r w:rsidRPr="002F1AA2">
        <w:rPr>
          <w:b/>
          <w:lang w:val="en"/>
        </w:rPr>
        <w:t>Profe</w:t>
      </w:r>
      <w:r w:rsidR="003D2C46">
        <w:rPr>
          <w:b/>
          <w:lang w:val="en"/>
        </w:rPr>
        <w:t>ssor Belinda Fehlberg</w:t>
      </w:r>
    </w:p>
    <w:p w14:paraId="5762F1DB" w14:textId="77777777" w:rsidR="001D73DE" w:rsidRPr="002F1AA2" w:rsidRDefault="001D73DE" w:rsidP="001D73DE">
      <w:pPr>
        <w:jc w:val="center"/>
        <w:rPr>
          <w:b/>
        </w:rPr>
      </w:pPr>
      <w:r w:rsidRPr="002F1AA2">
        <w:rPr>
          <w:b/>
          <w:lang w:val="en"/>
        </w:rPr>
        <w:t>Melbourne Law School</w:t>
      </w:r>
    </w:p>
    <w:p w14:paraId="09E53734" w14:textId="7F8845A3" w:rsidR="001D73DE" w:rsidRPr="002F1AA2" w:rsidRDefault="003D2C46" w:rsidP="001D73DE">
      <w:r>
        <w:t>I</w:t>
      </w:r>
      <w:r w:rsidR="001D73DE" w:rsidRPr="002F1AA2">
        <w:t xml:space="preserve"> welcome the Federal Government’s ongoing concern regarding how Australia’s family law system can be improved, and its referral of this</w:t>
      </w:r>
      <w:r w:rsidR="00B43D5A">
        <w:t xml:space="preserve"> Review</w:t>
      </w:r>
      <w:r w:rsidR="001D73DE" w:rsidRPr="002F1AA2">
        <w:t xml:space="preserve"> to the Australian Law Reform Commission.</w:t>
      </w:r>
    </w:p>
    <w:p w14:paraId="6AEDEEFA" w14:textId="2C6C2EE0" w:rsidR="003D2C46" w:rsidRDefault="003D2C46" w:rsidP="001D73DE">
      <w:r>
        <w:t xml:space="preserve">This </w:t>
      </w:r>
      <w:r w:rsidR="00B43D5A">
        <w:t xml:space="preserve">brief </w:t>
      </w:r>
      <w:r>
        <w:t>submission relate</w:t>
      </w:r>
      <w:r w:rsidR="00B43D5A">
        <w:t>s to the Discussion P</w:t>
      </w:r>
      <w:r>
        <w:t>aper and does not repeat points made in my earlier submission</w:t>
      </w:r>
      <w:r w:rsidR="00B43D5A">
        <w:t xml:space="preserve"> on the Issues Paper</w:t>
      </w:r>
      <w:r>
        <w:t>, with Professor Jenny Mor</w:t>
      </w:r>
      <w:r w:rsidR="00B43D5A">
        <w:t>gan and Lisa Sarmas</w:t>
      </w:r>
      <w:r>
        <w:t xml:space="preserve">. I have </w:t>
      </w:r>
      <w:r w:rsidR="009F595E">
        <w:t xml:space="preserve">also </w:t>
      </w:r>
      <w:r>
        <w:t xml:space="preserve">restricted my submission to areas </w:t>
      </w:r>
      <w:r w:rsidR="009F595E">
        <w:t>of key concern to me that are</w:t>
      </w:r>
      <w:r w:rsidR="004C66E3">
        <w:t xml:space="preserve"> </w:t>
      </w:r>
      <w:r>
        <w:t xml:space="preserve">within my </w:t>
      </w:r>
      <w:r w:rsidR="00B43D5A">
        <w:t xml:space="preserve">main </w:t>
      </w:r>
      <w:r>
        <w:t>area</w:t>
      </w:r>
      <w:r w:rsidR="00B43D5A">
        <w:t>s</w:t>
      </w:r>
      <w:r>
        <w:t xml:space="preserve"> of </w:t>
      </w:r>
      <w:r w:rsidR="00B43D5A">
        <w:t xml:space="preserve">research </w:t>
      </w:r>
      <w:r>
        <w:t xml:space="preserve">expertise. </w:t>
      </w:r>
    </w:p>
    <w:p w14:paraId="21635B0D" w14:textId="44019C54" w:rsidR="0043278B" w:rsidRDefault="00A01222" w:rsidP="001D73DE">
      <w:r>
        <w:t>My thoughts are as follows.</w:t>
      </w:r>
    </w:p>
    <w:p w14:paraId="53B56CDE" w14:textId="36D9D944" w:rsidR="00A01222" w:rsidRDefault="00A01222" w:rsidP="001D73DE">
      <w:r w:rsidRPr="00A01222">
        <w:rPr>
          <w:b/>
        </w:rPr>
        <w:t>Proposal</w:t>
      </w:r>
      <w:r w:rsidR="00450BE5">
        <w:rPr>
          <w:b/>
        </w:rPr>
        <w:t>s</w:t>
      </w:r>
      <w:r w:rsidRPr="00A01222">
        <w:rPr>
          <w:b/>
        </w:rPr>
        <w:t xml:space="preserve"> 3-2</w:t>
      </w:r>
      <w:r w:rsidR="00450BE5">
        <w:rPr>
          <w:b/>
        </w:rPr>
        <w:t>, 4-2</w:t>
      </w:r>
      <w:r w:rsidRPr="00A01222">
        <w:rPr>
          <w:b/>
        </w:rPr>
        <w:t>:</w:t>
      </w:r>
      <w:r>
        <w:t xml:space="preserve"> Given the ‘digital divide’ that exists in Austral</w:t>
      </w:r>
      <w:r w:rsidR="00F6358B">
        <w:t>ia,</w:t>
      </w:r>
      <w:r w:rsidR="004C66E3">
        <w:t xml:space="preserve"> </w:t>
      </w:r>
      <w:r w:rsidR="00450BE5">
        <w:t>internet-based</w:t>
      </w:r>
      <w:r>
        <w:t xml:space="preserve"> options for assistance</w:t>
      </w:r>
      <w:r w:rsidR="004C66E3">
        <w:t>, including</w:t>
      </w:r>
      <w:r>
        <w:t xml:space="preserve"> w</w:t>
      </w:r>
      <w:r w:rsidR="00DD5F5B">
        <w:t xml:space="preserve">ith </w:t>
      </w:r>
      <w:r>
        <w:t>fa</w:t>
      </w:r>
      <w:r w:rsidR="00E011F1">
        <w:t>mily court forms</w:t>
      </w:r>
      <w:r w:rsidR="004C66E3">
        <w:t>,</w:t>
      </w:r>
      <w:r w:rsidR="00E011F1">
        <w:t xml:space="preserve"> should not be</w:t>
      </w:r>
      <w:r>
        <w:t xml:space="preserve"> </w:t>
      </w:r>
      <w:r w:rsidR="0048612B">
        <w:t>to the cost</w:t>
      </w:r>
      <w:r>
        <w:t xml:space="preserve"> of </w:t>
      </w:r>
      <w:r w:rsidR="0048612B">
        <w:t xml:space="preserve">face-to-face and </w:t>
      </w:r>
      <w:r>
        <w:t>telephone</w:t>
      </w:r>
      <w:r w:rsidR="0048612B">
        <w:t xml:space="preserve"> assistance</w:t>
      </w:r>
      <w:r>
        <w:t>. My recent research</w:t>
      </w:r>
      <w:r w:rsidR="00D965F7">
        <w:t xml:space="preserve"> </w:t>
      </w:r>
      <w:r w:rsidR="00D965F7" w:rsidRPr="00D965F7">
        <w:t>with Associate</w:t>
      </w:r>
      <w:r w:rsidR="00D965F7">
        <w:t xml:space="preserve"> Professor Bruce Smyth exploring</w:t>
      </w:r>
      <w:r w:rsidR="00D965F7" w:rsidRPr="00D965F7">
        <w:t xml:space="preserve"> use and utility of family law resources available on smartphones from a ‘consumer’ perspective, focusing on apps</w:t>
      </w:r>
      <w:r w:rsidR="00D965F7">
        <w:t>,</w:t>
      </w:r>
      <w:r w:rsidR="00D965F7" w:rsidRPr="00D965F7">
        <w:t xml:space="preserve"> </w:t>
      </w:r>
      <w:r w:rsidR="004C66E3">
        <w:t xml:space="preserve">reinforces this point and </w:t>
      </w:r>
      <w:r w:rsidR="005A279A">
        <w:t xml:space="preserve">also </w:t>
      </w:r>
      <w:r w:rsidR="00D965F7" w:rsidRPr="00D965F7">
        <w:t>suggests a gap between what is available</w:t>
      </w:r>
      <w:r w:rsidR="004C66E3">
        <w:t xml:space="preserve"> online</w:t>
      </w:r>
      <w:r w:rsidR="00D965F7" w:rsidRPr="00D965F7">
        <w:t xml:space="preserve"> and what is known about and used by separating parents</w:t>
      </w:r>
      <w:r w:rsidR="00D965F7">
        <w:t xml:space="preserve"> (Bruce Smyth and Belinda Fehlberg, ‘</w:t>
      </w:r>
      <w:r w:rsidR="00D965F7" w:rsidRPr="00D965F7">
        <w:t>Australian Post-Separation Parenting on the Smartphone: What’s ‘App-</w:t>
      </w:r>
      <w:proofErr w:type="spellStart"/>
      <w:r w:rsidR="00D965F7" w:rsidRPr="00D965F7">
        <w:t>ening</w:t>
      </w:r>
      <w:proofErr w:type="spellEnd"/>
      <w:r w:rsidR="00D965F7" w:rsidRPr="00D965F7">
        <w:t>?</w:t>
      </w:r>
      <w:r w:rsidR="00D965F7">
        <w:t xml:space="preserve">’, forthcoming, (2019) 41:1 </w:t>
      </w:r>
      <w:r w:rsidR="00D965F7" w:rsidRPr="00D965F7">
        <w:rPr>
          <w:i/>
        </w:rPr>
        <w:t>Journal of Social Welfare and Family Law</w:t>
      </w:r>
      <w:r w:rsidR="00D965F7">
        <w:t>)</w:t>
      </w:r>
      <w:r w:rsidR="00D965F7" w:rsidRPr="00D965F7">
        <w:t>.</w:t>
      </w:r>
      <w:r>
        <w:t xml:space="preserve"> </w:t>
      </w:r>
    </w:p>
    <w:p w14:paraId="7BF9986A" w14:textId="26E6E7D6" w:rsidR="0043278B" w:rsidRDefault="00C70A57" w:rsidP="001D73DE">
      <w:r w:rsidRPr="00C70A57">
        <w:rPr>
          <w:b/>
        </w:rPr>
        <w:t>Proposal 3-3:</w:t>
      </w:r>
      <w:r>
        <w:t xml:space="preserve"> I appreciate the reasoning behind the proposal to amend the paramountcy principle so that it refers to the child’s ‘safety and best interests’ rather than ‘best interests’</w:t>
      </w:r>
      <w:r w:rsidR="005A279A">
        <w:t>, but</w:t>
      </w:r>
      <w:r>
        <w:t xml:space="preserve"> am concerned that </w:t>
      </w:r>
      <w:r w:rsidR="0043278B">
        <w:t xml:space="preserve">‘safe’ and </w:t>
      </w:r>
      <w:r>
        <w:t>‘safety’ would need to be defined</w:t>
      </w:r>
      <w:r w:rsidR="005A279A">
        <w:t xml:space="preserve"> in a manner that</w:t>
      </w:r>
      <w:r>
        <w:t xml:space="preserve"> captured the range of potential harms to children (physical, sexual, emotional, and financial) </w:t>
      </w:r>
      <w:r w:rsidR="0043278B">
        <w:t xml:space="preserve">while </w:t>
      </w:r>
      <w:r w:rsidR="005A279A">
        <w:t xml:space="preserve">also </w:t>
      </w:r>
      <w:r w:rsidR="0043278B">
        <w:t xml:space="preserve">not opening the door to </w:t>
      </w:r>
      <w:r w:rsidR="004C66E3">
        <w:t>mis</w:t>
      </w:r>
      <w:r w:rsidR="0043278B">
        <w:t>use</w:t>
      </w:r>
      <w:r>
        <w:t>.</w:t>
      </w:r>
      <w:r w:rsidR="006F073E">
        <w:t xml:space="preserve"> More generally, the utility of this proposal, and </w:t>
      </w:r>
      <w:r w:rsidR="006F073E" w:rsidRPr="006F073E">
        <w:rPr>
          <w:b/>
        </w:rPr>
        <w:t>Proposals 3-4 and 3-5</w:t>
      </w:r>
      <w:r w:rsidR="006F073E">
        <w:t>,</w:t>
      </w:r>
      <w:r w:rsidR="005A279A">
        <w:t xml:space="preserve"> </w:t>
      </w:r>
      <w:r w:rsidR="006F073E">
        <w:t>are</w:t>
      </w:r>
      <w:r w:rsidR="0048612B">
        <w:t xml:space="preserve"> likely to be limited without </w:t>
      </w:r>
      <w:r w:rsidR="005A279A">
        <w:t xml:space="preserve">also </w:t>
      </w:r>
      <w:r w:rsidR="0048612B">
        <w:t>repeal</w:t>
      </w:r>
      <w:r w:rsidR="005A279A">
        <w:t xml:space="preserve">ing </w:t>
      </w:r>
      <w:r w:rsidR="0048612B">
        <w:t>the presumption of equal shared parental responsibility (Family Law Act 1975 (</w:t>
      </w:r>
      <w:proofErr w:type="spellStart"/>
      <w:r w:rsidR="0048612B">
        <w:t>Cth</w:t>
      </w:r>
      <w:proofErr w:type="spellEnd"/>
      <w:r w:rsidR="0048612B">
        <w:t>) (FLA) s 61DA) and the linked requirement for courts proposing to make such orders to also consider making order</w:t>
      </w:r>
      <w:r w:rsidR="005A279A">
        <w:t>s</w:t>
      </w:r>
      <w:r w:rsidR="0048612B">
        <w:t xml:space="preserve"> for shared time (FLA s 65DAA). </w:t>
      </w:r>
    </w:p>
    <w:p w14:paraId="439698E6" w14:textId="327CA75C" w:rsidR="001A6F71" w:rsidRDefault="0043278B" w:rsidP="001D73DE">
      <w:r w:rsidRPr="001A6F71">
        <w:rPr>
          <w:b/>
        </w:rPr>
        <w:t>Proposal 3-7</w:t>
      </w:r>
      <w:r w:rsidR="001A6F71" w:rsidRPr="001A6F71">
        <w:rPr>
          <w:b/>
        </w:rPr>
        <w:t>:</w:t>
      </w:r>
      <w:r w:rsidR="001A6F71">
        <w:t xml:space="preserve"> Amending ‘parental responsibility’ to ‘decision making responsibility’ woul</w:t>
      </w:r>
      <w:r w:rsidR="006F073E">
        <w:t>d require re-consideration of</w:t>
      </w:r>
      <w:r w:rsidR="009F595E">
        <w:t xml:space="preserve"> the</w:t>
      </w:r>
      <w:r w:rsidR="006F073E">
        <w:t xml:space="preserve"> </w:t>
      </w:r>
      <w:r w:rsidR="009F595E">
        <w:t xml:space="preserve">very broad </w:t>
      </w:r>
      <w:r w:rsidR="001A6F71">
        <w:t>definition of ‘parental responsibility’</w:t>
      </w:r>
      <w:r w:rsidR="005A279A">
        <w:t xml:space="preserve"> in FLA s 61B</w:t>
      </w:r>
      <w:r w:rsidR="001A6F71">
        <w:t>.</w:t>
      </w:r>
      <w:r w:rsidR="006F073E">
        <w:t xml:space="preserve"> </w:t>
      </w:r>
      <w:r w:rsidR="005A279A">
        <w:t xml:space="preserve"> </w:t>
      </w:r>
    </w:p>
    <w:p w14:paraId="20AC535C" w14:textId="356B1C0A" w:rsidR="001A6F71" w:rsidRDefault="001A6F71" w:rsidP="001D73DE">
      <w:r w:rsidRPr="001A6F71">
        <w:rPr>
          <w:b/>
        </w:rPr>
        <w:t>Proposal</w:t>
      </w:r>
      <w:r w:rsidR="00450BE5">
        <w:rPr>
          <w:b/>
        </w:rPr>
        <w:t>s</w:t>
      </w:r>
      <w:r w:rsidRPr="001A6F71">
        <w:rPr>
          <w:b/>
        </w:rPr>
        <w:t xml:space="preserve"> 3-11</w:t>
      </w:r>
      <w:r w:rsidR="00450BE5">
        <w:rPr>
          <w:b/>
        </w:rPr>
        <w:t>, 3-18</w:t>
      </w:r>
      <w:r w:rsidRPr="001A6F71">
        <w:rPr>
          <w:b/>
        </w:rPr>
        <w:t xml:space="preserve">: </w:t>
      </w:r>
      <w:r w:rsidR="005A279A">
        <w:t>I agree that</w:t>
      </w:r>
      <w:r>
        <w:t xml:space="preserve"> greater atten</w:t>
      </w:r>
      <w:r w:rsidR="0048612B">
        <w:t xml:space="preserve">tion </w:t>
      </w:r>
      <w:r w:rsidR="004C66E3">
        <w:t xml:space="preserve">should </w:t>
      </w:r>
      <w:r>
        <w:t>be given in financial settlements to the rele</w:t>
      </w:r>
      <w:r w:rsidR="00450BE5">
        <w:t>vance of family violence. I</w:t>
      </w:r>
      <w:r w:rsidR="006F073E">
        <w:t xml:space="preserve"> suggest</w:t>
      </w:r>
      <w:r>
        <w:t xml:space="preserve"> </w:t>
      </w:r>
      <w:r w:rsidR="006F073E">
        <w:t xml:space="preserve">further consideration be given to </w:t>
      </w:r>
      <w:r w:rsidR="004C66E3">
        <w:t>the possibility of using</w:t>
      </w:r>
      <w:r>
        <w:t xml:space="preserve"> the accrued jurisdiction to join a c</w:t>
      </w:r>
      <w:r w:rsidR="00A45974">
        <w:t>laim for damages</w:t>
      </w:r>
      <w:r w:rsidR="004C66E3">
        <w:t xml:space="preserve"> </w:t>
      </w:r>
      <w:r w:rsidR="006F073E">
        <w:t>to a financial</w:t>
      </w:r>
      <w:r>
        <w:t xml:space="preserve"> claim.</w:t>
      </w:r>
      <w:r w:rsidR="004C66E3">
        <w:t xml:space="preserve"> </w:t>
      </w:r>
      <w:r>
        <w:t xml:space="preserve">This possibility was considered in a session </w:t>
      </w:r>
      <w:r w:rsidR="00845621">
        <w:t>titled ‘</w:t>
      </w:r>
      <w:r w:rsidR="00DD5F5B">
        <w:t>Revisiting Kennon: Financial Remedies for Family V</w:t>
      </w:r>
      <w:r w:rsidR="00845621">
        <w:t xml:space="preserve">iolence’ </w:t>
      </w:r>
      <w:r>
        <w:t>at the Family Law Section’s conference in Melbourn</w:t>
      </w:r>
      <w:r w:rsidR="006F073E">
        <w:t>e two years ago</w:t>
      </w:r>
      <w:r w:rsidR="00845621">
        <w:t xml:space="preserve"> in papers by Timothy North SC and Brian Knox SC</w:t>
      </w:r>
      <w:r>
        <w:t>.</w:t>
      </w:r>
      <w:r w:rsidR="005A279A">
        <w:t xml:space="preserve"> It has the advantage of dealing with family violence head-on and for what i</w:t>
      </w:r>
      <w:r w:rsidR="000F21D8">
        <w:t>t is</w:t>
      </w:r>
      <w:r w:rsidR="005A279A">
        <w:t>.</w:t>
      </w:r>
    </w:p>
    <w:p w14:paraId="1CA6DA28" w14:textId="0E4E9F2C" w:rsidR="001A6F71" w:rsidRDefault="001A6F71" w:rsidP="00A45974">
      <w:r w:rsidRPr="001A6F71">
        <w:rPr>
          <w:b/>
        </w:rPr>
        <w:t>Proposal 3-12</w:t>
      </w:r>
      <w:r w:rsidR="00D93752">
        <w:rPr>
          <w:b/>
        </w:rPr>
        <w:t xml:space="preserve"> to </w:t>
      </w:r>
      <w:r>
        <w:rPr>
          <w:b/>
        </w:rPr>
        <w:t>3</w:t>
      </w:r>
      <w:r w:rsidR="00D93752">
        <w:rPr>
          <w:b/>
        </w:rPr>
        <w:t>-</w:t>
      </w:r>
      <w:r>
        <w:rPr>
          <w:b/>
        </w:rPr>
        <w:t>17</w:t>
      </w:r>
      <w:r w:rsidRPr="001A6F71">
        <w:rPr>
          <w:b/>
        </w:rPr>
        <w:t>:</w:t>
      </w:r>
      <w:r>
        <w:t xml:space="preserve"> I support these proposals</w:t>
      </w:r>
      <w:r w:rsidR="006434D3">
        <w:t>. New research on property and financial matters after separation is</w:t>
      </w:r>
      <w:r>
        <w:t xml:space="preserve"> a necessary precursor to any fundamental change to the </w:t>
      </w:r>
      <w:r w:rsidR="00845621">
        <w:t>FLA</w:t>
      </w:r>
      <w:r>
        <w:t>’s current discretionary approach for property and maintenance matters</w:t>
      </w:r>
      <w:r w:rsidR="006F073E">
        <w:t>. A</w:t>
      </w:r>
      <w:r w:rsidR="006434D3">
        <w:t xml:space="preserve">s </w:t>
      </w:r>
      <w:r w:rsidR="00552673">
        <w:t>the ALRC observes, t</w:t>
      </w:r>
      <w:r w:rsidR="006434D3" w:rsidRPr="006434D3">
        <w:t xml:space="preserve">here is an absence of up-to-date empirical research data on the discretion’s operation, </w:t>
      </w:r>
      <w:r w:rsidR="006434D3">
        <w:t>although also the</w:t>
      </w:r>
      <w:r w:rsidR="006434D3" w:rsidRPr="006434D3">
        <w:t xml:space="preserve"> consistent empirical research finding that women, particularly mothers with dependent children, experience significant economic disadvantage post-separation</w:t>
      </w:r>
      <w:r w:rsidR="00A45974">
        <w:t xml:space="preserve"> (Belinda Fehlberg and Lisa Sarmas, ‘Australian</w:t>
      </w:r>
      <w:r w:rsidR="004A1C93">
        <w:t xml:space="preserve"> Family Property L</w:t>
      </w:r>
      <w:r w:rsidR="00A45974">
        <w:t xml:space="preserve">aw: ‘Just and </w:t>
      </w:r>
      <w:r w:rsidR="004A1C93">
        <w:t>equitable’ O</w:t>
      </w:r>
      <w:r w:rsidR="00A45974">
        <w:t xml:space="preserve">utcomes?’ (2018) 32 </w:t>
      </w:r>
      <w:r w:rsidR="00A45974" w:rsidRPr="00A45974">
        <w:rPr>
          <w:i/>
        </w:rPr>
        <w:t>Australian Journal of Family Law</w:t>
      </w:r>
      <w:r w:rsidR="00A45974">
        <w:t xml:space="preserve"> 81)</w:t>
      </w:r>
      <w:r w:rsidR="000F21D8">
        <w:t>.</w:t>
      </w:r>
      <w:r w:rsidR="00552673">
        <w:t xml:space="preserve"> The allocation of debt on relationship breakdown is a very serious concern for many </w:t>
      </w:r>
      <w:r w:rsidR="006F073E">
        <w:t>that is inadequately</w:t>
      </w:r>
      <w:r w:rsidR="00552673">
        <w:t xml:space="preserve"> </w:t>
      </w:r>
      <w:r w:rsidR="006F073E">
        <w:t xml:space="preserve">dealt with </w:t>
      </w:r>
      <w:r w:rsidR="00552673">
        <w:t xml:space="preserve">by law and process as they stand. </w:t>
      </w:r>
      <w:r w:rsidR="00552673" w:rsidRPr="00552673">
        <w:t xml:space="preserve">Superannuation is an increasingly </w:t>
      </w:r>
      <w:r w:rsidR="00552673" w:rsidRPr="00552673">
        <w:lastRenderedPageBreak/>
        <w:t xml:space="preserve">important </w:t>
      </w:r>
      <w:r w:rsidR="00552673">
        <w:t xml:space="preserve">personal </w:t>
      </w:r>
      <w:r w:rsidR="00552673" w:rsidRPr="00552673">
        <w:t>asset, yet for non-member spouses and de facto partners accessing a share of their ex-partner’s fund on relationship separation requires specialist assistance, as well as court orders or a financial agre</w:t>
      </w:r>
      <w:r w:rsidR="00552673">
        <w:t>ement, placing</w:t>
      </w:r>
      <w:r w:rsidR="00552673" w:rsidRPr="00552673">
        <w:t xml:space="preserve"> superannuation splitting beyond the reach of many</w:t>
      </w:r>
      <w:r w:rsidR="006F073E">
        <w:t xml:space="preserve">, encouraging unjust and inequitable outcomes that are contrary to FLA </w:t>
      </w:r>
      <w:proofErr w:type="spellStart"/>
      <w:r w:rsidR="006F073E">
        <w:t>ss</w:t>
      </w:r>
      <w:proofErr w:type="spellEnd"/>
      <w:r w:rsidR="006F073E">
        <w:t xml:space="preserve"> 79 and 90SM</w:t>
      </w:r>
      <w:r w:rsidR="00552673" w:rsidRPr="00552673">
        <w:t>.</w:t>
      </w:r>
    </w:p>
    <w:p w14:paraId="537D1442" w14:textId="2AD5A0E3" w:rsidR="00A01222" w:rsidRDefault="00055886" w:rsidP="001D73DE">
      <w:r w:rsidRPr="00055886">
        <w:rPr>
          <w:b/>
        </w:rPr>
        <w:t>Question 3-3:</w:t>
      </w:r>
      <w:r>
        <w:rPr>
          <w:b/>
        </w:rPr>
        <w:t xml:space="preserve"> </w:t>
      </w:r>
      <w:r w:rsidRPr="00055886">
        <w:t xml:space="preserve">I have opposed </w:t>
      </w:r>
      <w:r w:rsidR="00845621">
        <w:t xml:space="preserve">pre-nuptial </w:t>
      </w:r>
      <w:r w:rsidRPr="00055886">
        <w:t>binding financial agreements since</w:t>
      </w:r>
      <w:r>
        <w:t xml:space="preserve"> they were first proposed in 1999</w:t>
      </w:r>
      <w:r w:rsidR="00845621">
        <w:t>. M</w:t>
      </w:r>
      <w:r>
        <w:t xml:space="preserve">y </w:t>
      </w:r>
      <w:r w:rsidR="00845621">
        <w:t>reasoning, as documented in submissions and aca</w:t>
      </w:r>
      <w:r w:rsidR="006F073E">
        <w:t>demic writing</w:t>
      </w:r>
      <w:r w:rsidR="00845621">
        <w:t>,</w:t>
      </w:r>
      <w:r>
        <w:t xml:space="preserve"> has not changed</w:t>
      </w:r>
      <w:r w:rsidR="00A45974">
        <w:t xml:space="preserve"> (</w:t>
      </w:r>
      <w:proofErr w:type="spellStart"/>
      <w:r w:rsidR="00A45974">
        <w:t>eg</w:t>
      </w:r>
      <w:proofErr w:type="spellEnd"/>
      <w:r w:rsidR="00A45974">
        <w:t xml:space="preserve"> </w:t>
      </w:r>
      <w:r w:rsidR="005A279A">
        <w:t xml:space="preserve">Belinda Fehlberg and Bruce Smyth, ‘Binding financial agreements: will they help?’, (1999) 53 </w:t>
      </w:r>
      <w:r w:rsidR="005A279A" w:rsidRPr="001C32B4">
        <w:rPr>
          <w:i/>
        </w:rPr>
        <w:t>Family Matters</w:t>
      </w:r>
      <w:r w:rsidR="001C32B4">
        <w:t xml:space="preserve"> 55,</w:t>
      </w:r>
      <w:r w:rsidR="005A279A">
        <w:t xml:space="preserve"> </w:t>
      </w:r>
      <w:hyperlink r:id="rId8" w:history="1">
        <w:r w:rsidR="005A279A" w:rsidRPr="003828BF">
          <w:rPr>
            <w:rStyle w:val="Hyperlink"/>
          </w:rPr>
          <w:t>https://aifs.gov.au/sites/default/files/fm53bf.pdf</w:t>
        </w:r>
      </w:hyperlink>
      <w:r w:rsidR="005A279A">
        <w:t>)</w:t>
      </w:r>
      <w:r>
        <w:t>.</w:t>
      </w:r>
      <w:r w:rsidR="00A45974">
        <w:t xml:space="preserve"> </w:t>
      </w:r>
      <w:r w:rsidR="001C32B4">
        <w:t>My preference is</w:t>
      </w:r>
      <w:r>
        <w:t xml:space="preserve"> removal of the ability to make binding financial agreements</w:t>
      </w:r>
      <w:r w:rsidRPr="00055886">
        <w:t>.</w:t>
      </w:r>
      <w:r w:rsidR="001A6F71" w:rsidRPr="00055886">
        <w:t xml:space="preserve"> </w:t>
      </w:r>
      <w:r>
        <w:t>At the least, perhaps the ALRC would consider</w:t>
      </w:r>
      <w:r w:rsidR="003B5211">
        <w:t xml:space="preserve"> amendment along the lines </w:t>
      </w:r>
      <w:r w:rsidRPr="00055886">
        <w:t xml:space="preserve">that </w:t>
      </w:r>
      <w:r w:rsidR="003B5211">
        <w:t xml:space="preserve">financial </w:t>
      </w:r>
      <w:r w:rsidR="00DD5F5B">
        <w:t>agreements will</w:t>
      </w:r>
      <w:r w:rsidRPr="00055886">
        <w:t xml:space="preserve"> be unenforceable if they d</w:t>
      </w:r>
      <w:r w:rsidR="004C66E3">
        <w:t>o</w:t>
      </w:r>
      <w:r w:rsidRPr="00055886">
        <w:t xml:space="preserve"> not provide adequately for events that </w:t>
      </w:r>
      <w:r w:rsidR="001C32B4">
        <w:t xml:space="preserve">have occurred and that </w:t>
      </w:r>
      <w:r w:rsidRPr="00055886">
        <w:t>were reasonable foreseeable at the time of entry</w:t>
      </w:r>
      <w:r w:rsidR="001C32B4">
        <w:t xml:space="preserve"> into the agreement (e.g. one party reducing her income earning capacity </w:t>
      </w:r>
      <w:r w:rsidR="009F595E">
        <w:t>because of</w:t>
      </w:r>
      <w:r w:rsidR="001C32B4">
        <w:t xml:space="preserve"> the birth and care of children of the relationship)</w:t>
      </w:r>
      <w:r w:rsidRPr="00055886">
        <w:t xml:space="preserve">. </w:t>
      </w:r>
      <w:r w:rsidR="0043278B" w:rsidRPr="00055886">
        <w:t xml:space="preserve"> </w:t>
      </w:r>
      <w:r w:rsidR="00C70A57" w:rsidRPr="00055886">
        <w:t xml:space="preserve">   </w:t>
      </w:r>
    </w:p>
    <w:p w14:paraId="5D0A1089" w14:textId="27A151FB" w:rsidR="003B5211" w:rsidRDefault="003B5211" w:rsidP="001D73DE">
      <w:r w:rsidRPr="002B7FD2">
        <w:rPr>
          <w:b/>
        </w:rPr>
        <w:t>Proposal 3-18:</w:t>
      </w:r>
      <w:r w:rsidR="004A1C93">
        <w:t xml:space="preserve"> Perhaps consideration might be given to having</w:t>
      </w:r>
      <w:r>
        <w:t xml:space="preserve"> the same </w:t>
      </w:r>
      <w:r w:rsidR="004A1C93">
        <w:t xml:space="preserve">FLA </w:t>
      </w:r>
      <w:r>
        <w:t xml:space="preserve">provisions apply to both property and maintenance, </w:t>
      </w:r>
      <w:r w:rsidR="004A1C93">
        <w:t>like</w:t>
      </w:r>
      <w:r>
        <w:t xml:space="preserve"> England and Wales</w:t>
      </w:r>
      <w:r w:rsidR="004A1C93">
        <w:t>?</w:t>
      </w:r>
      <w:r>
        <w:t xml:space="preserve"> This approach would have the advantage of </w:t>
      </w:r>
      <w:r w:rsidR="009F595E">
        <w:t xml:space="preserve">simplifying the legislation, raising the profile of maintenance, and </w:t>
      </w:r>
      <w:r>
        <w:t>increasing the likelihood that</w:t>
      </w:r>
      <w:r w:rsidR="004A1C93">
        <w:t xml:space="preserve"> maintenance</w:t>
      </w:r>
      <w:r w:rsidR="009F595E">
        <w:t xml:space="preserve"> would be considered and</w:t>
      </w:r>
      <w:r>
        <w:t xml:space="preserve"> ordered. It is an approach suggested by Professor Patrick Parkinson back in 2000</w:t>
      </w:r>
      <w:r w:rsidR="00197C7B">
        <w:t xml:space="preserve">: </w:t>
      </w:r>
      <w:r w:rsidR="00197C7B" w:rsidRPr="00230B40">
        <w:t xml:space="preserve">Patrick Parkinson, ‘Unfinished Business: Reforming the Law of Property Division’ (2000) 14(4) </w:t>
      </w:r>
      <w:r w:rsidR="00197C7B" w:rsidRPr="00230B40">
        <w:rPr>
          <w:i/>
        </w:rPr>
        <w:t>Australian Family Lawyer</w:t>
      </w:r>
      <w:r w:rsidR="00197C7B" w:rsidRPr="00230B40">
        <w:t xml:space="preserve"> 1</w:t>
      </w:r>
      <w:r>
        <w:t>.</w:t>
      </w:r>
    </w:p>
    <w:p w14:paraId="70FA971F" w14:textId="4910D100" w:rsidR="00055886" w:rsidRDefault="003B5211" w:rsidP="001D73DE">
      <w:r w:rsidRPr="002B7FD2">
        <w:rPr>
          <w:b/>
        </w:rPr>
        <w:t>Question 3-4:</w:t>
      </w:r>
      <w:r>
        <w:t xml:space="preserve"> </w:t>
      </w:r>
      <w:r w:rsidR="000F21D8">
        <w:t>I</w:t>
      </w:r>
      <w:r w:rsidR="004A1C93">
        <w:t>n addition to my suggestion in relation to Proposal 3-18, I</w:t>
      </w:r>
      <w:r w:rsidR="000F21D8">
        <w:t xml:space="preserve"> would favour increasing</w:t>
      </w:r>
      <w:r>
        <w:t xml:space="preserve"> the pool of registrars available to hear and quickly determine </w:t>
      </w:r>
      <w:r w:rsidR="000F21D8">
        <w:t xml:space="preserve">interim maintenance </w:t>
      </w:r>
      <w:r>
        <w:t>applications</w:t>
      </w:r>
      <w:r w:rsidR="000F21D8">
        <w:t>, along with increasing access to free or means tested legal services for parties</w:t>
      </w:r>
      <w:r w:rsidR="004A1C93">
        <w:t xml:space="preserve"> to these proceedings so that </w:t>
      </w:r>
      <w:r w:rsidR="009F595E">
        <w:t xml:space="preserve">registrars </w:t>
      </w:r>
      <w:r w:rsidR="001C32B4">
        <w:t>have</w:t>
      </w:r>
      <w:r w:rsidR="009F595E">
        <w:t xml:space="preserve"> access to</w:t>
      </w:r>
      <w:r w:rsidR="004A1C93">
        <w:t xml:space="preserve"> </w:t>
      </w:r>
      <w:r w:rsidR="001C32B4">
        <w:t>relevant information when determining applications</w:t>
      </w:r>
      <w:r w:rsidR="000F21D8">
        <w:t>.</w:t>
      </w:r>
    </w:p>
    <w:p w14:paraId="64E87791" w14:textId="59E36B7F" w:rsidR="003B5211" w:rsidRDefault="003B5211" w:rsidP="001D73DE">
      <w:r w:rsidRPr="002B7FD2">
        <w:rPr>
          <w:b/>
        </w:rPr>
        <w:t>Proposal</w:t>
      </w:r>
      <w:r w:rsidR="00450BE5" w:rsidRPr="002B7FD2">
        <w:rPr>
          <w:b/>
        </w:rPr>
        <w:t>s</w:t>
      </w:r>
      <w:r w:rsidRPr="002B7FD2">
        <w:rPr>
          <w:b/>
        </w:rPr>
        <w:t xml:space="preserve"> 4</w:t>
      </w:r>
      <w:r w:rsidR="00450BE5" w:rsidRPr="002B7FD2">
        <w:rPr>
          <w:b/>
        </w:rPr>
        <w:t>-1</w:t>
      </w:r>
      <w:r w:rsidR="005B167E">
        <w:rPr>
          <w:b/>
        </w:rPr>
        <w:t xml:space="preserve"> to </w:t>
      </w:r>
      <w:r w:rsidR="00450BE5" w:rsidRPr="002B7FD2">
        <w:rPr>
          <w:b/>
        </w:rPr>
        <w:t>4-4</w:t>
      </w:r>
      <w:r w:rsidRPr="002B7FD2">
        <w:rPr>
          <w:b/>
        </w:rPr>
        <w:t>:</w:t>
      </w:r>
      <w:r>
        <w:t xml:space="preserve"> It is unclear to me how the work of th</w:t>
      </w:r>
      <w:r w:rsidR="00450BE5">
        <w:t>e proposed Families Hubs would</w:t>
      </w:r>
      <w:r>
        <w:t xml:space="preserve"> o</w:t>
      </w:r>
      <w:r w:rsidR="004A1C93">
        <w:t>verlap or interact with</w:t>
      </w:r>
      <w:r>
        <w:t xml:space="preserve"> the work of Family Relationship Centres</w:t>
      </w:r>
      <w:r w:rsidR="004A1C93">
        <w:t>. A</w:t>
      </w:r>
      <w:r w:rsidR="001C32B4">
        <w:t>lso, a</w:t>
      </w:r>
      <w:r w:rsidR="00450BE5">
        <w:t>dequate</w:t>
      </w:r>
      <w:r>
        <w:t xml:space="preserve"> re</w:t>
      </w:r>
      <w:r w:rsidR="001C32B4">
        <w:t xml:space="preserve">sourcing, </w:t>
      </w:r>
      <w:r w:rsidR="00552673">
        <w:t>including access to free or means tested legal services and</w:t>
      </w:r>
      <w:r>
        <w:t xml:space="preserve"> other professional services</w:t>
      </w:r>
      <w:r w:rsidR="001C32B4">
        <w:t>,</w:t>
      </w:r>
      <w:r>
        <w:t xml:space="preserve"> </w:t>
      </w:r>
      <w:r w:rsidR="004A1C93">
        <w:t>is</w:t>
      </w:r>
      <w:r w:rsidR="00450BE5">
        <w:t xml:space="preserve"> a key concern</w:t>
      </w:r>
      <w:r w:rsidR="004C66E3">
        <w:t xml:space="preserve"> here (and in relation to many other proposals made in the Discussion Paper)</w:t>
      </w:r>
      <w:r w:rsidR="00450BE5">
        <w:t>.</w:t>
      </w:r>
      <w:r w:rsidR="00F6358B">
        <w:t xml:space="preserve"> </w:t>
      </w:r>
      <w:r w:rsidR="009F595E">
        <w:t>While t</w:t>
      </w:r>
      <w:r w:rsidR="00F6358B">
        <w:t xml:space="preserve">he ALRC’s proposed </w:t>
      </w:r>
      <w:r w:rsidR="00F6358B" w:rsidRPr="00F6358B">
        <w:t>creation of Families Hubs and the expansion of the current Family Advocacy a</w:t>
      </w:r>
      <w:r w:rsidR="001C32B4">
        <w:t>nd Support Service (FASS)</w:t>
      </w:r>
      <w:r w:rsidR="00F6358B" w:rsidRPr="00F6358B">
        <w:t xml:space="preserve"> </w:t>
      </w:r>
      <w:r w:rsidR="001C32B4">
        <w:t>(</w:t>
      </w:r>
      <w:r w:rsidR="001C32B4" w:rsidRPr="001C32B4">
        <w:rPr>
          <w:b/>
        </w:rPr>
        <w:t>Proposals 4-4 to 4-8</w:t>
      </w:r>
      <w:r w:rsidR="001C32B4">
        <w:t xml:space="preserve">) </w:t>
      </w:r>
      <w:r w:rsidR="00F6358B" w:rsidRPr="00F6358B">
        <w:t>would include legal assi</w:t>
      </w:r>
      <w:r w:rsidR="00F6358B">
        <w:t>stance</w:t>
      </w:r>
      <w:r w:rsidR="009F595E">
        <w:t xml:space="preserve">, </w:t>
      </w:r>
      <w:r w:rsidR="00F6358B" w:rsidRPr="00F6358B">
        <w:t>the legal assistance aspects of these proposa</w:t>
      </w:r>
      <w:r w:rsidR="00F6358B">
        <w:t>ls seem a bit under-developed (e.</w:t>
      </w:r>
      <w:r w:rsidR="00F6358B" w:rsidRPr="00F6358B">
        <w:t>g</w:t>
      </w:r>
      <w:r w:rsidR="00F6358B">
        <w:t>.</w:t>
      </w:r>
      <w:r w:rsidR="00F6358B" w:rsidRPr="00F6358B">
        <w:t xml:space="preserve"> the FASS proposal suggests that legal aid commissions or community legal services provide the legal assistance services to FASS, but these organisations are already under-resourced</w:t>
      </w:r>
      <w:r w:rsidR="00F6358B">
        <w:t>)</w:t>
      </w:r>
      <w:r w:rsidR="00F6358B" w:rsidRPr="00F6358B">
        <w:t xml:space="preserve">.  </w:t>
      </w:r>
      <w:r w:rsidR="00450BE5">
        <w:t xml:space="preserve"> </w:t>
      </w:r>
      <w:r>
        <w:t xml:space="preserve"> </w:t>
      </w:r>
    </w:p>
    <w:p w14:paraId="13C5A936" w14:textId="061480FD" w:rsidR="002B7FD2" w:rsidRDefault="002B7FD2" w:rsidP="001D73DE">
      <w:r w:rsidRPr="002B7FD2">
        <w:rPr>
          <w:b/>
        </w:rPr>
        <w:t>Proposal</w:t>
      </w:r>
      <w:r>
        <w:rPr>
          <w:b/>
        </w:rPr>
        <w:t>s</w:t>
      </w:r>
      <w:r w:rsidR="005B167E">
        <w:rPr>
          <w:b/>
        </w:rPr>
        <w:t xml:space="preserve"> 5-3 to </w:t>
      </w:r>
      <w:r w:rsidRPr="002B7FD2">
        <w:rPr>
          <w:b/>
        </w:rPr>
        <w:t xml:space="preserve">5-5: </w:t>
      </w:r>
      <w:r>
        <w:t>Some years ago Bruce Smyth</w:t>
      </w:r>
      <w:r w:rsidR="004C66E3">
        <w:t>, Kim Fraser</w:t>
      </w:r>
      <w:r>
        <w:t xml:space="preserve"> and I expressed concern about the introduction of a pre-filing family dispute resolution requirement in the absence of appropriate resourcing of services to provide this: </w:t>
      </w:r>
      <w:r w:rsidR="004A1C93">
        <w:rPr>
          <w:szCs w:val="20"/>
        </w:rPr>
        <w:t>Belinda Fehlberg, Bruce Smyth and Kim</w:t>
      </w:r>
      <w:r w:rsidR="004C66E3">
        <w:rPr>
          <w:szCs w:val="20"/>
        </w:rPr>
        <w:t xml:space="preserve"> Fraser, ‘Pre-filing</w:t>
      </w:r>
      <w:r w:rsidR="004A1C93">
        <w:rPr>
          <w:szCs w:val="20"/>
        </w:rPr>
        <w:t xml:space="preserve"> Family Dispute Resolution for Financial Disputes: Putting the Cart Before the H</w:t>
      </w:r>
      <w:r w:rsidR="004C66E3">
        <w:rPr>
          <w:szCs w:val="20"/>
        </w:rPr>
        <w:t xml:space="preserve">orse’, </w:t>
      </w:r>
      <w:r w:rsidR="004C66E3">
        <w:rPr>
          <w:i/>
          <w:szCs w:val="20"/>
        </w:rPr>
        <w:t>Journal of Family Studies</w:t>
      </w:r>
      <w:r w:rsidR="004C66E3">
        <w:rPr>
          <w:szCs w:val="20"/>
        </w:rPr>
        <w:t xml:space="preserve"> 16, 2010, 197-218</w:t>
      </w:r>
      <w:r>
        <w:t xml:space="preserve">. Those concerns remain current.  </w:t>
      </w:r>
    </w:p>
    <w:p w14:paraId="2C9F6EA0" w14:textId="55331300" w:rsidR="00FF53D0" w:rsidRDefault="005B167E" w:rsidP="001D73DE">
      <w:r>
        <w:rPr>
          <w:b/>
        </w:rPr>
        <w:t xml:space="preserve">Proposals 6-1 to </w:t>
      </w:r>
      <w:r w:rsidR="002B7FD2" w:rsidRPr="00FF53D0">
        <w:rPr>
          <w:b/>
        </w:rPr>
        <w:t>6-12:</w:t>
      </w:r>
      <w:r w:rsidR="00A91E8A">
        <w:t xml:space="preserve"> While I am supportive of these proposals, t</w:t>
      </w:r>
      <w:r w:rsidR="002B7FD2">
        <w:t xml:space="preserve">he federal government’s proposed </w:t>
      </w:r>
      <w:r w:rsidR="00003D29">
        <w:t>merger of the Family Court with the Federal Circuit Court</w:t>
      </w:r>
      <w:r w:rsidR="002B7FD2">
        <w:t xml:space="preserve">, </w:t>
      </w:r>
      <w:r w:rsidR="00FF53D0">
        <w:t xml:space="preserve">which will fundamentally alter the ‘adjudication landscape’, </w:t>
      </w:r>
      <w:r w:rsidR="00A91E8A">
        <w:t>makes it difficult to engage with them in any concrete</w:t>
      </w:r>
      <w:r w:rsidR="002B7FD2">
        <w:t xml:space="preserve"> way.</w:t>
      </w:r>
      <w:r w:rsidR="0056393A">
        <w:t xml:space="preserve"> </w:t>
      </w:r>
      <w:r w:rsidR="00A91E8A">
        <w:t>The</w:t>
      </w:r>
      <w:r w:rsidR="00A91E8A" w:rsidRPr="00A91E8A">
        <w:t xml:space="preserve"> merger proposal involves reduced specialisation with no suggestion of additional resourcing.</w:t>
      </w:r>
      <w:r w:rsidR="00A91E8A">
        <w:t xml:space="preserve"> In contrast, t</w:t>
      </w:r>
      <w:r w:rsidR="0056393A">
        <w:t xml:space="preserve">he </w:t>
      </w:r>
      <w:r w:rsidR="00A91E8A">
        <w:t xml:space="preserve">ALRC’s </w:t>
      </w:r>
      <w:r w:rsidR="0056393A">
        <w:t>proposals</w:t>
      </w:r>
      <w:r w:rsidR="00A91E8A">
        <w:t xml:space="preserve"> would require</w:t>
      </w:r>
      <w:r w:rsidR="0056393A">
        <w:t xml:space="preserve"> </w:t>
      </w:r>
      <w:r w:rsidR="00A91E8A">
        <w:t xml:space="preserve">significant </w:t>
      </w:r>
      <w:r w:rsidR="0056393A" w:rsidRPr="0056393A">
        <w:t>adequate resourcing of</w:t>
      </w:r>
      <w:r w:rsidR="0056393A">
        <w:t xml:space="preserve"> courts and </w:t>
      </w:r>
      <w:r w:rsidR="00A91E8A">
        <w:t>associated services, including legal aid.</w:t>
      </w:r>
      <w:bookmarkStart w:id="0" w:name="_GoBack"/>
      <w:bookmarkEnd w:id="0"/>
    </w:p>
    <w:sectPr w:rsidR="00FF53D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46CC" w14:textId="77777777" w:rsidR="00787973" w:rsidRDefault="00787973" w:rsidP="00647FC3">
      <w:pPr>
        <w:spacing w:after="0" w:line="240" w:lineRule="auto"/>
      </w:pPr>
      <w:r>
        <w:separator/>
      </w:r>
    </w:p>
  </w:endnote>
  <w:endnote w:type="continuationSeparator" w:id="0">
    <w:p w14:paraId="4C427FEF" w14:textId="77777777" w:rsidR="00787973" w:rsidRDefault="00787973" w:rsidP="0064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81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99EE8" w14:textId="7EC89925" w:rsidR="003A103C" w:rsidRDefault="003A10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8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321475" w14:textId="77777777" w:rsidR="003A103C" w:rsidRDefault="003A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DA84" w14:textId="77777777" w:rsidR="00787973" w:rsidRDefault="00787973" w:rsidP="00647FC3">
      <w:pPr>
        <w:spacing w:after="0" w:line="240" w:lineRule="auto"/>
      </w:pPr>
      <w:r>
        <w:separator/>
      </w:r>
    </w:p>
  </w:footnote>
  <w:footnote w:type="continuationSeparator" w:id="0">
    <w:p w14:paraId="7B30A34F" w14:textId="77777777" w:rsidR="00787973" w:rsidRDefault="00787973" w:rsidP="0064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D40"/>
    <w:multiLevelType w:val="hybridMultilevel"/>
    <w:tmpl w:val="22AA2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1BAB"/>
    <w:multiLevelType w:val="hybridMultilevel"/>
    <w:tmpl w:val="14206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DE"/>
    <w:rsid w:val="00003D29"/>
    <w:rsid w:val="00055886"/>
    <w:rsid w:val="000B503F"/>
    <w:rsid w:val="000F1507"/>
    <w:rsid w:val="000F21D8"/>
    <w:rsid w:val="000F299D"/>
    <w:rsid w:val="000F2DC2"/>
    <w:rsid w:val="00105FCE"/>
    <w:rsid w:val="00120B41"/>
    <w:rsid w:val="00197C7B"/>
    <w:rsid w:val="001A6F71"/>
    <w:rsid w:val="001B2334"/>
    <w:rsid w:val="001C32B4"/>
    <w:rsid w:val="001D73DE"/>
    <w:rsid w:val="001E3AF8"/>
    <w:rsid w:val="00206E42"/>
    <w:rsid w:val="00286E31"/>
    <w:rsid w:val="002B7FD2"/>
    <w:rsid w:val="002F1AA2"/>
    <w:rsid w:val="0031074F"/>
    <w:rsid w:val="00337159"/>
    <w:rsid w:val="003737B6"/>
    <w:rsid w:val="003A103C"/>
    <w:rsid w:val="003B5211"/>
    <w:rsid w:val="003D2C46"/>
    <w:rsid w:val="0043278B"/>
    <w:rsid w:val="00450BE5"/>
    <w:rsid w:val="00452CB7"/>
    <w:rsid w:val="00452E8D"/>
    <w:rsid w:val="004744ED"/>
    <w:rsid w:val="0048043F"/>
    <w:rsid w:val="0048612B"/>
    <w:rsid w:val="00497676"/>
    <w:rsid w:val="004A1C93"/>
    <w:rsid w:val="004A567B"/>
    <w:rsid w:val="004C66E3"/>
    <w:rsid w:val="004F446C"/>
    <w:rsid w:val="0052083D"/>
    <w:rsid w:val="00552673"/>
    <w:rsid w:val="0056393A"/>
    <w:rsid w:val="00565C3D"/>
    <w:rsid w:val="005A279A"/>
    <w:rsid w:val="005B167E"/>
    <w:rsid w:val="006434D3"/>
    <w:rsid w:val="00647FC3"/>
    <w:rsid w:val="00660AA4"/>
    <w:rsid w:val="00684AEB"/>
    <w:rsid w:val="006F073E"/>
    <w:rsid w:val="006F7C0A"/>
    <w:rsid w:val="00780219"/>
    <w:rsid w:val="00787973"/>
    <w:rsid w:val="007A5924"/>
    <w:rsid w:val="007E707A"/>
    <w:rsid w:val="008306D9"/>
    <w:rsid w:val="00845621"/>
    <w:rsid w:val="008C79AE"/>
    <w:rsid w:val="008D2549"/>
    <w:rsid w:val="00924730"/>
    <w:rsid w:val="0097741E"/>
    <w:rsid w:val="009A11B8"/>
    <w:rsid w:val="009C1A5A"/>
    <w:rsid w:val="009D1860"/>
    <w:rsid w:val="009F595E"/>
    <w:rsid w:val="009F739B"/>
    <w:rsid w:val="00A01222"/>
    <w:rsid w:val="00A45974"/>
    <w:rsid w:val="00A57757"/>
    <w:rsid w:val="00A91E8A"/>
    <w:rsid w:val="00A9640D"/>
    <w:rsid w:val="00B43D5A"/>
    <w:rsid w:val="00B56C4B"/>
    <w:rsid w:val="00B9560B"/>
    <w:rsid w:val="00BC4EEC"/>
    <w:rsid w:val="00BC4FD5"/>
    <w:rsid w:val="00C42B4F"/>
    <w:rsid w:val="00C70A57"/>
    <w:rsid w:val="00CB03EB"/>
    <w:rsid w:val="00CF357B"/>
    <w:rsid w:val="00D93752"/>
    <w:rsid w:val="00D965F7"/>
    <w:rsid w:val="00DD5F5B"/>
    <w:rsid w:val="00E011F1"/>
    <w:rsid w:val="00E67981"/>
    <w:rsid w:val="00E746E8"/>
    <w:rsid w:val="00ED5238"/>
    <w:rsid w:val="00F6358B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8396"/>
  <w15:chartTrackingRefBased/>
  <w15:docId w15:val="{9CC92FC0-F64D-4292-9CEF-8AE40053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F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47FC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7FC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47F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10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3C"/>
  </w:style>
  <w:style w:type="paragraph" w:styleId="Footer">
    <w:name w:val="footer"/>
    <w:basedOn w:val="Normal"/>
    <w:link w:val="FooterChar"/>
    <w:uiPriority w:val="99"/>
    <w:unhideWhenUsed/>
    <w:rsid w:val="003A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3C"/>
  </w:style>
  <w:style w:type="paragraph" w:styleId="BalloonText">
    <w:name w:val="Balloon Text"/>
    <w:basedOn w:val="Normal"/>
    <w:link w:val="BalloonTextChar"/>
    <w:uiPriority w:val="99"/>
    <w:semiHidden/>
    <w:unhideWhenUsed/>
    <w:rsid w:val="000F1507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07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0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F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27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s.gov.au/sites/default/files/fm53b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EB22-7DCC-43A2-B6B3-C5398EF8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 Fehlberg</dc:creator>
  <cp:keywords/>
  <dc:description/>
  <cp:lastModifiedBy>Belinda Fehlberg</cp:lastModifiedBy>
  <cp:revision>2</cp:revision>
  <cp:lastPrinted>2018-05-07T09:39:00Z</cp:lastPrinted>
  <dcterms:created xsi:type="dcterms:W3CDTF">2018-11-13T09:22:00Z</dcterms:created>
  <dcterms:modified xsi:type="dcterms:W3CDTF">2018-11-13T09:22:00Z</dcterms:modified>
</cp:coreProperties>
</file>