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37E" w:rsidRDefault="0019237E" w:rsidP="0019237E">
      <w:pPr>
        <w:pStyle w:val="Header"/>
        <w:ind w:left="-360"/>
      </w:pPr>
      <w:r>
        <w:rPr>
          <w:noProof/>
          <w:lang w:eastAsia="en-AU"/>
        </w:rPr>
        <w:drawing>
          <wp:inline distT="0" distB="0" distL="0" distR="0">
            <wp:extent cx="3876675" cy="771525"/>
            <wp:effectExtent l="0" t="0" r="9525" b="9525"/>
            <wp:docPr id="1" name="Picture 1" descr="Monash_2-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ash_2-RGB"/>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76675" cy="771525"/>
                    </a:xfrm>
                    <a:prstGeom prst="rect">
                      <a:avLst/>
                    </a:prstGeom>
                    <a:noFill/>
                    <a:ln>
                      <a:noFill/>
                    </a:ln>
                  </pic:spPr>
                </pic:pic>
              </a:graphicData>
            </a:graphic>
          </wp:inline>
        </w:drawing>
      </w:r>
    </w:p>
    <w:p w:rsidR="0019237E" w:rsidRPr="0019237E" w:rsidRDefault="0019237E" w:rsidP="0019237E">
      <w:pPr>
        <w:jc w:val="center"/>
        <w:rPr>
          <w:b/>
          <w:bCs/>
          <w:sz w:val="28"/>
          <w:szCs w:val="28"/>
        </w:rPr>
      </w:pPr>
    </w:p>
    <w:p w:rsidR="00B84B0F" w:rsidRPr="0019237E" w:rsidRDefault="0019237E" w:rsidP="0019237E">
      <w:pPr>
        <w:jc w:val="center"/>
        <w:rPr>
          <w:b/>
          <w:bCs/>
          <w:sz w:val="28"/>
          <w:szCs w:val="28"/>
        </w:rPr>
      </w:pPr>
      <w:r w:rsidRPr="0019237E">
        <w:rPr>
          <w:b/>
          <w:bCs/>
          <w:sz w:val="28"/>
          <w:szCs w:val="28"/>
        </w:rPr>
        <w:t>Australian Law Reform Commission</w:t>
      </w:r>
    </w:p>
    <w:p w:rsidR="0019237E" w:rsidRPr="0019237E" w:rsidRDefault="0019237E" w:rsidP="0019237E">
      <w:pPr>
        <w:jc w:val="center"/>
        <w:rPr>
          <w:b/>
          <w:bCs/>
          <w:sz w:val="28"/>
          <w:szCs w:val="28"/>
        </w:rPr>
      </w:pPr>
      <w:r w:rsidRPr="0019237E">
        <w:rPr>
          <w:b/>
          <w:bCs/>
          <w:sz w:val="28"/>
          <w:szCs w:val="28"/>
        </w:rPr>
        <w:t>Review of the Family Law System</w:t>
      </w:r>
    </w:p>
    <w:p w:rsidR="0019237E" w:rsidRDefault="0019237E" w:rsidP="0019237E">
      <w:pPr>
        <w:jc w:val="center"/>
        <w:rPr>
          <w:b/>
          <w:bCs/>
          <w:sz w:val="28"/>
          <w:szCs w:val="28"/>
        </w:rPr>
      </w:pPr>
    </w:p>
    <w:p w:rsidR="00D73CBA" w:rsidRDefault="00D73CBA" w:rsidP="0019237E">
      <w:pPr>
        <w:jc w:val="center"/>
        <w:rPr>
          <w:b/>
          <w:bCs/>
          <w:sz w:val="28"/>
          <w:szCs w:val="28"/>
        </w:rPr>
      </w:pPr>
    </w:p>
    <w:p w:rsidR="00D73CBA" w:rsidRDefault="00D73CBA" w:rsidP="0019237E">
      <w:pPr>
        <w:jc w:val="center"/>
        <w:rPr>
          <w:b/>
          <w:bCs/>
          <w:sz w:val="28"/>
          <w:szCs w:val="28"/>
        </w:rPr>
      </w:pPr>
    </w:p>
    <w:p w:rsidR="0019237E" w:rsidRPr="0019237E" w:rsidRDefault="0019237E" w:rsidP="0019237E">
      <w:pPr>
        <w:jc w:val="center"/>
        <w:rPr>
          <w:b/>
          <w:bCs/>
          <w:sz w:val="40"/>
          <w:szCs w:val="40"/>
        </w:rPr>
      </w:pPr>
      <w:r w:rsidRPr="0019237E">
        <w:rPr>
          <w:b/>
          <w:bCs/>
          <w:sz w:val="40"/>
          <w:szCs w:val="40"/>
        </w:rPr>
        <w:t>Inquiry Submission</w:t>
      </w:r>
    </w:p>
    <w:p w:rsidR="00447F54" w:rsidRDefault="00447F54" w:rsidP="0019237E">
      <w:pPr>
        <w:jc w:val="center"/>
        <w:rPr>
          <w:b/>
          <w:bCs/>
          <w:sz w:val="28"/>
          <w:szCs w:val="28"/>
        </w:rPr>
      </w:pPr>
    </w:p>
    <w:p w:rsidR="00D73CBA" w:rsidRPr="0019237E" w:rsidRDefault="00D73CBA" w:rsidP="0019237E">
      <w:pPr>
        <w:jc w:val="center"/>
        <w:rPr>
          <w:b/>
          <w:bCs/>
          <w:sz w:val="28"/>
          <w:szCs w:val="28"/>
        </w:rPr>
      </w:pPr>
    </w:p>
    <w:p w:rsidR="0019237E" w:rsidRPr="00D73CBA" w:rsidRDefault="00E302C8" w:rsidP="00D73CBA">
      <w:pPr>
        <w:jc w:val="center"/>
        <w:rPr>
          <w:b/>
          <w:bCs/>
          <w:sz w:val="34"/>
          <w:szCs w:val="34"/>
        </w:rPr>
      </w:pPr>
      <w:r w:rsidRPr="00D73CBA">
        <w:rPr>
          <w:b/>
          <w:bCs/>
          <w:sz w:val="34"/>
          <w:szCs w:val="34"/>
        </w:rPr>
        <w:t>Dr Becky Batago</w:t>
      </w:r>
      <w:r w:rsidR="0019237E" w:rsidRPr="00D73CBA">
        <w:rPr>
          <w:b/>
          <w:bCs/>
          <w:sz w:val="34"/>
          <w:szCs w:val="34"/>
        </w:rPr>
        <w:t>l</w:t>
      </w:r>
      <w:r w:rsidR="00C94CA2" w:rsidRPr="00D73CBA">
        <w:rPr>
          <w:b/>
          <w:bCs/>
          <w:sz w:val="34"/>
          <w:szCs w:val="34"/>
        </w:rPr>
        <w:t xml:space="preserve"> </w:t>
      </w:r>
    </w:p>
    <w:p w:rsidR="0019237E" w:rsidRDefault="0019237E" w:rsidP="0019237E">
      <w:pPr>
        <w:jc w:val="center"/>
        <w:rPr>
          <w:b/>
          <w:bCs/>
          <w:sz w:val="28"/>
          <w:szCs w:val="28"/>
        </w:rPr>
      </w:pPr>
      <w:r w:rsidRPr="0019237E">
        <w:rPr>
          <w:b/>
          <w:bCs/>
          <w:sz w:val="28"/>
          <w:szCs w:val="28"/>
        </w:rPr>
        <w:t>Associate Professor</w:t>
      </w:r>
      <w:r w:rsidR="00C94CA2" w:rsidRPr="0019237E">
        <w:rPr>
          <w:b/>
          <w:bCs/>
          <w:sz w:val="28"/>
          <w:szCs w:val="28"/>
        </w:rPr>
        <w:t xml:space="preserve"> </w:t>
      </w:r>
    </w:p>
    <w:p w:rsidR="00E64893" w:rsidRDefault="00E64893" w:rsidP="00E64893">
      <w:pPr>
        <w:jc w:val="center"/>
        <w:rPr>
          <w:b/>
          <w:bCs/>
          <w:sz w:val="28"/>
          <w:szCs w:val="28"/>
        </w:rPr>
      </w:pPr>
      <w:r>
        <w:rPr>
          <w:b/>
          <w:bCs/>
          <w:sz w:val="28"/>
          <w:szCs w:val="28"/>
        </w:rPr>
        <w:t>Convener, Feminist Legal Studies Group</w:t>
      </w:r>
    </w:p>
    <w:p w:rsidR="00E302C8" w:rsidRPr="0019237E" w:rsidRDefault="00C94CA2" w:rsidP="0019237E">
      <w:pPr>
        <w:jc w:val="center"/>
        <w:rPr>
          <w:b/>
          <w:bCs/>
          <w:sz w:val="28"/>
          <w:szCs w:val="28"/>
        </w:rPr>
      </w:pPr>
      <w:r w:rsidRPr="0019237E">
        <w:rPr>
          <w:b/>
          <w:bCs/>
          <w:sz w:val="28"/>
          <w:szCs w:val="28"/>
        </w:rPr>
        <w:t>Faculty of Law, Monash University</w:t>
      </w:r>
    </w:p>
    <w:p w:rsidR="00E302C8" w:rsidRDefault="00E302C8" w:rsidP="0019237E">
      <w:pPr>
        <w:jc w:val="center"/>
        <w:rPr>
          <w:b/>
          <w:bCs/>
          <w:sz w:val="28"/>
          <w:szCs w:val="28"/>
        </w:rPr>
      </w:pPr>
    </w:p>
    <w:p w:rsidR="00D73CBA" w:rsidRPr="0019237E" w:rsidRDefault="00D73CBA" w:rsidP="0019237E">
      <w:pPr>
        <w:jc w:val="center"/>
        <w:rPr>
          <w:b/>
          <w:bCs/>
          <w:sz w:val="28"/>
          <w:szCs w:val="28"/>
        </w:rPr>
      </w:pPr>
    </w:p>
    <w:p w:rsidR="00E302C8" w:rsidRPr="0019237E" w:rsidRDefault="001F587C" w:rsidP="0019237E">
      <w:pPr>
        <w:jc w:val="center"/>
        <w:rPr>
          <w:b/>
          <w:bCs/>
          <w:sz w:val="28"/>
          <w:szCs w:val="28"/>
        </w:rPr>
      </w:pPr>
      <w:r>
        <w:rPr>
          <w:b/>
          <w:bCs/>
          <w:sz w:val="28"/>
          <w:szCs w:val="28"/>
        </w:rPr>
        <w:t>14</w:t>
      </w:r>
      <w:r w:rsidR="00D73CBA">
        <w:rPr>
          <w:b/>
          <w:bCs/>
          <w:sz w:val="28"/>
          <w:szCs w:val="28"/>
        </w:rPr>
        <w:t xml:space="preserve"> May 2018</w:t>
      </w:r>
    </w:p>
    <w:p w:rsidR="00E302C8" w:rsidRDefault="00E302C8" w:rsidP="0019237E">
      <w:pPr>
        <w:jc w:val="center"/>
        <w:rPr>
          <w:b/>
          <w:bCs/>
          <w:sz w:val="28"/>
          <w:szCs w:val="28"/>
        </w:rPr>
      </w:pPr>
    </w:p>
    <w:p w:rsidR="0019237E" w:rsidRPr="00D73CBA" w:rsidRDefault="0019237E" w:rsidP="0019237E">
      <w:pPr>
        <w:pStyle w:val="Footer"/>
        <w:rPr>
          <w:b/>
          <w:bCs/>
        </w:rPr>
      </w:pPr>
      <w:r w:rsidRPr="00D73CBA">
        <w:rPr>
          <w:b/>
          <w:bCs/>
        </w:rPr>
        <w:t>Faculty of Law</w:t>
      </w:r>
    </w:p>
    <w:p w:rsidR="0019237E" w:rsidRPr="00D73CBA" w:rsidRDefault="0019237E" w:rsidP="0019237E">
      <w:pPr>
        <w:pStyle w:val="Footer"/>
      </w:pPr>
      <w:r w:rsidRPr="00D73CBA">
        <w:t>Monash University</w:t>
      </w:r>
    </w:p>
    <w:p w:rsidR="0019237E" w:rsidRPr="00D73CBA" w:rsidRDefault="0019237E" w:rsidP="0019237E">
      <w:pPr>
        <w:pStyle w:val="Footer"/>
      </w:pPr>
      <w:r w:rsidRPr="00D73CBA">
        <w:t>Building 12, Room 313</w:t>
      </w:r>
    </w:p>
    <w:p w:rsidR="0019237E" w:rsidRPr="00D73CBA" w:rsidRDefault="0019237E" w:rsidP="0019237E">
      <w:pPr>
        <w:pStyle w:val="Footer"/>
      </w:pPr>
      <w:r w:rsidRPr="00D73CBA">
        <w:t>15 Ancora Imparo Way</w:t>
      </w:r>
    </w:p>
    <w:p w:rsidR="0019237E" w:rsidRPr="00D73CBA" w:rsidRDefault="0019237E" w:rsidP="0019237E">
      <w:pPr>
        <w:pStyle w:val="Footer"/>
      </w:pPr>
      <w:r w:rsidRPr="00D73CBA">
        <w:t>Clayton VIC 3168Australia</w:t>
      </w:r>
    </w:p>
    <w:p w:rsidR="0019237E" w:rsidRPr="00D73CBA" w:rsidRDefault="0019237E" w:rsidP="0019237E">
      <w:pPr>
        <w:pStyle w:val="Footer"/>
      </w:pPr>
    </w:p>
    <w:p w:rsidR="0019237E" w:rsidRPr="00D73CBA" w:rsidRDefault="0019237E" w:rsidP="0019237E">
      <w:pPr>
        <w:pStyle w:val="Footer"/>
      </w:pPr>
      <w:r w:rsidRPr="00D73CBA">
        <w:t>Telephone +61 3 9905 5050  Facsimile +61 3</w:t>
      </w:r>
      <w:r w:rsidR="00AC250E">
        <w:t xml:space="preserve"> 9905 5305 </w:t>
      </w:r>
      <w:r w:rsidR="00AC250E">
        <w:br/>
        <w:t>Email Becky.Batagol</w:t>
      </w:r>
      <w:r w:rsidRPr="00D73CBA">
        <w:t>@monash.edu</w:t>
      </w:r>
    </w:p>
    <w:p w:rsidR="0019237E" w:rsidRPr="00D73CBA" w:rsidRDefault="0019237E" w:rsidP="0019237E">
      <w:pPr>
        <w:pStyle w:val="Footer"/>
      </w:pPr>
      <w:r w:rsidRPr="00D73CBA">
        <w:t xml:space="preserve">www.monash.edu.au </w:t>
      </w:r>
    </w:p>
    <w:p w:rsidR="0019237E" w:rsidRPr="00D73CBA" w:rsidRDefault="0019237E" w:rsidP="00D73CBA">
      <w:pPr>
        <w:pStyle w:val="Footer"/>
        <w:rPr>
          <w:sz w:val="28"/>
          <w:szCs w:val="28"/>
        </w:rPr>
      </w:pPr>
      <w:r w:rsidRPr="00D73CBA">
        <w:t>ABN 12 377 614 012  CRICOS provider number 00008C</w:t>
      </w:r>
    </w:p>
    <w:p w:rsidR="00E302C8" w:rsidRDefault="00E302C8">
      <w:r>
        <w:br w:type="page"/>
      </w:r>
    </w:p>
    <w:p w:rsidR="00FB77B2" w:rsidRDefault="00FB77B2" w:rsidP="00FB77B2">
      <w:pPr>
        <w:pStyle w:val="Heading1"/>
      </w:pPr>
      <w:r>
        <w:lastRenderedPageBreak/>
        <w:t xml:space="preserve">Introduction </w:t>
      </w:r>
    </w:p>
    <w:p w:rsidR="00A32477" w:rsidRDefault="00AC250E" w:rsidP="0077611C">
      <w:r>
        <w:t>T</w:t>
      </w:r>
      <w:r w:rsidR="00C94CA2">
        <w:t xml:space="preserve">here are many aspects of the operation of the federal family law system that </w:t>
      </w:r>
      <w:r w:rsidR="00517B0E">
        <w:t xml:space="preserve">need reform. The focus of this submission is upon </w:t>
      </w:r>
      <w:r w:rsidR="00C94CA2">
        <w:t>provision of support</w:t>
      </w:r>
      <w:r w:rsidR="00A32477">
        <w:t xml:space="preserve">ive, </w:t>
      </w:r>
      <w:r w:rsidR="00C94CA2">
        <w:t xml:space="preserve">safe </w:t>
      </w:r>
      <w:r>
        <w:t xml:space="preserve">family law </w:t>
      </w:r>
      <w:r w:rsidR="00C94CA2">
        <w:t xml:space="preserve">processes for </w:t>
      </w:r>
      <w:r w:rsidR="00C94CA2" w:rsidRPr="0077611C">
        <w:rPr>
          <w:b/>
          <w:bCs/>
        </w:rPr>
        <w:t>women</w:t>
      </w:r>
      <w:r w:rsidR="0077611C">
        <w:rPr>
          <w:b/>
          <w:bCs/>
        </w:rPr>
        <w:t xml:space="preserve"> and their children</w:t>
      </w:r>
      <w:r w:rsidR="00C94CA2" w:rsidRPr="0077611C">
        <w:rPr>
          <w:b/>
          <w:bCs/>
        </w:rPr>
        <w:t xml:space="preserve"> who have experienced family violence</w:t>
      </w:r>
      <w:r w:rsidR="00C94CA2">
        <w:t xml:space="preserve">. </w:t>
      </w:r>
      <w:r w:rsidR="00517B0E">
        <w:t xml:space="preserve">I have focused on </w:t>
      </w:r>
      <w:r w:rsidR="0077611C">
        <w:t xml:space="preserve">family violence </w:t>
      </w:r>
      <w:r w:rsidR="00517B0E">
        <w:t>because I believe it is the area in most urgent need of reform</w:t>
      </w:r>
      <w:r>
        <w:t>. F</w:t>
      </w:r>
      <w:r w:rsidR="00517B0E">
        <w:t>amily violence</w:t>
      </w:r>
      <w:r>
        <w:t xml:space="preserve"> i</w:t>
      </w:r>
      <w:r w:rsidR="00517B0E">
        <w:t>n the family law system is an issue in which I have recently conducted academic work (as a consultant to the Victorian Royal Commission into Family Violence in 2015</w:t>
      </w:r>
      <w:r w:rsidR="00E71A39">
        <w:t>, writing on the intersection of family violence and family law</w:t>
      </w:r>
      <w:r w:rsidR="00517B0E">
        <w:t xml:space="preserve">). This </w:t>
      </w:r>
      <w:r w:rsidR="00E64893">
        <w:t>submission also draw</w:t>
      </w:r>
      <w:r w:rsidR="00517B0E">
        <w:t>s upon a submission I wrote</w:t>
      </w:r>
      <w:r w:rsidR="00E64893">
        <w:t xml:space="preserve"> for the Castan Centre for Human Rights for the Parliamentary inquiry into a better family law system to support and protect those affected by family violence, Standing Committee on Social Policy and Legal Affairs, House of Representatives</w:t>
      </w:r>
      <w:r w:rsidR="0077611C">
        <w:t xml:space="preserve"> (2017)</w:t>
      </w:r>
      <w:r w:rsidR="00E64893">
        <w:t>.</w:t>
      </w:r>
    </w:p>
    <w:p w:rsidR="008D4F7B" w:rsidRDefault="008D4F7B" w:rsidP="008A1F88">
      <w:r>
        <w:t xml:space="preserve">I am an Associate Professor of law at Monash University, </w:t>
      </w:r>
      <w:r w:rsidR="00AC250E">
        <w:t xml:space="preserve">working across </w:t>
      </w:r>
      <w:r w:rsidR="001F587C">
        <w:t xml:space="preserve">the areas of </w:t>
      </w:r>
      <w:r>
        <w:t xml:space="preserve">family law, family violence, non-adversarial justice, dispute resolution, gender, child protection and </w:t>
      </w:r>
      <w:r w:rsidR="00E71A39">
        <w:t>constitutional law</w:t>
      </w:r>
      <w:r w:rsidR="00AC250E">
        <w:t>.</w:t>
      </w:r>
      <w:r w:rsidR="004D6FD0">
        <w:t xml:space="preserve"> </w:t>
      </w:r>
      <w:r w:rsidR="004820C3">
        <w:t>I have particular expertise in use of informal processes such as mediatio</w:t>
      </w:r>
      <w:r w:rsidR="008A1F88">
        <w:t>n, Family D</w:t>
      </w:r>
      <w:r w:rsidR="004820C3">
        <w:t xml:space="preserve">ispute Resolution and Family Group Conferencing in family law, family violence and child protection contexts. </w:t>
      </w:r>
      <w:r w:rsidR="004D6FD0">
        <w:t xml:space="preserve">I am currently Deputy Director of the Australian Centre for Justice Innovation at Monash and, with Associate Professor Janice Richardson, co-convener of the Monash's Feminist Legal Studies Group. </w:t>
      </w:r>
      <w:r w:rsidR="008A1F88">
        <w:t xml:space="preserve">I am a former director of FMC Mediation and Counselling Victoria, a service provider under the Family Relationship Services Program in Victoria. </w:t>
      </w:r>
      <w:r w:rsidR="004D6FD0">
        <w:t xml:space="preserve">I’m the </w:t>
      </w:r>
      <w:r>
        <w:t xml:space="preserve">co-author of </w:t>
      </w:r>
      <w:r w:rsidRPr="004D6FD0">
        <w:rPr>
          <w:i/>
          <w:iCs/>
        </w:rPr>
        <w:t>Non-Adversarial Justice</w:t>
      </w:r>
      <w:r>
        <w:t xml:space="preserve"> (2nd ed, 2014), </w:t>
      </w:r>
      <w:r w:rsidRPr="004D6FD0">
        <w:rPr>
          <w:i/>
          <w:iCs/>
        </w:rPr>
        <w:t xml:space="preserve">Bargaining in the Shadow of the Law? The Case of Family Mediation </w:t>
      </w:r>
      <w:r>
        <w:t xml:space="preserve">(2011) and the author of many academic articles. </w:t>
      </w:r>
      <w:r w:rsidR="004D6FD0">
        <w:t xml:space="preserve">I edit </w:t>
      </w:r>
      <w:r>
        <w:t>the ADR Research Network blog and tweet regularly under the handle @BeckyBatagol.</w:t>
      </w:r>
      <w:r w:rsidR="004D6FD0">
        <w:t xml:space="preserve"> </w:t>
      </w:r>
      <w:r>
        <w:t>In 2015</w:t>
      </w:r>
      <w:r w:rsidR="004D6FD0">
        <w:t xml:space="preserve">, I </w:t>
      </w:r>
      <w:r>
        <w:t xml:space="preserve">worked as a research consultant to the Royal Commission into Family Violence. </w:t>
      </w:r>
      <w:r w:rsidR="004D6FD0">
        <w:t xml:space="preserve">I have </w:t>
      </w:r>
      <w:r>
        <w:t>also consulted to the Victorian Law Reform Commission</w:t>
      </w:r>
      <w:r w:rsidR="004D6FD0">
        <w:t xml:space="preserve"> on child protection processes</w:t>
      </w:r>
      <w:r>
        <w:t xml:space="preserve">. </w:t>
      </w:r>
    </w:p>
    <w:p w:rsidR="004D6FD0" w:rsidRDefault="0004589E" w:rsidP="004D6FD0">
      <w:r>
        <w:t xml:space="preserve">This submission makes recommendations for change to enable </w:t>
      </w:r>
      <w:r w:rsidR="00517B0E">
        <w:t xml:space="preserve">the </w:t>
      </w:r>
      <w:r>
        <w:t>Australia</w:t>
      </w:r>
      <w:r w:rsidR="00517B0E">
        <w:t>n family law system to better provide supportive, safe legal processes for women and their families who have experienced family violence.</w:t>
      </w:r>
      <w:r w:rsidR="004D6FD0">
        <w:t xml:space="preserve"> </w:t>
      </w:r>
      <w:r w:rsidR="00744946">
        <w:t xml:space="preserve">The submission is structured around key themes. I have noted how these themes intersect with the questions asked by the Australian Law Reform Commission in the </w:t>
      </w:r>
      <w:r w:rsidR="00744946" w:rsidRPr="00744946">
        <w:rPr>
          <w:i/>
          <w:iCs/>
        </w:rPr>
        <w:t xml:space="preserve">Review of the Family Law System: Issues Paper </w:t>
      </w:r>
      <w:r w:rsidR="00744946">
        <w:t xml:space="preserve">(March 2018). </w:t>
      </w:r>
    </w:p>
    <w:p w:rsidR="00744946" w:rsidRDefault="004D6FD0" w:rsidP="008A1F88">
      <w:r>
        <w:t>I would</w:t>
      </w:r>
      <w:r w:rsidR="00E71A39">
        <w:t>,</w:t>
      </w:r>
      <w:r>
        <w:t xml:space="preserve"> of course, </w:t>
      </w:r>
      <w:r w:rsidR="00E71A39">
        <w:t xml:space="preserve">be </w:t>
      </w:r>
      <w:r>
        <w:t xml:space="preserve">very happy to </w:t>
      </w:r>
      <w:r w:rsidR="00E71A39">
        <w:t>be contacted, formally or informally, by researchers</w:t>
      </w:r>
      <w:r>
        <w:t xml:space="preserve"> </w:t>
      </w:r>
      <w:r w:rsidR="00E71A39">
        <w:t xml:space="preserve">at </w:t>
      </w:r>
      <w:r>
        <w:t>the Commission regarding the issues raised in this submission.</w:t>
      </w:r>
      <w:r w:rsidR="004820C3">
        <w:t xml:space="preserve"> The submission skims over subject matters in which I have expertise, especially in use of informal processes</w:t>
      </w:r>
      <w:r w:rsidR="008A1F88">
        <w:t xml:space="preserve"> in family law and family violence contexts,</w:t>
      </w:r>
      <w:r w:rsidR="004820C3">
        <w:t xml:space="preserve"> and I’d </w:t>
      </w:r>
      <w:r w:rsidR="008A1F88">
        <w:t>be happy to speak further about these areas.</w:t>
      </w:r>
    </w:p>
    <w:p w:rsidR="00744946" w:rsidRDefault="00744946" w:rsidP="00744946"/>
    <w:p w:rsidR="00744946" w:rsidRDefault="00744946" w:rsidP="00744946">
      <w:pPr>
        <w:pStyle w:val="Heading1"/>
      </w:pPr>
      <w:r>
        <w:t>Summary of Recommendations</w:t>
      </w:r>
    </w:p>
    <w:p w:rsidR="00602682" w:rsidRPr="00602682" w:rsidRDefault="00602682" w:rsidP="00602682">
      <w:r>
        <w:t>The question numbers next to each recommendation relates to the questions</w:t>
      </w:r>
      <w:r w:rsidR="00E71A39">
        <w:t xml:space="preserve"> contained</w:t>
      </w:r>
      <w:r>
        <w:t xml:space="preserve"> in the Australian Law Reform Commission, </w:t>
      </w:r>
      <w:r w:rsidRPr="00744946">
        <w:rPr>
          <w:i/>
          <w:iCs/>
        </w:rPr>
        <w:t xml:space="preserve">Review of the Family Law System: Issues Paper </w:t>
      </w:r>
      <w:r>
        <w:t xml:space="preserve">(March 2018).  </w:t>
      </w:r>
    </w:p>
    <w:p w:rsidR="00744946" w:rsidRDefault="00744946" w:rsidP="00744946">
      <w:pPr>
        <w:pStyle w:val="ListParagraph"/>
        <w:spacing w:before="120"/>
        <w:ind w:left="0"/>
        <w:contextualSpacing w:val="0"/>
        <w:rPr>
          <w:rStyle w:val="Strong"/>
        </w:rPr>
      </w:pPr>
      <w:r>
        <w:rPr>
          <w:rStyle w:val="Strong"/>
        </w:rPr>
        <w:t xml:space="preserve">This submission </w:t>
      </w:r>
      <w:r w:rsidRPr="00E7030D">
        <w:rPr>
          <w:rStyle w:val="Strong"/>
        </w:rPr>
        <w:t xml:space="preserve">recommends </w:t>
      </w:r>
    </w:p>
    <w:p w:rsidR="00744946" w:rsidRPr="00E7030D" w:rsidRDefault="00744946" w:rsidP="00744946">
      <w:pPr>
        <w:pStyle w:val="ListParagraph"/>
        <w:numPr>
          <w:ilvl w:val="0"/>
          <w:numId w:val="8"/>
        </w:numPr>
        <w:spacing w:after="0"/>
        <w:ind w:hanging="357"/>
        <w:contextualSpacing w:val="0"/>
        <w:rPr>
          <w:rStyle w:val="Strong"/>
        </w:rPr>
      </w:pPr>
      <w:r>
        <w:rPr>
          <w:rStyle w:val="Strong"/>
        </w:rPr>
        <w:t>T</w:t>
      </w:r>
      <w:r w:rsidRPr="00E7030D">
        <w:rPr>
          <w:rStyle w:val="Strong"/>
        </w:rPr>
        <w:t xml:space="preserve">hat the Commonwealth government do all that is necessary to support </w:t>
      </w:r>
      <w:r>
        <w:rPr>
          <w:rStyle w:val="Strong"/>
        </w:rPr>
        <w:t>S</w:t>
      </w:r>
      <w:r w:rsidRPr="00E7030D">
        <w:rPr>
          <w:rStyle w:val="Strong"/>
        </w:rPr>
        <w:t xml:space="preserve">tate and </w:t>
      </w:r>
      <w:r>
        <w:rPr>
          <w:rStyle w:val="Strong"/>
        </w:rPr>
        <w:t>T</w:t>
      </w:r>
      <w:r w:rsidRPr="00E7030D">
        <w:rPr>
          <w:rStyle w:val="Strong"/>
        </w:rPr>
        <w:t>erritory magistrates and children’s court judges to exercise family law powers in cases on family violence. Measures recommended include</w:t>
      </w:r>
      <w:r w:rsidR="004955E0">
        <w:rPr>
          <w:rStyle w:val="Strong"/>
        </w:rPr>
        <w:t xml:space="preserve"> </w:t>
      </w:r>
    </w:p>
    <w:p w:rsidR="00744946" w:rsidRPr="00E7030D" w:rsidRDefault="00744946" w:rsidP="00744946">
      <w:pPr>
        <w:pStyle w:val="ListParagraph"/>
        <w:numPr>
          <w:ilvl w:val="0"/>
          <w:numId w:val="9"/>
        </w:numPr>
        <w:spacing w:after="0"/>
        <w:ind w:hanging="357"/>
        <w:contextualSpacing w:val="0"/>
        <w:rPr>
          <w:rStyle w:val="Strong"/>
        </w:rPr>
      </w:pPr>
      <w:r w:rsidRPr="00E7030D">
        <w:rPr>
          <w:rStyle w:val="Strong"/>
        </w:rPr>
        <w:t xml:space="preserve">Compensation for state and territory governments for </w:t>
      </w:r>
      <w:r>
        <w:rPr>
          <w:rStyle w:val="Strong"/>
        </w:rPr>
        <w:t xml:space="preserve">state courts </w:t>
      </w:r>
      <w:r w:rsidRPr="00E7030D">
        <w:rPr>
          <w:rStyle w:val="Strong"/>
        </w:rPr>
        <w:t>hearing federal cases</w:t>
      </w:r>
      <w:r w:rsidR="00602682">
        <w:rPr>
          <w:rStyle w:val="Strong"/>
        </w:rPr>
        <w:t xml:space="preserve"> (Question 32)</w:t>
      </w:r>
    </w:p>
    <w:p w:rsidR="00744946" w:rsidRPr="00E7030D" w:rsidRDefault="00744946" w:rsidP="00744946">
      <w:pPr>
        <w:pStyle w:val="ListParagraph"/>
        <w:numPr>
          <w:ilvl w:val="0"/>
          <w:numId w:val="9"/>
        </w:numPr>
        <w:spacing w:after="0"/>
        <w:ind w:hanging="357"/>
        <w:contextualSpacing w:val="0"/>
        <w:rPr>
          <w:rStyle w:val="Strong"/>
        </w:rPr>
      </w:pPr>
      <w:r w:rsidRPr="00E7030D">
        <w:rPr>
          <w:rStyle w:val="Strong"/>
        </w:rPr>
        <w:lastRenderedPageBreak/>
        <w:t xml:space="preserve">Requirements for service providers under the Family Relationships Services Programme to establish </w:t>
      </w:r>
      <w:r w:rsidR="00602682">
        <w:rPr>
          <w:rStyle w:val="Strong"/>
        </w:rPr>
        <w:t xml:space="preserve">durable </w:t>
      </w:r>
      <w:r w:rsidRPr="00E7030D">
        <w:rPr>
          <w:rStyle w:val="Strong"/>
        </w:rPr>
        <w:t xml:space="preserve">links with courts and service providers in the state family violence system to create clear </w:t>
      </w:r>
      <w:r w:rsidR="00CD642D">
        <w:rPr>
          <w:rStyle w:val="Strong"/>
        </w:rPr>
        <w:t xml:space="preserve">referral </w:t>
      </w:r>
      <w:r w:rsidRPr="00E7030D">
        <w:rPr>
          <w:rStyle w:val="Strong"/>
        </w:rPr>
        <w:t>pathways for families experiencing family violence who have their family law matters heard within the state courts</w:t>
      </w:r>
      <w:r w:rsidR="00602682">
        <w:rPr>
          <w:rStyle w:val="Strong"/>
        </w:rPr>
        <w:t xml:space="preserve"> (Question 31)</w:t>
      </w:r>
      <w:r w:rsidRPr="00E7030D">
        <w:rPr>
          <w:rStyle w:val="Strong"/>
        </w:rPr>
        <w:t>.</w:t>
      </w:r>
    </w:p>
    <w:p w:rsidR="00744946" w:rsidRDefault="00744946" w:rsidP="00744946">
      <w:pPr>
        <w:pStyle w:val="ListParagraph"/>
        <w:numPr>
          <w:ilvl w:val="0"/>
          <w:numId w:val="8"/>
        </w:numPr>
        <w:spacing w:before="120"/>
        <w:ind w:hanging="357"/>
        <w:contextualSpacing w:val="0"/>
        <w:rPr>
          <w:rStyle w:val="Strong"/>
        </w:rPr>
      </w:pPr>
      <w:r w:rsidRPr="00F3459E">
        <w:rPr>
          <w:rStyle w:val="Strong"/>
        </w:rPr>
        <w:t xml:space="preserve">That the Commonwealth Parliament </w:t>
      </w:r>
      <w:r w:rsidR="00AB0DB0">
        <w:rPr>
          <w:rStyle w:val="Strong"/>
        </w:rPr>
        <w:t xml:space="preserve">urgently </w:t>
      </w:r>
      <w:r w:rsidRPr="00F3459E">
        <w:rPr>
          <w:rStyle w:val="Strong"/>
        </w:rPr>
        <w:t>amend section 46(1</w:t>
      </w:r>
      <w:r w:rsidRPr="00744946">
        <w:rPr>
          <w:rStyle w:val="Strong"/>
        </w:rPr>
        <w:t xml:space="preserve">) </w:t>
      </w:r>
      <w:r w:rsidRPr="00744946">
        <w:rPr>
          <w:rStyle w:val="Strong"/>
          <w:i/>
          <w:iCs/>
        </w:rPr>
        <w:t>Family Law Act 1975</w:t>
      </w:r>
      <w:r w:rsidRPr="00F3459E">
        <w:rPr>
          <w:rStyle w:val="Strong"/>
        </w:rPr>
        <w:t xml:space="preserve"> to increase the $20,000 limit on property disputes able to be heard by State and Territory magistrates’ courts. The jurisdictional limit for hearing family law property disputes should mirror the upper limit on civil dispute able to be heard by State and Territory magistrates’ courts</w:t>
      </w:r>
      <w:r w:rsidR="00E71A39">
        <w:rPr>
          <w:rStyle w:val="Strong"/>
        </w:rPr>
        <w:t xml:space="preserve"> (Question 17).</w:t>
      </w:r>
    </w:p>
    <w:p w:rsidR="00744946" w:rsidRDefault="00744946" w:rsidP="00CD642D">
      <w:pPr>
        <w:pStyle w:val="ListParagraph"/>
        <w:numPr>
          <w:ilvl w:val="0"/>
          <w:numId w:val="8"/>
        </w:numPr>
        <w:spacing w:before="120"/>
        <w:contextualSpacing w:val="0"/>
        <w:rPr>
          <w:rStyle w:val="Strong"/>
        </w:rPr>
      </w:pPr>
      <w:r>
        <w:rPr>
          <w:rStyle w:val="Strong"/>
        </w:rPr>
        <w:t>T</w:t>
      </w:r>
      <w:r w:rsidRPr="00537044">
        <w:rPr>
          <w:rStyle w:val="Strong"/>
        </w:rPr>
        <w:t xml:space="preserve">hat the Commonwealth government, through the Council of Australian Government’s </w:t>
      </w:r>
      <w:r w:rsidR="00CD642D">
        <w:rPr>
          <w:rStyle w:val="Strong"/>
        </w:rPr>
        <w:t>Council of Attorneys-General</w:t>
      </w:r>
      <w:r w:rsidRPr="00537044">
        <w:rPr>
          <w:rStyle w:val="Strong"/>
        </w:rPr>
        <w:t xml:space="preserve">, urgently lead the development of a nationally consistent family violence risk assessment </w:t>
      </w:r>
      <w:r w:rsidR="00B764A1">
        <w:rPr>
          <w:rStyle w:val="Strong"/>
        </w:rPr>
        <w:t>tool</w:t>
      </w:r>
      <w:r w:rsidRPr="00537044">
        <w:rPr>
          <w:rStyle w:val="Strong"/>
        </w:rPr>
        <w:t xml:space="preserve"> which </w:t>
      </w:r>
      <w:r>
        <w:rPr>
          <w:rStyle w:val="Strong"/>
        </w:rPr>
        <w:t xml:space="preserve">should </w:t>
      </w:r>
      <w:r w:rsidRPr="00537044">
        <w:rPr>
          <w:rStyle w:val="Strong"/>
        </w:rPr>
        <w:t>be used by State, Territory and federal courts, lawyers, government and non-government service providers</w:t>
      </w:r>
      <w:r w:rsidR="00D83E0F">
        <w:rPr>
          <w:rStyle w:val="Strong"/>
        </w:rPr>
        <w:t xml:space="preserve"> (Question 31)</w:t>
      </w:r>
      <w:r w:rsidRPr="00537044">
        <w:rPr>
          <w:rStyle w:val="Strong"/>
        </w:rPr>
        <w:t>.</w:t>
      </w:r>
    </w:p>
    <w:p w:rsidR="0028111F" w:rsidRPr="0028111F" w:rsidRDefault="00411F60" w:rsidP="0028111F">
      <w:pPr>
        <w:pStyle w:val="ListParagraph"/>
        <w:numPr>
          <w:ilvl w:val="0"/>
          <w:numId w:val="8"/>
        </w:numPr>
        <w:spacing w:before="120"/>
        <w:rPr>
          <w:rStyle w:val="Strong"/>
        </w:rPr>
      </w:pPr>
      <w:r>
        <w:rPr>
          <w:rStyle w:val="Strong"/>
        </w:rPr>
        <w:t>That</w:t>
      </w:r>
    </w:p>
    <w:p w:rsidR="0028111F" w:rsidRPr="0028111F" w:rsidRDefault="00CD642D" w:rsidP="0028111F">
      <w:pPr>
        <w:pStyle w:val="ListParagraph"/>
        <w:numPr>
          <w:ilvl w:val="1"/>
          <w:numId w:val="8"/>
        </w:numPr>
        <w:spacing w:before="120"/>
        <w:rPr>
          <w:rStyle w:val="Strong"/>
        </w:rPr>
      </w:pPr>
      <w:r>
        <w:rPr>
          <w:rStyle w:val="Strong"/>
        </w:rPr>
        <w:t>S</w:t>
      </w:r>
      <w:r w:rsidR="0028111F" w:rsidRPr="0028111F">
        <w:rPr>
          <w:rStyle w:val="Strong"/>
        </w:rPr>
        <w:t>ervice providers under the federal Family Relationships Services Programme including services such as family relationship centres, family dispute resolution (FDR), family counselling, children's contact services, parenting Orders Programme, the Post Separation Cooperative Parenting Programme and the Supporting Children After Separation Programs, be able to access the national order reference systems in cases of family violence as necessary (Question 33);</w:t>
      </w:r>
    </w:p>
    <w:p w:rsidR="0028111F" w:rsidRPr="0028111F" w:rsidRDefault="0028111F" w:rsidP="0028111F">
      <w:pPr>
        <w:pStyle w:val="ListParagraph"/>
        <w:numPr>
          <w:ilvl w:val="1"/>
          <w:numId w:val="8"/>
        </w:numPr>
        <w:spacing w:before="120"/>
        <w:rPr>
          <w:rStyle w:val="Strong"/>
        </w:rPr>
      </w:pPr>
      <w:r w:rsidRPr="0028111F">
        <w:rPr>
          <w:rStyle w:val="Strong"/>
        </w:rPr>
        <w:t>The national order reference system should include criminal law, child protection, family violence and family law orders and judgments from all State, Territory and federal courts (Question 33).</w:t>
      </w:r>
    </w:p>
    <w:p w:rsidR="00744946" w:rsidRPr="000E7BCA" w:rsidRDefault="00744946" w:rsidP="00744946">
      <w:pPr>
        <w:pStyle w:val="ListParagraph"/>
        <w:numPr>
          <w:ilvl w:val="0"/>
          <w:numId w:val="8"/>
        </w:numPr>
        <w:spacing w:before="120"/>
        <w:rPr>
          <w:rStyle w:val="Strong"/>
        </w:rPr>
      </w:pPr>
      <w:r w:rsidRPr="000E7BCA">
        <w:rPr>
          <w:rStyle w:val="Strong"/>
        </w:rPr>
        <w:t>Th</w:t>
      </w:r>
      <w:r>
        <w:rPr>
          <w:rStyle w:val="Strong"/>
        </w:rPr>
        <w:t>at</w:t>
      </w:r>
      <w:r w:rsidRPr="000E7BCA">
        <w:rPr>
          <w:rStyle w:val="Strong"/>
        </w:rPr>
        <w:t xml:space="preserve"> </w:t>
      </w:r>
    </w:p>
    <w:p w:rsidR="00744946" w:rsidRPr="000E7BCA" w:rsidRDefault="00744946" w:rsidP="00744946">
      <w:pPr>
        <w:pStyle w:val="ListParagraph"/>
        <w:numPr>
          <w:ilvl w:val="1"/>
          <w:numId w:val="8"/>
        </w:numPr>
        <w:spacing w:before="120"/>
        <w:rPr>
          <w:rStyle w:val="Strong"/>
        </w:rPr>
      </w:pPr>
      <w:r w:rsidRPr="000E7BCA">
        <w:rPr>
          <w:rStyle w:val="Strong"/>
        </w:rPr>
        <w:t>All family consultants should undergo high-quality family violence training</w:t>
      </w:r>
      <w:r w:rsidR="001F587C">
        <w:rPr>
          <w:rStyle w:val="Strong"/>
        </w:rPr>
        <w:t>;</w:t>
      </w:r>
    </w:p>
    <w:p w:rsidR="00744946" w:rsidRPr="000E7BCA" w:rsidRDefault="00744946" w:rsidP="00744946">
      <w:pPr>
        <w:pStyle w:val="ListParagraph"/>
        <w:numPr>
          <w:ilvl w:val="1"/>
          <w:numId w:val="8"/>
        </w:numPr>
        <w:spacing w:before="120"/>
        <w:rPr>
          <w:rStyle w:val="Strong"/>
        </w:rPr>
      </w:pPr>
      <w:r w:rsidRPr="000E7BCA">
        <w:rPr>
          <w:rStyle w:val="Strong"/>
        </w:rPr>
        <w:t>All family consultants must use a high-quality family violence risk assessment tool such as the Victorian Common Risk Assessment Framework (CRAF)</w:t>
      </w:r>
      <w:r w:rsidR="001F587C">
        <w:rPr>
          <w:rStyle w:val="Strong"/>
        </w:rPr>
        <w:t>;</w:t>
      </w:r>
    </w:p>
    <w:p w:rsidR="00744946" w:rsidRPr="000E7BCA" w:rsidRDefault="00744946" w:rsidP="00FE34B1">
      <w:pPr>
        <w:pStyle w:val="ListParagraph"/>
        <w:numPr>
          <w:ilvl w:val="1"/>
          <w:numId w:val="8"/>
        </w:numPr>
        <w:spacing w:before="120" w:after="240"/>
        <w:ind w:left="1077" w:hanging="357"/>
        <w:contextualSpacing w:val="0"/>
        <w:rPr>
          <w:rStyle w:val="Strong"/>
        </w:rPr>
      </w:pPr>
      <w:r w:rsidRPr="000E7BCA">
        <w:rPr>
          <w:rStyle w:val="Strong"/>
        </w:rPr>
        <w:t>A non-court complaints process should be introduced for the review of the conduct of family consultants</w:t>
      </w:r>
      <w:r w:rsidR="00FE34B1">
        <w:rPr>
          <w:rStyle w:val="Strong"/>
        </w:rPr>
        <w:t xml:space="preserve"> (Question 41)</w:t>
      </w:r>
      <w:r w:rsidR="001F587C">
        <w:rPr>
          <w:rStyle w:val="Strong"/>
        </w:rPr>
        <w:t>.</w:t>
      </w:r>
    </w:p>
    <w:p w:rsidR="00744946" w:rsidRPr="009709F4" w:rsidRDefault="00744946" w:rsidP="00FE34B1">
      <w:pPr>
        <w:pStyle w:val="ListParagraph"/>
        <w:numPr>
          <w:ilvl w:val="0"/>
          <w:numId w:val="8"/>
        </w:numPr>
        <w:spacing w:before="120"/>
        <w:ind w:left="357" w:hanging="357"/>
        <w:contextualSpacing w:val="0"/>
        <w:rPr>
          <w:rStyle w:val="Strong"/>
        </w:rPr>
      </w:pPr>
      <w:r>
        <w:rPr>
          <w:rStyle w:val="Strong"/>
        </w:rPr>
        <w:t>T</w:t>
      </w:r>
      <w:r w:rsidRPr="009709F4">
        <w:rPr>
          <w:rStyle w:val="Strong"/>
        </w:rPr>
        <w:t xml:space="preserve">hat the Commonwealth Parliament </w:t>
      </w:r>
      <w:r>
        <w:rPr>
          <w:rStyle w:val="Strong"/>
        </w:rPr>
        <w:t xml:space="preserve">urgently </w:t>
      </w:r>
      <w:r w:rsidRPr="009709F4">
        <w:rPr>
          <w:rStyle w:val="Strong"/>
        </w:rPr>
        <w:t xml:space="preserve">amend the </w:t>
      </w:r>
      <w:r w:rsidRPr="00744946">
        <w:rPr>
          <w:rStyle w:val="Strong"/>
          <w:i/>
          <w:iCs/>
        </w:rPr>
        <w:t>Family Law Act 1975</w:t>
      </w:r>
      <w:r w:rsidRPr="009709F4">
        <w:rPr>
          <w:rStyle w:val="Strong"/>
        </w:rPr>
        <w:t xml:space="preserve"> to ensure that perpetrators of family violence do not personally cross-examine victims of family violence in family law proceedings</w:t>
      </w:r>
      <w:r w:rsidR="00FE34B1">
        <w:rPr>
          <w:rStyle w:val="Strong"/>
        </w:rPr>
        <w:t xml:space="preserve"> (Question 25)</w:t>
      </w:r>
      <w:r w:rsidR="001F587C">
        <w:rPr>
          <w:rStyle w:val="Strong"/>
        </w:rPr>
        <w:t>.</w:t>
      </w:r>
    </w:p>
    <w:p w:rsidR="00744946" w:rsidRPr="009709F4" w:rsidRDefault="00744946" w:rsidP="00FE34B1">
      <w:pPr>
        <w:pStyle w:val="ListParagraph"/>
        <w:numPr>
          <w:ilvl w:val="0"/>
          <w:numId w:val="8"/>
        </w:numPr>
        <w:spacing w:before="120"/>
        <w:rPr>
          <w:rStyle w:val="Strong"/>
        </w:rPr>
      </w:pPr>
      <w:r w:rsidRPr="009709F4">
        <w:rPr>
          <w:rStyle w:val="Strong"/>
        </w:rPr>
        <w:t>That the federal Attorney-General provide adequate legal aid funds to allow for the legal representation of victims and perpetrators of family violence for the purpose of cross-examination of victims in family law cases</w:t>
      </w:r>
      <w:r w:rsidR="00FE34B1">
        <w:rPr>
          <w:rStyle w:val="Strong"/>
        </w:rPr>
        <w:t xml:space="preserve"> (Question 25)</w:t>
      </w:r>
      <w:r w:rsidR="001F587C">
        <w:rPr>
          <w:rStyle w:val="Strong"/>
        </w:rPr>
        <w:t>.</w:t>
      </w:r>
    </w:p>
    <w:p w:rsidR="00C94CA2" w:rsidRDefault="00C94CA2" w:rsidP="00C94CA2"/>
    <w:p w:rsidR="00C94CA2" w:rsidRDefault="00C94CA2" w:rsidP="00C94CA2">
      <w:pPr>
        <w:pStyle w:val="Heading1"/>
      </w:pPr>
      <w:r>
        <w:t>Family Violence in the Australian Family Law System</w:t>
      </w:r>
    </w:p>
    <w:p w:rsidR="00671B38" w:rsidRDefault="0040510C" w:rsidP="00EE23C9">
      <w:r>
        <w:t>Family violence</w:t>
      </w:r>
      <w:r w:rsidR="00FB77B2">
        <w:t>, including intimate partner violence</w:t>
      </w:r>
      <w:r w:rsidR="00130296">
        <w:t>,</w:t>
      </w:r>
      <w:r w:rsidR="00FB77B2">
        <w:t xml:space="preserve"> is a common problem with serious health, social and economic consequences for women, their families and communities.</w:t>
      </w:r>
      <w:r w:rsidR="00FB77B2">
        <w:rPr>
          <w:rStyle w:val="FootnoteReference"/>
        </w:rPr>
        <w:footnoteReference w:id="1"/>
      </w:r>
      <w:r w:rsidR="00FB77B2">
        <w:t xml:space="preserve"> </w:t>
      </w:r>
      <w:r w:rsidR="00671B38" w:rsidRPr="00671B38">
        <w:t xml:space="preserve">Family violence is not merely an isolated phenomenon – in 2012, an estimated 17 per cent of Australian women had </w:t>
      </w:r>
      <w:r w:rsidR="00671B38" w:rsidRPr="00671B38">
        <w:lastRenderedPageBreak/>
        <w:t>experienced violence committed by their partner against them</w:t>
      </w:r>
      <w:r w:rsidR="00B701DC">
        <w:t>.</w:t>
      </w:r>
      <w:r w:rsidR="00EE23C9">
        <w:rPr>
          <w:rStyle w:val="FootnoteReference"/>
        </w:rPr>
        <w:footnoteReference w:id="2"/>
      </w:r>
      <w:r w:rsidR="00671B38" w:rsidRPr="00671B38">
        <w:t xml:space="preserve"> The incidence of family violence is certainly higher within the family law system with a major Australian Institute of Family Studies</w:t>
      </w:r>
      <w:r w:rsidR="00B701DC">
        <w:t xml:space="preserve"> (AIFS)</w:t>
      </w:r>
      <w:r w:rsidR="00671B38" w:rsidRPr="00671B38">
        <w:t xml:space="preserve"> evaluation finding that two thirds of separated mothers and half of separated fathers reported family violence by their partner</w:t>
      </w:r>
      <w:r w:rsidR="00EE23C9">
        <w:t>.</w:t>
      </w:r>
      <w:r w:rsidR="00EE23C9">
        <w:rPr>
          <w:rStyle w:val="FootnoteReference"/>
        </w:rPr>
        <w:footnoteReference w:id="3"/>
      </w:r>
      <w:r w:rsidR="00671B38" w:rsidRPr="00671B38">
        <w:t xml:space="preserve"> In that study, 72% of mothers and 63% of fathers reported that their children had witnessed the violence. Because of known difficulties reporting and sustaining allegations of family violence in court, the incidence of allegations of family violence made before the family courts are lower, with allegations of family violence and/or child abuse present in around 50% of Family Court of Australia cases, 70% of Federal Circuit Court cases and 65% of Family Court of Western Australia cases since 2006</w:t>
      </w:r>
      <w:r w:rsidR="00EE23C9">
        <w:t>.</w:t>
      </w:r>
      <w:r w:rsidR="00EE23C9">
        <w:rPr>
          <w:rStyle w:val="FootnoteReference"/>
        </w:rPr>
        <w:footnoteReference w:id="4"/>
      </w:r>
      <w:r w:rsidR="00671B38" w:rsidRPr="00671B38">
        <w:t xml:space="preserve"> </w:t>
      </w:r>
    </w:p>
    <w:p w:rsidR="004B5000" w:rsidRDefault="004B5000" w:rsidP="00005F7D">
      <w:r>
        <w:t>The Productivity Commission has noted that obtaining access to justice in</w:t>
      </w:r>
      <w:r w:rsidR="00C94CA2">
        <w:t xml:space="preserve"> the</w:t>
      </w:r>
      <w:r>
        <w:t xml:space="preserve"> family law </w:t>
      </w:r>
      <w:r w:rsidR="00C94CA2">
        <w:t>system</w:t>
      </w:r>
      <w:r>
        <w:t xml:space="preserve"> is most difficult for complex cases involving family violence.</w:t>
      </w:r>
      <w:r>
        <w:rPr>
          <w:rStyle w:val="FootnoteReference"/>
        </w:rPr>
        <w:footnoteReference w:id="5"/>
      </w:r>
      <w:r>
        <w:t xml:space="preserve"> The </w:t>
      </w:r>
      <w:r w:rsidR="00005F7D">
        <w:t xml:space="preserve">constitutionally entrenched </w:t>
      </w:r>
      <w:r>
        <w:t xml:space="preserve">fragmentation of the </w:t>
      </w:r>
      <w:r w:rsidR="00C94CA2">
        <w:t xml:space="preserve">Australian </w:t>
      </w:r>
      <w:r>
        <w:t xml:space="preserve">legal system for families </w:t>
      </w:r>
      <w:r w:rsidR="0004589E">
        <w:t xml:space="preserve">is </w:t>
      </w:r>
      <w:r>
        <w:t>a key source of difficulty in family law disputes which involve allegation</w:t>
      </w:r>
      <w:r w:rsidR="0004589E">
        <w:t>s</w:t>
      </w:r>
      <w:r>
        <w:t xml:space="preserve"> of family violence</w:t>
      </w:r>
      <w:r w:rsidR="00130296">
        <w:t xml:space="preserve">. </w:t>
      </w:r>
      <w:r w:rsidR="001552EB">
        <w:t>Such d</w:t>
      </w:r>
      <w:r w:rsidR="00130296">
        <w:t xml:space="preserve">isputes can’t </w:t>
      </w:r>
      <w:r w:rsidR="001552EB">
        <w:t xml:space="preserve">usually </w:t>
      </w:r>
      <w:r w:rsidR="00130296">
        <w:t>be neatly divided into public and private aspects.</w:t>
      </w:r>
      <w:r w:rsidR="00130296">
        <w:rPr>
          <w:rStyle w:val="FootnoteReference"/>
        </w:rPr>
        <w:footnoteReference w:id="6"/>
      </w:r>
      <w:r w:rsidR="00130296">
        <w:t xml:space="preserve"> P</w:t>
      </w:r>
      <w:r>
        <w:t>arties</w:t>
      </w:r>
      <w:r w:rsidR="00130296">
        <w:t xml:space="preserve"> who have experienced family violence</w:t>
      </w:r>
      <w:r>
        <w:t xml:space="preserve"> must use multiple federal and state systems to obtain legal orders necessary for safety and dispute resolution</w:t>
      </w:r>
      <w:r w:rsidR="00DE2FEF">
        <w:t xml:space="preserve"> (including the state family violence</w:t>
      </w:r>
      <w:r w:rsidR="00C94CA2">
        <w:t>, criminal</w:t>
      </w:r>
      <w:r w:rsidR="00DE2FEF">
        <w:t xml:space="preserve"> and child protection systems and the federal family law system)</w:t>
      </w:r>
      <w:r>
        <w:t>.</w:t>
      </w:r>
      <w:r>
        <w:rPr>
          <w:rStyle w:val="FootnoteReference"/>
        </w:rPr>
        <w:footnoteReference w:id="7"/>
      </w:r>
      <w:r>
        <w:t xml:space="preserve"> The Productivity Commission noted in 2014 that </w:t>
      </w:r>
    </w:p>
    <w:p w:rsidR="004B5000" w:rsidRDefault="004B5000" w:rsidP="004B5000">
      <w:pPr>
        <w:pStyle w:val="Quote"/>
      </w:pPr>
      <w:r>
        <w:t>The interaction and overlap between jurisdictions can result in multiple proceedings and inconsistent orders, which can cause unsafe and traumatic situations for parents and children. The current court structure means that parties often will have to institute or be engaged in proceedings in various legal forums in order to have all of their issues determined.</w:t>
      </w:r>
      <w:r>
        <w:rPr>
          <w:rStyle w:val="FootnoteReference"/>
        </w:rPr>
        <w:footnoteReference w:id="8"/>
      </w:r>
    </w:p>
    <w:p w:rsidR="00B701DC" w:rsidRDefault="00005F7D" w:rsidP="005F15D7">
      <w:r>
        <w:t>Parties in cases where there are allegations of family violence are more likely to use courts and legal services for family law matters.</w:t>
      </w:r>
      <w:r>
        <w:rPr>
          <w:rStyle w:val="FootnoteReference"/>
        </w:rPr>
        <w:footnoteReference w:id="9"/>
      </w:r>
      <w:r>
        <w:t xml:space="preserve"> </w:t>
      </w:r>
      <w:r w:rsidR="00B701DC">
        <w:t xml:space="preserve">Separated parents who have experienced family violence may be more likely to choose to attend Family Dispute </w:t>
      </w:r>
      <w:r w:rsidR="007E618B">
        <w:t>R</w:t>
      </w:r>
      <w:r w:rsidR="00B701DC">
        <w:t>es</w:t>
      </w:r>
      <w:r w:rsidR="007E618B">
        <w:t>o</w:t>
      </w:r>
      <w:r w:rsidR="00B701DC">
        <w:t>lution</w:t>
      </w:r>
      <w:r w:rsidR="00C94CA2">
        <w:t xml:space="preserve"> (FDR)</w:t>
      </w:r>
      <w:r w:rsidR="00B701DC">
        <w:t xml:space="preserve"> services (including Family Relationship Centres) than other less formal services. </w:t>
      </w:r>
      <w:r w:rsidR="00B701DC" w:rsidRPr="005953EA">
        <w:t xml:space="preserve">The AIFS </w:t>
      </w:r>
      <w:r w:rsidR="00B701DC" w:rsidRPr="00AA0E3E">
        <w:rPr>
          <w:i/>
        </w:rPr>
        <w:t>Evaluation of the 2012 Family Violence Reforms</w:t>
      </w:r>
      <w:r w:rsidR="00B701DC" w:rsidRPr="005953EA">
        <w:t xml:space="preserve"> found </w:t>
      </w:r>
      <w:r w:rsidR="00B701DC">
        <w:t xml:space="preserve">that the use of FDR </w:t>
      </w:r>
      <w:r w:rsidR="00B701DC" w:rsidRPr="00A471F7">
        <w:t xml:space="preserve">was </w:t>
      </w:r>
      <w:r w:rsidR="00B701DC">
        <w:t>“</w:t>
      </w:r>
      <w:r w:rsidR="00B701DC" w:rsidRPr="00A471F7">
        <w:t>strongly associated</w:t>
      </w:r>
      <w:r w:rsidR="00B701DC">
        <w:t>”</w:t>
      </w:r>
      <w:r w:rsidR="00B701DC" w:rsidRPr="00A471F7">
        <w:t xml:space="preserve"> with the experience of family violence, and that parents, especially mothers, who also reported experiencing the conditions of fear, coercion and control as a result, were more likely to be using </w:t>
      </w:r>
      <w:r w:rsidR="00B701DC">
        <w:t xml:space="preserve">FDR </w:t>
      </w:r>
      <w:r w:rsidR="00B701DC" w:rsidRPr="00A471F7">
        <w:t>services</w:t>
      </w:r>
      <w:r w:rsidR="00B701DC">
        <w:t xml:space="preserve"> </w:t>
      </w:r>
      <w:r w:rsidR="00B701DC" w:rsidRPr="00A471F7">
        <w:t>as their main pathway to sort out parenting arrangements</w:t>
      </w:r>
      <w:r w:rsidR="005F15D7">
        <w:t>.</w:t>
      </w:r>
      <w:r w:rsidR="005F15D7">
        <w:rPr>
          <w:rStyle w:val="FootnoteReference"/>
        </w:rPr>
        <w:footnoteReference w:id="10"/>
      </w:r>
      <w:r w:rsidR="00B701DC" w:rsidRPr="00A471F7">
        <w:t xml:space="preserve"> </w:t>
      </w:r>
      <w:r w:rsidR="00B701DC">
        <w:t>Sig</w:t>
      </w:r>
      <w:r w:rsidR="00B701DC" w:rsidRPr="00161985">
        <w:t>nificantly higher proportions of mothers (</w:t>
      </w:r>
      <w:r w:rsidR="00B701DC">
        <w:t xml:space="preserve">71% using </w:t>
      </w:r>
      <w:r w:rsidR="00B701DC" w:rsidRPr="00161985">
        <w:t xml:space="preserve">FDR) than </w:t>
      </w:r>
      <w:r w:rsidR="00B701DC" w:rsidRPr="00161985">
        <w:lastRenderedPageBreak/>
        <w:t xml:space="preserve">fathers (48% </w:t>
      </w:r>
      <w:r w:rsidR="00B701DC">
        <w:t>using</w:t>
      </w:r>
      <w:r w:rsidR="00B701DC" w:rsidRPr="00161985">
        <w:t xml:space="preserve"> FDR) reported having experienced fear, coercion and control</w:t>
      </w:r>
      <w:r w:rsidR="00B701DC">
        <w:t xml:space="preserve"> before/during separation.</w:t>
      </w:r>
      <w:r w:rsidR="005F15D7">
        <w:rPr>
          <w:rStyle w:val="FootnoteReference"/>
        </w:rPr>
        <w:footnoteReference w:id="11"/>
      </w:r>
      <w:r w:rsidR="00B701DC">
        <w:t xml:space="preserve"> </w:t>
      </w:r>
    </w:p>
    <w:p w:rsidR="00B701DC" w:rsidRDefault="00B701DC" w:rsidP="005F15D7">
      <w:r>
        <w:t xml:space="preserve">The AIFS </w:t>
      </w:r>
      <w:r w:rsidR="00AA0E3E" w:rsidRPr="00AA0E3E">
        <w:rPr>
          <w:i/>
        </w:rPr>
        <w:t>Evaluation of the 2012 Family Violence Reforms</w:t>
      </w:r>
      <w:r w:rsidR="00AA0E3E" w:rsidRPr="005953EA">
        <w:t xml:space="preserve"> </w:t>
      </w:r>
      <w:r>
        <w:t>found that parents who reported safety concerns did not necessarily feel that their concerns were managed effectively during FDR</w:t>
      </w:r>
      <w:r w:rsidR="005F15D7">
        <w:t>.</w:t>
      </w:r>
      <w:r w:rsidR="005F15D7">
        <w:rPr>
          <w:rStyle w:val="FootnoteReference"/>
        </w:rPr>
        <w:footnoteReference w:id="12"/>
      </w:r>
      <w:r>
        <w:t xml:space="preserve"> Similarly, in </w:t>
      </w:r>
      <w:r w:rsidR="00AA0E3E">
        <w:t xml:space="preserve">Carson, Fehlberg and Millward’s </w:t>
      </w:r>
      <w:r>
        <w:t>3-year longitudinal study of separated parents, the parents who were most likely to be dissatisfied with the process and outcomes of FDR as well as with the quality of the services they had received, were those parents who reported an uncooperative, controlling and/or violent partner/ex-partner, a hostile post-separation relationship or an absence of the ability to negotiate and compromise.</w:t>
      </w:r>
      <w:r w:rsidR="005F15D7">
        <w:rPr>
          <w:rStyle w:val="FootnoteReference"/>
        </w:rPr>
        <w:footnoteReference w:id="13"/>
      </w:r>
      <w:r>
        <w:t xml:space="preserve"> </w:t>
      </w:r>
    </w:p>
    <w:p w:rsidR="00F86387" w:rsidRDefault="00F86387" w:rsidP="00D4779A">
      <w:pPr>
        <w:pStyle w:val="ListParagraph"/>
        <w:ind w:left="1125"/>
      </w:pPr>
    </w:p>
    <w:p w:rsidR="00130296" w:rsidRDefault="00130296" w:rsidP="001513F5">
      <w:pPr>
        <w:pStyle w:val="Heading1"/>
      </w:pPr>
      <w:r>
        <w:t>Support</w:t>
      </w:r>
      <w:r w:rsidR="00C40BDB">
        <w:t>ing Access to Justice for Families with Complex Disputes</w:t>
      </w:r>
    </w:p>
    <w:p w:rsidR="00AE033B" w:rsidRDefault="00AE033B" w:rsidP="009541F4">
      <w:r>
        <w:t>This issue relates to</w:t>
      </w:r>
      <w:r w:rsidR="009541F4">
        <w:t xml:space="preserve"> question 32 in the Commission’s Issues Paper on changes to reduce the need for families to engage with more than one court to address safety concerns</w:t>
      </w:r>
      <w:r w:rsidR="00602682">
        <w:t xml:space="preserve"> and question 31, regarding an integrated services approach to assist families with complex needs</w:t>
      </w:r>
      <w:r w:rsidR="009541F4">
        <w:t xml:space="preserve">. </w:t>
      </w:r>
      <w:r>
        <w:t xml:space="preserve"> </w:t>
      </w:r>
    </w:p>
    <w:p w:rsidR="00B5360A" w:rsidRDefault="00B5360A" w:rsidP="00130296">
      <w:r>
        <w:t xml:space="preserve">The fragmentation of jurisdiction over family life in </w:t>
      </w:r>
      <w:r w:rsidR="00627DC6">
        <w:t xml:space="preserve">the </w:t>
      </w:r>
      <w:r>
        <w:t>Australia</w:t>
      </w:r>
      <w:r w:rsidR="00627DC6">
        <w:t>n federation</w:t>
      </w:r>
      <w:r>
        <w:t xml:space="preserve"> is most acute in cases of family violence which involve relationship breakdown. Over the years, a range of solutions have been proposed to overcome the constitutional limitations </w:t>
      </w:r>
      <w:r w:rsidR="005409F8">
        <w:t>in a federal system</w:t>
      </w:r>
      <w:r>
        <w:t xml:space="preserve"> including;</w:t>
      </w:r>
    </w:p>
    <w:p w:rsidR="00B5360A" w:rsidRDefault="00B5360A" w:rsidP="00B5360A">
      <w:pPr>
        <w:pStyle w:val="ListParagraph"/>
        <w:numPr>
          <w:ilvl w:val="0"/>
          <w:numId w:val="5"/>
        </w:numPr>
      </w:pPr>
      <w:r>
        <w:t>State referral of powers to the federal family courts (eg over children whose parents are not married or property of unmarried partners)</w:t>
      </w:r>
    </w:p>
    <w:p w:rsidR="00B5360A" w:rsidRDefault="00B5360A" w:rsidP="00B5360A">
      <w:pPr>
        <w:pStyle w:val="ListParagraph"/>
        <w:numPr>
          <w:ilvl w:val="0"/>
          <w:numId w:val="5"/>
        </w:numPr>
      </w:pPr>
      <w:r>
        <w:t>Establishing a single family law court</w:t>
      </w:r>
      <w:r w:rsidR="005409F8">
        <w:t xml:space="preserve"> (‘unified family court’)</w:t>
      </w:r>
      <w:r>
        <w:t xml:space="preserve"> to deal with all matters relating to family </w:t>
      </w:r>
      <w:r w:rsidR="005409F8">
        <w:t xml:space="preserve">law and </w:t>
      </w:r>
      <w:r>
        <w:t>violence</w:t>
      </w:r>
    </w:p>
    <w:p w:rsidR="005409F8" w:rsidRDefault="005409F8" w:rsidP="00B5360A">
      <w:pPr>
        <w:pStyle w:val="ListParagraph"/>
        <w:numPr>
          <w:ilvl w:val="0"/>
          <w:numId w:val="5"/>
        </w:numPr>
      </w:pPr>
      <w:r>
        <w:t>Joint appointment of judges by the federal and state parliaments</w:t>
      </w:r>
    </w:p>
    <w:p w:rsidR="00B5360A" w:rsidRDefault="00B5360A" w:rsidP="00B5360A">
      <w:pPr>
        <w:pStyle w:val="ListParagraph"/>
        <w:numPr>
          <w:ilvl w:val="0"/>
          <w:numId w:val="5"/>
        </w:numPr>
      </w:pPr>
      <w:r>
        <w:t xml:space="preserve">Expanding the jurisdiction of the </w:t>
      </w:r>
      <w:r w:rsidR="005409F8">
        <w:t xml:space="preserve">federal </w:t>
      </w:r>
      <w:r>
        <w:t>family courts so that they have the power to make child protection orders</w:t>
      </w:r>
      <w:r w:rsidR="00627DC6">
        <w:t xml:space="preserve"> and more effective family violence orders</w:t>
      </w:r>
    </w:p>
    <w:p w:rsidR="00B5360A" w:rsidRDefault="00B5360A" w:rsidP="00B5360A">
      <w:pPr>
        <w:pStyle w:val="ListParagraph"/>
        <w:numPr>
          <w:ilvl w:val="0"/>
          <w:numId w:val="5"/>
        </w:numPr>
      </w:pPr>
      <w:r>
        <w:t>Giving state and federal courts corresponding jurisdictions so that they can decide cases under both systems</w:t>
      </w:r>
      <w:r w:rsidR="005409F8">
        <w:t>.</w:t>
      </w:r>
      <w:r w:rsidR="005409F8">
        <w:rPr>
          <w:rStyle w:val="FootnoteReference"/>
        </w:rPr>
        <w:footnoteReference w:id="14"/>
      </w:r>
    </w:p>
    <w:p w:rsidR="00EC6A38" w:rsidRDefault="00EC6A38" w:rsidP="009F4985">
      <w:r>
        <w:t>My view is that solutions which support</w:t>
      </w:r>
      <w:r w:rsidR="009F4985">
        <w:t xml:space="preserve"> the</w:t>
      </w:r>
      <w:r>
        <w:t xml:space="preserve"> flexible application of </w:t>
      </w:r>
      <w:r w:rsidRPr="00EC6A38">
        <w:t>both</w:t>
      </w:r>
      <w:r>
        <w:t xml:space="preserve"> Commonwealth and State/Territory jurisdiction in a single court</w:t>
      </w:r>
      <w:r w:rsidR="0000169A">
        <w:t xml:space="preserve"> (whether federal or state)</w:t>
      </w:r>
      <w:r>
        <w:t xml:space="preserve"> should be encouraged. The diverse and complex nature of family matters means that family members should be </w:t>
      </w:r>
      <w:r w:rsidR="009F4985">
        <w:t xml:space="preserve">encouraged </w:t>
      </w:r>
      <w:r>
        <w:t>to resolve the breadth of their matters in whichever forum they arrive at, whether that be the two federal family courts (Family Court of Australia and the Federal Circuit Court)</w:t>
      </w:r>
      <w:r w:rsidR="009F4985">
        <w:t xml:space="preserve">, </w:t>
      </w:r>
      <w:r>
        <w:t>a State</w:t>
      </w:r>
      <w:r w:rsidR="009F4985">
        <w:t>/</w:t>
      </w:r>
      <w:r>
        <w:t xml:space="preserve"> Territory Magistrates’ Court</w:t>
      </w:r>
      <w:r w:rsidR="00C40BDB">
        <w:t xml:space="preserve"> or </w:t>
      </w:r>
      <w:r w:rsidR="009F4985">
        <w:t xml:space="preserve">a </w:t>
      </w:r>
      <w:r w:rsidR="00C40BDB">
        <w:t>Children’s Court</w:t>
      </w:r>
      <w:r>
        <w:t>. Such an approach means improving the powers and capacity of the federal family courts to deal with matters under State/Territory law and of State/Territory judges in l</w:t>
      </w:r>
      <w:r w:rsidR="00C40BDB">
        <w:t xml:space="preserve">ower courts to deal with </w:t>
      </w:r>
      <w:r>
        <w:t xml:space="preserve">federal family law disputes. </w:t>
      </w:r>
    </w:p>
    <w:p w:rsidR="00C40BDB" w:rsidRPr="00C40BDB" w:rsidRDefault="00C40BDB" w:rsidP="00C40BDB">
      <w:pPr>
        <w:pStyle w:val="Heading3"/>
      </w:pPr>
      <w:r w:rsidRPr="00C40BDB">
        <w:lastRenderedPageBreak/>
        <w:t>Increasing the Powers of Federal Judges through Accrued Jurisdiction</w:t>
      </w:r>
      <w:r w:rsidR="00602682">
        <w:t xml:space="preserve"> (Question 32)</w:t>
      </w:r>
    </w:p>
    <w:p w:rsidR="008B2CBE" w:rsidRDefault="004955E0" w:rsidP="00E76957">
      <w:r>
        <w:t xml:space="preserve">There is potential </w:t>
      </w:r>
      <w:r w:rsidR="00B47056">
        <w:t xml:space="preserve">for the Family Court of Australia and the Federal Circuit Court themselves </w:t>
      </w:r>
      <w:r>
        <w:t>to increase the power</w:t>
      </w:r>
      <w:r w:rsidR="00B47056">
        <w:t>s</w:t>
      </w:r>
      <w:r>
        <w:t xml:space="preserve"> of </w:t>
      </w:r>
      <w:r w:rsidR="00B47056">
        <w:t xml:space="preserve">the judges in those courts </w:t>
      </w:r>
      <w:r>
        <w:t xml:space="preserve">to exercise powers under state law though the doctrine of accrued jurisdiction. </w:t>
      </w:r>
      <w:r w:rsidR="00E76957">
        <w:t>Accrued Jurisdiction allows a federal court to hear and determine disputes that arise under non-federal law. The Family Court of Australia has narrowly interpreted its</w:t>
      </w:r>
      <w:r w:rsidR="008B2CBE">
        <w:t xml:space="preserve"> own</w:t>
      </w:r>
      <w:r w:rsidR="00E76957">
        <w:t xml:space="preserve"> powers to exercise state jurisdiction under this doctrine.</w:t>
      </w:r>
      <w:r w:rsidR="00E76957">
        <w:rPr>
          <w:rStyle w:val="FootnoteReference"/>
        </w:rPr>
        <w:footnoteReference w:id="15"/>
      </w:r>
      <w:r w:rsidR="00E76957">
        <w:t xml:space="preserve"> </w:t>
      </w:r>
      <w:r w:rsidR="008B2CBE">
        <w:t xml:space="preserve">With the Honourable Nahum Mushin, </w:t>
      </w:r>
      <w:r>
        <w:t>I am currently supervising a higher degree</w:t>
      </w:r>
      <w:r w:rsidR="00E76957">
        <w:t xml:space="preserve"> by research student, Mr Daniel Matta</w:t>
      </w:r>
      <w:r w:rsidR="008B2CBE">
        <w:t>. Mr Matta’s</w:t>
      </w:r>
      <w:r w:rsidR="00E76957">
        <w:t xml:space="preserve"> Monash University SJD thesis, </w:t>
      </w:r>
      <w:r w:rsidR="00E76957" w:rsidRPr="00E76957">
        <w:rPr>
          <w:i/>
        </w:rPr>
        <w:t>The Intersection of Private Family Law and Non-Federal Claims: An Examination the Family Court of Australia’s Accrued Jurisdiction</w:t>
      </w:r>
      <w:r w:rsidR="00E76957">
        <w:t xml:space="preserve"> will be submitted later in 2018. With his permission, I have quoted the abstract of Mr Matta’s thesis below. </w:t>
      </w:r>
    </w:p>
    <w:p w:rsidR="00B47056" w:rsidRDefault="00B47056" w:rsidP="00B47056">
      <w:pPr>
        <w:ind w:left="720"/>
      </w:pPr>
      <w:r>
        <w:t xml:space="preserve">This thesis undertakes an examination of accrued jurisdiction as it has been applied in the Family Court of Australia (‘Family Court’). Accrued Jurisdiction allows, in appropriate cases, a federal court to hear and determine disputes that arise under non-federal law, for example, state law or the common law. The Family Court is often although not always, required to consider matters that impact its decisions which are not specifically addressed in the </w:t>
      </w:r>
      <w:r w:rsidRPr="008563A4">
        <w:rPr>
          <w:i/>
        </w:rPr>
        <w:t>Family Law Act 1975</w:t>
      </w:r>
      <w:r>
        <w:t xml:space="preserve"> (Cth) (‘FLA’). Through an examination of the history, interpretation and application of accrued jurisdiction, this thesis will explore how the Family Court, as a specialist court, has grappled with cases that go beyond the traditional limits of family law disputes governed by the FLA.</w:t>
      </w:r>
    </w:p>
    <w:p w:rsidR="00B47056" w:rsidRDefault="00B47056" w:rsidP="00B47056">
      <w:pPr>
        <w:ind w:left="720"/>
      </w:pPr>
      <w:r>
        <w:t>The cases considered in this thesis illustrate that the Family Court has taken a narrow approach to interpreting the jurisprudence surrounding its accrued jurisdiction in a majority of cases. An example where this arises is the intersection of private, or federal, family law which is governed by the FLA and public family law such as child protection and welfare that is legislated by the various states and territories.</w:t>
      </w:r>
    </w:p>
    <w:p w:rsidR="00B47056" w:rsidRDefault="00B47056" w:rsidP="00B47056">
      <w:pPr>
        <w:ind w:left="720"/>
      </w:pPr>
      <w:r>
        <w:t xml:space="preserve">A further, although more limited, area of fragmentation in public and private family law arises within the </w:t>
      </w:r>
      <w:r w:rsidRPr="008563A4">
        <w:rPr>
          <w:i/>
        </w:rPr>
        <w:t>parens patriae</w:t>
      </w:r>
      <w:r>
        <w:t xml:space="preserve"> jurisdiction. The </w:t>
      </w:r>
      <w:r w:rsidRPr="008563A4">
        <w:rPr>
          <w:i/>
        </w:rPr>
        <w:t>parens patriae</w:t>
      </w:r>
      <w:r>
        <w:t xml:space="preserve"> jurisdiction provides state Supreme Courts with very broad powers to make orders for the welfare of children. This thesis will further examine this far-reaching, yet rarely exercised, jurisdiction including its historical roots and how it can be applied by the Family Court to make orders for the care and protection of children.</w:t>
      </w:r>
    </w:p>
    <w:p w:rsidR="00B47056" w:rsidRDefault="00B47056" w:rsidP="00B47056">
      <w:pPr>
        <w:ind w:left="720"/>
      </w:pPr>
      <w:r>
        <w:t>This thesis argues, based upon the jurisprudence of the High Court, that accrued jurisdiction, in its application by the Family Court is no different to that of the Federal Court. This thesis further argues that where accrued jurisdiction properly arises in a matter, there is no discretion to exercise it. This thesis concludes that, in appropriate cases, the Family Court must apply its accrued jurisdiction to hear an entire matter with both federal and non-federal claims.</w:t>
      </w:r>
    </w:p>
    <w:p w:rsidR="008B2CBE" w:rsidRDefault="00B47056" w:rsidP="00B47056">
      <w:pPr>
        <w:ind w:left="720"/>
      </w:pPr>
      <w:r>
        <w:t>The potential application of the findings in this thesis are far reaching and may apply to any proceeding arising out of Part VII and Part VIII of the FLA including claims for damages, negligence, surrogacy and child protection or welfare orders</w:t>
      </w:r>
      <w:r w:rsidR="008B2CBE">
        <w:t>.</w:t>
      </w:r>
      <w:r w:rsidR="008B2CBE">
        <w:rPr>
          <w:rStyle w:val="FootnoteReference"/>
        </w:rPr>
        <w:footnoteReference w:id="16"/>
      </w:r>
    </w:p>
    <w:p w:rsidR="004955E0" w:rsidRDefault="00E76957" w:rsidP="009F4985">
      <w:r>
        <w:lastRenderedPageBreak/>
        <w:t>I believe that the implication of Mr Matta’s work is that there is potential for both federal family courts in areas such as child protection to determine the entire</w:t>
      </w:r>
      <w:r w:rsidR="009F4985">
        <w:t>t</w:t>
      </w:r>
      <w:r>
        <w:t xml:space="preserve">y of a matter under both federal and state law. The power to do so rests </w:t>
      </w:r>
      <w:r w:rsidR="009F4985">
        <w:t xml:space="preserve">solely </w:t>
      </w:r>
      <w:r>
        <w:t>in the hands of the judges of</w:t>
      </w:r>
      <w:r w:rsidR="00D512C8" w:rsidRPr="00D512C8">
        <w:t xml:space="preserve"> Family Court of Australia and the Federal Circuit Court</w:t>
      </w:r>
      <w:r w:rsidR="009F4985">
        <w:t>, and in those judges</w:t>
      </w:r>
      <w:r w:rsidRPr="00D512C8">
        <w:t xml:space="preserve"> </w:t>
      </w:r>
      <w:r w:rsidR="00B47056">
        <w:t xml:space="preserve">being bolder </w:t>
      </w:r>
      <w:r w:rsidR="008B2CBE">
        <w:t>in how they interpret their own powers</w:t>
      </w:r>
      <w:r w:rsidR="00D512C8">
        <w:t xml:space="preserve">. Using accrued jurisdiction </w:t>
      </w:r>
      <w:r w:rsidR="00680C2D">
        <w:t xml:space="preserve">to </w:t>
      </w:r>
      <w:r w:rsidR="00370752">
        <w:t xml:space="preserve">deal with the </w:t>
      </w:r>
      <w:r w:rsidR="009F4985">
        <w:t xml:space="preserve">whole </w:t>
      </w:r>
      <w:r w:rsidR="00370752">
        <w:t xml:space="preserve">of a dispute under state and federal law </w:t>
      </w:r>
      <w:r w:rsidR="00D512C8">
        <w:t>would be more congruent with existing High Court authority</w:t>
      </w:r>
      <w:r w:rsidR="00D512C8">
        <w:rPr>
          <w:rStyle w:val="FootnoteReference"/>
        </w:rPr>
        <w:footnoteReference w:id="17"/>
      </w:r>
      <w:r w:rsidR="00680C2D">
        <w:t xml:space="preserve"> and with the approach of the other Chapter III court, the Federal Court of Australia. </w:t>
      </w:r>
      <w:r w:rsidR="00D512C8">
        <w:t xml:space="preserve">In my view based upon the work of Mr Matta, it would be not only possible but desirable for judges of the federal family courts to use the doctrine of accrued jurisdiction to determine the entirety of matters before them, </w:t>
      </w:r>
      <w:r w:rsidR="009F4985">
        <w:t xml:space="preserve">under </w:t>
      </w:r>
      <w:r w:rsidR="00D512C8">
        <w:t>both federal and state</w:t>
      </w:r>
      <w:r w:rsidR="009F4985">
        <w:t xml:space="preserve"> law</w:t>
      </w:r>
      <w:r w:rsidR="00680C2D">
        <w:t xml:space="preserve">. Such an approach would </w:t>
      </w:r>
      <w:r w:rsidR="00D512C8">
        <w:t xml:space="preserve">reduce the need for family law litigants to also attend state courts for connected disputes. </w:t>
      </w:r>
    </w:p>
    <w:p w:rsidR="00C40BDB" w:rsidRDefault="00C40BDB" w:rsidP="00C40BDB">
      <w:pPr>
        <w:pStyle w:val="Heading3"/>
      </w:pPr>
      <w:r>
        <w:t>Supporting State and Territory Magistrates to Determine Family Law Disputes</w:t>
      </w:r>
      <w:r w:rsidR="00602682">
        <w:t xml:space="preserve"> (Question 32)</w:t>
      </w:r>
    </w:p>
    <w:p w:rsidR="005409F8" w:rsidRDefault="005409F8" w:rsidP="009F4985">
      <w:r>
        <w:t xml:space="preserve">The Australian and NSW Law Reform Commissions </w:t>
      </w:r>
      <w:r w:rsidR="00327112">
        <w:t xml:space="preserve">concluded </w:t>
      </w:r>
      <w:r>
        <w:t>in 2010 that the best option for dealing with jurisdictional fragmentation was to work within existing constitutional limits without creating new courts.</w:t>
      </w:r>
      <w:r>
        <w:rPr>
          <w:rStyle w:val="FootnoteReference"/>
        </w:rPr>
        <w:footnoteReference w:id="18"/>
      </w:r>
      <w:r>
        <w:t xml:space="preserve"> The approach of the Victorian Royal Commission into Family Violence was to</w:t>
      </w:r>
      <w:r w:rsidR="00FD45E8">
        <w:t xml:space="preserve"> work within</w:t>
      </w:r>
      <w:r w:rsidR="009F4985">
        <w:t xml:space="preserve"> constitutional </w:t>
      </w:r>
      <w:r w:rsidR="00FD45E8">
        <w:t>limits by encouraging and supporting local judges in the Victorian Magistrates’ and Children’s Courts to exercise latent family law powers so that family violence, child protection and family law matters could be dealt with by a single judge.</w:t>
      </w:r>
      <w:r w:rsidR="00FD45E8">
        <w:rPr>
          <w:rStyle w:val="FootnoteReference"/>
        </w:rPr>
        <w:footnoteReference w:id="19"/>
      </w:r>
      <w:r w:rsidR="00FD45E8">
        <w:t xml:space="preserve"> The Royal Commission argued that the exercise of family law powers by Magistrates would </w:t>
      </w:r>
      <w:r w:rsidR="00422B06">
        <w:t>enable families who have experienced family violence to resolve their legal issues</w:t>
      </w:r>
      <w:r w:rsidR="00627DC6">
        <w:t xml:space="preserve"> in the state system</w:t>
      </w:r>
      <w:r w:rsidR="00C8382B">
        <w:t xml:space="preserve"> more safely</w:t>
      </w:r>
      <w:r w:rsidR="00422B06">
        <w:t xml:space="preserve"> without having to navigate multiple court systems.</w:t>
      </w:r>
      <w:r w:rsidR="00422B06">
        <w:rPr>
          <w:rStyle w:val="FootnoteReference"/>
        </w:rPr>
        <w:footnoteReference w:id="20"/>
      </w:r>
      <w:r w:rsidR="00422B06">
        <w:t xml:space="preserve"> </w:t>
      </w:r>
      <w:r w:rsidR="00FD45E8">
        <w:t xml:space="preserve">Five specialist family violence courts are currently being created in Victoria which will exercise </w:t>
      </w:r>
      <w:r w:rsidR="00327112">
        <w:t xml:space="preserve">wide </w:t>
      </w:r>
      <w:r w:rsidR="00FD45E8">
        <w:t xml:space="preserve">family law </w:t>
      </w:r>
      <w:r w:rsidR="00327112">
        <w:t xml:space="preserve">and family violence </w:t>
      </w:r>
      <w:r w:rsidR="00FD45E8">
        <w:t>powers.</w:t>
      </w:r>
      <w:r w:rsidR="00327112">
        <w:t xml:space="preserve"> Children’s Courts will also be able to exercise family law powers when making child protection decisions.</w:t>
      </w:r>
    </w:p>
    <w:p w:rsidR="005409F8" w:rsidRDefault="005409F8" w:rsidP="005409F8">
      <w:r>
        <w:t xml:space="preserve">State and Territory Magistrates have limited powers under the </w:t>
      </w:r>
      <w:r w:rsidRPr="00DF4265">
        <w:rPr>
          <w:i/>
        </w:rPr>
        <w:t>Family Law Act 1975</w:t>
      </w:r>
      <w:r>
        <w:t xml:space="preserve"> to make orders in relation to family law parenting and property disputes. </w:t>
      </w:r>
      <w:r w:rsidR="00C8382B">
        <w:t xml:space="preserve">Currently, </w:t>
      </w:r>
      <w:r>
        <w:t>these powers are rarely used. Local level magistrates are often reluctant to exercise their powers under the Family Law Act for a range of reasons, including the complexity of family law parenting provisions following the 2006 reforms, a lack of time in busy local courts, a lack of competency in family law amongst the local magistracy and Family Law Act provisions which make state orders ineffectual.</w:t>
      </w:r>
      <w:r>
        <w:rPr>
          <w:rStyle w:val="FootnoteReference"/>
        </w:rPr>
        <w:footnoteReference w:id="21"/>
      </w:r>
    </w:p>
    <w:p w:rsidR="00B5360A" w:rsidRDefault="00014C95" w:rsidP="0019237E">
      <w:r>
        <w:t xml:space="preserve">There is much the Commonwealth needs to do to enable State and Territories to </w:t>
      </w:r>
      <w:r w:rsidR="006C2257">
        <w:t>fully use t</w:t>
      </w:r>
      <w:r>
        <w:t>he potential for local magistrates and children’s courts to exercise comprehensive jurisdictio</w:t>
      </w:r>
      <w:r w:rsidR="0019237E">
        <w:t>n in cases of family violence. I believe</w:t>
      </w:r>
      <w:r>
        <w:t xml:space="preserve"> that enhancing the ability of State and Territory judges to make family law orders will better support and make safe the many families who have experienced both family violence and relationships breakdown. It will improve access to justice for those who have experienced family violence.</w:t>
      </w:r>
    </w:p>
    <w:p w:rsidR="00FC1B5E" w:rsidRDefault="00FC1B5E" w:rsidP="00B5360A">
      <w:r>
        <w:lastRenderedPageBreak/>
        <w:t>One issue faced by and State and Territory governments who wish to consolidate family law and family violence or child protection jurisdiction within their own courts is that they are effectively taking on case load from the federal family courts</w:t>
      </w:r>
      <w:r w:rsidR="00627DC6">
        <w:t xml:space="preserve"> without compensation</w:t>
      </w:r>
      <w:r>
        <w:t>. With busy lists and tight funding for family violence and child protection matters, the additional cost requirements imposed by increased family law load on the local courts will be prohibitive</w:t>
      </w:r>
      <w:r w:rsidR="00F02D5C">
        <w:t xml:space="preserve"> for many jurisdictions</w:t>
      </w:r>
      <w:r>
        <w:t>.</w:t>
      </w:r>
      <w:r w:rsidR="00F02D5C">
        <w:t xml:space="preserve"> Given that increased exercise of family law powers by the State and Territory courts </w:t>
      </w:r>
      <w:r w:rsidR="000234D5">
        <w:t>is expected to</w:t>
      </w:r>
      <w:r w:rsidR="00F02D5C">
        <w:t xml:space="preserve"> reduce the caseload burden on the federal family courts, some form of payment by the Commonwealth </w:t>
      </w:r>
      <w:r w:rsidR="00627DC6">
        <w:t>is appropriate</w:t>
      </w:r>
      <w:r w:rsidR="00F02D5C">
        <w:t>. The Royal Commission into Family Violence suggested that the Victorian government should negotiate with the Commonwealth to explore how the Commonwealth could compensate th</w:t>
      </w:r>
      <w:r w:rsidR="000234D5">
        <w:t>at</w:t>
      </w:r>
      <w:r w:rsidR="00F02D5C">
        <w:t xml:space="preserve"> State for hearing federal family law cases.</w:t>
      </w:r>
      <w:r w:rsidR="00F02D5C">
        <w:rPr>
          <w:rStyle w:val="FootnoteReference"/>
        </w:rPr>
        <w:footnoteReference w:id="22"/>
      </w:r>
      <w:r>
        <w:t xml:space="preserve"> </w:t>
      </w:r>
    </w:p>
    <w:p w:rsidR="004955E0" w:rsidRPr="00E7030D" w:rsidRDefault="009F4985" w:rsidP="009F4985">
      <w:pPr>
        <w:ind w:left="567" w:hanging="567"/>
        <w:rPr>
          <w:rStyle w:val="Strong"/>
        </w:rPr>
      </w:pPr>
      <w:r>
        <w:rPr>
          <w:rStyle w:val="Strong"/>
        </w:rPr>
        <w:t>1 a.</w:t>
      </w:r>
      <w:r>
        <w:rPr>
          <w:rStyle w:val="Strong"/>
        </w:rPr>
        <w:tab/>
      </w:r>
      <w:r w:rsidR="004955E0">
        <w:rPr>
          <w:rStyle w:val="Strong"/>
        </w:rPr>
        <w:t xml:space="preserve">I </w:t>
      </w:r>
      <w:r w:rsidR="004955E0" w:rsidRPr="00E7030D">
        <w:rPr>
          <w:rStyle w:val="Strong"/>
        </w:rPr>
        <w:t xml:space="preserve">recommend that the Commonwealth government do all that is necessary to support </w:t>
      </w:r>
      <w:r w:rsidR="00C40BDB">
        <w:rPr>
          <w:rStyle w:val="Strong"/>
        </w:rPr>
        <w:t>S</w:t>
      </w:r>
      <w:r w:rsidR="004955E0" w:rsidRPr="00E7030D">
        <w:rPr>
          <w:rStyle w:val="Strong"/>
        </w:rPr>
        <w:t xml:space="preserve">tate and </w:t>
      </w:r>
      <w:r w:rsidR="00C40BDB">
        <w:rPr>
          <w:rStyle w:val="Strong"/>
        </w:rPr>
        <w:t>T</w:t>
      </w:r>
      <w:r w:rsidR="004955E0" w:rsidRPr="00E7030D">
        <w:rPr>
          <w:rStyle w:val="Strong"/>
        </w:rPr>
        <w:t>erritory magistrates and children’s court judges to exercise family law powers in cases on family violence. Measures recommended include</w:t>
      </w:r>
      <w:r w:rsidR="004955E0">
        <w:rPr>
          <w:rStyle w:val="Strong"/>
        </w:rPr>
        <w:t xml:space="preserve"> c</w:t>
      </w:r>
      <w:r w:rsidR="004955E0" w:rsidRPr="00E7030D">
        <w:rPr>
          <w:rStyle w:val="Strong"/>
        </w:rPr>
        <w:t xml:space="preserve">ompensation for </w:t>
      </w:r>
      <w:r w:rsidR="00C40BDB">
        <w:rPr>
          <w:rStyle w:val="Strong"/>
        </w:rPr>
        <w:t>S</w:t>
      </w:r>
      <w:r w:rsidR="004955E0" w:rsidRPr="00E7030D">
        <w:rPr>
          <w:rStyle w:val="Strong"/>
        </w:rPr>
        <w:t xml:space="preserve">tate and </w:t>
      </w:r>
      <w:r w:rsidR="00C40BDB">
        <w:rPr>
          <w:rStyle w:val="Strong"/>
        </w:rPr>
        <w:t>T</w:t>
      </w:r>
      <w:r w:rsidR="004955E0" w:rsidRPr="00E7030D">
        <w:rPr>
          <w:rStyle w:val="Strong"/>
        </w:rPr>
        <w:t xml:space="preserve">erritory governments for </w:t>
      </w:r>
      <w:r w:rsidR="00C40BDB">
        <w:rPr>
          <w:rStyle w:val="Strong"/>
        </w:rPr>
        <w:t>S</w:t>
      </w:r>
      <w:r w:rsidR="004955E0">
        <w:rPr>
          <w:rStyle w:val="Strong"/>
        </w:rPr>
        <w:t xml:space="preserve">tate courts </w:t>
      </w:r>
      <w:r w:rsidR="004955E0" w:rsidRPr="00E7030D">
        <w:rPr>
          <w:rStyle w:val="Strong"/>
        </w:rPr>
        <w:t>hearing federal cases</w:t>
      </w:r>
      <w:r w:rsidR="00602682">
        <w:rPr>
          <w:rStyle w:val="Strong"/>
        </w:rPr>
        <w:t xml:space="preserve"> (Question 32).</w:t>
      </w:r>
    </w:p>
    <w:p w:rsidR="0019237E" w:rsidRDefault="00602682" w:rsidP="00602682">
      <w:pPr>
        <w:pStyle w:val="Heading3"/>
      </w:pPr>
      <w:r>
        <w:t>Federal</w:t>
      </w:r>
      <w:r w:rsidR="000E2F49">
        <w:t>-</w:t>
      </w:r>
      <w:r>
        <w:t>State Support Service Connections (Question 31)</w:t>
      </w:r>
    </w:p>
    <w:p w:rsidR="00602682" w:rsidRDefault="00602682" w:rsidP="00E7030D">
      <w:r>
        <w:t xml:space="preserve">Most family dispute are resolve outside the courts. Federal-state connections must extend to </w:t>
      </w:r>
      <w:r w:rsidR="009313B5">
        <w:t xml:space="preserve">the </w:t>
      </w:r>
      <w:r>
        <w:t>support service</w:t>
      </w:r>
      <w:r w:rsidR="009313B5">
        <w:t xml:space="preserve"> level</w:t>
      </w:r>
      <w:r>
        <w:t xml:space="preserve"> so that the jurisdictional cracks in the Australian constitutional framework can be paper</w:t>
      </w:r>
      <w:r w:rsidR="009313B5">
        <w:t>ed</w:t>
      </w:r>
      <w:r>
        <w:t xml:space="preserve"> over </w:t>
      </w:r>
      <w:r w:rsidR="009313B5">
        <w:t xml:space="preserve">by </w:t>
      </w:r>
      <w:r>
        <w:t xml:space="preserve">seamless and integrated service delivery. </w:t>
      </w:r>
      <w:r w:rsidR="00F71EAD">
        <w:t xml:space="preserve">This relates to question 31 in the Australian Law Reform Commission, </w:t>
      </w:r>
      <w:r w:rsidR="00F71EAD" w:rsidRPr="00744946">
        <w:rPr>
          <w:i/>
          <w:iCs/>
        </w:rPr>
        <w:t xml:space="preserve">Review of the Family Law System: Issues Paper </w:t>
      </w:r>
      <w:r w:rsidR="00F71EAD">
        <w:t xml:space="preserve">(March 2018) relating to integrated services approaches.  </w:t>
      </w:r>
    </w:p>
    <w:p w:rsidR="00815BC9" w:rsidRDefault="00602682" w:rsidP="00E7030D">
      <w:r>
        <w:t xml:space="preserve">As State and Territory magistrates in jurisdictions such as Victoria </w:t>
      </w:r>
      <w:r w:rsidR="00E7030D">
        <w:t>increas</w:t>
      </w:r>
      <w:r>
        <w:t xml:space="preserve">ingly </w:t>
      </w:r>
      <w:r w:rsidR="00E7030D">
        <w:t xml:space="preserve">exercise </w:t>
      </w:r>
      <w:r>
        <w:t xml:space="preserve">federal </w:t>
      </w:r>
      <w:r w:rsidR="00E7030D">
        <w:t>family law powers</w:t>
      </w:r>
      <w:r>
        <w:t xml:space="preserve">, </w:t>
      </w:r>
      <w:r w:rsidR="00627DC6">
        <w:t xml:space="preserve">existing </w:t>
      </w:r>
      <w:r>
        <w:t xml:space="preserve">family law support </w:t>
      </w:r>
      <w:r w:rsidR="00627DC6">
        <w:t>services provided under the F</w:t>
      </w:r>
      <w:r w:rsidR="00627DC6" w:rsidRPr="00627DC6">
        <w:t>amily Relationships Services Programme</w:t>
      </w:r>
      <w:r w:rsidR="00627DC6">
        <w:t xml:space="preserve"> administered by the federal Department of Social Services </w:t>
      </w:r>
      <w:r w:rsidR="00E7030D">
        <w:t xml:space="preserve">must be accessible for litigants with family law matters heard in the state system. Services under the </w:t>
      </w:r>
      <w:r w:rsidR="00E7030D" w:rsidRPr="00E7030D">
        <w:t xml:space="preserve">Family Relationships Services Programme </w:t>
      </w:r>
      <w:r w:rsidR="00E7030D">
        <w:t xml:space="preserve">include family relationship centres, family dispute resolution (FDR), family counselling, children's contact services, parenting Orders Programme, the Post Separation Cooperative Parenting Programme and the Supporting Children After Separation Programme. These federally-funded services are currently oriented to the federal family court system and </w:t>
      </w:r>
      <w:r w:rsidR="00815BC9">
        <w:t xml:space="preserve">durable </w:t>
      </w:r>
      <w:r w:rsidR="00E7030D">
        <w:t>links have not</w:t>
      </w:r>
      <w:r w:rsidR="0057388A">
        <w:t xml:space="preserve"> generally</w:t>
      </w:r>
      <w:r w:rsidR="00E7030D">
        <w:t xml:space="preserve"> been established between local service providers under the </w:t>
      </w:r>
      <w:r w:rsidR="00E7030D" w:rsidRPr="00E7030D">
        <w:t>Family Relationships Services Programme</w:t>
      </w:r>
      <w:r w:rsidR="00E7030D">
        <w:t xml:space="preserve"> and local courts who exercise family law powers. </w:t>
      </w:r>
    </w:p>
    <w:p w:rsidR="00E7030D" w:rsidRPr="00E7030D" w:rsidRDefault="00E7030D" w:rsidP="00E7030D">
      <w:r>
        <w:t xml:space="preserve">For families experiencing both relationship breakdown and family violence, the lack of clear referral pathways between FDR providers and state courts means raises the danger that litigants will get lost between systems and will not be able to navigate the gaps between the federal jurisdictions. Consequently, there is an imperative on programs under the </w:t>
      </w:r>
      <w:r w:rsidRPr="00E7030D">
        <w:t>Family Relationships Services Programme</w:t>
      </w:r>
      <w:r>
        <w:t xml:space="preserve"> to establish links with both state courts which exercise federal family law powers and family violence services for victims and perpetrators which operate under the state family violence systems. </w:t>
      </w:r>
    </w:p>
    <w:p w:rsidR="00FC1B5E" w:rsidRPr="00E7030D" w:rsidRDefault="009F4985" w:rsidP="009F4985">
      <w:pPr>
        <w:ind w:left="567" w:hanging="567"/>
        <w:rPr>
          <w:rStyle w:val="Strong"/>
        </w:rPr>
      </w:pPr>
      <w:r>
        <w:rPr>
          <w:rStyle w:val="Strong"/>
        </w:rPr>
        <w:t xml:space="preserve">1 b. </w:t>
      </w:r>
      <w:r>
        <w:rPr>
          <w:rStyle w:val="Strong"/>
        </w:rPr>
        <w:tab/>
      </w:r>
      <w:r w:rsidR="0019237E">
        <w:rPr>
          <w:rStyle w:val="Strong"/>
        </w:rPr>
        <w:t xml:space="preserve">I </w:t>
      </w:r>
      <w:r w:rsidR="00AE033B" w:rsidRPr="00E7030D">
        <w:rPr>
          <w:rStyle w:val="Strong"/>
        </w:rPr>
        <w:t xml:space="preserve">recommend that </w:t>
      </w:r>
      <w:r w:rsidR="00FC1B5E" w:rsidRPr="00E7030D">
        <w:rPr>
          <w:rStyle w:val="Strong"/>
        </w:rPr>
        <w:t>the Commonwealth government do all that is necessary to support state and territory magistrates and children’s court judges to exercise family law powers in cases on family violence. Measures recommended include</w:t>
      </w:r>
      <w:r w:rsidR="004955E0">
        <w:rPr>
          <w:rStyle w:val="Strong"/>
        </w:rPr>
        <w:t xml:space="preserve"> r</w:t>
      </w:r>
      <w:r w:rsidR="00E7030D" w:rsidRPr="00E7030D">
        <w:rPr>
          <w:rStyle w:val="Strong"/>
        </w:rPr>
        <w:t xml:space="preserve">equirements for service providers under the Family Relationships Services Programme to establish </w:t>
      </w:r>
      <w:r w:rsidR="00602682">
        <w:rPr>
          <w:rStyle w:val="Strong"/>
        </w:rPr>
        <w:t xml:space="preserve">durable </w:t>
      </w:r>
      <w:r w:rsidR="00E7030D" w:rsidRPr="00E7030D">
        <w:rPr>
          <w:rStyle w:val="Strong"/>
        </w:rPr>
        <w:t xml:space="preserve">links with courts and service providers in the state family violence system to create clear </w:t>
      </w:r>
      <w:r>
        <w:rPr>
          <w:rStyle w:val="Strong"/>
        </w:rPr>
        <w:t xml:space="preserve">referral </w:t>
      </w:r>
      <w:r w:rsidR="00E7030D" w:rsidRPr="00E7030D">
        <w:rPr>
          <w:rStyle w:val="Strong"/>
        </w:rPr>
        <w:t xml:space="preserve">pathways </w:t>
      </w:r>
      <w:r w:rsidR="00E7030D" w:rsidRPr="00E7030D">
        <w:rPr>
          <w:rStyle w:val="Strong"/>
        </w:rPr>
        <w:lastRenderedPageBreak/>
        <w:t>for families experiencing family violence who have their family law matters heard within the state courts</w:t>
      </w:r>
      <w:r w:rsidR="00F71EAD">
        <w:rPr>
          <w:rStyle w:val="Strong"/>
        </w:rPr>
        <w:t xml:space="preserve"> (Question</w:t>
      </w:r>
      <w:r w:rsidR="00F75AFE">
        <w:rPr>
          <w:rStyle w:val="Strong"/>
        </w:rPr>
        <w:t xml:space="preserve"> </w:t>
      </w:r>
      <w:r w:rsidR="00F71EAD">
        <w:rPr>
          <w:rStyle w:val="Strong"/>
        </w:rPr>
        <w:t>31)</w:t>
      </w:r>
      <w:r w:rsidR="00E7030D" w:rsidRPr="00E7030D">
        <w:rPr>
          <w:rStyle w:val="Strong"/>
        </w:rPr>
        <w:t>.</w:t>
      </w:r>
    </w:p>
    <w:p w:rsidR="00014C95" w:rsidRDefault="00014C95" w:rsidP="00014C95">
      <w:pPr>
        <w:pStyle w:val="Heading1"/>
      </w:pPr>
      <w:r>
        <w:t>Property Orders in State and Territory Magistrates’ Courts</w:t>
      </w:r>
      <w:r w:rsidR="000E2F49">
        <w:t xml:space="preserve"> (Question 17)</w:t>
      </w:r>
    </w:p>
    <w:p w:rsidR="00014C95" w:rsidRPr="00D84111" w:rsidRDefault="00014C95" w:rsidP="00014C95">
      <w:r>
        <w:t xml:space="preserve">This recommendation relates to </w:t>
      </w:r>
      <w:r w:rsidR="000E2F49">
        <w:t xml:space="preserve">question 17 of the Australian Law Reform Commission in the </w:t>
      </w:r>
      <w:r w:rsidR="000E2F49" w:rsidRPr="00744946">
        <w:rPr>
          <w:i/>
          <w:iCs/>
        </w:rPr>
        <w:t xml:space="preserve">Review of the Family Law System: Issues Paper </w:t>
      </w:r>
      <w:r w:rsidR="000E2F49">
        <w:t xml:space="preserve">(March 2018), changes to the provision of the Family Law Act on property division. In this section I focus on the ability of families who have experienced family violence to obtain an order relating to property division for low-value disputes from State and Territory Magistrates’ Courts during their family violence intervention order proceedings. This is way to help provide legal remedies for </w:t>
      </w:r>
      <w:r w:rsidRPr="00D84111">
        <w:t xml:space="preserve">people who have been subjected to family violence </w:t>
      </w:r>
      <w:r w:rsidR="000E2F49">
        <w:t xml:space="preserve">and to help them </w:t>
      </w:r>
      <w:r w:rsidRPr="00D84111">
        <w:t>recover financially</w:t>
      </w:r>
      <w:r>
        <w:t>.</w:t>
      </w:r>
    </w:p>
    <w:p w:rsidR="00014C95" w:rsidRDefault="00014C95" w:rsidP="00A67432">
      <w:r>
        <w:t>The Royal Commission into Family Violence noted the importance of obtaining a fair property split in assisting victims of family violence to regain stability following separation, yet victims of family violence are often put at disadvantage is family law property settlements.</w:t>
      </w:r>
      <w:r>
        <w:rPr>
          <w:rStyle w:val="FootnoteReference"/>
        </w:rPr>
        <w:footnoteReference w:id="23"/>
      </w:r>
      <w:r>
        <w:t xml:space="preserve"> </w:t>
      </w:r>
      <w:r w:rsidR="00A67432">
        <w:t xml:space="preserve">Women’s Legal Service Victoria’s </w:t>
      </w:r>
      <w:r w:rsidR="00A67432" w:rsidRPr="00A67432">
        <w:rPr>
          <w:i/>
        </w:rPr>
        <w:t>Small Claims, Large Battles</w:t>
      </w:r>
      <w:r w:rsidR="00A67432">
        <w:t xml:space="preserve"> 2018 report noted that in cases of family violence, “Economic abuse left the women with limited financial resources to take action to seek a property settlement, while power imbalances and ongoing violence or intimidation made them fearful of seeking their share of property through the family law system.”</w:t>
      </w:r>
      <w:r w:rsidR="00A67432">
        <w:rPr>
          <w:rStyle w:val="FootnoteReference"/>
        </w:rPr>
        <w:footnoteReference w:id="24"/>
      </w:r>
    </w:p>
    <w:p w:rsidR="00014C95" w:rsidRDefault="00014C95" w:rsidP="00014C95">
      <w:r>
        <w:t>Obtaining legal advice and resolution of family law property disputes at a cost that is affordable and proportionate to the value of assets in dispute is a problem, particularly for low value (including net debt) property disputes.</w:t>
      </w:r>
      <w:r>
        <w:rPr>
          <w:rStyle w:val="FootnoteReference"/>
        </w:rPr>
        <w:footnoteReference w:id="25"/>
      </w:r>
      <w:r>
        <w:t xml:space="preserve"> Research by the Productivity Commission has shown that parties with asset pools under $40,000 (low asset pool range) and between $40,000 and $139,000 (low-medium range) were less likely to use lawyers to help them to resolve their family law financial dispute than those with more assets, because of the high cost of legal representation.</w:t>
      </w:r>
      <w:r>
        <w:rPr>
          <w:rStyle w:val="FootnoteReference"/>
        </w:rPr>
        <w:footnoteReference w:id="26"/>
      </w:r>
      <w:r>
        <w:t xml:space="preserve"> Parties in the low and low to medium asset pool range are much less likely to use Family Dispute Resolution or court services to resolve their dispute than those with more assets.</w:t>
      </w:r>
      <w:r>
        <w:rPr>
          <w:rStyle w:val="FootnoteReference"/>
        </w:rPr>
        <w:footnoteReference w:id="27"/>
      </w:r>
      <w:r>
        <w:t xml:space="preserve"> This means it is much less likely that </w:t>
      </w:r>
      <w:r w:rsidR="0057388A">
        <w:t xml:space="preserve">an </w:t>
      </w:r>
      <w:r>
        <w:t>agreement w</w:t>
      </w:r>
      <w:r w:rsidR="0057388A">
        <w:t xml:space="preserve">ill be </w:t>
      </w:r>
      <w:r>
        <w:t>made to divide property and raises questions about the appropriateness of agreements or outcomes arrived at in these cases.</w:t>
      </w:r>
      <w:r>
        <w:rPr>
          <w:rStyle w:val="FootnoteReference"/>
        </w:rPr>
        <w:footnoteReference w:id="28"/>
      </w:r>
    </w:p>
    <w:p w:rsidR="00014C95" w:rsidRDefault="00014C95" w:rsidP="00014C95">
      <w:r>
        <w:t>To help victims of family violence more easily obtain resolution of their family law financial disputes, the Royal Commission into Family Violence recommended that Victorian Magistrates’ Courts use their existing powers under the Family Law Act to resolve family law property disputes in that court, at the same time as family violence intervention orders and parenting orders are made.</w:t>
      </w:r>
    </w:p>
    <w:p w:rsidR="00014C95" w:rsidRDefault="00014C95" w:rsidP="00014C95">
      <w:r>
        <w:lastRenderedPageBreak/>
        <w:t xml:space="preserve">Section 46(1) Family Law Act 1975 limits State and Territory magistrates’ courts to determining contested family law property disputes where the total value of </w:t>
      </w:r>
      <w:r w:rsidRPr="000B70B4">
        <w:t xml:space="preserve">property </w:t>
      </w:r>
      <w:r>
        <w:t>is under $20,000. This amount has been increased only once, from $1,000 to $20,000 in 1988.</w:t>
      </w:r>
      <w:r>
        <w:rPr>
          <w:rStyle w:val="FootnoteReference"/>
        </w:rPr>
        <w:footnoteReference w:id="29"/>
      </w:r>
      <w:r w:rsidRPr="00DE2FEF">
        <w:t xml:space="preserve"> </w:t>
      </w:r>
    </w:p>
    <w:p w:rsidR="00014C95" w:rsidRDefault="00014C95" w:rsidP="00014C95">
      <w:r>
        <w:t xml:space="preserve">Royal Commission into Family Violence and the Family Law Council recommended that the Commonwealth Parliament increase the jurisdictional limit on state and territory magistrates’ level courts hearing </w:t>
      </w:r>
      <w:r w:rsidRPr="000B70B4">
        <w:t>family law property disputes</w:t>
      </w:r>
      <w:r>
        <w:t>.</w:t>
      </w:r>
      <w:r>
        <w:rPr>
          <w:rStyle w:val="FootnoteReference"/>
        </w:rPr>
        <w:footnoteReference w:id="30"/>
      </w:r>
      <w:r>
        <w:t xml:space="preserve"> </w:t>
      </w:r>
    </w:p>
    <w:p w:rsidR="00014C95" w:rsidRDefault="00014C95" w:rsidP="00014C95">
      <w:r>
        <w:t>The proposed amendment to section 46</w:t>
      </w:r>
      <w:r w:rsidRPr="00532D0B">
        <w:t>(1</w:t>
      </w:r>
      <w:r w:rsidRPr="00532D0B">
        <w:rPr>
          <w:iCs/>
        </w:rPr>
        <w:t>)</w:t>
      </w:r>
      <w:r w:rsidRPr="00CD0DE0">
        <w:rPr>
          <w:i/>
          <w:iCs/>
        </w:rPr>
        <w:t xml:space="preserve"> Family Law Act 1975</w:t>
      </w:r>
      <w:r>
        <w:t xml:space="preserve"> contained in item 10 of the </w:t>
      </w:r>
      <w:r w:rsidRPr="00CD0DE0">
        <w:rPr>
          <w:i/>
          <w:iCs/>
        </w:rPr>
        <w:t>Exposure Draft of the Family Law Amendment (Family Violence and Other Measures) Bill 2017</w:t>
      </w:r>
      <w:r>
        <w:t xml:space="preserve"> is acceptable, providing that the amount set in the regulations mirrors the upper financial jurisdictional limit on civil dispute</w:t>
      </w:r>
      <w:r w:rsidR="00AB0DB0">
        <w:t>s</w:t>
      </w:r>
      <w:r>
        <w:t xml:space="preserve"> able to be heard by State and Territory magistrates’ courts. </w:t>
      </w:r>
      <w:r w:rsidR="00CF521F">
        <w:t xml:space="preserve">The Bill, however, remains to be introduced into Parliament, despite clear imperatives </w:t>
      </w:r>
      <w:r w:rsidR="00532D0B">
        <w:t xml:space="preserve">for </w:t>
      </w:r>
      <w:r w:rsidR="00CF521F">
        <w:t>a range of provisions</w:t>
      </w:r>
      <w:r w:rsidR="00532D0B">
        <w:t xml:space="preserve"> in the Bill</w:t>
      </w:r>
      <w:r w:rsidR="00CF521F">
        <w:t>.</w:t>
      </w:r>
    </w:p>
    <w:p w:rsidR="00014C95" w:rsidRPr="00532D0B" w:rsidRDefault="00B00694" w:rsidP="00B00694">
      <w:pPr>
        <w:ind w:left="567" w:hanging="567"/>
        <w:rPr>
          <w:rStyle w:val="Strong"/>
          <w:vertAlign w:val="superscript"/>
        </w:rPr>
      </w:pPr>
      <w:r>
        <w:rPr>
          <w:rStyle w:val="Strong"/>
        </w:rPr>
        <w:t xml:space="preserve">2. </w:t>
      </w:r>
      <w:r>
        <w:rPr>
          <w:rStyle w:val="Strong"/>
        </w:rPr>
        <w:tab/>
      </w:r>
      <w:r w:rsidR="00E71A39">
        <w:rPr>
          <w:rStyle w:val="Strong"/>
        </w:rPr>
        <w:t xml:space="preserve">I </w:t>
      </w:r>
      <w:r w:rsidR="00014C95" w:rsidRPr="00B52F85">
        <w:rPr>
          <w:rStyle w:val="Strong"/>
        </w:rPr>
        <w:t xml:space="preserve">recommend that the Commonwealth Parliament </w:t>
      </w:r>
      <w:r w:rsidR="00CF521F">
        <w:rPr>
          <w:rStyle w:val="Strong"/>
        </w:rPr>
        <w:t xml:space="preserve">urgently </w:t>
      </w:r>
      <w:r w:rsidR="00014C95" w:rsidRPr="00B52F85">
        <w:rPr>
          <w:rStyle w:val="Strong"/>
        </w:rPr>
        <w:t>amend section 46(1) Family Law Act 1975 to increase the $20,000 limit on property disputes able to be heard by State and Territory magistrates</w:t>
      </w:r>
      <w:r w:rsidR="00014C95">
        <w:rPr>
          <w:rStyle w:val="Strong"/>
        </w:rPr>
        <w:t>’</w:t>
      </w:r>
      <w:r w:rsidR="00014C95" w:rsidRPr="00B52F85">
        <w:rPr>
          <w:rStyle w:val="Strong"/>
        </w:rPr>
        <w:t xml:space="preserve"> courts. The jurisdictional limit for hearing family law property disputes should mirror the upper limit on civil dispute able to b</w:t>
      </w:r>
      <w:r w:rsidR="00014C95">
        <w:rPr>
          <w:rStyle w:val="Strong"/>
        </w:rPr>
        <w:t>e heard by State and Territory m</w:t>
      </w:r>
      <w:r w:rsidR="00014C95" w:rsidRPr="00B52F85">
        <w:rPr>
          <w:rStyle w:val="Strong"/>
        </w:rPr>
        <w:t>agistrates</w:t>
      </w:r>
      <w:r w:rsidR="00014C95">
        <w:rPr>
          <w:rStyle w:val="Strong"/>
        </w:rPr>
        <w:t>’</w:t>
      </w:r>
      <w:r w:rsidR="00014C95" w:rsidRPr="00B52F85">
        <w:rPr>
          <w:rStyle w:val="Strong"/>
        </w:rPr>
        <w:t xml:space="preserve"> courts.</w:t>
      </w:r>
      <w:r w:rsidR="00014C95" w:rsidRPr="00532D0B">
        <w:rPr>
          <w:vertAlign w:val="superscript"/>
        </w:rPr>
        <w:footnoteReference w:id="31"/>
      </w:r>
    </w:p>
    <w:p w:rsidR="00561757" w:rsidRPr="00B52F85" w:rsidRDefault="00561757" w:rsidP="00014C95"/>
    <w:p w:rsidR="0040510C" w:rsidRDefault="0040510C" w:rsidP="00FB77B2">
      <w:pPr>
        <w:pStyle w:val="Heading1"/>
      </w:pPr>
      <w:r>
        <w:t>Nationally Consistent Risk Assessment</w:t>
      </w:r>
      <w:r w:rsidR="0019237E">
        <w:t xml:space="preserve"> </w:t>
      </w:r>
      <w:r w:rsidR="00A173F3">
        <w:t xml:space="preserve">Tool </w:t>
      </w:r>
      <w:r w:rsidR="0019237E">
        <w:t>(</w:t>
      </w:r>
      <w:r w:rsidR="00F75AFE">
        <w:t xml:space="preserve">Question </w:t>
      </w:r>
      <w:r w:rsidR="0019237E">
        <w:t>31)</w:t>
      </w:r>
    </w:p>
    <w:p w:rsidR="00F3459E" w:rsidRDefault="00532D0B" w:rsidP="00654B79">
      <w:r>
        <w:t xml:space="preserve">The issue of </w:t>
      </w:r>
      <w:r w:rsidR="00A173F3">
        <w:t>the development</w:t>
      </w:r>
      <w:r w:rsidR="00654B79">
        <w:t xml:space="preserve"> of a</w:t>
      </w:r>
      <w:r w:rsidR="00A173F3">
        <w:t xml:space="preserve"> </w:t>
      </w:r>
      <w:r>
        <w:t xml:space="preserve">risk assessment </w:t>
      </w:r>
      <w:r w:rsidR="00A173F3">
        <w:t xml:space="preserve">tool </w:t>
      </w:r>
      <w:r>
        <w:t xml:space="preserve">is central to the safety of family law processes in cases of family violence. It could relate to a number of questions but probably best </w:t>
      </w:r>
      <w:r w:rsidR="00F3459E">
        <w:t xml:space="preserve">relates to </w:t>
      </w:r>
      <w:r>
        <w:t>que</w:t>
      </w:r>
      <w:r w:rsidR="00D83E0F">
        <w:t xml:space="preserve">stion 31 of the Australian Law Reform Commission, </w:t>
      </w:r>
      <w:r w:rsidR="00D83E0F" w:rsidRPr="00744946">
        <w:rPr>
          <w:i/>
          <w:iCs/>
        </w:rPr>
        <w:t xml:space="preserve">Review of the Family Law System: Issues Paper </w:t>
      </w:r>
      <w:r w:rsidR="00D83E0F">
        <w:t xml:space="preserve">(March 2018) </w:t>
      </w:r>
      <w:r>
        <w:t>on integrated services approaches for families with complex needs. A nationally consistent risk assessment tool</w:t>
      </w:r>
      <w:r w:rsidR="00D83E0F">
        <w:t xml:space="preserve"> and process</w:t>
      </w:r>
      <w:r>
        <w:t xml:space="preserve"> would enable t</w:t>
      </w:r>
      <w:r w:rsidR="00F3459E">
        <w:t xml:space="preserve">he family law system </w:t>
      </w:r>
      <w:r>
        <w:t xml:space="preserve">to </w:t>
      </w:r>
      <w:r w:rsidR="00F3459E">
        <w:t>more quickly and effectively ensure the safety of people who are or may be affected by family violence, including by facilitating the early identification of and response to family violence.</w:t>
      </w:r>
    </w:p>
    <w:p w:rsidR="00961E80" w:rsidRDefault="00961E80" w:rsidP="00690422">
      <w:r w:rsidRPr="00961E80">
        <w:t xml:space="preserve">The Third Action Plan under the </w:t>
      </w:r>
      <w:r w:rsidRPr="00961E80">
        <w:rPr>
          <w:i/>
        </w:rPr>
        <w:t xml:space="preserve">National Plan to Reduce Violence against Women and their Children 2010-2022 </w:t>
      </w:r>
      <w:r w:rsidRPr="00961E80">
        <w:t xml:space="preserve">commits the </w:t>
      </w:r>
      <w:r>
        <w:t xml:space="preserve">Commonwealth </w:t>
      </w:r>
      <w:r w:rsidRPr="00961E80">
        <w:t>to developing and implementing National Risk Assessment and Safety Management Principles for victims and perpetrators of violence, based on evidence, including the risks that are present for children and other family members who experience or are exposed to violence</w:t>
      </w:r>
      <w:r>
        <w:t>.</w:t>
      </w:r>
      <w:r>
        <w:rPr>
          <w:rStyle w:val="FootnoteReference"/>
        </w:rPr>
        <w:footnoteReference w:id="32"/>
      </w:r>
      <w:r w:rsidRPr="00961E80">
        <w:t xml:space="preserve"> </w:t>
      </w:r>
      <w:r>
        <w:t>At present ANROWS, Australian’s national family violence research organisation</w:t>
      </w:r>
      <w:r w:rsidR="00654B79">
        <w:t>,</w:t>
      </w:r>
      <w:r>
        <w:t xml:space="preserve"> is </w:t>
      </w:r>
      <w:r w:rsidR="002819DD">
        <w:t xml:space="preserve">developing national risk assessment principles and the project is expected to be delivered shortly. </w:t>
      </w:r>
      <w:r w:rsidR="00A173F3">
        <w:t xml:space="preserve">The principles are meant to be conceptual in nature rather than a specific tool to be used directly by professionals for risk assessment. </w:t>
      </w:r>
      <w:r w:rsidR="002819DD">
        <w:t>ANROWS states:</w:t>
      </w:r>
    </w:p>
    <w:p w:rsidR="002819DD" w:rsidRDefault="002819DD" w:rsidP="002819DD">
      <w:pPr>
        <w:ind w:left="720"/>
      </w:pPr>
      <w:r>
        <w:lastRenderedPageBreak/>
        <w:t>The National Risk Assessment Principles that ANROWS are developing are expected to: be relevant to, and appropriate for, front line workers/first responders assisting victims of family and domestic violence (FDV) who operate at different levels in multiple sectors and from multiple disciplines; reflect best-practice and be informed by the latest national and international practitioner and academic research; complement and build on the work undertaken in other jurisdictions and/or by ANROWS; and be developed in consultation with key stakeholders.</w:t>
      </w:r>
      <w:r>
        <w:rPr>
          <w:rStyle w:val="FootnoteReference"/>
        </w:rPr>
        <w:footnoteReference w:id="33"/>
      </w:r>
    </w:p>
    <w:p w:rsidR="0040510C" w:rsidRDefault="002819DD" w:rsidP="00690422">
      <w:r>
        <w:t xml:space="preserve">However, principles are not the same as a risk assessment tool. </w:t>
      </w:r>
      <w:r w:rsidR="00AC775A">
        <w:t xml:space="preserve">A key way of </w:t>
      </w:r>
      <w:r w:rsidR="00561757">
        <w:t>ensuring safety in family violence cases</w:t>
      </w:r>
      <w:r w:rsidR="00B43175">
        <w:t xml:space="preserve"> is </w:t>
      </w:r>
      <w:r w:rsidR="00961E80">
        <w:t xml:space="preserve">a </w:t>
      </w:r>
      <w:r w:rsidR="00561757">
        <w:t xml:space="preserve">validated, comprehensive and consistent risk assessment </w:t>
      </w:r>
      <w:r w:rsidR="00AC775A">
        <w:t xml:space="preserve">tool </w:t>
      </w:r>
      <w:r w:rsidR="00561757">
        <w:t xml:space="preserve">to accurately identify the existence </w:t>
      </w:r>
      <w:r w:rsidR="00AC775A">
        <w:t>of</w:t>
      </w:r>
      <w:r w:rsidR="00561757">
        <w:t xml:space="preserve"> family violence and determine the appropriate response. </w:t>
      </w:r>
      <w:r w:rsidR="00961E80">
        <w:t>Such a tool could be</w:t>
      </w:r>
      <w:r>
        <w:t xml:space="preserve"> immediately</w:t>
      </w:r>
      <w:r w:rsidR="00961E80">
        <w:t xml:space="preserve"> used by professionals fr</w:t>
      </w:r>
      <w:r w:rsidR="00A173F3">
        <w:t>o</w:t>
      </w:r>
      <w:r w:rsidR="00961E80">
        <w:t xml:space="preserve">m all disciplines to accurately and consistently identify the presence of family violence in any case. </w:t>
      </w:r>
      <w:r w:rsidR="00690422">
        <w:t xml:space="preserve">In 2017, the </w:t>
      </w:r>
      <w:r w:rsidR="00690422" w:rsidRPr="00690422">
        <w:t xml:space="preserve">House of Representatives Standing Committee on Social Policy and Legal Affairs </w:t>
      </w:r>
      <w:r w:rsidR="00690422">
        <w:t>recommended that “a nationally consistent, multi-method, multi-informant, culturally sensitive risk assessment tool” to be used “across sectors, between jurisdictions and among all professionals working within the family law system.”</w:t>
      </w:r>
      <w:r w:rsidR="00690422">
        <w:rPr>
          <w:rStyle w:val="FootnoteReference"/>
        </w:rPr>
        <w:footnoteReference w:id="34"/>
      </w:r>
      <w:r w:rsidR="00690422">
        <w:t xml:space="preserve"> The Committee emphasised the important of a national risk assessment tool rather than just national principles on managing family violence risk.</w:t>
      </w:r>
    </w:p>
    <w:p w:rsidR="00561757" w:rsidRDefault="00561757" w:rsidP="00F3459E">
      <w:r>
        <w:t xml:space="preserve">At present there are multiple risk assessment tools used across the various state and federal legal and social service systems. This creates the dangerous potential for family violence cases to go unidentified or </w:t>
      </w:r>
      <w:r w:rsidR="00E8707B">
        <w:t xml:space="preserve">for a lack of </w:t>
      </w:r>
      <w:r>
        <w:t>respon</w:t>
      </w:r>
      <w:r w:rsidR="00E8707B">
        <w:t xml:space="preserve">siveness to family violence </w:t>
      </w:r>
      <w:r>
        <w:t>in some systems, creating safety risks for victims and their families.</w:t>
      </w:r>
      <w:r w:rsidR="00E8707B">
        <w:t xml:space="preserve"> The Coroner in the Luke Batty Inquest in Victoria</w:t>
      </w:r>
      <w:r w:rsidR="004742D7">
        <w:t xml:space="preserve"> noted the problem </w:t>
      </w:r>
      <w:r w:rsidR="00181748">
        <w:t xml:space="preserve">of </w:t>
      </w:r>
      <w:r w:rsidR="004742D7">
        <w:t xml:space="preserve">risk assessment tools for family violence that were not validated, </w:t>
      </w:r>
      <w:r w:rsidR="00B43175">
        <w:t xml:space="preserve">that were </w:t>
      </w:r>
      <w:r w:rsidR="004742D7">
        <w:t>uncoordinated, not uniform in approach and which were not routinely shared between service providers and agencies.</w:t>
      </w:r>
      <w:r w:rsidR="004742D7">
        <w:rPr>
          <w:rStyle w:val="FootnoteReference"/>
        </w:rPr>
        <w:footnoteReference w:id="35"/>
      </w:r>
      <w:r w:rsidR="004742D7">
        <w:t xml:space="preserve"> The evidence in that case was that no single agency in the state family violence or federal family law system held or assessed all of the information for the purposes of conducting risk assessments and managing the risk posed by Greg Anderson, who ultimately killed his son.</w:t>
      </w:r>
      <w:r w:rsidR="004742D7">
        <w:rPr>
          <w:rStyle w:val="FootnoteReference"/>
        </w:rPr>
        <w:footnoteReference w:id="36"/>
      </w:r>
      <w:r w:rsidR="004742D7">
        <w:t xml:space="preserve"> </w:t>
      </w:r>
    </w:p>
    <w:p w:rsidR="004742D7" w:rsidRDefault="00A704B7" w:rsidP="00F3459E">
      <w:r>
        <w:t>Risk assessment practices used across the family law system are inconsistent and require improvement.</w:t>
      </w:r>
      <w:r>
        <w:rPr>
          <w:rStyle w:val="FootnoteReference"/>
        </w:rPr>
        <w:footnoteReference w:id="37"/>
      </w:r>
      <w:r>
        <w:t xml:space="preserve"> </w:t>
      </w:r>
      <w:r w:rsidR="00A173F3">
        <w:t xml:space="preserve">The ANROWS developed risk assessment principles will go some way towards coordination of a new approach but it is not the same as a specific risk assessment tool. </w:t>
      </w:r>
      <w:r w:rsidR="004742D7">
        <w:t>There is no consistent</w:t>
      </w:r>
      <w:r>
        <w:t>ly used</w:t>
      </w:r>
      <w:r w:rsidR="004742D7">
        <w:t xml:space="preserve"> family violence risk assessment tool used </w:t>
      </w:r>
      <w:r>
        <w:t>across t</w:t>
      </w:r>
      <w:r w:rsidR="004742D7">
        <w:t xml:space="preserve">he federal family law system. </w:t>
      </w:r>
      <w:r>
        <w:t>The Detection of Overall Risk Screen (DOORS) was developed for the federal family law system but is not used by all family law professionals, especially family lawyers.</w:t>
      </w:r>
      <w:r>
        <w:rPr>
          <w:rStyle w:val="FootnoteReference"/>
        </w:rPr>
        <w:footnoteReference w:id="38"/>
      </w:r>
      <w:r>
        <w:t xml:space="preserve"> The DOORS tool is very different to that used in state family violence systems such as the </w:t>
      </w:r>
      <w:r w:rsidR="000E7BCA" w:rsidRPr="00A704B7">
        <w:t>Common Risk Assessment Framework</w:t>
      </w:r>
      <w:r>
        <w:t xml:space="preserve"> (CRAF) used in Victoria.</w:t>
      </w:r>
    </w:p>
    <w:p w:rsidR="00A704B7" w:rsidRDefault="00A704B7" w:rsidP="00F3459E">
      <w:r>
        <w:lastRenderedPageBreak/>
        <w:t xml:space="preserve">The Royal Commission into Family Violence </w:t>
      </w:r>
      <w:r w:rsidR="00204E6F">
        <w:t xml:space="preserve">noted that the problem of inconsistent risk assessment tools </w:t>
      </w:r>
      <w:r w:rsidR="00181748">
        <w:t xml:space="preserve">at </w:t>
      </w:r>
      <w:r w:rsidR="00204E6F">
        <w:t>federal</w:t>
      </w:r>
      <w:r w:rsidR="00181748">
        <w:t xml:space="preserve"> and </w:t>
      </w:r>
      <w:r w:rsidR="00204E6F">
        <w:t>State</w:t>
      </w:r>
      <w:r w:rsidR="00181748">
        <w:t xml:space="preserve">/ </w:t>
      </w:r>
      <w:r w:rsidR="00204E6F">
        <w:t>Territory level should be address</w:t>
      </w:r>
      <w:r w:rsidR="0000098E">
        <w:t>ed</w:t>
      </w:r>
      <w:r w:rsidR="00204E6F">
        <w:t xml:space="preserve"> by the Commonwealth.</w:t>
      </w:r>
      <w:r w:rsidR="00204E6F">
        <w:rPr>
          <w:rStyle w:val="FootnoteReference"/>
        </w:rPr>
        <w:footnoteReference w:id="39"/>
      </w:r>
      <w:r w:rsidR="00204E6F">
        <w:t xml:space="preserve"> The Royal Commission </w:t>
      </w:r>
      <w:r>
        <w:t>recommended that the Victorian government, through the Council of Australian Government’s Law, Crime and Community Safety Committee, pursue the development of a national family violence risk assessment framework with consistent use of this tool by State, Territory and federal courts, lawyers, government and non-government service providers.</w:t>
      </w:r>
      <w:r>
        <w:rPr>
          <w:rStyle w:val="FootnoteReference"/>
        </w:rPr>
        <w:footnoteReference w:id="40"/>
      </w:r>
      <w:r>
        <w:t xml:space="preserve"> </w:t>
      </w:r>
      <w:r w:rsidR="005276FE">
        <w:t>Since th</w:t>
      </w:r>
      <w:r w:rsidR="00B43175">
        <w:t xml:space="preserve">e </w:t>
      </w:r>
      <w:r w:rsidR="005276FE">
        <w:t>disbanding of the Law, Crime and Community Safety Committee in 2017, responsibility for a nationally consistent risk assessment process should rest with t</w:t>
      </w:r>
      <w:r w:rsidR="00B43175" w:rsidRPr="00B43175">
        <w:t>he Council of Attorneys-General (CAG)</w:t>
      </w:r>
      <w:r w:rsidR="005276FE">
        <w:t>. CAG</w:t>
      </w:r>
      <w:r w:rsidR="00B43175" w:rsidRPr="00B43175">
        <w:t xml:space="preserve"> assists the Council of Australian Governments by developing a national and Trans-Tasman focus on maintaining and promoting best practice in law reform.</w:t>
      </w:r>
      <w:r w:rsidR="005276FE">
        <w:t xml:space="preserve"> T</w:t>
      </w:r>
      <w:r>
        <w:t>o date</w:t>
      </w:r>
      <w:r w:rsidR="00537044">
        <w:t>,</w:t>
      </w:r>
      <w:r>
        <w:t xml:space="preserve"> the Communiques of </w:t>
      </w:r>
      <w:r w:rsidR="005276FE">
        <w:t xml:space="preserve">CAG </w:t>
      </w:r>
      <w:r w:rsidR="00537044">
        <w:t xml:space="preserve">do not indicate any </w:t>
      </w:r>
      <w:r w:rsidR="005276FE">
        <w:t>attention to</w:t>
      </w:r>
      <w:r w:rsidR="00537044">
        <w:t xml:space="preserve"> this matter.</w:t>
      </w:r>
      <w:r w:rsidR="00537044">
        <w:rPr>
          <w:rStyle w:val="FootnoteReference"/>
        </w:rPr>
        <w:footnoteReference w:id="41"/>
      </w:r>
    </w:p>
    <w:p w:rsidR="00537044" w:rsidRDefault="00E71A39" w:rsidP="00F3459E">
      <w:r>
        <w:t>The</w:t>
      </w:r>
      <w:r w:rsidR="00537044">
        <w:t xml:space="preserve"> development of a nationally consistent family violence risk assessment </w:t>
      </w:r>
      <w:r w:rsidR="00B764A1">
        <w:t>tool</w:t>
      </w:r>
      <w:r w:rsidR="00537044">
        <w:t xml:space="preserve"> is a matter for urgent priority. This </w:t>
      </w:r>
      <w:r w:rsidR="003E6BB9">
        <w:t xml:space="preserve">national reform </w:t>
      </w:r>
      <w:r w:rsidR="00537044">
        <w:t xml:space="preserve">should be led by the Commonwealth government through the Council of Australian Government’s </w:t>
      </w:r>
      <w:r w:rsidR="005276FE" w:rsidRPr="00B43175">
        <w:t>Council of Attorneys-General</w:t>
      </w:r>
      <w:r w:rsidR="00537044">
        <w:t xml:space="preserve">. </w:t>
      </w:r>
      <w:r w:rsidR="0040657A">
        <w:t>Such a tool should be based upon the ANROWS developed national risk assessment principles.</w:t>
      </w:r>
      <w:r w:rsidR="0040657A">
        <w:rPr>
          <w:rStyle w:val="FootnoteReference"/>
        </w:rPr>
        <w:footnoteReference w:id="42"/>
      </w:r>
      <w:r w:rsidR="0040657A">
        <w:t xml:space="preserve"> </w:t>
      </w:r>
      <w:r w:rsidR="00537044">
        <w:t>As the Luke Batty case shows, poor risk assessment practices can mean that crucial information</w:t>
      </w:r>
      <w:r w:rsidR="003E6BB9">
        <w:t xml:space="preserve"> received by one agency</w:t>
      </w:r>
      <w:r w:rsidR="00537044">
        <w:t xml:space="preserve"> is not shared</w:t>
      </w:r>
      <w:r w:rsidR="002D4986">
        <w:t>,</w:t>
      </w:r>
      <w:r w:rsidR="00537044">
        <w:t xml:space="preserve"> which can have devastating consequences for the safety of women and children affected by violence. The development of a revised CRAF </w:t>
      </w:r>
      <w:r w:rsidR="00B764A1">
        <w:t xml:space="preserve">tool </w:t>
      </w:r>
      <w:r w:rsidR="00537044">
        <w:t>in Victoria, which is currently underway has the potential to provide a</w:t>
      </w:r>
      <w:r w:rsidR="002D4986">
        <w:t xml:space="preserve"> best-practice </w:t>
      </w:r>
      <w:r w:rsidR="00537044">
        <w:t>model for a validated risk assessment tool</w:t>
      </w:r>
      <w:r w:rsidR="002D4986">
        <w:t xml:space="preserve"> which could be used nationally</w:t>
      </w:r>
      <w:r w:rsidR="00537044">
        <w:t>.</w:t>
      </w:r>
      <w:r w:rsidR="00537044">
        <w:rPr>
          <w:rStyle w:val="FootnoteReference"/>
        </w:rPr>
        <w:footnoteReference w:id="43"/>
      </w:r>
      <w:r w:rsidR="005276FE">
        <w:t xml:space="preserve"> Importantly, the</w:t>
      </w:r>
      <w:r w:rsidR="00B764A1">
        <w:t xml:space="preserve"> tool</w:t>
      </w:r>
      <w:r w:rsidR="005276FE">
        <w:t xml:space="preserve"> should be used in all social support service services that work with fa</w:t>
      </w:r>
      <w:r w:rsidR="00B14490">
        <w:t>m</w:t>
      </w:r>
      <w:r w:rsidR="005276FE">
        <w:t>ilies, not just federal and state courts.</w:t>
      </w:r>
    </w:p>
    <w:p w:rsidR="00537044" w:rsidRPr="00537044" w:rsidRDefault="00654B79" w:rsidP="00654B79">
      <w:pPr>
        <w:ind w:left="567" w:hanging="567"/>
        <w:rPr>
          <w:rStyle w:val="Strong"/>
        </w:rPr>
      </w:pPr>
      <w:r>
        <w:rPr>
          <w:rStyle w:val="Strong"/>
        </w:rPr>
        <w:t xml:space="preserve">3. </w:t>
      </w:r>
      <w:r>
        <w:rPr>
          <w:rStyle w:val="Strong"/>
        </w:rPr>
        <w:tab/>
      </w:r>
      <w:r w:rsidR="00E71A39">
        <w:rPr>
          <w:rStyle w:val="Strong"/>
        </w:rPr>
        <w:t xml:space="preserve">I </w:t>
      </w:r>
      <w:r w:rsidR="00537044" w:rsidRPr="00537044">
        <w:rPr>
          <w:rStyle w:val="Strong"/>
        </w:rPr>
        <w:t xml:space="preserve">recommend that the Commonwealth government, through the Council of Australian Government’s </w:t>
      </w:r>
      <w:r w:rsidR="005276FE" w:rsidRPr="005276FE">
        <w:rPr>
          <w:rStyle w:val="Strong"/>
        </w:rPr>
        <w:t>Council of Attorneys-General</w:t>
      </w:r>
      <w:r w:rsidR="00537044" w:rsidRPr="005276FE">
        <w:rPr>
          <w:rStyle w:val="Strong"/>
        </w:rPr>
        <w:t>,</w:t>
      </w:r>
      <w:r w:rsidR="00537044" w:rsidRPr="00537044">
        <w:rPr>
          <w:rStyle w:val="Strong"/>
        </w:rPr>
        <w:t xml:space="preserve"> urgently lead the development of a nationally consistent family violence risk assessment </w:t>
      </w:r>
      <w:r w:rsidR="00B764A1">
        <w:rPr>
          <w:rStyle w:val="Strong"/>
        </w:rPr>
        <w:t>tool</w:t>
      </w:r>
      <w:r w:rsidR="00537044" w:rsidRPr="00537044">
        <w:rPr>
          <w:rStyle w:val="Strong"/>
        </w:rPr>
        <w:t xml:space="preserve"> </w:t>
      </w:r>
      <w:r w:rsidR="00B764A1">
        <w:rPr>
          <w:rStyle w:val="Strong"/>
        </w:rPr>
        <w:t xml:space="preserve">which </w:t>
      </w:r>
      <w:r w:rsidR="00537044">
        <w:rPr>
          <w:rStyle w:val="Strong"/>
        </w:rPr>
        <w:t xml:space="preserve">should </w:t>
      </w:r>
      <w:r w:rsidR="00537044" w:rsidRPr="00537044">
        <w:rPr>
          <w:rStyle w:val="Strong"/>
        </w:rPr>
        <w:t>be used by State, Territory and federal courts, lawyers, government and non-government service providers</w:t>
      </w:r>
      <w:r w:rsidR="005276FE">
        <w:rPr>
          <w:rStyle w:val="Strong"/>
        </w:rPr>
        <w:t xml:space="preserve"> (Question 31)</w:t>
      </w:r>
      <w:r w:rsidR="00537044" w:rsidRPr="00537044">
        <w:rPr>
          <w:rStyle w:val="Strong"/>
        </w:rPr>
        <w:t>.</w:t>
      </w:r>
    </w:p>
    <w:p w:rsidR="00A704B7" w:rsidRDefault="00A704B7" w:rsidP="00F3459E"/>
    <w:p w:rsidR="00A704B7" w:rsidRDefault="00A704B7" w:rsidP="00B23CEE">
      <w:pPr>
        <w:pStyle w:val="Heading1"/>
      </w:pPr>
      <w:r>
        <w:t xml:space="preserve">Information Sharing between State/Territory and Federal </w:t>
      </w:r>
      <w:r w:rsidR="00B23CEE">
        <w:t>service providers (</w:t>
      </w:r>
      <w:r w:rsidR="00FE34B1">
        <w:t xml:space="preserve">Question </w:t>
      </w:r>
      <w:r w:rsidR="0019237E">
        <w:t>33)</w:t>
      </w:r>
    </w:p>
    <w:p w:rsidR="00537044" w:rsidRDefault="00537044" w:rsidP="00FE34B1">
      <w:r w:rsidRPr="00537044">
        <w:t xml:space="preserve">This matter relates to </w:t>
      </w:r>
      <w:r w:rsidR="00FE34B1">
        <w:t xml:space="preserve">question 33 of the Australian Law Reform Commission, </w:t>
      </w:r>
      <w:r w:rsidR="00FE34B1" w:rsidRPr="00744946">
        <w:rPr>
          <w:i/>
          <w:iCs/>
        </w:rPr>
        <w:t xml:space="preserve">Review of the Family Law System: Issues Paper </w:t>
      </w:r>
      <w:r w:rsidR="00FE34B1">
        <w:t xml:space="preserve">(March 2018) on how collaboration and information sharing between the federal family law and state child protection and family violence systems can be improved. </w:t>
      </w:r>
    </w:p>
    <w:p w:rsidR="002A60E4" w:rsidRDefault="00A7088B" w:rsidP="00654B79">
      <w:r>
        <w:t xml:space="preserve">Information sharing is necessary for adequate risk assessment in family violence cases. </w:t>
      </w:r>
      <w:r w:rsidR="002A60E4">
        <w:t>Access to orders made by other courts is not routinely provided to all State/Territory and federal courts</w:t>
      </w:r>
      <w:r w:rsidR="00C0533C">
        <w:t xml:space="preserve"> or other service providers</w:t>
      </w:r>
      <w:r w:rsidR="002A60E4">
        <w:t xml:space="preserve">. </w:t>
      </w:r>
      <w:r w:rsidR="00567062">
        <w:t>Information sharing is crucial to allowing state and federal courts</w:t>
      </w:r>
      <w:r w:rsidR="00C0533C">
        <w:t xml:space="preserve"> and </w:t>
      </w:r>
      <w:r w:rsidR="00C0533C">
        <w:lastRenderedPageBreak/>
        <w:t xml:space="preserve">service providers </w:t>
      </w:r>
      <w:r w:rsidR="00567062">
        <w:t>to</w:t>
      </w:r>
      <w:r w:rsidR="008A0739">
        <w:t xml:space="preserve"> accurately</w:t>
      </w:r>
      <w:r w:rsidR="00567062">
        <w:t xml:space="preserve"> identify and</w:t>
      </w:r>
      <w:r w:rsidR="008A0739">
        <w:t xml:space="preserve"> safely </w:t>
      </w:r>
      <w:r w:rsidR="00567062">
        <w:t>manage risks for victims of family violence and their children.</w:t>
      </w:r>
      <w:r w:rsidR="00567062">
        <w:rPr>
          <w:rStyle w:val="FootnoteReference"/>
        </w:rPr>
        <w:footnoteReference w:id="44"/>
      </w:r>
      <w:r w:rsidR="00567062">
        <w:t xml:space="preserve"> Lack of information sharing is often a cause for delay in both state/territory courts and federal family violence courts as courts stand down matters to </w:t>
      </w:r>
      <w:r w:rsidR="008A0739">
        <w:t xml:space="preserve">determine what orders have been </w:t>
      </w:r>
      <w:r w:rsidR="00567062">
        <w:t>made by other courts.</w:t>
      </w:r>
    </w:p>
    <w:p w:rsidR="0007038F" w:rsidRDefault="0007038F" w:rsidP="0007038F">
      <w:r>
        <w:t xml:space="preserve">The Royal Commission into Family Violence recommended that </w:t>
      </w:r>
      <w:r w:rsidRPr="00204E6F">
        <w:t>the Victorian government, through the Council of Australian Government’s Law, Crime and Community Safety Committee, pursue</w:t>
      </w:r>
      <w:r>
        <w:t xml:space="preserve"> the creation of a national database for family violence, child protection and family law orders, judgments, transcripts, and other court documents that is accessible to each of the relevant State, Territory and federal courts and other agencies as necessary.</w:t>
      </w:r>
      <w:r>
        <w:rPr>
          <w:rStyle w:val="FootnoteReference"/>
        </w:rPr>
        <w:footnoteReference w:id="45"/>
      </w:r>
      <w:r>
        <w:t xml:space="preserve"> The Royal Commission noted that information exchange should extend beyond provision of court orders and should be accessible to state child protection authorities and police forces.</w:t>
      </w:r>
      <w:r>
        <w:rPr>
          <w:rStyle w:val="FootnoteReference"/>
        </w:rPr>
        <w:footnoteReference w:id="46"/>
      </w:r>
      <w:r>
        <w:t xml:space="preserve"> </w:t>
      </w:r>
    </w:p>
    <w:p w:rsidR="00C0533C" w:rsidRDefault="008A0739" w:rsidP="00654B79">
      <w:r>
        <w:t xml:space="preserve">The </w:t>
      </w:r>
      <w:r w:rsidRPr="008A0739">
        <w:t xml:space="preserve">Council of Australian Government’s Law, Crime and Community Safety Committee </w:t>
      </w:r>
      <w:r w:rsidR="00B62BE5">
        <w:t xml:space="preserve">(now Council of Attorneys-General) </w:t>
      </w:r>
      <w:r>
        <w:t>agreed</w:t>
      </w:r>
      <w:r w:rsidR="00FE7FD7">
        <w:t xml:space="preserve"> in 2016</w:t>
      </w:r>
      <w:r>
        <w:t xml:space="preserve"> to work towards a </w:t>
      </w:r>
      <w:r w:rsidR="00B642C4">
        <w:t xml:space="preserve">national </w:t>
      </w:r>
      <w:r>
        <w:t xml:space="preserve">starting date for </w:t>
      </w:r>
      <w:r w:rsidR="00B642C4">
        <w:t>the national domestic violence order scheme.</w:t>
      </w:r>
      <w:r w:rsidR="00B642C4">
        <w:rPr>
          <w:rStyle w:val="FootnoteReference"/>
        </w:rPr>
        <w:footnoteReference w:id="47"/>
      </w:r>
      <w:r w:rsidR="00B642C4">
        <w:t xml:space="preserve"> The Committee had earlier stated that an </w:t>
      </w:r>
      <w:r>
        <w:t>objective of the National Domestic Violence Order Information Sharing System is to prototype the technical solution to improve the lack of national coordination and information sharing</w:t>
      </w:r>
      <w:r w:rsidR="00B642C4">
        <w:t xml:space="preserve"> </w:t>
      </w:r>
      <w:r>
        <w:t>of domestic violence orders and related court orders across systems and between</w:t>
      </w:r>
      <w:r w:rsidR="00B642C4">
        <w:t xml:space="preserve"> </w:t>
      </w:r>
      <w:r>
        <w:t>jurisdictions</w:t>
      </w:r>
      <w:r w:rsidR="00B642C4">
        <w:t>.</w:t>
      </w:r>
      <w:r w:rsidR="00B642C4">
        <w:rPr>
          <w:rStyle w:val="FootnoteReference"/>
        </w:rPr>
        <w:footnoteReference w:id="48"/>
      </w:r>
      <w:r w:rsidR="003D345B">
        <w:t xml:space="preserve"> </w:t>
      </w:r>
      <w:r w:rsidR="00B62BE5">
        <w:t xml:space="preserve">In November 2017 the </w:t>
      </w:r>
      <w:r w:rsidR="00B62BE5" w:rsidRPr="00B62BE5">
        <w:t>National Domestic Violence Order Scheme</w:t>
      </w:r>
      <w:r w:rsidR="00B62BE5">
        <w:t xml:space="preserve"> was launched which will mean that family violence intervention </w:t>
      </w:r>
      <w:r w:rsidR="00B62BE5" w:rsidRPr="00B62BE5">
        <w:t xml:space="preserve">orders issued in any Australian </w:t>
      </w:r>
      <w:r w:rsidR="00B62BE5">
        <w:t>S</w:t>
      </w:r>
      <w:r w:rsidR="00B62BE5" w:rsidRPr="00B62BE5">
        <w:t xml:space="preserve">tate or </w:t>
      </w:r>
      <w:r w:rsidR="00B62BE5">
        <w:t>T</w:t>
      </w:r>
      <w:r w:rsidR="00B62BE5" w:rsidRPr="00B62BE5">
        <w:t>erritory will be automatically recognised and enforceable nationwide</w:t>
      </w:r>
      <w:r w:rsidR="00B62BE5">
        <w:t>.</w:t>
      </w:r>
      <w:r w:rsidR="00B62BE5">
        <w:rPr>
          <w:rStyle w:val="FootnoteReference"/>
        </w:rPr>
        <w:footnoteReference w:id="49"/>
      </w:r>
      <w:r w:rsidR="00B62BE5">
        <w:t xml:space="preserve"> This scheme is supported by the</w:t>
      </w:r>
      <w:r w:rsidR="00B62BE5" w:rsidRPr="00B62BE5">
        <w:t xml:space="preserve"> Interim Order Reference Solution </w:t>
      </w:r>
      <w:r w:rsidR="00B62BE5">
        <w:t xml:space="preserve">which is </w:t>
      </w:r>
      <w:r w:rsidR="00B62BE5" w:rsidRPr="00B62BE5">
        <w:t xml:space="preserve">a secure web portal which allows local courts across Australia to access </w:t>
      </w:r>
      <w:r w:rsidR="007066C2">
        <w:t xml:space="preserve">intervention order </w:t>
      </w:r>
      <w:r w:rsidR="00B62BE5" w:rsidRPr="00B62BE5">
        <w:t>information held in the N</w:t>
      </w:r>
      <w:r w:rsidR="00B62BE5">
        <w:t>ational Police Reference System, run by the Australian Criminal Intelligence Commission.</w:t>
      </w:r>
      <w:r w:rsidR="00B62BE5">
        <w:rPr>
          <w:rStyle w:val="FootnoteReference"/>
        </w:rPr>
        <w:footnoteReference w:id="50"/>
      </w:r>
      <w:r w:rsidR="00B62BE5">
        <w:t xml:space="preserve"> It is intended that </w:t>
      </w:r>
      <w:r w:rsidR="004701CF">
        <w:t>this system will be in place “</w:t>
      </w:r>
      <w:r w:rsidR="004701CF" w:rsidRPr="004701CF">
        <w:t>until a dedicated and comprehensive national information sharing system, the National Order Reference System (NORS) is delivered at the end of 2019</w:t>
      </w:r>
      <w:r w:rsidR="004701CF">
        <w:t>.”</w:t>
      </w:r>
      <w:r w:rsidR="004701CF">
        <w:rPr>
          <w:rStyle w:val="FootnoteReference"/>
        </w:rPr>
        <w:footnoteReference w:id="51"/>
      </w:r>
      <w:r w:rsidR="00C0533C">
        <w:t xml:space="preserve"> </w:t>
      </w:r>
      <w:r w:rsidR="0007038F">
        <w:t>It is commendable that a</w:t>
      </w:r>
      <w:r w:rsidR="007066C2">
        <w:t>n information</w:t>
      </w:r>
      <w:r w:rsidR="0007038F">
        <w:t xml:space="preserve"> </w:t>
      </w:r>
      <w:r w:rsidR="00654B79">
        <w:t xml:space="preserve">sharing </w:t>
      </w:r>
      <w:r w:rsidR="0007038F">
        <w:t xml:space="preserve">system is being implemented. </w:t>
      </w:r>
      <w:r w:rsidR="00820688">
        <w:t xml:space="preserve">The need for this scheme is urgent. </w:t>
      </w:r>
    </w:p>
    <w:p w:rsidR="00C0533C" w:rsidRDefault="00C0533C" w:rsidP="00C0533C">
      <w:pPr>
        <w:pStyle w:val="Heading3"/>
      </w:pPr>
      <w:r>
        <w:t>Access to Information by federal family support service providers</w:t>
      </w:r>
    </w:p>
    <w:p w:rsidR="004D1AB9" w:rsidRDefault="0007038F" w:rsidP="00DD3271">
      <w:r>
        <w:t>Access</w:t>
      </w:r>
      <w:r w:rsidR="004D1AB9">
        <w:t xml:space="preserve"> to intervention order</w:t>
      </w:r>
      <w:r>
        <w:t xml:space="preserve"> information held by agencies and courts will be necessary to ensure the safety of victims of family violence and their families</w:t>
      </w:r>
      <w:r w:rsidR="00654B79">
        <w:t>,</w:t>
      </w:r>
      <w:r>
        <w:t xml:space="preserve"> not just for the courts</w:t>
      </w:r>
      <w:r w:rsidR="00654B79">
        <w:t>,</w:t>
      </w:r>
      <w:r>
        <w:t xml:space="preserve"> b</w:t>
      </w:r>
      <w:r w:rsidR="00654B79">
        <w:t>ut</w:t>
      </w:r>
      <w:r>
        <w:t xml:space="preserve"> for other service </w:t>
      </w:r>
      <w:r>
        <w:lastRenderedPageBreak/>
        <w:t>providers who work in and around the justice</w:t>
      </w:r>
      <w:r w:rsidR="007066C2">
        <w:t xml:space="preserve"> system. </w:t>
      </w:r>
      <w:r w:rsidR="00DD3271">
        <w:t>Family law s</w:t>
      </w:r>
      <w:r w:rsidR="007066C2">
        <w:t xml:space="preserve">ervice providers who will need access to intervention order </w:t>
      </w:r>
      <w:r w:rsidR="00820688">
        <w:t xml:space="preserve">information include service providers under the federal </w:t>
      </w:r>
      <w:r w:rsidR="00820688" w:rsidRPr="00820688">
        <w:t>Family Relationships Services Programme</w:t>
      </w:r>
      <w:r w:rsidR="00820688">
        <w:t xml:space="preserve"> including services such as </w:t>
      </w:r>
      <w:r w:rsidR="00820688" w:rsidRPr="00820688">
        <w:t>family relationship centres, family dispute resolution (FDR), family counselling, children's contact services, parenting Orders Programme, the Post Separation Cooperative Parenting Programme and the Supporting Children After Separ</w:t>
      </w:r>
      <w:r w:rsidR="00820688">
        <w:t xml:space="preserve">ation Program. The need for </w:t>
      </w:r>
      <w:r w:rsidR="00DD3271">
        <w:t xml:space="preserve">safety in </w:t>
      </w:r>
      <w:r w:rsidR="00820688">
        <w:t>family support service</w:t>
      </w:r>
      <w:r w:rsidR="00DD3271">
        <w:t xml:space="preserve"> provision i</w:t>
      </w:r>
      <w:r w:rsidR="00820688">
        <w:t xml:space="preserve">n the federal family law system trumps the potential privacy needs of perpetrators of family violence. </w:t>
      </w:r>
      <w:r w:rsidR="00C0533C">
        <w:t>The Royal Commission noted that information exchange should extend beyond provision of court orders and should be accessible to state child protection authorities and police forces</w:t>
      </w:r>
      <w:r w:rsidR="00DD3271">
        <w:t xml:space="preserve"> also</w:t>
      </w:r>
      <w:r w:rsidR="00C0533C">
        <w:t>.</w:t>
      </w:r>
    </w:p>
    <w:p w:rsidR="00820688" w:rsidRDefault="004D1AB9" w:rsidP="00C0533C">
      <w:r>
        <w:t xml:space="preserve">The </w:t>
      </w:r>
      <w:r w:rsidR="00DD3271">
        <w:t>necessity</w:t>
      </w:r>
      <w:r>
        <w:t xml:space="preserve"> for family support services in the federal family law system under the </w:t>
      </w:r>
      <w:r w:rsidRPr="00820688">
        <w:t>Family Relationships Services Programme</w:t>
      </w:r>
      <w:r>
        <w:t xml:space="preserve"> to access the national intervention order scheme is immediate and strong. </w:t>
      </w:r>
      <w:r w:rsidRPr="004D1AB9">
        <w:t>The AIFS Evaluation of the 2012 Family Violence Reforms found that the use of FDR was “strongly associated” with the experience of family violence, and that parents, especially mothers, who also reported experiencing the conditions of fear, coercion and control as a result, were more likely to be using FDR services as their main pathway to sort out parenting arrangements</w:t>
      </w:r>
      <w:r>
        <w:t>.</w:t>
      </w:r>
      <w:r>
        <w:rPr>
          <w:rStyle w:val="FootnoteReference"/>
        </w:rPr>
        <w:footnoteReference w:id="52"/>
      </w:r>
      <w:r w:rsidRPr="004D1AB9">
        <w:t xml:space="preserve"> Significantly higher proportions of mothers (71% using FDR) than fathers (48% using FDR) reported having experienced fear, coercion and control before/during separation</w:t>
      </w:r>
      <w:r>
        <w:t>.</w:t>
      </w:r>
      <w:r>
        <w:rPr>
          <w:rStyle w:val="FootnoteReference"/>
        </w:rPr>
        <w:footnoteReference w:id="53"/>
      </w:r>
      <w:r w:rsidRPr="004D1AB9">
        <w:t xml:space="preserve"> </w:t>
      </w:r>
      <w:r w:rsidR="00820688">
        <w:t xml:space="preserve">Without access to the </w:t>
      </w:r>
      <w:r w:rsidR="00820688" w:rsidRPr="00B62BE5">
        <w:t>Interim Order Reference Solution</w:t>
      </w:r>
      <w:r>
        <w:t>, or</w:t>
      </w:r>
      <w:r w:rsidR="00820688">
        <w:t xml:space="preserve"> after 2019, the </w:t>
      </w:r>
      <w:r w:rsidR="00820688" w:rsidRPr="004701CF">
        <w:t>National Order Reference System</w:t>
      </w:r>
      <w:r>
        <w:t>,</w:t>
      </w:r>
      <w:r w:rsidR="00820688">
        <w:t xml:space="preserve"> </w:t>
      </w:r>
      <w:r w:rsidR="00820688" w:rsidRPr="00820688">
        <w:t xml:space="preserve">Family Relationships Services </w:t>
      </w:r>
      <w:r>
        <w:t xml:space="preserve">will need to </w:t>
      </w:r>
      <w:r w:rsidR="00C0533C">
        <w:t>depend on</w:t>
      </w:r>
      <w:r>
        <w:t xml:space="preserve"> on </w:t>
      </w:r>
      <w:r w:rsidR="00B23CEE">
        <w:t xml:space="preserve">unreliable </w:t>
      </w:r>
      <w:r>
        <w:t xml:space="preserve">self-reporting of </w:t>
      </w:r>
      <w:r w:rsidR="00B23CEE">
        <w:t xml:space="preserve">the presence of intervention </w:t>
      </w:r>
      <w:r w:rsidR="00DD3271">
        <w:t xml:space="preserve">and other </w:t>
      </w:r>
      <w:r w:rsidR="00B23CEE">
        <w:t xml:space="preserve">orders by parties, which creates a safety risk for participants. </w:t>
      </w:r>
    </w:p>
    <w:p w:rsidR="00C0533C" w:rsidRDefault="00C0533C" w:rsidP="00C0533C">
      <w:pPr>
        <w:pStyle w:val="Heading3"/>
      </w:pPr>
      <w:r>
        <w:t>Information on a broad range of court orders</w:t>
      </w:r>
    </w:p>
    <w:p w:rsidR="0028111F" w:rsidRDefault="00A43EEF" w:rsidP="00146D6A">
      <w:r>
        <w:t>It will also be necessary for the full range of family violence, family law and child protection orders issue</w:t>
      </w:r>
      <w:r w:rsidR="00C0533C">
        <w:t>d</w:t>
      </w:r>
      <w:r>
        <w:t xml:space="preserve"> by state magistrates courts, chil</w:t>
      </w:r>
      <w:r w:rsidR="00C0533C">
        <w:t>dr</w:t>
      </w:r>
      <w:r>
        <w:t xml:space="preserve">en’s courts the two federal family courts to be stored in the </w:t>
      </w:r>
      <w:r w:rsidRPr="004701CF">
        <w:t>National Order Reference System</w:t>
      </w:r>
      <w:r w:rsidRPr="00A43EEF">
        <w:t xml:space="preserve"> </w:t>
      </w:r>
      <w:r>
        <w:t xml:space="preserve">from 2019. The </w:t>
      </w:r>
      <w:r w:rsidR="00C0533C">
        <w:t>Australian Criminal Intelligence Commission has stated that, “</w:t>
      </w:r>
      <w:r w:rsidRPr="00A43EEF">
        <w:t>The new system is being designed so it can be used as a base platform for sharing information about other types of orders, including bail, parole and warrants.</w:t>
      </w:r>
      <w:r w:rsidR="00C0533C">
        <w:t>”</w:t>
      </w:r>
      <w:r w:rsidR="00C0533C">
        <w:rPr>
          <w:rStyle w:val="FootnoteReference"/>
        </w:rPr>
        <w:footnoteReference w:id="54"/>
      </w:r>
      <w:r w:rsidR="00C0533C">
        <w:t xml:space="preserve"> </w:t>
      </w:r>
      <w:r w:rsidR="0028111F">
        <w:t xml:space="preserve">It is desirable that a broad range of orders and judgments from the many state and federal courts whose jurisdiction touches upon family violence should be included in the </w:t>
      </w:r>
      <w:r w:rsidR="0028111F" w:rsidRPr="004701CF">
        <w:t>National Order Reference System</w:t>
      </w:r>
      <w:r w:rsidR="0028111F">
        <w:t>, including intervention orders, criminal law matters, child protection and family law</w:t>
      </w:r>
      <w:r w:rsidR="00146D6A">
        <w:t xml:space="preserve"> orders</w:t>
      </w:r>
      <w:r w:rsidR="0028111F">
        <w:t xml:space="preserve"> to ensure that all courts and service providers have up</w:t>
      </w:r>
      <w:r w:rsidR="00146D6A">
        <w:t>-</w:t>
      </w:r>
      <w:r w:rsidR="0028111F">
        <w:t>to</w:t>
      </w:r>
      <w:r w:rsidR="00146D6A">
        <w:t>-</w:t>
      </w:r>
      <w:r w:rsidR="0028111F">
        <w:t>date and accurate information on the outcomes of legal proceedings. In the family law system, this will better ensure the safety of victims of family violence who are also separating and who must use family law processes.</w:t>
      </w:r>
    </w:p>
    <w:p w:rsidR="00146D6A" w:rsidRDefault="00146D6A" w:rsidP="00146D6A">
      <w:pPr>
        <w:rPr>
          <w:rStyle w:val="Strong"/>
        </w:rPr>
      </w:pPr>
      <w:r>
        <w:rPr>
          <w:rStyle w:val="Strong"/>
        </w:rPr>
        <w:t>4.</w:t>
      </w:r>
      <w:r w:rsidRPr="00146D6A">
        <w:rPr>
          <w:rStyle w:val="Strong"/>
        </w:rPr>
        <w:t xml:space="preserve"> </w:t>
      </w:r>
      <w:r>
        <w:rPr>
          <w:rStyle w:val="Strong"/>
        </w:rPr>
        <w:t xml:space="preserve">I </w:t>
      </w:r>
      <w:r w:rsidRPr="00A7088B">
        <w:rPr>
          <w:rStyle w:val="Strong"/>
        </w:rPr>
        <w:t xml:space="preserve">recommend that </w:t>
      </w:r>
    </w:p>
    <w:p w:rsidR="00146D6A" w:rsidRDefault="009C1FEB" w:rsidP="00146D6A">
      <w:pPr>
        <w:pStyle w:val="ListParagraph"/>
        <w:numPr>
          <w:ilvl w:val="0"/>
          <w:numId w:val="13"/>
        </w:numPr>
        <w:rPr>
          <w:rStyle w:val="Strong"/>
        </w:rPr>
      </w:pPr>
      <w:r>
        <w:rPr>
          <w:rStyle w:val="Strong"/>
        </w:rPr>
        <w:t>S</w:t>
      </w:r>
      <w:r w:rsidR="00146D6A">
        <w:rPr>
          <w:rStyle w:val="Strong"/>
        </w:rPr>
        <w:t>ervice p</w:t>
      </w:r>
      <w:r w:rsidR="00146D6A" w:rsidRPr="00B23CEE">
        <w:rPr>
          <w:rStyle w:val="Strong"/>
        </w:rPr>
        <w:t>roviders under the federal Family Relationships Services Programme including services such as family relationship centres, family dispute resolution (FDR), family counselling, children's contact services, parenting Orders Programme, the Post Separation Cooperative Parenting Programme and the Supporting Children After Separation Program</w:t>
      </w:r>
      <w:r w:rsidR="00146D6A">
        <w:rPr>
          <w:rStyle w:val="Strong"/>
        </w:rPr>
        <w:t>s, be able to access the national order reference systems in cases of family violence as necessary (Question 33);</w:t>
      </w:r>
    </w:p>
    <w:p w:rsidR="00146D6A" w:rsidRDefault="00146D6A" w:rsidP="00146D6A">
      <w:pPr>
        <w:pStyle w:val="ListParagraph"/>
        <w:numPr>
          <w:ilvl w:val="0"/>
          <w:numId w:val="13"/>
        </w:numPr>
        <w:rPr>
          <w:rStyle w:val="Strong"/>
        </w:rPr>
      </w:pPr>
      <w:r>
        <w:rPr>
          <w:rStyle w:val="Strong"/>
        </w:rPr>
        <w:lastRenderedPageBreak/>
        <w:t>The national order reference system should include criminal law, chil</w:t>
      </w:r>
      <w:r w:rsidRPr="00A7088B">
        <w:rPr>
          <w:rStyle w:val="Strong"/>
        </w:rPr>
        <w:t>d protection</w:t>
      </w:r>
      <w:r>
        <w:rPr>
          <w:rStyle w:val="Strong"/>
        </w:rPr>
        <w:t>, family violence</w:t>
      </w:r>
      <w:r w:rsidRPr="00A7088B">
        <w:rPr>
          <w:rStyle w:val="Strong"/>
        </w:rPr>
        <w:t xml:space="preserve"> and family law orders</w:t>
      </w:r>
      <w:r>
        <w:rPr>
          <w:rStyle w:val="Strong"/>
        </w:rPr>
        <w:t xml:space="preserve"> and </w:t>
      </w:r>
      <w:r w:rsidRPr="00A7088B">
        <w:rPr>
          <w:rStyle w:val="Strong"/>
        </w:rPr>
        <w:t>judgments</w:t>
      </w:r>
      <w:r>
        <w:rPr>
          <w:rStyle w:val="Strong"/>
        </w:rPr>
        <w:t xml:space="preserve"> from all State, Territory and federal courts (Question 33).</w:t>
      </w:r>
    </w:p>
    <w:p w:rsidR="0040510C" w:rsidRDefault="0040510C" w:rsidP="00F75AFE">
      <w:pPr>
        <w:pStyle w:val="Heading1"/>
      </w:pPr>
      <w:r>
        <w:t>Family Consultants</w:t>
      </w:r>
      <w:r w:rsidR="0019237E">
        <w:t xml:space="preserve"> </w:t>
      </w:r>
      <w:r w:rsidR="00F75AFE">
        <w:t>(Question 41)</w:t>
      </w:r>
    </w:p>
    <w:p w:rsidR="00A64952" w:rsidRDefault="00A64952" w:rsidP="00A64952">
      <w:r>
        <w:t>This section responds to question 41 on core competencies of professionals in the family law system. It focuses especially on the practices of family consultants (either private report writers or employed by the Family Court of Australia and the Federal Circuit Court).</w:t>
      </w:r>
      <w:r w:rsidR="007545AD">
        <w:t xml:space="preserve"> </w:t>
      </w:r>
    </w:p>
    <w:p w:rsidR="00A7088B" w:rsidRDefault="00A7088B" w:rsidP="00C25028">
      <w:r>
        <w:t xml:space="preserve">Family Consultants </w:t>
      </w:r>
      <w:r w:rsidR="00BB619C" w:rsidRPr="00BB619C">
        <w:t>are psychologists and/or social workers who specialise in child and family issues after separation and divorce.</w:t>
      </w:r>
      <w:r w:rsidR="00BB619C">
        <w:t xml:space="preserve"> </w:t>
      </w:r>
      <w:r w:rsidR="00C25028">
        <w:t>Family consultants may be ‘in-house‘, employed by the courts</w:t>
      </w:r>
      <w:r w:rsidR="00181748">
        <w:t>,</w:t>
      </w:r>
      <w:r w:rsidR="00C25028">
        <w:t xml:space="preserve"> or private practitioners engaged by the family courts pursuant to Regulation 7 of the </w:t>
      </w:r>
      <w:r w:rsidR="00C25028" w:rsidRPr="00C25028">
        <w:rPr>
          <w:i/>
        </w:rPr>
        <w:t>Family Law Regulations 1984</w:t>
      </w:r>
      <w:r w:rsidR="00C25028">
        <w:t xml:space="preserve">. </w:t>
      </w:r>
      <w:r w:rsidR="00BB619C">
        <w:t xml:space="preserve">Under the Family Law Act 1975, family consultants </w:t>
      </w:r>
      <w:r w:rsidR="000D1422">
        <w:t>have numerous roles in child-related proceedings, including the provision of advice to the family courts on ‘such matters relevant to the proceedings as the court thinks desirable.’</w:t>
      </w:r>
      <w:r w:rsidR="000D1422">
        <w:rPr>
          <w:rStyle w:val="FootnoteReference"/>
        </w:rPr>
        <w:footnoteReference w:id="55"/>
      </w:r>
      <w:r w:rsidR="000D1422">
        <w:t xml:space="preserve"> </w:t>
      </w:r>
      <w:r w:rsidR="009D0EEE">
        <w:t>Family consultants interview children and their parents/carers and provide reports to the court on what orders will be in the best interests of the children. Information provided to the consultant is not privileged and can be reported to the courts.</w:t>
      </w:r>
      <w:r w:rsidR="00C25028">
        <w:rPr>
          <w:rStyle w:val="FootnoteReference"/>
        </w:rPr>
        <w:footnoteReference w:id="56"/>
      </w:r>
      <w:r w:rsidR="009D0EEE">
        <w:t xml:space="preserve"> </w:t>
      </w:r>
      <w:r w:rsidR="000D1422">
        <w:t>The family courts use the evidence given by family consultants on a wide range of matters</w:t>
      </w:r>
      <w:r w:rsidR="009D0EEE">
        <w:t xml:space="preserve"> to assist with determining what orders should be made.</w:t>
      </w:r>
      <w:r w:rsidR="009D0EEE">
        <w:rPr>
          <w:rStyle w:val="FootnoteReference"/>
        </w:rPr>
        <w:footnoteReference w:id="57"/>
      </w:r>
    </w:p>
    <w:p w:rsidR="00152943" w:rsidRDefault="00152943" w:rsidP="00152943">
      <w:r>
        <w:t>The preparation of family reports is governed by the 2015 Australian Standards of Practice for Family Assessment and Reporting. These provide minimum standards and best practice guidelines for family assessments in family law matters that are applicable to both court-based family consultants and family report writers engaged under Regulation 7.</w:t>
      </w:r>
      <w:r>
        <w:rPr>
          <w:rStyle w:val="FootnoteReference"/>
        </w:rPr>
        <w:footnoteReference w:id="58"/>
      </w:r>
      <w:r w:rsidR="00CA59DC">
        <w:t xml:space="preserve"> At present, family consultants are not required to undergo family violence training.</w:t>
      </w:r>
      <w:r w:rsidR="00CA59DC">
        <w:rPr>
          <w:rStyle w:val="FootnoteReference"/>
        </w:rPr>
        <w:footnoteReference w:id="59"/>
      </w:r>
    </w:p>
    <w:p w:rsidR="00CA59DC" w:rsidRDefault="00603AD3" w:rsidP="00152943">
      <w:r>
        <w:t xml:space="preserve">Poor identification, understanding and responsiveness to family violence by family consultants raises the real potential for </w:t>
      </w:r>
      <w:r w:rsidR="00181748">
        <w:t xml:space="preserve">the commission of </w:t>
      </w:r>
      <w:r>
        <w:t xml:space="preserve">further family violence during the report-writing process or </w:t>
      </w:r>
      <w:r w:rsidR="00181748">
        <w:t xml:space="preserve">following </w:t>
      </w:r>
      <w:r>
        <w:t xml:space="preserve">inappropriate parenting orders made in reliance upon the family report. </w:t>
      </w:r>
      <w:r w:rsidR="00CA59DC">
        <w:t xml:space="preserve">Multiple submissions made to the Victorian Royal Commission into Family Violence alleged that family consultants did not understand the nature and dynamics of family violence </w:t>
      </w:r>
      <w:r w:rsidR="00CD208A">
        <w:t xml:space="preserve">and minimised the violence </w:t>
      </w:r>
      <w:r w:rsidR="00CA59DC">
        <w:t>in their case.</w:t>
      </w:r>
      <w:r w:rsidR="00CA59DC">
        <w:rPr>
          <w:rStyle w:val="FootnoteReference"/>
        </w:rPr>
        <w:footnoteReference w:id="60"/>
      </w:r>
      <w:r w:rsidR="00CA59DC">
        <w:t xml:space="preserve"> The Royal Commission heard stories of </w:t>
      </w:r>
      <w:r w:rsidR="00B1265D">
        <w:t xml:space="preserve">both parents being asked to attend for an assessment by family consultants at the same time </w:t>
      </w:r>
      <w:r w:rsidR="00CD208A">
        <w:t>(</w:t>
      </w:r>
      <w:r w:rsidR="00B1265D">
        <w:t>despite the existence of a family violence intervention order preventing such contact</w:t>
      </w:r>
      <w:r w:rsidR="00CD208A">
        <w:t>)</w:t>
      </w:r>
      <w:r w:rsidR="00B1265D">
        <w:t xml:space="preserve"> and victims of family violence </w:t>
      </w:r>
      <w:r w:rsidR="00CD208A">
        <w:t xml:space="preserve">being viewed suspiciously </w:t>
      </w:r>
      <w:r w:rsidR="00B1265D">
        <w:t xml:space="preserve">by family consultants for </w:t>
      </w:r>
      <w:r w:rsidR="00CD208A">
        <w:t>raising allegations of family violence.</w:t>
      </w:r>
      <w:r w:rsidR="00CD208A">
        <w:rPr>
          <w:rStyle w:val="FootnoteReference"/>
        </w:rPr>
        <w:footnoteReference w:id="61"/>
      </w:r>
    </w:p>
    <w:p w:rsidR="00CA59DC" w:rsidRDefault="00CA59DC" w:rsidP="00152943">
      <w:r>
        <w:lastRenderedPageBreak/>
        <w:t>The only way to challenge the evidence of a family consultant is to cross-examine the consultant when they are called as a witness to the case.</w:t>
      </w:r>
      <w:r w:rsidR="00B1265D">
        <w:rPr>
          <w:rStyle w:val="FootnoteReference"/>
        </w:rPr>
        <w:footnoteReference w:id="62"/>
      </w:r>
      <w:r>
        <w:t xml:space="preserve"> </w:t>
      </w:r>
      <w:r w:rsidR="00B1265D">
        <w:t>This action is beyond the financial and legal capability of many victims of family violence who may feel that the consultant did not adequately take into account the nature and existence of violence in their case.</w:t>
      </w:r>
    </w:p>
    <w:p w:rsidR="000E7BCA" w:rsidRPr="000E7BCA" w:rsidRDefault="009C1FEB" w:rsidP="007545AD">
      <w:pPr>
        <w:rPr>
          <w:rStyle w:val="Strong"/>
        </w:rPr>
      </w:pPr>
      <w:r>
        <w:rPr>
          <w:rStyle w:val="Strong"/>
        </w:rPr>
        <w:t xml:space="preserve">5. </w:t>
      </w:r>
      <w:r w:rsidR="007545AD">
        <w:rPr>
          <w:rStyle w:val="Strong"/>
        </w:rPr>
        <w:t xml:space="preserve">I </w:t>
      </w:r>
      <w:r w:rsidR="00CD208A" w:rsidRPr="000E7BCA">
        <w:rPr>
          <w:rStyle w:val="Strong"/>
        </w:rPr>
        <w:t xml:space="preserve">recommend that </w:t>
      </w:r>
    </w:p>
    <w:p w:rsidR="00C25028" w:rsidRPr="000E7BCA" w:rsidRDefault="000E7BCA" w:rsidP="007545AD">
      <w:pPr>
        <w:pStyle w:val="ListParagraph"/>
        <w:numPr>
          <w:ilvl w:val="0"/>
          <w:numId w:val="10"/>
        </w:numPr>
        <w:rPr>
          <w:rStyle w:val="Strong"/>
        </w:rPr>
      </w:pPr>
      <w:r w:rsidRPr="000E7BCA">
        <w:rPr>
          <w:rStyle w:val="Strong"/>
        </w:rPr>
        <w:t>All family consultants should undergo</w:t>
      </w:r>
      <w:r w:rsidR="00A947E8">
        <w:rPr>
          <w:rStyle w:val="Strong"/>
        </w:rPr>
        <w:t xml:space="preserve"> regular, </w:t>
      </w:r>
      <w:r w:rsidR="007545AD">
        <w:rPr>
          <w:rStyle w:val="Strong"/>
        </w:rPr>
        <w:t xml:space="preserve">mandatory, </w:t>
      </w:r>
      <w:r w:rsidRPr="000E7BCA">
        <w:rPr>
          <w:rStyle w:val="Strong"/>
        </w:rPr>
        <w:t>high-quality family violence training</w:t>
      </w:r>
    </w:p>
    <w:p w:rsidR="000E7BCA" w:rsidRPr="000E7BCA" w:rsidRDefault="000E7BCA" w:rsidP="000E7BCA">
      <w:pPr>
        <w:pStyle w:val="ListParagraph"/>
        <w:numPr>
          <w:ilvl w:val="0"/>
          <w:numId w:val="10"/>
        </w:numPr>
        <w:rPr>
          <w:rStyle w:val="Strong"/>
        </w:rPr>
      </w:pPr>
      <w:r w:rsidRPr="000E7BCA">
        <w:rPr>
          <w:rStyle w:val="Strong"/>
        </w:rPr>
        <w:t>All family consultants must use a high-quality family violence risk assessment tool such as the Victorian Common Risk Assessment Framework (CRAF)</w:t>
      </w:r>
    </w:p>
    <w:p w:rsidR="000E7BCA" w:rsidRPr="000E7BCA" w:rsidRDefault="000E7BCA" w:rsidP="00FE34B1">
      <w:pPr>
        <w:pStyle w:val="ListParagraph"/>
        <w:numPr>
          <w:ilvl w:val="0"/>
          <w:numId w:val="10"/>
        </w:numPr>
        <w:rPr>
          <w:rStyle w:val="Strong"/>
        </w:rPr>
      </w:pPr>
      <w:r w:rsidRPr="000E7BCA">
        <w:rPr>
          <w:rStyle w:val="Strong"/>
        </w:rPr>
        <w:t>A non-court complaints process should be introduced for the review of the conduct of family consultants</w:t>
      </w:r>
      <w:r w:rsidR="00FE34B1">
        <w:rPr>
          <w:rStyle w:val="Strong"/>
        </w:rPr>
        <w:t xml:space="preserve"> (Question 41)</w:t>
      </w:r>
    </w:p>
    <w:p w:rsidR="0040510C" w:rsidRDefault="0040510C" w:rsidP="0040510C"/>
    <w:p w:rsidR="0040510C" w:rsidRDefault="006F4A06" w:rsidP="00F75AFE">
      <w:pPr>
        <w:pStyle w:val="Heading1"/>
      </w:pPr>
      <w:r>
        <w:t>Cross-</w:t>
      </w:r>
      <w:r w:rsidR="0040510C">
        <w:t xml:space="preserve">Examination of Victims of Family </w:t>
      </w:r>
      <w:r w:rsidR="00E40607">
        <w:t>Violence by P</w:t>
      </w:r>
      <w:r w:rsidR="0040510C">
        <w:t>erpetrators</w:t>
      </w:r>
      <w:r w:rsidR="0019237E">
        <w:t xml:space="preserve"> </w:t>
      </w:r>
      <w:r w:rsidR="00F75AFE">
        <w:t>(Question 25)</w:t>
      </w:r>
    </w:p>
    <w:p w:rsidR="0040510C" w:rsidRDefault="00A25D86" w:rsidP="006F4A06">
      <w:r>
        <w:t xml:space="preserve">This matter relates to </w:t>
      </w:r>
      <w:r w:rsidR="007545AD">
        <w:t>question 2</w:t>
      </w:r>
      <w:r w:rsidR="006F4A06">
        <w:t>5</w:t>
      </w:r>
      <w:r w:rsidR="007545AD">
        <w:t xml:space="preserve"> on how</w:t>
      </w:r>
      <w:r w:rsidR="006F4A06">
        <w:t xml:space="preserve"> to avoid misuse of family law processes as a form of abuse. </w:t>
      </w:r>
      <w:r w:rsidR="007545AD">
        <w:t xml:space="preserve"> </w:t>
      </w:r>
    </w:p>
    <w:p w:rsidR="00A25D86" w:rsidRDefault="00A25D86" w:rsidP="0040510C">
      <w:r>
        <w:t xml:space="preserve">At present, </w:t>
      </w:r>
      <w:r w:rsidR="00E40607">
        <w:t>un</w:t>
      </w:r>
      <w:r w:rsidR="0004620F">
        <w:t>re</w:t>
      </w:r>
      <w:r w:rsidR="00E40607">
        <w:t>presented perpetrators of family violence are</w:t>
      </w:r>
      <w:r w:rsidR="006F4A06">
        <w:t xml:space="preserve"> still</w:t>
      </w:r>
      <w:r w:rsidR="00E40607">
        <w:t xml:space="preserve"> able to cross-examine their victim of family violence in federal family law proceedings. </w:t>
      </w:r>
      <w:r w:rsidR="0004620F">
        <w:t>Direct cross-examinations of victims can be used by perpetrators to further commit family violence and most certainly result in significant trauma for victims.</w:t>
      </w:r>
      <w:r w:rsidR="0004620F">
        <w:rPr>
          <w:rStyle w:val="FootnoteReference"/>
        </w:rPr>
        <w:footnoteReference w:id="63"/>
      </w:r>
      <w:r w:rsidR="0004620F">
        <w:t xml:space="preserve"> </w:t>
      </w:r>
      <w:r w:rsidR="006B50AA">
        <w:t>The family courts have acknowledged that a lack of legal aid funding means that such cross examinations do occur.</w:t>
      </w:r>
      <w:r w:rsidR="006B50AA">
        <w:rPr>
          <w:rStyle w:val="FootnoteReference"/>
        </w:rPr>
        <w:footnoteReference w:id="64"/>
      </w:r>
      <w:r w:rsidR="006B50AA">
        <w:t xml:space="preserve"> </w:t>
      </w:r>
    </w:p>
    <w:p w:rsidR="0040510C" w:rsidRDefault="00EE596D" w:rsidP="006F4A06">
      <w:r>
        <w:t>The Productivity Commission recommended in 2014 that the Family Law Act should be amended to include provisions restricting personal cross-examination by those alleged to have used violence along the lines of provisions that exist in State and Territory family violence legislation.</w:t>
      </w:r>
      <w:r>
        <w:rPr>
          <w:rStyle w:val="FootnoteReference"/>
        </w:rPr>
        <w:footnoteReference w:id="65"/>
      </w:r>
      <w:r w:rsidR="006F4A06">
        <w:t xml:space="preserve"> Draft legislation has been prepared which would protect vulnerable witnesses from direct cross examination by perpetrators of violence against them.</w:t>
      </w:r>
      <w:r w:rsidR="006F4A06">
        <w:rPr>
          <w:rStyle w:val="FootnoteReference"/>
        </w:rPr>
        <w:footnoteReference w:id="66"/>
      </w:r>
      <w:r w:rsidR="006F4A06">
        <w:t xml:space="preserve">  However the Bill has not yet been introduced into Parliament, despite recommendation in 2017 from the </w:t>
      </w:r>
      <w:r w:rsidR="006F4A06" w:rsidRPr="006F4A06">
        <w:t>Standing Committee on Social Policy and Legal Af</w:t>
      </w:r>
      <w:r w:rsidR="006F4A06">
        <w:t>fairs, House of Representatives that this be done urgently.</w:t>
      </w:r>
    </w:p>
    <w:p w:rsidR="00671B38" w:rsidRDefault="006F4A06" w:rsidP="0004620F">
      <w:r>
        <w:t>P</w:t>
      </w:r>
      <w:r w:rsidR="0004620F" w:rsidRPr="0004620F">
        <w:t xml:space="preserve">ersonal cross-examination </w:t>
      </w:r>
      <w:r w:rsidR="0004620F">
        <w:t xml:space="preserve">of victims of family violence </w:t>
      </w:r>
      <w:r w:rsidR="0004620F" w:rsidRPr="0004620F">
        <w:t xml:space="preserve">by </w:t>
      </w:r>
      <w:r w:rsidR="0004620F">
        <w:t xml:space="preserve">perpetrators is totally unacceptable. The occurrence of such an event is tantamount to the courts and the family law system collaborating in further acts of family violence against the victim. </w:t>
      </w:r>
    </w:p>
    <w:p w:rsidR="0004620F" w:rsidRDefault="0004620F" w:rsidP="0004620F">
      <w:r>
        <w:t xml:space="preserve">In Victoria’s family violence system, </w:t>
      </w:r>
      <w:r w:rsidR="007017ED">
        <w:t>there are provisions which regulate the cross-examination of protected witnesses in state courts.</w:t>
      </w:r>
      <w:r w:rsidR="007017ED">
        <w:rPr>
          <w:rStyle w:val="FootnoteReference"/>
        </w:rPr>
        <w:footnoteReference w:id="67"/>
      </w:r>
      <w:r w:rsidR="007017ED">
        <w:t xml:space="preserve"> Essentially, these provisions mean that </w:t>
      </w:r>
      <w:r w:rsidR="0008350B">
        <w:t xml:space="preserve">where a respondent is </w:t>
      </w:r>
      <w:r w:rsidR="0008350B">
        <w:lastRenderedPageBreak/>
        <w:t xml:space="preserve">self-represented, the court must order legal aid representation for the purpose of cross-examination. </w:t>
      </w:r>
      <w:r w:rsidR="009709F4">
        <w:t>These</w:t>
      </w:r>
      <w:r w:rsidR="00181748">
        <w:t xml:space="preserve"> provisions</w:t>
      </w:r>
      <w:r w:rsidR="009709F4">
        <w:t xml:space="preserve"> provide a good model of practice for how the federal family law system could operate.</w:t>
      </w:r>
    </w:p>
    <w:p w:rsidR="009C1FEB" w:rsidRDefault="006F4A06" w:rsidP="009C1FEB">
      <w:pPr>
        <w:ind w:left="567" w:hanging="567"/>
        <w:rPr>
          <w:rStyle w:val="Strong"/>
        </w:rPr>
      </w:pPr>
      <w:r>
        <w:rPr>
          <w:rStyle w:val="Strong"/>
        </w:rPr>
        <w:t xml:space="preserve">I </w:t>
      </w:r>
      <w:r w:rsidR="009709F4" w:rsidRPr="009709F4">
        <w:rPr>
          <w:rStyle w:val="Strong"/>
        </w:rPr>
        <w:t xml:space="preserve">recommend that </w:t>
      </w:r>
    </w:p>
    <w:p w:rsidR="009709F4" w:rsidRPr="009709F4" w:rsidRDefault="009C1FEB" w:rsidP="009C1FEB">
      <w:pPr>
        <w:ind w:left="567" w:hanging="567"/>
        <w:rPr>
          <w:rStyle w:val="Strong"/>
        </w:rPr>
      </w:pPr>
      <w:r>
        <w:rPr>
          <w:rStyle w:val="Strong"/>
        </w:rPr>
        <w:t>6.</w:t>
      </w:r>
      <w:r>
        <w:rPr>
          <w:rStyle w:val="Strong"/>
        </w:rPr>
        <w:tab/>
        <w:t>T</w:t>
      </w:r>
      <w:r w:rsidR="009709F4" w:rsidRPr="009709F4">
        <w:rPr>
          <w:rStyle w:val="Strong"/>
        </w:rPr>
        <w:t xml:space="preserve">he Commonwealth Parliament </w:t>
      </w:r>
      <w:r w:rsidR="00744946">
        <w:rPr>
          <w:rStyle w:val="Strong"/>
        </w:rPr>
        <w:t xml:space="preserve">urgently </w:t>
      </w:r>
      <w:r w:rsidR="009709F4" w:rsidRPr="009709F4">
        <w:rPr>
          <w:rStyle w:val="Strong"/>
        </w:rPr>
        <w:t xml:space="preserve">amend the </w:t>
      </w:r>
      <w:r w:rsidR="009709F4" w:rsidRPr="00744946">
        <w:rPr>
          <w:rStyle w:val="Strong"/>
          <w:i/>
          <w:iCs/>
        </w:rPr>
        <w:t>Family Law Act 1975</w:t>
      </w:r>
      <w:r w:rsidR="009709F4" w:rsidRPr="009709F4">
        <w:rPr>
          <w:rStyle w:val="Strong"/>
        </w:rPr>
        <w:t xml:space="preserve"> to ensure that perpetrators of family violence do not personally cross-examine victims of family violence in family law proceedings</w:t>
      </w:r>
      <w:r w:rsidR="00FE34B1">
        <w:rPr>
          <w:rStyle w:val="Strong"/>
        </w:rPr>
        <w:t xml:space="preserve"> (Question 25);</w:t>
      </w:r>
    </w:p>
    <w:p w:rsidR="009709F4" w:rsidRPr="009709F4" w:rsidRDefault="009C1FEB" w:rsidP="009C1FEB">
      <w:pPr>
        <w:ind w:left="567" w:hanging="567"/>
        <w:rPr>
          <w:rStyle w:val="Strong"/>
        </w:rPr>
      </w:pPr>
      <w:bookmarkStart w:id="0" w:name="_GoBack"/>
      <w:bookmarkEnd w:id="0"/>
      <w:r>
        <w:rPr>
          <w:rStyle w:val="Strong"/>
        </w:rPr>
        <w:t xml:space="preserve">7. </w:t>
      </w:r>
      <w:r>
        <w:rPr>
          <w:rStyle w:val="Strong"/>
        </w:rPr>
        <w:tab/>
      </w:r>
      <w:r w:rsidR="009709F4" w:rsidRPr="009709F4">
        <w:rPr>
          <w:rStyle w:val="Strong"/>
        </w:rPr>
        <w:t>That the federal Attorney-General provide adequate legal aid funds to allow for the legal representation of victims and perpetrators of family violence for the purpose of cross-examination of victims in family law cases</w:t>
      </w:r>
      <w:r w:rsidR="00FE34B1">
        <w:rPr>
          <w:rStyle w:val="Strong"/>
        </w:rPr>
        <w:t xml:space="preserve"> (Question 25).</w:t>
      </w:r>
    </w:p>
    <w:p w:rsidR="00691980" w:rsidRDefault="00691980" w:rsidP="00691980"/>
    <w:sectPr w:rsidR="00691980" w:rsidSect="00F52D79">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956" w:rsidRDefault="00355956" w:rsidP="00FB77B2">
      <w:pPr>
        <w:spacing w:after="0" w:line="240" w:lineRule="auto"/>
      </w:pPr>
      <w:r>
        <w:separator/>
      </w:r>
    </w:p>
  </w:endnote>
  <w:endnote w:type="continuationSeparator" w:id="0">
    <w:p w:rsidR="00355956" w:rsidRDefault="00355956" w:rsidP="00FB77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6570060"/>
      <w:docPartObj>
        <w:docPartGallery w:val="Page Numbers (Bottom of Page)"/>
        <w:docPartUnique/>
      </w:docPartObj>
    </w:sdtPr>
    <w:sdtEndPr>
      <w:rPr>
        <w:noProof/>
      </w:rPr>
    </w:sdtEndPr>
    <w:sdtContent>
      <w:p w:rsidR="00A25D86" w:rsidRDefault="00F52D79">
        <w:pPr>
          <w:pStyle w:val="Footer"/>
          <w:jc w:val="right"/>
        </w:pPr>
        <w:r>
          <w:fldChar w:fldCharType="begin"/>
        </w:r>
        <w:r w:rsidR="00A25D86">
          <w:instrText xml:space="preserve"> PAGE   \* MERGEFORMAT </w:instrText>
        </w:r>
        <w:r>
          <w:fldChar w:fldCharType="separate"/>
        </w:r>
        <w:r w:rsidR="006148CC">
          <w:rPr>
            <w:noProof/>
          </w:rPr>
          <w:t>17</w:t>
        </w:r>
        <w:r>
          <w:rPr>
            <w:noProof/>
          </w:rPr>
          <w:fldChar w:fldCharType="end"/>
        </w:r>
      </w:p>
    </w:sdtContent>
  </w:sdt>
  <w:p w:rsidR="00A25D86" w:rsidRDefault="00A25D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956" w:rsidRDefault="00355956" w:rsidP="00FB77B2">
      <w:pPr>
        <w:spacing w:after="0" w:line="240" w:lineRule="auto"/>
      </w:pPr>
      <w:r>
        <w:separator/>
      </w:r>
    </w:p>
  </w:footnote>
  <w:footnote w:type="continuationSeparator" w:id="0">
    <w:p w:rsidR="00355956" w:rsidRDefault="00355956" w:rsidP="00FB77B2">
      <w:pPr>
        <w:spacing w:after="0" w:line="240" w:lineRule="auto"/>
      </w:pPr>
      <w:r>
        <w:continuationSeparator/>
      </w:r>
    </w:p>
  </w:footnote>
  <w:footnote w:id="1">
    <w:p w:rsidR="00A25D86" w:rsidRPr="00FB77B2" w:rsidRDefault="00A25D86" w:rsidP="00FB77B2">
      <w:pPr>
        <w:pStyle w:val="FootnoteText"/>
      </w:pPr>
      <w:r>
        <w:rPr>
          <w:rStyle w:val="FootnoteReference"/>
        </w:rPr>
        <w:footnoteRef/>
      </w:r>
      <w:r>
        <w:t xml:space="preserve"> VicHealth, </w:t>
      </w:r>
      <w:r w:rsidRPr="00FB77B2">
        <w:rPr>
          <w:i/>
          <w:iCs/>
        </w:rPr>
        <w:t>The health costs of violence: Measuring the burden of disease caused by intimate partner violence: A summary of findings</w:t>
      </w:r>
      <w:r>
        <w:rPr>
          <w:i/>
          <w:iCs/>
        </w:rPr>
        <w:t xml:space="preserve"> </w:t>
      </w:r>
      <w:r>
        <w:t>(2004, Melbourne) 10.</w:t>
      </w:r>
    </w:p>
  </w:footnote>
  <w:footnote w:id="2">
    <w:p w:rsidR="00A25D86" w:rsidRDefault="00A25D86">
      <w:pPr>
        <w:pStyle w:val="FootnoteText"/>
      </w:pPr>
      <w:r>
        <w:rPr>
          <w:rStyle w:val="FootnoteReference"/>
        </w:rPr>
        <w:footnoteRef/>
      </w:r>
      <w:r>
        <w:t xml:space="preserve"> </w:t>
      </w:r>
      <w:r w:rsidRPr="00EE23C9">
        <w:t xml:space="preserve">Australian Bureau of Statistics, 2012, </w:t>
      </w:r>
      <w:r w:rsidRPr="00EE23C9">
        <w:rPr>
          <w:i/>
          <w:iCs/>
        </w:rPr>
        <w:t>Personal Safety, Australia 2012</w:t>
      </w:r>
      <w:r w:rsidRPr="00EE23C9">
        <w:t>,  Cat no 4906.0, Canberra.</w:t>
      </w:r>
    </w:p>
  </w:footnote>
  <w:footnote w:id="3">
    <w:p w:rsidR="00A25D86" w:rsidRDefault="00A25D86">
      <w:pPr>
        <w:pStyle w:val="FootnoteText"/>
      </w:pPr>
      <w:r>
        <w:rPr>
          <w:rStyle w:val="FootnoteReference"/>
        </w:rPr>
        <w:footnoteRef/>
      </w:r>
      <w:r>
        <w:t xml:space="preserve"> </w:t>
      </w:r>
      <w:r w:rsidRPr="00EE23C9">
        <w:t xml:space="preserve">Kaspiew, R, Gray, M, Weston, R, Moloney, L, Hand, K and Qu, L, 2009, </w:t>
      </w:r>
      <w:r w:rsidRPr="00EE23C9">
        <w:rPr>
          <w:i/>
          <w:iCs/>
        </w:rPr>
        <w:t>Evaluation of the 2006 Family Law Reform</w:t>
      </w:r>
      <w:r w:rsidRPr="00EE23C9">
        <w:t>s, Australian Institute of Family Studies, Melbourne</w:t>
      </w:r>
      <w:r>
        <w:t>, 26.</w:t>
      </w:r>
    </w:p>
  </w:footnote>
  <w:footnote w:id="4">
    <w:p w:rsidR="00A25D86" w:rsidRDefault="00A25D86">
      <w:pPr>
        <w:pStyle w:val="FootnoteText"/>
      </w:pPr>
      <w:r>
        <w:rPr>
          <w:rStyle w:val="FootnoteReference"/>
        </w:rPr>
        <w:footnoteRef/>
      </w:r>
      <w:r>
        <w:t xml:space="preserve"> </w:t>
      </w:r>
      <w:r w:rsidRPr="00EE23C9">
        <w:t xml:space="preserve">Kaspiew, R, Gray, M, Weston, R, Moloney, L, Hand, K and Qu, L, 2009, </w:t>
      </w:r>
      <w:r w:rsidRPr="00EE23C9">
        <w:rPr>
          <w:i/>
          <w:iCs/>
        </w:rPr>
        <w:t>Evaluation of the 2006 Family Law Reforms</w:t>
      </w:r>
      <w:r w:rsidRPr="00EE23C9">
        <w:t>, Australian Institute of Family Studies, Melbourne</w:t>
      </w:r>
      <w:r>
        <w:t>, 314.</w:t>
      </w:r>
    </w:p>
  </w:footnote>
  <w:footnote w:id="5">
    <w:p w:rsidR="00A25D86" w:rsidRDefault="00A25D86" w:rsidP="004B5000">
      <w:pPr>
        <w:pStyle w:val="FootnoteText"/>
      </w:pPr>
      <w:r>
        <w:rPr>
          <w:rStyle w:val="FootnoteReference"/>
        </w:rPr>
        <w:footnoteRef/>
      </w:r>
      <w:r>
        <w:t xml:space="preserve"> Productivity Commission, </w:t>
      </w:r>
      <w:r w:rsidRPr="007E618B">
        <w:rPr>
          <w:i/>
          <w:iCs/>
        </w:rPr>
        <w:t>Access to Justice Arrangements Inquiry Report</w:t>
      </w:r>
      <w:r>
        <w:t xml:space="preserve"> (Commonwealth of Australia, No 72, 2014) Volume 2, 855.</w:t>
      </w:r>
    </w:p>
  </w:footnote>
  <w:footnote w:id="6">
    <w:p w:rsidR="00A25D86" w:rsidRDefault="00A25D86" w:rsidP="00130296">
      <w:pPr>
        <w:pStyle w:val="FootnoteText"/>
      </w:pPr>
      <w:r>
        <w:rPr>
          <w:rStyle w:val="FootnoteReference"/>
        </w:rPr>
        <w:footnoteRef/>
      </w:r>
      <w:r>
        <w:t xml:space="preserve"> Royal Commission into Family Violence, </w:t>
      </w:r>
      <w:r w:rsidRPr="000B70B4">
        <w:rPr>
          <w:i/>
          <w:iCs/>
        </w:rPr>
        <w:t>Report and Recommendations</w:t>
      </w:r>
      <w:r>
        <w:t xml:space="preserve"> (State of Victoria, 2016) Volume IV,</w:t>
      </w:r>
    </w:p>
  </w:footnote>
  <w:footnote w:id="7">
    <w:p w:rsidR="00A25D86" w:rsidRDefault="00A25D86" w:rsidP="004B5000">
      <w:pPr>
        <w:pStyle w:val="FootnoteText"/>
      </w:pPr>
      <w:r>
        <w:t>190.</w:t>
      </w:r>
    </w:p>
    <w:p w:rsidR="00A25D86" w:rsidRDefault="00A25D86" w:rsidP="004B5000">
      <w:pPr>
        <w:pStyle w:val="FootnoteText"/>
      </w:pPr>
      <w:r>
        <w:rPr>
          <w:rStyle w:val="FootnoteReference"/>
        </w:rPr>
        <w:footnoteRef/>
      </w:r>
      <w:r>
        <w:t xml:space="preserve"> Productivity Commission, </w:t>
      </w:r>
      <w:r w:rsidRPr="007E618B">
        <w:rPr>
          <w:i/>
          <w:iCs/>
        </w:rPr>
        <w:t>Access to Justice Arrangements Inquiry Report</w:t>
      </w:r>
      <w:r>
        <w:t xml:space="preserve"> (Commonwealth of Australia, No 72, 2014) Volume 2, 865.</w:t>
      </w:r>
    </w:p>
  </w:footnote>
  <w:footnote w:id="8">
    <w:p w:rsidR="00A25D86" w:rsidRDefault="00A25D86" w:rsidP="004B5000">
      <w:pPr>
        <w:pStyle w:val="FootnoteText"/>
      </w:pPr>
      <w:r>
        <w:rPr>
          <w:rStyle w:val="FootnoteReference"/>
        </w:rPr>
        <w:footnoteRef/>
      </w:r>
      <w:r>
        <w:t xml:space="preserve"> Productivity Commission, </w:t>
      </w:r>
      <w:r w:rsidRPr="007E618B">
        <w:rPr>
          <w:i/>
          <w:iCs/>
        </w:rPr>
        <w:t>Access to Justice Arrangements Inquiry Report</w:t>
      </w:r>
      <w:r>
        <w:t xml:space="preserve"> (Commonwealth of Australia, No 72, 2014) Volume 2, 866.</w:t>
      </w:r>
    </w:p>
  </w:footnote>
  <w:footnote w:id="9">
    <w:p w:rsidR="00A25D86" w:rsidRDefault="00A25D86" w:rsidP="00D4779A">
      <w:pPr>
        <w:pStyle w:val="FootnoteText"/>
      </w:pPr>
      <w:r>
        <w:rPr>
          <w:rStyle w:val="FootnoteReference"/>
        </w:rPr>
        <w:footnoteRef/>
      </w:r>
      <w:r>
        <w:t xml:space="preserve"> Rae Kaspiew, et al, </w:t>
      </w:r>
      <w:r w:rsidRPr="00F0303A">
        <w:rPr>
          <w:i/>
          <w:iCs/>
        </w:rPr>
        <w:t>Evaluation of the 2012 Family Violence Amendments: Synthesis Report</w:t>
      </w:r>
      <w:r>
        <w:t xml:space="preserve"> (2015, Australian Institute of Family Studies, Commonwealth of Australia) 24.</w:t>
      </w:r>
    </w:p>
  </w:footnote>
  <w:footnote w:id="10">
    <w:p w:rsidR="00A25D86" w:rsidRDefault="00A25D86">
      <w:pPr>
        <w:pStyle w:val="FootnoteText"/>
      </w:pPr>
      <w:r>
        <w:rPr>
          <w:rStyle w:val="FootnoteReference"/>
        </w:rPr>
        <w:footnoteRef/>
      </w:r>
      <w:r>
        <w:t xml:space="preserve"> Rae Kaspiew, et al, </w:t>
      </w:r>
      <w:r w:rsidRPr="00F0303A">
        <w:rPr>
          <w:i/>
          <w:iCs/>
        </w:rPr>
        <w:t>Evaluation of the 2012 Family Violence Amendments: Synthesis Report</w:t>
      </w:r>
      <w:r>
        <w:t xml:space="preserve"> (2015, Australian Institute of Family Studies, Commonwealth of Australia) xi.</w:t>
      </w:r>
    </w:p>
  </w:footnote>
  <w:footnote w:id="11">
    <w:p w:rsidR="00A25D86" w:rsidRDefault="00A25D86">
      <w:pPr>
        <w:pStyle w:val="FootnoteText"/>
      </w:pPr>
      <w:r>
        <w:rPr>
          <w:rStyle w:val="FootnoteReference"/>
        </w:rPr>
        <w:footnoteRef/>
      </w:r>
      <w:r>
        <w:t xml:space="preserve"> Rae Kaspiew, et al, </w:t>
      </w:r>
      <w:r w:rsidRPr="00F0303A">
        <w:rPr>
          <w:i/>
          <w:iCs/>
        </w:rPr>
        <w:t>Evaluation of the 2012 Family Violence Amendments: Synthesis Report</w:t>
      </w:r>
      <w:r>
        <w:t xml:space="preserve"> (2015, Australian Institute of Family Studies, Commonwealth of Australia) 24.</w:t>
      </w:r>
    </w:p>
  </w:footnote>
  <w:footnote w:id="12">
    <w:p w:rsidR="00A25D86" w:rsidRDefault="00A25D86">
      <w:pPr>
        <w:pStyle w:val="FootnoteText"/>
      </w:pPr>
      <w:r>
        <w:rPr>
          <w:rStyle w:val="FootnoteReference"/>
        </w:rPr>
        <w:footnoteRef/>
      </w:r>
      <w:r>
        <w:t xml:space="preserve"> Rae Kaspiew, et al, </w:t>
      </w:r>
      <w:r w:rsidRPr="00F0303A">
        <w:rPr>
          <w:i/>
          <w:iCs/>
        </w:rPr>
        <w:t>Evaluation of the 2012 Family Violence Amendments: Synthesis Report</w:t>
      </w:r>
      <w:r>
        <w:t xml:space="preserve"> (2015, Australian Institute of Family Studies, Commonwealth of Australia) 240-45.</w:t>
      </w:r>
    </w:p>
  </w:footnote>
  <w:footnote w:id="13">
    <w:p w:rsidR="00A25D86" w:rsidRDefault="00A25D86">
      <w:pPr>
        <w:pStyle w:val="FootnoteText"/>
      </w:pPr>
      <w:r>
        <w:rPr>
          <w:rStyle w:val="FootnoteReference"/>
        </w:rPr>
        <w:footnoteRef/>
      </w:r>
      <w:r>
        <w:t xml:space="preserve"> Carson, Rachel, Fehlberg, Belinda and Millward, Christine (2013), ‘Parents' experiences of Family Dispute Resolution and family law services in Australia following shared parenting reform: recent qualitative findings’ 25 </w:t>
      </w:r>
      <w:r w:rsidRPr="00881947">
        <w:rPr>
          <w:i/>
          <w:iCs/>
        </w:rPr>
        <w:t>Child and Family Law Quarterly</w:t>
      </w:r>
      <w:r>
        <w:t xml:space="preserve"> 406, 420.</w:t>
      </w:r>
    </w:p>
  </w:footnote>
  <w:footnote w:id="14">
    <w:p w:rsidR="00A25D86" w:rsidRDefault="00A25D86">
      <w:pPr>
        <w:pStyle w:val="FootnoteText"/>
      </w:pPr>
      <w:r>
        <w:rPr>
          <w:rStyle w:val="FootnoteReference"/>
        </w:rPr>
        <w:footnoteRef/>
      </w:r>
      <w:r>
        <w:t xml:space="preserve"> Royal Commission into Family Violence, </w:t>
      </w:r>
      <w:r w:rsidRPr="000B70B4">
        <w:rPr>
          <w:i/>
          <w:iCs/>
        </w:rPr>
        <w:t>Report and Recommendations</w:t>
      </w:r>
      <w:r>
        <w:t xml:space="preserve"> (State of Victoria, 2016) Volume IV, 190.</w:t>
      </w:r>
    </w:p>
  </w:footnote>
  <w:footnote w:id="15">
    <w:p w:rsidR="00E76957" w:rsidRDefault="00E76957">
      <w:pPr>
        <w:pStyle w:val="FootnoteText"/>
      </w:pPr>
      <w:r>
        <w:rPr>
          <w:rStyle w:val="FootnoteReference"/>
        </w:rPr>
        <w:footnoteRef/>
      </w:r>
      <w:r>
        <w:t xml:space="preserve"> </w:t>
      </w:r>
      <w:r w:rsidRPr="00E76957">
        <w:rPr>
          <w:i/>
        </w:rPr>
        <w:t>Ray v Males</w:t>
      </w:r>
      <w:r w:rsidRPr="00E76957">
        <w:t xml:space="preserve"> [2009] FamCA</w:t>
      </w:r>
      <w:r w:rsidR="00B47056">
        <w:t xml:space="preserve">; </w:t>
      </w:r>
      <w:r w:rsidR="00D512C8" w:rsidRPr="00D512C8">
        <w:rPr>
          <w:i/>
        </w:rPr>
        <w:t xml:space="preserve">Secretary for Department of Health and Human Services &amp; Ray and Ors </w:t>
      </w:r>
      <w:r w:rsidR="00D512C8" w:rsidRPr="00D512C8">
        <w:t>(2010) FLC 93-457</w:t>
      </w:r>
      <w:r w:rsidR="00D512C8">
        <w:t>.</w:t>
      </w:r>
    </w:p>
  </w:footnote>
  <w:footnote w:id="16">
    <w:p w:rsidR="008B2CBE" w:rsidRPr="008B2CBE" w:rsidRDefault="008B2CBE" w:rsidP="008B2CBE">
      <w:pPr>
        <w:pStyle w:val="FootnoteText"/>
      </w:pPr>
      <w:r>
        <w:rPr>
          <w:rStyle w:val="FootnoteReference"/>
        </w:rPr>
        <w:footnoteRef/>
      </w:r>
      <w:r>
        <w:t xml:space="preserve"> Daniel Matta, </w:t>
      </w:r>
      <w:r w:rsidRPr="00E76957">
        <w:rPr>
          <w:i/>
        </w:rPr>
        <w:t>The Intersection of Private Family Law and Non-Federal Claims: An Examination the Family Court of Australia’s Accrued Jurisdiction</w:t>
      </w:r>
      <w:r>
        <w:rPr>
          <w:i/>
        </w:rPr>
        <w:t xml:space="preserve">, </w:t>
      </w:r>
      <w:r>
        <w:t>SJD Thesis, Monash University (to be submitted 2018) abstract.</w:t>
      </w:r>
    </w:p>
  </w:footnote>
  <w:footnote w:id="17">
    <w:p w:rsidR="00D512C8" w:rsidRDefault="00D512C8" w:rsidP="00D512C8">
      <w:pPr>
        <w:pStyle w:val="FootnoteText"/>
      </w:pPr>
      <w:r>
        <w:rPr>
          <w:rStyle w:val="FootnoteReference"/>
        </w:rPr>
        <w:footnoteRef/>
      </w:r>
      <w:r>
        <w:t xml:space="preserve"> </w:t>
      </w:r>
      <w:r w:rsidRPr="00D512C8">
        <w:rPr>
          <w:i/>
        </w:rPr>
        <w:t>Philip Morris Inc v Adam P Brown Male Fashions Pty Ltd</w:t>
      </w:r>
      <w:r w:rsidRPr="00D512C8">
        <w:t xml:space="preserve"> (1981) 148 CLR 457</w:t>
      </w:r>
      <w:r>
        <w:t xml:space="preserve">; </w:t>
      </w:r>
      <w:r w:rsidRPr="00D512C8">
        <w:rPr>
          <w:i/>
        </w:rPr>
        <w:t>Fencott v Muller</w:t>
      </w:r>
      <w:r w:rsidRPr="00D512C8">
        <w:t xml:space="preserve"> (1983) 152 CLR 570</w:t>
      </w:r>
      <w:r>
        <w:t xml:space="preserve">; </w:t>
      </w:r>
      <w:r w:rsidRPr="00D512C8">
        <w:rPr>
          <w:i/>
        </w:rPr>
        <w:t>Stack v Coast Securities</w:t>
      </w:r>
      <w:r w:rsidRPr="00D512C8">
        <w:t xml:space="preserve"> </w:t>
      </w:r>
      <w:r w:rsidRPr="00D512C8">
        <w:rPr>
          <w:i/>
        </w:rPr>
        <w:t>(No.9) Pty Ltd</w:t>
      </w:r>
      <w:r w:rsidRPr="00D512C8">
        <w:t xml:space="preserve"> (1983) 154 CLR 261</w:t>
      </w:r>
      <w:r>
        <w:t>.</w:t>
      </w:r>
    </w:p>
  </w:footnote>
  <w:footnote w:id="18">
    <w:p w:rsidR="00A25D86" w:rsidRDefault="00A25D86">
      <w:pPr>
        <w:pStyle w:val="FootnoteText"/>
      </w:pPr>
      <w:r>
        <w:rPr>
          <w:rStyle w:val="FootnoteReference"/>
        </w:rPr>
        <w:footnoteRef/>
      </w:r>
      <w:r>
        <w:t xml:space="preserve"> Sarah Peel and Rosalind Croucher, ‘Mind(ing) the Gap: Reform Recommendations Responding to Child Protection in a Federal System’ (2011) 89 </w:t>
      </w:r>
      <w:r w:rsidRPr="005409F8">
        <w:rPr>
          <w:i/>
        </w:rPr>
        <w:t>Family Matters</w:t>
      </w:r>
      <w:r>
        <w:t xml:space="preserve"> 21, 28.</w:t>
      </w:r>
    </w:p>
  </w:footnote>
  <w:footnote w:id="19">
    <w:p w:rsidR="00A25D86" w:rsidRDefault="00A25D86" w:rsidP="00FD45E8">
      <w:pPr>
        <w:pStyle w:val="FootnoteText"/>
      </w:pPr>
      <w:r>
        <w:rPr>
          <w:rStyle w:val="FootnoteReference"/>
        </w:rPr>
        <w:footnoteRef/>
      </w:r>
      <w:r>
        <w:t xml:space="preserve"> Royal Commission into Family Violence, </w:t>
      </w:r>
      <w:r w:rsidRPr="000B70B4">
        <w:rPr>
          <w:i/>
          <w:iCs/>
        </w:rPr>
        <w:t>Report and Recommendations</w:t>
      </w:r>
      <w:r>
        <w:t xml:space="preserve"> (State of Victoria, 2016) Volume IV, 211.</w:t>
      </w:r>
    </w:p>
  </w:footnote>
  <w:footnote w:id="20">
    <w:p w:rsidR="00A25D86" w:rsidRDefault="00A25D86">
      <w:pPr>
        <w:pStyle w:val="FootnoteText"/>
      </w:pPr>
      <w:r>
        <w:rPr>
          <w:rStyle w:val="FootnoteReference"/>
        </w:rPr>
        <w:footnoteRef/>
      </w:r>
      <w:r>
        <w:t xml:space="preserve"> Royal Commission into Family Violence, </w:t>
      </w:r>
      <w:r w:rsidRPr="000B70B4">
        <w:rPr>
          <w:i/>
          <w:iCs/>
        </w:rPr>
        <w:t>Report and Recommendations</w:t>
      </w:r>
      <w:r>
        <w:t xml:space="preserve"> (State of Victoria, 2016) Volume IV, 211.</w:t>
      </w:r>
    </w:p>
  </w:footnote>
  <w:footnote w:id="21">
    <w:p w:rsidR="00A25D86" w:rsidRDefault="00A25D86" w:rsidP="005409F8">
      <w:pPr>
        <w:pStyle w:val="FootnoteText"/>
      </w:pPr>
      <w:r>
        <w:rPr>
          <w:rStyle w:val="FootnoteReference"/>
        </w:rPr>
        <w:footnoteRef/>
      </w:r>
      <w:r>
        <w:t xml:space="preserve"> Royal Commission into Family Violence, </w:t>
      </w:r>
      <w:r w:rsidRPr="000B70B4">
        <w:rPr>
          <w:i/>
          <w:iCs/>
        </w:rPr>
        <w:t>Report and Recommendations</w:t>
      </w:r>
      <w:r>
        <w:t xml:space="preserve"> (State of Victoria, 2016) Volume IV, 191.</w:t>
      </w:r>
    </w:p>
  </w:footnote>
  <w:footnote w:id="22">
    <w:p w:rsidR="00A25D86" w:rsidRDefault="00A25D86">
      <w:pPr>
        <w:pStyle w:val="FootnoteText"/>
      </w:pPr>
      <w:r>
        <w:rPr>
          <w:rStyle w:val="FootnoteReference"/>
        </w:rPr>
        <w:footnoteRef/>
      </w:r>
      <w:r>
        <w:t xml:space="preserve"> Royal Commission into Family Violence, </w:t>
      </w:r>
      <w:r w:rsidRPr="000B70B4">
        <w:rPr>
          <w:i/>
          <w:iCs/>
        </w:rPr>
        <w:t>Report and Recommendations</w:t>
      </w:r>
      <w:r>
        <w:t xml:space="preserve"> (State of Victoria, 2016) Volume IV, 211.</w:t>
      </w:r>
    </w:p>
  </w:footnote>
  <w:footnote w:id="23">
    <w:p w:rsidR="00A25D86" w:rsidRDefault="00A25D86" w:rsidP="00014C95">
      <w:pPr>
        <w:pStyle w:val="FootnoteText"/>
      </w:pPr>
      <w:r>
        <w:rPr>
          <w:rStyle w:val="FootnoteReference"/>
        </w:rPr>
        <w:footnoteRef/>
      </w:r>
      <w:r>
        <w:t xml:space="preserve"> Royal Commission into Family Violence, </w:t>
      </w:r>
      <w:r w:rsidRPr="000B70B4">
        <w:rPr>
          <w:i/>
          <w:iCs/>
        </w:rPr>
        <w:t>Report and Recommendations</w:t>
      </w:r>
      <w:r>
        <w:t xml:space="preserve"> (State of Victoria, 2016) Volume IV, 211.</w:t>
      </w:r>
    </w:p>
  </w:footnote>
  <w:footnote w:id="24">
    <w:p w:rsidR="00A67432" w:rsidRDefault="00A67432" w:rsidP="00A67432">
      <w:pPr>
        <w:pStyle w:val="FootnoteText"/>
      </w:pPr>
      <w:r>
        <w:rPr>
          <w:rStyle w:val="FootnoteReference"/>
        </w:rPr>
        <w:footnoteRef/>
      </w:r>
      <w:r>
        <w:t xml:space="preserve"> Women’s Legal Service Victoria, </w:t>
      </w:r>
      <w:r w:rsidRPr="00A67432">
        <w:rPr>
          <w:i/>
        </w:rPr>
        <w:t>Small Claims, Large Battles: Achieving economic equality in the family law system</w:t>
      </w:r>
      <w:r>
        <w:t xml:space="preserve"> (March 2018) 6.</w:t>
      </w:r>
    </w:p>
  </w:footnote>
  <w:footnote w:id="25">
    <w:p w:rsidR="00A25D86" w:rsidRDefault="00A25D86" w:rsidP="00014C95">
      <w:pPr>
        <w:pStyle w:val="FootnoteText"/>
      </w:pPr>
      <w:r>
        <w:rPr>
          <w:rStyle w:val="FootnoteReference"/>
        </w:rPr>
        <w:footnoteRef/>
      </w:r>
      <w:r>
        <w:t xml:space="preserve"> </w:t>
      </w:r>
      <w:r w:rsidRPr="00DB1386">
        <w:t>Productivity Commission, Access to Justice Arrangements Inquiry Report (Commonwealth of Australia, No 72, 2014) Volume 2, 8</w:t>
      </w:r>
      <w:r>
        <w:t>70.</w:t>
      </w:r>
    </w:p>
  </w:footnote>
  <w:footnote w:id="26">
    <w:p w:rsidR="00A25D86" w:rsidRDefault="00A25D86" w:rsidP="00014C95">
      <w:pPr>
        <w:pStyle w:val="FootnoteText"/>
      </w:pPr>
      <w:r>
        <w:rPr>
          <w:rStyle w:val="FootnoteReference"/>
        </w:rPr>
        <w:footnoteRef/>
      </w:r>
      <w:r>
        <w:t xml:space="preserve"> </w:t>
      </w:r>
      <w:r w:rsidRPr="00DB1386">
        <w:t>Productivity Commission, Access to Justice Arrangements Inquiry Report (Commonwealth of Australia, No 72, 2014) Volume 2,</w:t>
      </w:r>
      <w:r>
        <w:t xml:space="preserve"> 871-2.</w:t>
      </w:r>
    </w:p>
  </w:footnote>
  <w:footnote w:id="27">
    <w:p w:rsidR="00A25D86" w:rsidRDefault="00A25D86" w:rsidP="00014C95">
      <w:pPr>
        <w:pStyle w:val="FootnoteText"/>
      </w:pPr>
      <w:r>
        <w:rPr>
          <w:rStyle w:val="FootnoteReference"/>
        </w:rPr>
        <w:footnoteRef/>
      </w:r>
      <w:r>
        <w:t xml:space="preserve"> </w:t>
      </w:r>
      <w:r w:rsidRPr="00DB1386">
        <w:t>Productivity Commission, Access to Justice Arrangements Inquiry Report (Commonwealth of Australia, No 72, 2014) Volume 2,</w:t>
      </w:r>
      <w:r>
        <w:t xml:space="preserve"> 872.</w:t>
      </w:r>
    </w:p>
  </w:footnote>
  <w:footnote w:id="28">
    <w:p w:rsidR="00A25D86" w:rsidRDefault="00A25D86" w:rsidP="00014C95">
      <w:pPr>
        <w:pStyle w:val="FootnoteText"/>
      </w:pPr>
      <w:r>
        <w:rPr>
          <w:rStyle w:val="FootnoteReference"/>
        </w:rPr>
        <w:footnoteRef/>
      </w:r>
      <w:r>
        <w:t xml:space="preserve"> </w:t>
      </w:r>
      <w:r w:rsidRPr="00DB1386">
        <w:t>Productivity Commission, Access to Justice Arrangements Inquiry Report (Commonwealth of Australia, No 72, 2014) Volume 2,</w:t>
      </w:r>
      <w:r>
        <w:t xml:space="preserve"> 872.</w:t>
      </w:r>
    </w:p>
  </w:footnote>
  <w:footnote w:id="29">
    <w:p w:rsidR="00A25D86" w:rsidRDefault="00A25D86" w:rsidP="00014C95">
      <w:pPr>
        <w:pStyle w:val="FootnoteText"/>
      </w:pPr>
      <w:r>
        <w:rPr>
          <w:rStyle w:val="FootnoteReference"/>
        </w:rPr>
        <w:footnoteRef/>
      </w:r>
      <w:r>
        <w:t xml:space="preserve"> Royal Commission into Family Violence, </w:t>
      </w:r>
      <w:r w:rsidRPr="000B70B4">
        <w:rPr>
          <w:i/>
          <w:iCs/>
        </w:rPr>
        <w:t>Report and Recommendations</w:t>
      </w:r>
      <w:r>
        <w:t xml:space="preserve"> (State of Victoria, 2016) Volume IV, 212.</w:t>
      </w:r>
    </w:p>
  </w:footnote>
  <w:footnote w:id="30">
    <w:p w:rsidR="00A25D86" w:rsidRDefault="00A25D86" w:rsidP="00014C95">
      <w:pPr>
        <w:pStyle w:val="FootnoteText"/>
      </w:pPr>
      <w:r>
        <w:rPr>
          <w:rStyle w:val="FootnoteReference"/>
        </w:rPr>
        <w:footnoteRef/>
      </w:r>
      <w:r>
        <w:t xml:space="preserve"> Family Law Council</w:t>
      </w:r>
      <w:r w:rsidRPr="00E716DE">
        <w:rPr>
          <w:i/>
          <w:iCs/>
        </w:rPr>
        <w:t xml:space="preserve">, </w:t>
      </w:r>
      <w:r>
        <w:rPr>
          <w:i/>
          <w:iCs/>
        </w:rPr>
        <w:t xml:space="preserve">Final </w:t>
      </w:r>
      <w:r w:rsidRPr="00E716DE">
        <w:rPr>
          <w:i/>
          <w:iCs/>
        </w:rPr>
        <w:t>Report on Families with Complex Needs and the Intersection of the Family Law and Child Protection Systems</w:t>
      </w:r>
      <w:r>
        <w:rPr>
          <w:i/>
          <w:iCs/>
        </w:rPr>
        <w:t xml:space="preserve"> </w:t>
      </w:r>
      <w:r>
        <w:t xml:space="preserve">(2016) 146 (recommendation 15-2); Royal Commission into Family Violence, </w:t>
      </w:r>
      <w:r w:rsidRPr="000B70B4">
        <w:rPr>
          <w:i/>
          <w:iCs/>
        </w:rPr>
        <w:t>Report and Recommendations</w:t>
      </w:r>
      <w:r>
        <w:t xml:space="preserve"> (State of Victoria, 2016) Volume IV, 212, 217 (recommendation 131). </w:t>
      </w:r>
    </w:p>
  </w:footnote>
  <w:footnote w:id="31">
    <w:p w:rsidR="00A25D86" w:rsidRDefault="00A25D86" w:rsidP="00014C95">
      <w:pPr>
        <w:pStyle w:val="FootnoteText"/>
      </w:pPr>
      <w:r>
        <w:rPr>
          <w:rStyle w:val="FootnoteReference"/>
        </w:rPr>
        <w:footnoteRef/>
      </w:r>
      <w:r>
        <w:t xml:space="preserve"> Currently $100,000 in the State of Victoria: </w:t>
      </w:r>
      <w:r w:rsidRPr="004735E1">
        <w:rPr>
          <w:i/>
          <w:iCs/>
        </w:rPr>
        <w:t>Magistrates Court Act 1989</w:t>
      </w:r>
      <w:r>
        <w:t xml:space="preserve"> s 3(1).</w:t>
      </w:r>
    </w:p>
  </w:footnote>
  <w:footnote w:id="32">
    <w:p w:rsidR="00961E80" w:rsidRPr="00961E80" w:rsidRDefault="00961E80" w:rsidP="00961E80">
      <w:pPr>
        <w:pStyle w:val="FootnoteText"/>
      </w:pPr>
      <w:r>
        <w:rPr>
          <w:rStyle w:val="FootnoteReference"/>
        </w:rPr>
        <w:footnoteRef/>
      </w:r>
      <w:r>
        <w:t xml:space="preserve"> </w:t>
      </w:r>
      <w:r w:rsidRPr="00961E80">
        <w:t>Commonwealth of Australia</w:t>
      </w:r>
      <w:r>
        <w:rPr>
          <w:i/>
        </w:rPr>
        <w:t xml:space="preserve">, </w:t>
      </w:r>
      <w:r w:rsidR="002819DD">
        <w:rPr>
          <w:i/>
        </w:rPr>
        <w:t xml:space="preserve">Third Action Plan, </w:t>
      </w:r>
      <w:r w:rsidRPr="00961E80">
        <w:rPr>
          <w:i/>
        </w:rPr>
        <w:t>National Plan to Reduce Violence against Women and their Children 2010-2022</w:t>
      </w:r>
      <w:r w:rsidR="002819DD">
        <w:rPr>
          <w:i/>
        </w:rPr>
        <w:t xml:space="preserve"> </w:t>
      </w:r>
      <w:r w:rsidR="002819DD">
        <w:t>(2016)</w:t>
      </w:r>
      <w:r>
        <w:t xml:space="preserve"> 18 (</w:t>
      </w:r>
      <w:r w:rsidRPr="00961E80">
        <w:t>National Priority Area 3, Action Item 3.1</w:t>
      </w:r>
      <w:r>
        <w:t>)</w:t>
      </w:r>
      <w:r w:rsidRPr="00961E80">
        <w:t>.</w:t>
      </w:r>
    </w:p>
  </w:footnote>
  <w:footnote w:id="33">
    <w:p w:rsidR="002819DD" w:rsidRDefault="002819DD" w:rsidP="002819DD">
      <w:pPr>
        <w:pStyle w:val="FootnoteText"/>
      </w:pPr>
      <w:r>
        <w:rPr>
          <w:rStyle w:val="FootnoteReference"/>
        </w:rPr>
        <w:footnoteRef/>
      </w:r>
      <w:r>
        <w:t xml:space="preserve"> ANROWS, </w:t>
      </w:r>
      <w:r w:rsidRPr="002819DD">
        <w:rPr>
          <w:i/>
        </w:rPr>
        <w:t>National Risk Assessment Principles for Family and Domestic Violence, Project Information Sheet</w:t>
      </w:r>
      <w:r>
        <w:t xml:space="preserve"> (2017) </w:t>
      </w:r>
      <w:r w:rsidRPr="002819DD">
        <w:t>https://d2c0ikyv46o3b1.cloudfront.net/anrows.org.au/NRAP%20Project%20Fact%20Sheet%20FINAL.pdf</w:t>
      </w:r>
      <w:r>
        <w:t>.</w:t>
      </w:r>
    </w:p>
  </w:footnote>
  <w:footnote w:id="34">
    <w:p w:rsidR="00690422" w:rsidRDefault="00690422" w:rsidP="00690422">
      <w:pPr>
        <w:pStyle w:val="FootnoteText"/>
      </w:pPr>
      <w:r>
        <w:rPr>
          <w:rStyle w:val="FootnoteReference"/>
        </w:rPr>
        <w:footnoteRef/>
      </w:r>
      <w:r>
        <w:t xml:space="preserve"> Parliament of the Commonwealth of Australia,</w:t>
      </w:r>
      <w:r w:rsidRPr="00690422">
        <w:t xml:space="preserve"> </w:t>
      </w:r>
      <w:r>
        <w:t xml:space="preserve">House of Representatives Standing Committee on Social Policy and Legal Affairs, </w:t>
      </w:r>
      <w:r w:rsidRPr="00690422">
        <w:rPr>
          <w:i/>
        </w:rPr>
        <w:t>A better family law system to support and protect those affected by family violence Recommendations for an accessible, equitable and responsive family law system which better prioritises safety of those affected by family violence</w:t>
      </w:r>
      <w:r>
        <w:rPr>
          <w:i/>
        </w:rPr>
        <w:t xml:space="preserve"> </w:t>
      </w:r>
      <w:r>
        <w:t>(December 2017) 150.</w:t>
      </w:r>
    </w:p>
  </w:footnote>
  <w:footnote w:id="35">
    <w:p w:rsidR="00A25D86" w:rsidRDefault="00A25D86">
      <w:pPr>
        <w:pStyle w:val="FootnoteText"/>
      </w:pPr>
      <w:r>
        <w:rPr>
          <w:rStyle w:val="FootnoteReference"/>
        </w:rPr>
        <w:footnoteRef/>
      </w:r>
      <w:r>
        <w:t xml:space="preserve"> Coroner’s Court of Victoria, </w:t>
      </w:r>
      <w:r w:rsidRPr="004742D7">
        <w:rPr>
          <w:i/>
        </w:rPr>
        <w:t>Inquest into the Death of Luke Batty</w:t>
      </w:r>
      <w:r>
        <w:t>, 28 September 2015, 4.</w:t>
      </w:r>
    </w:p>
  </w:footnote>
  <w:footnote w:id="36">
    <w:p w:rsidR="00A25D86" w:rsidRDefault="00A25D86">
      <w:pPr>
        <w:pStyle w:val="FootnoteText"/>
      </w:pPr>
      <w:r>
        <w:rPr>
          <w:rStyle w:val="FootnoteReference"/>
        </w:rPr>
        <w:footnoteRef/>
      </w:r>
      <w:r>
        <w:t xml:space="preserve"> Coroner’s Court of Victoria, </w:t>
      </w:r>
      <w:r w:rsidRPr="004742D7">
        <w:rPr>
          <w:i/>
        </w:rPr>
        <w:t>Inquest into the Death of Luke Batty</w:t>
      </w:r>
      <w:r>
        <w:t>, 28 September 2015, 82.</w:t>
      </w:r>
    </w:p>
  </w:footnote>
  <w:footnote w:id="37">
    <w:p w:rsidR="00A25D86" w:rsidRDefault="00A25D86" w:rsidP="00A704B7">
      <w:pPr>
        <w:pStyle w:val="FootnoteText"/>
      </w:pPr>
      <w:r>
        <w:rPr>
          <w:rStyle w:val="FootnoteReference"/>
        </w:rPr>
        <w:footnoteRef/>
      </w:r>
      <w:r>
        <w:t xml:space="preserve"> Rae Kaspiew, et al, </w:t>
      </w:r>
      <w:r w:rsidRPr="00F0303A">
        <w:rPr>
          <w:i/>
          <w:iCs/>
        </w:rPr>
        <w:t>Evaluation of the 2012 Family Violence Amendments: Synthesis Report</w:t>
      </w:r>
      <w:r>
        <w:t xml:space="preserve"> (2015, Australian Institute of Family Studies, Commonwealth of Australia) 45.</w:t>
      </w:r>
    </w:p>
  </w:footnote>
  <w:footnote w:id="38">
    <w:p w:rsidR="00A25D86" w:rsidRPr="00A704B7" w:rsidRDefault="00A25D86" w:rsidP="00A704B7">
      <w:pPr>
        <w:pStyle w:val="FootnoteText"/>
      </w:pPr>
      <w:r>
        <w:rPr>
          <w:rStyle w:val="FootnoteReference"/>
        </w:rPr>
        <w:footnoteRef/>
      </w:r>
      <w:r>
        <w:t xml:space="preserve"> </w:t>
      </w:r>
      <w:r w:rsidRPr="00A704B7">
        <w:t>Royal Commission into Family Violence, Report and Recommendations (State of Victoria, 2016) Volume IV,</w:t>
      </w:r>
      <w:r>
        <w:t xml:space="preserve"> 209.</w:t>
      </w:r>
    </w:p>
  </w:footnote>
  <w:footnote w:id="39">
    <w:p w:rsidR="00A25D86" w:rsidRDefault="00A25D86">
      <w:pPr>
        <w:pStyle w:val="FootnoteText"/>
      </w:pPr>
      <w:r>
        <w:rPr>
          <w:rStyle w:val="FootnoteReference"/>
        </w:rPr>
        <w:footnoteRef/>
      </w:r>
      <w:r>
        <w:t xml:space="preserve"> </w:t>
      </w:r>
      <w:r w:rsidRPr="00A704B7">
        <w:t>Royal Commission into Family Violence, Report and Recommendations (State of Victoria, 2016) Volume IV,</w:t>
      </w:r>
      <w:r>
        <w:t xml:space="preserve"> 216.</w:t>
      </w:r>
    </w:p>
  </w:footnote>
  <w:footnote w:id="40">
    <w:p w:rsidR="00A25D86" w:rsidRPr="00A704B7" w:rsidRDefault="00A25D86">
      <w:pPr>
        <w:pStyle w:val="FootnoteText"/>
        <w:rPr>
          <w:b/>
        </w:rPr>
      </w:pPr>
      <w:r>
        <w:rPr>
          <w:rStyle w:val="FootnoteReference"/>
        </w:rPr>
        <w:footnoteRef/>
      </w:r>
      <w:r>
        <w:t xml:space="preserve"> </w:t>
      </w:r>
      <w:r w:rsidRPr="00A704B7">
        <w:t>Royal Commission into Family Violence, Report and Recommendations (State of Victoria, 2016) Volume IV,</w:t>
      </w:r>
      <w:r>
        <w:t xml:space="preserve"> 218 (recommendation 134).</w:t>
      </w:r>
    </w:p>
  </w:footnote>
  <w:footnote w:id="41">
    <w:p w:rsidR="00A25D86" w:rsidRDefault="00A25D86">
      <w:pPr>
        <w:pStyle w:val="FootnoteText"/>
      </w:pPr>
      <w:r>
        <w:rPr>
          <w:rStyle w:val="FootnoteReference"/>
        </w:rPr>
        <w:footnoteRef/>
      </w:r>
      <w:r w:rsidR="005276FE" w:rsidRPr="005276FE">
        <w:t>https://www.ag.gov.au/About/CommitteesandCouncils/Council-of-Attorneys-General/Pages/default.aspx</w:t>
      </w:r>
      <w:r w:rsidR="005276FE">
        <w:t>.</w:t>
      </w:r>
    </w:p>
  </w:footnote>
  <w:footnote w:id="42">
    <w:p w:rsidR="0040657A" w:rsidRDefault="0040657A">
      <w:pPr>
        <w:pStyle w:val="FootnoteText"/>
      </w:pPr>
      <w:r>
        <w:rPr>
          <w:rStyle w:val="FootnoteReference"/>
        </w:rPr>
        <w:footnoteRef/>
      </w:r>
      <w:r>
        <w:t xml:space="preserve"> ANROWS, </w:t>
      </w:r>
      <w:r w:rsidRPr="002819DD">
        <w:rPr>
          <w:i/>
        </w:rPr>
        <w:t>National Risk Assessment Principles for Family and Domestic Violence, Project Information Sheet</w:t>
      </w:r>
      <w:r>
        <w:t xml:space="preserve"> (2017) </w:t>
      </w:r>
      <w:r w:rsidRPr="002819DD">
        <w:t>https://d2c0ikyv46o3b1.cloudfront.net/anrows.org.au/NRAP%20Project%20Fact%20Sheet%20FINAL.pdf</w:t>
      </w:r>
      <w:r>
        <w:t>.</w:t>
      </w:r>
    </w:p>
  </w:footnote>
  <w:footnote w:id="43">
    <w:p w:rsidR="00A25D86" w:rsidRDefault="00A25D86">
      <w:pPr>
        <w:pStyle w:val="FootnoteText"/>
      </w:pPr>
      <w:r>
        <w:rPr>
          <w:rStyle w:val="FootnoteReference"/>
        </w:rPr>
        <w:footnoteRef/>
      </w:r>
      <w:r>
        <w:t xml:space="preserve"> </w:t>
      </w:r>
      <w:r w:rsidRPr="00537044">
        <w:t>http://www.dhs.vic.gov.au/__data/assets/pdf_file/0004/974551/Review-of-the-Family-Violence-Risk-Assessment-and-Risk-Management-Framework-CRAF-Final-Report.pdf</w:t>
      </w:r>
    </w:p>
  </w:footnote>
  <w:footnote w:id="44">
    <w:p w:rsidR="00A25D86" w:rsidRDefault="00A25D86">
      <w:pPr>
        <w:pStyle w:val="FootnoteText"/>
      </w:pPr>
      <w:r>
        <w:rPr>
          <w:rStyle w:val="FootnoteReference"/>
        </w:rPr>
        <w:footnoteRef/>
      </w:r>
      <w:r>
        <w:t xml:space="preserve"> </w:t>
      </w:r>
      <w:r w:rsidRPr="00567062">
        <w:t>Royal Commission into Family Violence, Report and Recommendations (State o</w:t>
      </w:r>
      <w:r>
        <w:t>f Victoria, 2016) Volume IV, 215.</w:t>
      </w:r>
    </w:p>
  </w:footnote>
  <w:footnote w:id="45">
    <w:p w:rsidR="0007038F" w:rsidRDefault="0007038F" w:rsidP="0007038F">
      <w:pPr>
        <w:pStyle w:val="FootnoteText"/>
      </w:pPr>
      <w:r>
        <w:rPr>
          <w:rStyle w:val="FootnoteReference"/>
        </w:rPr>
        <w:footnoteRef/>
      </w:r>
      <w:r>
        <w:t xml:space="preserve"> </w:t>
      </w:r>
      <w:r w:rsidRPr="00A704B7">
        <w:t>Royal Commission into Family Violence, Report and Recommendations (State of Victoria, 2016) Volume IV,</w:t>
      </w:r>
      <w:r>
        <w:t xml:space="preserve"> 218 (recommendation 134).</w:t>
      </w:r>
    </w:p>
  </w:footnote>
  <w:footnote w:id="46">
    <w:p w:rsidR="0007038F" w:rsidRDefault="0007038F" w:rsidP="0007038F">
      <w:pPr>
        <w:pStyle w:val="FootnoteText"/>
      </w:pPr>
      <w:r>
        <w:rPr>
          <w:rStyle w:val="FootnoteReference"/>
        </w:rPr>
        <w:footnoteRef/>
      </w:r>
      <w:r>
        <w:t xml:space="preserve"> </w:t>
      </w:r>
      <w:r w:rsidRPr="00A704B7">
        <w:t>Royal Commission into Family Violence, Report and Recommendations (State of Victoria, 2016) Volume IV,</w:t>
      </w:r>
      <w:r>
        <w:t xml:space="preserve"> 215.</w:t>
      </w:r>
    </w:p>
  </w:footnote>
  <w:footnote w:id="47">
    <w:p w:rsidR="00A25D86" w:rsidRDefault="00A25D86">
      <w:pPr>
        <w:pStyle w:val="FootnoteText"/>
      </w:pPr>
      <w:r>
        <w:rPr>
          <w:rStyle w:val="FootnoteReference"/>
        </w:rPr>
        <w:footnoteRef/>
      </w:r>
      <w:r>
        <w:t xml:space="preserve"> </w:t>
      </w:r>
      <w:r w:rsidRPr="00B642C4">
        <w:t>Council of Australian Government’s Law, Crime and Community Safety Committee</w:t>
      </w:r>
      <w:r>
        <w:t xml:space="preserve">, Communique, October 2016: </w:t>
      </w:r>
      <w:r w:rsidRPr="00B642C4">
        <w:t>https://www.ag.gov.au/About/CommitteesandCouncils/Law-Crime-and-Community-Safety-Council/Pages/default.aspx</w:t>
      </w:r>
      <w:r>
        <w:t>.</w:t>
      </w:r>
    </w:p>
  </w:footnote>
  <w:footnote w:id="48">
    <w:p w:rsidR="00A25D86" w:rsidRDefault="00A25D86">
      <w:pPr>
        <w:pStyle w:val="FootnoteText"/>
      </w:pPr>
      <w:r>
        <w:rPr>
          <w:rStyle w:val="FootnoteReference"/>
        </w:rPr>
        <w:footnoteRef/>
      </w:r>
      <w:r>
        <w:t xml:space="preserve"> </w:t>
      </w:r>
      <w:r w:rsidRPr="00B642C4">
        <w:t>Council of Australian Government’s Law, Crime and Community Safety Committee</w:t>
      </w:r>
      <w:r>
        <w:t xml:space="preserve">, Communique, May 2015: </w:t>
      </w:r>
      <w:r w:rsidRPr="00B642C4">
        <w:t>https://www.ag.gov.au/About/CommitteesandCouncils/Law-Crime-and-Community-</w:t>
      </w:r>
      <w:r>
        <w:t>s</w:t>
      </w:r>
      <w:r w:rsidRPr="00B642C4">
        <w:t>afety-Council/Pages/default.aspx</w:t>
      </w:r>
      <w:r>
        <w:t>.</w:t>
      </w:r>
    </w:p>
  </w:footnote>
  <w:footnote w:id="49">
    <w:p w:rsidR="00B62BE5" w:rsidRDefault="00B62BE5" w:rsidP="00B62BE5">
      <w:pPr>
        <w:pStyle w:val="FootnoteText"/>
      </w:pPr>
      <w:r>
        <w:rPr>
          <w:rStyle w:val="FootnoteReference"/>
        </w:rPr>
        <w:footnoteRef/>
      </w:r>
      <w:r>
        <w:t xml:space="preserve"> Senator the Hon Michaelia Cash - Minister for Women &amp; The Hon Michael Keenan MP - Minister for Justice, ‘</w:t>
      </w:r>
      <w:r w:rsidRPr="00B62BE5">
        <w:t>National enforcement of Domestic Violence Orders to better protect victims</w:t>
      </w:r>
      <w:r>
        <w:t>’ (Pres Release, 25 November 2017).</w:t>
      </w:r>
    </w:p>
  </w:footnote>
  <w:footnote w:id="50">
    <w:p w:rsidR="00B62BE5" w:rsidRDefault="00B62BE5" w:rsidP="00B62BE5">
      <w:pPr>
        <w:pStyle w:val="FootnoteText"/>
      </w:pPr>
      <w:r>
        <w:rPr>
          <w:rStyle w:val="FootnoteReference"/>
        </w:rPr>
        <w:footnoteRef/>
      </w:r>
      <w:r>
        <w:t xml:space="preserve"> </w:t>
      </w:r>
      <w:r w:rsidRPr="00B62BE5">
        <w:t>https://www.acic.gov.au/our-services/domestic-violence</w:t>
      </w:r>
    </w:p>
  </w:footnote>
  <w:footnote w:id="51">
    <w:p w:rsidR="004701CF" w:rsidRDefault="004701CF">
      <w:pPr>
        <w:pStyle w:val="FootnoteText"/>
      </w:pPr>
      <w:r>
        <w:rPr>
          <w:rStyle w:val="FootnoteReference"/>
        </w:rPr>
        <w:footnoteRef/>
      </w:r>
      <w:r>
        <w:t xml:space="preserve"> Senator the Hon Michaelia Cash - Minister for Women &amp; The Hon Michael Keenan MP - Minister for Justice, ‘</w:t>
      </w:r>
      <w:r w:rsidRPr="00B62BE5">
        <w:t>National enforcement of Domestic Violence Orders to better protect victims</w:t>
      </w:r>
      <w:r>
        <w:t>’ (Pres Release, 25 November 2017).</w:t>
      </w:r>
    </w:p>
  </w:footnote>
  <w:footnote w:id="52">
    <w:p w:rsidR="004D1AB9" w:rsidRDefault="004D1AB9" w:rsidP="004D1AB9">
      <w:pPr>
        <w:pStyle w:val="FootnoteText"/>
      </w:pPr>
      <w:r>
        <w:rPr>
          <w:rStyle w:val="FootnoteReference"/>
        </w:rPr>
        <w:footnoteRef/>
      </w:r>
      <w:r>
        <w:t xml:space="preserve"> Rae Kaspiew, et al, </w:t>
      </w:r>
      <w:r w:rsidRPr="00F0303A">
        <w:rPr>
          <w:i/>
          <w:iCs/>
        </w:rPr>
        <w:t>Evaluation of the 2012 Family Violence Amendments: Synthesis Report</w:t>
      </w:r>
      <w:r>
        <w:t xml:space="preserve"> (2015, Australian Institute of Family Studies, Commonwealth of Australia)</w:t>
      </w:r>
    </w:p>
  </w:footnote>
  <w:footnote w:id="53">
    <w:p w:rsidR="004D1AB9" w:rsidRDefault="004D1AB9" w:rsidP="004D1AB9">
      <w:pPr>
        <w:pStyle w:val="FootnoteText"/>
      </w:pPr>
      <w:r>
        <w:rPr>
          <w:rStyle w:val="FootnoteReference"/>
        </w:rPr>
        <w:footnoteRef/>
      </w:r>
      <w:r>
        <w:t xml:space="preserve"> Rae Kaspiew, et al, </w:t>
      </w:r>
      <w:r w:rsidRPr="00F0303A">
        <w:rPr>
          <w:i/>
          <w:iCs/>
        </w:rPr>
        <w:t>Evaluation of the 2012 Family Violence Amendments: Synthesis Report</w:t>
      </w:r>
      <w:r>
        <w:t xml:space="preserve"> (2015, Australian Institute of Family Studies, Commonwealth of Australia) 24.</w:t>
      </w:r>
    </w:p>
  </w:footnote>
  <w:footnote w:id="54">
    <w:p w:rsidR="00C0533C" w:rsidRDefault="00C0533C">
      <w:pPr>
        <w:pStyle w:val="FootnoteText"/>
      </w:pPr>
      <w:r>
        <w:rPr>
          <w:rStyle w:val="FootnoteReference"/>
        </w:rPr>
        <w:footnoteRef/>
      </w:r>
      <w:r>
        <w:t xml:space="preserve"> </w:t>
      </w:r>
      <w:r w:rsidRPr="00B62BE5">
        <w:t>https://www.acic.gov.au/our-services/domestic-violence</w:t>
      </w:r>
      <w:r>
        <w:t>.</w:t>
      </w:r>
    </w:p>
  </w:footnote>
  <w:footnote w:id="55">
    <w:p w:rsidR="00A25D86" w:rsidRDefault="00A25D86">
      <w:pPr>
        <w:pStyle w:val="FootnoteText"/>
      </w:pPr>
      <w:r>
        <w:rPr>
          <w:rStyle w:val="FootnoteReference"/>
        </w:rPr>
        <w:footnoteRef/>
      </w:r>
      <w:r>
        <w:t xml:space="preserve"> </w:t>
      </w:r>
      <w:r w:rsidRPr="000D1422">
        <w:rPr>
          <w:i/>
        </w:rPr>
        <w:t>Family Law Act 1975</w:t>
      </w:r>
      <w:r>
        <w:t xml:space="preserve"> (Cth) s 62G(2).</w:t>
      </w:r>
    </w:p>
  </w:footnote>
  <w:footnote w:id="56">
    <w:p w:rsidR="00A25D86" w:rsidRDefault="00A25D86">
      <w:pPr>
        <w:pStyle w:val="FootnoteText"/>
      </w:pPr>
      <w:r>
        <w:rPr>
          <w:rStyle w:val="FootnoteReference"/>
        </w:rPr>
        <w:footnoteRef/>
      </w:r>
      <w:r>
        <w:t xml:space="preserve"> </w:t>
      </w:r>
      <w:r w:rsidRPr="000D1422">
        <w:rPr>
          <w:i/>
        </w:rPr>
        <w:t>Family Law Act 1975</w:t>
      </w:r>
      <w:r>
        <w:t xml:space="preserve"> (Cth) s 62G.</w:t>
      </w:r>
    </w:p>
  </w:footnote>
  <w:footnote w:id="57">
    <w:p w:rsidR="00A25D86" w:rsidRDefault="00A25D86" w:rsidP="009D0EEE">
      <w:pPr>
        <w:pStyle w:val="FootnoteText"/>
      </w:pPr>
      <w:r>
        <w:rPr>
          <w:rStyle w:val="FootnoteReference"/>
        </w:rPr>
        <w:footnoteRef/>
      </w:r>
      <w:r>
        <w:t xml:space="preserve"> Liam Meagher, ‘Assessing The Role of Family Consultants When Providing Evidence in Parenting Disputes’ (2012) 10 </w:t>
      </w:r>
      <w:r w:rsidRPr="009D0EEE">
        <w:rPr>
          <w:i/>
        </w:rPr>
        <w:t>Macquarie Law Journal</w:t>
      </w:r>
      <w:r>
        <w:t xml:space="preserve"> 59, 60.</w:t>
      </w:r>
    </w:p>
  </w:footnote>
  <w:footnote w:id="58">
    <w:p w:rsidR="00A25D86" w:rsidRPr="00CA59DC" w:rsidRDefault="00A25D86" w:rsidP="00CA59DC">
      <w:pPr>
        <w:pStyle w:val="FootnoteText"/>
      </w:pPr>
      <w:r>
        <w:rPr>
          <w:rStyle w:val="FootnoteReference"/>
        </w:rPr>
        <w:footnoteRef/>
      </w:r>
      <w:r>
        <w:t xml:space="preserve"> </w:t>
      </w:r>
      <w:r w:rsidRPr="00CA59DC">
        <w:t xml:space="preserve">Family Law Council, </w:t>
      </w:r>
      <w:r w:rsidRPr="00CA59DC">
        <w:rPr>
          <w:i/>
        </w:rPr>
        <w:t>Final Report on Families with Complex Needs and the Intersection of the Family Law and Child Protection Systems</w:t>
      </w:r>
      <w:r w:rsidRPr="00CA59DC">
        <w:t xml:space="preserve"> (2016)</w:t>
      </w:r>
      <w:r>
        <w:t xml:space="preserve"> 31.</w:t>
      </w:r>
    </w:p>
  </w:footnote>
  <w:footnote w:id="59">
    <w:p w:rsidR="00A25D86" w:rsidRDefault="00A25D86">
      <w:pPr>
        <w:pStyle w:val="FootnoteText"/>
      </w:pPr>
      <w:r>
        <w:rPr>
          <w:rStyle w:val="FootnoteReference"/>
        </w:rPr>
        <w:footnoteRef/>
      </w:r>
      <w:r>
        <w:t xml:space="preserve"> </w:t>
      </w:r>
      <w:r w:rsidRPr="00CA59DC">
        <w:t xml:space="preserve">Family Law Council, </w:t>
      </w:r>
      <w:r w:rsidRPr="00CA59DC">
        <w:rPr>
          <w:i/>
        </w:rPr>
        <w:t>Final Report on Families with Complex Needs and the Intersection of the Family Law and Child Protection Systems</w:t>
      </w:r>
      <w:r w:rsidRPr="00CA59DC">
        <w:t xml:space="preserve"> (2016)</w:t>
      </w:r>
      <w:r>
        <w:t xml:space="preserve"> 31.</w:t>
      </w:r>
    </w:p>
  </w:footnote>
  <w:footnote w:id="60">
    <w:p w:rsidR="00A25D86" w:rsidRDefault="00A25D86">
      <w:pPr>
        <w:pStyle w:val="FootnoteText"/>
      </w:pPr>
      <w:r>
        <w:rPr>
          <w:rStyle w:val="FootnoteReference"/>
        </w:rPr>
        <w:footnoteRef/>
      </w:r>
      <w:r>
        <w:t xml:space="preserve"> </w:t>
      </w:r>
      <w:r w:rsidRPr="00CA59DC">
        <w:t xml:space="preserve">Royal Commission into Family Violence, </w:t>
      </w:r>
      <w:r w:rsidRPr="00CA59DC">
        <w:rPr>
          <w:i/>
        </w:rPr>
        <w:t>Report and Recommendations</w:t>
      </w:r>
      <w:r w:rsidRPr="00CA59DC">
        <w:t xml:space="preserve"> (State o</w:t>
      </w:r>
      <w:r>
        <w:t>f Victoria, 2016) Volume IV, 199.</w:t>
      </w:r>
    </w:p>
  </w:footnote>
  <w:footnote w:id="61">
    <w:p w:rsidR="00A25D86" w:rsidRDefault="00A25D86">
      <w:pPr>
        <w:pStyle w:val="FootnoteText"/>
      </w:pPr>
      <w:r>
        <w:rPr>
          <w:rStyle w:val="FootnoteReference"/>
        </w:rPr>
        <w:footnoteRef/>
      </w:r>
      <w:r>
        <w:t xml:space="preserve"> </w:t>
      </w:r>
      <w:r w:rsidRPr="00CA59DC">
        <w:t xml:space="preserve">Royal Commission into Family Violence, </w:t>
      </w:r>
      <w:r w:rsidRPr="00CA59DC">
        <w:rPr>
          <w:i/>
        </w:rPr>
        <w:t>Report and Recommendations</w:t>
      </w:r>
      <w:r w:rsidRPr="00CA59DC">
        <w:t xml:space="preserve"> (State o</w:t>
      </w:r>
      <w:r>
        <w:t>f Victoria, 2016) Volume IV, 199.</w:t>
      </w:r>
    </w:p>
  </w:footnote>
  <w:footnote w:id="62">
    <w:p w:rsidR="00A25D86" w:rsidRDefault="00A25D86">
      <w:pPr>
        <w:pStyle w:val="FootnoteText"/>
      </w:pPr>
      <w:r>
        <w:rPr>
          <w:rStyle w:val="FootnoteReference"/>
        </w:rPr>
        <w:footnoteRef/>
      </w:r>
      <w:r>
        <w:t xml:space="preserve"> </w:t>
      </w:r>
      <w:r w:rsidRPr="00CD208A">
        <w:t>http://www.federalcircuitcourt.gov.au/wps/wcm/connect/b5ee989f-3134-44e0-afa6-dc846e8c4f2a/FS_Seeing+a+family+consultant+FAQ_FCC_0714V1a.docx?MOD=AJPERES&amp;CONVERT_TO=url&amp;CACHEID=ROOTWORKSPACE-b5ee989f-3134-44e0-afa6-dc846e8c4f2a-lx1trx4</w:t>
      </w:r>
      <w:r>
        <w:t>.</w:t>
      </w:r>
    </w:p>
  </w:footnote>
  <w:footnote w:id="63">
    <w:p w:rsidR="0004620F" w:rsidRPr="0004620F" w:rsidRDefault="0004620F" w:rsidP="0004620F">
      <w:pPr>
        <w:pStyle w:val="FootnoteText"/>
      </w:pPr>
      <w:r>
        <w:rPr>
          <w:rStyle w:val="FootnoteReference"/>
        </w:rPr>
        <w:footnoteRef/>
      </w:r>
      <w:r>
        <w:t xml:space="preserve"> </w:t>
      </w:r>
      <w:r w:rsidRPr="0004620F">
        <w:t xml:space="preserve">Royal Commission into Family Violence, </w:t>
      </w:r>
      <w:r w:rsidRPr="0004620F">
        <w:rPr>
          <w:i/>
        </w:rPr>
        <w:t>Report and Recommendations</w:t>
      </w:r>
      <w:r w:rsidRPr="0004620F">
        <w:t xml:space="preserve"> (State of Victoria, 2016) Volume IV,</w:t>
      </w:r>
      <w:r>
        <w:t xml:space="preserve"> 197.</w:t>
      </w:r>
    </w:p>
  </w:footnote>
  <w:footnote w:id="64">
    <w:p w:rsidR="006B50AA" w:rsidRDefault="006B50AA">
      <w:pPr>
        <w:pStyle w:val="FootnoteText"/>
      </w:pPr>
      <w:r>
        <w:rPr>
          <w:rStyle w:val="FootnoteReference"/>
        </w:rPr>
        <w:footnoteRef/>
      </w:r>
      <w:r>
        <w:t xml:space="preserve"> </w:t>
      </w:r>
      <w:r w:rsidR="0004620F" w:rsidRPr="0004620F">
        <w:t xml:space="preserve">Royal Commission into Family Violence, </w:t>
      </w:r>
      <w:r w:rsidR="0004620F" w:rsidRPr="0004620F">
        <w:rPr>
          <w:i/>
        </w:rPr>
        <w:t>Report and Recommendations</w:t>
      </w:r>
      <w:r w:rsidR="0004620F" w:rsidRPr="0004620F">
        <w:t xml:space="preserve"> (State of Victoria, 2016) Volume IV,</w:t>
      </w:r>
      <w:r w:rsidR="0004620F">
        <w:t xml:space="preserve"> 197.</w:t>
      </w:r>
    </w:p>
  </w:footnote>
  <w:footnote w:id="65">
    <w:p w:rsidR="00A25D86" w:rsidRDefault="00A25D86">
      <w:pPr>
        <w:pStyle w:val="FootnoteText"/>
      </w:pPr>
      <w:r>
        <w:rPr>
          <w:rStyle w:val="FootnoteReference"/>
        </w:rPr>
        <w:footnoteRef/>
      </w:r>
      <w:r>
        <w:t xml:space="preserve"> Productivity Commission, </w:t>
      </w:r>
      <w:r w:rsidRPr="007E618B">
        <w:rPr>
          <w:i/>
          <w:iCs/>
        </w:rPr>
        <w:t>Access to Justice Arrangements Inquiry Report</w:t>
      </w:r>
      <w:r>
        <w:t xml:space="preserve"> (Commonwealth of Australia, No 72, 2014) Volume 2, 865.</w:t>
      </w:r>
    </w:p>
  </w:footnote>
  <w:footnote w:id="66">
    <w:p w:rsidR="006F4A06" w:rsidRDefault="006F4A06">
      <w:pPr>
        <w:pStyle w:val="FootnoteText"/>
      </w:pPr>
      <w:r>
        <w:rPr>
          <w:rStyle w:val="FootnoteReference"/>
        </w:rPr>
        <w:footnoteRef/>
      </w:r>
      <w:r>
        <w:t xml:space="preserve"> </w:t>
      </w:r>
      <w:r w:rsidRPr="006F4A06">
        <w:t>Family Law Amendment (Family Violence and Cross-examination of Parties) Bill 2017</w:t>
      </w:r>
      <w:r>
        <w:t xml:space="preserve"> (Cth).</w:t>
      </w:r>
    </w:p>
  </w:footnote>
  <w:footnote w:id="67">
    <w:p w:rsidR="007017ED" w:rsidRDefault="007017ED">
      <w:pPr>
        <w:pStyle w:val="FootnoteText"/>
      </w:pPr>
      <w:r>
        <w:rPr>
          <w:rStyle w:val="FootnoteReference"/>
        </w:rPr>
        <w:footnoteRef/>
      </w:r>
      <w:r>
        <w:t xml:space="preserve"> </w:t>
      </w:r>
      <w:r w:rsidRPr="007017ED">
        <w:rPr>
          <w:i/>
        </w:rPr>
        <w:t>Family Violence Protection Act 2008</w:t>
      </w:r>
      <w:r>
        <w:t xml:space="preserve"> (Vic) s 70</w:t>
      </w:r>
      <w:r w:rsidR="009709F4">
        <w:t>-71</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38DB"/>
    <w:multiLevelType w:val="hybridMultilevel"/>
    <w:tmpl w:val="BD3642B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B0624D1"/>
    <w:multiLevelType w:val="hybridMultilevel"/>
    <w:tmpl w:val="5E2C4020"/>
    <w:lvl w:ilvl="0" w:tplc="0C09000F">
      <w:start w:val="1"/>
      <w:numFmt w:val="decimal"/>
      <w:lvlText w:val="%1."/>
      <w:lvlJc w:val="left"/>
      <w:pPr>
        <w:ind w:left="1125" w:hanging="360"/>
      </w:pPr>
    </w:lvl>
    <w:lvl w:ilvl="1" w:tplc="0C090019">
      <w:start w:val="1"/>
      <w:numFmt w:val="lowerLetter"/>
      <w:lvlText w:val="%2."/>
      <w:lvlJc w:val="left"/>
      <w:pPr>
        <w:ind w:left="1845" w:hanging="360"/>
      </w:pPr>
    </w:lvl>
    <w:lvl w:ilvl="2" w:tplc="0C09001B" w:tentative="1">
      <w:start w:val="1"/>
      <w:numFmt w:val="lowerRoman"/>
      <w:lvlText w:val="%3."/>
      <w:lvlJc w:val="right"/>
      <w:pPr>
        <w:ind w:left="2565" w:hanging="180"/>
      </w:pPr>
    </w:lvl>
    <w:lvl w:ilvl="3" w:tplc="0C09000F" w:tentative="1">
      <w:start w:val="1"/>
      <w:numFmt w:val="decimal"/>
      <w:lvlText w:val="%4."/>
      <w:lvlJc w:val="left"/>
      <w:pPr>
        <w:ind w:left="3285" w:hanging="360"/>
      </w:pPr>
    </w:lvl>
    <w:lvl w:ilvl="4" w:tplc="0C090019" w:tentative="1">
      <w:start w:val="1"/>
      <w:numFmt w:val="lowerLetter"/>
      <w:lvlText w:val="%5."/>
      <w:lvlJc w:val="left"/>
      <w:pPr>
        <w:ind w:left="4005" w:hanging="360"/>
      </w:pPr>
    </w:lvl>
    <w:lvl w:ilvl="5" w:tplc="0C09001B" w:tentative="1">
      <w:start w:val="1"/>
      <w:numFmt w:val="lowerRoman"/>
      <w:lvlText w:val="%6."/>
      <w:lvlJc w:val="right"/>
      <w:pPr>
        <w:ind w:left="4725" w:hanging="180"/>
      </w:pPr>
    </w:lvl>
    <w:lvl w:ilvl="6" w:tplc="0C09000F" w:tentative="1">
      <w:start w:val="1"/>
      <w:numFmt w:val="decimal"/>
      <w:lvlText w:val="%7."/>
      <w:lvlJc w:val="left"/>
      <w:pPr>
        <w:ind w:left="5445" w:hanging="360"/>
      </w:pPr>
    </w:lvl>
    <w:lvl w:ilvl="7" w:tplc="0C090019" w:tentative="1">
      <w:start w:val="1"/>
      <w:numFmt w:val="lowerLetter"/>
      <w:lvlText w:val="%8."/>
      <w:lvlJc w:val="left"/>
      <w:pPr>
        <w:ind w:left="6165" w:hanging="360"/>
      </w:pPr>
    </w:lvl>
    <w:lvl w:ilvl="8" w:tplc="0C09001B" w:tentative="1">
      <w:start w:val="1"/>
      <w:numFmt w:val="lowerRoman"/>
      <w:lvlText w:val="%9."/>
      <w:lvlJc w:val="right"/>
      <w:pPr>
        <w:ind w:left="6885" w:hanging="180"/>
      </w:pPr>
    </w:lvl>
  </w:abstractNum>
  <w:abstractNum w:abstractNumId="2">
    <w:nsid w:val="10537874"/>
    <w:multiLevelType w:val="hybridMultilevel"/>
    <w:tmpl w:val="2D9AB6C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5BB5D7F"/>
    <w:multiLevelType w:val="hybridMultilevel"/>
    <w:tmpl w:val="AADEBC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F8B5198"/>
    <w:multiLevelType w:val="multilevel"/>
    <w:tmpl w:val="E9F63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051EC0"/>
    <w:multiLevelType w:val="hybridMultilevel"/>
    <w:tmpl w:val="2CFC32F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40EE2B35"/>
    <w:multiLevelType w:val="hybridMultilevel"/>
    <w:tmpl w:val="7CA0A7D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9915DA8"/>
    <w:multiLevelType w:val="hybridMultilevel"/>
    <w:tmpl w:val="6F9E5C2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B173F52"/>
    <w:multiLevelType w:val="hybridMultilevel"/>
    <w:tmpl w:val="E4147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02E66B3"/>
    <w:multiLevelType w:val="hybridMultilevel"/>
    <w:tmpl w:val="6AF0DF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12F78F2"/>
    <w:multiLevelType w:val="hybridMultilevel"/>
    <w:tmpl w:val="7B2E02F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C384D82"/>
    <w:multiLevelType w:val="hybridMultilevel"/>
    <w:tmpl w:val="8B14F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C661860"/>
    <w:multiLevelType w:val="hybridMultilevel"/>
    <w:tmpl w:val="2BC0E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1"/>
  </w:num>
  <w:num w:numId="4">
    <w:abstractNumId w:val="1"/>
  </w:num>
  <w:num w:numId="5">
    <w:abstractNumId w:val="8"/>
  </w:num>
  <w:num w:numId="6">
    <w:abstractNumId w:val="2"/>
  </w:num>
  <w:num w:numId="7">
    <w:abstractNumId w:val="3"/>
  </w:num>
  <w:num w:numId="8">
    <w:abstractNumId w:val="5"/>
  </w:num>
  <w:num w:numId="9">
    <w:abstractNumId w:val="10"/>
  </w:num>
  <w:num w:numId="10">
    <w:abstractNumId w:val="7"/>
  </w:num>
  <w:num w:numId="11">
    <w:abstractNumId w:val="6"/>
  </w:num>
  <w:num w:numId="12">
    <w:abstractNumId w:val="9"/>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applyBreakingRules/>
    <w:useFELayout/>
  </w:compat>
  <w:rsids>
    <w:rsidRoot w:val="00E302C8"/>
    <w:rsid w:val="0000098E"/>
    <w:rsid w:val="0000169A"/>
    <w:rsid w:val="00005F7D"/>
    <w:rsid w:val="00014C95"/>
    <w:rsid w:val="000234D5"/>
    <w:rsid w:val="0004589E"/>
    <w:rsid w:val="0004620F"/>
    <w:rsid w:val="0007038F"/>
    <w:rsid w:val="0008350B"/>
    <w:rsid w:val="000B6ECB"/>
    <w:rsid w:val="000B70B4"/>
    <w:rsid w:val="000C7FB1"/>
    <w:rsid w:val="000D1422"/>
    <w:rsid w:val="000E2F49"/>
    <w:rsid w:val="000E7BCA"/>
    <w:rsid w:val="00113F65"/>
    <w:rsid w:val="00130296"/>
    <w:rsid w:val="001436A0"/>
    <w:rsid w:val="00146D6A"/>
    <w:rsid w:val="001513F5"/>
    <w:rsid w:val="00152943"/>
    <w:rsid w:val="001552EB"/>
    <w:rsid w:val="00181748"/>
    <w:rsid w:val="0019237E"/>
    <w:rsid w:val="001F587C"/>
    <w:rsid w:val="00204E6F"/>
    <w:rsid w:val="00227DED"/>
    <w:rsid w:val="002409AC"/>
    <w:rsid w:val="00246C84"/>
    <w:rsid w:val="00254116"/>
    <w:rsid w:val="0028111F"/>
    <w:rsid w:val="002819DD"/>
    <w:rsid w:val="002A60E4"/>
    <w:rsid w:val="002D4986"/>
    <w:rsid w:val="00327112"/>
    <w:rsid w:val="00332270"/>
    <w:rsid w:val="00355956"/>
    <w:rsid w:val="00356911"/>
    <w:rsid w:val="00370752"/>
    <w:rsid w:val="003D345B"/>
    <w:rsid w:val="003E6BB9"/>
    <w:rsid w:val="0040510C"/>
    <w:rsid w:val="0040578B"/>
    <w:rsid w:val="0040657A"/>
    <w:rsid w:val="00411F60"/>
    <w:rsid w:val="00422B06"/>
    <w:rsid w:val="00447F54"/>
    <w:rsid w:val="004701CF"/>
    <w:rsid w:val="004735E1"/>
    <w:rsid w:val="004742D7"/>
    <w:rsid w:val="004820C3"/>
    <w:rsid w:val="004955E0"/>
    <w:rsid w:val="004B5000"/>
    <w:rsid w:val="004D1AB9"/>
    <w:rsid w:val="004D37F3"/>
    <w:rsid w:val="004D6FD0"/>
    <w:rsid w:val="00517B0E"/>
    <w:rsid w:val="005276FE"/>
    <w:rsid w:val="005322CE"/>
    <w:rsid w:val="00532D0B"/>
    <w:rsid w:val="00537044"/>
    <w:rsid w:val="005409F8"/>
    <w:rsid w:val="00561757"/>
    <w:rsid w:val="00567062"/>
    <w:rsid w:val="0057388A"/>
    <w:rsid w:val="00575A03"/>
    <w:rsid w:val="005A6359"/>
    <w:rsid w:val="005C559D"/>
    <w:rsid w:val="005F15D7"/>
    <w:rsid w:val="00602682"/>
    <w:rsid w:val="00603AD3"/>
    <w:rsid w:val="006148CC"/>
    <w:rsid w:val="00627DC6"/>
    <w:rsid w:val="00654B79"/>
    <w:rsid w:val="0067086B"/>
    <w:rsid w:val="00671B38"/>
    <w:rsid w:val="00676C90"/>
    <w:rsid w:val="00680C2D"/>
    <w:rsid w:val="00685041"/>
    <w:rsid w:val="00690422"/>
    <w:rsid w:val="00691980"/>
    <w:rsid w:val="006B50AA"/>
    <w:rsid w:val="006C2257"/>
    <w:rsid w:val="006F4A06"/>
    <w:rsid w:val="007017ED"/>
    <w:rsid w:val="007066C2"/>
    <w:rsid w:val="007300DB"/>
    <w:rsid w:val="00731CFA"/>
    <w:rsid w:val="00744946"/>
    <w:rsid w:val="007545AD"/>
    <w:rsid w:val="0077611C"/>
    <w:rsid w:val="007939FB"/>
    <w:rsid w:val="00796C9B"/>
    <w:rsid w:val="007E2FBD"/>
    <w:rsid w:val="007E618B"/>
    <w:rsid w:val="007F019C"/>
    <w:rsid w:val="008122B9"/>
    <w:rsid w:val="00815BC9"/>
    <w:rsid w:val="00820688"/>
    <w:rsid w:val="008563A4"/>
    <w:rsid w:val="008A0739"/>
    <w:rsid w:val="008A1F88"/>
    <w:rsid w:val="008B2CBE"/>
    <w:rsid w:val="008D128C"/>
    <w:rsid w:val="008D4F7B"/>
    <w:rsid w:val="009313B5"/>
    <w:rsid w:val="009541F4"/>
    <w:rsid w:val="00961E80"/>
    <w:rsid w:val="009709F4"/>
    <w:rsid w:val="009C1FEB"/>
    <w:rsid w:val="009D0EEE"/>
    <w:rsid w:val="009F4985"/>
    <w:rsid w:val="00A173F3"/>
    <w:rsid w:val="00A25D86"/>
    <w:rsid w:val="00A32477"/>
    <w:rsid w:val="00A43EEF"/>
    <w:rsid w:val="00A505C5"/>
    <w:rsid w:val="00A64952"/>
    <w:rsid w:val="00A67432"/>
    <w:rsid w:val="00A704B7"/>
    <w:rsid w:val="00A7088B"/>
    <w:rsid w:val="00A947E8"/>
    <w:rsid w:val="00AA0E3E"/>
    <w:rsid w:val="00AB0DB0"/>
    <w:rsid w:val="00AC250E"/>
    <w:rsid w:val="00AC775A"/>
    <w:rsid w:val="00AE033B"/>
    <w:rsid w:val="00AE66D7"/>
    <w:rsid w:val="00B00694"/>
    <w:rsid w:val="00B1265D"/>
    <w:rsid w:val="00B14490"/>
    <w:rsid w:val="00B213F1"/>
    <w:rsid w:val="00B23CEE"/>
    <w:rsid w:val="00B349B4"/>
    <w:rsid w:val="00B43175"/>
    <w:rsid w:val="00B47056"/>
    <w:rsid w:val="00B52F85"/>
    <w:rsid w:val="00B5360A"/>
    <w:rsid w:val="00B62BE5"/>
    <w:rsid w:val="00B642C4"/>
    <w:rsid w:val="00B701DC"/>
    <w:rsid w:val="00B764A1"/>
    <w:rsid w:val="00B84B0F"/>
    <w:rsid w:val="00BB28CC"/>
    <w:rsid w:val="00BB619C"/>
    <w:rsid w:val="00C0533C"/>
    <w:rsid w:val="00C25028"/>
    <w:rsid w:val="00C40BDB"/>
    <w:rsid w:val="00C8382B"/>
    <w:rsid w:val="00C94CA2"/>
    <w:rsid w:val="00CA59DC"/>
    <w:rsid w:val="00CD0DE0"/>
    <w:rsid w:val="00CD208A"/>
    <w:rsid w:val="00CD642D"/>
    <w:rsid w:val="00CF521F"/>
    <w:rsid w:val="00D06B11"/>
    <w:rsid w:val="00D364BE"/>
    <w:rsid w:val="00D4779A"/>
    <w:rsid w:val="00D512C8"/>
    <w:rsid w:val="00D73CBA"/>
    <w:rsid w:val="00D83E0F"/>
    <w:rsid w:val="00D84111"/>
    <w:rsid w:val="00DB1386"/>
    <w:rsid w:val="00DB5E11"/>
    <w:rsid w:val="00DD3271"/>
    <w:rsid w:val="00DE2FEF"/>
    <w:rsid w:val="00DF4265"/>
    <w:rsid w:val="00E302C8"/>
    <w:rsid w:val="00E40607"/>
    <w:rsid w:val="00E64893"/>
    <w:rsid w:val="00E7030D"/>
    <w:rsid w:val="00E716DE"/>
    <w:rsid w:val="00E71A39"/>
    <w:rsid w:val="00E76957"/>
    <w:rsid w:val="00E8707B"/>
    <w:rsid w:val="00EA275C"/>
    <w:rsid w:val="00EB5C00"/>
    <w:rsid w:val="00EC6A38"/>
    <w:rsid w:val="00EE23C9"/>
    <w:rsid w:val="00EE596D"/>
    <w:rsid w:val="00F027BF"/>
    <w:rsid w:val="00F02D5C"/>
    <w:rsid w:val="00F3459E"/>
    <w:rsid w:val="00F52D79"/>
    <w:rsid w:val="00F71EAD"/>
    <w:rsid w:val="00F75AFE"/>
    <w:rsid w:val="00F86387"/>
    <w:rsid w:val="00FB77B2"/>
    <w:rsid w:val="00FC18DB"/>
    <w:rsid w:val="00FC1B5E"/>
    <w:rsid w:val="00FD45E8"/>
    <w:rsid w:val="00FE34B1"/>
    <w:rsid w:val="00FE7FD7"/>
  </w:rsids>
  <m:mathPr>
    <m:mathFont m:val="Cambria Math"/>
    <m:brkBin m:val="before"/>
    <m:brkBinSub m:val="--"/>
    <m:smallFrac m:val="off"/>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D79"/>
  </w:style>
  <w:style w:type="paragraph" w:styleId="Heading1">
    <w:name w:val="heading 1"/>
    <w:basedOn w:val="Normal"/>
    <w:next w:val="Normal"/>
    <w:link w:val="Heading1Char"/>
    <w:uiPriority w:val="9"/>
    <w:qFormat/>
    <w:rsid w:val="00FB77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40B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40B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02C8"/>
    <w:rPr>
      <w:color w:val="0563C1" w:themeColor="hyperlink"/>
      <w:u w:val="single"/>
    </w:rPr>
  </w:style>
  <w:style w:type="character" w:customStyle="1" w:styleId="Heading1Char">
    <w:name w:val="Heading 1 Char"/>
    <w:basedOn w:val="DefaultParagraphFont"/>
    <w:link w:val="Heading1"/>
    <w:uiPriority w:val="9"/>
    <w:rsid w:val="00FB77B2"/>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FB77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77B2"/>
    <w:rPr>
      <w:sz w:val="20"/>
      <w:szCs w:val="20"/>
    </w:rPr>
  </w:style>
  <w:style w:type="character" w:styleId="FootnoteReference">
    <w:name w:val="footnote reference"/>
    <w:basedOn w:val="DefaultParagraphFont"/>
    <w:uiPriority w:val="99"/>
    <w:semiHidden/>
    <w:unhideWhenUsed/>
    <w:rsid w:val="00FB77B2"/>
    <w:rPr>
      <w:vertAlign w:val="superscript"/>
    </w:rPr>
  </w:style>
  <w:style w:type="paragraph" w:styleId="ListParagraph">
    <w:name w:val="List Paragraph"/>
    <w:basedOn w:val="Normal"/>
    <w:uiPriority w:val="34"/>
    <w:qFormat/>
    <w:rsid w:val="00227DED"/>
    <w:pPr>
      <w:ind w:left="720"/>
      <w:contextualSpacing/>
    </w:pPr>
  </w:style>
  <w:style w:type="character" w:customStyle="1" w:styleId="apple-converted-space">
    <w:name w:val="apple-converted-space"/>
    <w:basedOn w:val="DefaultParagraphFont"/>
    <w:rsid w:val="00671B38"/>
  </w:style>
  <w:style w:type="paragraph" w:styleId="Quote">
    <w:name w:val="Quote"/>
    <w:basedOn w:val="Normal"/>
    <w:next w:val="Normal"/>
    <w:link w:val="QuoteChar"/>
    <w:uiPriority w:val="29"/>
    <w:qFormat/>
    <w:rsid w:val="00AE66D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E66D7"/>
    <w:rPr>
      <w:i/>
      <w:iCs/>
      <w:color w:val="404040" w:themeColor="text1" w:themeTint="BF"/>
    </w:rPr>
  </w:style>
  <w:style w:type="character" w:styleId="Emphasis">
    <w:name w:val="Emphasis"/>
    <w:basedOn w:val="DefaultParagraphFont"/>
    <w:uiPriority w:val="20"/>
    <w:qFormat/>
    <w:rsid w:val="00B52F85"/>
    <w:rPr>
      <w:i/>
      <w:iCs/>
    </w:rPr>
  </w:style>
  <w:style w:type="character" w:styleId="Strong">
    <w:name w:val="Strong"/>
    <w:basedOn w:val="DefaultParagraphFont"/>
    <w:uiPriority w:val="22"/>
    <w:qFormat/>
    <w:rsid w:val="00B52F85"/>
    <w:rPr>
      <w:b/>
      <w:bCs/>
    </w:rPr>
  </w:style>
  <w:style w:type="paragraph" w:styleId="Header">
    <w:name w:val="header"/>
    <w:basedOn w:val="Normal"/>
    <w:link w:val="HeaderChar"/>
    <w:unhideWhenUsed/>
    <w:rsid w:val="00B84B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B0F"/>
  </w:style>
  <w:style w:type="paragraph" w:styleId="Footer">
    <w:name w:val="footer"/>
    <w:basedOn w:val="Normal"/>
    <w:link w:val="FooterChar"/>
    <w:unhideWhenUsed/>
    <w:rsid w:val="00B84B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B0F"/>
  </w:style>
  <w:style w:type="paragraph" w:styleId="BalloonText">
    <w:name w:val="Balloon Text"/>
    <w:basedOn w:val="Normal"/>
    <w:link w:val="BalloonTextChar"/>
    <w:uiPriority w:val="99"/>
    <w:semiHidden/>
    <w:unhideWhenUsed/>
    <w:rsid w:val="001513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3F5"/>
    <w:rPr>
      <w:rFonts w:ascii="Segoe UI" w:hAnsi="Segoe UI" w:cs="Segoe UI"/>
      <w:sz w:val="18"/>
      <w:szCs w:val="18"/>
    </w:rPr>
  </w:style>
  <w:style w:type="character" w:customStyle="1" w:styleId="Heading2Char">
    <w:name w:val="Heading 2 Char"/>
    <w:basedOn w:val="DefaultParagraphFont"/>
    <w:link w:val="Heading2"/>
    <w:uiPriority w:val="9"/>
    <w:rsid w:val="00C40BD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40BDB"/>
    <w:rPr>
      <w:rFonts w:asciiTheme="majorHAnsi" w:eastAsiaTheme="majorEastAsia" w:hAnsiTheme="majorHAnsi" w:cstheme="majorBidi"/>
      <w:color w:val="1F4D78"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417990496">
      <w:bodyDiv w:val="1"/>
      <w:marLeft w:val="0"/>
      <w:marRight w:val="0"/>
      <w:marTop w:val="0"/>
      <w:marBottom w:val="0"/>
      <w:divBdr>
        <w:top w:val="none" w:sz="0" w:space="0" w:color="auto"/>
        <w:left w:val="none" w:sz="0" w:space="0" w:color="auto"/>
        <w:bottom w:val="none" w:sz="0" w:space="0" w:color="auto"/>
        <w:right w:val="none" w:sz="0" w:space="0" w:color="auto"/>
      </w:divBdr>
    </w:div>
    <w:div w:id="1350713613">
      <w:bodyDiv w:val="1"/>
      <w:marLeft w:val="0"/>
      <w:marRight w:val="0"/>
      <w:marTop w:val="0"/>
      <w:marBottom w:val="0"/>
      <w:divBdr>
        <w:top w:val="none" w:sz="0" w:space="0" w:color="auto"/>
        <w:left w:val="none" w:sz="0" w:space="0" w:color="auto"/>
        <w:bottom w:val="none" w:sz="0" w:space="0" w:color="auto"/>
        <w:right w:val="none" w:sz="0" w:space="0" w:color="auto"/>
      </w:divBdr>
    </w:div>
    <w:div w:id="1658074529">
      <w:bodyDiv w:val="1"/>
      <w:marLeft w:val="0"/>
      <w:marRight w:val="0"/>
      <w:marTop w:val="0"/>
      <w:marBottom w:val="0"/>
      <w:divBdr>
        <w:top w:val="none" w:sz="0" w:space="0" w:color="auto"/>
        <w:left w:val="none" w:sz="0" w:space="0" w:color="auto"/>
        <w:bottom w:val="none" w:sz="0" w:space="0" w:color="auto"/>
        <w:right w:val="none" w:sz="0" w:space="0" w:color="auto"/>
      </w:divBdr>
    </w:div>
    <w:div w:id="206047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473DE-A9B9-4DBC-A045-D40181D37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6961</Words>
  <Characters>39088</Characters>
  <Application>Microsoft Office Word</Application>
  <DocSecurity>4</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45958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Batagol</dc:creator>
  <cp:lastModifiedBy>tina.obrien</cp:lastModifiedBy>
  <cp:revision>2</cp:revision>
  <cp:lastPrinted>2018-05-14T05:46:00Z</cp:lastPrinted>
  <dcterms:created xsi:type="dcterms:W3CDTF">2018-05-14T06:35:00Z</dcterms:created>
  <dcterms:modified xsi:type="dcterms:W3CDTF">2018-05-14T06:35:00Z</dcterms:modified>
</cp:coreProperties>
</file>