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7F8" w:rsidRDefault="000877F8" w:rsidP="000877F8">
      <w:pPr>
        <w:spacing w:before="120" w:after="120"/>
        <w:rPr>
          <w:rFonts w:ascii="Times New Roman" w:hAnsi="Times New Roman" w:cs="Times New Roman"/>
          <w:b/>
        </w:rPr>
      </w:pPr>
      <w:r>
        <w:rPr>
          <w:rFonts w:eastAsia="Times New Roman"/>
        </w:rPr>
        <w:t>Fiona Kelly</w:t>
      </w:r>
    </w:p>
    <w:p w:rsidR="00497664" w:rsidRPr="00737AC9" w:rsidRDefault="00F97481" w:rsidP="00CF6D81">
      <w:pPr>
        <w:spacing w:before="120" w:after="120"/>
        <w:jc w:val="center"/>
        <w:rPr>
          <w:rFonts w:ascii="Times New Roman" w:hAnsi="Times New Roman" w:cs="Times New Roman"/>
          <w:b/>
        </w:rPr>
      </w:pPr>
      <w:r w:rsidRPr="00737AC9">
        <w:rPr>
          <w:rFonts w:ascii="Times New Roman" w:hAnsi="Times New Roman" w:cs="Times New Roman"/>
          <w:b/>
        </w:rPr>
        <w:t xml:space="preserve">Submission to the </w:t>
      </w:r>
      <w:r w:rsidR="009351EA">
        <w:rPr>
          <w:rFonts w:ascii="Times New Roman" w:hAnsi="Times New Roman" w:cs="Times New Roman"/>
          <w:b/>
        </w:rPr>
        <w:t>ALRC Review</w:t>
      </w:r>
      <w:r w:rsidR="002C1B7A">
        <w:rPr>
          <w:rFonts w:ascii="Times New Roman" w:hAnsi="Times New Roman" w:cs="Times New Roman"/>
          <w:b/>
        </w:rPr>
        <w:t xml:space="preserve"> of the Family Law System</w:t>
      </w:r>
    </w:p>
    <w:p w:rsidR="00F97481" w:rsidRPr="00737AC9" w:rsidRDefault="00F97481" w:rsidP="00CF6D81">
      <w:pPr>
        <w:spacing w:before="120" w:after="120"/>
        <w:rPr>
          <w:rFonts w:ascii="Times New Roman" w:hAnsi="Times New Roman" w:cs="Times New Roman"/>
        </w:rPr>
      </w:pPr>
    </w:p>
    <w:p w:rsidR="00424A51" w:rsidRPr="00737AC9" w:rsidRDefault="00424A51" w:rsidP="00CF6D81">
      <w:pPr>
        <w:spacing w:before="120" w:after="120"/>
        <w:rPr>
          <w:rFonts w:ascii="Times New Roman" w:hAnsi="Times New Roman" w:cs="Times New Roman"/>
          <w:b/>
        </w:rPr>
      </w:pPr>
      <w:r w:rsidRPr="00737AC9">
        <w:rPr>
          <w:rFonts w:ascii="Times New Roman" w:hAnsi="Times New Roman" w:cs="Times New Roman"/>
          <w:b/>
        </w:rPr>
        <w:t>Introduction</w:t>
      </w:r>
    </w:p>
    <w:p w:rsidR="00DC21A3" w:rsidRPr="00737AC9" w:rsidRDefault="00424A51" w:rsidP="00CF6D81">
      <w:pPr>
        <w:spacing w:before="120" w:after="120"/>
        <w:rPr>
          <w:rFonts w:ascii="Times New Roman" w:hAnsi="Times New Roman" w:cs="Times New Roman"/>
        </w:rPr>
      </w:pPr>
      <w:r w:rsidRPr="00737AC9">
        <w:rPr>
          <w:rFonts w:ascii="Times New Roman" w:hAnsi="Times New Roman" w:cs="Times New Roman"/>
        </w:rPr>
        <w:t>I am an Associate Professor at La Trobe Law School</w:t>
      </w:r>
      <w:r w:rsidR="00214BC7" w:rsidRPr="00737AC9">
        <w:rPr>
          <w:rFonts w:ascii="Times New Roman" w:hAnsi="Times New Roman" w:cs="Times New Roman"/>
        </w:rPr>
        <w:t xml:space="preserve">, with 15 years of </w:t>
      </w:r>
      <w:r w:rsidR="00163D2F">
        <w:rPr>
          <w:rFonts w:ascii="Times New Roman" w:hAnsi="Times New Roman" w:cs="Times New Roman"/>
        </w:rPr>
        <w:t xml:space="preserve">practical and </w:t>
      </w:r>
      <w:r w:rsidR="00214BC7" w:rsidRPr="00737AC9">
        <w:rPr>
          <w:rFonts w:ascii="Times New Roman" w:hAnsi="Times New Roman" w:cs="Times New Roman"/>
        </w:rPr>
        <w:t>academic experience in family law in Australia and Canada. My</w:t>
      </w:r>
      <w:r w:rsidRPr="00737AC9">
        <w:rPr>
          <w:rFonts w:ascii="Times New Roman" w:hAnsi="Times New Roman" w:cs="Times New Roman"/>
        </w:rPr>
        <w:t xml:space="preserve"> research </w:t>
      </w:r>
      <w:r w:rsidR="00214BC7" w:rsidRPr="00737AC9">
        <w:rPr>
          <w:rFonts w:ascii="Times New Roman" w:hAnsi="Times New Roman" w:cs="Times New Roman"/>
        </w:rPr>
        <w:t>explores</w:t>
      </w:r>
      <w:r w:rsidRPr="00737AC9">
        <w:rPr>
          <w:rFonts w:ascii="Times New Roman" w:hAnsi="Times New Roman" w:cs="Times New Roman"/>
        </w:rPr>
        <w:t xml:space="preserve"> the legal recognition of lesbian and single mother by choice families</w:t>
      </w:r>
      <w:r w:rsidR="00214BC7" w:rsidRPr="00737AC9">
        <w:rPr>
          <w:rFonts w:ascii="Times New Roman" w:hAnsi="Times New Roman" w:cs="Times New Roman"/>
        </w:rPr>
        <w:t>, with a particular focus on legal parentage</w:t>
      </w:r>
      <w:r w:rsidR="00C54C60">
        <w:rPr>
          <w:rFonts w:ascii="Times New Roman" w:hAnsi="Times New Roman" w:cs="Times New Roman"/>
        </w:rPr>
        <w:t xml:space="preserve">. I have conducted </w:t>
      </w:r>
      <w:r w:rsidRPr="00737AC9">
        <w:rPr>
          <w:rFonts w:ascii="Times New Roman" w:hAnsi="Times New Roman" w:cs="Times New Roman"/>
        </w:rPr>
        <w:t>empirical resea</w:t>
      </w:r>
      <w:r w:rsidR="00163D2F">
        <w:rPr>
          <w:rFonts w:ascii="Times New Roman" w:hAnsi="Times New Roman" w:cs="Times New Roman"/>
        </w:rPr>
        <w:t xml:space="preserve">rch </w:t>
      </w:r>
      <w:r w:rsidR="00C54C60">
        <w:rPr>
          <w:rFonts w:ascii="Times New Roman" w:hAnsi="Times New Roman" w:cs="Times New Roman"/>
        </w:rPr>
        <w:t>with</w:t>
      </w:r>
      <w:r w:rsidRPr="00737AC9">
        <w:rPr>
          <w:rFonts w:ascii="Times New Roman" w:hAnsi="Times New Roman" w:cs="Times New Roman"/>
        </w:rPr>
        <w:t xml:space="preserve"> lesbian and single mother families created through assisted reproduction, exploring how</w:t>
      </w:r>
      <w:r w:rsidR="00DC21A3" w:rsidRPr="00737AC9">
        <w:rPr>
          <w:rFonts w:ascii="Times New Roman" w:hAnsi="Times New Roman" w:cs="Times New Roman"/>
        </w:rPr>
        <w:t xml:space="preserve"> they create their families and </w:t>
      </w:r>
      <w:r w:rsidRPr="00737AC9">
        <w:rPr>
          <w:rFonts w:ascii="Times New Roman" w:hAnsi="Times New Roman" w:cs="Times New Roman"/>
        </w:rPr>
        <w:t xml:space="preserve">define the relationships within them. </w:t>
      </w:r>
      <w:r w:rsidR="001E4AAC" w:rsidRPr="00737AC9">
        <w:rPr>
          <w:rFonts w:ascii="Times New Roman" w:hAnsi="Times New Roman" w:cs="Times New Roman"/>
        </w:rPr>
        <w:t>More recently, I have worked on issues related to the relationship between medical treatment for transgender and intersex children and the Family Court</w:t>
      </w:r>
      <w:r w:rsidR="00163D2F">
        <w:rPr>
          <w:rFonts w:ascii="Times New Roman" w:hAnsi="Times New Roman" w:cs="Times New Roman"/>
        </w:rPr>
        <w:t>’s welfare power</w:t>
      </w:r>
      <w:r w:rsidR="001E4AAC" w:rsidRPr="00737AC9">
        <w:rPr>
          <w:rFonts w:ascii="Times New Roman" w:hAnsi="Times New Roman" w:cs="Times New Roman"/>
        </w:rPr>
        <w:t>.</w:t>
      </w:r>
    </w:p>
    <w:p w:rsidR="00DC21A3" w:rsidRPr="00737AC9" w:rsidRDefault="00CF6D81" w:rsidP="00CF6D81">
      <w:pPr>
        <w:spacing w:before="120" w:after="120"/>
        <w:rPr>
          <w:rFonts w:ascii="Times New Roman" w:hAnsi="Times New Roman" w:cs="Times New Roman"/>
        </w:rPr>
      </w:pPr>
      <w:r w:rsidRPr="00737AC9">
        <w:rPr>
          <w:rFonts w:ascii="Times New Roman" w:hAnsi="Times New Roman" w:cs="Times New Roman"/>
        </w:rPr>
        <w:t xml:space="preserve">In this submission, I </w:t>
      </w:r>
      <w:r w:rsidR="00DC21A3" w:rsidRPr="00737AC9">
        <w:rPr>
          <w:rFonts w:ascii="Times New Roman" w:hAnsi="Times New Roman" w:cs="Times New Roman"/>
        </w:rPr>
        <w:t xml:space="preserve">consider </w:t>
      </w:r>
      <w:r w:rsidR="00734A05" w:rsidRPr="00737AC9">
        <w:rPr>
          <w:rFonts w:ascii="Times New Roman" w:hAnsi="Times New Roman" w:cs="Times New Roman"/>
        </w:rPr>
        <w:t xml:space="preserve">three issues raised by Questions 8 and 16: </w:t>
      </w:r>
    </w:p>
    <w:p w:rsidR="00DC21A3" w:rsidRPr="00737AC9" w:rsidRDefault="00D05E9C" w:rsidP="00CF6D81">
      <w:pPr>
        <w:pStyle w:val="ListParagraph"/>
        <w:numPr>
          <w:ilvl w:val="0"/>
          <w:numId w:val="3"/>
        </w:numPr>
        <w:spacing w:before="120" w:after="120"/>
        <w:contextualSpacing w:val="0"/>
        <w:rPr>
          <w:rFonts w:ascii="Times New Roman" w:hAnsi="Times New Roman" w:cs="Times New Roman"/>
        </w:rPr>
      </w:pPr>
      <w:r w:rsidRPr="00737AC9">
        <w:rPr>
          <w:rFonts w:ascii="Times New Roman" w:hAnsi="Times New Roman" w:cs="Times New Roman"/>
        </w:rPr>
        <w:t>Improved accessibility to the family law system</w:t>
      </w:r>
      <w:r w:rsidR="00DC21A3" w:rsidRPr="00737AC9">
        <w:rPr>
          <w:rFonts w:ascii="Times New Roman" w:hAnsi="Times New Roman" w:cs="Times New Roman"/>
        </w:rPr>
        <w:t xml:space="preserve"> for LGBTIQ people</w:t>
      </w:r>
      <w:r w:rsidRPr="00737AC9">
        <w:rPr>
          <w:rFonts w:ascii="Times New Roman" w:hAnsi="Times New Roman" w:cs="Times New Roman"/>
        </w:rPr>
        <w:t>;</w:t>
      </w:r>
    </w:p>
    <w:p w:rsidR="00DC21A3" w:rsidRPr="00737AC9" w:rsidRDefault="00D05E9C" w:rsidP="00CF6D81">
      <w:pPr>
        <w:pStyle w:val="ListParagraph"/>
        <w:numPr>
          <w:ilvl w:val="0"/>
          <w:numId w:val="3"/>
        </w:numPr>
        <w:spacing w:before="120" w:after="120"/>
        <w:contextualSpacing w:val="0"/>
        <w:rPr>
          <w:rFonts w:ascii="Times New Roman" w:hAnsi="Times New Roman" w:cs="Times New Roman"/>
        </w:rPr>
      </w:pPr>
      <w:r w:rsidRPr="00737AC9">
        <w:rPr>
          <w:rFonts w:ascii="Times New Roman" w:hAnsi="Times New Roman" w:cs="Times New Roman"/>
        </w:rPr>
        <w:t>Reform of</w:t>
      </w:r>
      <w:r w:rsidR="00DC21A3" w:rsidRPr="00737AC9">
        <w:rPr>
          <w:rFonts w:ascii="Times New Roman" w:hAnsi="Times New Roman" w:cs="Times New Roman"/>
        </w:rPr>
        <w:t xml:space="preserve"> s 60H of </w:t>
      </w:r>
      <w:r w:rsidRPr="00737AC9">
        <w:rPr>
          <w:rFonts w:ascii="Times New Roman" w:hAnsi="Times New Roman" w:cs="Times New Roman"/>
        </w:rPr>
        <w:t xml:space="preserve">Part VII (parentage in the context of assisted reproduction); and </w:t>
      </w:r>
    </w:p>
    <w:p w:rsidR="00DC21A3" w:rsidRPr="00737AC9" w:rsidRDefault="005876C6" w:rsidP="00CF6D81">
      <w:pPr>
        <w:pStyle w:val="ListParagraph"/>
        <w:numPr>
          <w:ilvl w:val="0"/>
          <w:numId w:val="3"/>
        </w:numPr>
        <w:spacing w:before="120" w:after="120"/>
        <w:contextualSpacing w:val="0"/>
        <w:rPr>
          <w:rFonts w:ascii="Times New Roman" w:hAnsi="Times New Roman" w:cs="Times New Roman"/>
        </w:rPr>
      </w:pPr>
      <w:r w:rsidRPr="00737AC9">
        <w:rPr>
          <w:rFonts w:ascii="Times New Roman" w:hAnsi="Times New Roman" w:cs="Times New Roman"/>
        </w:rPr>
        <w:t xml:space="preserve">Reform of the </w:t>
      </w:r>
      <w:r w:rsidR="00DC21A3" w:rsidRPr="00737AC9">
        <w:rPr>
          <w:rFonts w:ascii="Times New Roman" w:hAnsi="Times New Roman" w:cs="Times New Roman"/>
        </w:rPr>
        <w:t>Family Court’s approach to surgeries on intersex infants and children.</w:t>
      </w:r>
    </w:p>
    <w:p w:rsidR="00424A51" w:rsidRPr="00737AC9" w:rsidRDefault="00424A51" w:rsidP="00CF6D81">
      <w:pPr>
        <w:spacing w:before="120" w:after="120"/>
        <w:rPr>
          <w:rFonts w:ascii="Times New Roman" w:hAnsi="Times New Roman" w:cs="Times New Roman"/>
          <w:b/>
        </w:rPr>
      </w:pPr>
    </w:p>
    <w:p w:rsidR="00926538" w:rsidRPr="00737AC9" w:rsidRDefault="00926538" w:rsidP="00CF6D81">
      <w:pPr>
        <w:spacing w:before="120" w:after="120"/>
        <w:rPr>
          <w:rFonts w:ascii="Times New Roman" w:hAnsi="Times New Roman" w:cs="Times New Roman"/>
          <w:b/>
        </w:rPr>
      </w:pPr>
      <w:r w:rsidRPr="00737AC9">
        <w:rPr>
          <w:rFonts w:ascii="Times New Roman" w:hAnsi="Times New Roman" w:cs="Times New Roman"/>
          <w:b/>
        </w:rPr>
        <w:t xml:space="preserve">Question 8: </w:t>
      </w:r>
      <w:r w:rsidR="00D05E9C" w:rsidRPr="00737AC9">
        <w:rPr>
          <w:rFonts w:ascii="Times New Roman" w:hAnsi="Times New Roman" w:cs="Times New Roman"/>
          <w:b/>
        </w:rPr>
        <w:t>Lesbian, gay, bisexual, transgender, intersex and queer clients</w:t>
      </w:r>
      <w:r w:rsidR="00CF6D81" w:rsidRPr="00737AC9">
        <w:rPr>
          <w:rFonts w:ascii="Times New Roman" w:hAnsi="Times New Roman" w:cs="Times New Roman"/>
          <w:b/>
        </w:rPr>
        <w:t xml:space="preserve"> – </w:t>
      </w:r>
      <w:r w:rsidRPr="00737AC9">
        <w:rPr>
          <w:rFonts w:ascii="Times New Roman" w:hAnsi="Times New Roman" w:cs="Times New Roman"/>
          <w:b/>
        </w:rPr>
        <w:t>How can the accessibility of the family law system be improved for lesbian, gay, bisexual, transgender, intersex and queer (LGBTIQ) people?</w:t>
      </w:r>
    </w:p>
    <w:p w:rsidR="00A0624E" w:rsidRPr="00737AC9" w:rsidRDefault="00D05E9C" w:rsidP="00CF6D81">
      <w:pPr>
        <w:spacing w:before="120" w:after="120"/>
        <w:rPr>
          <w:rFonts w:ascii="Times New Roman" w:hAnsi="Times New Roman" w:cs="Times New Roman"/>
        </w:rPr>
      </w:pPr>
      <w:r w:rsidRPr="00737AC9">
        <w:rPr>
          <w:rFonts w:ascii="Times New Roman" w:hAnsi="Times New Roman" w:cs="Times New Roman"/>
        </w:rPr>
        <w:t xml:space="preserve">Lesbian, gay, bisexual, transgender, intersex and queer people are part of the fabric of Australian society. They have created and been members of families long before marriage equality was introduced. They engage in the family law system as parents, partners, single people, </w:t>
      </w:r>
      <w:r w:rsidR="00BE26A9" w:rsidRPr="00737AC9">
        <w:rPr>
          <w:rFonts w:ascii="Times New Roman" w:hAnsi="Times New Roman" w:cs="Times New Roman"/>
        </w:rPr>
        <w:t xml:space="preserve">and donors. They parent in couples, </w:t>
      </w:r>
      <w:r w:rsidR="00C54C60">
        <w:rPr>
          <w:rFonts w:ascii="Times New Roman" w:hAnsi="Times New Roman" w:cs="Times New Roman"/>
        </w:rPr>
        <w:t>alone</w:t>
      </w:r>
      <w:r w:rsidR="00BE26A9" w:rsidRPr="00737AC9">
        <w:rPr>
          <w:rFonts w:ascii="Times New Roman" w:hAnsi="Times New Roman" w:cs="Times New Roman"/>
        </w:rPr>
        <w:t xml:space="preserve">, and in co-parenting arrangements that may include three or more people. Moving forward, it is imperative that reforms designed to recognize LGBTIQ people and their families do not do so solely through the lens of a dyadic couple (with children). LGBTIQ </w:t>
      </w:r>
      <w:r w:rsidR="001F051E" w:rsidRPr="00737AC9">
        <w:rPr>
          <w:rFonts w:ascii="Times New Roman" w:hAnsi="Times New Roman" w:cs="Times New Roman"/>
        </w:rPr>
        <w:t xml:space="preserve">families </w:t>
      </w:r>
      <w:r w:rsidR="00BE26A9" w:rsidRPr="00737AC9">
        <w:rPr>
          <w:rFonts w:ascii="Times New Roman" w:hAnsi="Times New Roman" w:cs="Times New Roman"/>
        </w:rPr>
        <w:t>are not “the same”</w:t>
      </w:r>
      <w:r w:rsidR="001F051E" w:rsidRPr="00737AC9">
        <w:rPr>
          <w:rFonts w:ascii="Times New Roman" w:hAnsi="Times New Roman" w:cs="Times New Roman"/>
        </w:rPr>
        <w:t xml:space="preserve"> as heterosexual families and should not be forced to configure their families to fit normative definitions. </w:t>
      </w:r>
      <w:r w:rsidR="00BE26A9" w:rsidRPr="00737AC9">
        <w:rPr>
          <w:rFonts w:ascii="Times New Roman" w:hAnsi="Times New Roman" w:cs="Times New Roman"/>
        </w:rPr>
        <w:t xml:space="preserve">While </w:t>
      </w:r>
      <w:r w:rsidR="001F051E" w:rsidRPr="00737AC9">
        <w:rPr>
          <w:rFonts w:ascii="Times New Roman" w:hAnsi="Times New Roman" w:cs="Times New Roman"/>
        </w:rPr>
        <w:t>all families and children are entitled t</w:t>
      </w:r>
      <w:r w:rsidR="00BE26A9" w:rsidRPr="00737AC9">
        <w:rPr>
          <w:rFonts w:ascii="Times New Roman" w:hAnsi="Times New Roman" w:cs="Times New Roman"/>
        </w:rPr>
        <w:t xml:space="preserve">o equality, </w:t>
      </w:r>
      <w:r w:rsidR="001F051E" w:rsidRPr="00737AC9">
        <w:rPr>
          <w:rFonts w:ascii="Times New Roman" w:hAnsi="Times New Roman" w:cs="Times New Roman"/>
        </w:rPr>
        <w:t>equity demands</w:t>
      </w:r>
      <w:r w:rsidR="00BE26A9" w:rsidRPr="00737AC9">
        <w:rPr>
          <w:rFonts w:ascii="Times New Roman" w:hAnsi="Times New Roman" w:cs="Times New Roman"/>
        </w:rPr>
        <w:t xml:space="preserve"> that the differences found within </w:t>
      </w:r>
      <w:r w:rsidR="001F051E" w:rsidRPr="00737AC9">
        <w:rPr>
          <w:rFonts w:ascii="Times New Roman" w:hAnsi="Times New Roman" w:cs="Times New Roman"/>
        </w:rPr>
        <w:t xml:space="preserve">LGBTIQ </w:t>
      </w:r>
      <w:r w:rsidR="00BE26A9" w:rsidRPr="00737AC9">
        <w:rPr>
          <w:rFonts w:ascii="Times New Roman" w:hAnsi="Times New Roman" w:cs="Times New Roman"/>
        </w:rPr>
        <w:t xml:space="preserve">families are respected and recognized </w:t>
      </w:r>
      <w:r w:rsidR="001F051E" w:rsidRPr="00737AC9">
        <w:rPr>
          <w:rFonts w:ascii="Times New Roman" w:hAnsi="Times New Roman" w:cs="Times New Roman"/>
        </w:rPr>
        <w:t>by the law.</w:t>
      </w:r>
    </w:p>
    <w:p w:rsidR="00A0624E" w:rsidRPr="00737AC9" w:rsidRDefault="00D21270" w:rsidP="00CF6D81">
      <w:pPr>
        <w:spacing w:before="120" w:after="120"/>
        <w:rPr>
          <w:rFonts w:ascii="Times New Roman" w:hAnsi="Times New Roman" w:cs="Times New Roman"/>
        </w:rPr>
      </w:pPr>
      <w:r>
        <w:rPr>
          <w:rFonts w:ascii="Times New Roman" w:hAnsi="Times New Roman" w:cs="Times New Roman"/>
        </w:rPr>
        <w:t>For</w:t>
      </w:r>
      <w:r w:rsidR="00A0624E" w:rsidRPr="00737AC9">
        <w:rPr>
          <w:rFonts w:ascii="Times New Roman" w:hAnsi="Times New Roman" w:cs="Times New Roman"/>
        </w:rPr>
        <w:t xml:space="preserve"> LGBTIQ to embrace the family law system and feel comfortable within it </w:t>
      </w:r>
      <w:r w:rsidR="00CE6FB3" w:rsidRPr="00737AC9">
        <w:rPr>
          <w:rFonts w:ascii="Times New Roman" w:hAnsi="Times New Roman" w:cs="Times New Roman"/>
        </w:rPr>
        <w:t>t</w:t>
      </w:r>
      <w:r w:rsidR="00B36A59" w:rsidRPr="00737AC9">
        <w:rPr>
          <w:rFonts w:ascii="Times New Roman" w:hAnsi="Times New Roman" w:cs="Times New Roman"/>
        </w:rPr>
        <w:t>w</w:t>
      </w:r>
      <w:r w:rsidR="005E7294" w:rsidRPr="00737AC9">
        <w:rPr>
          <w:rFonts w:ascii="Times New Roman" w:hAnsi="Times New Roman" w:cs="Times New Roman"/>
        </w:rPr>
        <w:t>o changes need to be achieved:</w:t>
      </w:r>
    </w:p>
    <w:p w:rsidR="00A0624E" w:rsidRPr="00737AC9" w:rsidRDefault="005E7294" w:rsidP="00CF6D81">
      <w:pPr>
        <w:spacing w:before="120" w:after="120"/>
        <w:rPr>
          <w:rFonts w:ascii="Times New Roman" w:hAnsi="Times New Roman" w:cs="Times New Roman"/>
        </w:rPr>
      </w:pPr>
      <w:r w:rsidRPr="00737AC9">
        <w:rPr>
          <w:rFonts w:ascii="Times New Roman" w:hAnsi="Times New Roman" w:cs="Times New Roman"/>
          <w:b/>
        </w:rPr>
        <w:t>1.</w:t>
      </w:r>
      <w:r w:rsidR="00A0624E" w:rsidRPr="00737AC9">
        <w:rPr>
          <w:rFonts w:ascii="Times New Roman" w:hAnsi="Times New Roman" w:cs="Times New Roman"/>
        </w:rPr>
        <w:t xml:space="preserve"> </w:t>
      </w:r>
      <w:r w:rsidR="00CE6FB3" w:rsidRPr="00737AC9">
        <w:rPr>
          <w:rFonts w:ascii="Times New Roman" w:hAnsi="Times New Roman" w:cs="Times New Roman"/>
        </w:rPr>
        <w:t xml:space="preserve">LGBTIQ people need to know </w:t>
      </w:r>
      <w:r w:rsidR="00A0624E" w:rsidRPr="00737AC9">
        <w:rPr>
          <w:rFonts w:ascii="Times New Roman" w:hAnsi="Times New Roman" w:cs="Times New Roman"/>
        </w:rPr>
        <w:t>that their differences will be acknowledged and accepted. This requires that from the moment they enter the system, professionals understand that their families may have configuration</w:t>
      </w:r>
      <w:r w:rsidR="00AE658A" w:rsidRPr="00737AC9">
        <w:rPr>
          <w:rFonts w:ascii="Times New Roman" w:hAnsi="Times New Roman" w:cs="Times New Roman"/>
        </w:rPr>
        <w:t xml:space="preserve">s outside of the nuclear model and that language will need to adapt to respond to this reality. </w:t>
      </w:r>
      <w:r w:rsidR="00A0624E" w:rsidRPr="00737AC9">
        <w:rPr>
          <w:rFonts w:ascii="Times New Roman" w:hAnsi="Times New Roman" w:cs="Times New Roman"/>
        </w:rPr>
        <w:t xml:space="preserve">For example, a child </w:t>
      </w:r>
      <w:r w:rsidR="00C54C60">
        <w:rPr>
          <w:rFonts w:ascii="Times New Roman" w:hAnsi="Times New Roman" w:cs="Times New Roman"/>
        </w:rPr>
        <w:t>may have three or four parents who have co-parented</w:t>
      </w:r>
      <w:r w:rsidR="00A0624E" w:rsidRPr="00737AC9">
        <w:rPr>
          <w:rFonts w:ascii="Times New Roman" w:hAnsi="Times New Roman" w:cs="Times New Roman"/>
        </w:rPr>
        <w:t xml:space="preserve"> from birth. Or a child may have a known donor who is involved in his or her life, but is not a parent. Two different mothers may have carried siblings, or in the case of “partner IVF” (where one mother’s fertilised egg is </w:t>
      </w:r>
      <w:r w:rsidR="00A0624E" w:rsidRPr="00737AC9">
        <w:rPr>
          <w:rFonts w:ascii="Times New Roman" w:hAnsi="Times New Roman" w:cs="Times New Roman"/>
        </w:rPr>
        <w:lastRenderedPageBreak/>
        <w:t>gestated by the other mother) one mother may be the birth mother, while t</w:t>
      </w:r>
      <w:r w:rsidRPr="00737AC9">
        <w:rPr>
          <w:rFonts w:ascii="Times New Roman" w:hAnsi="Times New Roman" w:cs="Times New Roman"/>
        </w:rPr>
        <w:t>he other is the genetic mother.</w:t>
      </w:r>
      <w:r w:rsidR="00C54C60">
        <w:rPr>
          <w:rFonts w:ascii="Times New Roman" w:hAnsi="Times New Roman" w:cs="Times New Roman"/>
        </w:rPr>
        <w:t xml:space="preserve"> </w:t>
      </w:r>
    </w:p>
    <w:p w:rsidR="00A0624E" w:rsidRPr="00737AC9" w:rsidRDefault="00A0624E" w:rsidP="00CF6D81">
      <w:pPr>
        <w:spacing w:before="120" w:after="120"/>
        <w:rPr>
          <w:rFonts w:ascii="Times New Roman" w:hAnsi="Times New Roman" w:cs="Times New Roman"/>
        </w:rPr>
      </w:pPr>
      <w:r w:rsidRPr="00737AC9">
        <w:rPr>
          <w:rFonts w:ascii="Times New Roman" w:hAnsi="Times New Roman" w:cs="Times New Roman"/>
        </w:rPr>
        <w:t>Case law</w:t>
      </w:r>
      <w:r w:rsidR="005E7294" w:rsidRPr="00737AC9">
        <w:rPr>
          <w:rFonts w:ascii="Times New Roman" w:hAnsi="Times New Roman" w:cs="Times New Roman"/>
        </w:rPr>
        <w:t xml:space="preserve"> and research indicate </w:t>
      </w:r>
      <w:r w:rsidRPr="00737AC9">
        <w:rPr>
          <w:rFonts w:ascii="Times New Roman" w:hAnsi="Times New Roman" w:cs="Times New Roman"/>
        </w:rPr>
        <w:t xml:space="preserve">that in the types of circumstances described above, judges and family law professionals often use language that is completely inappropriate to describe the various parties. </w:t>
      </w:r>
      <w:r w:rsidR="00AE658A" w:rsidRPr="00737AC9">
        <w:rPr>
          <w:rFonts w:ascii="Times New Roman" w:hAnsi="Times New Roman" w:cs="Times New Roman"/>
        </w:rPr>
        <w:t xml:space="preserve">Donors, even </w:t>
      </w:r>
      <w:r w:rsidR="00B31F5E" w:rsidRPr="00737AC9">
        <w:rPr>
          <w:rFonts w:ascii="Times New Roman" w:hAnsi="Times New Roman" w:cs="Times New Roman"/>
        </w:rPr>
        <w:t xml:space="preserve">unknown </w:t>
      </w:r>
      <w:r w:rsidR="00AE658A" w:rsidRPr="00737AC9">
        <w:rPr>
          <w:rFonts w:ascii="Times New Roman" w:hAnsi="Times New Roman" w:cs="Times New Roman"/>
        </w:rPr>
        <w:t xml:space="preserve">ones, are frequently referred to as the child’s father. Judges </w:t>
      </w:r>
      <w:r w:rsidR="0078418D" w:rsidRPr="00737AC9">
        <w:rPr>
          <w:rFonts w:ascii="Times New Roman" w:hAnsi="Times New Roman" w:cs="Times New Roman"/>
        </w:rPr>
        <w:t xml:space="preserve">routinely </w:t>
      </w:r>
      <w:r w:rsidR="00AE658A" w:rsidRPr="00737AC9">
        <w:rPr>
          <w:rFonts w:ascii="Times New Roman" w:hAnsi="Times New Roman" w:cs="Times New Roman"/>
        </w:rPr>
        <w:t>distinguish between biological and non-biological mothers and frequently presume that the child is necessarily more attached to their biological mother. In the case of partner IVF,</w:t>
      </w:r>
      <w:r w:rsidR="00C54C60">
        <w:rPr>
          <w:rFonts w:ascii="Times New Roman" w:hAnsi="Times New Roman" w:cs="Times New Roman"/>
        </w:rPr>
        <w:t xml:space="preserve"> in at least one case</w:t>
      </w:r>
      <w:r w:rsidR="00AE658A" w:rsidRPr="00737AC9">
        <w:rPr>
          <w:rFonts w:ascii="Times New Roman" w:hAnsi="Times New Roman" w:cs="Times New Roman"/>
        </w:rPr>
        <w:t xml:space="preserve"> the birth mother </w:t>
      </w:r>
      <w:r w:rsidR="00C54C60">
        <w:rPr>
          <w:rFonts w:ascii="Times New Roman" w:hAnsi="Times New Roman" w:cs="Times New Roman"/>
        </w:rPr>
        <w:t>was</w:t>
      </w:r>
      <w:r w:rsidR="00AE658A" w:rsidRPr="00737AC9">
        <w:rPr>
          <w:rFonts w:ascii="Times New Roman" w:hAnsi="Times New Roman" w:cs="Times New Roman"/>
        </w:rPr>
        <w:t xml:space="preserve"> referred to as a surrogate and the genetic mother</w:t>
      </w:r>
      <w:r w:rsidR="005E7294" w:rsidRPr="00737AC9">
        <w:rPr>
          <w:rFonts w:ascii="Times New Roman" w:hAnsi="Times New Roman" w:cs="Times New Roman"/>
        </w:rPr>
        <w:t xml:space="preserve"> as a donor</w:t>
      </w:r>
      <w:r w:rsidR="00C54C60">
        <w:rPr>
          <w:rFonts w:ascii="Times New Roman" w:hAnsi="Times New Roman" w:cs="Times New Roman"/>
        </w:rPr>
        <w:t>, despite them being a couple</w:t>
      </w:r>
      <w:r w:rsidR="005E7294" w:rsidRPr="00737AC9">
        <w:rPr>
          <w:rFonts w:ascii="Times New Roman" w:hAnsi="Times New Roman" w:cs="Times New Roman"/>
        </w:rPr>
        <w:t>. Judges</w:t>
      </w:r>
      <w:r w:rsidR="00AE658A" w:rsidRPr="00737AC9">
        <w:rPr>
          <w:rFonts w:ascii="Times New Roman" w:hAnsi="Times New Roman" w:cs="Times New Roman"/>
        </w:rPr>
        <w:t xml:space="preserve"> have also </w:t>
      </w:r>
      <w:r w:rsidR="00C54C60">
        <w:rPr>
          <w:rFonts w:ascii="Times New Roman" w:hAnsi="Times New Roman" w:cs="Times New Roman"/>
        </w:rPr>
        <w:t xml:space="preserve">denied </w:t>
      </w:r>
      <w:r w:rsidR="005E7294" w:rsidRPr="00737AC9">
        <w:rPr>
          <w:rFonts w:ascii="Times New Roman" w:hAnsi="Times New Roman" w:cs="Times New Roman"/>
        </w:rPr>
        <w:t>or diminish</w:t>
      </w:r>
      <w:r w:rsidR="00C54C60">
        <w:rPr>
          <w:rFonts w:ascii="Times New Roman" w:hAnsi="Times New Roman" w:cs="Times New Roman"/>
        </w:rPr>
        <w:t>ed</w:t>
      </w:r>
      <w:r w:rsidR="005E7294" w:rsidRPr="00737AC9">
        <w:rPr>
          <w:rFonts w:ascii="Times New Roman" w:hAnsi="Times New Roman" w:cs="Times New Roman"/>
        </w:rPr>
        <w:t xml:space="preserve"> sibling</w:t>
      </w:r>
      <w:r w:rsidR="00AE658A" w:rsidRPr="00737AC9">
        <w:rPr>
          <w:rFonts w:ascii="Times New Roman" w:hAnsi="Times New Roman" w:cs="Times New Roman"/>
        </w:rPr>
        <w:t xml:space="preserve"> relationships</w:t>
      </w:r>
      <w:r w:rsidR="00C54C60">
        <w:rPr>
          <w:rFonts w:ascii="Times New Roman" w:hAnsi="Times New Roman" w:cs="Times New Roman"/>
        </w:rPr>
        <w:t xml:space="preserve"> within lesbian families</w:t>
      </w:r>
      <w:r w:rsidR="00AE658A" w:rsidRPr="00737AC9">
        <w:rPr>
          <w:rFonts w:ascii="Times New Roman" w:hAnsi="Times New Roman" w:cs="Times New Roman"/>
        </w:rPr>
        <w:t>, even in the face of the c</w:t>
      </w:r>
      <w:r w:rsidR="005E7294" w:rsidRPr="00737AC9">
        <w:rPr>
          <w:rFonts w:ascii="Times New Roman" w:hAnsi="Times New Roman" w:cs="Times New Roman"/>
        </w:rPr>
        <w:t>hildren’s own evidence</w:t>
      </w:r>
      <w:r w:rsidR="00C54C60">
        <w:rPr>
          <w:rFonts w:ascii="Times New Roman" w:hAnsi="Times New Roman" w:cs="Times New Roman"/>
        </w:rPr>
        <w:t>, because the children do not have the same biological mother</w:t>
      </w:r>
      <w:r w:rsidR="005E7294" w:rsidRPr="00737AC9">
        <w:rPr>
          <w:rFonts w:ascii="Times New Roman" w:hAnsi="Times New Roman" w:cs="Times New Roman"/>
        </w:rPr>
        <w:t>. Until the family law system is able to embrace LGBTIQ families in all their complexity, i</w:t>
      </w:r>
      <w:r w:rsidR="00C54C60">
        <w:rPr>
          <w:rFonts w:ascii="Times New Roman" w:hAnsi="Times New Roman" w:cs="Times New Roman"/>
        </w:rPr>
        <w:t>t will be perceived as unwelcoming of them</w:t>
      </w:r>
      <w:r w:rsidR="005E7294" w:rsidRPr="00737AC9">
        <w:rPr>
          <w:rFonts w:ascii="Times New Roman" w:hAnsi="Times New Roman" w:cs="Times New Roman"/>
        </w:rPr>
        <w:t>.</w:t>
      </w:r>
    </w:p>
    <w:p w:rsidR="00D21270" w:rsidRDefault="00D21270" w:rsidP="00CF6D81">
      <w:pPr>
        <w:spacing w:before="120" w:after="120"/>
        <w:rPr>
          <w:rFonts w:ascii="Times New Roman" w:hAnsi="Times New Roman" w:cs="Times New Roman"/>
          <w:b/>
        </w:rPr>
      </w:pPr>
    </w:p>
    <w:p w:rsidR="00A0624E" w:rsidRPr="00737AC9" w:rsidRDefault="005E7294" w:rsidP="00CF6D81">
      <w:pPr>
        <w:spacing w:before="120" w:after="120"/>
        <w:rPr>
          <w:rFonts w:ascii="Times New Roman" w:hAnsi="Times New Roman" w:cs="Times New Roman"/>
        </w:rPr>
      </w:pPr>
      <w:r w:rsidRPr="00737AC9">
        <w:rPr>
          <w:rFonts w:ascii="Times New Roman" w:hAnsi="Times New Roman" w:cs="Times New Roman"/>
          <w:b/>
        </w:rPr>
        <w:t>2.</w:t>
      </w:r>
      <w:r w:rsidRPr="00737AC9">
        <w:rPr>
          <w:rFonts w:ascii="Times New Roman" w:hAnsi="Times New Roman" w:cs="Times New Roman"/>
        </w:rPr>
        <w:t xml:space="preserve"> The second issue that the </w:t>
      </w:r>
      <w:r w:rsidR="00A0624E" w:rsidRPr="00737AC9">
        <w:rPr>
          <w:rFonts w:ascii="Times New Roman" w:hAnsi="Times New Roman" w:cs="Times New Roman"/>
        </w:rPr>
        <w:t>review must</w:t>
      </w:r>
      <w:r w:rsidR="00F226F1" w:rsidRPr="00737AC9">
        <w:rPr>
          <w:rFonts w:ascii="Times New Roman" w:hAnsi="Times New Roman" w:cs="Times New Roman"/>
        </w:rPr>
        <w:t xml:space="preserve"> address</w:t>
      </w:r>
      <w:r w:rsidR="00A0624E" w:rsidRPr="00737AC9">
        <w:rPr>
          <w:rFonts w:ascii="Times New Roman" w:hAnsi="Times New Roman" w:cs="Times New Roman"/>
        </w:rPr>
        <w:t xml:space="preserve"> if LGBTIQ families are to feel welcome in the family law system is section 60H and its interpretation. Section 60H needs to be rewritten to</w:t>
      </w:r>
      <w:r w:rsidR="00CE6FB3" w:rsidRPr="00737AC9">
        <w:rPr>
          <w:rFonts w:ascii="Times New Roman" w:hAnsi="Times New Roman" w:cs="Times New Roman"/>
        </w:rPr>
        <w:t xml:space="preserve"> clarify its scope and intent. It needs to provide a definitive </w:t>
      </w:r>
      <w:r w:rsidR="00A426D0" w:rsidRPr="00737AC9">
        <w:rPr>
          <w:rFonts w:ascii="Times New Roman" w:hAnsi="Times New Roman" w:cs="Times New Roman"/>
        </w:rPr>
        <w:t xml:space="preserve">and restrictive </w:t>
      </w:r>
      <w:r w:rsidR="00CE6FB3" w:rsidRPr="00737AC9">
        <w:rPr>
          <w:rFonts w:ascii="Times New Roman" w:hAnsi="Times New Roman" w:cs="Times New Roman"/>
        </w:rPr>
        <w:t xml:space="preserve">statement about the legal parentage of children conceived via </w:t>
      </w:r>
      <w:r w:rsidR="00A426D0" w:rsidRPr="00737AC9">
        <w:rPr>
          <w:rFonts w:ascii="Times New Roman" w:hAnsi="Times New Roman" w:cs="Times New Roman"/>
        </w:rPr>
        <w:t>artificial conception procedures</w:t>
      </w:r>
      <w:r w:rsidR="00CE6FB3" w:rsidRPr="00737AC9">
        <w:rPr>
          <w:rFonts w:ascii="Times New Roman" w:hAnsi="Times New Roman" w:cs="Times New Roman"/>
        </w:rPr>
        <w:t xml:space="preserve">, whether at home or at a fertility clinic and whether </w:t>
      </w:r>
      <w:r w:rsidR="001D2C2E" w:rsidRPr="00737AC9">
        <w:rPr>
          <w:rFonts w:ascii="Times New Roman" w:hAnsi="Times New Roman" w:cs="Times New Roman"/>
        </w:rPr>
        <w:t xml:space="preserve">the donor is known or unknown. </w:t>
      </w:r>
      <w:r w:rsidR="00CE6FB3" w:rsidRPr="00737AC9">
        <w:rPr>
          <w:rFonts w:ascii="Times New Roman" w:hAnsi="Times New Roman" w:cs="Times New Roman"/>
        </w:rPr>
        <w:t>The current trend towards interpreting</w:t>
      </w:r>
      <w:r w:rsidR="00F226F1" w:rsidRPr="00737AC9">
        <w:rPr>
          <w:rFonts w:ascii="Times New Roman" w:hAnsi="Times New Roman" w:cs="Times New Roman"/>
        </w:rPr>
        <w:t xml:space="preserve"> t</w:t>
      </w:r>
      <w:r w:rsidR="001D2C2E" w:rsidRPr="00737AC9">
        <w:rPr>
          <w:rFonts w:ascii="Times New Roman" w:hAnsi="Times New Roman" w:cs="Times New Roman"/>
        </w:rPr>
        <w:t>o 60H</w:t>
      </w:r>
      <w:r w:rsidR="00CE6FB3" w:rsidRPr="00737AC9">
        <w:rPr>
          <w:rFonts w:ascii="Times New Roman" w:hAnsi="Times New Roman" w:cs="Times New Roman"/>
        </w:rPr>
        <w:t xml:space="preserve"> as a</w:t>
      </w:r>
      <w:r w:rsidR="00A426D0" w:rsidRPr="00737AC9">
        <w:rPr>
          <w:rFonts w:ascii="Times New Roman" w:hAnsi="Times New Roman" w:cs="Times New Roman"/>
        </w:rPr>
        <w:t>n expansive, rather than restrictive, provision creates enormous uncertainty for LGBTIQ families</w:t>
      </w:r>
      <w:r w:rsidR="00C54C60">
        <w:rPr>
          <w:rFonts w:ascii="Times New Roman" w:hAnsi="Times New Roman" w:cs="Times New Roman"/>
        </w:rPr>
        <w:t xml:space="preserve"> and conflicts with</w:t>
      </w:r>
      <w:r w:rsidR="00F226F1" w:rsidRPr="00737AC9">
        <w:rPr>
          <w:rFonts w:ascii="Times New Roman" w:hAnsi="Times New Roman" w:cs="Times New Roman"/>
        </w:rPr>
        <w:t xml:space="preserve"> state law.</w:t>
      </w:r>
      <w:r w:rsidR="0015282B" w:rsidRPr="00737AC9">
        <w:rPr>
          <w:rFonts w:ascii="Times New Roman" w:hAnsi="Times New Roman" w:cs="Times New Roman"/>
        </w:rPr>
        <w:t xml:space="preserve"> Recommendations in relation to reforming s 60H are addressed below.</w:t>
      </w:r>
    </w:p>
    <w:p w:rsidR="00CF6D81" w:rsidRPr="00737AC9" w:rsidRDefault="00CF6D81" w:rsidP="00CF6D81">
      <w:pPr>
        <w:spacing w:before="120" w:after="120"/>
        <w:rPr>
          <w:rFonts w:ascii="Times New Roman" w:hAnsi="Times New Roman" w:cs="Times New Roman"/>
        </w:rPr>
      </w:pPr>
    </w:p>
    <w:p w:rsidR="00F97481" w:rsidRPr="00737AC9" w:rsidRDefault="0041217A" w:rsidP="00CF6D81">
      <w:pPr>
        <w:spacing w:before="120" w:after="120"/>
        <w:rPr>
          <w:rFonts w:ascii="Times New Roman" w:hAnsi="Times New Roman" w:cs="Times New Roman"/>
          <w:b/>
        </w:rPr>
      </w:pPr>
      <w:r w:rsidRPr="00737AC9">
        <w:rPr>
          <w:rFonts w:ascii="Times New Roman" w:hAnsi="Times New Roman" w:cs="Times New Roman"/>
          <w:b/>
        </w:rPr>
        <w:t xml:space="preserve">Question 16: </w:t>
      </w:r>
      <w:r w:rsidR="00D05E9C" w:rsidRPr="00737AC9">
        <w:rPr>
          <w:rFonts w:ascii="Times New Roman" w:hAnsi="Times New Roman" w:cs="Times New Roman"/>
          <w:b/>
        </w:rPr>
        <w:t>Arrangements for children and family diversity</w:t>
      </w:r>
      <w:r w:rsidR="00CF6D81" w:rsidRPr="00737AC9">
        <w:rPr>
          <w:rFonts w:ascii="Times New Roman" w:hAnsi="Times New Roman" w:cs="Times New Roman"/>
          <w:b/>
        </w:rPr>
        <w:t xml:space="preserve"> – </w:t>
      </w:r>
      <w:r w:rsidRPr="00737AC9">
        <w:rPr>
          <w:rFonts w:ascii="Times New Roman" w:hAnsi="Times New Roman" w:cs="Times New Roman"/>
          <w:b/>
        </w:rPr>
        <w:t xml:space="preserve">What changes could be made to Part VII of the </w:t>
      </w:r>
      <w:r w:rsidRPr="00737AC9">
        <w:rPr>
          <w:rFonts w:ascii="Times New Roman" w:hAnsi="Times New Roman" w:cs="Times New Roman"/>
          <w:b/>
          <w:i/>
        </w:rPr>
        <w:t xml:space="preserve">Family Law Act </w:t>
      </w:r>
      <w:r w:rsidRPr="00737AC9">
        <w:rPr>
          <w:rFonts w:ascii="Times New Roman" w:hAnsi="Times New Roman" w:cs="Times New Roman"/>
          <w:b/>
        </w:rPr>
        <w:t>to enable it to apply consistently to all children irrespective of their family structure?</w:t>
      </w:r>
    </w:p>
    <w:p w:rsidR="00CF6D81" w:rsidRPr="00737AC9" w:rsidRDefault="00CF6D81" w:rsidP="00CF6D81">
      <w:pPr>
        <w:spacing w:before="120" w:after="120"/>
        <w:rPr>
          <w:rFonts w:ascii="Times New Roman" w:hAnsi="Times New Roman" w:cs="Times New Roman"/>
          <w:b/>
        </w:rPr>
      </w:pPr>
    </w:p>
    <w:p w:rsidR="009A2756" w:rsidRPr="00737AC9" w:rsidRDefault="00CF6D81" w:rsidP="00CF6D81">
      <w:pPr>
        <w:spacing w:before="120" w:after="120"/>
        <w:rPr>
          <w:rFonts w:ascii="Times New Roman" w:hAnsi="Times New Roman" w:cs="Times New Roman"/>
        </w:rPr>
      </w:pPr>
      <w:r w:rsidRPr="00737AC9">
        <w:rPr>
          <w:rFonts w:ascii="Times New Roman" w:hAnsi="Times New Roman" w:cs="Times New Roman"/>
        </w:rPr>
        <w:t>Part VII of the FLA has not kept pace with the changing nature of Australian families. In particular, it fails to meet the needs of LGBTIQ and single mother by choice families who conceive using artificial conception procedures, whether at fertility clinics or at home via self-insemination.</w:t>
      </w:r>
    </w:p>
    <w:p w:rsidR="009A2756" w:rsidRPr="00737AC9" w:rsidRDefault="009A2756" w:rsidP="00CF6D81">
      <w:pPr>
        <w:spacing w:before="120" w:after="120"/>
        <w:rPr>
          <w:rFonts w:ascii="Times New Roman" w:hAnsi="Times New Roman" w:cs="Times New Roman"/>
        </w:rPr>
      </w:pPr>
      <w:r w:rsidRPr="00737AC9">
        <w:rPr>
          <w:rFonts w:ascii="Times New Roman" w:hAnsi="Times New Roman" w:cs="Times New Roman"/>
        </w:rPr>
        <w:t xml:space="preserve">Judicial interpretation of Part VII has also failed to protect intersex infants and children from unnecessary surgeries. </w:t>
      </w:r>
    </w:p>
    <w:p w:rsidR="009A2756" w:rsidRPr="00737AC9" w:rsidRDefault="00C54C60" w:rsidP="00CF6D81">
      <w:pPr>
        <w:spacing w:before="120" w:after="120"/>
        <w:rPr>
          <w:rFonts w:ascii="Times New Roman" w:hAnsi="Times New Roman" w:cs="Times New Roman"/>
        </w:rPr>
      </w:pPr>
      <w:r>
        <w:rPr>
          <w:rFonts w:ascii="Times New Roman" w:hAnsi="Times New Roman" w:cs="Times New Roman"/>
        </w:rPr>
        <w:t>Both</w:t>
      </w:r>
      <w:r w:rsidR="009A2756" w:rsidRPr="00737AC9">
        <w:rPr>
          <w:rFonts w:ascii="Times New Roman" w:hAnsi="Times New Roman" w:cs="Times New Roman"/>
        </w:rPr>
        <w:t xml:space="preserve"> of these issues will be addressed below. </w:t>
      </w:r>
    </w:p>
    <w:p w:rsidR="009A2756" w:rsidRPr="00737AC9" w:rsidRDefault="009A2756" w:rsidP="00CF6D81">
      <w:pPr>
        <w:spacing w:before="120" w:after="120"/>
        <w:rPr>
          <w:rFonts w:ascii="Times New Roman" w:hAnsi="Times New Roman" w:cs="Times New Roman"/>
        </w:rPr>
      </w:pPr>
    </w:p>
    <w:p w:rsidR="00366F3F" w:rsidRPr="00737AC9" w:rsidRDefault="00366F3F" w:rsidP="00CF6D81">
      <w:pPr>
        <w:spacing w:before="120" w:after="120"/>
        <w:rPr>
          <w:rFonts w:ascii="Times New Roman" w:hAnsi="Times New Roman" w:cs="Times New Roman"/>
          <w:b/>
        </w:rPr>
      </w:pPr>
      <w:r w:rsidRPr="00737AC9">
        <w:rPr>
          <w:rFonts w:ascii="Times New Roman" w:hAnsi="Times New Roman" w:cs="Times New Roman"/>
          <w:b/>
        </w:rPr>
        <w:t>1. Part VII and LGBTIQ and single mother by choice families</w:t>
      </w:r>
    </w:p>
    <w:p w:rsidR="00F226F1" w:rsidRPr="00737AC9" w:rsidRDefault="00366F3F" w:rsidP="00CF6D81">
      <w:pPr>
        <w:spacing w:before="120" w:after="120"/>
        <w:rPr>
          <w:rFonts w:ascii="Times New Roman" w:hAnsi="Times New Roman" w:cs="Times New Roman"/>
        </w:rPr>
      </w:pPr>
      <w:r w:rsidRPr="00737AC9">
        <w:rPr>
          <w:rFonts w:ascii="Times New Roman" w:hAnsi="Times New Roman" w:cs="Times New Roman"/>
        </w:rPr>
        <w:t>The</w:t>
      </w:r>
      <w:r w:rsidR="00F226F1" w:rsidRPr="00737AC9">
        <w:rPr>
          <w:rFonts w:ascii="Times New Roman" w:hAnsi="Times New Roman" w:cs="Times New Roman"/>
        </w:rPr>
        <w:t xml:space="preserve"> discussion </w:t>
      </w:r>
      <w:r w:rsidRPr="00737AC9">
        <w:rPr>
          <w:rFonts w:ascii="Times New Roman" w:hAnsi="Times New Roman" w:cs="Times New Roman"/>
        </w:rPr>
        <w:t xml:space="preserve">below </w:t>
      </w:r>
      <w:r w:rsidR="00F226F1" w:rsidRPr="00737AC9">
        <w:rPr>
          <w:rFonts w:ascii="Times New Roman" w:hAnsi="Times New Roman" w:cs="Times New Roman"/>
        </w:rPr>
        <w:t>will focus on reform of s 60H, which addresses legal parentage where an artificial conception procedure was used.</w:t>
      </w:r>
      <w:r w:rsidR="00BB77A0" w:rsidRPr="00737AC9">
        <w:rPr>
          <w:rFonts w:ascii="Times New Roman" w:hAnsi="Times New Roman" w:cs="Times New Roman"/>
        </w:rPr>
        <w:t xml:space="preserve"> In its current form, s 60H does not adequately respond to the diversity of LGBTIQ families and fails to even acknowledge families created by single women, who are now the biggest users of donated sperm via </w:t>
      </w:r>
      <w:r w:rsidR="00BB77A0" w:rsidRPr="00737AC9">
        <w:rPr>
          <w:rFonts w:ascii="Times New Roman" w:hAnsi="Times New Roman" w:cs="Times New Roman"/>
        </w:rPr>
        <w:lastRenderedPageBreak/>
        <w:t>fertility clinics in Australia. More broadly, many of the provisions in Part VII presume that only heterosexual, two parent families engage with the family law system.</w:t>
      </w:r>
    </w:p>
    <w:p w:rsidR="009A2756" w:rsidRPr="00737AC9" w:rsidRDefault="009A2756" w:rsidP="00CF6D81">
      <w:pPr>
        <w:spacing w:before="120" w:after="120"/>
        <w:rPr>
          <w:rFonts w:ascii="Times New Roman" w:hAnsi="Times New Roman" w:cs="Times New Roman"/>
        </w:rPr>
      </w:pPr>
    </w:p>
    <w:p w:rsidR="00F226F1" w:rsidRPr="00737AC9" w:rsidRDefault="00366F3F" w:rsidP="00CF6D81">
      <w:pPr>
        <w:spacing w:before="120" w:after="120"/>
        <w:rPr>
          <w:rFonts w:ascii="Times New Roman" w:hAnsi="Times New Roman" w:cs="Times New Roman"/>
        </w:rPr>
      </w:pPr>
      <w:r w:rsidRPr="00737AC9">
        <w:rPr>
          <w:rFonts w:ascii="Times New Roman" w:hAnsi="Times New Roman" w:cs="Times New Roman"/>
          <w:b/>
        </w:rPr>
        <w:t xml:space="preserve">a. </w:t>
      </w:r>
      <w:r w:rsidR="00BB77A0" w:rsidRPr="00737AC9">
        <w:rPr>
          <w:rFonts w:ascii="Times New Roman" w:hAnsi="Times New Roman" w:cs="Times New Roman"/>
          <w:b/>
        </w:rPr>
        <w:t>Interpretation of s 60H</w:t>
      </w:r>
    </w:p>
    <w:p w:rsidR="0095658B" w:rsidRPr="00737AC9" w:rsidRDefault="0095658B" w:rsidP="00CF6D81">
      <w:pPr>
        <w:spacing w:before="120" w:after="120"/>
        <w:rPr>
          <w:rFonts w:ascii="Times New Roman" w:hAnsi="Times New Roman" w:cs="Times New Roman"/>
        </w:rPr>
      </w:pPr>
      <w:r w:rsidRPr="00737AC9">
        <w:rPr>
          <w:rFonts w:ascii="Times New Roman" w:hAnsi="Times New Roman" w:cs="Times New Roman"/>
        </w:rPr>
        <w:t>Section 60H needs to be rewritten to clarify its scope and intent. Most importantly, it needs to provide a definitive and restrictive statement about the legal parentage of children conceived via artificial conception procedures, whether at home or at a fertility clinic and whether the donor is known or unknown. At present, some judges are interpreting s 60H as a restrictive statement of legal parentage,</w:t>
      </w:r>
      <w:r w:rsidRPr="00737AC9">
        <w:rPr>
          <w:rStyle w:val="FootnoteReference"/>
          <w:rFonts w:ascii="Times New Roman" w:hAnsi="Times New Roman" w:cs="Times New Roman"/>
        </w:rPr>
        <w:footnoteReference w:id="1"/>
      </w:r>
      <w:r w:rsidRPr="00737AC9">
        <w:rPr>
          <w:rFonts w:ascii="Times New Roman" w:hAnsi="Times New Roman" w:cs="Times New Roman"/>
        </w:rPr>
        <w:t xml:space="preserve"> while </w:t>
      </w:r>
      <w:r w:rsidR="00C54C60">
        <w:rPr>
          <w:rFonts w:ascii="Times New Roman" w:hAnsi="Times New Roman" w:cs="Times New Roman"/>
        </w:rPr>
        <w:t xml:space="preserve">the majority </w:t>
      </w:r>
      <w:r w:rsidRPr="00737AC9">
        <w:rPr>
          <w:rFonts w:ascii="Times New Roman" w:hAnsi="Times New Roman" w:cs="Times New Roman"/>
        </w:rPr>
        <w:t>are interpreting it as expansive.</w:t>
      </w:r>
      <w:r w:rsidRPr="00737AC9">
        <w:rPr>
          <w:rStyle w:val="FootnoteReference"/>
          <w:rFonts w:ascii="Times New Roman" w:hAnsi="Times New Roman" w:cs="Times New Roman"/>
        </w:rPr>
        <w:footnoteReference w:id="2"/>
      </w:r>
      <w:r w:rsidRPr="00737AC9">
        <w:rPr>
          <w:rFonts w:ascii="Times New Roman" w:hAnsi="Times New Roman" w:cs="Times New Roman"/>
        </w:rPr>
        <w:t xml:space="preserve"> Those who favour the latter are looking to other sections in Part VII to determine parentage, many of which are based in biology. This is extremely problematic for families who conceive via assisted reproduction, where one parent will often not have a biological tie to the child. </w:t>
      </w:r>
      <w:r w:rsidR="00A11015" w:rsidRPr="00737AC9">
        <w:rPr>
          <w:rFonts w:ascii="Times New Roman" w:hAnsi="Times New Roman" w:cs="Times New Roman"/>
        </w:rPr>
        <w:t xml:space="preserve">As the Family Law Council noted in its report on parentage and the FLA in 2013, the </w:t>
      </w:r>
      <w:r w:rsidRPr="00737AC9">
        <w:rPr>
          <w:rFonts w:ascii="Times New Roman" w:hAnsi="Times New Roman" w:cs="Times New Roman"/>
        </w:rPr>
        <w:t>expansive approach also produces an inconsistency between the FLA and state laws, creating enormous uncertainty for people who conceive using assisted reproduction.</w:t>
      </w:r>
      <w:r w:rsidR="00A11015" w:rsidRPr="00737AC9">
        <w:rPr>
          <w:rStyle w:val="FootnoteReference"/>
          <w:rFonts w:ascii="Times New Roman" w:hAnsi="Times New Roman" w:cs="Times New Roman"/>
        </w:rPr>
        <w:footnoteReference w:id="3"/>
      </w:r>
    </w:p>
    <w:p w:rsidR="0003638B" w:rsidRPr="00737AC9" w:rsidRDefault="0003638B" w:rsidP="00CF6D81">
      <w:pPr>
        <w:spacing w:before="120" w:after="120"/>
        <w:rPr>
          <w:rFonts w:ascii="Times New Roman" w:hAnsi="Times New Roman" w:cs="Times New Roman"/>
        </w:rPr>
      </w:pPr>
    </w:p>
    <w:p w:rsidR="0003638B" w:rsidRPr="00737AC9" w:rsidRDefault="00366F3F" w:rsidP="009A2756">
      <w:pPr>
        <w:spacing w:before="120" w:after="120"/>
        <w:rPr>
          <w:rFonts w:ascii="Times New Roman" w:hAnsi="Times New Roman" w:cs="Times New Roman"/>
          <w:b/>
        </w:rPr>
      </w:pPr>
      <w:r w:rsidRPr="00737AC9">
        <w:rPr>
          <w:rFonts w:ascii="Times New Roman" w:hAnsi="Times New Roman" w:cs="Times New Roman"/>
          <w:b/>
        </w:rPr>
        <w:t xml:space="preserve">b. </w:t>
      </w:r>
      <w:r w:rsidR="0003638B" w:rsidRPr="00737AC9">
        <w:rPr>
          <w:rFonts w:ascii="Times New Roman" w:hAnsi="Times New Roman" w:cs="Times New Roman"/>
          <w:b/>
        </w:rPr>
        <w:t>Recognition in s 60H of single mothers by choice</w:t>
      </w:r>
    </w:p>
    <w:p w:rsidR="001F3BED" w:rsidRPr="00737AC9" w:rsidRDefault="001F3BED" w:rsidP="009A2756">
      <w:pPr>
        <w:spacing w:before="120" w:after="120"/>
        <w:rPr>
          <w:rFonts w:ascii="Times New Roman" w:hAnsi="Times New Roman" w:cs="Times New Roman"/>
        </w:rPr>
      </w:pPr>
      <w:r w:rsidRPr="00737AC9">
        <w:rPr>
          <w:rFonts w:ascii="Times New Roman" w:hAnsi="Times New Roman" w:cs="Times New Roman"/>
        </w:rPr>
        <w:t>At present, un</w:t>
      </w:r>
      <w:r w:rsidR="00EC19E5">
        <w:rPr>
          <w:rFonts w:ascii="Times New Roman" w:hAnsi="Times New Roman" w:cs="Times New Roman"/>
        </w:rPr>
        <w:t>-</w:t>
      </w:r>
      <w:r w:rsidRPr="00737AC9">
        <w:rPr>
          <w:rFonts w:ascii="Times New Roman" w:hAnsi="Times New Roman" w:cs="Times New Roman"/>
        </w:rPr>
        <w:t xml:space="preserve">partnered women who conceive using artificial conception procedures (often referred to as “single mothers by choice” or SMCs) are </w:t>
      </w:r>
      <w:r w:rsidR="00825F12" w:rsidRPr="00737AC9">
        <w:rPr>
          <w:rFonts w:ascii="Times New Roman" w:hAnsi="Times New Roman" w:cs="Times New Roman"/>
        </w:rPr>
        <w:t>not</w:t>
      </w:r>
      <w:r w:rsidRPr="00737AC9">
        <w:rPr>
          <w:rFonts w:ascii="Times New Roman" w:hAnsi="Times New Roman" w:cs="Times New Roman"/>
        </w:rPr>
        <w:t xml:space="preserve"> recognized at all </w:t>
      </w:r>
      <w:r w:rsidR="00825F12" w:rsidRPr="00737AC9">
        <w:rPr>
          <w:rFonts w:ascii="Times New Roman" w:hAnsi="Times New Roman" w:cs="Times New Roman"/>
        </w:rPr>
        <w:t>in s</w:t>
      </w:r>
      <w:r w:rsidR="00EC19E5">
        <w:rPr>
          <w:rFonts w:ascii="Times New Roman" w:hAnsi="Times New Roman" w:cs="Times New Roman"/>
        </w:rPr>
        <w:t>ection</w:t>
      </w:r>
      <w:r w:rsidR="00825F12" w:rsidRPr="00737AC9">
        <w:rPr>
          <w:rFonts w:ascii="Times New Roman" w:hAnsi="Times New Roman" w:cs="Times New Roman"/>
        </w:rPr>
        <w:t xml:space="preserve"> 60H</w:t>
      </w:r>
      <w:r w:rsidRPr="00737AC9">
        <w:rPr>
          <w:rFonts w:ascii="Times New Roman" w:hAnsi="Times New Roman" w:cs="Times New Roman"/>
        </w:rPr>
        <w:t xml:space="preserve">. </w:t>
      </w:r>
      <w:r w:rsidR="00EC19E5">
        <w:rPr>
          <w:rFonts w:ascii="Times New Roman" w:hAnsi="Times New Roman" w:cs="Times New Roman"/>
        </w:rPr>
        <w:t>D</w:t>
      </w:r>
      <w:r w:rsidR="005900C4" w:rsidRPr="00737AC9">
        <w:rPr>
          <w:rFonts w:ascii="Times New Roman" w:hAnsi="Times New Roman" w:cs="Times New Roman"/>
        </w:rPr>
        <w:t xml:space="preserve">onors to lesbian and heterosexual couples are expressly excluded from legal parentage by s 60H, </w:t>
      </w:r>
      <w:r w:rsidR="00EC19E5">
        <w:rPr>
          <w:rFonts w:ascii="Times New Roman" w:hAnsi="Times New Roman" w:cs="Times New Roman"/>
        </w:rPr>
        <w:t>but no identical provision</w:t>
      </w:r>
      <w:r w:rsidR="005900C4" w:rsidRPr="00737AC9">
        <w:rPr>
          <w:rFonts w:ascii="Times New Roman" w:hAnsi="Times New Roman" w:cs="Times New Roman"/>
        </w:rPr>
        <w:t xml:space="preserve"> applies when the woman is un</w:t>
      </w:r>
      <w:r w:rsidR="00EC19E5">
        <w:rPr>
          <w:rFonts w:ascii="Times New Roman" w:hAnsi="Times New Roman" w:cs="Times New Roman"/>
        </w:rPr>
        <w:t>-</w:t>
      </w:r>
      <w:r w:rsidR="005900C4" w:rsidRPr="00737AC9">
        <w:rPr>
          <w:rFonts w:ascii="Times New Roman" w:hAnsi="Times New Roman" w:cs="Times New Roman"/>
        </w:rPr>
        <w:t xml:space="preserve">partnered. The result is that sperm donors to SMCs, whether known or unknown (ie, a donor from a fertility clinic), may be legal parents. Single women </w:t>
      </w:r>
      <w:r w:rsidRPr="00737AC9">
        <w:rPr>
          <w:rFonts w:ascii="Times New Roman" w:hAnsi="Times New Roman" w:cs="Times New Roman"/>
        </w:rPr>
        <w:t>are now the biggest users of donated sperm in Australia</w:t>
      </w:r>
      <w:r w:rsidR="00825F12" w:rsidRPr="00737AC9">
        <w:rPr>
          <w:rFonts w:ascii="Times New Roman" w:hAnsi="Times New Roman" w:cs="Times New Roman"/>
        </w:rPr>
        <w:t>, surpassing lesbian and heterosexual couples in 2015</w:t>
      </w:r>
      <w:r w:rsidRPr="00737AC9">
        <w:rPr>
          <w:rFonts w:ascii="Times New Roman" w:hAnsi="Times New Roman" w:cs="Times New Roman"/>
        </w:rPr>
        <w:t>.</w:t>
      </w:r>
      <w:r w:rsidR="00825F12" w:rsidRPr="00737AC9">
        <w:rPr>
          <w:rStyle w:val="FootnoteReference"/>
          <w:rFonts w:ascii="Times New Roman" w:hAnsi="Times New Roman" w:cs="Times New Roman"/>
        </w:rPr>
        <w:footnoteReference w:id="4"/>
      </w:r>
      <w:r w:rsidRPr="00737AC9">
        <w:rPr>
          <w:rFonts w:ascii="Times New Roman" w:hAnsi="Times New Roman" w:cs="Times New Roman"/>
        </w:rPr>
        <w:t xml:space="preserve"> Failing to acknowledge their existence in </w:t>
      </w:r>
      <w:r w:rsidR="00825F12" w:rsidRPr="00737AC9">
        <w:rPr>
          <w:rFonts w:ascii="Times New Roman" w:hAnsi="Times New Roman" w:cs="Times New Roman"/>
        </w:rPr>
        <w:t xml:space="preserve">s 60H and </w:t>
      </w:r>
      <w:r w:rsidRPr="00737AC9">
        <w:rPr>
          <w:rFonts w:ascii="Times New Roman" w:hAnsi="Times New Roman" w:cs="Times New Roman"/>
        </w:rPr>
        <w:t>the FLA</w:t>
      </w:r>
      <w:r w:rsidR="00825F12" w:rsidRPr="00737AC9">
        <w:rPr>
          <w:rFonts w:ascii="Times New Roman" w:hAnsi="Times New Roman" w:cs="Times New Roman"/>
        </w:rPr>
        <w:t xml:space="preserve"> more broadly</w:t>
      </w:r>
      <w:r w:rsidRPr="00737AC9">
        <w:rPr>
          <w:rFonts w:ascii="Times New Roman" w:hAnsi="Times New Roman" w:cs="Times New Roman"/>
        </w:rPr>
        <w:t xml:space="preserve"> is a serious omission</w:t>
      </w:r>
      <w:r w:rsidR="00825F12" w:rsidRPr="00737AC9">
        <w:rPr>
          <w:rFonts w:ascii="Times New Roman" w:hAnsi="Times New Roman" w:cs="Times New Roman"/>
        </w:rPr>
        <w:t xml:space="preserve"> that results in </w:t>
      </w:r>
      <w:r w:rsidR="00A939C0" w:rsidRPr="00737AC9">
        <w:rPr>
          <w:rFonts w:ascii="Times New Roman" w:hAnsi="Times New Roman" w:cs="Times New Roman"/>
        </w:rPr>
        <w:t>an inconsistent application of the law de</w:t>
      </w:r>
      <w:r w:rsidR="005900C4" w:rsidRPr="00737AC9">
        <w:rPr>
          <w:rFonts w:ascii="Times New Roman" w:hAnsi="Times New Roman" w:cs="Times New Roman"/>
        </w:rPr>
        <w:t xml:space="preserve">pending on the </w:t>
      </w:r>
      <w:r w:rsidR="00A939C0" w:rsidRPr="00737AC9">
        <w:rPr>
          <w:rFonts w:ascii="Times New Roman" w:hAnsi="Times New Roman" w:cs="Times New Roman"/>
        </w:rPr>
        <w:t xml:space="preserve">child’s family structure. </w:t>
      </w:r>
    </w:p>
    <w:p w:rsidR="0003638B" w:rsidRPr="00737AC9" w:rsidRDefault="00A77DD1" w:rsidP="009A2756">
      <w:pPr>
        <w:spacing w:before="120" w:after="120"/>
        <w:rPr>
          <w:rFonts w:ascii="Times New Roman" w:hAnsi="Times New Roman" w:cs="Times New Roman"/>
        </w:rPr>
      </w:pPr>
      <w:r w:rsidRPr="00737AC9">
        <w:rPr>
          <w:rFonts w:ascii="Times New Roman" w:hAnsi="Times New Roman" w:cs="Times New Roman"/>
        </w:rPr>
        <w:t xml:space="preserve">A small number of SMCs have come </w:t>
      </w:r>
      <w:r w:rsidR="001F3BED" w:rsidRPr="00737AC9">
        <w:rPr>
          <w:rFonts w:ascii="Times New Roman" w:hAnsi="Times New Roman" w:cs="Times New Roman"/>
        </w:rPr>
        <w:t>before the Family Court to resolve disputes with known sperm donors.</w:t>
      </w:r>
      <w:r w:rsidR="00C53BD2" w:rsidRPr="00737AC9">
        <w:rPr>
          <w:rStyle w:val="FootnoteReference"/>
          <w:rFonts w:ascii="Times New Roman" w:hAnsi="Times New Roman" w:cs="Times New Roman"/>
        </w:rPr>
        <w:footnoteReference w:id="5"/>
      </w:r>
      <w:r w:rsidR="001F3BED" w:rsidRPr="00737AC9">
        <w:rPr>
          <w:rFonts w:ascii="Times New Roman" w:hAnsi="Times New Roman" w:cs="Times New Roman"/>
        </w:rPr>
        <w:t xml:space="preserve"> In these cases, judges have determined that s 60H does not apply to SMCs because they do not fit into any of the scenarios addressed by the section.  </w:t>
      </w:r>
      <w:r w:rsidRPr="00737AC9">
        <w:rPr>
          <w:rFonts w:ascii="Times New Roman" w:hAnsi="Times New Roman" w:cs="Times New Roman"/>
        </w:rPr>
        <w:t>Applying the expansive approach to 60H, judges have turned to definition of “parent” in Part VII more generally, holding that the</w:t>
      </w:r>
      <w:r w:rsidR="001F3BED" w:rsidRPr="00737AC9">
        <w:rPr>
          <w:rFonts w:ascii="Times New Roman" w:hAnsi="Times New Roman" w:cs="Times New Roman"/>
        </w:rPr>
        <w:t xml:space="preserve"> donor is </w:t>
      </w:r>
      <w:r w:rsidRPr="00737AC9">
        <w:rPr>
          <w:rFonts w:ascii="Times New Roman" w:hAnsi="Times New Roman" w:cs="Times New Roman"/>
        </w:rPr>
        <w:t>a parent</w:t>
      </w:r>
      <w:r w:rsidR="00825F12" w:rsidRPr="00737AC9">
        <w:rPr>
          <w:rFonts w:ascii="Times New Roman" w:hAnsi="Times New Roman" w:cs="Times New Roman"/>
        </w:rPr>
        <w:t xml:space="preserve"> because Part VII </w:t>
      </w:r>
      <w:r w:rsidR="00C53BD2" w:rsidRPr="00737AC9">
        <w:rPr>
          <w:rFonts w:ascii="Times New Roman" w:hAnsi="Times New Roman" w:cs="Times New Roman"/>
        </w:rPr>
        <w:t xml:space="preserve">treats biology as the determining factor in parentage and, </w:t>
      </w:r>
      <w:r w:rsidR="001F3BED" w:rsidRPr="00737AC9">
        <w:rPr>
          <w:rFonts w:ascii="Times New Roman" w:hAnsi="Times New Roman" w:cs="Times New Roman"/>
        </w:rPr>
        <w:t>because of the use of terms such as “both” and “two”</w:t>
      </w:r>
      <w:r w:rsidRPr="00737AC9">
        <w:rPr>
          <w:rFonts w:ascii="Times New Roman" w:hAnsi="Times New Roman" w:cs="Times New Roman"/>
        </w:rPr>
        <w:t>,</w:t>
      </w:r>
      <w:r w:rsidR="001F3BED" w:rsidRPr="00737AC9">
        <w:rPr>
          <w:rFonts w:ascii="Times New Roman" w:hAnsi="Times New Roman" w:cs="Times New Roman"/>
        </w:rPr>
        <w:t xml:space="preserve"> all children </w:t>
      </w:r>
      <w:r w:rsidRPr="00737AC9">
        <w:rPr>
          <w:rFonts w:ascii="Times New Roman" w:hAnsi="Times New Roman" w:cs="Times New Roman"/>
        </w:rPr>
        <w:t xml:space="preserve">must </w:t>
      </w:r>
      <w:r w:rsidR="001F3BED" w:rsidRPr="00737AC9">
        <w:rPr>
          <w:rFonts w:ascii="Times New Roman" w:hAnsi="Times New Roman" w:cs="Times New Roman"/>
        </w:rPr>
        <w:t>have two parents.</w:t>
      </w:r>
      <w:r w:rsidR="00041B48" w:rsidRPr="00737AC9">
        <w:rPr>
          <w:rStyle w:val="FootnoteReference"/>
          <w:rFonts w:ascii="Times New Roman" w:hAnsi="Times New Roman" w:cs="Times New Roman"/>
        </w:rPr>
        <w:footnoteReference w:id="6"/>
      </w:r>
      <w:r w:rsidR="00825F12" w:rsidRPr="00737AC9">
        <w:rPr>
          <w:rFonts w:ascii="Times New Roman" w:hAnsi="Times New Roman" w:cs="Times New Roman"/>
        </w:rPr>
        <w:t xml:space="preserve"> In </w:t>
      </w:r>
      <w:r w:rsidR="00825F12" w:rsidRPr="00737AC9">
        <w:rPr>
          <w:rFonts w:ascii="Times New Roman" w:hAnsi="Times New Roman" w:cs="Times New Roman"/>
          <w:i/>
        </w:rPr>
        <w:t>Re Mark</w:t>
      </w:r>
      <w:r w:rsidR="00825F12" w:rsidRPr="00737AC9">
        <w:rPr>
          <w:rFonts w:ascii="Times New Roman" w:hAnsi="Times New Roman" w:cs="Times New Roman"/>
        </w:rPr>
        <w:t xml:space="preserve">, Brown J </w:t>
      </w:r>
      <w:r w:rsidR="007E1483" w:rsidRPr="00737AC9">
        <w:rPr>
          <w:rFonts w:ascii="Times New Roman" w:hAnsi="Times New Roman" w:cs="Times New Roman"/>
        </w:rPr>
        <w:t>acknowledged</w:t>
      </w:r>
      <w:r w:rsidR="00825F12" w:rsidRPr="00737AC9">
        <w:rPr>
          <w:rFonts w:ascii="Times New Roman" w:hAnsi="Times New Roman" w:cs="Times New Roman"/>
        </w:rPr>
        <w:t xml:space="preserve"> that it was possible that the expansive approach to s 60H </w:t>
      </w:r>
      <w:r w:rsidR="00E403C0" w:rsidRPr="00737AC9">
        <w:rPr>
          <w:rFonts w:ascii="Times New Roman" w:hAnsi="Times New Roman" w:cs="Times New Roman"/>
        </w:rPr>
        <w:t xml:space="preserve">might </w:t>
      </w:r>
      <w:r w:rsidR="00825F12" w:rsidRPr="00737AC9">
        <w:rPr>
          <w:rFonts w:ascii="Times New Roman" w:hAnsi="Times New Roman" w:cs="Times New Roman"/>
        </w:rPr>
        <w:t xml:space="preserve">result in an unknown donor </w:t>
      </w:r>
      <w:r w:rsidR="00825F12" w:rsidRPr="00737AC9">
        <w:rPr>
          <w:rFonts w:ascii="Times New Roman" w:hAnsi="Times New Roman" w:cs="Times New Roman"/>
        </w:rPr>
        <w:lastRenderedPageBreak/>
        <w:t>being declared a legal parent,</w:t>
      </w:r>
      <w:r w:rsidR="004B33CA" w:rsidRPr="00737AC9">
        <w:rPr>
          <w:rStyle w:val="FootnoteReference"/>
          <w:rFonts w:ascii="Times New Roman" w:hAnsi="Times New Roman" w:cs="Times New Roman"/>
        </w:rPr>
        <w:footnoteReference w:id="7"/>
      </w:r>
      <w:r w:rsidR="00825F12" w:rsidRPr="00737AC9">
        <w:rPr>
          <w:rFonts w:ascii="Times New Roman" w:hAnsi="Times New Roman" w:cs="Times New Roman"/>
        </w:rPr>
        <w:t xml:space="preserve"> </w:t>
      </w:r>
      <w:r w:rsidRPr="00737AC9">
        <w:rPr>
          <w:rFonts w:ascii="Times New Roman" w:hAnsi="Times New Roman" w:cs="Times New Roman"/>
        </w:rPr>
        <w:t>particularly where the mother is un</w:t>
      </w:r>
      <w:r w:rsidR="003F0D4F">
        <w:rPr>
          <w:rFonts w:ascii="Times New Roman" w:hAnsi="Times New Roman" w:cs="Times New Roman"/>
        </w:rPr>
        <w:t>-</w:t>
      </w:r>
      <w:r w:rsidRPr="00737AC9">
        <w:rPr>
          <w:rFonts w:ascii="Times New Roman" w:hAnsi="Times New Roman" w:cs="Times New Roman"/>
        </w:rPr>
        <w:t xml:space="preserve">partnered. </w:t>
      </w:r>
      <w:r w:rsidR="0091109E" w:rsidRPr="00737AC9">
        <w:rPr>
          <w:rFonts w:ascii="Times New Roman" w:hAnsi="Times New Roman" w:cs="Times New Roman"/>
        </w:rPr>
        <w:t>The Family Law Council in its report of parentage and the FLA in 2013 also raised this concern</w:t>
      </w:r>
      <w:r w:rsidR="00825F12" w:rsidRPr="00737AC9">
        <w:rPr>
          <w:rFonts w:ascii="Times New Roman" w:hAnsi="Times New Roman" w:cs="Times New Roman"/>
        </w:rPr>
        <w:t>.</w:t>
      </w:r>
      <w:r w:rsidRPr="00737AC9">
        <w:rPr>
          <w:rStyle w:val="FootnoteReference"/>
          <w:rFonts w:ascii="Times New Roman" w:hAnsi="Times New Roman" w:cs="Times New Roman"/>
        </w:rPr>
        <w:footnoteReference w:id="8"/>
      </w:r>
      <w:r w:rsidRPr="00737AC9">
        <w:rPr>
          <w:rFonts w:ascii="Times New Roman" w:hAnsi="Times New Roman" w:cs="Times New Roman"/>
        </w:rPr>
        <w:t xml:space="preserve"> The prospect of unknown donors being legal parents</w:t>
      </w:r>
      <w:r w:rsidR="005900C4" w:rsidRPr="00737AC9">
        <w:rPr>
          <w:rFonts w:ascii="Times New Roman" w:hAnsi="Times New Roman" w:cs="Times New Roman"/>
        </w:rPr>
        <w:t xml:space="preserve"> has serious ramifications for SMCs and their children</w:t>
      </w:r>
      <w:r w:rsidR="003F0D4F">
        <w:rPr>
          <w:rFonts w:ascii="Times New Roman" w:hAnsi="Times New Roman" w:cs="Times New Roman"/>
        </w:rPr>
        <w:t xml:space="preserve"> (and donors)</w:t>
      </w:r>
      <w:r w:rsidR="005900C4" w:rsidRPr="00737AC9">
        <w:rPr>
          <w:rFonts w:ascii="Times New Roman" w:hAnsi="Times New Roman" w:cs="Times New Roman"/>
        </w:rPr>
        <w:t xml:space="preserve">, particularly in Victoria, where parents can apply for “early access” to their sperm donor’s identity, with his consent, through the Victorian Assisted Reproductive Treatment Authority’s Central Register. Victorian SMCs are now frequently meeting their child’s “unknown” donor while their child is still a minor, </w:t>
      </w:r>
      <w:r w:rsidR="0050291A" w:rsidRPr="00737AC9">
        <w:rPr>
          <w:rFonts w:ascii="Times New Roman" w:hAnsi="Times New Roman" w:cs="Times New Roman"/>
        </w:rPr>
        <w:t xml:space="preserve">often unaware </w:t>
      </w:r>
      <w:r w:rsidR="005900C4" w:rsidRPr="00737AC9">
        <w:rPr>
          <w:rFonts w:ascii="Times New Roman" w:hAnsi="Times New Roman" w:cs="Times New Roman"/>
        </w:rPr>
        <w:t>they putting themselves at legal risk.</w:t>
      </w:r>
      <w:r w:rsidR="005900C4" w:rsidRPr="00737AC9">
        <w:rPr>
          <w:rStyle w:val="FootnoteReference"/>
          <w:rFonts w:ascii="Times New Roman" w:hAnsi="Times New Roman" w:cs="Times New Roman"/>
        </w:rPr>
        <w:footnoteReference w:id="9"/>
      </w:r>
      <w:r w:rsidR="003F0D4F">
        <w:rPr>
          <w:rFonts w:ascii="Times New Roman" w:hAnsi="Times New Roman" w:cs="Times New Roman"/>
        </w:rPr>
        <w:t xml:space="preserve"> </w:t>
      </w:r>
    </w:p>
    <w:p w:rsidR="0095658B" w:rsidRPr="00737AC9" w:rsidRDefault="0095658B" w:rsidP="009A2756">
      <w:pPr>
        <w:spacing w:before="120" w:after="120"/>
        <w:rPr>
          <w:rFonts w:ascii="Times New Roman" w:hAnsi="Times New Roman" w:cs="Times New Roman"/>
        </w:rPr>
      </w:pPr>
    </w:p>
    <w:p w:rsidR="0095658B" w:rsidRPr="00737AC9" w:rsidRDefault="00366F3F" w:rsidP="009A2756">
      <w:pPr>
        <w:spacing w:before="120" w:after="120"/>
        <w:rPr>
          <w:rFonts w:ascii="Times New Roman" w:hAnsi="Times New Roman" w:cs="Times New Roman"/>
          <w:b/>
        </w:rPr>
      </w:pPr>
      <w:r w:rsidRPr="00737AC9">
        <w:rPr>
          <w:rFonts w:ascii="Times New Roman" w:hAnsi="Times New Roman" w:cs="Times New Roman"/>
          <w:b/>
        </w:rPr>
        <w:t xml:space="preserve">c. </w:t>
      </w:r>
      <w:r w:rsidR="00321586" w:rsidRPr="00737AC9">
        <w:rPr>
          <w:rFonts w:ascii="Times New Roman" w:hAnsi="Times New Roman" w:cs="Times New Roman"/>
          <w:b/>
        </w:rPr>
        <w:t>Judicial and professional a</w:t>
      </w:r>
      <w:r w:rsidR="00A11015" w:rsidRPr="00737AC9">
        <w:rPr>
          <w:rFonts w:ascii="Times New Roman" w:hAnsi="Times New Roman" w:cs="Times New Roman"/>
          <w:b/>
        </w:rPr>
        <w:t xml:space="preserve">ttitudes towards non-biological </w:t>
      </w:r>
      <w:r w:rsidR="0015282B" w:rsidRPr="00737AC9">
        <w:rPr>
          <w:rFonts w:ascii="Times New Roman" w:hAnsi="Times New Roman" w:cs="Times New Roman"/>
          <w:b/>
        </w:rPr>
        <w:t>lesbian mothers</w:t>
      </w:r>
    </w:p>
    <w:p w:rsidR="0095658B" w:rsidRPr="00737AC9" w:rsidRDefault="00785F27" w:rsidP="009A2756">
      <w:pPr>
        <w:spacing w:before="120" w:after="120"/>
        <w:rPr>
          <w:rFonts w:ascii="Times New Roman" w:hAnsi="Times New Roman" w:cs="Times New Roman"/>
        </w:rPr>
      </w:pPr>
      <w:r w:rsidRPr="00737AC9">
        <w:rPr>
          <w:rFonts w:ascii="Times New Roman" w:hAnsi="Times New Roman" w:cs="Times New Roman"/>
        </w:rPr>
        <w:t>In a c</w:t>
      </w:r>
      <w:r w:rsidR="003F0D4F">
        <w:rPr>
          <w:rFonts w:ascii="Times New Roman" w:hAnsi="Times New Roman" w:cs="Times New Roman"/>
        </w:rPr>
        <w:t>o-authored review I conducted of</w:t>
      </w:r>
      <w:r w:rsidR="006E41ED" w:rsidRPr="00737AC9">
        <w:rPr>
          <w:rFonts w:ascii="Times New Roman" w:hAnsi="Times New Roman" w:cs="Times New Roman"/>
        </w:rPr>
        <w:t xml:space="preserve"> intra-lesbian disputes heard by the Family Court since 2008</w:t>
      </w:r>
      <w:r w:rsidRPr="00737AC9">
        <w:rPr>
          <w:rFonts w:ascii="Times New Roman" w:hAnsi="Times New Roman" w:cs="Times New Roman"/>
        </w:rPr>
        <w:t>, it was found that</w:t>
      </w:r>
      <w:r w:rsidR="006E41ED" w:rsidRPr="00737AC9">
        <w:rPr>
          <w:rFonts w:ascii="Times New Roman" w:hAnsi="Times New Roman" w:cs="Times New Roman"/>
        </w:rPr>
        <w:t xml:space="preserve"> even where non-biological lesbian mothers are declared to be legal parents under 60H, they are not always treated as equal parents.</w:t>
      </w:r>
      <w:r w:rsidR="00C53BD2" w:rsidRPr="00737AC9">
        <w:rPr>
          <w:rStyle w:val="FootnoteReference"/>
          <w:rFonts w:ascii="Times New Roman" w:hAnsi="Times New Roman" w:cs="Times New Roman"/>
        </w:rPr>
        <w:footnoteReference w:id="10"/>
      </w:r>
      <w:r w:rsidR="00B6381D" w:rsidRPr="00737AC9">
        <w:rPr>
          <w:rFonts w:ascii="Times New Roman" w:hAnsi="Times New Roman" w:cs="Times New Roman"/>
        </w:rPr>
        <w:t xml:space="preserve"> Some significant findings from the study were:</w:t>
      </w:r>
    </w:p>
    <w:p w:rsidR="00B6381D" w:rsidRPr="00737AC9" w:rsidRDefault="00B6381D" w:rsidP="009A2756">
      <w:pPr>
        <w:pStyle w:val="ListParagraph"/>
        <w:numPr>
          <w:ilvl w:val="0"/>
          <w:numId w:val="7"/>
        </w:numPr>
        <w:spacing w:before="120" w:after="120"/>
        <w:contextualSpacing w:val="0"/>
        <w:rPr>
          <w:rFonts w:ascii="Times New Roman" w:hAnsi="Times New Roman" w:cs="Times New Roman"/>
          <w:bCs/>
        </w:rPr>
      </w:pPr>
      <w:r w:rsidRPr="00737AC9">
        <w:rPr>
          <w:rFonts w:ascii="Times New Roman" w:hAnsi="Times New Roman" w:cs="Times New Roman"/>
        </w:rPr>
        <w:t>In cases where the presumption of equal shared parental responsibility applied, an order for ESPR was made</w:t>
      </w:r>
      <w:r w:rsidR="003F0D4F">
        <w:rPr>
          <w:rFonts w:ascii="Times New Roman" w:hAnsi="Times New Roman" w:cs="Times New Roman"/>
        </w:rPr>
        <w:t xml:space="preserve"> in approximately half of the cases</w:t>
      </w:r>
      <w:r w:rsidRPr="00737AC9">
        <w:rPr>
          <w:rFonts w:ascii="Times New Roman" w:hAnsi="Times New Roman" w:cs="Times New Roman"/>
        </w:rPr>
        <w:t xml:space="preserve">, a </w:t>
      </w:r>
      <w:r w:rsidRPr="00737AC9">
        <w:rPr>
          <w:rFonts w:ascii="Times New Roman" w:hAnsi="Times New Roman" w:cs="Times New Roman"/>
          <w:bCs/>
        </w:rPr>
        <w:t>figure roughly in line with ESPR outcomes for the general family courts population.</w:t>
      </w:r>
      <w:r w:rsidRPr="00737AC9">
        <w:rPr>
          <w:rStyle w:val="FootnoteReference"/>
          <w:rFonts w:ascii="Times New Roman" w:hAnsi="Times New Roman" w:cs="Times New Roman"/>
          <w:bCs/>
        </w:rPr>
        <w:footnoteReference w:id="11"/>
      </w:r>
      <w:r w:rsidRPr="00737AC9">
        <w:rPr>
          <w:rFonts w:ascii="Times New Roman" w:hAnsi="Times New Roman" w:cs="Times New Roman"/>
          <w:bCs/>
        </w:rPr>
        <w:t xml:space="preserve"> However, </w:t>
      </w:r>
      <w:r w:rsidR="008E5674" w:rsidRPr="00737AC9">
        <w:rPr>
          <w:rFonts w:ascii="Times New Roman" w:hAnsi="Times New Roman" w:cs="Times New Roman"/>
          <w:bCs/>
        </w:rPr>
        <w:t>in cases where ESPR was not ordered, sole responsibility was always awarded to the biological mother, underlining the prioritisation of the biological tie and reinforcing the co-mother’s exclusion. Furthermore, in four of the seven cases where ESPR was ordered, both women had given birth to at least one child, suggesting that ESPR was ordered in those cases at least in part because both women shared a biological tie to at least one of the children</w:t>
      </w:r>
      <w:r w:rsidR="003F0D4F">
        <w:rPr>
          <w:rFonts w:ascii="Times New Roman" w:hAnsi="Times New Roman" w:cs="Times New Roman"/>
          <w:bCs/>
        </w:rPr>
        <w:t>.</w:t>
      </w:r>
    </w:p>
    <w:p w:rsidR="008E5674" w:rsidRPr="00737AC9" w:rsidRDefault="00704943" w:rsidP="009A2756">
      <w:pPr>
        <w:pStyle w:val="ListParagraph"/>
        <w:numPr>
          <w:ilvl w:val="0"/>
          <w:numId w:val="7"/>
        </w:numPr>
        <w:spacing w:before="120" w:after="120"/>
        <w:contextualSpacing w:val="0"/>
        <w:rPr>
          <w:rFonts w:ascii="Times New Roman" w:hAnsi="Times New Roman" w:cs="Times New Roman"/>
        </w:rPr>
      </w:pPr>
      <w:r w:rsidRPr="00737AC9">
        <w:rPr>
          <w:rFonts w:ascii="Times New Roman" w:hAnsi="Times New Roman" w:cs="Times New Roman"/>
        </w:rPr>
        <w:t xml:space="preserve">Despite often stating that biology was irrelevant to their decision-making, many of the decisions about </w:t>
      </w:r>
      <w:r w:rsidRPr="00737AC9">
        <w:rPr>
          <w:rFonts w:ascii="Times New Roman" w:hAnsi="Times New Roman" w:cs="Times New Roman"/>
          <w:b/>
        </w:rPr>
        <w:t>parenting time</w:t>
      </w:r>
      <w:r w:rsidRPr="00737AC9">
        <w:rPr>
          <w:rFonts w:ascii="Times New Roman" w:hAnsi="Times New Roman" w:cs="Times New Roman"/>
        </w:rPr>
        <w:t xml:space="preserve"> suggest an underlying preference for birth mothers. In 13 of the 16 cases in which both women were held to be legal parents and parenting orders were made, the birth mother was awarded more, and usually substantially more, time with the children. Equal time was awarded in only one case, while four decisions resulted in orders that could be described as “shared care”. In all but one of the shared care cases, both women had carried at least one child, mirroring the finding that</w:t>
      </w:r>
      <w:r w:rsidRPr="00737AC9">
        <w:rPr>
          <w:rFonts w:ascii="Times New Roman" w:hAnsi="Times New Roman" w:cs="Times New Roman"/>
          <w:i/>
        </w:rPr>
        <w:t xml:space="preserve"> </w:t>
      </w:r>
      <w:r w:rsidRPr="00737AC9">
        <w:rPr>
          <w:rFonts w:ascii="Times New Roman" w:hAnsi="Times New Roman" w:cs="Times New Roman"/>
        </w:rPr>
        <w:t xml:space="preserve">ESPR is most likely to be ordered where both women are birth mothers. By contrast, in cases where ESPR was </w:t>
      </w:r>
      <w:r w:rsidRPr="00737AC9">
        <w:rPr>
          <w:rFonts w:ascii="Times New Roman" w:hAnsi="Times New Roman" w:cs="Times New Roman"/>
          <w:i/>
        </w:rPr>
        <w:t xml:space="preserve">not </w:t>
      </w:r>
      <w:r w:rsidRPr="00737AC9">
        <w:rPr>
          <w:rFonts w:ascii="Times New Roman" w:hAnsi="Times New Roman" w:cs="Times New Roman"/>
        </w:rPr>
        <w:t xml:space="preserve">ordered, </w:t>
      </w:r>
      <w:r w:rsidRPr="00737AC9">
        <w:rPr>
          <w:rFonts w:ascii="Times New Roman" w:hAnsi="Times New Roman" w:cs="Times New Roman"/>
        </w:rPr>
        <w:lastRenderedPageBreak/>
        <w:t>non-biological mothers who were not also birth mothers (though they were legal parents) fared poorly, with the majority receiving no parenting time at all.</w:t>
      </w:r>
    </w:p>
    <w:p w:rsidR="00385DC0" w:rsidRPr="003F0D4F" w:rsidRDefault="005E7294" w:rsidP="003F0D4F">
      <w:pPr>
        <w:pStyle w:val="ListParagraph"/>
        <w:numPr>
          <w:ilvl w:val="0"/>
          <w:numId w:val="7"/>
        </w:numPr>
        <w:spacing w:before="120" w:after="120"/>
        <w:rPr>
          <w:rFonts w:ascii="Times New Roman" w:hAnsi="Times New Roman" w:cs="Times New Roman"/>
        </w:rPr>
      </w:pPr>
      <w:r w:rsidRPr="003F0D4F">
        <w:rPr>
          <w:rFonts w:ascii="Times New Roman" w:hAnsi="Times New Roman" w:cs="Times New Roman"/>
        </w:rPr>
        <w:t xml:space="preserve">Even when a non-biological mother is declared a legal parent, she is not always added to the </w:t>
      </w:r>
      <w:r w:rsidR="009A2756" w:rsidRPr="003F0D4F">
        <w:rPr>
          <w:rFonts w:ascii="Times New Roman" w:hAnsi="Times New Roman" w:cs="Times New Roman"/>
        </w:rPr>
        <w:t xml:space="preserve">child’s </w:t>
      </w:r>
      <w:r w:rsidRPr="003F0D4F">
        <w:rPr>
          <w:rFonts w:ascii="Times New Roman" w:hAnsi="Times New Roman" w:cs="Times New Roman"/>
        </w:rPr>
        <w:t xml:space="preserve">birth certificate. </w:t>
      </w:r>
      <w:r w:rsidR="009A2756" w:rsidRPr="003F0D4F">
        <w:rPr>
          <w:rFonts w:ascii="Times New Roman" w:hAnsi="Times New Roman" w:cs="Times New Roman"/>
        </w:rPr>
        <w:t>Given that birth certificates are a statement of parentage fo</w:t>
      </w:r>
      <w:r w:rsidR="000F1D92" w:rsidRPr="003F0D4F">
        <w:rPr>
          <w:rFonts w:ascii="Times New Roman" w:hAnsi="Times New Roman" w:cs="Times New Roman"/>
        </w:rPr>
        <w:t>r many day-to-</w:t>
      </w:r>
      <w:r w:rsidR="009A2756" w:rsidRPr="003F0D4F">
        <w:rPr>
          <w:rFonts w:ascii="Times New Roman" w:hAnsi="Times New Roman" w:cs="Times New Roman"/>
        </w:rPr>
        <w:t xml:space="preserve">day purposes, these decisions amount to serious discrimination against non-biological lesbian mothers. </w:t>
      </w:r>
      <w:r w:rsidRPr="003F0D4F">
        <w:rPr>
          <w:rFonts w:ascii="Times New Roman" w:hAnsi="Times New Roman" w:cs="Times New Roman"/>
        </w:rPr>
        <w:t xml:space="preserve">For example, in </w:t>
      </w:r>
      <w:r w:rsidRPr="003F0D4F">
        <w:rPr>
          <w:rFonts w:ascii="Times New Roman" w:hAnsi="Times New Roman" w:cs="Times New Roman"/>
          <w:i/>
        </w:rPr>
        <w:t>Halifax v Fabian</w:t>
      </w:r>
      <w:r w:rsidRPr="003F0D4F">
        <w:rPr>
          <w:rFonts w:ascii="Times New Roman" w:hAnsi="Times New Roman" w:cs="Times New Roman"/>
        </w:rPr>
        <w:t xml:space="preserve">, Cronin J rejected the non-biological mother’s application to be added to her child’s birth certificate on the grounds that he “[failed] to see what benefit” the change would provide the child, despite acknowledging that Ms Fabian, the birth mother, was actively trying to “distance” the child from Ms Halifax and had already made unilateral decisions about his health care. </w:t>
      </w:r>
      <w:r w:rsidR="00704943" w:rsidRPr="003F0D4F">
        <w:rPr>
          <w:rFonts w:ascii="Times New Roman" w:hAnsi="Times New Roman" w:cs="Times New Roman"/>
        </w:rPr>
        <w:t xml:space="preserve">In </w:t>
      </w:r>
      <w:r w:rsidRPr="003F0D4F">
        <w:rPr>
          <w:rFonts w:ascii="Times New Roman" w:hAnsi="Times New Roman" w:cs="Times New Roman"/>
          <w:i/>
        </w:rPr>
        <w:t xml:space="preserve">Lusito &amp; Lusito </w:t>
      </w:r>
      <w:r w:rsidRPr="003F0D4F">
        <w:rPr>
          <w:rFonts w:ascii="Times New Roman" w:hAnsi="Times New Roman" w:cs="Times New Roman"/>
        </w:rPr>
        <w:t>[2011] FMCAfam 55</w:t>
      </w:r>
      <w:r w:rsidR="00704943" w:rsidRPr="003F0D4F">
        <w:rPr>
          <w:rFonts w:ascii="Times New Roman" w:hAnsi="Times New Roman" w:cs="Times New Roman"/>
        </w:rPr>
        <w:t>, Purdon-Sully FM</w:t>
      </w:r>
      <w:r w:rsidR="00557908" w:rsidRPr="003F0D4F">
        <w:rPr>
          <w:rFonts w:ascii="Times New Roman" w:hAnsi="Times New Roman" w:cs="Times New Roman"/>
        </w:rPr>
        <w:t xml:space="preserve"> denied</w:t>
      </w:r>
      <w:r w:rsidR="00704943" w:rsidRPr="003F0D4F">
        <w:rPr>
          <w:rFonts w:ascii="Times New Roman" w:hAnsi="Times New Roman" w:cs="Times New Roman"/>
        </w:rPr>
        <w:t xml:space="preserve"> the non-biological mother’s </w:t>
      </w:r>
      <w:r w:rsidR="00385DC0" w:rsidRPr="003F0D4F">
        <w:rPr>
          <w:rFonts w:ascii="Times New Roman" w:hAnsi="Times New Roman" w:cs="Times New Roman"/>
        </w:rPr>
        <w:t>birth</w:t>
      </w:r>
      <w:r w:rsidR="00557908" w:rsidRPr="003F0D4F">
        <w:rPr>
          <w:rFonts w:ascii="Times New Roman" w:hAnsi="Times New Roman" w:cs="Times New Roman"/>
        </w:rPr>
        <w:t xml:space="preserve"> certificate </w:t>
      </w:r>
      <w:r w:rsidR="00704943" w:rsidRPr="003F0D4F">
        <w:rPr>
          <w:rFonts w:ascii="Times New Roman" w:hAnsi="Times New Roman" w:cs="Times New Roman"/>
        </w:rPr>
        <w:t xml:space="preserve">application </w:t>
      </w:r>
      <w:r w:rsidR="00557908" w:rsidRPr="003F0D4F">
        <w:rPr>
          <w:rFonts w:ascii="Times New Roman" w:hAnsi="Times New Roman" w:cs="Times New Roman"/>
        </w:rPr>
        <w:t xml:space="preserve">on the grounds that </w:t>
      </w:r>
      <w:r w:rsidR="00704943" w:rsidRPr="003F0D4F">
        <w:rPr>
          <w:rFonts w:ascii="Times New Roman" w:hAnsi="Times New Roman" w:cs="Times New Roman"/>
        </w:rPr>
        <w:t>the child</w:t>
      </w:r>
      <w:r w:rsidR="003F0D4F" w:rsidRPr="003F0D4F">
        <w:rPr>
          <w:rFonts w:ascii="Times New Roman" w:hAnsi="Times New Roman" w:cs="Times New Roman"/>
        </w:rPr>
        <w:t>, who the mother</w:t>
      </w:r>
      <w:r w:rsidR="00385DC0" w:rsidRPr="003F0D4F">
        <w:rPr>
          <w:rFonts w:ascii="Times New Roman" w:hAnsi="Times New Roman" w:cs="Times New Roman"/>
        </w:rPr>
        <w:t xml:space="preserve"> had parented for 10 years,</w:t>
      </w:r>
      <w:r w:rsidR="00704943" w:rsidRPr="003F0D4F">
        <w:rPr>
          <w:rFonts w:ascii="Times New Roman" w:hAnsi="Times New Roman" w:cs="Times New Roman"/>
        </w:rPr>
        <w:t xml:space="preserve"> may want to later pursue a relationship with his anonymous sperm donor. </w:t>
      </w:r>
      <w:r w:rsidRPr="003F0D4F">
        <w:rPr>
          <w:rFonts w:ascii="Times New Roman" w:hAnsi="Times New Roman" w:cs="Times New Roman"/>
        </w:rPr>
        <w:t xml:space="preserve">In an extraordinary paragraph, Purdon-Sully FM </w:t>
      </w:r>
      <w:r w:rsidR="00704943" w:rsidRPr="003F0D4F">
        <w:rPr>
          <w:rFonts w:ascii="Times New Roman" w:hAnsi="Times New Roman" w:cs="Times New Roman"/>
        </w:rPr>
        <w:t>states that denying the non-biological mother’s application was</w:t>
      </w:r>
      <w:r w:rsidRPr="003F0D4F">
        <w:rPr>
          <w:rFonts w:ascii="Times New Roman" w:hAnsi="Times New Roman" w:cs="Times New Roman"/>
        </w:rPr>
        <w:t xml:space="preserve"> “inclusive” of the child’s donor:</w:t>
      </w:r>
      <w:r w:rsidR="00557908" w:rsidRPr="003F0D4F">
        <w:rPr>
          <w:rFonts w:ascii="Times New Roman" w:hAnsi="Times New Roman" w:cs="Times New Roman"/>
        </w:rPr>
        <w:t xml:space="preserve"> </w:t>
      </w:r>
    </w:p>
    <w:p w:rsidR="005E7294" w:rsidRPr="00737AC9" w:rsidRDefault="00557908" w:rsidP="009A2756">
      <w:pPr>
        <w:spacing w:before="120" w:after="120"/>
        <w:ind w:left="1440"/>
        <w:rPr>
          <w:rFonts w:ascii="Times New Roman" w:hAnsi="Times New Roman" w:cs="Times New Roman"/>
        </w:rPr>
      </w:pPr>
      <w:r w:rsidRPr="00737AC9">
        <w:rPr>
          <w:rFonts w:ascii="Times New Roman" w:hAnsi="Times New Roman" w:cs="Times New Roman"/>
        </w:rPr>
        <w:t>“</w:t>
      </w:r>
      <w:r w:rsidR="005E7294" w:rsidRPr="00737AC9">
        <w:rPr>
          <w:rFonts w:ascii="Times New Roman" w:hAnsi="Times New Roman" w:cs="Times New Roman"/>
        </w:rPr>
        <w:t xml:space="preserve">[The </w:t>
      </w:r>
      <w:r w:rsidR="00704943" w:rsidRPr="00737AC9">
        <w:rPr>
          <w:rFonts w:ascii="Times New Roman" w:hAnsi="Times New Roman" w:cs="Times New Roman"/>
        </w:rPr>
        <w:t xml:space="preserve">argument that the non-biological mother’s name should not be added to the child’s birth certificate] </w:t>
      </w:r>
      <w:r w:rsidR="005E7294" w:rsidRPr="00737AC9">
        <w:rPr>
          <w:rFonts w:ascii="Times New Roman" w:hAnsi="Times New Roman" w:cs="Times New Roman"/>
        </w:rPr>
        <w:t>was not based on reasons of exclusion but inclusion – to enable [the child] to be consulted at an appropriate time about an issue that may have future consequences for him. It is open to [the child] and his biological father to pursue a relationship after he turns 18 years.</w:t>
      </w:r>
      <w:r w:rsidRPr="00737AC9">
        <w:rPr>
          <w:rFonts w:ascii="Times New Roman" w:hAnsi="Times New Roman" w:cs="Times New Roman"/>
        </w:rPr>
        <w:t>”</w:t>
      </w:r>
      <w:r w:rsidRPr="00737AC9">
        <w:rPr>
          <w:rStyle w:val="FootnoteReference"/>
          <w:rFonts w:ascii="Times New Roman" w:hAnsi="Times New Roman" w:cs="Times New Roman"/>
        </w:rPr>
        <w:footnoteReference w:id="12"/>
      </w:r>
    </w:p>
    <w:p w:rsidR="005E7294" w:rsidRDefault="005E7294" w:rsidP="009A2756">
      <w:pPr>
        <w:spacing w:before="120" w:after="120"/>
        <w:ind w:left="720"/>
        <w:rPr>
          <w:rFonts w:ascii="Times New Roman" w:hAnsi="Times New Roman" w:cs="Times New Roman"/>
        </w:rPr>
      </w:pPr>
      <w:r w:rsidRPr="00737AC9">
        <w:rPr>
          <w:rFonts w:ascii="Times New Roman" w:hAnsi="Times New Roman" w:cs="Times New Roman"/>
        </w:rPr>
        <w:t>Purdon-Sully FM’s reference to the child’s “biologica</w:t>
      </w:r>
      <w:r w:rsidR="003F0D4F">
        <w:rPr>
          <w:rFonts w:ascii="Times New Roman" w:hAnsi="Times New Roman" w:cs="Times New Roman"/>
        </w:rPr>
        <w:t>l father” – who is actually an anonymous</w:t>
      </w:r>
      <w:r w:rsidRPr="00737AC9">
        <w:rPr>
          <w:rFonts w:ascii="Times New Roman" w:hAnsi="Times New Roman" w:cs="Times New Roman"/>
        </w:rPr>
        <w:t xml:space="preserve"> donor who has no legal relationship to the child and is under no obligation to reveal his identity, let alone develop a relationship with the child – as someone who might appropriately appear on the child’s birth certificate is bizarre. Purdon-Sully FM’s diminishing of the co-mother’s </w:t>
      </w:r>
      <w:r w:rsidRPr="00737AC9">
        <w:rPr>
          <w:rFonts w:ascii="Times New Roman" w:hAnsi="Times New Roman" w:cs="Times New Roman"/>
          <w:i/>
        </w:rPr>
        <w:t xml:space="preserve">actual </w:t>
      </w:r>
      <w:r w:rsidRPr="00737AC9">
        <w:rPr>
          <w:rFonts w:ascii="Times New Roman" w:hAnsi="Times New Roman" w:cs="Times New Roman"/>
        </w:rPr>
        <w:t xml:space="preserve">relationship with her son, while valorising the </w:t>
      </w:r>
      <w:r w:rsidRPr="00737AC9">
        <w:rPr>
          <w:rFonts w:ascii="Times New Roman" w:hAnsi="Times New Roman" w:cs="Times New Roman"/>
          <w:i/>
        </w:rPr>
        <w:t>hypothetical</w:t>
      </w:r>
      <w:r w:rsidRPr="00737AC9">
        <w:rPr>
          <w:rFonts w:ascii="Times New Roman" w:hAnsi="Times New Roman" w:cs="Times New Roman"/>
        </w:rPr>
        <w:t xml:space="preserve"> relationship the boy might have with his anonymous donor sometime in the future, suggests that some members of the judiciary continue to find it difficult to fully embrace the commitment to non-biological parentage that s 60H(1) represents. </w:t>
      </w:r>
    </w:p>
    <w:p w:rsidR="003F0D4F" w:rsidRDefault="003F0D4F" w:rsidP="009A2756">
      <w:pPr>
        <w:spacing w:before="120" w:after="120"/>
        <w:ind w:left="720"/>
        <w:rPr>
          <w:rFonts w:ascii="Times New Roman" w:hAnsi="Times New Roman" w:cs="Times New Roman"/>
        </w:rPr>
      </w:pPr>
    </w:p>
    <w:p w:rsidR="009141DD" w:rsidRPr="009141DD" w:rsidRDefault="00DC45B4" w:rsidP="009141DD">
      <w:pPr>
        <w:pStyle w:val="ListParagraph"/>
        <w:numPr>
          <w:ilvl w:val="0"/>
          <w:numId w:val="7"/>
        </w:numPr>
        <w:spacing w:before="240" w:after="120"/>
        <w:rPr>
          <w:rFonts w:ascii="Times New Roman" w:hAnsi="Times New Roman" w:cs="Times New Roman"/>
        </w:rPr>
      </w:pPr>
      <w:r w:rsidRPr="009141DD">
        <w:rPr>
          <w:rFonts w:ascii="Times New Roman" w:hAnsi="Times New Roman" w:cs="Times New Roman"/>
        </w:rPr>
        <w:t>Sibling relationships between children of LGBTIQ couples were often diminished by judges where the children had different birth mothers</w:t>
      </w:r>
      <w:r w:rsidR="00F61A43" w:rsidRPr="009141DD">
        <w:rPr>
          <w:rFonts w:ascii="Times New Roman" w:hAnsi="Times New Roman" w:cs="Times New Roman"/>
        </w:rPr>
        <w:t xml:space="preserve"> or different donors. J</w:t>
      </w:r>
      <w:r w:rsidRPr="009141DD">
        <w:rPr>
          <w:rFonts w:ascii="Times New Roman" w:hAnsi="Times New Roman" w:cs="Times New Roman"/>
        </w:rPr>
        <w:t xml:space="preserve">udges frequently described kinship in terms of genetic quantum, such as “half-sibling”, “non-biological sibling” and “biological half-brother”, or by only ever using the terms “sisters” or “siblings” in quotation marks. In </w:t>
      </w:r>
      <w:r w:rsidRPr="009141DD">
        <w:rPr>
          <w:rFonts w:ascii="Times New Roman" w:hAnsi="Times New Roman" w:cs="Times New Roman"/>
          <w:bCs/>
          <w:i/>
        </w:rPr>
        <w:t>Halifax v Fabian</w:t>
      </w:r>
      <w:r w:rsidRPr="009141DD">
        <w:rPr>
          <w:rFonts w:ascii="Times New Roman" w:hAnsi="Times New Roman" w:cs="Times New Roman"/>
          <w:bCs/>
        </w:rPr>
        <w:t xml:space="preserve">, </w:t>
      </w:r>
      <w:r w:rsidR="008761D9" w:rsidRPr="009141DD">
        <w:rPr>
          <w:rFonts w:ascii="Times New Roman" w:hAnsi="Times New Roman" w:cs="Times New Roman"/>
          <w:bCs/>
        </w:rPr>
        <w:t xml:space="preserve">where the two children who had been raised together but had different birth mothers, </w:t>
      </w:r>
      <w:r w:rsidRPr="009141DD">
        <w:rPr>
          <w:rFonts w:ascii="Times New Roman" w:hAnsi="Times New Roman" w:cs="Times New Roman"/>
          <w:bCs/>
        </w:rPr>
        <w:t>Cronin J undermined the sibling relationship altogether, stating that though “the children…love each other” and “consider themselves to be sisters” they “are not”.</w:t>
      </w:r>
      <w:r w:rsidRPr="009141DD">
        <w:rPr>
          <w:rStyle w:val="FootnoteReference"/>
          <w:rFonts w:ascii="Times New Roman" w:hAnsi="Times New Roman" w:cs="Times New Roman"/>
          <w:bCs/>
        </w:rPr>
        <w:footnoteReference w:id="13"/>
      </w:r>
      <w:r w:rsidRPr="009141DD">
        <w:rPr>
          <w:rFonts w:ascii="Times New Roman" w:hAnsi="Times New Roman" w:cs="Times New Roman"/>
          <w:bCs/>
        </w:rPr>
        <w:t xml:space="preserve"> </w:t>
      </w:r>
      <w:r w:rsidRPr="009141DD">
        <w:rPr>
          <w:rFonts w:ascii="Times New Roman" w:hAnsi="Times New Roman" w:cs="Times New Roman"/>
          <w:bCs/>
          <w:iCs/>
        </w:rPr>
        <w:t>When discussing the tensions between each of the children’s important relationships, the consequences of Cronin J’s denial of the sibling relationship are revealed:</w:t>
      </w:r>
    </w:p>
    <w:p w:rsidR="00DC45B4" w:rsidRPr="009141DD" w:rsidRDefault="00DC45B4" w:rsidP="009141DD">
      <w:pPr>
        <w:spacing w:before="240" w:after="120"/>
        <w:ind w:left="1080"/>
        <w:rPr>
          <w:rFonts w:ascii="Times New Roman" w:hAnsi="Times New Roman" w:cs="Times New Roman"/>
        </w:rPr>
      </w:pPr>
      <w:r w:rsidRPr="009141DD">
        <w:rPr>
          <w:rFonts w:ascii="Times New Roman" w:hAnsi="Times New Roman" w:cs="Times New Roman"/>
          <w:bCs/>
          <w:iCs/>
        </w:rPr>
        <w:t xml:space="preserve">In a case in which two parents have competing views about who should care for their children or child, the best interests principle also gives rise to a conflict between the biological attachment between a mother and child and the non-biological relationship between two young children </w:t>
      </w:r>
      <w:r w:rsidRPr="009141DD">
        <w:rPr>
          <w:rFonts w:ascii="Times New Roman" w:hAnsi="Times New Roman" w:cs="Times New Roman"/>
          <w:bCs/>
          <w:i/>
          <w:iCs/>
        </w:rPr>
        <w:t>who see themselves as sisters</w:t>
      </w:r>
      <w:r w:rsidRPr="009141DD">
        <w:rPr>
          <w:rFonts w:ascii="Times New Roman" w:hAnsi="Times New Roman" w:cs="Times New Roman"/>
          <w:bCs/>
          <w:iCs/>
        </w:rPr>
        <w:t>. In this case, the evidence suggests and I so find, the relationship between the biological mother and her child is much stronger and more important than the relationship between the “sisters”.</w:t>
      </w:r>
      <w:r w:rsidRPr="009141DD">
        <w:rPr>
          <w:rStyle w:val="FootnoteReference"/>
          <w:rFonts w:ascii="Times New Roman" w:hAnsi="Times New Roman" w:cs="Times New Roman"/>
          <w:bCs/>
          <w:iCs/>
        </w:rPr>
        <w:footnoteReference w:id="14"/>
      </w:r>
      <w:r w:rsidRPr="009141DD">
        <w:rPr>
          <w:rFonts w:ascii="Times New Roman" w:hAnsi="Times New Roman" w:cs="Times New Roman"/>
          <w:bCs/>
          <w:iCs/>
        </w:rPr>
        <w:t xml:space="preserve"> </w:t>
      </w:r>
    </w:p>
    <w:p w:rsidR="003F0D4F" w:rsidRDefault="009141DD" w:rsidP="009141DD">
      <w:pPr>
        <w:spacing w:before="120" w:after="120"/>
        <w:ind w:left="720"/>
        <w:rPr>
          <w:rFonts w:ascii="Times New Roman" w:hAnsi="Times New Roman" w:cs="Times New Roman"/>
        </w:rPr>
      </w:pPr>
      <w:r>
        <w:rPr>
          <w:rFonts w:ascii="Times New Roman" w:hAnsi="Times New Roman" w:cs="Times New Roman"/>
        </w:rPr>
        <w:t xml:space="preserve">Decisions like </w:t>
      </w:r>
      <w:r>
        <w:rPr>
          <w:rFonts w:ascii="Times New Roman" w:hAnsi="Times New Roman" w:cs="Times New Roman"/>
          <w:i/>
        </w:rPr>
        <w:t xml:space="preserve">Halifax </w:t>
      </w:r>
      <w:r>
        <w:rPr>
          <w:rFonts w:ascii="Times New Roman" w:hAnsi="Times New Roman" w:cs="Times New Roman"/>
        </w:rPr>
        <w:t>fail to recognise the significance of the children’s understanding of their family relationships, denying them in favour of a purely biological re-construction of the family.</w:t>
      </w:r>
    </w:p>
    <w:p w:rsidR="00F97481" w:rsidRPr="00737AC9" w:rsidRDefault="00F97481" w:rsidP="009A2756">
      <w:pPr>
        <w:spacing w:before="120" w:after="120"/>
        <w:rPr>
          <w:rFonts w:ascii="Times New Roman" w:hAnsi="Times New Roman" w:cs="Times New Roman"/>
        </w:rPr>
      </w:pPr>
    </w:p>
    <w:p w:rsidR="00385DC0" w:rsidRPr="00737AC9" w:rsidRDefault="00366F3F" w:rsidP="009A2756">
      <w:pPr>
        <w:spacing w:before="120" w:after="120"/>
        <w:rPr>
          <w:rFonts w:ascii="Times New Roman" w:hAnsi="Times New Roman" w:cs="Times New Roman"/>
          <w:b/>
        </w:rPr>
      </w:pPr>
      <w:r w:rsidRPr="00737AC9">
        <w:rPr>
          <w:rFonts w:ascii="Times New Roman" w:hAnsi="Times New Roman" w:cs="Times New Roman"/>
          <w:b/>
        </w:rPr>
        <w:t xml:space="preserve">d. </w:t>
      </w:r>
      <w:r w:rsidR="00385DC0" w:rsidRPr="00737AC9">
        <w:rPr>
          <w:rFonts w:ascii="Times New Roman" w:hAnsi="Times New Roman" w:cs="Times New Roman"/>
          <w:b/>
        </w:rPr>
        <w:t>Legal recognition of multiple parent families</w:t>
      </w:r>
    </w:p>
    <w:p w:rsidR="00F013F2" w:rsidRPr="00737AC9" w:rsidRDefault="00F013F2" w:rsidP="009A2756">
      <w:pPr>
        <w:spacing w:before="120" w:after="120"/>
        <w:rPr>
          <w:rFonts w:ascii="Times New Roman" w:hAnsi="Times New Roman" w:cs="Times New Roman"/>
        </w:rPr>
      </w:pPr>
      <w:r w:rsidRPr="00737AC9">
        <w:rPr>
          <w:rFonts w:ascii="Times New Roman" w:hAnsi="Times New Roman" w:cs="Times New Roman"/>
        </w:rPr>
        <w:t xml:space="preserve">Some LGBTIQ families choose to create co-parenting relationships in which they share parenting across two households. The most common scenario is a lesbian couple </w:t>
      </w:r>
      <w:r w:rsidR="000C26A5">
        <w:rPr>
          <w:rFonts w:ascii="Times New Roman" w:hAnsi="Times New Roman" w:cs="Times New Roman"/>
        </w:rPr>
        <w:t xml:space="preserve">who co-parent with </w:t>
      </w:r>
      <w:r w:rsidRPr="00737AC9">
        <w:rPr>
          <w:rFonts w:ascii="Times New Roman" w:hAnsi="Times New Roman" w:cs="Times New Roman"/>
        </w:rPr>
        <w:t>a gay couple</w:t>
      </w:r>
      <w:r w:rsidR="000C26A5">
        <w:rPr>
          <w:rFonts w:ascii="Times New Roman" w:hAnsi="Times New Roman" w:cs="Times New Roman"/>
        </w:rPr>
        <w:t>, where</w:t>
      </w:r>
      <w:r w:rsidRPr="00737AC9">
        <w:rPr>
          <w:rFonts w:ascii="Times New Roman" w:hAnsi="Times New Roman" w:cs="Times New Roman"/>
        </w:rPr>
        <w:t xml:space="preserve"> </w:t>
      </w:r>
      <w:r w:rsidR="000C26A5">
        <w:rPr>
          <w:rFonts w:ascii="Times New Roman" w:hAnsi="Times New Roman" w:cs="Times New Roman"/>
        </w:rPr>
        <w:t>one of the men is the</w:t>
      </w:r>
      <w:r w:rsidRPr="00737AC9">
        <w:rPr>
          <w:rFonts w:ascii="Times New Roman" w:hAnsi="Times New Roman" w:cs="Times New Roman"/>
        </w:rPr>
        <w:t xml:space="preserve"> child’s biological father. It is recommended that the review consider extending parentage to three or four parents in order to recognise the small</w:t>
      </w:r>
      <w:r w:rsidR="000C26A5">
        <w:rPr>
          <w:rFonts w:ascii="Times New Roman" w:hAnsi="Times New Roman" w:cs="Times New Roman"/>
        </w:rPr>
        <w:t xml:space="preserve"> but significant</w:t>
      </w:r>
      <w:r w:rsidRPr="00737AC9">
        <w:rPr>
          <w:rFonts w:ascii="Times New Roman" w:hAnsi="Times New Roman" w:cs="Times New Roman"/>
        </w:rPr>
        <w:t xml:space="preserve"> number of families who choose such arrangements. The ALRC should consider the multiple parent model available in the province of British Columbia, Canada</w:t>
      </w:r>
      <w:r w:rsidR="00C93D64" w:rsidRPr="00737AC9">
        <w:rPr>
          <w:rFonts w:ascii="Times New Roman" w:hAnsi="Times New Roman" w:cs="Times New Roman"/>
        </w:rPr>
        <w:t>,</w:t>
      </w:r>
      <w:r w:rsidR="00C93D64" w:rsidRPr="00737AC9">
        <w:rPr>
          <w:rStyle w:val="FootnoteReference"/>
          <w:rFonts w:ascii="Times New Roman" w:hAnsi="Times New Roman" w:cs="Times New Roman"/>
        </w:rPr>
        <w:footnoteReference w:id="15"/>
      </w:r>
      <w:r w:rsidR="00C93D64" w:rsidRPr="00737AC9">
        <w:rPr>
          <w:rFonts w:ascii="Times New Roman" w:hAnsi="Times New Roman" w:cs="Times New Roman"/>
        </w:rPr>
        <w:t xml:space="preserve"> </w:t>
      </w:r>
      <w:r w:rsidRPr="00737AC9">
        <w:rPr>
          <w:rFonts w:ascii="Times New Roman" w:hAnsi="Times New Roman" w:cs="Times New Roman"/>
        </w:rPr>
        <w:t>though it is recommended that a more expansive model be adopted that does not rely so heavily on biological ties.</w:t>
      </w:r>
      <w:r w:rsidRPr="00737AC9">
        <w:rPr>
          <w:rStyle w:val="FootnoteReference"/>
          <w:rFonts w:ascii="Times New Roman" w:hAnsi="Times New Roman" w:cs="Times New Roman"/>
        </w:rPr>
        <w:footnoteReference w:id="16"/>
      </w:r>
    </w:p>
    <w:p w:rsidR="000F1D92" w:rsidRPr="00737AC9" w:rsidRDefault="000F1D92" w:rsidP="009A2756">
      <w:pPr>
        <w:spacing w:before="120" w:after="120"/>
        <w:rPr>
          <w:rFonts w:ascii="Times New Roman" w:hAnsi="Times New Roman" w:cs="Times New Roman"/>
        </w:rPr>
      </w:pPr>
    </w:p>
    <w:p w:rsidR="00F013F2" w:rsidRPr="00737AC9" w:rsidRDefault="00F013F2" w:rsidP="00E96F8F">
      <w:pPr>
        <w:spacing w:after="80"/>
        <w:rPr>
          <w:rFonts w:ascii="Times New Roman" w:hAnsi="Times New Roman" w:cs="Times New Roman"/>
        </w:rPr>
      </w:pPr>
      <w:r w:rsidRPr="00737AC9">
        <w:rPr>
          <w:rFonts w:ascii="Times New Roman" w:hAnsi="Times New Roman" w:cs="Times New Roman"/>
        </w:rPr>
        <w:t>The benefits of recogni</w:t>
      </w:r>
      <w:r w:rsidR="00C93D64" w:rsidRPr="00737AC9">
        <w:rPr>
          <w:rFonts w:ascii="Times New Roman" w:hAnsi="Times New Roman" w:cs="Times New Roman"/>
        </w:rPr>
        <w:t>sing multiple parent families are</w:t>
      </w:r>
      <w:r w:rsidRPr="00737AC9">
        <w:rPr>
          <w:rFonts w:ascii="Times New Roman" w:hAnsi="Times New Roman" w:cs="Times New Roman"/>
        </w:rPr>
        <w:t>:</w:t>
      </w:r>
    </w:p>
    <w:p w:rsidR="00F013F2" w:rsidRPr="00737AC9" w:rsidRDefault="00F013F2" w:rsidP="00E96F8F">
      <w:pPr>
        <w:pStyle w:val="ListParagraph"/>
        <w:numPr>
          <w:ilvl w:val="0"/>
          <w:numId w:val="8"/>
        </w:numPr>
        <w:spacing w:after="80"/>
        <w:contextualSpacing w:val="0"/>
        <w:rPr>
          <w:rFonts w:ascii="Times New Roman" w:hAnsi="Times New Roman" w:cs="Times New Roman"/>
        </w:rPr>
      </w:pPr>
      <w:r w:rsidRPr="00737AC9">
        <w:rPr>
          <w:rFonts w:ascii="Times New Roman" w:hAnsi="Times New Roman" w:cs="Times New Roman"/>
        </w:rPr>
        <w:t>It allows for children’s lived reality to be reflected in their legal parentage.</w:t>
      </w:r>
    </w:p>
    <w:p w:rsidR="009330C3" w:rsidRPr="00737AC9" w:rsidRDefault="009330C3" w:rsidP="00E96F8F">
      <w:pPr>
        <w:pStyle w:val="ListParagraph"/>
        <w:numPr>
          <w:ilvl w:val="0"/>
          <w:numId w:val="8"/>
        </w:numPr>
        <w:spacing w:after="80"/>
        <w:contextualSpacing w:val="0"/>
        <w:rPr>
          <w:rFonts w:ascii="Times New Roman" w:hAnsi="Times New Roman" w:cs="Times New Roman"/>
        </w:rPr>
      </w:pPr>
      <w:r w:rsidRPr="00737AC9">
        <w:rPr>
          <w:rFonts w:ascii="Times New Roman" w:hAnsi="Times New Roman" w:cs="Times New Roman"/>
        </w:rPr>
        <w:t>It recognizes the non-conjugal co-parenting relationships created by LGBTIQ families</w:t>
      </w:r>
      <w:r w:rsidR="000F1D92" w:rsidRPr="00737AC9">
        <w:rPr>
          <w:rFonts w:ascii="Times New Roman" w:hAnsi="Times New Roman" w:cs="Times New Roman"/>
        </w:rPr>
        <w:t>.</w:t>
      </w:r>
    </w:p>
    <w:p w:rsidR="009330C3" w:rsidRPr="00737AC9" w:rsidRDefault="00C93D64" w:rsidP="00E96F8F">
      <w:pPr>
        <w:pStyle w:val="ListParagraph"/>
        <w:numPr>
          <w:ilvl w:val="0"/>
          <w:numId w:val="8"/>
        </w:numPr>
        <w:spacing w:after="80"/>
        <w:contextualSpacing w:val="0"/>
        <w:rPr>
          <w:rFonts w:ascii="Times New Roman" w:hAnsi="Times New Roman" w:cs="Times New Roman"/>
        </w:rPr>
      </w:pPr>
      <w:r w:rsidRPr="00737AC9">
        <w:rPr>
          <w:rFonts w:ascii="Times New Roman" w:hAnsi="Times New Roman" w:cs="Times New Roman"/>
        </w:rPr>
        <w:t xml:space="preserve">It can assist in clarifying when known donors are </w:t>
      </w:r>
      <w:r w:rsidRPr="00737AC9">
        <w:rPr>
          <w:rFonts w:ascii="Times New Roman" w:hAnsi="Times New Roman" w:cs="Times New Roman"/>
          <w:i/>
        </w:rPr>
        <w:t xml:space="preserve">not </w:t>
      </w:r>
      <w:r w:rsidRPr="00737AC9">
        <w:rPr>
          <w:rFonts w:ascii="Times New Roman" w:hAnsi="Times New Roman" w:cs="Times New Roman"/>
        </w:rPr>
        <w:t>intended to be legal parents.</w:t>
      </w:r>
    </w:p>
    <w:p w:rsidR="00F013F2" w:rsidRPr="00737AC9" w:rsidRDefault="00F013F2" w:rsidP="00E96F8F">
      <w:pPr>
        <w:spacing w:after="80"/>
        <w:rPr>
          <w:rFonts w:ascii="Times New Roman" w:hAnsi="Times New Roman" w:cs="Times New Roman"/>
        </w:rPr>
      </w:pPr>
    </w:p>
    <w:p w:rsidR="00F013F2" w:rsidRPr="00737AC9" w:rsidRDefault="00C93D64" w:rsidP="00E96F8F">
      <w:pPr>
        <w:spacing w:after="80"/>
        <w:rPr>
          <w:rFonts w:ascii="Times New Roman" w:hAnsi="Times New Roman" w:cs="Times New Roman"/>
        </w:rPr>
      </w:pPr>
      <w:r w:rsidRPr="00737AC9">
        <w:rPr>
          <w:rFonts w:ascii="Times New Roman" w:hAnsi="Times New Roman" w:cs="Times New Roman"/>
        </w:rPr>
        <w:t>It is recommended that any multiple parent model include the following features:</w:t>
      </w:r>
    </w:p>
    <w:p w:rsidR="00C93D64" w:rsidRPr="00737AC9" w:rsidRDefault="00C93D64" w:rsidP="00E96F8F">
      <w:pPr>
        <w:pStyle w:val="ListParagraph"/>
        <w:numPr>
          <w:ilvl w:val="0"/>
          <w:numId w:val="9"/>
        </w:numPr>
        <w:spacing w:after="80"/>
        <w:contextualSpacing w:val="0"/>
        <w:rPr>
          <w:rFonts w:ascii="Times New Roman" w:hAnsi="Times New Roman" w:cs="Times New Roman"/>
        </w:rPr>
      </w:pPr>
      <w:r w:rsidRPr="00737AC9">
        <w:rPr>
          <w:rFonts w:ascii="Times New Roman" w:hAnsi="Times New Roman" w:cs="Times New Roman"/>
        </w:rPr>
        <w:t xml:space="preserve">The option of creating three or four parent families where the additional parents need not share a biological relationship with the child (eg, the donor </w:t>
      </w:r>
      <w:r w:rsidRPr="00737AC9">
        <w:rPr>
          <w:rFonts w:ascii="Times New Roman" w:hAnsi="Times New Roman" w:cs="Times New Roman"/>
          <w:i/>
        </w:rPr>
        <w:t xml:space="preserve">and </w:t>
      </w:r>
      <w:r w:rsidRPr="00737AC9">
        <w:rPr>
          <w:rFonts w:ascii="Times New Roman" w:hAnsi="Times New Roman" w:cs="Times New Roman"/>
        </w:rPr>
        <w:t>his/her partner can be legal parents)</w:t>
      </w:r>
      <w:r w:rsidR="000F1D92" w:rsidRPr="00737AC9">
        <w:rPr>
          <w:rFonts w:ascii="Times New Roman" w:hAnsi="Times New Roman" w:cs="Times New Roman"/>
        </w:rPr>
        <w:t>.</w:t>
      </w:r>
    </w:p>
    <w:p w:rsidR="00C93D64" w:rsidRPr="00737AC9" w:rsidRDefault="00C93D64" w:rsidP="00E96F8F">
      <w:pPr>
        <w:pStyle w:val="ListParagraph"/>
        <w:numPr>
          <w:ilvl w:val="0"/>
          <w:numId w:val="9"/>
        </w:numPr>
        <w:spacing w:after="80"/>
        <w:contextualSpacing w:val="0"/>
        <w:rPr>
          <w:rFonts w:ascii="Times New Roman" w:hAnsi="Times New Roman" w:cs="Times New Roman"/>
        </w:rPr>
      </w:pPr>
      <w:r w:rsidRPr="00737AC9">
        <w:rPr>
          <w:rFonts w:ascii="Times New Roman" w:hAnsi="Times New Roman" w:cs="Times New Roman"/>
        </w:rPr>
        <w:t>That the decision to co-parent be evidenced by written agreement prior to conception.</w:t>
      </w:r>
    </w:p>
    <w:p w:rsidR="00C93D64" w:rsidRPr="00737AC9" w:rsidRDefault="000F1D92" w:rsidP="00E96F8F">
      <w:pPr>
        <w:pStyle w:val="ListParagraph"/>
        <w:numPr>
          <w:ilvl w:val="0"/>
          <w:numId w:val="9"/>
        </w:numPr>
        <w:spacing w:after="80"/>
        <w:contextualSpacing w:val="0"/>
        <w:rPr>
          <w:rFonts w:ascii="Times New Roman" w:hAnsi="Times New Roman" w:cs="Times New Roman"/>
        </w:rPr>
      </w:pPr>
      <w:r w:rsidRPr="00737AC9">
        <w:rPr>
          <w:rFonts w:ascii="Times New Roman" w:hAnsi="Times New Roman" w:cs="Times New Roman"/>
        </w:rPr>
        <w:t>That b</w:t>
      </w:r>
      <w:r w:rsidR="000C26A5">
        <w:rPr>
          <w:rFonts w:ascii="Times New Roman" w:hAnsi="Times New Roman" w:cs="Times New Roman"/>
        </w:rPr>
        <w:t>irth certificates allow for</w:t>
      </w:r>
      <w:r w:rsidR="00C93D64" w:rsidRPr="00737AC9">
        <w:rPr>
          <w:rFonts w:ascii="Times New Roman" w:hAnsi="Times New Roman" w:cs="Times New Roman"/>
        </w:rPr>
        <w:t xml:space="preserve"> the naming of multiple parents</w:t>
      </w:r>
      <w:r w:rsidRPr="00737AC9">
        <w:rPr>
          <w:rFonts w:ascii="Times New Roman" w:hAnsi="Times New Roman" w:cs="Times New Roman"/>
        </w:rPr>
        <w:t>.</w:t>
      </w:r>
    </w:p>
    <w:p w:rsidR="00F013F2" w:rsidRPr="00737AC9" w:rsidRDefault="000F1D92" w:rsidP="00E96F8F">
      <w:pPr>
        <w:pStyle w:val="ListParagraph"/>
        <w:numPr>
          <w:ilvl w:val="0"/>
          <w:numId w:val="9"/>
        </w:numPr>
        <w:spacing w:after="80"/>
        <w:contextualSpacing w:val="0"/>
        <w:rPr>
          <w:rFonts w:ascii="Times New Roman" w:hAnsi="Times New Roman" w:cs="Times New Roman"/>
        </w:rPr>
      </w:pPr>
      <w:r w:rsidRPr="00737AC9">
        <w:rPr>
          <w:rFonts w:ascii="Times New Roman" w:hAnsi="Times New Roman" w:cs="Times New Roman"/>
        </w:rPr>
        <w:t>That the FLA include an</w:t>
      </w:r>
      <w:r w:rsidR="00C93D64" w:rsidRPr="00737AC9">
        <w:rPr>
          <w:rFonts w:ascii="Times New Roman" w:hAnsi="Times New Roman" w:cs="Times New Roman"/>
        </w:rPr>
        <w:t xml:space="preserve"> irrebut</w:t>
      </w:r>
      <w:r w:rsidR="009A2756" w:rsidRPr="00737AC9">
        <w:rPr>
          <w:rFonts w:ascii="Times New Roman" w:hAnsi="Times New Roman" w:cs="Times New Roman"/>
        </w:rPr>
        <w:t>t</w:t>
      </w:r>
      <w:r w:rsidR="00C93D64" w:rsidRPr="00737AC9">
        <w:rPr>
          <w:rFonts w:ascii="Times New Roman" w:hAnsi="Times New Roman" w:cs="Times New Roman"/>
        </w:rPr>
        <w:t xml:space="preserve">able presumption that if parties have </w:t>
      </w:r>
      <w:r w:rsidR="00C93D64" w:rsidRPr="00737AC9">
        <w:rPr>
          <w:rFonts w:ascii="Times New Roman" w:hAnsi="Times New Roman" w:cs="Times New Roman"/>
          <w:i/>
        </w:rPr>
        <w:t xml:space="preserve">not </w:t>
      </w:r>
      <w:r w:rsidR="00C93D64" w:rsidRPr="00737AC9">
        <w:rPr>
          <w:rFonts w:ascii="Times New Roman" w:hAnsi="Times New Roman" w:cs="Times New Roman"/>
        </w:rPr>
        <w:t>entered into a multiple parent agreement, a donor is not a legal parent.</w:t>
      </w:r>
    </w:p>
    <w:p w:rsidR="00366F3F" w:rsidRPr="00737AC9" w:rsidRDefault="00366F3F" w:rsidP="00CF6D81">
      <w:pPr>
        <w:spacing w:before="120" w:after="120"/>
        <w:rPr>
          <w:rFonts w:ascii="Times New Roman" w:hAnsi="Times New Roman" w:cs="Times New Roman"/>
        </w:rPr>
      </w:pPr>
    </w:p>
    <w:p w:rsidR="00366F3F" w:rsidRPr="00737AC9" w:rsidRDefault="00366F3F" w:rsidP="00CF6D81">
      <w:pPr>
        <w:spacing w:before="120" w:after="120"/>
        <w:rPr>
          <w:rFonts w:ascii="Times New Roman" w:hAnsi="Times New Roman" w:cs="Times New Roman"/>
          <w:b/>
        </w:rPr>
      </w:pPr>
      <w:r w:rsidRPr="00737AC9">
        <w:rPr>
          <w:rFonts w:ascii="Times New Roman" w:hAnsi="Times New Roman" w:cs="Times New Roman"/>
          <w:b/>
        </w:rPr>
        <w:t>2. The Family Court’s welfare power and intersex children</w:t>
      </w:r>
    </w:p>
    <w:p w:rsidR="005026A8" w:rsidRPr="00737AC9" w:rsidRDefault="000F1D92" w:rsidP="00737AC9">
      <w:pPr>
        <w:spacing w:before="120" w:after="120"/>
        <w:rPr>
          <w:rFonts w:ascii="Times New Roman" w:hAnsi="Times New Roman" w:cs="Times New Roman"/>
        </w:rPr>
      </w:pPr>
      <w:r w:rsidRPr="00737AC9">
        <w:rPr>
          <w:rFonts w:ascii="Times New Roman" w:hAnsi="Times New Roman" w:cs="Times New Roman"/>
        </w:rPr>
        <w:t xml:space="preserve">The recent </w:t>
      </w:r>
      <w:r w:rsidR="003E4E1C" w:rsidRPr="00737AC9">
        <w:rPr>
          <w:rFonts w:ascii="Times New Roman" w:hAnsi="Times New Roman" w:cs="Times New Roman"/>
        </w:rPr>
        <w:t>Family</w:t>
      </w:r>
      <w:r w:rsidRPr="00737AC9">
        <w:rPr>
          <w:rFonts w:ascii="Times New Roman" w:hAnsi="Times New Roman" w:cs="Times New Roman"/>
        </w:rPr>
        <w:t xml:space="preserve"> Court decision of </w:t>
      </w:r>
      <w:r w:rsidRPr="00737AC9">
        <w:rPr>
          <w:rFonts w:ascii="Times New Roman" w:hAnsi="Times New Roman" w:cs="Times New Roman"/>
          <w:i/>
        </w:rPr>
        <w:t>Re Carla</w:t>
      </w:r>
      <w:r w:rsidR="005026A8" w:rsidRPr="00737AC9">
        <w:rPr>
          <w:rStyle w:val="FootnoteReference"/>
          <w:rFonts w:ascii="Times New Roman" w:hAnsi="Times New Roman" w:cs="Times New Roman"/>
          <w:i/>
        </w:rPr>
        <w:footnoteReference w:id="17"/>
      </w:r>
      <w:r w:rsidRPr="00737AC9">
        <w:rPr>
          <w:rFonts w:ascii="Times New Roman" w:hAnsi="Times New Roman" w:cs="Times New Roman"/>
          <w:i/>
        </w:rPr>
        <w:t xml:space="preserve"> </w:t>
      </w:r>
      <w:r w:rsidRPr="00737AC9">
        <w:rPr>
          <w:rFonts w:ascii="Times New Roman" w:hAnsi="Times New Roman" w:cs="Times New Roman"/>
        </w:rPr>
        <w:t>held that it was not necessary for the parents of</w:t>
      </w:r>
      <w:r w:rsidR="003E4E1C" w:rsidRPr="00737AC9">
        <w:rPr>
          <w:rFonts w:ascii="Times New Roman" w:hAnsi="Times New Roman" w:cs="Times New Roman"/>
        </w:rPr>
        <w:t xml:space="preserve"> an intersex child</w:t>
      </w:r>
      <w:r w:rsidRPr="00737AC9">
        <w:rPr>
          <w:rFonts w:ascii="Times New Roman" w:hAnsi="Times New Roman" w:cs="Times New Roman"/>
        </w:rPr>
        <w:t xml:space="preserve"> to secure Family Court approval p</w:t>
      </w:r>
      <w:r w:rsidR="003E4E1C" w:rsidRPr="00737AC9">
        <w:rPr>
          <w:rFonts w:ascii="Times New Roman" w:hAnsi="Times New Roman" w:cs="Times New Roman"/>
        </w:rPr>
        <w:t>rior to conducting life-altering genital surgery</w:t>
      </w:r>
      <w:r w:rsidRPr="00737AC9">
        <w:rPr>
          <w:rFonts w:ascii="Times New Roman" w:hAnsi="Times New Roman" w:cs="Times New Roman"/>
        </w:rPr>
        <w:t>.</w:t>
      </w:r>
      <w:r w:rsidR="00BE4EED" w:rsidRPr="00737AC9">
        <w:rPr>
          <w:rStyle w:val="FootnoteReference"/>
          <w:rFonts w:ascii="Times New Roman" w:hAnsi="Times New Roman" w:cs="Times New Roman"/>
        </w:rPr>
        <w:footnoteReference w:id="18"/>
      </w:r>
      <w:r w:rsidRPr="00737AC9">
        <w:rPr>
          <w:rFonts w:ascii="Times New Roman" w:hAnsi="Times New Roman" w:cs="Times New Roman"/>
        </w:rPr>
        <w:t xml:space="preserve"> </w:t>
      </w:r>
      <w:r w:rsidR="005026A8" w:rsidRPr="00737AC9">
        <w:rPr>
          <w:rFonts w:ascii="Times New Roman" w:hAnsi="Times New Roman" w:cs="Times New Roman"/>
        </w:rPr>
        <w:t xml:space="preserve">In </w:t>
      </w:r>
      <w:r w:rsidR="005026A8" w:rsidRPr="00737AC9">
        <w:rPr>
          <w:rFonts w:ascii="Times New Roman" w:hAnsi="Times New Roman" w:cs="Times New Roman"/>
          <w:i/>
        </w:rPr>
        <w:t>Re Carla,</w:t>
      </w:r>
      <w:r w:rsidR="005026A8" w:rsidRPr="00737AC9">
        <w:rPr>
          <w:rFonts w:ascii="Times New Roman" w:hAnsi="Times New Roman" w:cs="Times New Roman"/>
        </w:rPr>
        <w:t xml:space="preserve"> the parents of a five-year-old intersex child brought an application to the Family Court requesting that the Court authorise them to consent to surgery to remove their child’s gonads, as well as “any further or necessary and consequential procedures to give effect to her treatment” as recommended by her medical team. </w:t>
      </w:r>
      <w:r w:rsidR="00BE4EED" w:rsidRPr="00737AC9">
        <w:rPr>
          <w:rFonts w:ascii="Times New Roman" w:hAnsi="Times New Roman" w:cs="Times New Roman"/>
        </w:rPr>
        <w:t>Carla had already undergone genital surgery without Family Court approval when she was four to “feminise [her] external appearance”.</w:t>
      </w:r>
      <w:r w:rsidR="00BE4EED" w:rsidRPr="00737AC9">
        <w:rPr>
          <w:rStyle w:val="FootnoteReference"/>
          <w:rFonts w:ascii="Times New Roman" w:hAnsi="Times New Roman" w:cs="Times New Roman"/>
        </w:rPr>
        <w:footnoteReference w:id="19"/>
      </w:r>
      <w:r w:rsidR="00BE4EED" w:rsidRPr="00737AC9">
        <w:rPr>
          <w:rFonts w:ascii="Times New Roman" w:hAnsi="Times New Roman" w:cs="Times New Roman"/>
        </w:rPr>
        <w:t xml:space="preserve"> </w:t>
      </w:r>
      <w:r w:rsidR="005026A8" w:rsidRPr="00737AC9">
        <w:rPr>
          <w:rFonts w:ascii="Times New Roman" w:hAnsi="Times New Roman" w:cs="Times New Roman"/>
        </w:rPr>
        <w:t xml:space="preserve">The parents also asked the Court to determine whether it was necessary for them to have applied for Court authorisation before the surgery could be performed. Forrest J held that the surgery, which would render </w:t>
      </w:r>
      <w:r w:rsidR="00B74836" w:rsidRPr="00737AC9">
        <w:rPr>
          <w:rFonts w:ascii="Times New Roman" w:hAnsi="Times New Roman" w:cs="Times New Roman"/>
        </w:rPr>
        <w:t>Carla</w:t>
      </w:r>
      <w:r w:rsidR="005026A8" w:rsidRPr="00737AC9">
        <w:rPr>
          <w:rFonts w:ascii="Times New Roman" w:hAnsi="Times New Roman" w:cs="Times New Roman"/>
        </w:rPr>
        <w:t xml:space="preserve"> infertile, was in her best interests. It was </w:t>
      </w:r>
      <w:r w:rsidR="000C26A5">
        <w:rPr>
          <w:rFonts w:ascii="Times New Roman" w:hAnsi="Times New Roman" w:cs="Times New Roman"/>
        </w:rPr>
        <w:t xml:space="preserve">also </w:t>
      </w:r>
      <w:r w:rsidR="005026A8" w:rsidRPr="00737AC9">
        <w:rPr>
          <w:rFonts w:ascii="Times New Roman" w:hAnsi="Times New Roman" w:cs="Times New Roman"/>
        </w:rPr>
        <w:t xml:space="preserve">Forrest J’s view that it was in Carla’s best interests that this irreversible, life-altering surgery be performed </w:t>
      </w:r>
      <w:r w:rsidR="00737AC9">
        <w:rPr>
          <w:rFonts w:ascii="Times New Roman" w:hAnsi="Times New Roman" w:cs="Times New Roman"/>
        </w:rPr>
        <w:t>“</w:t>
      </w:r>
      <w:r w:rsidR="005026A8" w:rsidRPr="00737AC9">
        <w:rPr>
          <w:rFonts w:ascii="Times New Roman" w:hAnsi="Times New Roman" w:cs="Times New Roman"/>
        </w:rPr>
        <w:t>before she is able to understand the nature of the procedure</w:t>
      </w:r>
      <w:r w:rsidR="00737AC9">
        <w:rPr>
          <w:rFonts w:ascii="Times New Roman" w:hAnsi="Times New Roman" w:cs="Times New Roman"/>
        </w:rPr>
        <w:t>”</w:t>
      </w:r>
      <w:r w:rsidR="005026A8" w:rsidRPr="00737AC9">
        <w:rPr>
          <w:rFonts w:ascii="Times New Roman" w:hAnsi="Times New Roman" w:cs="Times New Roman"/>
        </w:rPr>
        <w:t>.</w:t>
      </w:r>
      <w:r w:rsidR="005026A8" w:rsidRPr="00737AC9">
        <w:rPr>
          <w:rStyle w:val="FootnoteReference"/>
          <w:rFonts w:ascii="Times New Roman" w:hAnsi="Times New Roman" w:cs="Times New Roman"/>
        </w:rPr>
        <w:footnoteReference w:id="20"/>
      </w:r>
      <w:r w:rsidR="005026A8" w:rsidRPr="00737AC9">
        <w:rPr>
          <w:rFonts w:ascii="Times New Roman" w:hAnsi="Times New Roman" w:cs="Times New Roman"/>
        </w:rPr>
        <w:t xml:space="preserve"> </w:t>
      </w:r>
      <w:r w:rsidR="000C26A5">
        <w:rPr>
          <w:rFonts w:ascii="Times New Roman" w:hAnsi="Times New Roman" w:cs="Times New Roman"/>
        </w:rPr>
        <w:t xml:space="preserve">Finally, Forrest J </w:t>
      </w:r>
      <w:r w:rsidR="005026A8" w:rsidRPr="00737AC9">
        <w:rPr>
          <w:rFonts w:ascii="Times New Roman" w:hAnsi="Times New Roman" w:cs="Times New Roman"/>
        </w:rPr>
        <w:t xml:space="preserve">held that the Court’s approval was </w:t>
      </w:r>
      <w:r w:rsidR="005026A8" w:rsidRPr="00737AC9">
        <w:rPr>
          <w:rFonts w:ascii="Times New Roman" w:hAnsi="Times New Roman" w:cs="Times New Roman"/>
          <w:i/>
        </w:rPr>
        <w:t xml:space="preserve">not </w:t>
      </w:r>
      <w:r w:rsidR="005026A8" w:rsidRPr="00737AC9">
        <w:rPr>
          <w:rFonts w:ascii="Times New Roman" w:hAnsi="Times New Roman" w:cs="Times New Roman"/>
        </w:rPr>
        <w:t xml:space="preserve">required to authorise doctors to perform the gonadectomy on the basis that the treatment was medically necessary and thus therapeutic. </w:t>
      </w:r>
      <w:r w:rsidR="00B74836" w:rsidRPr="00737AC9">
        <w:rPr>
          <w:rFonts w:ascii="Times New Roman" w:hAnsi="Times New Roman" w:cs="Times New Roman"/>
        </w:rPr>
        <w:t xml:space="preserve">This conclusion is in stark contrast to all recent </w:t>
      </w:r>
      <w:r w:rsidR="000C26A5">
        <w:rPr>
          <w:rFonts w:ascii="Times New Roman" w:hAnsi="Times New Roman" w:cs="Times New Roman"/>
        </w:rPr>
        <w:t>statements</w:t>
      </w:r>
      <w:r w:rsidR="00B74836" w:rsidRPr="00737AC9">
        <w:rPr>
          <w:rFonts w:ascii="Times New Roman" w:hAnsi="Times New Roman" w:cs="Times New Roman"/>
        </w:rPr>
        <w:t xml:space="preserve"> on the issue</w:t>
      </w:r>
      <w:r w:rsidR="006C2881">
        <w:rPr>
          <w:rFonts w:ascii="Times New Roman" w:hAnsi="Times New Roman" w:cs="Times New Roman"/>
        </w:rPr>
        <w:t xml:space="preserve">, whether from the Australian Senate, the United Nations, or </w:t>
      </w:r>
      <w:r w:rsidR="007A5178">
        <w:rPr>
          <w:rFonts w:ascii="Times New Roman" w:hAnsi="Times New Roman" w:cs="Times New Roman"/>
        </w:rPr>
        <w:t>Human Rights Watch</w:t>
      </w:r>
    </w:p>
    <w:p w:rsidR="005026A8" w:rsidRPr="00737AC9" w:rsidRDefault="005026A8" w:rsidP="00737AC9">
      <w:pPr>
        <w:spacing w:before="120" w:after="120"/>
        <w:rPr>
          <w:rFonts w:ascii="Times New Roman" w:hAnsi="Times New Roman" w:cs="Times New Roman"/>
        </w:rPr>
      </w:pPr>
      <w:r w:rsidRPr="00737AC9">
        <w:rPr>
          <w:rFonts w:ascii="Times New Roman" w:hAnsi="Times New Roman" w:cs="Times New Roman"/>
        </w:rPr>
        <w:t>In its 2013 report on involuntary or coerced sterilisation of intersex people, the Austra</w:t>
      </w:r>
      <w:r w:rsidR="00737AC9">
        <w:rPr>
          <w:rFonts w:ascii="Times New Roman" w:hAnsi="Times New Roman" w:cs="Times New Roman"/>
        </w:rPr>
        <w:t>lian Senate concluded that “</w:t>
      </w:r>
      <w:r w:rsidRPr="00737AC9">
        <w:rPr>
          <w:rFonts w:ascii="Times New Roman" w:hAnsi="Times New Roman" w:cs="Times New Roman"/>
        </w:rPr>
        <w:t>in light of the complex and contentious nature of the medic</w:t>
      </w:r>
      <w:r w:rsidR="00737AC9">
        <w:rPr>
          <w:rFonts w:ascii="Times New Roman" w:hAnsi="Times New Roman" w:cs="Times New Roman"/>
        </w:rPr>
        <w:t>al treatment of intersex people”</w:t>
      </w:r>
      <w:r w:rsidRPr="00737AC9">
        <w:rPr>
          <w:rFonts w:ascii="Times New Roman" w:hAnsi="Times New Roman" w:cs="Times New Roman"/>
        </w:rPr>
        <w:t>, oversight of medical-decision making is required for those who are too young to provide informed consent.</w:t>
      </w:r>
      <w:r w:rsidRPr="00737AC9">
        <w:rPr>
          <w:rStyle w:val="FootnoteReference"/>
          <w:rFonts w:ascii="Times New Roman" w:hAnsi="Times New Roman" w:cs="Times New Roman"/>
        </w:rPr>
        <w:footnoteReference w:id="21"/>
      </w:r>
      <w:r w:rsidRPr="00737AC9">
        <w:rPr>
          <w:rFonts w:ascii="Times New Roman" w:hAnsi="Times New Roman" w:cs="Times New Roman"/>
        </w:rPr>
        <w:t xml:space="preserve"> It was recommended that all proposed medical interventions for intersex children require authorisation from either a state civil or administrative tribunal or the Family Court of Australia.</w:t>
      </w:r>
      <w:r w:rsidRPr="00737AC9">
        <w:rPr>
          <w:rStyle w:val="FootnoteReference"/>
          <w:rFonts w:ascii="Times New Roman" w:hAnsi="Times New Roman" w:cs="Times New Roman"/>
        </w:rPr>
        <w:footnoteReference w:id="22"/>
      </w:r>
      <w:r w:rsidRPr="00737AC9">
        <w:rPr>
          <w:rFonts w:ascii="Times New Roman" w:hAnsi="Times New Roman" w:cs="Times New Roman"/>
        </w:rPr>
        <w:t xml:space="preserve"> It was further r</w:t>
      </w:r>
      <w:r w:rsidR="00737AC9">
        <w:rPr>
          <w:rFonts w:ascii="Times New Roman" w:hAnsi="Times New Roman" w:cs="Times New Roman"/>
        </w:rPr>
        <w:t>ecommended that “normalising treatment”</w:t>
      </w:r>
      <w:r w:rsidRPr="00737AC9">
        <w:rPr>
          <w:rFonts w:ascii="Times New Roman" w:hAnsi="Times New Roman" w:cs="Times New Roman"/>
        </w:rPr>
        <w:t xml:space="preserve"> – that is, non-medically necessary su</w:t>
      </w:r>
      <w:r w:rsidR="00737AC9">
        <w:rPr>
          <w:rFonts w:ascii="Times New Roman" w:hAnsi="Times New Roman" w:cs="Times New Roman"/>
        </w:rPr>
        <w:t>rgeries that are designed to “enhance”</w:t>
      </w:r>
      <w:r w:rsidRPr="00737AC9">
        <w:rPr>
          <w:rFonts w:ascii="Times New Roman" w:hAnsi="Times New Roman" w:cs="Times New Roman"/>
        </w:rPr>
        <w:t xml:space="preserve"> the visual presentation of a child’s genitalia – be defe</w:t>
      </w:r>
      <w:r w:rsidR="00737AC9">
        <w:rPr>
          <w:rFonts w:ascii="Times New Roman" w:hAnsi="Times New Roman" w:cs="Times New Roman"/>
        </w:rPr>
        <w:t>rred until the child can give “fully informed consent”</w:t>
      </w:r>
      <w:r w:rsidRPr="00737AC9">
        <w:rPr>
          <w:rFonts w:ascii="Times New Roman" w:hAnsi="Times New Roman" w:cs="Times New Roman"/>
        </w:rPr>
        <w:t>.</w:t>
      </w:r>
      <w:r w:rsidRPr="00737AC9">
        <w:rPr>
          <w:rStyle w:val="FootnoteReference"/>
          <w:rFonts w:ascii="Times New Roman" w:hAnsi="Times New Roman" w:cs="Times New Roman"/>
        </w:rPr>
        <w:footnoteReference w:id="23"/>
      </w:r>
      <w:r w:rsidRPr="00737AC9">
        <w:rPr>
          <w:rFonts w:ascii="Times New Roman" w:hAnsi="Times New Roman" w:cs="Times New Roman"/>
        </w:rPr>
        <w:t xml:space="preserve"> The Senate’s recommendations are consonant with a recent joint statement of four United Nations Commit</w:t>
      </w:r>
      <w:r w:rsidR="00737AC9">
        <w:rPr>
          <w:rFonts w:ascii="Times New Roman" w:hAnsi="Times New Roman" w:cs="Times New Roman"/>
        </w:rPr>
        <w:t>tees, which recommended that “</w:t>
      </w:r>
      <w:r w:rsidRPr="00737AC9">
        <w:rPr>
          <w:rFonts w:ascii="Times New Roman" w:hAnsi="Times New Roman" w:cs="Times New Roman"/>
        </w:rPr>
        <w:t>States must, as a matter of urgency, prohibit medically unnecessary surgery and procedures on intersex children.</w:t>
      </w:r>
      <w:r w:rsidR="00737AC9">
        <w:rPr>
          <w:rFonts w:ascii="Times New Roman" w:hAnsi="Times New Roman" w:cs="Times New Roman"/>
        </w:rPr>
        <w:t>”</w:t>
      </w:r>
      <w:r w:rsidRPr="00737AC9">
        <w:rPr>
          <w:rStyle w:val="FootnoteReference"/>
          <w:rFonts w:ascii="Times New Roman" w:hAnsi="Times New Roman" w:cs="Times New Roman"/>
        </w:rPr>
        <w:footnoteReference w:id="24"/>
      </w:r>
      <w:r w:rsidRPr="00737AC9">
        <w:rPr>
          <w:rFonts w:ascii="Times New Roman" w:hAnsi="Times New Roman" w:cs="Times New Roman"/>
        </w:rPr>
        <w:t xml:space="preserve"> </w:t>
      </w:r>
    </w:p>
    <w:p w:rsidR="00BE4EED" w:rsidRDefault="005026A8" w:rsidP="00737AC9">
      <w:pPr>
        <w:spacing w:before="120" w:after="120"/>
        <w:rPr>
          <w:rFonts w:ascii="Times New Roman" w:hAnsi="Times New Roman" w:cs="Times New Roman"/>
        </w:rPr>
      </w:pPr>
      <w:r w:rsidRPr="00737AC9">
        <w:rPr>
          <w:rFonts w:ascii="Times New Roman" w:hAnsi="Times New Roman" w:cs="Times New Roman"/>
        </w:rPr>
        <w:t xml:space="preserve">It is recommended that the ALRC </w:t>
      </w:r>
      <w:r w:rsidR="00BE4EED" w:rsidRPr="00737AC9">
        <w:rPr>
          <w:rFonts w:ascii="Times New Roman" w:hAnsi="Times New Roman" w:cs="Times New Roman"/>
        </w:rPr>
        <w:t xml:space="preserve">consider how the welfare power operates in relation to intersex children. </w:t>
      </w:r>
      <w:r w:rsidR="00737AC9">
        <w:rPr>
          <w:rFonts w:ascii="Times New Roman" w:hAnsi="Times New Roman" w:cs="Times New Roman"/>
        </w:rPr>
        <w:t>In particular, it is recommended that all proposed medical interventions on intersex children be treated as “special medical procedures” requiring court authorisation.</w:t>
      </w:r>
      <w:r w:rsidR="00D5150F">
        <w:rPr>
          <w:rFonts w:ascii="Times New Roman" w:hAnsi="Times New Roman" w:cs="Times New Roman"/>
        </w:rPr>
        <w:t xml:space="preserve"> This is because much of the treatment is not therapeutic, there is a high chance of the decision being incorrect (both in terms of the chosen gender of the child and whether the child would choose to have the surgery </w:t>
      </w:r>
      <w:r w:rsidR="007A5178">
        <w:rPr>
          <w:rFonts w:ascii="Times New Roman" w:hAnsi="Times New Roman" w:cs="Times New Roman"/>
        </w:rPr>
        <w:t>once</w:t>
      </w:r>
      <w:r w:rsidR="00D5150F">
        <w:rPr>
          <w:rFonts w:ascii="Times New Roman" w:hAnsi="Times New Roman" w:cs="Times New Roman"/>
        </w:rPr>
        <w:t xml:space="preserve"> they were old enough to consent), the consequences of an incorrect decision are grave, and because there is a </w:t>
      </w:r>
      <w:r w:rsidR="007A5178">
        <w:rPr>
          <w:rFonts w:ascii="Times New Roman" w:hAnsi="Times New Roman" w:cs="Times New Roman"/>
        </w:rPr>
        <w:t xml:space="preserve">significant </w:t>
      </w:r>
      <w:r w:rsidR="00D5150F">
        <w:rPr>
          <w:rFonts w:ascii="Times New Roman" w:hAnsi="Times New Roman" w:cs="Times New Roman"/>
        </w:rPr>
        <w:t xml:space="preserve">chance </w:t>
      </w:r>
      <w:r w:rsidR="007A5178">
        <w:rPr>
          <w:rFonts w:ascii="Times New Roman" w:hAnsi="Times New Roman" w:cs="Times New Roman"/>
        </w:rPr>
        <w:t>that the</w:t>
      </w:r>
      <w:r w:rsidR="00D5150F">
        <w:rPr>
          <w:rFonts w:ascii="Times New Roman" w:hAnsi="Times New Roman" w:cs="Times New Roman"/>
        </w:rPr>
        <w:t xml:space="preserve"> interests of the child </w:t>
      </w:r>
      <w:r w:rsidR="007A5178">
        <w:rPr>
          <w:rFonts w:ascii="Times New Roman" w:hAnsi="Times New Roman" w:cs="Times New Roman"/>
        </w:rPr>
        <w:t xml:space="preserve">may be in </w:t>
      </w:r>
      <w:r w:rsidR="00D5150F">
        <w:rPr>
          <w:rFonts w:ascii="Times New Roman" w:hAnsi="Times New Roman" w:cs="Times New Roman"/>
        </w:rPr>
        <w:t xml:space="preserve"> conflict with those of his or her parents. </w:t>
      </w:r>
    </w:p>
    <w:p w:rsidR="00F97481" w:rsidRPr="00737AC9" w:rsidRDefault="00737AC9" w:rsidP="009375E1">
      <w:pPr>
        <w:spacing w:before="120" w:after="120"/>
        <w:rPr>
          <w:rFonts w:ascii="Times New Roman" w:hAnsi="Times New Roman" w:cs="Times New Roman"/>
        </w:rPr>
      </w:pPr>
      <w:r>
        <w:rPr>
          <w:rFonts w:ascii="Times New Roman" w:hAnsi="Times New Roman" w:cs="Times New Roman"/>
        </w:rPr>
        <w:t xml:space="preserve">By way of clarification, court authorisation </w:t>
      </w:r>
      <w:r w:rsidRPr="00737AC9">
        <w:rPr>
          <w:rFonts w:ascii="Times New Roman" w:hAnsi="Times New Roman" w:cs="Times New Roman"/>
          <w:b/>
          <w:i/>
        </w:rPr>
        <w:t>should not</w:t>
      </w:r>
      <w:r>
        <w:rPr>
          <w:rFonts w:ascii="Times New Roman" w:hAnsi="Times New Roman" w:cs="Times New Roman"/>
        </w:rPr>
        <w:t xml:space="preserve"> be necessary for transgender children seeking access t</w:t>
      </w:r>
      <w:r w:rsidR="00D5150F">
        <w:rPr>
          <w:rFonts w:ascii="Times New Roman" w:hAnsi="Times New Roman" w:cs="Times New Roman"/>
        </w:rPr>
        <w:t>o medical treatment. H</w:t>
      </w:r>
      <w:r>
        <w:rPr>
          <w:rFonts w:ascii="Times New Roman" w:hAnsi="Times New Roman" w:cs="Times New Roman"/>
        </w:rPr>
        <w:t xml:space="preserve">ormone treatment for transgender children is therapeutic </w:t>
      </w:r>
      <w:r w:rsidR="00D5150F">
        <w:rPr>
          <w:rFonts w:ascii="Times New Roman" w:hAnsi="Times New Roman" w:cs="Times New Roman"/>
        </w:rPr>
        <w:t>and part of internationally recognized treatment protocols. It is therefore not</w:t>
      </w:r>
      <w:r>
        <w:rPr>
          <w:rFonts w:ascii="Times New Roman" w:hAnsi="Times New Roman" w:cs="Times New Roman"/>
        </w:rPr>
        <w:t xml:space="preserve"> a special medical procedure.</w:t>
      </w:r>
      <w:r w:rsidR="00D5150F">
        <w:rPr>
          <w:rFonts w:ascii="Times New Roman" w:hAnsi="Times New Roman" w:cs="Times New Roman"/>
        </w:rPr>
        <w:t xml:space="preserve"> </w:t>
      </w:r>
    </w:p>
    <w:p w:rsidR="009375E1" w:rsidRPr="00737AC9" w:rsidRDefault="009375E1" w:rsidP="009375E1">
      <w:pPr>
        <w:rPr>
          <w:rFonts w:ascii="Times New Roman" w:hAnsi="Times New Roman" w:cs="Times New Roman"/>
        </w:rPr>
      </w:pPr>
    </w:p>
    <w:p w:rsidR="00F97481" w:rsidRPr="00737AC9" w:rsidRDefault="00F97481" w:rsidP="009375E1">
      <w:pPr>
        <w:rPr>
          <w:rFonts w:ascii="Times New Roman" w:hAnsi="Times New Roman" w:cs="Times New Roman"/>
        </w:rPr>
      </w:pPr>
      <w:r w:rsidRPr="00737AC9">
        <w:rPr>
          <w:rFonts w:ascii="Times New Roman" w:hAnsi="Times New Roman" w:cs="Times New Roman"/>
        </w:rPr>
        <w:t>Dr Fiona Kelly</w:t>
      </w:r>
    </w:p>
    <w:p w:rsidR="00F97481" w:rsidRPr="00737AC9" w:rsidRDefault="00F97481" w:rsidP="009375E1">
      <w:pPr>
        <w:rPr>
          <w:rFonts w:ascii="Times New Roman" w:hAnsi="Times New Roman" w:cs="Times New Roman"/>
        </w:rPr>
      </w:pPr>
      <w:r w:rsidRPr="00737AC9">
        <w:rPr>
          <w:rFonts w:ascii="Times New Roman" w:hAnsi="Times New Roman" w:cs="Times New Roman"/>
        </w:rPr>
        <w:t>Associate Professor</w:t>
      </w:r>
    </w:p>
    <w:p w:rsidR="00F97481" w:rsidRPr="00737AC9" w:rsidRDefault="00F97481" w:rsidP="009375E1">
      <w:pPr>
        <w:rPr>
          <w:rFonts w:ascii="Times New Roman" w:hAnsi="Times New Roman" w:cs="Times New Roman"/>
        </w:rPr>
      </w:pPr>
      <w:r w:rsidRPr="00737AC9">
        <w:rPr>
          <w:rFonts w:ascii="Times New Roman" w:hAnsi="Times New Roman" w:cs="Times New Roman"/>
        </w:rPr>
        <w:t>Law School</w:t>
      </w:r>
    </w:p>
    <w:p w:rsidR="00F97481" w:rsidRPr="00737AC9" w:rsidRDefault="00F97481" w:rsidP="009375E1">
      <w:pPr>
        <w:rPr>
          <w:rFonts w:ascii="Times New Roman" w:hAnsi="Times New Roman" w:cs="Times New Roman"/>
        </w:rPr>
      </w:pPr>
      <w:r w:rsidRPr="00737AC9">
        <w:rPr>
          <w:rFonts w:ascii="Times New Roman" w:hAnsi="Times New Roman" w:cs="Times New Roman"/>
        </w:rPr>
        <w:t>La Trobe University</w:t>
      </w:r>
    </w:p>
    <w:p w:rsidR="00F97481" w:rsidRPr="00737AC9" w:rsidRDefault="00F97481" w:rsidP="009375E1">
      <w:pPr>
        <w:rPr>
          <w:rFonts w:ascii="Times New Roman" w:hAnsi="Times New Roman" w:cs="Times New Roman"/>
        </w:rPr>
      </w:pPr>
      <w:r w:rsidRPr="00737AC9">
        <w:rPr>
          <w:rFonts w:ascii="Times New Roman" w:hAnsi="Times New Roman" w:cs="Times New Roman"/>
        </w:rPr>
        <w:t>Melbourne</w:t>
      </w:r>
      <w:bookmarkStart w:id="0" w:name="_GoBack"/>
      <w:bookmarkEnd w:id="0"/>
    </w:p>
    <w:p w:rsidR="00F97481" w:rsidRPr="00737AC9" w:rsidRDefault="00F97481" w:rsidP="009375E1">
      <w:pPr>
        <w:rPr>
          <w:rFonts w:ascii="Times New Roman" w:hAnsi="Times New Roman" w:cs="Times New Roman"/>
        </w:rPr>
      </w:pPr>
      <w:r w:rsidRPr="00737AC9">
        <w:rPr>
          <w:rFonts w:ascii="Times New Roman" w:hAnsi="Times New Roman" w:cs="Times New Roman"/>
        </w:rPr>
        <w:t xml:space="preserve">E: </w:t>
      </w:r>
      <w:hyperlink r:id="rId7" w:history="1">
        <w:r w:rsidRPr="00737AC9">
          <w:rPr>
            <w:rStyle w:val="Hyperlink"/>
            <w:rFonts w:ascii="Times New Roman" w:hAnsi="Times New Roman" w:cs="Times New Roman"/>
          </w:rPr>
          <w:t>f.kelly@latrobe.edu.au</w:t>
        </w:r>
      </w:hyperlink>
    </w:p>
    <w:p w:rsidR="00F97481" w:rsidRPr="00737AC9" w:rsidRDefault="00F97481" w:rsidP="009375E1">
      <w:pPr>
        <w:rPr>
          <w:rFonts w:ascii="Times New Roman" w:hAnsi="Times New Roman" w:cs="Times New Roman"/>
        </w:rPr>
      </w:pPr>
      <w:r w:rsidRPr="00737AC9">
        <w:rPr>
          <w:rFonts w:ascii="Times New Roman" w:hAnsi="Times New Roman" w:cs="Times New Roman"/>
        </w:rPr>
        <w:t>Ph: (03) 9479 6404</w:t>
      </w:r>
    </w:p>
    <w:sectPr w:rsidR="00F97481" w:rsidRPr="00737AC9" w:rsidSect="00F804D7">
      <w:footerReference w:type="even"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6A5" w:rsidRDefault="000C26A5" w:rsidP="0078418D">
      <w:r>
        <w:separator/>
      </w:r>
    </w:p>
  </w:endnote>
  <w:endnote w:type="continuationSeparator" w:id="0">
    <w:p w:rsidR="000C26A5" w:rsidRDefault="000C26A5" w:rsidP="007841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6A5" w:rsidRDefault="009B1FB9" w:rsidP="00B36A59">
    <w:pPr>
      <w:pStyle w:val="Footer"/>
      <w:framePr w:wrap="around" w:vAnchor="text" w:hAnchor="margin" w:xAlign="right" w:y="1"/>
      <w:rPr>
        <w:rStyle w:val="PageNumber"/>
      </w:rPr>
    </w:pPr>
    <w:r>
      <w:rPr>
        <w:rStyle w:val="PageNumber"/>
      </w:rPr>
      <w:fldChar w:fldCharType="begin"/>
    </w:r>
    <w:r w:rsidR="000C26A5">
      <w:rPr>
        <w:rStyle w:val="PageNumber"/>
      </w:rPr>
      <w:instrText xml:space="preserve">PAGE  </w:instrText>
    </w:r>
    <w:r>
      <w:rPr>
        <w:rStyle w:val="PageNumber"/>
      </w:rPr>
      <w:fldChar w:fldCharType="end"/>
    </w:r>
  </w:p>
  <w:p w:rsidR="000C26A5" w:rsidRDefault="000C26A5" w:rsidP="00B36A5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6A5" w:rsidRDefault="009B1FB9" w:rsidP="00B36A59">
    <w:pPr>
      <w:pStyle w:val="Footer"/>
      <w:framePr w:wrap="around" w:vAnchor="text" w:hAnchor="margin" w:xAlign="right" w:y="1"/>
      <w:rPr>
        <w:rStyle w:val="PageNumber"/>
      </w:rPr>
    </w:pPr>
    <w:r>
      <w:rPr>
        <w:rStyle w:val="PageNumber"/>
      </w:rPr>
      <w:fldChar w:fldCharType="begin"/>
    </w:r>
    <w:r w:rsidR="000C26A5">
      <w:rPr>
        <w:rStyle w:val="PageNumber"/>
      </w:rPr>
      <w:instrText xml:space="preserve">PAGE  </w:instrText>
    </w:r>
    <w:r>
      <w:rPr>
        <w:rStyle w:val="PageNumber"/>
      </w:rPr>
      <w:fldChar w:fldCharType="separate"/>
    </w:r>
    <w:r w:rsidR="000877F8">
      <w:rPr>
        <w:rStyle w:val="PageNumber"/>
        <w:noProof/>
      </w:rPr>
      <w:t>1</w:t>
    </w:r>
    <w:r>
      <w:rPr>
        <w:rStyle w:val="PageNumber"/>
      </w:rPr>
      <w:fldChar w:fldCharType="end"/>
    </w:r>
  </w:p>
  <w:p w:rsidR="000C26A5" w:rsidRDefault="000C26A5" w:rsidP="00B36A5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6A5" w:rsidRDefault="000C26A5" w:rsidP="0078418D">
      <w:r>
        <w:separator/>
      </w:r>
    </w:p>
  </w:footnote>
  <w:footnote w:type="continuationSeparator" w:id="0">
    <w:p w:rsidR="000C26A5" w:rsidRDefault="000C26A5" w:rsidP="0078418D">
      <w:r>
        <w:continuationSeparator/>
      </w:r>
    </w:p>
  </w:footnote>
  <w:footnote w:id="1">
    <w:p w:rsidR="000C26A5" w:rsidRPr="00C53BD2" w:rsidRDefault="000C26A5" w:rsidP="00C53BD2">
      <w:pPr>
        <w:rPr>
          <w:rFonts w:ascii="Times New Roman" w:eastAsia="Times New Roman" w:hAnsi="Times New Roman" w:cs="Times New Roman"/>
          <w:sz w:val="20"/>
          <w:szCs w:val="20"/>
          <w:lang w:val="en-CA"/>
        </w:rPr>
      </w:pPr>
      <w:r w:rsidRPr="00C53BD2">
        <w:rPr>
          <w:rStyle w:val="FootnoteReference"/>
          <w:rFonts w:ascii="Times New Roman" w:hAnsi="Times New Roman" w:cs="Times New Roman"/>
          <w:sz w:val="20"/>
          <w:szCs w:val="20"/>
        </w:rPr>
        <w:footnoteRef/>
      </w:r>
      <w:r w:rsidRPr="00C53BD2">
        <w:rPr>
          <w:rFonts w:ascii="Times New Roman" w:hAnsi="Times New Roman" w:cs="Times New Roman"/>
          <w:sz w:val="20"/>
          <w:szCs w:val="20"/>
        </w:rPr>
        <w:t xml:space="preserve"> </w:t>
      </w:r>
      <w:r w:rsidRPr="00C53BD2">
        <w:rPr>
          <w:rFonts w:ascii="Times New Roman" w:eastAsia="Times New Roman" w:hAnsi="Times New Roman" w:cs="Times New Roman"/>
          <w:sz w:val="20"/>
          <w:szCs w:val="20"/>
          <w:lang w:val="en-CA"/>
        </w:rPr>
        <w:t>Re Patrick [2002] FamCA 193.</w:t>
      </w:r>
    </w:p>
  </w:footnote>
  <w:footnote w:id="2">
    <w:p w:rsidR="000C26A5" w:rsidRPr="00C53BD2" w:rsidRDefault="000C26A5" w:rsidP="00C53BD2">
      <w:pPr>
        <w:rPr>
          <w:rFonts w:ascii="Times New Roman" w:eastAsia="Times New Roman" w:hAnsi="Times New Roman" w:cs="Times New Roman"/>
          <w:sz w:val="20"/>
          <w:szCs w:val="20"/>
          <w:lang w:val="en-CA"/>
        </w:rPr>
      </w:pPr>
      <w:r w:rsidRPr="00C53BD2">
        <w:rPr>
          <w:rStyle w:val="FootnoteReference"/>
          <w:rFonts w:ascii="Times New Roman" w:hAnsi="Times New Roman" w:cs="Times New Roman"/>
          <w:sz w:val="20"/>
          <w:szCs w:val="20"/>
        </w:rPr>
        <w:footnoteRef/>
      </w:r>
      <w:r w:rsidRPr="00C53BD2">
        <w:rPr>
          <w:rFonts w:ascii="Times New Roman" w:hAnsi="Times New Roman" w:cs="Times New Roman"/>
          <w:sz w:val="20"/>
          <w:szCs w:val="20"/>
        </w:rPr>
        <w:t xml:space="preserve"> </w:t>
      </w:r>
      <w:r w:rsidRPr="00C53BD2">
        <w:rPr>
          <w:rFonts w:ascii="Times New Roman" w:eastAsia="Times New Roman" w:hAnsi="Times New Roman" w:cs="Times New Roman"/>
          <w:sz w:val="20"/>
          <w:szCs w:val="20"/>
          <w:lang w:val="en-CA"/>
        </w:rPr>
        <w:t>Groth &amp; Banks [2013] FamCA 430; Re Mark [2003] FamCA 822.</w:t>
      </w:r>
    </w:p>
  </w:footnote>
  <w:footnote w:id="3">
    <w:p w:rsidR="000C26A5" w:rsidRPr="00C53BD2" w:rsidRDefault="000C26A5" w:rsidP="00C53BD2">
      <w:pPr>
        <w:pStyle w:val="FootnoteText"/>
        <w:rPr>
          <w:rFonts w:cs="Times New Roman"/>
          <w:lang w:val="en-US"/>
        </w:rPr>
      </w:pPr>
      <w:r w:rsidRPr="00C53BD2">
        <w:rPr>
          <w:rStyle w:val="FootnoteReference"/>
          <w:rFonts w:cs="Times New Roman"/>
        </w:rPr>
        <w:footnoteRef/>
      </w:r>
      <w:r w:rsidRPr="00C53BD2">
        <w:rPr>
          <w:rFonts w:cs="Times New Roman"/>
        </w:rPr>
        <w:t xml:space="preserve"> Family Law Council, Report on Parentage and the Family Law Act (2013) at 43.</w:t>
      </w:r>
    </w:p>
  </w:footnote>
  <w:footnote w:id="4">
    <w:p w:rsidR="000C26A5" w:rsidRPr="00825F12" w:rsidRDefault="000C26A5">
      <w:pPr>
        <w:pStyle w:val="FootnoteText"/>
        <w:rPr>
          <w:lang w:val="en-US"/>
        </w:rPr>
      </w:pPr>
      <w:r>
        <w:rPr>
          <w:rStyle w:val="FootnoteReference"/>
        </w:rPr>
        <w:footnoteRef/>
      </w:r>
      <w:r>
        <w:t xml:space="preserve"> </w:t>
      </w:r>
      <w:r>
        <w:rPr>
          <w:lang w:val="en-US"/>
        </w:rPr>
        <w:t>VARTA Annual report, 2017.</w:t>
      </w:r>
    </w:p>
  </w:footnote>
  <w:footnote w:id="5">
    <w:p w:rsidR="000C26A5" w:rsidRPr="00C53BD2" w:rsidRDefault="000C26A5" w:rsidP="00C53BD2">
      <w:pPr>
        <w:pStyle w:val="Heading1"/>
        <w:spacing w:before="0" w:beforeAutospacing="0" w:after="0" w:afterAutospacing="0"/>
        <w:rPr>
          <w:rFonts w:eastAsia="Times New Roman" w:cs="Times New Roman"/>
        </w:rPr>
      </w:pPr>
      <w:r w:rsidRPr="00C53BD2">
        <w:rPr>
          <w:rStyle w:val="FootnoteReference"/>
          <w:rFonts w:ascii="Times New Roman" w:hAnsi="Times New Roman" w:cs="Times New Roman"/>
          <w:b w:val="0"/>
          <w:sz w:val="20"/>
          <w:szCs w:val="20"/>
        </w:rPr>
        <w:footnoteRef/>
      </w:r>
      <w:r w:rsidRPr="00C53BD2">
        <w:rPr>
          <w:rFonts w:ascii="Times New Roman" w:hAnsi="Times New Roman" w:cs="Times New Roman"/>
          <w:b w:val="0"/>
          <w:sz w:val="20"/>
          <w:szCs w:val="20"/>
        </w:rPr>
        <w:t xml:space="preserve"> </w:t>
      </w:r>
      <w:r w:rsidRPr="00C53BD2">
        <w:rPr>
          <w:rFonts w:ascii="Times New Roman" w:eastAsia="Times New Roman" w:hAnsi="Times New Roman" w:cs="Times New Roman"/>
          <w:b w:val="0"/>
          <w:sz w:val="20"/>
          <w:szCs w:val="20"/>
        </w:rPr>
        <w:t>Groth &amp; Banks [2013] FamCA 430; Masson &amp; Parsons and Anor [2017] FamCA 789.</w:t>
      </w:r>
    </w:p>
  </w:footnote>
  <w:footnote w:id="6">
    <w:p w:rsidR="000C26A5" w:rsidRPr="00041B48" w:rsidRDefault="000C26A5">
      <w:pPr>
        <w:pStyle w:val="FootnoteText"/>
        <w:rPr>
          <w:lang w:val="en-US"/>
        </w:rPr>
      </w:pPr>
      <w:r>
        <w:rPr>
          <w:rStyle w:val="FootnoteReference"/>
        </w:rPr>
        <w:footnoteRef/>
      </w:r>
      <w:r>
        <w:t xml:space="preserve"> </w:t>
      </w:r>
      <w:r w:rsidRPr="00041B48">
        <w:rPr>
          <w:rFonts w:eastAsia="Times New Roman" w:cs="Times New Roman"/>
        </w:rPr>
        <w:t>Groth &amp; Banks [2013] FamCA 430 at 15.</w:t>
      </w:r>
    </w:p>
  </w:footnote>
  <w:footnote w:id="7">
    <w:p w:rsidR="000C26A5" w:rsidRPr="004B33CA" w:rsidRDefault="000C26A5" w:rsidP="00E403C0">
      <w:pPr>
        <w:pStyle w:val="FootnoteText"/>
        <w:jc w:val="left"/>
        <w:rPr>
          <w:lang w:val="en-US"/>
        </w:rPr>
      </w:pPr>
      <w:r>
        <w:rPr>
          <w:rStyle w:val="FootnoteReference"/>
        </w:rPr>
        <w:footnoteRef/>
      </w:r>
      <w:r>
        <w:t xml:space="preserve"> </w:t>
      </w:r>
      <w:r w:rsidRPr="00C53BD2">
        <w:rPr>
          <w:rFonts w:eastAsia="Times New Roman" w:cs="Times New Roman"/>
          <w:lang w:val="en-CA"/>
        </w:rPr>
        <w:t>Re Mark [2003] FamCA 822</w:t>
      </w:r>
      <w:r>
        <w:rPr>
          <w:rFonts w:eastAsia="Times New Roman" w:cs="Times New Roman"/>
          <w:lang w:val="en-CA"/>
        </w:rPr>
        <w:t xml:space="preserve"> at 81. Brown J stated, the expansive approach to s 60H </w:t>
      </w:r>
      <w:r>
        <w:rPr>
          <w:rFonts w:eastAsia="Times New Roman" w:cs="Times New Roman"/>
        </w:rPr>
        <w:t>“might lead to the imposition of responsibilities or entitlements on a class or classes of people who previously considered themselves immune”.</w:t>
      </w:r>
    </w:p>
  </w:footnote>
  <w:footnote w:id="8">
    <w:p w:rsidR="000C26A5" w:rsidRPr="00A77DD1" w:rsidRDefault="000C26A5">
      <w:pPr>
        <w:pStyle w:val="FootnoteText"/>
        <w:rPr>
          <w:lang w:val="en-US"/>
        </w:rPr>
      </w:pPr>
      <w:r>
        <w:rPr>
          <w:rStyle w:val="FootnoteReference"/>
        </w:rPr>
        <w:footnoteRef/>
      </w:r>
      <w:r>
        <w:t xml:space="preserve"> </w:t>
      </w:r>
      <w:r w:rsidRPr="00C53BD2">
        <w:rPr>
          <w:rFonts w:cs="Times New Roman"/>
        </w:rPr>
        <w:t xml:space="preserve">Family Law Council, Report on Parentage and </w:t>
      </w:r>
      <w:r>
        <w:rPr>
          <w:rFonts w:cs="Times New Roman"/>
        </w:rPr>
        <w:t>the Family Law Act (2013).</w:t>
      </w:r>
    </w:p>
  </w:footnote>
  <w:footnote w:id="9">
    <w:p w:rsidR="000C26A5" w:rsidRPr="005900C4" w:rsidRDefault="000C26A5" w:rsidP="005900C4">
      <w:pPr>
        <w:rPr>
          <w:rFonts w:ascii="Times New Roman" w:hAnsi="Times New Roman" w:cs="Times New Roman"/>
          <w:sz w:val="20"/>
          <w:szCs w:val="20"/>
        </w:rPr>
      </w:pPr>
      <w:r w:rsidRPr="005900C4">
        <w:rPr>
          <w:rStyle w:val="FootnoteReference"/>
          <w:rFonts w:ascii="Times New Roman" w:hAnsi="Times New Roman" w:cs="Times New Roman"/>
          <w:sz w:val="20"/>
          <w:szCs w:val="20"/>
        </w:rPr>
        <w:footnoteRef/>
      </w:r>
      <w:r w:rsidRPr="005900C4">
        <w:rPr>
          <w:rFonts w:ascii="Times New Roman" w:hAnsi="Times New Roman" w:cs="Times New Roman"/>
          <w:sz w:val="20"/>
          <w:szCs w:val="20"/>
        </w:rPr>
        <w:t xml:space="preserve"> For a discussion of the family law implications of early contact with sperm donors, particularly for SMCs, see </w:t>
      </w:r>
      <w:r w:rsidRPr="0091109E">
        <w:rPr>
          <w:rFonts w:ascii="Times New Roman" w:hAnsi="Times New Roman" w:cs="Times New Roman"/>
          <w:sz w:val="20"/>
          <w:szCs w:val="20"/>
        </w:rPr>
        <w:t>Fiona Kelly</w:t>
      </w:r>
      <w:r w:rsidRPr="005900C4">
        <w:rPr>
          <w:rFonts w:ascii="Times New Roman" w:hAnsi="Times New Roman" w:cs="Times New Roman"/>
          <w:sz w:val="20"/>
          <w:szCs w:val="20"/>
        </w:rPr>
        <w:t xml:space="preserve"> &amp; Deborah Dempsey. 2016. “The family law implications of early contact between sperm donors and their donor offspring” </w:t>
      </w:r>
      <w:r w:rsidRPr="005900C4">
        <w:rPr>
          <w:rFonts w:ascii="Times New Roman" w:hAnsi="Times New Roman" w:cs="Times New Roman"/>
          <w:i/>
          <w:sz w:val="20"/>
          <w:szCs w:val="20"/>
        </w:rPr>
        <w:t xml:space="preserve">Family Matters, </w:t>
      </w:r>
      <w:r w:rsidRPr="005900C4">
        <w:rPr>
          <w:rFonts w:ascii="Times New Roman" w:hAnsi="Times New Roman" w:cs="Times New Roman"/>
          <w:sz w:val="20"/>
          <w:szCs w:val="20"/>
        </w:rPr>
        <w:t>vol. 98: 56-63.</w:t>
      </w:r>
    </w:p>
  </w:footnote>
  <w:footnote w:id="10">
    <w:p w:rsidR="000C26A5" w:rsidRPr="008E5674" w:rsidRDefault="000C26A5" w:rsidP="008E5674">
      <w:pPr>
        <w:rPr>
          <w:rFonts w:ascii="Times New Roman" w:hAnsi="Times New Roman" w:cs="Times New Roman"/>
          <w:sz w:val="20"/>
          <w:szCs w:val="20"/>
        </w:rPr>
      </w:pPr>
      <w:r w:rsidRPr="005900C4">
        <w:rPr>
          <w:rStyle w:val="FootnoteReference"/>
          <w:rFonts w:ascii="Times New Roman" w:hAnsi="Times New Roman" w:cs="Times New Roman"/>
          <w:sz w:val="20"/>
          <w:szCs w:val="20"/>
        </w:rPr>
        <w:footnoteRef/>
      </w:r>
      <w:r w:rsidRPr="005900C4">
        <w:rPr>
          <w:rFonts w:ascii="Times New Roman" w:hAnsi="Times New Roman" w:cs="Times New Roman"/>
          <w:sz w:val="20"/>
          <w:szCs w:val="20"/>
        </w:rPr>
        <w:t xml:space="preserve"> </w:t>
      </w:r>
      <w:r w:rsidRPr="005900C4">
        <w:rPr>
          <w:rFonts w:ascii="Times New Roman" w:hAnsi="Times New Roman" w:cs="Times New Roman"/>
          <w:sz w:val="20"/>
          <w:szCs w:val="20"/>
          <w:lang/>
        </w:rPr>
        <w:t>Fiona Kelly, Hannah Robert &amp; Jennifer Power</w:t>
      </w:r>
      <w:r w:rsidRPr="00C53BD2">
        <w:rPr>
          <w:rFonts w:ascii="Times New Roman" w:hAnsi="Times New Roman" w:cs="Times New Roman"/>
          <w:sz w:val="20"/>
          <w:szCs w:val="20"/>
          <w:lang/>
        </w:rPr>
        <w:t xml:space="preserve">. 2017. "Is there still no room for two mothers? Revisiting lesbian mother litigation in post-reform Australian family law". </w:t>
      </w:r>
      <w:r w:rsidRPr="00C53BD2">
        <w:rPr>
          <w:rFonts w:ascii="Times New Roman" w:hAnsi="Times New Roman" w:cs="Times New Roman"/>
          <w:i/>
          <w:sz w:val="20"/>
          <w:szCs w:val="20"/>
          <w:lang/>
        </w:rPr>
        <w:t>Australian Journal of Family Law</w:t>
      </w:r>
      <w:r w:rsidRPr="00C53BD2">
        <w:rPr>
          <w:rFonts w:ascii="Times New Roman" w:hAnsi="Times New Roman" w:cs="Times New Roman"/>
          <w:sz w:val="20"/>
          <w:szCs w:val="20"/>
          <w:lang/>
        </w:rPr>
        <w:t>, vol 31, no. 1: 1-26.</w:t>
      </w:r>
    </w:p>
  </w:footnote>
  <w:footnote w:id="11">
    <w:p w:rsidR="000C26A5" w:rsidRPr="00A6427C" w:rsidRDefault="000C26A5" w:rsidP="00B6381D">
      <w:pPr>
        <w:pStyle w:val="FootnoteText"/>
        <w:jc w:val="left"/>
        <w:rPr>
          <w:rFonts w:cs="Times New Roman"/>
        </w:rPr>
      </w:pPr>
      <w:r w:rsidRPr="00C5080F">
        <w:rPr>
          <w:rStyle w:val="FootnoteReference"/>
        </w:rPr>
        <w:footnoteRef/>
      </w:r>
      <w:r>
        <w:rPr>
          <w:rFonts w:cs="Times New Roman"/>
        </w:rPr>
        <w:t xml:space="preserve"> </w:t>
      </w:r>
      <w:r w:rsidR="009B1FB9" w:rsidRPr="00A6427C">
        <w:rPr>
          <w:rFonts w:cs="Times New Roman"/>
          <w:lang w:val="en-US"/>
        </w:rPr>
        <w:fldChar w:fldCharType="begin"/>
      </w:r>
      <w:r w:rsidRPr="00A6427C">
        <w:rPr>
          <w:rFonts w:cs="Times New Roman"/>
          <w:lang w:val="en-US"/>
        </w:rPr>
        <w:instrText xml:space="preserve"> ADDIN EN.CITE &lt;EndNote&gt;&lt;Cite&gt;&lt;Author&gt;Kaspiew&lt;/Author&gt;&lt;Year&gt;2009&lt;/Year&gt;&lt;RecNum&gt;1570&lt;/RecNum&gt;&lt;Pages&gt;188&lt;/Pages&gt;&lt;DisplayText&gt;Rae Kaspiew et al, &lt;style face="italic"&gt;Evaluation of the 2006 Family Law Reforms &lt;/style&gt;(Australian Institute of Family Studies, 2009) 188.&lt;/DisplayText&gt;&lt;record&gt;&lt;rec-number&gt;1570&lt;/rec-number&gt;&lt;foreign-keys&gt;&lt;key app="EN" db-id="vzdsavxpq0fpr8e9zx3xpf9pw9ddea0rapez" timestamp="1459254072"&gt;1570&lt;/key&gt;&lt;/foreign-keys&gt;&lt;ref-type name="Book"&gt;6&lt;/ref-type&gt;&lt;contributors&gt;&lt;authors&gt;&lt;author&gt;Kaspiew, Rae&lt;/author&gt;&lt;author&gt;Gray, Matthew &lt;/author&gt;&lt;author&gt;Weston, Ruth&lt;/author&gt;&lt;author&gt;Moloney, Lawrie &lt;/author&gt;&lt;author&gt;Hand, Kelly &lt;/author&gt;&lt;author&gt;Qu, Lixia &lt;/author&gt;&lt;author&gt;and the Family Law Evaluation Team,&lt;/author&gt;&lt;/authors&gt;&lt;/contributors&gt;&lt;titles&gt;&lt;title&gt;Evaluation of the 2006 Family Law Reforms &lt;/title&gt;&lt;/titles&gt;&lt;keywords&gt;&lt;keyword&gt;family law act&lt;/keyword&gt;&lt;keyword&gt;2006 reforms&lt;/keyword&gt;&lt;keyword&gt;presumption of equal shared parental responsibility&lt;/keyword&gt;&lt;keyword&gt;parenting orders&lt;/keyword&gt;&lt;/keywords&gt;&lt;dates&gt;&lt;year&gt;2009&lt;/year&gt;&lt;/dates&gt;&lt;publisher&gt;Australian Institute of Family Studies&lt;/publisher&gt;&lt;label&gt;1. Articles/Books/Reports&lt;/label&gt;&lt;urls&gt;&lt;/urls&gt;&lt;/record&gt;&lt;/Cite&gt;&lt;/EndNote&gt;</w:instrText>
      </w:r>
      <w:r w:rsidR="009B1FB9" w:rsidRPr="00A6427C">
        <w:rPr>
          <w:rFonts w:cs="Times New Roman"/>
          <w:lang w:val="en-US"/>
        </w:rPr>
        <w:fldChar w:fldCharType="separate"/>
      </w:r>
      <w:r w:rsidRPr="00A6427C">
        <w:rPr>
          <w:rFonts w:eastAsia="Times New Roman" w:cs="Times New Roman"/>
        </w:rPr>
        <w:t>Rae Kaspiew, Rachel Carson, Jessie Dunstan, Lixia Qu, Briony Horsfall, John De Maio, Sharnee Moore, Lawrie Moloney, Melissa Coulson &amp; Sarah Tayton,</w:t>
      </w:r>
      <w:r w:rsidRPr="00A6427C">
        <w:rPr>
          <w:rFonts w:cs="Times New Roman"/>
          <w:lang w:val="en-US"/>
        </w:rPr>
        <w:t xml:space="preserve"> </w:t>
      </w:r>
      <w:r w:rsidRPr="00A6427C">
        <w:rPr>
          <w:rFonts w:eastAsia="Times New Roman" w:cs="Times New Roman"/>
          <w:i/>
        </w:rPr>
        <w:t>Evaluation of the 2012 Family Violence Amendments: Court Outcomes Project</w:t>
      </w:r>
      <w:r w:rsidRPr="00A6427C">
        <w:rPr>
          <w:rFonts w:eastAsia="Times New Roman" w:cs="Times New Roman"/>
        </w:rPr>
        <w:t>, Australian Institute of Family Studies, Melbourne, 2015 at Table 3.25.</w:t>
      </w:r>
      <w:r w:rsidRPr="00A6427C" w:rsidDel="0023549C">
        <w:rPr>
          <w:rFonts w:eastAsia="Times New Roman" w:cs="Times New Roman"/>
        </w:rPr>
        <w:t xml:space="preserve"> </w:t>
      </w:r>
      <w:r w:rsidR="009B1FB9" w:rsidRPr="00A6427C">
        <w:rPr>
          <w:rFonts w:cs="Times New Roman"/>
          <w:lang w:val="en-US"/>
        </w:rPr>
        <w:fldChar w:fldCharType="end"/>
      </w:r>
    </w:p>
  </w:footnote>
  <w:footnote w:id="12">
    <w:p w:rsidR="000C26A5" w:rsidRPr="00557908" w:rsidRDefault="000C26A5">
      <w:pPr>
        <w:pStyle w:val="FootnoteText"/>
        <w:rPr>
          <w:lang w:val="en-US"/>
        </w:rPr>
      </w:pPr>
      <w:r>
        <w:rPr>
          <w:rStyle w:val="FootnoteReference"/>
        </w:rPr>
        <w:footnoteRef/>
      </w:r>
      <w:r>
        <w:t xml:space="preserve"> </w:t>
      </w:r>
      <w:r w:rsidRPr="007B7DB3">
        <w:rPr>
          <w:rFonts w:cs="Times New Roman"/>
          <w:i/>
          <w:lang w:val="en-US"/>
        </w:rPr>
        <w:t xml:space="preserve">Lusito &amp; Lusito </w:t>
      </w:r>
      <w:r w:rsidRPr="007B7DB3">
        <w:rPr>
          <w:rFonts w:cs="Times New Roman"/>
          <w:lang w:val="en-US"/>
        </w:rPr>
        <w:t>[2011] FMCAfam 55</w:t>
      </w:r>
      <w:r>
        <w:rPr>
          <w:rFonts w:cs="Times New Roman"/>
          <w:lang w:val="en-US"/>
        </w:rPr>
        <w:t xml:space="preserve"> </w:t>
      </w:r>
      <w:r>
        <w:rPr>
          <w:lang w:val="en-US"/>
        </w:rPr>
        <w:t>at 131.</w:t>
      </w:r>
    </w:p>
  </w:footnote>
  <w:footnote w:id="13">
    <w:p w:rsidR="000C26A5" w:rsidRPr="00323E04" w:rsidRDefault="000C26A5" w:rsidP="00DC45B4">
      <w:pPr>
        <w:pStyle w:val="FootnoteText"/>
        <w:rPr>
          <w:lang w:val="en-US"/>
        </w:rPr>
      </w:pPr>
      <w:r>
        <w:rPr>
          <w:rStyle w:val="FootnoteReference"/>
        </w:rPr>
        <w:footnoteRef/>
      </w:r>
      <w:r>
        <w:t xml:space="preserve"> </w:t>
      </w:r>
      <w:r>
        <w:rPr>
          <w:lang w:val="en-US"/>
        </w:rPr>
        <w:t>Ibid at 18 &amp; 35.</w:t>
      </w:r>
    </w:p>
  </w:footnote>
  <w:footnote w:id="14">
    <w:p w:rsidR="000C26A5" w:rsidRPr="004F5042" w:rsidRDefault="000C26A5" w:rsidP="00DC45B4">
      <w:pPr>
        <w:pStyle w:val="FootnoteText"/>
        <w:rPr>
          <w:lang w:val="en-US"/>
        </w:rPr>
      </w:pPr>
      <w:r>
        <w:rPr>
          <w:rStyle w:val="FootnoteReference"/>
        </w:rPr>
        <w:footnoteRef/>
      </w:r>
      <w:r>
        <w:t xml:space="preserve"> </w:t>
      </w:r>
      <w:r>
        <w:rPr>
          <w:lang w:val="en-US"/>
        </w:rPr>
        <w:t>Ibid at 28.</w:t>
      </w:r>
    </w:p>
  </w:footnote>
  <w:footnote w:id="15">
    <w:p w:rsidR="000C26A5" w:rsidRPr="00C93D64" w:rsidRDefault="000C26A5">
      <w:pPr>
        <w:pStyle w:val="FootnoteText"/>
        <w:rPr>
          <w:lang w:val="en-US"/>
        </w:rPr>
      </w:pPr>
      <w:r>
        <w:rPr>
          <w:rStyle w:val="FootnoteReference"/>
        </w:rPr>
        <w:footnoteRef/>
      </w:r>
      <w:r>
        <w:t xml:space="preserve"> </w:t>
      </w:r>
      <w:r>
        <w:rPr>
          <w:rStyle w:val="Emphasis"/>
          <w:rFonts w:eastAsia="Times New Roman" w:cs="Times New Roman"/>
        </w:rPr>
        <w:t>Family Law Act</w:t>
      </w:r>
      <w:r>
        <w:rPr>
          <w:rStyle w:val="st"/>
          <w:rFonts w:eastAsia="Times New Roman" w:cs="Times New Roman"/>
        </w:rPr>
        <w:t>, SBC 2011, c 25, s 30.</w:t>
      </w:r>
    </w:p>
  </w:footnote>
  <w:footnote w:id="16">
    <w:p w:rsidR="000C26A5" w:rsidRPr="00BE4EED" w:rsidRDefault="000C26A5" w:rsidP="00BE4EED">
      <w:pPr>
        <w:rPr>
          <w:rFonts w:ascii="Times New Roman" w:hAnsi="Times New Roman" w:cs="Times New Roman"/>
          <w:sz w:val="20"/>
          <w:szCs w:val="20"/>
        </w:rPr>
      </w:pPr>
      <w:r w:rsidRPr="00F013F2">
        <w:rPr>
          <w:rStyle w:val="FootnoteReference"/>
          <w:rFonts w:ascii="Times New Roman" w:hAnsi="Times New Roman" w:cs="Times New Roman"/>
          <w:sz w:val="20"/>
          <w:szCs w:val="20"/>
        </w:rPr>
        <w:footnoteRef/>
      </w:r>
      <w:r w:rsidRPr="00F013F2">
        <w:rPr>
          <w:rFonts w:ascii="Times New Roman" w:hAnsi="Times New Roman" w:cs="Times New Roman"/>
          <w:sz w:val="20"/>
          <w:szCs w:val="20"/>
        </w:rPr>
        <w:t xml:space="preserve"> For a discussion and critique of the British Columbia multiple parent model see </w:t>
      </w:r>
      <w:r w:rsidRPr="000B4728">
        <w:rPr>
          <w:rFonts w:ascii="Times New Roman" w:hAnsi="Times New Roman" w:cs="Times New Roman"/>
          <w:color w:val="1B1B1B"/>
          <w:sz w:val="20"/>
          <w:szCs w:val="20"/>
        </w:rPr>
        <w:t>Fiona Kelly</w:t>
      </w:r>
      <w:r>
        <w:rPr>
          <w:rFonts w:ascii="Times New Roman" w:hAnsi="Times New Roman" w:cs="Times New Roman"/>
          <w:color w:val="1B1B1B"/>
          <w:sz w:val="20"/>
          <w:szCs w:val="20"/>
        </w:rPr>
        <w:t>,</w:t>
      </w:r>
      <w:r w:rsidRPr="00F013F2">
        <w:rPr>
          <w:rFonts w:ascii="Times New Roman" w:hAnsi="Times New Roman" w:cs="Times New Roman"/>
          <w:color w:val="1B1B1B"/>
          <w:sz w:val="20"/>
          <w:szCs w:val="20"/>
        </w:rPr>
        <w:t xml:space="preserve"> “Multiple Parent Families under British </w:t>
      </w:r>
      <w:r>
        <w:rPr>
          <w:rFonts w:ascii="Times New Roman" w:hAnsi="Times New Roman" w:cs="Times New Roman"/>
          <w:color w:val="1B1B1B"/>
          <w:sz w:val="20"/>
          <w:szCs w:val="20"/>
        </w:rPr>
        <w:t xml:space="preserve">Columbia’s New Family Law Act” (2014) 47 </w:t>
      </w:r>
      <w:r w:rsidRPr="00F013F2">
        <w:rPr>
          <w:rFonts w:ascii="Times New Roman" w:hAnsi="Times New Roman" w:cs="Times New Roman"/>
          <w:i/>
          <w:color w:val="1B1B1B"/>
          <w:sz w:val="20"/>
          <w:szCs w:val="20"/>
        </w:rPr>
        <w:t>UBC Law Review</w:t>
      </w:r>
      <w:r>
        <w:rPr>
          <w:rFonts w:ascii="Times New Roman" w:hAnsi="Times New Roman" w:cs="Times New Roman"/>
          <w:color w:val="1B1B1B"/>
          <w:sz w:val="20"/>
          <w:szCs w:val="20"/>
        </w:rPr>
        <w:t xml:space="preserve"> </w:t>
      </w:r>
      <w:r w:rsidRPr="00F013F2">
        <w:rPr>
          <w:rFonts w:ascii="Times New Roman" w:hAnsi="Times New Roman" w:cs="Times New Roman"/>
          <w:color w:val="1B1B1B"/>
          <w:sz w:val="20"/>
          <w:szCs w:val="20"/>
        </w:rPr>
        <w:t xml:space="preserve">565-596. </w:t>
      </w:r>
    </w:p>
  </w:footnote>
  <w:footnote w:id="17">
    <w:p w:rsidR="000C26A5" w:rsidRPr="005026A8" w:rsidRDefault="000C26A5" w:rsidP="00BE4EED">
      <w:pPr>
        <w:pStyle w:val="FootnoteText"/>
        <w:rPr>
          <w:lang w:val="en-US"/>
        </w:rPr>
      </w:pPr>
      <w:r>
        <w:rPr>
          <w:rStyle w:val="FootnoteReference"/>
        </w:rPr>
        <w:footnoteRef/>
      </w:r>
      <w:r>
        <w:t xml:space="preserve"> </w:t>
      </w:r>
      <w:r>
        <w:rPr>
          <w:i/>
        </w:rPr>
        <w:t xml:space="preserve">Re Carla </w:t>
      </w:r>
      <w:r w:rsidRPr="001D3370">
        <w:rPr>
          <w:rFonts w:cs="Times New Roman"/>
        </w:rPr>
        <w:t>[2016] FamCA 7</w:t>
      </w:r>
      <w:r w:rsidRPr="001D3370">
        <w:rPr>
          <w:rFonts w:cs="Times New Roman"/>
          <w:i/>
          <w:lang w:val="en-US"/>
        </w:rPr>
        <w:t>.</w:t>
      </w:r>
    </w:p>
  </w:footnote>
  <w:footnote w:id="18">
    <w:p w:rsidR="000C26A5" w:rsidRPr="00BE4EED" w:rsidRDefault="000C26A5" w:rsidP="00BE4EED">
      <w:pPr>
        <w:pStyle w:val="FootnoteText"/>
        <w:rPr>
          <w:lang w:val="en-US"/>
        </w:rPr>
      </w:pPr>
      <w:r>
        <w:rPr>
          <w:rStyle w:val="FootnoteReference"/>
        </w:rPr>
        <w:footnoteRef/>
      </w:r>
      <w:r>
        <w:t xml:space="preserve"> </w:t>
      </w:r>
      <w:r>
        <w:rPr>
          <w:lang w:val="en-US"/>
        </w:rPr>
        <w:t xml:space="preserve">For a critique of the decision in </w:t>
      </w:r>
      <w:r w:rsidRPr="00BE4EED">
        <w:rPr>
          <w:i/>
          <w:lang w:val="en-US"/>
        </w:rPr>
        <w:t xml:space="preserve">Re Carla </w:t>
      </w:r>
      <w:r>
        <w:rPr>
          <w:lang w:val="en-US"/>
        </w:rPr>
        <w:t xml:space="preserve">see </w:t>
      </w:r>
      <w:r w:rsidRPr="00BE4EED">
        <w:rPr>
          <w:rFonts w:cstheme="minorHAnsi"/>
        </w:rPr>
        <w:t>Fiona Kelly &amp; Malcolm Smith, “</w:t>
      </w:r>
      <w:r w:rsidRPr="00BE4EED">
        <w:rPr>
          <w:rStyle w:val="bold1"/>
          <w:rFonts w:cstheme="minorHAnsi"/>
          <w:b w:val="0"/>
          <w:color w:val="000000"/>
          <w:lang/>
        </w:rPr>
        <w:t xml:space="preserve">Should court authorisation be required for surgery on intersex children? A critique of the Family Court decision in </w:t>
      </w:r>
      <w:r w:rsidRPr="00BE4EED">
        <w:rPr>
          <w:rStyle w:val="italic1"/>
          <w:rFonts w:cstheme="minorHAnsi"/>
          <w:bCs/>
          <w:color w:val="000000"/>
          <w:lang/>
        </w:rPr>
        <w:t>Re Carla</w:t>
      </w:r>
      <w:r w:rsidRPr="00BE4EED">
        <w:rPr>
          <w:rStyle w:val="italic1"/>
          <w:rFonts w:cstheme="minorHAnsi"/>
          <w:bCs/>
          <w:i w:val="0"/>
          <w:color w:val="000000"/>
          <w:lang/>
        </w:rPr>
        <w:t xml:space="preserve">” (2017) 31(2) </w:t>
      </w:r>
      <w:r w:rsidRPr="00BE4EED">
        <w:rPr>
          <w:rStyle w:val="italic1"/>
          <w:rFonts w:cstheme="minorHAnsi"/>
          <w:bCs/>
          <w:color w:val="000000"/>
          <w:lang/>
        </w:rPr>
        <w:t>Australian Journal of Family Law</w:t>
      </w:r>
      <w:r w:rsidRPr="00BE4EED">
        <w:rPr>
          <w:rStyle w:val="italic1"/>
          <w:rFonts w:cstheme="minorHAnsi"/>
          <w:bCs/>
          <w:i w:val="0"/>
          <w:color w:val="000000"/>
          <w:lang/>
        </w:rPr>
        <w:t xml:space="preserve"> 118.</w:t>
      </w:r>
    </w:p>
  </w:footnote>
  <w:footnote w:id="19">
    <w:p w:rsidR="000C26A5" w:rsidRPr="008464D0" w:rsidRDefault="000C26A5" w:rsidP="00BE4EED">
      <w:pPr>
        <w:pStyle w:val="FootnoteText"/>
        <w:rPr>
          <w:rFonts w:cs="Times New Roman"/>
        </w:rPr>
      </w:pPr>
      <w:r w:rsidRPr="008464D0">
        <w:rPr>
          <w:rStyle w:val="FootnoteReference"/>
          <w:rFonts w:cs="Times New Roman"/>
        </w:rPr>
        <w:footnoteRef/>
      </w:r>
      <w:r w:rsidRPr="008464D0">
        <w:rPr>
          <w:rFonts w:cs="Times New Roman"/>
        </w:rPr>
        <w:t xml:space="preserve"> </w:t>
      </w:r>
      <w:r w:rsidRPr="00A70421">
        <w:rPr>
          <w:rFonts w:cs="Times New Roman"/>
        </w:rPr>
        <w:t>Ibid</w:t>
      </w:r>
      <w:r>
        <w:rPr>
          <w:rFonts w:cs="Times New Roman"/>
          <w:i/>
        </w:rPr>
        <w:t xml:space="preserve"> </w:t>
      </w:r>
      <w:r>
        <w:rPr>
          <w:rFonts w:cs="Times New Roman"/>
        </w:rPr>
        <w:t>[</w:t>
      </w:r>
      <w:r w:rsidRPr="008464D0">
        <w:rPr>
          <w:rFonts w:cs="Times New Roman"/>
        </w:rPr>
        <w:t>2</w:t>
      </w:r>
      <w:r>
        <w:rPr>
          <w:rFonts w:cs="Times New Roman"/>
        </w:rPr>
        <w:t>]</w:t>
      </w:r>
      <w:r w:rsidRPr="008464D0">
        <w:rPr>
          <w:rFonts w:cs="Times New Roman"/>
        </w:rPr>
        <w:t>.</w:t>
      </w:r>
    </w:p>
  </w:footnote>
  <w:footnote w:id="20">
    <w:p w:rsidR="000C26A5" w:rsidRPr="00D95934" w:rsidRDefault="000C26A5" w:rsidP="005026A8">
      <w:pPr>
        <w:pStyle w:val="FootnoteText"/>
      </w:pPr>
      <w:r w:rsidRPr="00D95934">
        <w:rPr>
          <w:rStyle w:val="FootnoteReference"/>
        </w:rPr>
        <w:footnoteRef/>
      </w:r>
      <w:r w:rsidRPr="00D95934">
        <w:t xml:space="preserve"> </w:t>
      </w:r>
      <w:r>
        <w:t>Ibid [</w:t>
      </w:r>
      <w:r w:rsidRPr="00D95934">
        <w:t>30</w:t>
      </w:r>
      <w:r>
        <w:t>]</w:t>
      </w:r>
      <w:r w:rsidRPr="00D95934">
        <w:t>.</w:t>
      </w:r>
    </w:p>
  </w:footnote>
  <w:footnote w:id="21">
    <w:p w:rsidR="000C26A5" w:rsidRPr="00691E16" w:rsidRDefault="000C26A5" w:rsidP="005026A8">
      <w:pPr>
        <w:pStyle w:val="FootnoteText"/>
        <w:rPr>
          <w:rFonts w:cs="Times New Roman"/>
        </w:rPr>
      </w:pPr>
      <w:r w:rsidRPr="00BD590B">
        <w:rPr>
          <w:rStyle w:val="FootnoteReference"/>
          <w:rFonts w:cs="Times New Roman"/>
        </w:rPr>
        <w:footnoteRef/>
      </w:r>
      <w:r w:rsidRPr="00BD590B">
        <w:rPr>
          <w:rFonts w:cs="Times New Roman"/>
        </w:rPr>
        <w:t xml:space="preserve"> Senate Community Affairs Reference Committee, Parliament of Australia, </w:t>
      </w:r>
      <w:r w:rsidRPr="00BD590B">
        <w:rPr>
          <w:rFonts w:cs="Times New Roman"/>
          <w:i/>
        </w:rPr>
        <w:t>Involuntary or coerced sterilisation of intersex people in Australia</w:t>
      </w:r>
      <w:r w:rsidRPr="00691E16">
        <w:rPr>
          <w:rFonts w:cs="Times New Roman"/>
          <w:i/>
        </w:rPr>
        <w:t>,</w:t>
      </w:r>
      <w:r>
        <w:rPr>
          <w:rFonts w:cs="Times New Roman"/>
        </w:rPr>
        <w:t xml:space="preserve"> (2013) xiii (Recommendation 5).</w:t>
      </w:r>
    </w:p>
  </w:footnote>
  <w:footnote w:id="22">
    <w:p w:rsidR="000C26A5" w:rsidRPr="00691E16" w:rsidRDefault="000C26A5" w:rsidP="005026A8">
      <w:pPr>
        <w:pStyle w:val="FootnoteText"/>
        <w:rPr>
          <w:rFonts w:cs="Times New Roman"/>
        </w:rPr>
      </w:pPr>
      <w:r w:rsidRPr="00691E16">
        <w:rPr>
          <w:rStyle w:val="FootnoteReference"/>
          <w:rFonts w:cs="Times New Roman"/>
        </w:rPr>
        <w:footnoteRef/>
      </w:r>
      <w:r w:rsidRPr="00691E16">
        <w:rPr>
          <w:rFonts w:cs="Times New Roman"/>
        </w:rPr>
        <w:t xml:space="preserve"> Ibid xiii (Recommendation 6).</w:t>
      </w:r>
    </w:p>
  </w:footnote>
  <w:footnote w:id="23">
    <w:p w:rsidR="000C26A5" w:rsidRPr="00691E16" w:rsidRDefault="000C26A5" w:rsidP="005026A8">
      <w:pPr>
        <w:pStyle w:val="FootnoteText"/>
        <w:rPr>
          <w:rFonts w:cs="Times New Roman"/>
        </w:rPr>
      </w:pPr>
      <w:r w:rsidRPr="00691E16">
        <w:rPr>
          <w:rStyle w:val="FootnoteReference"/>
          <w:rFonts w:cs="Times New Roman"/>
        </w:rPr>
        <w:footnoteRef/>
      </w:r>
      <w:r w:rsidRPr="00691E16">
        <w:rPr>
          <w:rFonts w:cs="Times New Roman"/>
        </w:rPr>
        <w:t xml:space="preserve"> Ibid (Recommendation 3).</w:t>
      </w:r>
    </w:p>
  </w:footnote>
  <w:footnote w:id="24">
    <w:p w:rsidR="000C26A5" w:rsidRPr="00691E16" w:rsidRDefault="000C26A5" w:rsidP="005026A8">
      <w:pPr>
        <w:pStyle w:val="FootnoteText"/>
        <w:rPr>
          <w:rFonts w:cs="Times New Roman"/>
        </w:rPr>
      </w:pPr>
      <w:r w:rsidRPr="00691E16">
        <w:rPr>
          <w:rStyle w:val="FootnoteReference"/>
          <w:rFonts w:cs="Times New Roman"/>
        </w:rPr>
        <w:footnoteRef/>
      </w:r>
      <w:r w:rsidRPr="00691E16">
        <w:rPr>
          <w:rFonts w:cs="Times New Roman"/>
        </w:rPr>
        <w:t xml:space="preserve"> </w:t>
      </w:r>
      <w:r w:rsidRPr="009852F6">
        <w:rPr>
          <w:rStyle w:val="Emphasis"/>
          <w:rFonts w:eastAsia="Times New Roman" w:cs="Times New Roman"/>
          <w:i w:val="0"/>
        </w:rPr>
        <w:t>UN Committee against Torture</w:t>
      </w:r>
      <w:r w:rsidRPr="009852F6">
        <w:rPr>
          <w:rFonts w:eastAsia="Times New Roman" w:cs="Times New Roman"/>
          <w:i/>
          <w:iCs/>
        </w:rPr>
        <w:t xml:space="preserve">, </w:t>
      </w:r>
      <w:r w:rsidRPr="00E96F8F">
        <w:rPr>
          <w:rFonts w:eastAsia="Times New Roman" w:cs="Times New Roman"/>
          <w:iCs/>
        </w:rPr>
        <w:t>the</w:t>
      </w:r>
      <w:r w:rsidRPr="009852F6">
        <w:rPr>
          <w:rFonts w:eastAsia="Times New Roman" w:cs="Times New Roman"/>
          <w:i/>
          <w:iCs/>
        </w:rPr>
        <w:t xml:space="preserve"> </w:t>
      </w:r>
      <w:r w:rsidRPr="009852F6">
        <w:rPr>
          <w:rStyle w:val="Emphasis"/>
          <w:rFonts w:eastAsia="Times New Roman" w:cs="Times New Roman"/>
          <w:i w:val="0"/>
        </w:rPr>
        <w:t>UN Committee on the Rights of the Child, the UN Committee on the Rights of People with Disabilities, and the UN Subcommittee on Prevention of Torture and other Cruel, Inhuman or Degrading Treatment or Punishment,</w:t>
      </w:r>
      <w:r w:rsidRPr="00691E16">
        <w:rPr>
          <w:rStyle w:val="Emphasis"/>
          <w:rFonts w:eastAsia="Times New Roman" w:cs="Times New Roman"/>
        </w:rPr>
        <w:t xml:space="preserve"> </w:t>
      </w:r>
      <w:r w:rsidRPr="00B74836">
        <w:rPr>
          <w:rStyle w:val="Strong"/>
          <w:rFonts w:eastAsia="Times New Roman" w:cs="Times New Roman"/>
          <w:b w:val="0"/>
          <w:i/>
        </w:rPr>
        <w:t>End violence and harmful medical practices on intersex children and adults, UN and regional experts urge</w:t>
      </w:r>
      <w:r w:rsidRPr="00B74836">
        <w:rPr>
          <w:rStyle w:val="Strong"/>
          <w:rFonts w:eastAsia="Times New Roman" w:cs="Times New Roman"/>
          <w:b w:val="0"/>
        </w:rPr>
        <w:t>, (24 October 2016)</w:t>
      </w:r>
      <w:r w:rsidRPr="00691E16">
        <w:rPr>
          <w:rStyle w:val="Strong"/>
          <w:rFonts w:eastAsia="Times New Roman" w:cs="Times New Roman"/>
        </w:rPr>
        <w:t xml:space="preserve"> &lt;</w:t>
      </w:r>
      <w:hyperlink r:id="rId1" w:history="1">
        <w:r w:rsidRPr="00691E16">
          <w:rPr>
            <w:rStyle w:val="Hyperlink"/>
            <w:rFonts w:eastAsia="Times New Roman" w:cs="Times New Roman"/>
          </w:rPr>
          <w:t>http://www.ohchr.org/EN/NewsEvents/Pages/DisplayNews.aspx?NewsID=20739&amp;LangID=E</w:t>
        </w:r>
      </w:hyperlink>
      <w:r w:rsidRPr="00691E16">
        <w:rPr>
          <w:rStyle w:val="Strong"/>
          <w:rFonts w:eastAsia="Times New Roman" w:cs="Times New Roman"/>
        </w:rPr>
        <w:t xml:space="preserve">&gt;.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2ABD"/>
    <w:multiLevelType w:val="hybridMultilevel"/>
    <w:tmpl w:val="F6A4BE24"/>
    <w:lvl w:ilvl="0" w:tplc="B99C09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421BBD"/>
    <w:multiLevelType w:val="hybridMultilevel"/>
    <w:tmpl w:val="EF0EB396"/>
    <w:lvl w:ilvl="0" w:tplc="0AA25F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8E44EA"/>
    <w:multiLevelType w:val="hybridMultilevel"/>
    <w:tmpl w:val="FD4255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4D34ED"/>
    <w:multiLevelType w:val="hybridMultilevel"/>
    <w:tmpl w:val="1A8009F8"/>
    <w:lvl w:ilvl="0" w:tplc="0F988C26">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A04394"/>
    <w:multiLevelType w:val="hybridMultilevel"/>
    <w:tmpl w:val="A02AE49A"/>
    <w:lvl w:ilvl="0" w:tplc="ABBA8E90">
      <w:start w:val="1"/>
      <w:numFmt w:val="decimal"/>
      <w:lvlText w:val="%1."/>
      <w:lvlJc w:val="left"/>
      <w:pPr>
        <w:ind w:left="720" w:hanging="360"/>
      </w:pPr>
      <w:rPr>
        <w:rFonts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E55A8C"/>
    <w:multiLevelType w:val="hybridMultilevel"/>
    <w:tmpl w:val="CBD2E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BE36DEC"/>
    <w:multiLevelType w:val="hybridMultilevel"/>
    <w:tmpl w:val="FF169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837BD9"/>
    <w:multiLevelType w:val="hybridMultilevel"/>
    <w:tmpl w:val="0BBA430E"/>
    <w:lvl w:ilvl="0" w:tplc="3A82EE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5AC3594"/>
    <w:multiLevelType w:val="hybridMultilevel"/>
    <w:tmpl w:val="32FC721E"/>
    <w:lvl w:ilvl="0" w:tplc="637C16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7BA1B0B"/>
    <w:multiLevelType w:val="hybridMultilevel"/>
    <w:tmpl w:val="46DE1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9"/>
  </w:num>
  <w:num w:numId="5">
    <w:abstractNumId w:val="0"/>
  </w:num>
  <w:num w:numId="6">
    <w:abstractNumId w:val="5"/>
  </w:num>
  <w:num w:numId="7">
    <w:abstractNumId w:val="4"/>
  </w:num>
  <w:num w:numId="8">
    <w:abstractNumId w:val="7"/>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useFELayout/>
  </w:compat>
  <w:rsids>
    <w:rsidRoot w:val="00F97481"/>
    <w:rsid w:val="0003638B"/>
    <w:rsid w:val="00041B48"/>
    <w:rsid w:val="000877F8"/>
    <w:rsid w:val="000B4728"/>
    <w:rsid w:val="000C26A5"/>
    <w:rsid w:val="000F1D92"/>
    <w:rsid w:val="0015282B"/>
    <w:rsid w:val="00163D2F"/>
    <w:rsid w:val="001D2C2E"/>
    <w:rsid w:val="001E4AAC"/>
    <w:rsid w:val="001F051E"/>
    <w:rsid w:val="001F3BED"/>
    <w:rsid w:val="00214BC7"/>
    <w:rsid w:val="002C1B7A"/>
    <w:rsid w:val="00321586"/>
    <w:rsid w:val="00347C81"/>
    <w:rsid w:val="00366F3F"/>
    <w:rsid w:val="00385DC0"/>
    <w:rsid w:val="003B417E"/>
    <w:rsid w:val="003C680C"/>
    <w:rsid w:val="003E4E1C"/>
    <w:rsid w:val="003F0D4F"/>
    <w:rsid w:val="0041217A"/>
    <w:rsid w:val="00424A51"/>
    <w:rsid w:val="00462CDE"/>
    <w:rsid w:val="00497664"/>
    <w:rsid w:val="004B33CA"/>
    <w:rsid w:val="005026A8"/>
    <w:rsid w:val="0050291A"/>
    <w:rsid w:val="00557908"/>
    <w:rsid w:val="005876C6"/>
    <w:rsid w:val="005900C4"/>
    <w:rsid w:val="005E7294"/>
    <w:rsid w:val="00690E51"/>
    <w:rsid w:val="006C2881"/>
    <w:rsid w:val="006E41ED"/>
    <w:rsid w:val="00704943"/>
    <w:rsid w:val="00734A05"/>
    <w:rsid w:val="00737AC9"/>
    <w:rsid w:val="0078418D"/>
    <w:rsid w:val="00785F27"/>
    <w:rsid w:val="007A5178"/>
    <w:rsid w:val="007E1483"/>
    <w:rsid w:val="00825F12"/>
    <w:rsid w:val="008761D9"/>
    <w:rsid w:val="008E5674"/>
    <w:rsid w:val="0091109E"/>
    <w:rsid w:val="009141DD"/>
    <w:rsid w:val="00926538"/>
    <w:rsid w:val="009330C3"/>
    <w:rsid w:val="009351EA"/>
    <w:rsid w:val="009375E1"/>
    <w:rsid w:val="0095658B"/>
    <w:rsid w:val="009852F6"/>
    <w:rsid w:val="009A2756"/>
    <w:rsid w:val="009B1FB9"/>
    <w:rsid w:val="00A0624E"/>
    <w:rsid w:val="00A11015"/>
    <w:rsid w:val="00A426D0"/>
    <w:rsid w:val="00A77DD1"/>
    <w:rsid w:val="00A939C0"/>
    <w:rsid w:val="00AE658A"/>
    <w:rsid w:val="00B31F5E"/>
    <w:rsid w:val="00B36A59"/>
    <w:rsid w:val="00B6381D"/>
    <w:rsid w:val="00B74836"/>
    <w:rsid w:val="00BB77A0"/>
    <w:rsid w:val="00BE26A9"/>
    <w:rsid w:val="00BE4EED"/>
    <w:rsid w:val="00C53BD2"/>
    <w:rsid w:val="00C54C60"/>
    <w:rsid w:val="00C93D64"/>
    <w:rsid w:val="00CE6FB3"/>
    <w:rsid w:val="00CF6D81"/>
    <w:rsid w:val="00D05E9C"/>
    <w:rsid w:val="00D21270"/>
    <w:rsid w:val="00D5150F"/>
    <w:rsid w:val="00DC21A3"/>
    <w:rsid w:val="00DC45B4"/>
    <w:rsid w:val="00E403C0"/>
    <w:rsid w:val="00E96F8F"/>
    <w:rsid w:val="00EC19E5"/>
    <w:rsid w:val="00F013F2"/>
    <w:rsid w:val="00F226F1"/>
    <w:rsid w:val="00F61A43"/>
    <w:rsid w:val="00F804D7"/>
    <w:rsid w:val="00F9748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FB9"/>
  </w:style>
  <w:style w:type="paragraph" w:styleId="Heading1">
    <w:name w:val="heading 1"/>
    <w:basedOn w:val="Normal"/>
    <w:link w:val="Heading1Char"/>
    <w:uiPriority w:val="9"/>
    <w:qFormat/>
    <w:rsid w:val="00C53BD2"/>
    <w:pPr>
      <w:spacing w:before="100" w:beforeAutospacing="1" w:after="100" w:afterAutospacing="1"/>
      <w:outlineLvl w:val="0"/>
    </w:pPr>
    <w:rPr>
      <w:rFonts w:ascii="Times" w:hAnsi="Times"/>
      <w:b/>
      <w:bCs/>
      <w:kern w:val="36"/>
      <w:sz w:val="48"/>
      <w:szCs w:val="4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481"/>
    <w:rPr>
      <w:color w:val="0000FF" w:themeColor="hyperlink"/>
      <w:u w:val="single"/>
    </w:rPr>
  </w:style>
  <w:style w:type="paragraph" w:styleId="ListParagraph">
    <w:name w:val="List Paragraph"/>
    <w:basedOn w:val="Normal"/>
    <w:link w:val="ListParagraphChar"/>
    <w:uiPriority w:val="34"/>
    <w:qFormat/>
    <w:rsid w:val="00347C81"/>
    <w:pPr>
      <w:ind w:left="720"/>
      <w:contextualSpacing/>
    </w:pPr>
  </w:style>
  <w:style w:type="paragraph" w:styleId="FootnoteText">
    <w:name w:val="footnote text"/>
    <w:basedOn w:val="Normal"/>
    <w:link w:val="FootnoteTextChar"/>
    <w:uiPriority w:val="99"/>
    <w:unhideWhenUsed/>
    <w:rsid w:val="0078418D"/>
    <w:pPr>
      <w:jc w:val="both"/>
    </w:pPr>
    <w:rPr>
      <w:rFonts w:ascii="Times New Roman" w:eastAsiaTheme="minorHAnsi" w:hAnsi="Times New Roman"/>
      <w:sz w:val="20"/>
      <w:szCs w:val="20"/>
      <w:lang w:val="en-AU"/>
    </w:rPr>
  </w:style>
  <w:style w:type="character" w:customStyle="1" w:styleId="FootnoteTextChar">
    <w:name w:val="Footnote Text Char"/>
    <w:basedOn w:val="DefaultParagraphFont"/>
    <w:link w:val="FootnoteText"/>
    <w:uiPriority w:val="99"/>
    <w:rsid w:val="0078418D"/>
    <w:rPr>
      <w:rFonts w:ascii="Times New Roman" w:eastAsiaTheme="minorHAnsi" w:hAnsi="Times New Roman"/>
      <w:sz w:val="20"/>
      <w:szCs w:val="20"/>
      <w:lang w:val="en-AU"/>
    </w:rPr>
  </w:style>
  <w:style w:type="character" w:styleId="FootnoteReference">
    <w:name w:val="footnote reference"/>
    <w:basedOn w:val="DefaultParagraphFont"/>
    <w:uiPriority w:val="99"/>
    <w:unhideWhenUsed/>
    <w:rsid w:val="0078418D"/>
    <w:rPr>
      <w:vertAlign w:val="superscript"/>
    </w:rPr>
  </w:style>
  <w:style w:type="paragraph" w:styleId="Footer">
    <w:name w:val="footer"/>
    <w:basedOn w:val="Normal"/>
    <w:link w:val="FooterChar"/>
    <w:uiPriority w:val="99"/>
    <w:unhideWhenUsed/>
    <w:rsid w:val="00B36A59"/>
    <w:pPr>
      <w:tabs>
        <w:tab w:val="center" w:pos="4320"/>
        <w:tab w:val="right" w:pos="8640"/>
      </w:tabs>
    </w:pPr>
  </w:style>
  <w:style w:type="character" w:customStyle="1" w:styleId="FooterChar">
    <w:name w:val="Footer Char"/>
    <w:basedOn w:val="DefaultParagraphFont"/>
    <w:link w:val="Footer"/>
    <w:uiPriority w:val="99"/>
    <w:rsid w:val="00B36A59"/>
  </w:style>
  <w:style w:type="character" w:styleId="PageNumber">
    <w:name w:val="page number"/>
    <w:basedOn w:val="DefaultParagraphFont"/>
    <w:uiPriority w:val="99"/>
    <w:semiHidden/>
    <w:unhideWhenUsed/>
    <w:rsid w:val="00B36A59"/>
  </w:style>
  <w:style w:type="character" w:customStyle="1" w:styleId="Heading1Char">
    <w:name w:val="Heading 1 Char"/>
    <w:basedOn w:val="DefaultParagraphFont"/>
    <w:link w:val="Heading1"/>
    <w:uiPriority w:val="9"/>
    <w:rsid w:val="00C53BD2"/>
    <w:rPr>
      <w:rFonts w:ascii="Times" w:hAnsi="Times"/>
      <w:b/>
      <w:bCs/>
      <w:kern w:val="36"/>
      <w:sz w:val="48"/>
      <w:szCs w:val="48"/>
      <w:lang w:val="en-CA"/>
    </w:rPr>
  </w:style>
  <w:style w:type="character" w:customStyle="1" w:styleId="ListParagraphChar">
    <w:name w:val="List Paragraph Char"/>
    <w:link w:val="ListParagraph"/>
    <w:uiPriority w:val="34"/>
    <w:rsid w:val="00C53BD2"/>
  </w:style>
  <w:style w:type="character" w:styleId="Emphasis">
    <w:name w:val="Emphasis"/>
    <w:basedOn w:val="DefaultParagraphFont"/>
    <w:uiPriority w:val="20"/>
    <w:qFormat/>
    <w:rsid w:val="007E1483"/>
    <w:rPr>
      <w:i/>
      <w:iCs/>
    </w:rPr>
  </w:style>
  <w:style w:type="character" w:customStyle="1" w:styleId="st">
    <w:name w:val="st"/>
    <w:basedOn w:val="DefaultParagraphFont"/>
    <w:rsid w:val="00C93D64"/>
  </w:style>
  <w:style w:type="character" w:styleId="Strong">
    <w:name w:val="Strong"/>
    <w:basedOn w:val="DefaultParagraphFont"/>
    <w:uiPriority w:val="22"/>
    <w:qFormat/>
    <w:rsid w:val="005026A8"/>
    <w:rPr>
      <w:b/>
      <w:bCs/>
    </w:rPr>
  </w:style>
  <w:style w:type="character" w:customStyle="1" w:styleId="bold1">
    <w:name w:val="bold1"/>
    <w:basedOn w:val="DefaultParagraphFont"/>
    <w:rsid w:val="00BE4EED"/>
    <w:rPr>
      <w:b/>
      <w:bCs/>
    </w:rPr>
  </w:style>
  <w:style w:type="character" w:customStyle="1" w:styleId="italic1">
    <w:name w:val="italic1"/>
    <w:basedOn w:val="DefaultParagraphFont"/>
    <w:rsid w:val="00BE4EED"/>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3BD2"/>
    <w:pPr>
      <w:spacing w:before="100" w:beforeAutospacing="1" w:after="100" w:afterAutospacing="1"/>
      <w:outlineLvl w:val="0"/>
    </w:pPr>
    <w:rPr>
      <w:rFonts w:ascii="Times" w:hAnsi="Times"/>
      <w:b/>
      <w:bCs/>
      <w:kern w:val="36"/>
      <w:sz w:val="48"/>
      <w:szCs w:val="4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481"/>
    <w:rPr>
      <w:color w:val="0000FF" w:themeColor="hyperlink"/>
      <w:u w:val="single"/>
    </w:rPr>
  </w:style>
  <w:style w:type="paragraph" w:styleId="ListParagraph">
    <w:name w:val="List Paragraph"/>
    <w:basedOn w:val="Normal"/>
    <w:link w:val="ListParagraphChar"/>
    <w:uiPriority w:val="34"/>
    <w:qFormat/>
    <w:rsid w:val="00347C81"/>
    <w:pPr>
      <w:ind w:left="720"/>
      <w:contextualSpacing/>
    </w:pPr>
  </w:style>
  <w:style w:type="paragraph" w:styleId="FootnoteText">
    <w:name w:val="footnote text"/>
    <w:basedOn w:val="Normal"/>
    <w:link w:val="FootnoteTextChar"/>
    <w:uiPriority w:val="99"/>
    <w:unhideWhenUsed/>
    <w:rsid w:val="0078418D"/>
    <w:pPr>
      <w:jc w:val="both"/>
    </w:pPr>
    <w:rPr>
      <w:rFonts w:ascii="Times New Roman" w:eastAsiaTheme="minorHAnsi" w:hAnsi="Times New Roman"/>
      <w:sz w:val="20"/>
      <w:szCs w:val="20"/>
      <w:lang w:val="en-AU"/>
    </w:rPr>
  </w:style>
  <w:style w:type="character" w:customStyle="1" w:styleId="FootnoteTextChar">
    <w:name w:val="Footnote Text Char"/>
    <w:basedOn w:val="DefaultParagraphFont"/>
    <w:link w:val="FootnoteText"/>
    <w:uiPriority w:val="99"/>
    <w:rsid w:val="0078418D"/>
    <w:rPr>
      <w:rFonts w:ascii="Times New Roman" w:eastAsiaTheme="minorHAnsi" w:hAnsi="Times New Roman"/>
      <w:sz w:val="20"/>
      <w:szCs w:val="20"/>
      <w:lang w:val="en-AU"/>
    </w:rPr>
  </w:style>
  <w:style w:type="character" w:styleId="FootnoteReference">
    <w:name w:val="footnote reference"/>
    <w:basedOn w:val="DefaultParagraphFont"/>
    <w:uiPriority w:val="99"/>
    <w:unhideWhenUsed/>
    <w:rsid w:val="0078418D"/>
    <w:rPr>
      <w:vertAlign w:val="superscript"/>
    </w:rPr>
  </w:style>
  <w:style w:type="paragraph" w:styleId="Footer">
    <w:name w:val="footer"/>
    <w:basedOn w:val="Normal"/>
    <w:link w:val="FooterChar"/>
    <w:uiPriority w:val="99"/>
    <w:unhideWhenUsed/>
    <w:rsid w:val="00B36A59"/>
    <w:pPr>
      <w:tabs>
        <w:tab w:val="center" w:pos="4320"/>
        <w:tab w:val="right" w:pos="8640"/>
      </w:tabs>
    </w:pPr>
  </w:style>
  <w:style w:type="character" w:customStyle="1" w:styleId="FooterChar">
    <w:name w:val="Footer Char"/>
    <w:basedOn w:val="DefaultParagraphFont"/>
    <w:link w:val="Footer"/>
    <w:uiPriority w:val="99"/>
    <w:rsid w:val="00B36A59"/>
  </w:style>
  <w:style w:type="character" w:styleId="PageNumber">
    <w:name w:val="page number"/>
    <w:basedOn w:val="DefaultParagraphFont"/>
    <w:uiPriority w:val="99"/>
    <w:semiHidden/>
    <w:unhideWhenUsed/>
    <w:rsid w:val="00B36A59"/>
  </w:style>
  <w:style w:type="character" w:customStyle="1" w:styleId="Heading1Char">
    <w:name w:val="Heading 1 Char"/>
    <w:basedOn w:val="DefaultParagraphFont"/>
    <w:link w:val="Heading1"/>
    <w:uiPriority w:val="9"/>
    <w:rsid w:val="00C53BD2"/>
    <w:rPr>
      <w:rFonts w:ascii="Times" w:hAnsi="Times"/>
      <w:b/>
      <w:bCs/>
      <w:kern w:val="36"/>
      <w:sz w:val="48"/>
      <w:szCs w:val="48"/>
      <w:lang w:val="en-CA"/>
    </w:rPr>
  </w:style>
  <w:style w:type="character" w:customStyle="1" w:styleId="ListParagraphChar">
    <w:name w:val="List Paragraph Char"/>
    <w:link w:val="ListParagraph"/>
    <w:uiPriority w:val="34"/>
    <w:rsid w:val="00C53BD2"/>
  </w:style>
  <w:style w:type="character" w:styleId="Emphasis">
    <w:name w:val="Emphasis"/>
    <w:basedOn w:val="DefaultParagraphFont"/>
    <w:uiPriority w:val="20"/>
    <w:qFormat/>
    <w:rsid w:val="007E1483"/>
    <w:rPr>
      <w:i/>
      <w:iCs/>
    </w:rPr>
  </w:style>
  <w:style w:type="character" w:customStyle="1" w:styleId="st">
    <w:name w:val="st"/>
    <w:basedOn w:val="DefaultParagraphFont"/>
    <w:rsid w:val="00C93D64"/>
  </w:style>
  <w:style w:type="character" w:styleId="Strong">
    <w:name w:val="Strong"/>
    <w:basedOn w:val="DefaultParagraphFont"/>
    <w:uiPriority w:val="22"/>
    <w:qFormat/>
    <w:rsid w:val="005026A8"/>
    <w:rPr>
      <w:b/>
      <w:bCs/>
    </w:rPr>
  </w:style>
  <w:style w:type="character" w:customStyle="1" w:styleId="bold1">
    <w:name w:val="bold1"/>
    <w:basedOn w:val="DefaultParagraphFont"/>
    <w:rsid w:val="00BE4EED"/>
    <w:rPr>
      <w:b/>
      <w:bCs/>
    </w:rPr>
  </w:style>
  <w:style w:type="character" w:customStyle="1" w:styleId="italic1">
    <w:name w:val="italic1"/>
    <w:basedOn w:val="DefaultParagraphFont"/>
    <w:rsid w:val="00BE4EED"/>
    <w:rPr>
      <w:i/>
      <w:iCs/>
    </w:rPr>
  </w:style>
</w:styles>
</file>

<file path=word/webSettings.xml><?xml version="1.0" encoding="utf-8"?>
<w:webSettings xmlns:r="http://schemas.openxmlformats.org/officeDocument/2006/relationships" xmlns:w="http://schemas.openxmlformats.org/wordprocessingml/2006/main">
  <w:divs>
    <w:div w:id="421952890">
      <w:bodyDiv w:val="1"/>
      <w:marLeft w:val="0"/>
      <w:marRight w:val="0"/>
      <w:marTop w:val="0"/>
      <w:marBottom w:val="0"/>
      <w:divBdr>
        <w:top w:val="none" w:sz="0" w:space="0" w:color="auto"/>
        <w:left w:val="none" w:sz="0" w:space="0" w:color="auto"/>
        <w:bottom w:val="none" w:sz="0" w:space="0" w:color="auto"/>
        <w:right w:val="none" w:sz="0" w:space="0" w:color="auto"/>
      </w:divBdr>
      <w:divsChild>
        <w:div w:id="325591621">
          <w:marLeft w:val="0"/>
          <w:marRight w:val="0"/>
          <w:marTop w:val="0"/>
          <w:marBottom w:val="0"/>
          <w:divBdr>
            <w:top w:val="none" w:sz="0" w:space="0" w:color="auto"/>
            <w:left w:val="none" w:sz="0" w:space="0" w:color="auto"/>
            <w:bottom w:val="none" w:sz="0" w:space="0" w:color="auto"/>
            <w:right w:val="none" w:sz="0" w:space="0" w:color="auto"/>
          </w:divBdr>
        </w:div>
        <w:div w:id="1022364607">
          <w:marLeft w:val="0"/>
          <w:marRight w:val="0"/>
          <w:marTop w:val="0"/>
          <w:marBottom w:val="0"/>
          <w:divBdr>
            <w:top w:val="none" w:sz="0" w:space="0" w:color="auto"/>
            <w:left w:val="none" w:sz="0" w:space="0" w:color="auto"/>
            <w:bottom w:val="none" w:sz="0" w:space="0" w:color="auto"/>
            <w:right w:val="none" w:sz="0" w:space="0" w:color="auto"/>
          </w:divBdr>
        </w:div>
      </w:divsChild>
    </w:div>
    <w:div w:id="615723703">
      <w:bodyDiv w:val="1"/>
      <w:marLeft w:val="0"/>
      <w:marRight w:val="0"/>
      <w:marTop w:val="0"/>
      <w:marBottom w:val="0"/>
      <w:divBdr>
        <w:top w:val="none" w:sz="0" w:space="0" w:color="auto"/>
        <w:left w:val="none" w:sz="0" w:space="0" w:color="auto"/>
        <w:bottom w:val="none" w:sz="0" w:space="0" w:color="auto"/>
        <w:right w:val="none" w:sz="0" w:space="0" w:color="auto"/>
      </w:divBdr>
      <w:divsChild>
        <w:div w:id="1128740576">
          <w:marLeft w:val="0"/>
          <w:marRight w:val="0"/>
          <w:marTop w:val="0"/>
          <w:marBottom w:val="0"/>
          <w:divBdr>
            <w:top w:val="none" w:sz="0" w:space="0" w:color="auto"/>
            <w:left w:val="none" w:sz="0" w:space="0" w:color="auto"/>
            <w:bottom w:val="none" w:sz="0" w:space="0" w:color="auto"/>
            <w:right w:val="none" w:sz="0" w:space="0" w:color="auto"/>
          </w:divBdr>
        </w:div>
        <w:div w:id="1138961372">
          <w:marLeft w:val="0"/>
          <w:marRight w:val="0"/>
          <w:marTop w:val="0"/>
          <w:marBottom w:val="0"/>
          <w:divBdr>
            <w:top w:val="none" w:sz="0" w:space="0" w:color="auto"/>
            <w:left w:val="none" w:sz="0" w:space="0" w:color="auto"/>
            <w:bottom w:val="none" w:sz="0" w:space="0" w:color="auto"/>
            <w:right w:val="none" w:sz="0" w:space="0" w:color="auto"/>
          </w:divBdr>
        </w:div>
      </w:divsChild>
    </w:div>
    <w:div w:id="787361225">
      <w:bodyDiv w:val="1"/>
      <w:marLeft w:val="0"/>
      <w:marRight w:val="0"/>
      <w:marTop w:val="0"/>
      <w:marBottom w:val="0"/>
      <w:divBdr>
        <w:top w:val="none" w:sz="0" w:space="0" w:color="auto"/>
        <w:left w:val="none" w:sz="0" w:space="0" w:color="auto"/>
        <w:bottom w:val="none" w:sz="0" w:space="0" w:color="auto"/>
        <w:right w:val="none" w:sz="0" w:space="0" w:color="auto"/>
      </w:divBdr>
    </w:div>
    <w:div w:id="1125855111">
      <w:bodyDiv w:val="1"/>
      <w:marLeft w:val="0"/>
      <w:marRight w:val="0"/>
      <w:marTop w:val="0"/>
      <w:marBottom w:val="0"/>
      <w:divBdr>
        <w:top w:val="none" w:sz="0" w:space="0" w:color="auto"/>
        <w:left w:val="none" w:sz="0" w:space="0" w:color="auto"/>
        <w:bottom w:val="none" w:sz="0" w:space="0" w:color="auto"/>
        <w:right w:val="none" w:sz="0" w:space="0" w:color="auto"/>
      </w:divBdr>
      <w:divsChild>
        <w:div w:id="286744109">
          <w:marLeft w:val="0"/>
          <w:marRight w:val="0"/>
          <w:marTop w:val="0"/>
          <w:marBottom w:val="0"/>
          <w:divBdr>
            <w:top w:val="none" w:sz="0" w:space="0" w:color="auto"/>
            <w:left w:val="none" w:sz="0" w:space="0" w:color="auto"/>
            <w:bottom w:val="none" w:sz="0" w:space="0" w:color="auto"/>
            <w:right w:val="none" w:sz="0" w:space="0" w:color="auto"/>
          </w:divBdr>
        </w:div>
        <w:div w:id="15323090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kelly@latrobe.edu.a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ohchr.org/EN/NewsEvents/Pages/DisplayNews.aspx?NewsID=20739&amp;Lang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2984</Words>
  <Characters>17015</Characters>
  <Application>Microsoft Office Word</Application>
  <DocSecurity>0</DocSecurity>
  <Lines>141</Lines>
  <Paragraphs>39</Paragraphs>
  <ScaleCrop>false</ScaleCrop>
  <Company>Hewlett-Packard Company</Company>
  <LinksUpToDate>false</LinksUpToDate>
  <CharactersWithSpaces>19960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Kelly</dc:creator>
  <cp:lastModifiedBy>tina.obrien</cp:lastModifiedBy>
  <cp:revision>2</cp:revision>
  <dcterms:created xsi:type="dcterms:W3CDTF">2018-05-07T00:00:00Z</dcterms:created>
  <dcterms:modified xsi:type="dcterms:W3CDTF">2018-05-07T00:00:00Z</dcterms:modified>
</cp:coreProperties>
</file>