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olor w:val="365F91" w:themeColor="accent1" w:themeShade="BF"/>
          <w:sz w:val="32"/>
          <w:szCs w:val="32"/>
        </w:rPr>
        <w:id w:val="-702864660"/>
        <w:docPartObj>
          <w:docPartGallery w:val="Cover Pages"/>
          <w:docPartUnique/>
        </w:docPartObj>
      </w:sdtPr>
      <w:sdtContent>
        <w:p w:rsidR="00E73A71" w:rsidRDefault="005411EE" w:rsidP="00462142">
          <w:pPr>
            <w:spacing w:after="0" w:line="360" w:lineRule="auto"/>
          </w:pPr>
          <w:r>
            <w:rPr>
              <w:noProof/>
            </w:rPr>
            <w:pict>
              <v:group id="Group 48" o:spid="_x0000_s1026" style="position:absolute;margin-left:0;margin-top:0;width:540pt;height:10in;z-index:-251657216;mso-width-percent:882;mso-height-percent:909;mso-position-horizontal:center;mso-position-horizontal-relative:page;mso-position-vertical:center;mso-position-vertical-relative:page;mso-width-percent:882;mso-height-percent:909" coordsize="6858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b/aDAkAAAcxAAAOAAAAZHJzL2Uyb0RvYy54bWzsm1mP20YSx98X2O9A8HGBsXgfguXAR8ZY&#10;YDYx4gnyTFHUAVMkl+RYchb73fdf1d1UiyKlcWZibwC9jHgUq6urq/tXRfa8/GG/zY3PWd1symJm&#10;2i8s08iKtFxsitXM/PX+9iYyjaZNikWSl0U2M79kjfnDq7//7eWummZOuS7zRVYbUFI00101M9dt&#10;W00nkyZdZ9ukeVFWWYGby7LeJi1O69VkUSc7aN/mE8eygsmurBdVXaZZ0+DqO3HTfMX6l8ssbX9e&#10;LpusNfKZCdta/lvz3zn9nbx6mUxXdVKtN6k0I/kDVmyTTYFGO1XvkjYxHurNiartJq3Lply2L9Jy&#10;OymXy02acR/QG9vq9eZ9XT5U3JfVdLeqOjfBtT0//WG16U+fP9TGZjEzPYxUkWwxRtysgXM4Z1et&#10;ppB5X1cfqw+1vLASZ9Tf/bLe0i96YuzZrV86t2b71khxMYj8yLLg/RT3Ytvz6IQdn64xOifPpesf&#10;Lzw5UQ1PyL7OnO6ks1v1Le71Lf4L9g0TpDnEQPO0GPi4TqqMQ6uh8ZV+8j3lp18wc5JilWcGrvGw&#10;s1wXBM20QTw8NQK6cUymVd2077Nya9DBzKzRPk+o5PNd08IAiCoROc8Wt5s85+MGIuLAqEo4xkaA&#10;Wfw0ryPZ27w2PidYARafHL7cbopWXInDLhjXD9m/yoW8jLVFxmiTtN1lO4i76/nDVruuYhpmdm2y&#10;0avmxLKzpjXrZJFJI4KusSMjyDZpnG4EmcaXB23AxZXyU74pDAwuZqYtdBlNmuQZFgGbxppE66Rz&#10;b15QD4qS3C3u0hXMPBUDfNR+yTOSy4tfsiUWFMx74evOHaJTSZpmRWuL0Tn01R81nhWS5iXa73Rj&#10;iAfV0wgLI6U4PZkxCLpnB/2v7BIPd09ww2XRdg9vN0VZD8VWjk7JloW88pHwDDmp3c/3EKHDebn4&#10;gklXl4JITZXebhD4d0nTfkhqIAjLJbDa/ow/y7zczcxSHpnGuqx/H7pO8lgVcNc0dkDazGz+/ZDU&#10;mWnk/ywwLcQ6DAgendV8JpZl05jzmeeHPAGM4mH7tsTEsUHxKuVDGFa3uTpc1uX2NyD4NTWNW0mR&#10;woCZ2arDt62gLRCeZq9fsxDQVyXtXfGxSkk1+Zjm9v3+t6Su5ALQgh4/lWqZSqa9dUDI0pNF+fqh&#10;LZcbXiQOrpXex5IpYMCQ6HPB99V6J5jHsfOVyHN8x7MdKDoFn+c6sW27AnyeF9uWy1BNppfAN/Yk&#10;pqYiblPmm26O9ibZfKViUZPqs/Jb8CRQ/r2ts4yyOMMPejihMWyquzL91ND0oREEkAg0YqYQZ4z5&#10;DmstUpMEQ83xorwg8w7bt+wwHBwEJ3JCF37n7MOJXN+BnJioSkn6INhDpqg4wxq4UFhZyMToHgG+&#10;3OaYnf+YGJ6xM+wwYkeTsJLBVOlkcD8w1iTGvdbFHE3MGlGFyNFVOSOqAG1NLAxGtME7nZg1ogrj&#10;1clQ50ZUhZqYP6IKHu9UjfkKaVkn0/MVQUgNQLIWOQDmzb6Qg4IjwTCxmoP7lEfSCGEe3qvwhxQN&#10;6ogwxoCEXRkO54XhZRJWsXNeGH4k4fBRmuEpEuacFN1mzeJX9pWSoX4BU2OtnplzagCrZ9KSi9Sh&#10;AVzQ6AEVfBDwlNmCIPcly7TkK9EhFZto8CCQF7qg8CkEFVrVbfVbsT5MQNFtlYSo2+pXiZFh6LDy&#10;pLqtfoXYiXXqdpqXTSbmL3UbS4bWf3KbNpmx6MushRIT6no/jUFysG+l66he4ZrtP7HteNYbJ765&#10;DaLwxrv1/BskitGNZcdv4sDyYu/d7X/JqbY3XW8Wi6y42xSZqh9t73G5uaxkReXHFSQNXOwDJmSq&#10;tnTjpF7NuzSWcqVDqqdzAAVjseCQWGfJ4kd53CabXBxPji1m56Hb6pcd0cvsZKZyKbngBELlFpw/&#10;IE84pBZHmQWgcMgrRjOGZ8wSuEuiIxIxMi/4FgzEYinq6gMDeV04It0zMBDzM3DRGKaW44QW8g4O&#10;BIpqqsJd3ws8QiRV4epEzKMncdAHIxzH5SpRB5zOQboPTAyJ9Tk4JKNz0HGceESVzkEWGzasz8Gh&#10;FnUOsvHDqvocHFKlc3DMVzoHubmDr7CiXTn4BA7ykBAH+YDW1QPmBGlE1qiG7iIHKbIk1hWS1K/Q&#10;xwI0C89zUBh2kYMn1qnGrhw0rxz8ymr5u3IQC2Gfg/IVs1bxPQMHI892ZSloW7GvSu6Og14Uhqoe&#10;dOXJM3AwJg7aMaN9lIO4T/AaEDvh4IDMEQft2B1RdcRBO4pGDDvh4ECLRxwk44f7qHPQptpyqIc6&#10;CMecdQRCau+g6gpCFIZPASENL4OQDoZACOdT7ki3xXw4kFJBRxBOFIQQVJWzuq1+JQgRe6zyAgjZ&#10;MLRsn5c7MU+1diXhlYRf+974u5IQkdwnofwg+bwktB07sOSraS+OqPo7LgnxctqiOcolIaRJ+JlQ&#10;aMfB+VejccCvRvEjjDq8Qe2jcEiVjkI79gkUEDtRpaMQYg74NaStj8IhVToKSceIKh2FVKgOqeqT&#10;cMgknYSkQ1N1JeHTSMju5lejFDHjJFRDd7EkpACU80YxSf0KElLoPYKEwjCQ8HyBKUCoWacau4Lw&#10;CsK/EggDJJI9EOISAPTcr0blFwzfjUG7IwQef2h13dDyVRb6pLei9EnPCZ3z1WDo0ic9fJ7kDyt6&#10;0dhH4JAqHYG4H42o0hEIMULgkLY+Aoes0hFIOkZU6Qikr4NDqnQEjvlKRyDp0FRdEfg0BHIEcDFI&#10;wTeEQFnjydi8iEAo5JkFQUUj9SuLQYTeIxAoDLv4VvTEOtXYFYFXBD4TAlEiyr2l/M2wOyY4/ek7&#10;MVE8STTe04vLN+XeEPWUhkaj3eM67aCSyBzZkhn7tngP40VuhP2OxwQMIs91Yyz/XASGURwiVz0u&#10;AtXGS+NxezO7b+y0FtAn7cAFVGmR6e7wMkFXxEY7vNaiFqlvog98NLCl8BFb94b3Cz7iwW+9YXDx&#10;Se1SWZ7bMMibs7sh/v77BrH0at/1cSa2DOJA+6j/dZsF5/9PmwV52mO3Pe+JkP8ZQNv59XOO1cP/&#10;L7z6HwAAAP//AwBQSwMEFAAGAAgAAAAhAJD4gQvaAAAABwEAAA8AAABkcnMvZG93bnJldi54bWxM&#10;j0FPwzAMhe9I/IfISNxYwjRNU2k6oUnjBIetu3DzEtNWa5yqybby7/G4wMV6T896/lyup9CrC42p&#10;i2zheWZAEbvoO24sHOrt0wpUysge+8hk4ZsSrKv7uxILH6+8o8s+N0pKOBVooc15KLROrqWAaRYH&#10;Ysm+4hgwix0b7Ue8Snno9dyYpQ7YsVxocaBNS+60PwcLp91Hos22bg4uuG45vb/NP+tg7ePD9PoC&#10;KtOU/5bhhi/oUAnTMZ7ZJ9VbkEfy77xlZmXEH0UtFqJ0Ver//NUPAAAA//8DAFBLAQItABQABgAI&#10;AAAAIQC2gziS/gAAAOEBAAATAAAAAAAAAAAAAAAAAAAAAABbQ29udGVudF9UeXBlc10ueG1sUEsB&#10;Ai0AFAAGAAgAAAAhADj9If/WAAAAlAEAAAsAAAAAAAAAAAAAAAAALwEAAF9yZWxzLy5yZWxzUEsB&#10;Ai0AFAAGAAgAAAAhAOlBv9oMCQAABzEAAA4AAAAAAAAAAAAAAAAALgIAAGRycy9lMm9Eb2MueG1s&#10;UEsBAi0AFAAGAAgAAAAhAJD4gQvaAAAABwEAAA8AAAAAAAAAAAAAAAAAZgsAAGRycy9kb3ducmV2&#10;LnhtbFBLBQYAAAAABAAEAPMAAABtDAAAAAA=&#10;">
                <v:group id="Group 49" o:spid="_x0000_s1027" style="position:absolute;width:68580;height:91440" coordsize="6858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54" o:spid="_x0000_s1028" style="position:absolute;width:68580;height:9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zIlxQAAANsAAAAPAAAAZHJzL2Rvd25yZXYueG1sRI9BawIx&#10;FITvBf9DeIK3mq22pWyNooK0eBFtBXt73Tw3wc3LuknX9d+bQqHHYWa+YSazzlWipSZYzwoehhkI&#10;4sJry6WCz4/V/QuIEJE1Vp5JwZUCzKa9uwnm2l94S+0uliJBOOSowMRY51KGwpDDMPQ1cfKOvnEY&#10;k2xKqRu8JLir5CjLnqVDy2nBYE1LQ8Vp9+MUbPft+GA26zdr7XjxffVy/XU+KjXod/NXEJG6+B/+&#10;a79rBU+P8Psl/QA5vQEAAP//AwBQSwECLQAUAAYACAAAACEA2+H2y+4AAACFAQAAEwAAAAAAAAAA&#10;AAAAAAAAAAAAW0NvbnRlbnRfVHlwZXNdLnhtbFBLAQItABQABgAIAAAAIQBa9CxbvwAAABUBAAAL&#10;AAAAAAAAAAAAAAAAAB8BAABfcmVscy8ucmVsc1BLAQItABQABgAIAAAAIQCGyzIlxQAAANsAAAAP&#10;AAAAAAAAAAAAAAAAAAcCAABkcnMvZG93bnJldi54bWxQSwUGAAAAAAMAAwC3AAAA+QIAAAAA&#10;" fillcolor="#214d85 [3122]" stroked="f" strokeweight="1pt">
                    <v:fill color2="#1c4170 [2882]" angle="348" colors="0 #5cb2dc;6554f #5cb2dc" focus="100%" type="gradient"/>
                    <v:textbox inset="54pt,54pt,1in,5in">
                      <w:txbxContent>
                        <w:p w:rsidR="0007012D" w:rsidRDefault="0007012D">
                          <w:pPr>
                            <w:pStyle w:val="NoSpacing"/>
                            <w:rPr>
                              <w:color w:val="FFFFFF" w:themeColor="background1"/>
                              <w:sz w:val="48"/>
                              <w:szCs w:val="48"/>
                            </w:rPr>
                          </w:pPr>
                        </w:p>
                      </w:txbxContent>
                    </v:textbox>
                  </v:rect>
                  <v:group id="Group 2" o:spid="_x0000_s1029" style="position:absolute;left:25241;width:43291;height:44910" coordsize="43291,4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56" o:spid="_x0000_s1030"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SSBwwAAANsAAAAPAAAAZHJzL2Rvd25yZXYueG1sRI9BawIx&#10;FITvQv9DeIXeNFuhYlej2MK23mq3xfNj89wNbl62SVzXf28KgsdhZr5hluvBtqInH4xjBc+TDARx&#10;5bThWsHvTzGegwgRWWPrmBRcKMB69TBaYq7dmb+pL2MtEoRDjgqaGLtcylA1ZDFMXEecvIPzFmOS&#10;vpba4znBbSunWTaTFg2nhQY7em+oOpYnq6B/88NXdPttUZjdq+z1h/n73Cv19DhsFiAiDfEevrW3&#10;WsHLDP6/pB8gV1cAAAD//wMAUEsBAi0AFAAGAAgAAAAhANvh9svuAAAAhQEAABMAAAAAAAAAAAAA&#10;AAAAAAAAAFtDb250ZW50X1R5cGVzXS54bWxQSwECLQAUAAYACAAAACEAWvQsW78AAAAVAQAACwAA&#10;AAAAAAAAAAAAAAAfAQAAX3JlbHMvLnJlbHNQSwECLQAUAAYACAAAACEAkw0kgcMAAADbAAAADwAA&#10;AAAAAAAAAAAAAAAHAgAAZHJzL2Rvd25yZXYueG1sUEsFBgAAAAADAAMAtwAAAPcCAAAAAA==&#10;" path="m4,1786l,1782,1776,r5,5l4,1786xe" filled="f" stroked="f">
                      <v:path arrowok="t" o:connecttype="custom" o:connectlocs="6350,2835275;0,2828925;2819400,0;2827338,7938;6350,2835275" o:connectangles="0,0,0,0,0"/>
                    </v:shape>
                    <v:shape id="Freeform 57" o:spid="_x0000_s1031"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GAJxQAAANsAAAAPAAAAZHJzL2Rvd25yZXYueG1sRI/RasJA&#10;FETfC/7DcoW+NRsttTV1FRHFPoil0Q+4zV6TYPZuzG5i2q93hUIfh5k5w8wWvalER40rLSsYRTEI&#10;4szqknMFx8Pm6Q2E88gaK8uk4IccLOaDhxkm2l75i7rU5yJA2CWooPC+TqR0WUEGXWRr4uCdbGPQ&#10;B9nkUjd4DXBTyXEcT6TBksNCgTWtCsrOaWsU9L/tdve5HtW7STV99t/yspruUanHYb98B+Gp9//h&#10;v/aHVvDyCvcv4QfI+Q0AAP//AwBQSwECLQAUAAYACAAAACEA2+H2y+4AAACFAQAAEwAAAAAAAAAA&#10;AAAAAAAAAAAAW0NvbnRlbnRfVHlwZXNdLnhtbFBLAQItABQABgAIAAAAIQBa9CxbvwAAABUBAAAL&#10;AAAAAAAAAAAAAAAAAB8BAABfcmVscy8ucmVsc1BLAQItABQABgAIAAAAIQAcaGAJxQAAANsAAAAP&#10;AAAAAAAAAAAAAAAAAAcCAABkcnMvZG93bnJldi54bWxQSwUGAAAAAAMAAwC3AAAA+QIAAAAA&#10;" path="m5,2234l,2229,2229,r5,5l5,2234xe" filled="f" stroked="f">
                      <v:path arrowok="t" o:connecttype="custom" o:connectlocs="7938,3546475;0,3538538;3538538,0;3546475,7938;7938,3546475" o:connectangles="0,0,0,0,0"/>
                    </v:shape>
                    <v:shape id="Freeform 58" o:spid="_x0000_s1032"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4njwgAAANsAAAAPAAAAZHJzL2Rvd25yZXYueG1sRE9Na8JA&#10;EL0L/odlCr2I2ViwhugmSCFtr1VL8TZmxyQ0O5tmt0n8991DwePjfe/yybRioN41lhWsohgEcWl1&#10;w5WC07FYJiCcR9bYWiYFN3KQZ/PZDlNtR/6g4eArEULYpaig9r5LpXRlTQZdZDviwF1tb9AH2FdS&#10;9ziGcNPKpzh+lgYbDg01dvRSU/l9+DUKEnceN0f8eR28vK6axeWz+HorlHp8mPZbEJ4mfxf/u9+1&#10;gnUYG76EHyCzPwAAAP//AwBQSwECLQAUAAYACAAAACEA2+H2y+4AAACFAQAAEwAAAAAAAAAAAAAA&#10;AAAAAAAAW0NvbnRlbnRfVHlwZXNdLnhtbFBLAQItABQABgAIAAAAIQBa9CxbvwAAABUBAAALAAAA&#10;AAAAAAAAAAAAAB8BAABfcmVscy8ucmVsc1BLAQItABQABgAIAAAAIQDUx4njwgAAANsAAAAPAAAA&#10;AAAAAAAAAAAAAAcCAABkcnMvZG93bnJldi54bWxQSwUGAAAAAAMAAwC3AAAA9gIAAAAA&#10;" path="m9,2197l,2193,2188,r9,10l9,2197xe" filled="f" stroked="f">
                      <v:path arrowok="t" o:connecttype="custom" o:connectlocs="14288,3487738;0,3481388;3473450,0;3487738,15875;14288,3487738" o:connectangles="0,0,0,0,0"/>
                    </v:shape>
                    <v:shape id="Freeform 59" o:spid="_x0000_s1033"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a1wwAAANsAAAAPAAAAZHJzL2Rvd25yZXYueG1sRI/BagIx&#10;EIbvgu8QRuhNs0or7moUaVGk0INa6HXcTDdLN5Mlie769k2h4HH45//mm9Wmt424kQ+1YwXTSQaC&#10;uHS65krB53k3XoAIEVlj45gU3CnAZj0crLDQruMj3U6xEgnCoUAFJsa2kDKUhiyGiWuJU/btvMWY&#10;Rl9J7bFLcNvIWZbNpcWa0wWDLb0aKn9OV5s0vmZv+2cjL8lqnn0c97l/73Klnkb9dgkiUh8fy//t&#10;g1bwksPfLwkAcv0LAAD//wMAUEsBAi0AFAAGAAgAAAAhANvh9svuAAAAhQEAABMAAAAAAAAAAAAA&#10;AAAAAAAAAFtDb250ZW50X1R5cGVzXS54bWxQSwECLQAUAAYACAAAACEAWvQsW78AAAAVAQAACwAA&#10;AAAAAAAAAAAAAAAfAQAAX3JlbHMvLnJlbHNQSwECLQAUAAYACAAAACEADY32t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0" o:spid="_x0000_s1034"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0/huwAAANsAAAAPAAAAZHJzL2Rvd25yZXYueG1sRE9LCsIw&#10;EN0L3iGM4E5TXZRSjaUIgi79HGBopm2wmZQmavX0ZiG4fLz/thhtJ540eONYwWqZgCCunDbcKLhd&#10;D4sMhA/IGjvHpOBNHorddLLFXLsXn+l5CY2IIexzVNCG0OdS+qoli37peuLI1W6wGCIcGqkHfMVw&#10;28l1kqTSouHY0GJP+5aq++VhFSRmferOaW20rLP7zZyyY/mplJrPxnIDItAY/uKf+6gVpHF9/BJ/&#10;gNx9AQAA//8DAFBLAQItABQABgAIAAAAIQDb4fbL7gAAAIUBAAATAAAAAAAAAAAAAAAAAAAAAABb&#10;Q29udGVudF9UeXBlc10ueG1sUEsBAi0AFAAGAAgAAAAhAFr0LFu/AAAAFQEAAAsAAAAAAAAAAAAA&#10;AAAAHwEAAF9yZWxzLy5yZWxzUEsBAi0AFAAGAAgAAAAhAK+LT+G7AAAA2wAAAA8AAAAAAAAAAAAA&#10;AAAABwIAAGRycy9kb3ducmV2LnhtbFBLBQYAAAAAAwADALcAAADvAgAAAAA=&#10;" path="m,2732r,-4l2722,r5,5l,2732xe" filled="f" stroked="f">
                      <v:path arrowok="t" o:connecttype="custom" o:connectlocs="0,4337050;0,4330700;4321175,0;4329113,7938;0,4337050" o:connectangles="0,0,0,0,0"/>
                    </v:shape>
                  </v:group>
                </v:group>
                <v:shapetype id="_x0000_t202" coordsize="21600,21600" o:spt="202" path="m,l,21600r21600,l21600,xe">
                  <v:stroke joinstyle="miter"/>
                  <v:path gradientshapeok="t" o:connecttype="rect"/>
                </v:shapetype>
                <v:shape id="Text Box 61" o:spid="_x0000_s1035" type="#_x0000_t202" style="position:absolute;left:95;top:48387;width:68434;height:3789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1FwwAAANsAAAAPAAAAZHJzL2Rvd25yZXYueG1sRI/NasMw&#10;EITvhb6D2EJvtZweQnGjhJCQOsfmr/S4WFtLxFo5lmq7b18FAjkOM/MNM1uMrhE9dcF6VjDJchDE&#10;ldeWawXHw+blDUSIyBobz6TgjwIs5o8PMyy0H3hH/T7WIkE4FKjAxNgWUobKkMOQ+ZY4eT++cxiT&#10;7GqpOxwS3DXyNc+n0qHltGCwpZWh6rz/dQoG7q0tZbP+kp/56bv8MNtLuVPq+WlcvoOINMZ7+Nbe&#10;agXTCVy/pB8g5/8AAAD//wMAUEsBAi0AFAAGAAgAAAAhANvh9svuAAAAhQEAABMAAAAAAAAAAAAA&#10;AAAAAAAAAFtDb250ZW50X1R5cGVzXS54bWxQSwECLQAUAAYACAAAACEAWvQsW78AAAAVAQAACwAA&#10;AAAAAAAAAAAAAAAfAQAAX3JlbHMvLnJlbHNQSwECLQAUAAYACAAAACEAmPitRcMAAADbAAAADwAA&#10;AAAAAAAAAAAAAAAHAgAAZHJzL2Rvd25yZXYueG1sUEsFBgAAAAADAAMAtwAAAPcCAAAAAA==&#10;" filled="f" stroked="f" strokeweight=".5pt">
                  <v:textbox inset="54pt,0,1in,0">
                    <w:txbxContent>
                      <w:p w:rsidR="0007012D" w:rsidRPr="007D6421" w:rsidRDefault="0007012D">
                        <w:pPr>
                          <w:pStyle w:val="NoSpacing"/>
                          <w:rPr>
                            <w:rFonts w:asciiTheme="majorHAnsi" w:eastAsiaTheme="majorEastAsia" w:hAnsiTheme="majorHAnsi" w:cstheme="majorBidi"/>
                            <w:color w:val="FFFFFF" w:themeColor="background1"/>
                            <w:sz w:val="44"/>
                            <w:szCs w:val="44"/>
                          </w:rPr>
                        </w:pPr>
                        <w:r w:rsidRPr="007D6421">
                          <w:rPr>
                            <w:rFonts w:asciiTheme="majorHAnsi" w:eastAsiaTheme="majorEastAsia" w:hAnsiTheme="majorHAnsi" w:cstheme="majorBidi"/>
                            <w:color w:val="FFFFFF" w:themeColor="background1"/>
                            <w:sz w:val="44"/>
                            <w:szCs w:val="44"/>
                          </w:rPr>
                          <w:t xml:space="preserve">Public Submission                  </w:t>
                        </w:r>
                        <w:r>
                          <w:rPr>
                            <w:rFonts w:asciiTheme="majorHAnsi" w:eastAsiaTheme="majorEastAsia" w:hAnsiTheme="majorHAnsi" w:cstheme="majorBidi"/>
                            <w:color w:val="FFFFFF" w:themeColor="background1"/>
                            <w:sz w:val="44"/>
                            <w:szCs w:val="44"/>
                          </w:rPr>
                          <w:t xml:space="preserve">             </w:t>
                        </w:r>
                        <w:r w:rsidRPr="007D6421">
                          <w:rPr>
                            <w:rFonts w:asciiTheme="majorHAnsi" w:eastAsiaTheme="majorEastAsia" w:hAnsiTheme="majorHAnsi" w:cstheme="majorBidi"/>
                            <w:color w:val="FFFFFF" w:themeColor="background1"/>
                            <w:sz w:val="44"/>
                            <w:szCs w:val="44"/>
                          </w:rPr>
                          <w:t>Australian Law Reform Commission Inquiry         Review of the Family Law System</w:t>
                        </w:r>
                      </w:p>
                      <w:p w:rsidR="0007012D" w:rsidRDefault="0007012D">
                        <w:pPr>
                          <w:pStyle w:val="NoSpacing"/>
                          <w:spacing w:before="120"/>
                          <w:rPr>
                            <w:color w:val="4F81BD" w:themeColor="accent1"/>
                            <w:sz w:val="36"/>
                            <w:szCs w:val="36"/>
                          </w:rPr>
                        </w:pPr>
                        <w:r>
                          <w:rPr>
                            <w:color w:val="FFFFFF" w:themeColor="background1"/>
                            <w:sz w:val="28"/>
                            <w:szCs w:val="28"/>
                          </w:rPr>
                          <w:t>Dr. Christopher Turnbull</w:t>
                        </w:r>
                      </w:p>
                    </w:txbxContent>
                  </v:textbox>
                </v:shape>
                <w10:wrap anchorx="page" anchory="page"/>
              </v:group>
            </w:pict>
          </w:r>
        </w:p>
        <w:p w:rsidR="0067401C" w:rsidRDefault="00E73A71" w:rsidP="00462142">
          <w:pPr>
            <w:pStyle w:val="Heading1"/>
            <w:spacing w:before="0" w:line="360" w:lineRule="auto"/>
          </w:pPr>
          <w:r>
            <w:br w:type="page"/>
          </w:r>
        </w:p>
      </w:sdtContent>
    </w:sdt>
    <w:p w:rsidR="0067401C" w:rsidRPr="007D6421" w:rsidRDefault="00CA504F" w:rsidP="00462142">
      <w:pPr>
        <w:pStyle w:val="Title"/>
        <w:rPr>
          <w:sz w:val="48"/>
          <w:szCs w:val="48"/>
        </w:rPr>
      </w:pPr>
      <w:r w:rsidRPr="007D6421">
        <w:rPr>
          <w:sz w:val="48"/>
          <w:szCs w:val="48"/>
        </w:rPr>
        <w:lastRenderedPageBreak/>
        <w:t>Public Submission</w:t>
      </w:r>
    </w:p>
    <w:p w:rsidR="00CA504F" w:rsidRPr="007D6421" w:rsidRDefault="00CA504F" w:rsidP="00462142">
      <w:pPr>
        <w:pStyle w:val="Title"/>
        <w:rPr>
          <w:sz w:val="48"/>
          <w:szCs w:val="48"/>
        </w:rPr>
      </w:pPr>
      <w:r w:rsidRPr="007D6421">
        <w:rPr>
          <w:sz w:val="48"/>
          <w:szCs w:val="48"/>
        </w:rPr>
        <w:t>Australia</w:t>
      </w:r>
      <w:r w:rsidR="007D6421" w:rsidRPr="007D6421">
        <w:rPr>
          <w:sz w:val="48"/>
          <w:szCs w:val="48"/>
        </w:rPr>
        <w:t>n</w:t>
      </w:r>
      <w:r w:rsidRPr="007D6421">
        <w:rPr>
          <w:sz w:val="48"/>
          <w:szCs w:val="48"/>
        </w:rPr>
        <w:t xml:space="preserve"> Law Reform Commission Inquiry</w:t>
      </w:r>
    </w:p>
    <w:p w:rsidR="00CA504F" w:rsidRPr="007D6421" w:rsidRDefault="007D6421" w:rsidP="00462142">
      <w:pPr>
        <w:pStyle w:val="Title"/>
        <w:rPr>
          <w:sz w:val="48"/>
          <w:szCs w:val="48"/>
        </w:rPr>
      </w:pPr>
      <w:r w:rsidRPr="007D6421">
        <w:rPr>
          <w:sz w:val="48"/>
          <w:szCs w:val="48"/>
        </w:rPr>
        <w:t>Review of the Family Law S</w:t>
      </w:r>
      <w:r w:rsidR="00CA504F" w:rsidRPr="007D6421">
        <w:rPr>
          <w:sz w:val="48"/>
          <w:szCs w:val="48"/>
        </w:rPr>
        <w:t>ystem</w:t>
      </w:r>
    </w:p>
    <w:p w:rsidR="007D6421" w:rsidRDefault="007D6421" w:rsidP="00462142">
      <w:pPr>
        <w:spacing w:after="0" w:line="240" w:lineRule="auto"/>
        <w:rPr>
          <w:sz w:val="24"/>
          <w:szCs w:val="24"/>
        </w:rPr>
      </w:pPr>
    </w:p>
    <w:p w:rsidR="007D6421" w:rsidRDefault="009562F6" w:rsidP="00462142">
      <w:pPr>
        <w:spacing w:after="0" w:line="240" w:lineRule="auto"/>
        <w:rPr>
          <w:sz w:val="24"/>
          <w:szCs w:val="24"/>
        </w:rPr>
      </w:pPr>
      <w:r w:rsidRPr="00934AA7">
        <w:rPr>
          <w:noProof/>
          <w:sz w:val="24"/>
          <w:szCs w:val="24"/>
        </w:rPr>
        <w:t>Dr</w:t>
      </w:r>
      <w:r>
        <w:rPr>
          <w:sz w:val="24"/>
          <w:szCs w:val="24"/>
        </w:rPr>
        <w:t xml:space="preserve"> Christopher Turnbull</w:t>
      </w:r>
      <w:r w:rsidR="007D6421" w:rsidRPr="007D6421">
        <w:rPr>
          <w:sz w:val="24"/>
          <w:szCs w:val="24"/>
        </w:rPr>
        <w:t xml:space="preserve"> PhD (QUT) </w:t>
      </w:r>
    </w:p>
    <w:p w:rsidR="00CA504F" w:rsidRDefault="005411EE" w:rsidP="00462142">
      <w:pPr>
        <w:spacing w:after="0" w:line="240" w:lineRule="auto"/>
        <w:rPr>
          <w:sz w:val="24"/>
          <w:szCs w:val="24"/>
        </w:rPr>
      </w:pPr>
      <w:r>
        <w:rPr>
          <w:sz w:val="24"/>
          <w:szCs w:val="24"/>
        </w:rPr>
        <w:fldChar w:fldCharType="begin"/>
      </w:r>
      <w:r w:rsidR="007D6421">
        <w:rPr>
          <w:sz w:val="24"/>
          <w:szCs w:val="24"/>
        </w:rPr>
        <w:instrText xml:space="preserve"> DATE \@ "d MMMM yyyy" </w:instrText>
      </w:r>
      <w:r>
        <w:rPr>
          <w:sz w:val="24"/>
          <w:szCs w:val="24"/>
        </w:rPr>
        <w:fldChar w:fldCharType="separate"/>
      </w:r>
      <w:r w:rsidR="00813BCA">
        <w:rPr>
          <w:noProof/>
          <w:sz w:val="24"/>
          <w:szCs w:val="24"/>
        </w:rPr>
        <w:t>4 May 2018</w:t>
      </w:r>
      <w:r>
        <w:rPr>
          <w:sz w:val="24"/>
          <w:szCs w:val="24"/>
        </w:rPr>
        <w:fldChar w:fldCharType="end"/>
      </w:r>
      <w:bookmarkStart w:id="0" w:name="_GoBack"/>
      <w:bookmarkEnd w:id="0"/>
    </w:p>
    <w:p w:rsidR="00462142" w:rsidRPr="007D6421" w:rsidRDefault="00462142" w:rsidP="00462142">
      <w:pPr>
        <w:spacing w:after="0" w:line="240" w:lineRule="auto"/>
        <w:rPr>
          <w:sz w:val="24"/>
          <w:szCs w:val="24"/>
        </w:rPr>
      </w:pPr>
    </w:p>
    <w:p w:rsidR="00FA0F03" w:rsidRPr="007D6421" w:rsidRDefault="0067401C" w:rsidP="00462142">
      <w:pPr>
        <w:pStyle w:val="Heading1"/>
        <w:pBdr>
          <w:bottom w:val="single" w:sz="4" w:space="1" w:color="auto"/>
        </w:pBdr>
        <w:spacing w:before="0" w:line="360" w:lineRule="auto"/>
        <w:rPr>
          <w:b/>
          <w:color w:val="auto"/>
        </w:rPr>
      </w:pPr>
      <w:bookmarkStart w:id="1" w:name="_Toc512895925"/>
      <w:r w:rsidRPr="007D6421">
        <w:rPr>
          <w:b/>
          <w:color w:val="auto"/>
        </w:rPr>
        <w:t>Introduction</w:t>
      </w:r>
      <w:bookmarkEnd w:id="1"/>
    </w:p>
    <w:p w:rsidR="0067401C" w:rsidRDefault="0067401C" w:rsidP="00462142">
      <w:pPr>
        <w:spacing w:after="0" w:line="360" w:lineRule="auto"/>
      </w:pPr>
    </w:p>
    <w:p w:rsidR="00DF29B2" w:rsidRPr="00AB17D8" w:rsidRDefault="00F227E8" w:rsidP="00462142">
      <w:pPr>
        <w:spacing w:after="0" w:line="360" w:lineRule="auto"/>
        <w:jc w:val="both"/>
        <w:rPr>
          <w:sz w:val="24"/>
          <w:szCs w:val="24"/>
        </w:rPr>
      </w:pPr>
      <w:r w:rsidRPr="00AB17D8">
        <w:rPr>
          <w:sz w:val="24"/>
          <w:szCs w:val="24"/>
        </w:rPr>
        <w:t xml:space="preserve">I write in a personal capacity. </w:t>
      </w:r>
      <w:r w:rsidR="00DF29B2" w:rsidRPr="00AB17D8">
        <w:rPr>
          <w:sz w:val="24"/>
          <w:szCs w:val="24"/>
        </w:rPr>
        <w:t xml:space="preserve">My interest in the issues </w:t>
      </w:r>
      <w:r w:rsidR="00DF29B2" w:rsidRPr="00195907">
        <w:rPr>
          <w:noProof/>
          <w:sz w:val="24"/>
          <w:szCs w:val="24"/>
        </w:rPr>
        <w:t>arise</w:t>
      </w:r>
      <w:r w:rsidR="00195907">
        <w:rPr>
          <w:noProof/>
          <w:sz w:val="24"/>
          <w:szCs w:val="24"/>
        </w:rPr>
        <w:t>s</w:t>
      </w:r>
      <w:r w:rsidR="00DF29B2" w:rsidRPr="00AB17D8">
        <w:rPr>
          <w:sz w:val="24"/>
          <w:szCs w:val="24"/>
        </w:rPr>
        <w:t xml:space="preserve"> from my experience as a legal practitioner in family law, a teacher of family law, </w:t>
      </w:r>
      <w:r w:rsidR="0049007F">
        <w:rPr>
          <w:sz w:val="24"/>
          <w:szCs w:val="24"/>
        </w:rPr>
        <w:t>and from postgraduate research</w:t>
      </w:r>
      <w:r w:rsidR="00DF29B2" w:rsidRPr="00AB17D8">
        <w:rPr>
          <w:sz w:val="24"/>
          <w:szCs w:val="24"/>
        </w:rPr>
        <w:t xml:space="preserve">. </w:t>
      </w:r>
    </w:p>
    <w:p w:rsidR="00462142" w:rsidRDefault="00462142" w:rsidP="00462142">
      <w:pPr>
        <w:spacing w:after="0" w:line="360" w:lineRule="auto"/>
        <w:jc w:val="both"/>
        <w:rPr>
          <w:sz w:val="24"/>
          <w:szCs w:val="24"/>
        </w:rPr>
      </w:pPr>
    </w:p>
    <w:p w:rsidR="001568EF" w:rsidRDefault="0002417C" w:rsidP="00462142">
      <w:pPr>
        <w:spacing w:after="0" w:line="360" w:lineRule="auto"/>
        <w:jc w:val="both"/>
        <w:rPr>
          <w:sz w:val="24"/>
          <w:szCs w:val="24"/>
        </w:rPr>
      </w:pPr>
      <w:r>
        <w:rPr>
          <w:sz w:val="24"/>
          <w:szCs w:val="24"/>
        </w:rPr>
        <w:t>My admission</w:t>
      </w:r>
      <w:r w:rsidR="0049007F">
        <w:rPr>
          <w:sz w:val="24"/>
          <w:szCs w:val="24"/>
        </w:rPr>
        <w:t xml:space="preserve"> as a Solicitor </w:t>
      </w:r>
      <w:r>
        <w:rPr>
          <w:sz w:val="24"/>
          <w:szCs w:val="24"/>
        </w:rPr>
        <w:t xml:space="preserve">was </w:t>
      </w:r>
      <w:r w:rsidR="0049007F">
        <w:rPr>
          <w:sz w:val="24"/>
          <w:szCs w:val="24"/>
        </w:rPr>
        <w:t>in the year 2000 and</w:t>
      </w:r>
      <w:r w:rsidR="00307729">
        <w:rPr>
          <w:sz w:val="24"/>
          <w:szCs w:val="24"/>
        </w:rPr>
        <w:t xml:space="preserve">, until September 2017, </w:t>
      </w:r>
      <w:r>
        <w:rPr>
          <w:sz w:val="24"/>
          <w:szCs w:val="24"/>
        </w:rPr>
        <w:t>I worked</w:t>
      </w:r>
      <w:r w:rsidR="00307729">
        <w:rPr>
          <w:sz w:val="24"/>
          <w:szCs w:val="24"/>
        </w:rPr>
        <w:t xml:space="preserve"> in various private practise roles</w:t>
      </w:r>
      <w:r w:rsidR="00DF29B2" w:rsidRPr="00AB17D8">
        <w:rPr>
          <w:sz w:val="24"/>
          <w:szCs w:val="24"/>
        </w:rPr>
        <w:t xml:space="preserve">. </w:t>
      </w:r>
      <w:r w:rsidR="00F227E8" w:rsidRPr="00AB17D8">
        <w:rPr>
          <w:sz w:val="24"/>
          <w:szCs w:val="24"/>
        </w:rPr>
        <w:t xml:space="preserve">In 2017 I </w:t>
      </w:r>
      <w:r w:rsidR="00DF29B2" w:rsidRPr="00AB17D8">
        <w:rPr>
          <w:sz w:val="24"/>
          <w:szCs w:val="24"/>
        </w:rPr>
        <w:t>obtained</w:t>
      </w:r>
      <w:r w:rsidR="00F227E8" w:rsidRPr="00AB17D8">
        <w:rPr>
          <w:sz w:val="24"/>
          <w:szCs w:val="24"/>
        </w:rPr>
        <w:t xml:space="preserve"> a Doctor of Philosophy from Queensland University of Technology. My thesis title was ‘Family Law Property Settlements:  Principled Law Reform for Separated Families’. </w:t>
      </w:r>
      <w:r w:rsidR="00313831" w:rsidRPr="00AB17D8">
        <w:rPr>
          <w:rStyle w:val="EndnoteReference"/>
          <w:sz w:val="24"/>
          <w:szCs w:val="24"/>
        </w:rPr>
        <w:endnoteReference w:id="1"/>
      </w:r>
      <w:r w:rsidR="00626DE8" w:rsidRPr="00AB17D8">
        <w:rPr>
          <w:sz w:val="24"/>
          <w:szCs w:val="24"/>
        </w:rPr>
        <w:t xml:space="preserve"> </w:t>
      </w:r>
      <w:r w:rsidR="0049007F">
        <w:rPr>
          <w:sz w:val="24"/>
          <w:szCs w:val="24"/>
        </w:rPr>
        <w:t xml:space="preserve">The thesis is </w:t>
      </w:r>
      <w:r w:rsidR="00307729">
        <w:rPr>
          <w:sz w:val="24"/>
          <w:szCs w:val="24"/>
        </w:rPr>
        <w:t>available</w:t>
      </w:r>
      <w:r w:rsidR="0049007F">
        <w:rPr>
          <w:sz w:val="24"/>
          <w:szCs w:val="24"/>
        </w:rPr>
        <w:t xml:space="preserve"> online. It is accessible through a direct link: </w:t>
      </w:r>
      <w:hyperlink r:id="rId8" w:history="1">
        <w:r w:rsidR="0049007F" w:rsidRPr="006D37FD">
          <w:rPr>
            <w:rStyle w:val="Hyperlink"/>
            <w:sz w:val="24"/>
            <w:szCs w:val="24"/>
          </w:rPr>
          <w:t>https://eprints.qut.edu.au/113831/</w:t>
        </w:r>
      </w:hyperlink>
      <w:r w:rsidR="0049007F">
        <w:rPr>
          <w:sz w:val="24"/>
          <w:szCs w:val="24"/>
        </w:rPr>
        <w:t>.</w:t>
      </w:r>
      <w:r w:rsidR="001568EF">
        <w:rPr>
          <w:sz w:val="24"/>
          <w:szCs w:val="24"/>
        </w:rPr>
        <w:t xml:space="preserve"> </w:t>
      </w:r>
      <w:r w:rsidR="00626DE8" w:rsidRPr="00AB17D8">
        <w:rPr>
          <w:sz w:val="24"/>
          <w:szCs w:val="24"/>
        </w:rPr>
        <w:t xml:space="preserve">This submission draws upon (but does not repeat) that thesis. </w:t>
      </w:r>
    </w:p>
    <w:p w:rsidR="001568EF" w:rsidRDefault="001568EF" w:rsidP="00462142">
      <w:pPr>
        <w:spacing w:after="0" w:line="360" w:lineRule="auto"/>
        <w:jc w:val="both"/>
        <w:rPr>
          <w:sz w:val="24"/>
          <w:szCs w:val="24"/>
        </w:rPr>
      </w:pPr>
    </w:p>
    <w:p w:rsidR="00AF38E5" w:rsidRDefault="00DF29B2" w:rsidP="00462142">
      <w:pPr>
        <w:spacing w:after="0" w:line="360" w:lineRule="auto"/>
        <w:jc w:val="both"/>
        <w:rPr>
          <w:sz w:val="24"/>
          <w:szCs w:val="24"/>
        </w:rPr>
      </w:pPr>
      <w:r w:rsidRPr="00AB17D8">
        <w:rPr>
          <w:sz w:val="24"/>
          <w:szCs w:val="24"/>
        </w:rPr>
        <w:t xml:space="preserve">Previously, </w:t>
      </w:r>
      <w:r w:rsidR="00F227E8" w:rsidRPr="00AB17D8">
        <w:rPr>
          <w:sz w:val="24"/>
          <w:szCs w:val="24"/>
        </w:rPr>
        <w:t xml:space="preserve">I was in private </w:t>
      </w:r>
      <w:r w:rsidR="00F227E8" w:rsidRPr="00E014B4">
        <w:rPr>
          <w:noProof/>
          <w:sz w:val="24"/>
          <w:szCs w:val="24"/>
        </w:rPr>
        <w:t>practise</w:t>
      </w:r>
      <w:r w:rsidR="00F227E8" w:rsidRPr="00AB17D8">
        <w:rPr>
          <w:sz w:val="24"/>
          <w:szCs w:val="24"/>
        </w:rPr>
        <w:t xml:space="preserve"> in family law</w:t>
      </w:r>
      <w:r w:rsidRPr="00AB17D8">
        <w:rPr>
          <w:sz w:val="24"/>
          <w:szCs w:val="24"/>
        </w:rPr>
        <w:t xml:space="preserve">. I was an Accredited Specialist (Family Law), Family Dispute Resolution Practitioner, </w:t>
      </w:r>
      <w:r w:rsidRPr="00195907">
        <w:rPr>
          <w:noProof/>
          <w:sz w:val="24"/>
          <w:szCs w:val="24"/>
        </w:rPr>
        <w:t>and</w:t>
      </w:r>
      <w:r w:rsidR="00195907" w:rsidRPr="00195907">
        <w:rPr>
          <w:noProof/>
          <w:sz w:val="24"/>
          <w:szCs w:val="24"/>
        </w:rPr>
        <w:t xml:space="preserve"> an</w:t>
      </w:r>
      <w:r w:rsidRPr="00AB17D8">
        <w:rPr>
          <w:sz w:val="24"/>
          <w:szCs w:val="24"/>
        </w:rPr>
        <w:t xml:space="preserve"> Accredited Family Law Arbitrator. </w:t>
      </w:r>
      <w:r w:rsidR="00F227E8" w:rsidRPr="00AB17D8">
        <w:rPr>
          <w:sz w:val="24"/>
          <w:szCs w:val="24"/>
        </w:rPr>
        <w:t xml:space="preserve"> </w:t>
      </w:r>
      <w:r w:rsidR="00313831" w:rsidRPr="00AB17D8">
        <w:rPr>
          <w:sz w:val="24"/>
          <w:szCs w:val="24"/>
        </w:rPr>
        <w:t xml:space="preserve">I </w:t>
      </w:r>
      <w:r w:rsidR="001568EF">
        <w:rPr>
          <w:sz w:val="24"/>
          <w:szCs w:val="24"/>
        </w:rPr>
        <w:t>am</w:t>
      </w:r>
      <w:r w:rsidR="00313831" w:rsidRPr="00AB17D8">
        <w:rPr>
          <w:sz w:val="24"/>
          <w:szCs w:val="24"/>
        </w:rPr>
        <w:t xml:space="preserve"> a contributing author to the book Harland </w:t>
      </w:r>
      <w:r w:rsidR="00313831" w:rsidRPr="00195907">
        <w:rPr>
          <w:noProof/>
          <w:sz w:val="24"/>
          <w:szCs w:val="24"/>
        </w:rPr>
        <w:t>et al</w:t>
      </w:r>
      <w:r w:rsidR="00195907">
        <w:rPr>
          <w:noProof/>
          <w:sz w:val="24"/>
          <w:szCs w:val="24"/>
        </w:rPr>
        <w:t>.</w:t>
      </w:r>
      <w:r w:rsidR="00313831" w:rsidRPr="00AB17D8">
        <w:rPr>
          <w:sz w:val="24"/>
          <w:szCs w:val="24"/>
        </w:rPr>
        <w:t xml:space="preserve"> </w:t>
      </w:r>
      <w:r w:rsidR="00313831" w:rsidRPr="00AB17D8">
        <w:rPr>
          <w:i/>
          <w:sz w:val="24"/>
          <w:szCs w:val="24"/>
        </w:rPr>
        <w:t>Family Law Principles</w:t>
      </w:r>
      <w:r w:rsidR="00313831" w:rsidRPr="00AB17D8">
        <w:rPr>
          <w:sz w:val="24"/>
          <w:szCs w:val="24"/>
        </w:rPr>
        <w:t xml:space="preserve"> (2015, Thomson Reuters).</w:t>
      </w:r>
      <w:r w:rsidR="00307729">
        <w:rPr>
          <w:sz w:val="24"/>
          <w:szCs w:val="24"/>
        </w:rPr>
        <w:t xml:space="preserve"> </w:t>
      </w:r>
      <w:r w:rsidRPr="00AB17D8">
        <w:rPr>
          <w:sz w:val="24"/>
          <w:szCs w:val="24"/>
        </w:rPr>
        <w:t xml:space="preserve">I teach family law at Griffith </w:t>
      </w:r>
      <w:r w:rsidRPr="00195907">
        <w:rPr>
          <w:noProof/>
          <w:sz w:val="24"/>
          <w:szCs w:val="24"/>
        </w:rPr>
        <w:t>University</w:t>
      </w:r>
      <w:r w:rsidRPr="00AB17D8">
        <w:rPr>
          <w:sz w:val="24"/>
          <w:szCs w:val="24"/>
        </w:rPr>
        <w:t xml:space="preserve"> and </w:t>
      </w:r>
      <w:r w:rsidR="00195907">
        <w:rPr>
          <w:sz w:val="24"/>
          <w:szCs w:val="24"/>
        </w:rPr>
        <w:t xml:space="preserve">the </w:t>
      </w:r>
      <w:r w:rsidRPr="00195907">
        <w:rPr>
          <w:noProof/>
          <w:sz w:val="24"/>
          <w:szCs w:val="24"/>
        </w:rPr>
        <w:t>Queensland</w:t>
      </w:r>
      <w:r w:rsidRPr="00AB17D8">
        <w:rPr>
          <w:sz w:val="24"/>
          <w:szCs w:val="24"/>
        </w:rPr>
        <w:t xml:space="preserve"> University of Technology</w:t>
      </w:r>
      <w:r w:rsidR="001568EF">
        <w:rPr>
          <w:sz w:val="24"/>
          <w:szCs w:val="24"/>
        </w:rPr>
        <w:t xml:space="preserve"> (QUT). I also teach dispute resolution at QUT.</w:t>
      </w:r>
      <w:r w:rsidRPr="00AB17D8">
        <w:rPr>
          <w:sz w:val="24"/>
          <w:szCs w:val="24"/>
        </w:rPr>
        <w:t xml:space="preserve"> </w:t>
      </w:r>
      <w:r w:rsidR="00AF38E5">
        <w:rPr>
          <w:sz w:val="24"/>
          <w:szCs w:val="24"/>
        </w:rPr>
        <w:t xml:space="preserve"> </w:t>
      </w:r>
    </w:p>
    <w:p w:rsidR="00AF38E5" w:rsidRDefault="00AF38E5" w:rsidP="00462142">
      <w:pPr>
        <w:spacing w:after="0" w:line="360" w:lineRule="auto"/>
        <w:jc w:val="both"/>
        <w:rPr>
          <w:sz w:val="24"/>
          <w:szCs w:val="24"/>
        </w:rPr>
      </w:pPr>
    </w:p>
    <w:p w:rsidR="00DF29B2" w:rsidRPr="00AB17D8" w:rsidRDefault="00DF29B2" w:rsidP="00462142">
      <w:pPr>
        <w:spacing w:after="0" w:line="360" w:lineRule="auto"/>
        <w:jc w:val="both"/>
        <w:rPr>
          <w:sz w:val="24"/>
          <w:szCs w:val="24"/>
        </w:rPr>
      </w:pPr>
      <w:r w:rsidRPr="00AB17D8">
        <w:rPr>
          <w:sz w:val="24"/>
          <w:szCs w:val="24"/>
        </w:rPr>
        <w:t xml:space="preserve">Presently, I am a Registrar of the Federal Circuit Court of Australia / Family Court of Australia, in the Brisbane Registry. However, this submission is entirely unconnected with my employment and subject to </w:t>
      </w:r>
      <w:r w:rsidR="00195907">
        <w:rPr>
          <w:noProof/>
          <w:sz w:val="24"/>
          <w:szCs w:val="24"/>
        </w:rPr>
        <w:t>essential</w:t>
      </w:r>
      <w:r w:rsidRPr="00AB17D8">
        <w:rPr>
          <w:sz w:val="24"/>
          <w:szCs w:val="24"/>
        </w:rPr>
        <w:t xml:space="preserve"> declarations which follow. </w:t>
      </w:r>
    </w:p>
    <w:p w:rsidR="00954E38" w:rsidRDefault="00954E38" w:rsidP="00954E38">
      <w:pPr>
        <w:spacing w:after="0" w:line="360" w:lineRule="auto"/>
        <w:jc w:val="both"/>
        <w:rPr>
          <w:b/>
          <w:sz w:val="24"/>
          <w:szCs w:val="24"/>
        </w:rPr>
      </w:pPr>
    </w:p>
    <w:p w:rsidR="00787AF0" w:rsidRDefault="00787AF0" w:rsidP="00954E38">
      <w:pPr>
        <w:spacing w:after="0" w:line="360" w:lineRule="auto"/>
        <w:jc w:val="both"/>
        <w:rPr>
          <w:b/>
          <w:sz w:val="24"/>
          <w:szCs w:val="24"/>
        </w:rPr>
      </w:pPr>
    </w:p>
    <w:p w:rsidR="00787AF0" w:rsidRDefault="00787AF0" w:rsidP="00954E38">
      <w:pPr>
        <w:spacing w:after="0" w:line="360" w:lineRule="auto"/>
        <w:jc w:val="both"/>
        <w:rPr>
          <w:b/>
          <w:sz w:val="24"/>
          <w:szCs w:val="24"/>
        </w:rPr>
      </w:pPr>
    </w:p>
    <w:p w:rsidR="00954E38" w:rsidRPr="00954E38" w:rsidRDefault="00954E38" w:rsidP="00954E38">
      <w:pPr>
        <w:spacing w:after="0" w:line="360" w:lineRule="auto"/>
        <w:jc w:val="both"/>
        <w:rPr>
          <w:b/>
          <w:sz w:val="24"/>
          <w:szCs w:val="24"/>
        </w:rPr>
      </w:pPr>
      <w:r w:rsidRPr="00954E38">
        <w:rPr>
          <w:b/>
          <w:sz w:val="24"/>
          <w:szCs w:val="24"/>
        </w:rPr>
        <w:lastRenderedPageBreak/>
        <w:t>This submission’s focus is mostly on financial matters. It addresse</w:t>
      </w:r>
      <w:r>
        <w:rPr>
          <w:b/>
          <w:sz w:val="24"/>
          <w:szCs w:val="24"/>
        </w:rPr>
        <w:t>s</w:t>
      </w:r>
      <w:r w:rsidRPr="00954E38">
        <w:rPr>
          <w:b/>
          <w:sz w:val="24"/>
          <w:szCs w:val="24"/>
        </w:rPr>
        <w:t xml:space="preserve"> </w:t>
      </w:r>
      <w:r>
        <w:rPr>
          <w:b/>
          <w:sz w:val="24"/>
          <w:szCs w:val="24"/>
        </w:rPr>
        <w:t>(</w:t>
      </w:r>
      <w:r w:rsidRPr="00954E38">
        <w:rPr>
          <w:b/>
          <w:sz w:val="24"/>
          <w:szCs w:val="24"/>
        </w:rPr>
        <w:t>only</w:t>
      </w:r>
      <w:r>
        <w:rPr>
          <w:b/>
          <w:sz w:val="24"/>
          <w:szCs w:val="24"/>
        </w:rPr>
        <w:t>)</w:t>
      </w:r>
      <w:r w:rsidRPr="00954E38">
        <w:rPr>
          <w:b/>
          <w:sz w:val="24"/>
          <w:szCs w:val="24"/>
        </w:rPr>
        <w:t xml:space="preserve"> the following questions: </w:t>
      </w:r>
    </w:p>
    <w:p w:rsidR="00954E38" w:rsidRPr="005679FC" w:rsidRDefault="00954E38" w:rsidP="009A0126">
      <w:pPr>
        <w:pStyle w:val="ListParagraph"/>
        <w:numPr>
          <w:ilvl w:val="0"/>
          <w:numId w:val="37"/>
        </w:numPr>
        <w:spacing w:after="0" w:line="360" w:lineRule="auto"/>
        <w:jc w:val="both"/>
        <w:rPr>
          <w:b/>
          <w:sz w:val="24"/>
          <w:szCs w:val="24"/>
        </w:rPr>
      </w:pPr>
      <w:r w:rsidRPr="00954E38">
        <w:rPr>
          <w:b/>
          <w:sz w:val="24"/>
          <w:szCs w:val="24"/>
        </w:rPr>
        <w:t>Question 1 – Role and</w:t>
      </w:r>
      <w:r w:rsidRPr="005679FC">
        <w:rPr>
          <w:b/>
          <w:sz w:val="24"/>
          <w:szCs w:val="24"/>
        </w:rPr>
        <w:t xml:space="preserve"> Objectives.</w:t>
      </w:r>
    </w:p>
    <w:p w:rsidR="00954E38" w:rsidRPr="005679FC" w:rsidRDefault="00954E38" w:rsidP="009A0126">
      <w:pPr>
        <w:pStyle w:val="ListParagraph"/>
        <w:numPr>
          <w:ilvl w:val="0"/>
          <w:numId w:val="37"/>
        </w:numPr>
        <w:spacing w:after="0" w:line="360" w:lineRule="auto"/>
        <w:jc w:val="both"/>
        <w:rPr>
          <w:b/>
          <w:sz w:val="24"/>
          <w:szCs w:val="24"/>
        </w:rPr>
      </w:pPr>
      <w:r w:rsidRPr="005679FC">
        <w:rPr>
          <w:b/>
          <w:sz w:val="24"/>
          <w:szCs w:val="24"/>
        </w:rPr>
        <w:t xml:space="preserve">Question 2 – Principles for </w:t>
      </w:r>
      <w:r w:rsidR="001568EF">
        <w:rPr>
          <w:b/>
          <w:sz w:val="24"/>
          <w:szCs w:val="24"/>
        </w:rPr>
        <w:t>R</w:t>
      </w:r>
      <w:r w:rsidRPr="005679FC">
        <w:rPr>
          <w:b/>
          <w:sz w:val="24"/>
          <w:szCs w:val="24"/>
        </w:rPr>
        <w:t>edevelopment.</w:t>
      </w:r>
    </w:p>
    <w:p w:rsidR="00954E38" w:rsidRPr="005679FC" w:rsidRDefault="00954E38" w:rsidP="009A0126">
      <w:pPr>
        <w:pStyle w:val="ListParagraph"/>
        <w:numPr>
          <w:ilvl w:val="0"/>
          <w:numId w:val="37"/>
        </w:numPr>
        <w:spacing w:after="0" w:line="360" w:lineRule="auto"/>
        <w:jc w:val="both"/>
        <w:rPr>
          <w:b/>
          <w:sz w:val="24"/>
          <w:szCs w:val="24"/>
        </w:rPr>
      </w:pPr>
      <w:r w:rsidRPr="005679FC">
        <w:rPr>
          <w:b/>
          <w:sz w:val="24"/>
          <w:szCs w:val="24"/>
        </w:rPr>
        <w:t>Question 17 – Principles for Property Division.</w:t>
      </w:r>
    </w:p>
    <w:p w:rsidR="00954E38" w:rsidRPr="005679FC" w:rsidRDefault="00954E38" w:rsidP="009A0126">
      <w:pPr>
        <w:pStyle w:val="ListParagraph"/>
        <w:numPr>
          <w:ilvl w:val="0"/>
          <w:numId w:val="37"/>
        </w:numPr>
        <w:spacing w:after="0" w:line="360" w:lineRule="auto"/>
        <w:jc w:val="both"/>
        <w:rPr>
          <w:b/>
          <w:sz w:val="24"/>
          <w:szCs w:val="24"/>
        </w:rPr>
      </w:pPr>
      <w:r w:rsidRPr="005679FC">
        <w:rPr>
          <w:b/>
          <w:sz w:val="24"/>
          <w:szCs w:val="24"/>
        </w:rPr>
        <w:t xml:space="preserve">Question 19 – Financial Agreements. </w:t>
      </w:r>
    </w:p>
    <w:p w:rsidR="00307729" w:rsidRDefault="00307729" w:rsidP="00462142">
      <w:pPr>
        <w:spacing w:after="0" w:line="360" w:lineRule="auto"/>
        <w:jc w:val="both"/>
        <w:rPr>
          <w:b/>
          <w:sz w:val="24"/>
          <w:szCs w:val="24"/>
        </w:rPr>
      </w:pPr>
    </w:p>
    <w:p w:rsidR="00AB17D8" w:rsidRDefault="001568EF" w:rsidP="00462142">
      <w:pPr>
        <w:spacing w:after="0" w:line="360" w:lineRule="auto"/>
        <w:jc w:val="both"/>
        <w:rPr>
          <w:b/>
          <w:sz w:val="24"/>
          <w:szCs w:val="24"/>
        </w:rPr>
      </w:pPr>
      <w:r>
        <w:rPr>
          <w:b/>
          <w:sz w:val="24"/>
          <w:szCs w:val="24"/>
        </w:rPr>
        <w:t xml:space="preserve">This submission offers procedural and substantive reform recommendations. </w:t>
      </w:r>
      <w:r w:rsidR="00AE7385">
        <w:rPr>
          <w:b/>
          <w:noProof/>
          <w:sz w:val="24"/>
          <w:szCs w:val="24"/>
        </w:rPr>
        <w:t>Also</w:t>
      </w:r>
      <w:r>
        <w:rPr>
          <w:b/>
          <w:sz w:val="24"/>
          <w:szCs w:val="24"/>
        </w:rPr>
        <w:t>, m</w:t>
      </w:r>
      <w:r w:rsidR="00AB17D8" w:rsidRPr="00AB17D8">
        <w:rPr>
          <w:b/>
          <w:sz w:val="24"/>
          <w:szCs w:val="24"/>
        </w:rPr>
        <w:t>any of th</w:t>
      </w:r>
      <w:r w:rsidR="00AB17D8">
        <w:rPr>
          <w:b/>
          <w:sz w:val="24"/>
          <w:szCs w:val="24"/>
        </w:rPr>
        <w:t>is submission</w:t>
      </w:r>
      <w:r>
        <w:rPr>
          <w:b/>
          <w:sz w:val="24"/>
          <w:szCs w:val="24"/>
        </w:rPr>
        <w:t>’</w:t>
      </w:r>
      <w:r w:rsidR="00AB17D8">
        <w:rPr>
          <w:b/>
          <w:sz w:val="24"/>
          <w:szCs w:val="24"/>
        </w:rPr>
        <w:t>s</w:t>
      </w:r>
      <w:r w:rsidR="00AB17D8" w:rsidRPr="00AB17D8">
        <w:rPr>
          <w:b/>
          <w:sz w:val="24"/>
          <w:szCs w:val="24"/>
        </w:rPr>
        <w:t xml:space="preserve"> recommendations are for further research. </w:t>
      </w:r>
      <w:r w:rsidR="00AB17D8">
        <w:rPr>
          <w:b/>
          <w:sz w:val="24"/>
          <w:szCs w:val="24"/>
        </w:rPr>
        <w:t xml:space="preserve">This submission identifies unknowns about how the family law system </w:t>
      </w:r>
      <w:r w:rsidR="005679FC">
        <w:rPr>
          <w:b/>
          <w:sz w:val="24"/>
          <w:szCs w:val="24"/>
        </w:rPr>
        <w:t>works</w:t>
      </w:r>
      <w:r>
        <w:rPr>
          <w:b/>
          <w:sz w:val="24"/>
          <w:szCs w:val="24"/>
        </w:rPr>
        <w:t xml:space="preserve"> </w:t>
      </w:r>
      <w:r w:rsidR="00AB17D8">
        <w:rPr>
          <w:b/>
          <w:sz w:val="24"/>
          <w:szCs w:val="24"/>
        </w:rPr>
        <w:t xml:space="preserve">and its cumulative effect. </w:t>
      </w:r>
    </w:p>
    <w:p w:rsidR="00FB16EA" w:rsidRPr="00AB17D8" w:rsidRDefault="00FB16EA" w:rsidP="00462142">
      <w:pPr>
        <w:spacing w:after="0" w:line="360" w:lineRule="auto"/>
        <w:jc w:val="both"/>
        <w:rPr>
          <w:b/>
          <w:sz w:val="24"/>
          <w:szCs w:val="24"/>
        </w:rPr>
      </w:pPr>
    </w:p>
    <w:p w:rsidR="00954E38" w:rsidRDefault="00954E38">
      <w:pPr>
        <w:rPr>
          <w:sz w:val="24"/>
          <w:szCs w:val="24"/>
        </w:rPr>
      </w:pPr>
      <w:r>
        <w:rPr>
          <w:sz w:val="24"/>
          <w:szCs w:val="24"/>
        </w:rPr>
        <w:br w:type="page"/>
      </w:r>
    </w:p>
    <w:p w:rsidR="00C12655" w:rsidRPr="005B2DEF" w:rsidRDefault="00C12655" w:rsidP="00C12655">
      <w:pPr>
        <w:pStyle w:val="Heading1"/>
        <w:pBdr>
          <w:bottom w:val="single" w:sz="4" w:space="1" w:color="auto"/>
        </w:pBdr>
        <w:spacing w:before="0" w:line="360" w:lineRule="auto"/>
        <w:rPr>
          <w:b/>
          <w:color w:val="auto"/>
        </w:rPr>
      </w:pPr>
      <w:bookmarkStart w:id="2" w:name="_Toc512895926"/>
      <w:bookmarkStart w:id="3" w:name="_Hlk509753688"/>
      <w:r>
        <w:rPr>
          <w:b/>
          <w:color w:val="auto"/>
        </w:rPr>
        <w:lastRenderedPageBreak/>
        <w:t>Declaration</w:t>
      </w:r>
      <w:bookmarkEnd w:id="2"/>
    </w:p>
    <w:p w:rsidR="00C12655" w:rsidRDefault="00C12655" w:rsidP="00C12655">
      <w:pPr>
        <w:spacing w:after="0" w:line="360" w:lineRule="auto"/>
        <w:rPr>
          <w:b/>
          <w:bCs/>
          <w:sz w:val="24"/>
          <w:szCs w:val="24"/>
        </w:rPr>
      </w:pPr>
    </w:p>
    <w:p w:rsidR="00C12655" w:rsidRDefault="00C12655" w:rsidP="00C12655">
      <w:pPr>
        <w:spacing w:after="0" w:line="360" w:lineRule="auto"/>
        <w:jc w:val="both"/>
        <w:rPr>
          <w:sz w:val="24"/>
          <w:szCs w:val="24"/>
        </w:rPr>
      </w:pPr>
      <w:r>
        <w:rPr>
          <w:sz w:val="24"/>
          <w:szCs w:val="24"/>
        </w:rPr>
        <w:t>I am an Australian Public Service (APS) employee, bound by legislation governing my conduct.</w:t>
      </w:r>
      <w:r>
        <w:rPr>
          <w:rStyle w:val="EndnoteReference"/>
          <w:sz w:val="24"/>
          <w:szCs w:val="24"/>
        </w:rPr>
        <w:endnoteReference w:id="2"/>
      </w:r>
      <w:r>
        <w:rPr>
          <w:sz w:val="24"/>
          <w:szCs w:val="24"/>
        </w:rPr>
        <w:t xml:space="preserve"> I acknowledge my obligations to </w:t>
      </w:r>
      <w:r w:rsidRPr="005B2DEF">
        <w:rPr>
          <w:sz w:val="24"/>
          <w:szCs w:val="24"/>
        </w:rPr>
        <w:t>take reasonable steps to avoid any conflict of interest (real or apparent)</w:t>
      </w:r>
      <w:r>
        <w:rPr>
          <w:sz w:val="24"/>
          <w:szCs w:val="24"/>
        </w:rPr>
        <w:t>, to</w:t>
      </w:r>
      <w:r w:rsidRPr="005B2DEF">
        <w:rPr>
          <w:sz w:val="24"/>
          <w:szCs w:val="24"/>
        </w:rPr>
        <w:t xml:space="preserve"> disclose details of any material personal interest</w:t>
      </w:r>
      <w:r>
        <w:rPr>
          <w:sz w:val="24"/>
          <w:szCs w:val="24"/>
        </w:rPr>
        <w:t xml:space="preserve">. I must not </w:t>
      </w:r>
      <w:r w:rsidRPr="005B2DEF">
        <w:rPr>
          <w:sz w:val="24"/>
          <w:szCs w:val="24"/>
        </w:rPr>
        <w:t>improperly use inside information</w:t>
      </w:r>
      <w:r>
        <w:rPr>
          <w:sz w:val="24"/>
          <w:szCs w:val="24"/>
        </w:rPr>
        <w:t>.  I must preserve</w:t>
      </w:r>
      <w:r w:rsidRPr="00D25194">
        <w:rPr>
          <w:sz w:val="24"/>
          <w:szCs w:val="24"/>
        </w:rPr>
        <w:t xml:space="preserve"> the integrity and good reputation of </w:t>
      </w:r>
      <w:r>
        <w:rPr>
          <w:sz w:val="24"/>
          <w:szCs w:val="24"/>
        </w:rPr>
        <w:t xml:space="preserve">the Commonwealth Law Courts </w:t>
      </w:r>
      <w:r w:rsidRPr="00D25194">
        <w:rPr>
          <w:sz w:val="24"/>
          <w:szCs w:val="24"/>
        </w:rPr>
        <w:t>and the APS.</w:t>
      </w:r>
    </w:p>
    <w:p w:rsidR="00C12655" w:rsidRDefault="00C12655" w:rsidP="00C12655">
      <w:pPr>
        <w:spacing w:after="0" w:line="360" w:lineRule="auto"/>
        <w:jc w:val="both"/>
        <w:rPr>
          <w:sz w:val="24"/>
          <w:szCs w:val="24"/>
        </w:rPr>
      </w:pPr>
    </w:p>
    <w:p w:rsidR="00C12655" w:rsidRDefault="00C12655" w:rsidP="00C12655">
      <w:pPr>
        <w:spacing w:after="0" w:line="360" w:lineRule="auto"/>
        <w:jc w:val="both"/>
        <w:rPr>
          <w:sz w:val="24"/>
          <w:szCs w:val="24"/>
        </w:rPr>
      </w:pPr>
      <w:r>
        <w:rPr>
          <w:noProof/>
          <w:sz w:val="24"/>
          <w:szCs w:val="24"/>
        </w:rPr>
        <w:t>Before</w:t>
      </w:r>
      <w:r>
        <w:rPr>
          <w:sz w:val="24"/>
          <w:szCs w:val="24"/>
        </w:rPr>
        <w:t xml:space="preserve"> delivery of this submission, I consulted with the Family Court of Australia and Federal Circuit Court of Australia about the process for this submission. I provided to the Principal Registrars of each Court a preliminary draft to ensure compliance with the APS code of conduct. </w:t>
      </w:r>
    </w:p>
    <w:p w:rsidR="00C12655" w:rsidRDefault="00C12655" w:rsidP="00C12655">
      <w:pPr>
        <w:spacing w:after="0" w:line="360" w:lineRule="auto"/>
        <w:jc w:val="both"/>
        <w:rPr>
          <w:sz w:val="24"/>
          <w:szCs w:val="24"/>
        </w:rPr>
      </w:pPr>
    </w:p>
    <w:p w:rsidR="00C12655" w:rsidRDefault="00C12655" w:rsidP="00C12655">
      <w:pPr>
        <w:spacing w:after="0" w:line="360" w:lineRule="auto"/>
        <w:jc w:val="both"/>
        <w:rPr>
          <w:sz w:val="24"/>
          <w:szCs w:val="24"/>
        </w:rPr>
      </w:pPr>
      <w:r>
        <w:rPr>
          <w:sz w:val="24"/>
          <w:szCs w:val="24"/>
        </w:rPr>
        <w:t xml:space="preserve">I state the following: </w:t>
      </w:r>
    </w:p>
    <w:p w:rsidR="00C12655" w:rsidRDefault="00C12655" w:rsidP="00C12655">
      <w:pPr>
        <w:pStyle w:val="ListParagraph"/>
        <w:numPr>
          <w:ilvl w:val="0"/>
          <w:numId w:val="4"/>
        </w:numPr>
        <w:spacing w:after="0" w:line="360" w:lineRule="auto"/>
        <w:jc w:val="both"/>
        <w:rPr>
          <w:sz w:val="24"/>
          <w:szCs w:val="24"/>
        </w:rPr>
      </w:pPr>
      <w:r w:rsidRPr="00307729">
        <w:rPr>
          <w:sz w:val="24"/>
          <w:szCs w:val="24"/>
        </w:rPr>
        <w:t>My views are</w:t>
      </w:r>
      <w:r>
        <w:rPr>
          <w:sz w:val="24"/>
          <w:szCs w:val="24"/>
        </w:rPr>
        <w:t xml:space="preserve"> on</w:t>
      </w:r>
      <w:r w:rsidRPr="00307729">
        <w:rPr>
          <w:sz w:val="24"/>
          <w:szCs w:val="24"/>
        </w:rPr>
        <w:t xml:space="preserve"> my behalf and do not represent any other person or organisation.</w:t>
      </w:r>
    </w:p>
    <w:p w:rsidR="00C12655" w:rsidRDefault="00C12655" w:rsidP="00C12655">
      <w:pPr>
        <w:pStyle w:val="ListParagraph"/>
        <w:numPr>
          <w:ilvl w:val="0"/>
          <w:numId w:val="4"/>
        </w:numPr>
        <w:spacing w:after="0" w:line="360" w:lineRule="auto"/>
        <w:jc w:val="both"/>
        <w:rPr>
          <w:sz w:val="24"/>
          <w:szCs w:val="24"/>
        </w:rPr>
      </w:pPr>
      <w:r>
        <w:rPr>
          <w:sz w:val="24"/>
          <w:szCs w:val="24"/>
        </w:rPr>
        <w:t>My submission is not on behalf of either Court.</w:t>
      </w:r>
      <w:r w:rsidR="00B74EC4">
        <w:rPr>
          <w:sz w:val="24"/>
          <w:szCs w:val="24"/>
        </w:rPr>
        <w:t xml:space="preserve"> It is entirely in a personal capacity.</w:t>
      </w:r>
    </w:p>
    <w:p w:rsidR="00C12655" w:rsidRDefault="00C12655" w:rsidP="00C12655">
      <w:pPr>
        <w:pStyle w:val="ListParagraph"/>
        <w:numPr>
          <w:ilvl w:val="0"/>
          <w:numId w:val="4"/>
        </w:numPr>
        <w:spacing w:after="0" w:line="360" w:lineRule="auto"/>
        <w:jc w:val="both"/>
        <w:rPr>
          <w:sz w:val="24"/>
          <w:szCs w:val="24"/>
        </w:rPr>
      </w:pPr>
      <w:r>
        <w:rPr>
          <w:sz w:val="24"/>
          <w:szCs w:val="24"/>
        </w:rPr>
        <w:t>My views do</w:t>
      </w:r>
      <w:r w:rsidRPr="000E25A4">
        <w:rPr>
          <w:sz w:val="24"/>
          <w:szCs w:val="24"/>
        </w:rPr>
        <w:t xml:space="preserve"> not necessarily reflect the view of either </w:t>
      </w:r>
      <w:r>
        <w:rPr>
          <w:sz w:val="24"/>
          <w:szCs w:val="24"/>
        </w:rPr>
        <w:t>C</w:t>
      </w:r>
      <w:r w:rsidRPr="000E25A4">
        <w:rPr>
          <w:sz w:val="24"/>
          <w:szCs w:val="24"/>
        </w:rPr>
        <w:t>ourt.</w:t>
      </w:r>
    </w:p>
    <w:p w:rsidR="00C12655" w:rsidRDefault="00C12655" w:rsidP="00C12655">
      <w:pPr>
        <w:pStyle w:val="ListParagraph"/>
        <w:numPr>
          <w:ilvl w:val="0"/>
          <w:numId w:val="4"/>
        </w:numPr>
        <w:spacing w:after="0" w:line="360" w:lineRule="auto"/>
        <w:jc w:val="both"/>
        <w:rPr>
          <w:sz w:val="24"/>
          <w:szCs w:val="24"/>
        </w:rPr>
      </w:pPr>
      <w:r>
        <w:rPr>
          <w:sz w:val="24"/>
          <w:szCs w:val="24"/>
        </w:rPr>
        <w:t xml:space="preserve">This submission </w:t>
      </w:r>
      <w:r w:rsidRPr="00D35EC4">
        <w:rPr>
          <w:noProof/>
          <w:sz w:val="24"/>
          <w:szCs w:val="24"/>
        </w:rPr>
        <w:t>was prepared</w:t>
      </w:r>
      <w:r>
        <w:rPr>
          <w:sz w:val="24"/>
          <w:szCs w:val="24"/>
        </w:rPr>
        <w:t xml:space="preserve"> entirely outside</w:t>
      </w:r>
      <w:r w:rsidRPr="000E25A4">
        <w:rPr>
          <w:sz w:val="24"/>
          <w:szCs w:val="24"/>
        </w:rPr>
        <w:t xml:space="preserve"> my role as a </w:t>
      </w:r>
      <w:r>
        <w:rPr>
          <w:sz w:val="24"/>
          <w:szCs w:val="24"/>
        </w:rPr>
        <w:t>r</w:t>
      </w:r>
      <w:r w:rsidRPr="000E25A4">
        <w:rPr>
          <w:sz w:val="24"/>
          <w:szCs w:val="24"/>
        </w:rPr>
        <w:t xml:space="preserve">egistrar. </w:t>
      </w:r>
    </w:p>
    <w:p w:rsidR="00C12655" w:rsidRDefault="00C12655" w:rsidP="00C12655">
      <w:pPr>
        <w:pStyle w:val="ListParagraph"/>
        <w:numPr>
          <w:ilvl w:val="0"/>
          <w:numId w:val="4"/>
        </w:numPr>
        <w:spacing w:after="0" w:line="360" w:lineRule="auto"/>
        <w:jc w:val="both"/>
        <w:rPr>
          <w:sz w:val="24"/>
          <w:szCs w:val="24"/>
        </w:rPr>
      </w:pPr>
      <w:r>
        <w:rPr>
          <w:sz w:val="24"/>
          <w:szCs w:val="24"/>
        </w:rPr>
        <w:t>This submission</w:t>
      </w:r>
      <w:r w:rsidRPr="000E25A4">
        <w:rPr>
          <w:sz w:val="24"/>
          <w:szCs w:val="24"/>
        </w:rPr>
        <w:t xml:space="preserve"> does not use, refer to, or rely upon, any information obtained during my employment as a registrar, including (but not limited to) court files</w:t>
      </w:r>
      <w:r>
        <w:rPr>
          <w:sz w:val="24"/>
          <w:szCs w:val="24"/>
        </w:rPr>
        <w:t xml:space="preserve"> or court policy or procedures. </w:t>
      </w:r>
    </w:p>
    <w:p w:rsidR="00C12655" w:rsidRDefault="00C12655" w:rsidP="00C12655">
      <w:pPr>
        <w:pStyle w:val="ListParagraph"/>
        <w:numPr>
          <w:ilvl w:val="0"/>
          <w:numId w:val="4"/>
        </w:numPr>
        <w:spacing w:after="0" w:line="360" w:lineRule="auto"/>
        <w:jc w:val="both"/>
        <w:rPr>
          <w:sz w:val="24"/>
          <w:szCs w:val="24"/>
        </w:rPr>
      </w:pPr>
      <w:r>
        <w:rPr>
          <w:sz w:val="24"/>
          <w:szCs w:val="24"/>
        </w:rPr>
        <w:t>Any queries about current court processes, or any matters concerning the operation of either Court are answerable by the proper Judicial or management officer representing each Court.</w:t>
      </w:r>
    </w:p>
    <w:p w:rsidR="00C12655" w:rsidRDefault="00C12655" w:rsidP="00C12655">
      <w:pPr>
        <w:pStyle w:val="ListParagraph"/>
        <w:numPr>
          <w:ilvl w:val="0"/>
          <w:numId w:val="4"/>
        </w:numPr>
        <w:spacing w:after="0" w:line="360" w:lineRule="auto"/>
        <w:jc w:val="both"/>
        <w:rPr>
          <w:sz w:val="24"/>
          <w:szCs w:val="24"/>
        </w:rPr>
      </w:pPr>
      <w:r>
        <w:rPr>
          <w:sz w:val="24"/>
          <w:szCs w:val="24"/>
        </w:rPr>
        <w:t xml:space="preserve">In making this submission, the intention is to do so in compliance with my obligations </w:t>
      </w:r>
      <w:r>
        <w:rPr>
          <w:noProof/>
          <w:sz w:val="24"/>
          <w:szCs w:val="24"/>
        </w:rPr>
        <w:t>under</w:t>
      </w:r>
      <w:r>
        <w:rPr>
          <w:sz w:val="24"/>
          <w:szCs w:val="24"/>
        </w:rPr>
        <w:t xml:space="preserve"> the APS code of conduct. </w:t>
      </w:r>
    </w:p>
    <w:p w:rsidR="00C12655" w:rsidRPr="00307729" w:rsidRDefault="00C12655" w:rsidP="00C12655">
      <w:pPr>
        <w:pStyle w:val="ListParagraph"/>
        <w:numPr>
          <w:ilvl w:val="0"/>
          <w:numId w:val="4"/>
        </w:numPr>
        <w:spacing w:after="0" w:line="360" w:lineRule="auto"/>
        <w:jc w:val="both"/>
        <w:rPr>
          <w:sz w:val="24"/>
          <w:szCs w:val="24"/>
        </w:rPr>
      </w:pPr>
      <w:r w:rsidRPr="00307729">
        <w:rPr>
          <w:sz w:val="24"/>
          <w:szCs w:val="24"/>
        </w:rPr>
        <w:t xml:space="preserve">This submission contains a </w:t>
      </w:r>
      <w:r w:rsidRPr="00307729">
        <w:rPr>
          <w:noProof/>
          <w:sz w:val="24"/>
          <w:szCs w:val="24"/>
        </w:rPr>
        <w:t>discussion</w:t>
      </w:r>
      <w:r w:rsidRPr="00307729">
        <w:rPr>
          <w:sz w:val="24"/>
          <w:szCs w:val="24"/>
        </w:rPr>
        <w:t xml:space="preserve"> </w:t>
      </w:r>
      <w:r w:rsidRPr="00307729">
        <w:rPr>
          <w:noProof/>
          <w:sz w:val="24"/>
          <w:szCs w:val="24"/>
        </w:rPr>
        <w:t>of</w:t>
      </w:r>
      <w:r w:rsidRPr="00307729">
        <w:rPr>
          <w:sz w:val="24"/>
          <w:szCs w:val="24"/>
        </w:rPr>
        <w:t xml:space="preserve"> and reporting on the results of, quantitative research into property settlements</w:t>
      </w:r>
      <w:r>
        <w:rPr>
          <w:sz w:val="24"/>
          <w:szCs w:val="24"/>
        </w:rPr>
        <w:t xml:space="preserve"> decisions</w:t>
      </w:r>
      <w:r w:rsidRPr="00307729">
        <w:rPr>
          <w:sz w:val="24"/>
          <w:szCs w:val="24"/>
        </w:rPr>
        <w:t>. All the cases used for this research came from public sources. Completion of th</w:t>
      </w:r>
      <w:r>
        <w:rPr>
          <w:sz w:val="24"/>
          <w:szCs w:val="24"/>
        </w:rPr>
        <w:t>e research</w:t>
      </w:r>
      <w:r w:rsidRPr="00307729">
        <w:rPr>
          <w:sz w:val="24"/>
          <w:szCs w:val="24"/>
        </w:rPr>
        <w:t xml:space="preserve"> (and analysis) </w:t>
      </w:r>
      <w:r w:rsidRPr="00307729">
        <w:rPr>
          <w:noProof/>
          <w:sz w:val="24"/>
          <w:szCs w:val="24"/>
        </w:rPr>
        <w:t>occurred before</w:t>
      </w:r>
      <w:r w:rsidRPr="00307729">
        <w:rPr>
          <w:sz w:val="24"/>
          <w:szCs w:val="24"/>
        </w:rPr>
        <w:t xml:space="preserve"> my appointment as a </w:t>
      </w:r>
      <w:r>
        <w:rPr>
          <w:sz w:val="24"/>
          <w:szCs w:val="24"/>
        </w:rPr>
        <w:t>r</w:t>
      </w:r>
      <w:r w:rsidRPr="00307729">
        <w:rPr>
          <w:sz w:val="24"/>
          <w:szCs w:val="24"/>
        </w:rPr>
        <w:t>egistrar.</w:t>
      </w:r>
    </w:p>
    <w:p w:rsidR="0067401C" w:rsidRPr="007D6421" w:rsidRDefault="0067401C" w:rsidP="00462142">
      <w:pPr>
        <w:pStyle w:val="Heading1"/>
        <w:pBdr>
          <w:bottom w:val="single" w:sz="4" w:space="1" w:color="auto"/>
        </w:pBdr>
        <w:spacing w:before="0" w:line="360" w:lineRule="auto"/>
        <w:rPr>
          <w:b/>
          <w:color w:val="auto"/>
        </w:rPr>
      </w:pPr>
      <w:bookmarkStart w:id="4" w:name="_Toc512895927"/>
      <w:r w:rsidRPr="007D6421">
        <w:rPr>
          <w:b/>
          <w:color w:val="auto"/>
        </w:rPr>
        <w:lastRenderedPageBreak/>
        <w:t>Ex</w:t>
      </w:r>
      <w:bookmarkEnd w:id="3"/>
      <w:r w:rsidRPr="007D6421">
        <w:rPr>
          <w:b/>
          <w:color w:val="auto"/>
        </w:rPr>
        <w:t>ecutive Summary</w:t>
      </w:r>
      <w:bookmarkEnd w:id="4"/>
    </w:p>
    <w:p w:rsidR="0067401C" w:rsidRDefault="0067401C" w:rsidP="00462142">
      <w:pPr>
        <w:spacing w:after="0" w:line="36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7315"/>
      </w:tblGrid>
      <w:tr w:rsidR="0067401C" w:rsidTr="00787AF0">
        <w:tc>
          <w:tcPr>
            <w:tcW w:w="1701" w:type="dxa"/>
          </w:tcPr>
          <w:p w:rsidR="0067401C" w:rsidRPr="00307729" w:rsidRDefault="0067401C" w:rsidP="00462142">
            <w:pPr>
              <w:spacing w:line="360" w:lineRule="auto"/>
              <w:rPr>
                <w:sz w:val="28"/>
                <w:szCs w:val="28"/>
              </w:rPr>
            </w:pPr>
            <w:bookmarkStart w:id="5" w:name="_Hlk510018558"/>
            <w:r w:rsidRPr="00307729">
              <w:rPr>
                <w:b/>
                <w:bCs/>
                <w:sz w:val="28"/>
                <w:szCs w:val="28"/>
              </w:rPr>
              <w:t>Question 1 </w:t>
            </w:r>
          </w:p>
        </w:tc>
        <w:tc>
          <w:tcPr>
            <w:tcW w:w="7315" w:type="dxa"/>
          </w:tcPr>
          <w:p w:rsidR="0067401C" w:rsidRPr="00307729" w:rsidRDefault="0067401C" w:rsidP="00462142">
            <w:pPr>
              <w:spacing w:line="360" w:lineRule="auto"/>
              <w:jc w:val="both"/>
              <w:rPr>
                <w:b/>
                <w:sz w:val="28"/>
                <w:szCs w:val="28"/>
              </w:rPr>
            </w:pPr>
            <w:r w:rsidRPr="00307729">
              <w:rPr>
                <w:b/>
                <w:sz w:val="28"/>
                <w:szCs w:val="28"/>
              </w:rPr>
              <w:t>What should be the role and objectives of the modern family law system?</w:t>
            </w:r>
          </w:p>
          <w:p w:rsidR="008F1051" w:rsidRPr="00307729" w:rsidRDefault="008F1051" w:rsidP="00462142">
            <w:pPr>
              <w:spacing w:line="360" w:lineRule="auto"/>
              <w:jc w:val="both"/>
              <w:rPr>
                <w:sz w:val="28"/>
                <w:szCs w:val="28"/>
              </w:rPr>
            </w:pPr>
          </w:p>
        </w:tc>
      </w:tr>
      <w:tr w:rsidR="008F1051" w:rsidTr="00787AF0">
        <w:tc>
          <w:tcPr>
            <w:tcW w:w="1701" w:type="dxa"/>
          </w:tcPr>
          <w:p w:rsidR="008F1051" w:rsidRDefault="008F1051" w:rsidP="00462142">
            <w:pPr>
              <w:spacing w:line="360" w:lineRule="auto"/>
            </w:pPr>
          </w:p>
        </w:tc>
        <w:tc>
          <w:tcPr>
            <w:tcW w:w="7315" w:type="dxa"/>
          </w:tcPr>
          <w:p w:rsidR="008F1051" w:rsidRDefault="008F1051" w:rsidP="00462142">
            <w:pPr>
              <w:spacing w:line="360" w:lineRule="auto"/>
              <w:jc w:val="both"/>
              <w:rPr>
                <w:b/>
                <w:sz w:val="24"/>
                <w:szCs w:val="24"/>
              </w:rPr>
            </w:pPr>
            <w:r>
              <w:rPr>
                <w:b/>
                <w:sz w:val="24"/>
                <w:szCs w:val="24"/>
              </w:rPr>
              <w:t>Discussion</w:t>
            </w:r>
            <w:r w:rsidR="00954E38">
              <w:rPr>
                <w:b/>
                <w:sz w:val="24"/>
                <w:szCs w:val="24"/>
              </w:rPr>
              <w:t xml:space="preserve"> Summary:</w:t>
            </w:r>
          </w:p>
          <w:p w:rsidR="00954E38" w:rsidRDefault="00E5469D" w:rsidP="009A0126">
            <w:pPr>
              <w:pStyle w:val="ListParagraph"/>
              <w:numPr>
                <w:ilvl w:val="0"/>
                <w:numId w:val="39"/>
              </w:numPr>
              <w:spacing w:line="360" w:lineRule="auto"/>
              <w:jc w:val="both"/>
              <w:rPr>
                <w:sz w:val="24"/>
                <w:szCs w:val="24"/>
              </w:rPr>
            </w:pPr>
            <w:r>
              <w:rPr>
                <w:sz w:val="24"/>
                <w:szCs w:val="24"/>
              </w:rPr>
              <w:t>The proportion of families in the family law system compared to families with separated spouses</w:t>
            </w:r>
            <w:r w:rsidR="00307729">
              <w:rPr>
                <w:sz w:val="24"/>
                <w:szCs w:val="24"/>
              </w:rPr>
              <w:t xml:space="preserve"> overall</w:t>
            </w:r>
            <w:r>
              <w:rPr>
                <w:sz w:val="24"/>
                <w:szCs w:val="24"/>
              </w:rPr>
              <w:t xml:space="preserve"> is not </w:t>
            </w:r>
            <w:r w:rsidR="00AF38E5">
              <w:rPr>
                <w:sz w:val="24"/>
                <w:szCs w:val="24"/>
              </w:rPr>
              <w:t xml:space="preserve">well </w:t>
            </w:r>
            <w:r>
              <w:rPr>
                <w:sz w:val="24"/>
                <w:szCs w:val="24"/>
              </w:rPr>
              <w:t xml:space="preserve">known. </w:t>
            </w:r>
          </w:p>
          <w:p w:rsidR="00E5469D" w:rsidRDefault="00E5469D" w:rsidP="009A0126">
            <w:pPr>
              <w:pStyle w:val="ListParagraph"/>
              <w:numPr>
                <w:ilvl w:val="0"/>
                <w:numId w:val="39"/>
              </w:numPr>
              <w:spacing w:line="360" w:lineRule="auto"/>
              <w:jc w:val="both"/>
              <w:rPr>
                <w:sz w:val="24"/>
                <w:szCs w:val="24"/>
              </w:rPr>
            </w:pPr>
            <w:r>
              <w:rPr>
                <w:sz w:val="24"/>
                <w:szCs w:val="24"/>
              </w:rPr>
              <w:t xml:space="preserve">The available evidence suggests </w:t>
            </w:r>
            <w:r w:rsidR="00307729">
              <w:rPr>
                <w:sz w:val="24"/>
                <w:szCs w:val="24"/>
              </w:rPr>
              <w:t>c</w:t>
            </w:r>
            <w:r>
              <w:rPr>
                <w:sz w:val="24"/>
                <w:szCs w:val="24"/>
              </w:rPr>
              <w:t>ourt applications</w:t>
            </w:r>
            <w:r w:rsidR="001568EF">
              <w:rPr>
                <w:sz w:val="24"/>
                <w:szCs w:val="24"/>
              </w:rPr>
              <w:t xml:space="preserve"> for parenting orders</w:t>
            </w:r>
            <w:r>
              <w:rPr>
                <w:sz w:val="24"/>
                <w:szCs w:val="24"/>
              </w:rPr>
              <w:t xml:space="preserve"> </w:t>
            </w:r>
            <w:r w:rsidR="001568EF">
              <w:rPr>
                <w:sz w:val="24"/>
                <w:szCs w:val="24"/>
              </w:rPr>
              <w:t>apply to</w:t>
            </w:r>
            <w:r>
              <w:rPr>
                <w:sz w:val="24"/>
                <w:szCs w:val="24"/>
              </w:rPr>
              <w:t xml:space="preserve"> a small fraction of children with separated parents.</w:t>
            </w:r>
            <w:r w:rsidR="001568EF">
              <w:rPr>
                <w:sz w:val="24"/>
                <w:szCs w:val="24"/>
              </w:rPr>
              <w:t xml:space="preserve"> Moreover, the most prevalent form of pathway </w:t>
            </w:r>
            <w:r w:rsidR="00AF38E5">
              <w:rPr>
                <w:sz w:val="24"/>
                <w:szCs w:val="24"/>
              </w:rPr>
              <w:t>appears to be</w:t>
            </w:r>
            <w:r w:rsidR="001568EF">
              <w:rPr>
                <w:sz w:val="24"/>
                <w:szCs w:val="24"/>
              </w:rPr>
              <w:t xml:space="preserve"> direct discussions or unspoken agreements. </w:t>
            </w:r>
          </w:p>
          <w:p w:rsidR="00E5469D" w:rsidRDefault="00E5469D" w:rsidP="009A0126">
            <w:pPr>
              <w:pStyle w:val="ListParagraph"/>
              <w:numPr>
                <w:ilvl w:val="0"/>
                <w:numId w:val="39"/>
              </w:numPr>
              <w:spacing w:line="360" w:lineRule="auto"/>
              <w:jc w:val="both"/>
              <w:rPr>
                <w:sz w:val="24"/>
                <w:szCs w:val="24"/>
              </w:rPr>
            </w:pPr>
            <w:r>
              <w:rPr>
                <w:sz w:val="24"/>
                <w:szCs w:val="24"/>
              </w:rPr>
              <w:t xml:space="preserve">Even if matters proceed to </w:t>
            </w:r>
            <w:r w:rsidR="00307729">
              <w:rPr>
                <w:sz w:val="24"/>
                <w:szCs w:val="24"/>
              </w:rPr>
              <w:t>c</w:t>
            </w:r>
            <w:r>
              <w:rPr>
                <w:sz w:val="24"/>
                <w:szCs w:val="24"/>
              </w:rPr>
              <w:t xml:space="preserve">ourt, </w:t>
            </w:r>
            <w:r w:rsidR="000C20E3">
              <w:rPr>
                <w:sz w:val="24"/>
                <w:szCs w:val="24"/>
              </w:rPr>
              <w:t xml:space="preserve">most </w:t>
            </w:r>
            <w:r>
              <w:rPr>
                <w:sz w:val="24"/>
                <w:szCs w:val="24"/>
              </w:rPr>
              <w:t xml:space="preserve">matters (whether parenting or property) resolve without a judicial decision. </w:t>
            </w:r>
          </w:p>
          <w:p w:rsidR="00E5469D" w:rsidRDefault="000C20E3" w:rsidP="009A0126">
            <w:pPr>
              <w:pStyle w:val="ListParagraph"/>
              <w:numPr>
                <w:ilvl w:val="0"/>
                <w:numId w:val="39"/>
              </w:numPr>
              <w:spacing w:line="360" w:lineRule="auto"/>
              <w:jc w:val="both"/>
              <w:rPr>
                <w:sz w:val="24"/>
                <w:szCs w:val="24"/>
              </w:rPr>
            </w:pPr>
            <w:r>
              <w:rPr>
                <w:sz w:val="24"/>
                <w:szCs w:val="24"/>
              </w:rPr>
              <w:t>Unpublished data exists</w:t>
            </w:r>
            <w:r w:rsidR="001568EF">
              <w:rPr>
                <w:sz w:val="24"/>
                <w:szCs w:val="24"/>
              </w:rPr>
              <w:t xml:space="preserve"> (held by the Department of Human Services)</w:t>
            </w:r>
            <w:r>
              <w:rPr>
                <w:sz w:val="24"/>
                <w:szCs w:val="24"/>
              </w:rPr>
              <w:t xml:space="preserve"> about the number of children overall in shared parenting or other</w:t>
            </w:r>
            <w:r w:rsidR="001568EF">
              <w:rPr>
                <w:sz w:val="24"/>
                <w:szCs w:val="24"/>
              </w:rPr>
              <w:t xml:space="preserve"> parenting</w:t>
            </w:r>
            <w:r>
              <w:rPr>
                <w:sz w:val="24"/>
                <w:szCs w:val="24"/>
              </w:rPr>
              <w:t xml:space="preserve"> arrangements. </w:t>
            </w:r>
            <w:r w:rsidR="001568EF">
              <w:rPr>
                <w:sz w:val="24"/>
                <w:szCs w:val="24"/>
              </w:rPr>
              <w:t xml:space="preserve"> </w:t>
            </w:r>
            <w:r w:rsidR="00AF38E5">
              <w:rPr>
                <w:sz w:val="24"/>
                <w:szCs w:val="24"/>
              </w:rPr>
              <w:t>Obtaining this data is very important in evaluating the overall effect of the family law system.</w:t>
            </w:r>
          </w:p>
          <w:p w:rsidR="008F1051" w:rsidRDefault="000C20E3" w:rsidP="009A0126">
            <w:pPr>
              <w:pStyle w:val="ListParagraph"/>
              <w:numPr>
                <w:ilvl w:val="0"/>
                <w:numId w:val="39"/>
              </w:numPr>
              <w:spacing w:line="360" w:lineRule="auto"/>
              <w:jc w:val="both"/>
              <w:rPr>
                <w:sz w:val="24"/>
                <w:szCs w:val="24"/>
              </w:rPr>
            </w:pPr>
            <w:r>
              <w:rPr>
                <w:sz w:val="24"/>
                <w:szCs w:val="24"/>
              </w:rPr>
              <w:t xml:space="preserve">Any potential reform </w:t>
            </w:r>
            <w:r w:rsidR="001568EF">
              <w:rPr>
                <w:sz w:val="24"/>
                <w:szCs w:val="24"/>
              </w:rPr>
              <w:t>should</w:t>
            </w:r>
            <w:r>
              <w:rPr>
                <w:sz w:val="24"/>
                <w:szCs w:val="24"/>
              </w:rPr>
              <w:t xml:space="preserve"> consider the impact of proposed changes on most families (with separate</w:t>
            </w:r>
            <w:r w:rsidR="001568EF">
              <w:rPr>
                <w:sz w:val="24"/>
                <w:szCs w:val="24"/>
              </w:rPr>
              <w:t>d</w:t>
            </w:r>
            <w:r>
              <w:rPr>
                <w:sz w:val="24"/>
                <w:szCs w:val="24"/>
              </w:rPr>
              <w:t xml:space="preserve"> spouses) who do not interact with the family law system.</w:t>
            </w:r>
          </w:p>
          <w:p w:rsidR="000C20E3" w:rsidRPr="001568EF" w:rsidRDefault="000C20E3" w:rsidP="001568EF">
            <w:pPr>
              <w:spacing w:line="360" w:lineRule="auto"/>
              <w:jc w:val="both"/>
              <w:rPr>
                <w:sz w:val="24"/>
                <w:szCs w:val="24"/>
              </w:rPr>
            </w:pPr>
          </w:p>
        </w:tc>
      </w:tr>
      <w:bookmarkEnd w:id="5"/>
      <w:tr w:rsidR="0067401C" w:rsidTr="00787AF0">
        <w:tc>
          <w:tcPr>
            <w:tcW w:w="1701" w:type="dxa"/>
          </w:tcPr>
          <w:p w:rsidR="0067401C" w:rsidRDefault="0067401C" w:rsidP="00462142">
            <w:pPr>
              <w:spacing w:line="360" w:lineRule="auto"/>
            </w:pPr>
          </w:p>
        </w:tc>
        <w:tc>
          <w:tcPr>
            <w:tcW w:w="7315" w:type="dxa"/>
          </w:tcPr>
          <w:p w:rsidR="008F1051" w:rsidRPr="00626DE8" w:rsidRDefault="008F1051" w:rsidP="00462142">
            <w:pPr>
              <w:spacing w:line="360" w:lineRule="auto"/>
              <w:jc w:val="both"/>
              <w:rPr>
                <w:i/>
                <w:sz w:val="24"/>
                <w:szCs w:val="24"/>
              </w:rPr>
            </w:pPr>
            <w:r w:rsidRPr="00626DE8">
              <w:rPr>
                <w:b/>
                <w:i/>
                <w:sz w:val="24"/>
                <w:szCs w:val="24"/>
              </w:rPr>
              <w:t>Recommendation 1</w:t>
            </w:r>
            <w:r w:rsidRPr="00626DE8">
              <w:rPr>
                <w:i/>
                <w:sz w:val="24"/>
                <w:szCs w:val="24"/>
              </w:rPr>
              <w:t xml:space="preserve">: That the Commission </w:t>
            </w:r>
            <w:r w:rsidRPr="00195907">
              <w:rPr>
                <w:i/>
                <w:noProof/>
                <w:sz w:val="24"/>
                <w:szCs w:val="24"/>
              </w:rPr>
              <w:t>appoint</w:t>
            </w:r>
            <w:r w:rsidR="00195907">
              <w:rPr>
                <w:i/>
                <w:noProof/>
                <w:sz w:val="24"/>
                <w:szCs w:val="24"/>
              </w:rPr>
              <w:t>s</w:t>
            </w:r>
            <w:r w:rsidRPr="00626DE8">
              <w:rPr>
                <w:i/>
                <w:sz w:val="24"/>
                <w:szCs w:val="24"/>
              </w:rPr>
              <w:t xml:space="preserve">, as part of this review, an organisation (for example AIFS) to obtain quantitative data about the number of children in Australia </w:t>
            </w:r>
            <w:r w:rsidR="001568EF">
              <w:rPr>
                <w:i/>
                <w:sz w:val="24"/>
                <w:szCs w:val="24"/>
              </w:rPr>
              <w:t>whose living arrangements are,</w:t>
            </w:r>
            <w:r w:rsidRPr="00626DE8">
              <w:rPr>
                <w:i/>
                <w:sz w:val="24"/>
                <w:szCs w:val="24"/>
              </w:rPr>
              <w:t xml:space="preserve"> at any one time, </w:t>
            </w:r>
            <w:r w:rsidR="001568EF">
              <w:rPr>
                <w:i/>
                <w:sz w:val="24"/>
                <w:szCs w:val="24"/>
              </w:rPr>
              <w:t>the subject of</w:t>
            </w:r>
            <w:r w:rsidRPr="00626DE8">
              <w:rPr>
                <w:i/>
                <w:sz w:val="24"/>
                <w:szCs w:val="24"/>
              </w:rPr>
              <w:t xml:space="preserve"> a parenting order (consent or otherwise) or a parenting plan.</w:t>
            </w:r>
          </w:p>
          <w:p w:rsidR="00980957" w:rsidRPr="00626DE8" w:rsidRDefault="00980957" w:rsidP="00462142">
            <w:pPr>
              <w:spacing w:line="360" w:lineRule="auto"/>
              <w:jc w:val="both"/>
              <w:rPr>
                <w:i/>
                <w:sz w:val="24"/>
                <w:szCs w:val="24"/>
              </w:rPr>
            </w:pPr>
          </w:p>
          <w:p w:rsidR="00980957" w:rsidRPr="00626DE8" w:rsidRDefault="00980957" w:rsidP="00462142">
            <w:pPr>
              <w:spacing w:line="360" w:lineRule="auto"/>
              <w:jc w:val="both"/>
              <w:rPr>
                <w:i/>
                <w:sz w:val="24"/>
                <w:szCs w:val="24"/>
              </w:rPr>
            </w:pPr>
            <w:r w:rsidRPr="00626DE8">
              <w:rPr>
                <w:b/>
                <w:i/>
                <w:sz w:val="24"/>
                <w:szCs w:val="24"/>
              </w:rPr>
              <w:t>Recommendation</w:t>
            </w:r>
            <w:r w:rsidR="00313831">
              <w:rPr>
                <w:b/>
                <w:i/>
                <w:sz w:val="24"/>
                <w:szCs w:val="24"/>
              </w:rPr>
              <w:t xml:space="preserve"> </w:t>
            </w:r>
            <w:r w:rsidR="00540614">
              <w:rPr>
                <w:b/>
                <w:i/>
                <w:sz w:val="24"/>
                <w:szCs w:val="24"/>
              </w:rPr>
              <w:t>2</w:t>
            </w:r>
            <w:r w:rsidRPr="00626DE8">
              <w:rPr>
                <w:i/>
                <w:sz w:val="24"/>
                <w:szCs w:val="24"/>
              </w:rPr>
              <w:t xml:space="preserve">: That the Commission </w:t>
            </w:r>
            <w:r w:rsidRPr="0002417C">
              <w:rPr>
                <w:i/>
                <w:noProof/>
                <w:sz w:val="24"/>
                <w:szCs w:val="24"/>
              </w:rPr>
              <w:t>consider</w:t>
            </w:r>
            <w:r w:rsidRPr="00626DE8">
              <w:rPr>
                <w:i/>
                <w:sz w:val="24"/>
                <w:szCs w:val="24"/>
              </w:rPr>
              <w:t xml:space="preserve"> the impact of its </w:t>
            </w:r>
            <w:r w:rsidRPr="00626DE8">
              <w:rPr>
                <w:i/>
                <w:sz w:val="24"/>
                <w:szCs w:val="24"/>
              </w:rPr>
              <w:lastRenderedPageBreak/>
              <w:t xml:space="preserve">findings and recommendations on the </w:t>
            </w:r>
            <w:r w:rsidR="002C2F0E" w:rsidRPr="00626DE8">
              <w:rPr>
                <w:i/>
                <w:sz w:val="24"/>
                <w:szCs w:val="24"/>
              </w:rPr>
              <w:t>families who manage their arrangements without interacting with the family law system</w:t>
            </w:r>
            <w:r w:rsidR="008F1051" w:rsidRPr="00626DE8">
              <w:rPr>
                <w:i/>
                <w:sz w:val="24"/>
                <w:szCs w:val="24"/>
              </w:rPr>
              <w:t>.</w:t>
            </w:r>
          </w:p>
          <w:p w:rsidR="00540614" w:rsidRPr="00626DE8" w:rsidRDefault="00540614" w:rsidP="00462142">
            <w:pPr>
              <w:spacing w:line="360" w:lineRule="auto"/>
              <w:jc w:val="both"/>
              <w:rPr>
                <w:i/>
                <w:sz w:val="24"/>
                <w:szCs w:val="24"/>
              </w:rPr>
            </w:pPr>
          </w:p>
          <w:p w:rsidR="007B0BFD" w:rsidRPr="00626DE8" w:rsidRDefault="007B0BFD" w:rsidP="00462142">
            <w:pPr>
              <w:spacing w:line="360" w:lineRule="auto"/>
              <w:jc w:val="both"/>
              <w:rPr>
                <w:i/>
                <w:sz w:val="24"/>
                <w:szCs w:val="24"/>
              </w:rPr>
            </w:pPr>
            <w:r w:rsidRPr="00AE7385">
              <w:rPr>
                <w:b/>
                <w:i/>
                <w:noProof/>
                <w:sz w:val="24"/>
                <w:szCs w:val="24"/>
              </w:rPr>
              <w:t xml:space="preserve">Recommendation </w:t>
            </w:r>
            <w:r w:rsidR="00B46357" w:rsidRPr="00AE7385">
              <w:rPr>
                <w:b/>
                <w:i/>
                <w:noProof/>
                <w:sz w:val="24"/>
                <w:szCs w:val="24"/>
              </w:rPr>
              <w:t>3</w:t>
            </w:r>
            <w:r w:rsidRPr="00AE7385">
              <w:rPr>
                <w:b/>
                <w:i/>
                <w:noProof/>
                <w:sz w:val="24"/>
                <w:szCs w:val="24"/>
              </w:rPr>
              <w:t xml:space="preserve">: </w:t>
            </w:r>
            <w:r w:rsidRPr="00AE7385">
              <w:rPr>
                <w:i/>
                <w:noProof/>
                <w:sz w:val="24"/>
                <w:szCs w:val="24"/>
              </w:rPr>
              <w:t>That the Commission call upon the Department of Human Services (Commonwealth) to retrieve, then publi</w:t>
            </w:r>
            <w:r w:rsidR="004053C3" w:rsidRPr="00AE7385">
              <w:rPr>
                <w:i/>
                <w:noProof/>
                <w:sz w:val="24"/>
                <w:szCs w:val="24"/>
              </w:rPr>
              <w:t>sh</w:t>
            </w:r>
            <w:r w:rsidRPr="00AE7385">
              <w:rPr>
                <w:i/>
                <w:noProof/>
                <w:sz w:val="24"/>
                <w:szCs w:val="24"/>
              </w:rPr>
              <w:t xml:space="preserve"> (in a manner akin to its previous ‘facts and figures’ documents</w:t>
            </w:r>
            <w:r w:rsidR="00F531FE" w:rsidRPr="00AE7385">
              <w:rPr>
                <w:i/>
                <w:noProof/>
                <w:sz w:val="24"/>
                <w:szCs w:val="24"/>
              </w:rPr>
              <w:t>)</w:t>
            </w:r>
            <w:r w:rsidRPr="00AE7385">
              <w:rPr>
                <w:i/>
                <w:noProof/>
                <w:sz w:val="24"/>
                <w:szCs w:val="24"/>
              </w:rPr>
              <w:t xml:space="preserve">, particulars of the present numbers </w:t>
            </w:r>
            <w:r w:rsidR="00AF38E5" w:rsidRPr="00AE7385">
              <w:rPr>
                <w:i/>
                <w:noProof/>
                <w:sz w:val="24"/>
                <w:szCs w:val="24"/>
              </w:rPr>
              <w:t xml:space="preserve">(including percentages) </w:t>
            </w:r>
            <w:r w:rsidRPr="00AE7385">
              <w:rPr>
                <w:i/>
                <w:noProof/>
                <w:sz w:val="24"/>
                <w:szCs w:val="24"/>
              </w:rPr>
              <w:t>of children living with mothers and fathers</w:t>
            </w:r>
            <w:r w:rsidR="00AE7385">
              <w:rPr>
                <w:i/>
                <w:noProof/>
                <w:sz w:val="24"/>
                <w:szCs w:val="24"/>
              </w:rPr>
              <w:t xml:space="preserve">. </w:t>
            </w:r>
            <w:r w:rsidR="00AE7385" w:rsidRPr="00AE7385">
              <w:rPr>
                <w:i/>
                <w:noProof/>
                <w:sz w:val="24"/>
                <w:szCs w:val="24"/>
              </w:rPr>
              <w:t>The d</w:t>
            </w:r>
            <w:r w:rsidR="00AE7385">
              <w:rPr>
                <w:i/>
                <w:noProof/>
                <w:sz w:val="24"/>
                <w:szCs w:val="24"/>
              </w:rPr>
              <w:t>ata is presentable</w:t>
            </w:r>
            <w:r w:rsidR="00AF38E5" w:rsidRPr="00AE7385">
              <w:rPr>
                <w:i/>
                <w:noProof/>
                <w:sz w:val="24"/>
                <w:szCs w:val="24"/>
              </w:rPr>
              <w:t xml:space="preserve"> </w:t>
            </w:r>
            <w:r w:rsidRPr="00AE7385">
              <w:rPr>
                <w:i/>
                <w:noProof/>
                <w:sz w:val="24"/>
                <w:szCs w:val="24"/>
              </w:rPr>
              <w:t xml:space="preserve">in each percentage of care band </w:t>
            </w:r>
            <w:r w:rsidR="00AF38E5" w:rsidRPr="00AE7385">
              <w:rPr>
                <w:i/>
                <w:noProof/>
                <w:sz w:val="24"/>
                <w:szCs w:val="24"/>
              </w:rPr>
              <w:t xml:space="preserve">for </w:t>
            </w:r>
            <w:r w:rsidRPr="00AE7385">
              <w:rPr>
                <w:i/>
                <w:noProof/>
                <w:sz w:val="24"/>
                <w:szCs w:val="24"/>
              </w:rPr>
              <w:t>calculating a child support assessment.</w:t>
            </w:r>
            <w:r w:rsidRPr="00626DE8">
              <w:rPr>
                <w:i/>
                <w:sz w:val="24"/>
                <w:szCs w:val="24"/>
              </w:rPr>
              <w:t xml:space="preserve">  </w:t>
            </w:r>
          </w:p>
          <w:p w:rsidR="00954E38" w:rsidRDefault="00954E38" w:rsidP="00462142">
            <w:pPr>
              <w:spacing w:line="360" w:lineRule="auto"/>
              <w:jc w:val="both"/>
              <w:rPr>
                <w:b/>
                <w:i/>
                <w:sz w:val="24"/>
                <w:szCs w:val="24"/>
              </w:rPr>
            </w:pPr>
          </w:p>
          <w:p w:rsidR="00195907" w:rsidRPr="00313831" w:rsidRDefault="00626DE8" w:rsidP="00195907">
            <w:pPr>
              <w:spacing w:line="360" w:lineRule="auto"/>
              <w:jc w:val="both"/>
              <w:rPr>
                <w:sz w:val="24"/>
                <w:szCs w:val="24"/>
              </w:rPr>
            </w:pPr>
            <w:r w:rsidRPr="00195907">
              <w:rPr>
                <w:b/>
                <w:i/>
                <w:noProof/>
                <w:sz w:val="24"/>
                <w:szCs w:val="24"/>
              </w:rPr>
              <w:t xml:space="preserve">Recommendation </w:t>
            </w:r>
            <w:r w:rsidR="00B46357" w:rsidRPr="00195907">
              <w:rPr>
                <w:b/>
                <w:i/>
                <w:noProof/>
                <w:sz w:val="24"/>
                <w:szCs w:val="24"/>
              </w:rPr>
              <w:t>4</w:t>
            </w:r>
            <w:r w:rsidRPr="00195907">
              <w:rPr>
                <w:i/>
                <w:noProof/>
                <w:sz w:val="24"/>
                <w:szCs w:val="24"/>
              </w:rPr>
              <w:t xml:space="preserve">: </w:t>
            </w:r>
            <w:r w:rsidR="00070648" w:rsidRPr="00070648">
              <w:rPr>
                <w:i/>
                <w:noProof/>
                <w:sz w:val="24"/>
                <w:szCs w:val="24"/>
              </w:rPr>
              <w:t xml:space="preserve">That in developing a future ‘role and objectives’ of the Family Law System, the Commission </w:t>
            </w:r>
            <w:r w:rsidR="00070648" w:rsidRPr="00934AA7">
              <w:rPr>
                <w:i/>
                <w:noProof/>
                <w:sz w:val="24"/>
                <w:szCs w:val="24"/>
              </w:rPr>
              <w:t>consider</w:t>
            </w:r>
            <w:r w:rsidR="00070648" w:rsidRPr="00070648">
              <w:rPr>
                <w:i/>
                <w:noProof/>
                <w:sz w:val="24"/>
                <w:szCs w:val="24"/>
              </w:rPr>
              <w:t xml:space="preserve"> the </w:t>
            </w:r>
            <w:r w:rsidR="00070648" w:rsidRPr="00934AA7">
              <w:rPr>
                <w:i/>
                <w:noProof/>
                <w:sz w:val="24"/>
                <w:szCs w:val="24"/>
              </w:rPr>
              <w:t>data</w:t>
            </w:r>
            <w:r w:rsidR="00070648" w:rsidRPr="00070648">
              <w:rPr>
                <w:i/>
                <w:noProof/>
                <w:sz w:val="24"/>
                <w:szCs w:val="24"/>
              </w:rPr>
              <w:t xml:space="preserve"> pointing to most separated spouses, even within the family law system, reaching an agreement by themselves about their parenting or property arrangements.</w:t>
            </w:r>
          </w:p>
        </w:tc>
      </w:tr>
      <w:tr w:rsidR="00313831" w:rsidTr="00787AF0">
        <w:tc>
          <w:tcPr>
            <w:tcW w:w="1701" w:type="dxa"/>
          </w:tcPr>
          <w:p w:rsidR="00313831" w:rsidRPr="00307729" w:rsidRDefault="003C5638" w:rsidP="00462142">
            <w:pPr>
              <w:spacing w:line="360" w:lineRule="auto"/>
              <w:rPr>
                <w:b/>
                <w:sz w:val="28"/>
                <w:szCs w:val="28"/>
              </w:rPr>
            </w:pPr>
            <w:r w:rsidRPr="00307729">
              <w:rPr>
                <w:b/>
                <w:sz w:val="28"/>
                <w:szCs w:val="28"/>
              </w:rPr>
              <w:lastRenderedPageBreak/>
              <w:t>Question 2</w:t>
            </w:r>
          </w:p>
        </w:tc>
        <w:tc>
          <w:tcPr>
            <w:tcW w:w="7315" w:type="dxa"/>
          </w:tcPr>
          <w:p w:rsidR="00313831" w:rsidRPr="00307729" w:rsidRDefault="003C5638" w:rsidP="00462142">
            <w:pPr>
              <w:spacing w:line="360" w:lineRule="auto"/>
              <w:jc w:val="both"/>
              <w:rPr>
                <w:b/>
                <w:sz w:val="28"/>
                <w:szCs w:val="28"/>
              </w:rPr>
            </w:pPr>
            <w:r w:rsidRPr="00307729">
              <w:rPr>
                <w:b/>
                <w:sz w:val="28"/>
                <w:szCs w:val="28"/>
              </w:rPr>
              <w:t>What principles should guide any redevelopment of the family law</w:t>
            </w:r>
            <w:r w:rsidR="00FE11B1" w:rsidRPr="00307729">
              <w:rPr>
                <w:b/>
                <w:sz w:val="28"/>
                <w:szCs w:val="28"/>
              </w:rPr>
              <w:t xml:space="preserve"> </w:t>
            </w:r>
            <w:r w:rsidRPr="00307729">
              <w:rPr>
                <w:b/>
                <w:sz w:val="28"/>
                <w:szCs w:val="28"/>
              </w:rPr>
              <w:t>system?</w:t>
            </w:r>
          </w:p>
          <w:p w:rsidR="003C5638" w:rsidRPr="00307729" w:rsidRDefault="003C5638" w:rsidP="00462142">
            <w:pPr>
              <w:spacing w:line="360" w:lineRule="auto"/>
              <w:jc w:val="both"/>
              <w:rPr>
                <w:b/>
                <w:sz w:val="28"/>
                <w:szCs w:val="28"/>
              </w:rPr>
            </w:pPr>
          </w:p>
        </w:tc>
      </w:tr>
      <w:tr w:rsidR="003C5638" w:rsidTr="00787AF0">
        <w:tc>
          <w:tcPr>
            <w:tcW w:w="1701" w:type="dxa"/>
          </w:tcPr>
          <w:p w:rsidR="003C5638" w:rsidRPr="009B66A5" w:rsidRDefault="003C5638" w:rsidP="00462142">
            <w:pPr>
              <w:spacing w:line="360" w:lineRule="auto"/>
              <w:rPr>
                <w:b/>
                <w:sz w:val="24"/>
                <w:szCs w:val="24"/>
              </w:rPr>
            </w:pPr>
          </w:p>
        </w:tc>
        <w:tc>
          <w:tcPr>
            <w:tcW w:w="7315" w:type="dxa"/>
          </w:tcPr>
          <w:p w:rsidR="003C5638" w:rsidRDefault="003C5638" w:rsidP="00462142">
            <w:pPr>
              <w:spacing w:line="360" w:lineRule="auto"/>
              <w:jc w:val="both"/>
              <w:rPr>
                <w:b/>
                <w:sz w:val="24"/>
                <w:szCs w:val="24"/>
              </w:rPr>
            </w:pPr>
            <w:r>
              <w:rPr>
                <w:b/>
                <w:sz w:val="24"/>
                <w:szCs w:val="24"/>
              </w:rPr>
              <w:t>Discussion</w:t>
            </w:r>
            <w:r w:rsidR="000C20E3">
              <w:rPr>
                <w:b/>
                <w:sz w:val="24"/>
                <w:szCs w:val="24"/>
              </w:rPr>
              <w:t xml:space="preserve"> Summary</w:t>
            </w:r>
            <w:r>
              <w:rPr>
                <w:b/>
                <w:sz w:val="24"/>
                <w:szCs w:val="24"/>
              </w:rPr>
              <w:t>:</w:t>
            </w:r>
          </w:p>
          <w:p w:rsidR="003C5638" w:rsidRPr="000C20E3" w:rsidRDefault="000C20E3" w:rsidP="009A0126">
            <w:pPr>
              <w:pStyle w:val="ListParagraph"/>
              <w:numPr>
                <w:ilvl w:val="0"/>
                <w:numId w:val="48"/>
              </w:numPr>
              <w:spacing w:line="360" w:lineRule="auto"/>
              <w:jc w:val="both"/>
              <w:rPr>
                <w:b/>
                <w:sz w:val="24"/>
                <w:szCs w:val="24"/>
              </w:rPr>
            </w:pPr>
            <w:r>
              <w:rPr>
                <w:sz w:val="24"/>
                <w:szCs w:val="24"/>
              </w:rPr>
              <w:t xml:space="preserve">There is no need to have a single set of principles guiding the whole of the development of the family law system. </w:t>
            </w:r>
          </w:p>
          <w:p w:rsidR="000C20E3" w:rsidRPr="000C20E3" w:rsidRDefault="000C20E3" w:rsidP="009A0126">
            <w:pPr>
              <w:pStyle w:val="ListParagraph"/>
              <w:numPr>
                <w:ilvl w:val="0"/>
                <w:numId w:val="48"/>
              </w:numPr>
              <w:spacing w:line="360" w:lineRule="auto"/>
              <w:jc w:val="both"/>
              <w:rPr>
                <w:b/>
                <w:sz w:val="24"/>
                <w:szCs w:val="24"/>
              </w:rPr>
            </w:pPr>
            <w:r>
              <w:rPr>
                <w:sz w:val="24"/>
                <w:szCs w:val="24"/>
              </w:rPr>
              <w:t xml:space="preserve">There are presently </w:t>
            </w:r>
            <w:r w:rsidRPr="00E014B4">
              <w:rPr>
                <w:noProof/>
                <w:sz w:val="24"/>
                <w:szCs w:val="24"/>
              </w:rPr>
              <w:t>few</w:t>
            </w:r>
            <w:r>
              <w:rPr>
                <w:sz w:val="24"/>
                <w:szCs w:val="24"/>
              </w:rPr>
              <w:t xml:space="preserve"> </w:t>
            </w:r>
            <w:r w:rsidR="00AE7385">
              <w:rPr>
                <w:sz w:val="24"/>
                <w:szCs w:val="24"/>
              </w:rPr>
              <w:t>identifiable</w:t>
            </w:r>
            <w:r>
              <w:rPr>
                <w:sz w:val="24"/>
                <w:szCs w:val="24"/>
              </w:rPr>
              <w:t xml:space="preserve"> principles underpinning the </w:t>
            </w:r>
            <w:r w:rsidR="00AE7385">
              <w:rPr>
                <w:sz w:val="24"/>
                <w:szCs w:val="24"/>
              </w:rPr>
              <w:t xml:space="preserve">statutory </w:t>
            </w:r>
            <w:r>
              <w:rPr>
                <w:sz w:val="24"/>
                <w:szCs w:val="24"/>
              </w:rPr>
              <w:t xml:space="preserve">system for </w:t>
            </w:r>
            <w:r w:rsidR="00AE7385">
              <w:rPr>
                <w:sz w:val="24"/>
                <w:szCs w:val="24"/>
              </w:rPr>
              <w:t>alteration of property interests</w:t>
            </w:r>
            <w:r>
              <w:rPr>
                <w:sz w:val="24"/>
                <w:szCs w:val="24"/>
              </w:rPr>
              <w:t xml:space="preserve">. </w:t>
            </w:r>
          </w:p>
          <w:p w:rsidR="000C20E3" w:rsidRPr="000C20E3" w:rsidRDefault="000C20E3" w:rsidP="009A0126">
            <w:pPr>
              <w:pStyle w:val="ListParagraph"/>
              <w:numPr>
                <w:ilvl w:val="0"/>
                <w:numId w:val="48"/>
              </w:numPr>
              <w:spacing w:line="360" w:lineRule="auto"/>
              <w:jc w:val="both"/>
              <w:rPr>
                <w:b/>
                <w:sz w:val="24"/>
                <w:szCs w:val="24"/>
              </w:rPr>
            </w:pPr>
            <w:r>
              <w:rPr>
                <w:sz w:val="24"/>
                <w:szCs w:val="24"/>
              </w:rPr>
              <w:t xml:space="preserve">The </w:t>
            </w:r>
            <w:r>
              <w:rPr>
                <w:i/>
                <w:sz w:val="24"/>
                <w:szCs w:val="24"/>
              </w:rPr>
              <w:t>Act</w:t>
            </w:r>
            <w:r>
              <w:rPr>
                <w:sz w:val="24"/>
                <w:szCs w:val="24"/>
              </w:rPr>
              <w:t>, as far as its overall structure is concerned, already reflects liberal philosophical values</w:t>
            </w:r>
            <w:r w:rsidR="00AE7385">
              <w:rPr>
                <w:sz w:val="24"/>
                <w:szCs w:val="24"/>
              </w:rPr>
              <w:t>,</w:t>
            </w:r>
            <w:r>
              <w:rPr>
                <w:sz w:val="24"/>
                <w:szCs w:val="24"/>
              </w:rPr>
              <w:t xml:space="preserve"> in that it prioritises financial agreements (if properly made), </w:t>
            </w:r>
            <w:r>
              <w:rPr>
                <w:i/>
                <w:sz w:val="24"/>
                <w:szCs w:val="24"/>
              </w:rPr>
              <w:t>and</w:t>
            </w:r>
            <w:r>
              <w:rPr>
                <w:sz w:val="24"/>
                <w:szCs w:val="24"/>
              </w:rPr>
              <w:t xml:space="preserve">, the regime for enforceability of </w:t>
            </w:r>
            <w:r w:rsidRPr="005C1606">
              <w:rPr>
                <w:noProof/>
                <w:sz w:val="24"/>
                <w:szCs w:val="24"/>
              </w:rPr>
              <w:t>financial</w:t>
            </w:r>
            <w:r>
              <w:rPr>
                <w:sz w:val="24"/>
                <w:szCs w:val="24"/>
              </w:rPr>
              <w:t xml:space="preserve"> </w:t>
            </w:r>
            <w:r w:rsidRPr="005C1606">
              <w:rPr>
                <w:noProof/>
                <w:sz w:val="24"/>
                <w:szCs w:val="24"/>
              </w:rPr>
              <w:t>agreements</w:t>
            </w:r>
            <w:r>
              <w:rPr>
                <w:sz w:val="24"/>
                <w:szCs w:val="24"/>
              </w:rPr>
              <w:t xml:space="preserve"> comprises (</w:t>
            </w:r>
            <w:r w:rsidR="00E014B4">
              <w:rPr>
                <w:noProof/>
                <w:sz w:val="24"/>
                <w:szCs w:val="24"/>
              </w:rPr>
              <w:t>most</w:t>
            </w:r>
            <w:r w:rsidRPr="00E014B4">
              <w:rPr>
                <w:noProof/>
                <w:sz w:val="24"/>
                <w:szCs w:val="24"/>
              </w:rPr>
              <w:t>ly</w:t>
            </w:r>
            <w:r>
              <w:rPr>
                <w:sz w:val="24"/>
                <w:szCs w:val="24"/>
              </w:rPr>
              <w:t>) traditional</w:t>
            </w:r>
            <w:r w:rsidR="00AE7385">
              <w:rPr>
                <w:sz w:val="24"/>
                <w:szCs w:val="24"/>
              </w:rPr>
              <w:t xml:space="preserve"> (and </w:t>
            </w:r>
            <w:r w:rsidR="00AE7385" w:rsidRPr="00AE7385">
              <w:rPr>
                <w:noProof/>
                <w:sz w:val="24"/>
                <w:szCs w:val="24"/>
              </w:rPr>
              <w:t>philos</w:t>
            </w:r>
            <w:r w:rsidR="00AE7385">
              <w:rPr>
                <w:noProof/>
                <w:sz w:val="24"/>
                <w:szCs w:val="24"/>
              </w:rPr>
              <w:t>oph</w:t>
            </w:r>
            <w:r w:rsidR="00AE7385" w:rsidRPr="00AE7385">
              <w:rPr>
                <w:noProof/>
                <w:sz w:val="24"/>
                <w:szCs w:val="24"/>
              </w:rPr>
              <w:t>ically</w:t>
            </w:r>
            <w:r w:rsidR="00AE7385">
              <w:rPr>
                <w:sz w:val="24"/>
                <w:szCs w:val="24"/>
              </w:rPr>
              <w:t xml:space="preserve"> liberal)</w:t>
            </w:r>
            <w:r>
              <w:rPr>
                <w:sz w:val="24"/>
                <w:szCs w:val="24"/>
              </w:rPr>
              <w:t xml:space="preserve"> principles of contract and equity. </w:t>
            </w:r>
          </w:p>
          <w:p w:rsidR="000C20E3" w:rsidRPr="000C20E3" w:rsidRDefault="000C20E3" w:rsidP="009A0126">
            <w:pPr>
              <w:pStyle w:val="ListParagraph"/>
              <w:numPr>
                <w:ilvl w:val="0"/>
                <w:numId w:val="48"/>
              </w:numPr>
              <w:spacing w:line="360" w:lineRule="auto"/>
              <w:jc w:val="both"/>
              <w:rPr>
                <w:b/>
                <w:sz w:val="24"/>
                <w:szCs w:val="24"/>
              </w:rPr>
            </w:pPr>
            <w:r>
              <w:rPr>
                <w:sz w:val="24"/>
                <w:szCs w:val="24"/>
              </w:rPr>
              <w:t>Apply</w:t>
            </w:r>
            <w:r w:rsidR="00C26DD6">
              <w:rPr>
                <w:sz w:val="24"/>
                <w:szCs w:val="24"/>
              </w:rPr>
              <w:t>ing</w:t>
            </w:r>
            <w:r>
              <w:rPr>
                <w:sz w:val="24"/>
                <w:szCs w:val="24"/>
              </w:rPr>
              <w:t xml:space="preserve"> a liberal theory of justice to </w:t>
            </w:r>
            <w:r w:rsidR="00C26DD6">
              <w:rPr>
                <w:sz w:val="24"/>
                <w:szCs w:val="24"/>
              </w:rPr>
              <w:t>alteration of property interests</w:t>
            </w:r>
            <w:r>
              <w:rPr>
                <w:sz w:val="24"/>
                <w:szCs w:val="24"/>
              </w:rPr>
              <w:t xml:space="preserve"> produces </w:t>
            </w:r>
            <w:r w:rsidR="00276212">
              <w:rPr>
                <w:sz w:val="24"/>
                <w:szCs w:val="24"/>
              </w:rPr>
              <w:t>several</w:t>
            </w:r>
            <w:r>
              <w:rPr>
                <w:sz w:val="24"/>
                <w:szCs w:val="24"/>
              </w:rPr>
              <w:t xml:space="preserve"> principles available to guide redevelopment of the </w:t>
            </w:r>
            <w:r w:rsidR="00787AF0">
              <w:rPr>
                <w:sz w:val="24"/>
                <w:szCs w:val="24"/>
              </w:rPr>
              <w:t>family law (property division)</w:t>
            </w:r>
            <w:r>
              <w:rPr>
                <w:sz w:val="24"/>
                <w:szCs w:val="24"/>
              </w:rPr>
              <w:t xml:space="preserve"> system, </w:t>
            </w:r>
            <w:r>
              <w:rPr>
                <w:sz w:val="24"/>
                <w:szCs w:val="24"/>
              </w:rPr>
              <w:lastRenderedPageBreak/>
              <w:t>being:</w:t>
            </w:r>
          </w:p>
          <w:p w:rsidR="000C20E3" w:rsidRPr="00276212" w:rsidRDefault="000C20E3" w:rsidP="009A0126">
            <w:pPr>
              <w:pStyle w:val="ListParagraph"/>
              <w:numPr>
                <w:ilvl w:val="0"/>
                <w:numId w:val="49"/>
              </w:numPr>
              <w:spacing w:line="360" w:lineRule="auto"/>
              <w:jc w:val="both"/>
              <w:rPr>
                <w:sz w:val="24"/>
                <w:szCs w:val="24"/>
              </w:rPr>
            </w:pPr>
            <w:r w:rsidRPr="00276212">
              <w:rPr>
                <w:sz w:val="24"/>
                <w:szCs w:val="24"/>
              </w:rPr>
              <w:t>The rule of law</w:t>
            </w:r>
            <w:r w:rsidR="00276212">
              <w:rPr>
                <w:sz w:val="24"/>
                <w:szCs w:val="24"/>
              </w:rPr>
              <w:t>,</w:t>
            </w:r>
          </w:p>
          <w:p w:rsidR="000C20E3" w:rsidRPr="00276212" w:rsidRDefault="000C20E3" w:rsidP="009A0126">
            <w:pPr>
              <w:pStyle w:val="ListParagraph"/>
              <w:numPr>
                <w:ilvl w:val="0"/>
                <w:numId w:val="49"/>
              </w:numPr>
              <w:spacing w:line="360" w:lineRule="auto"/>
              <w:jc w:val="both"/>
              <w:rPr>
                <w:sz w:val="24"/>
                <w:szCs w:val="24"/>
              </w:rPr>
            </w:pPr>
            <w:r w:rsidRPr="00276212">
              <w:rPr>
                <w:sz w:val="24"/>
                <w:szCs w:val="24"/>
              </w:rPr>
              <w:t>Non-discrimination between spouses</w:t>
            </w:r>
            <w:r w:rsidR="00276212">
              <w:rPr>
                <w:sz w:val="24"/>
                <w:szCs w:val="24"/>
              </w:rPr>
              <w:t>,</w:t>
            </w:r>
            <w:r w:rsidRPr="00276212">
              <w:rPr>
                <w:sz w:val="24"/>
                <w:szCs w:val="24"/>
              </w:rPr>
              <w:t xml:space="preserve"> </w:t>
            </w:r>
          </w:p>
          <w:p w:rsidR="00276212" w:rsidRPr="00276212" w:rsidRDefault="00E014B4" w:rsidP="009A0126">
            <w:pPr>
              <w:pStyle w:val="ListParagraph"/>
              <w:numPr>
                <w:ilvl w:val="0"/>
                <w:numId w:val="49"/>
              </w:numPr>
              <w:spacing w:line="360" w:lineRule="auto"/>
              <w:jc w:val="both"/>
              <w:rPr>
                <w:sz w:val="24"/>
                <w:szCs w:val="24"/>
              </w:rPr>
            </w:pPr>
            <w:r w:rsidRPr="005C1606">
              <w:rPr>
                <w:noProof/>
                <w:sz w:val="24"/>
                <w:szCs w:val="24"/>
              </w:rPr>
              <w:t>Adequa</w:t>
            </w:r>
            <w:r w:rsidR="005C1606" w:rsidRPr="005C1606">
              <w:rPr>
                <w:noProof/>
                <w:sz w:val="24"/>
                <w:szCs w:val="24"/>
              </w:rPr>
              <w:t>t</w:t>
            </w:r>
            <w:r w:rsidRPr="005C1606">
              <w:rPr>
                <w:noProof/>
                <w:sz w:val="24"/>
                <w:szCs w:val="24"/>
              </w:rPr>
              <w:t>e r</w:t>
            </w:r>
            <w:r w:rsidR="00276212" w:rsidRPr="005C1606">
              <w:rPr>
                <w:noProof/>
                <w:sz w:val="24"/>
                <w:szCs w:val="24"/>
              </w:rPr>
              <w:t>ecognition</w:t>
            </w:r>
            <w:r w:rsidR="00276212" w:rsidRPr="00276212">
              <w:rPr>
                <w:sz w:val="24"/>
                <w:szCs w:val="24"/>
              </w:rPr>
              <w:t xml:space="preserve"> of financial disadvantage</w:t>
            </w:r>
            <w:r w:rsidR="00276212">
              <w:rPr>
                <w:sz w:val="24"/>
                <w:szCs w:val="24"/>
              </w:rPr>
              <w:t>,</w:t>
            </w:r>
          </w:p>
          <w:p w:rsidR="00FE11B1" w:rsidRDefault="005C1606" w:rsidP="009A0126">
            <w:pPr>
              <w:pStyle w:val="ListParagraph"/>
              <w:numPr>
                <w:ilvl w:val="0"/>
                <w:numId w:val="49"/>
              </w:numPr>
              <w:spacing w:line="360" w:lineRule="auto"/>
              <w:jc w:val="both"/>
              <w:rPr>
                <w:b/>
                <w:sz w:val="24"/>
                <w:szCs w:val="24"/>
              </w:rPr>
            </w:pPr>
            <w:r w:rsidRPr="005C1606">
              <w:rPr>
                <w:noProof/>
                <w:sz w:val="24"/>
                <w:szCs w:val="24"/>
              </w:rPr>
              <w:t>P</w:t>
            </w:r>
            <w:r w:rsidR="00276212" w:rsidRPr="005C1606">
              <w:rPr>
                <w:noProof/>
                <w:sz w:val="24"/>
                <w:szCs w:val="24"/>
              </w:rPr>
              <w:t>riority to dependent children as future economic and social members of society</w:t>
            </w:r>
            <w:r w:rsidR="00276212" w:rsidRPr="005C1606">
              <w:rPr>
                <w:b/>
                <w:noProof/>
                <w:sz w:val="24"/>
                <w:szCs w:val="24"/>
              </w:rPr>
              <w:t>.</w:t>
            </w:r>
            <w:r w:rsidR="00276212">
              <w:rPr>
                <w:b/>
                <w:sz w:val="24"/>
                <w:szCs w:val="24"/>
              </w:rPr>
              <w:t xml:space="preserve"> </w:t>
            </w:r>
          </w:p>
          <w:p w:rsidR="00E014B4" w:rsidRPr="00276212" w:rsidRDefault="00E014B4" w:rsidP="00E014B4">
            <w:pPr>
              <w:pStyle w:val="ListParagraph"/>
              <w:spacing w:line="360" w:lineRule="auto"/>
              <w:ind w:left="1080"/>
              <w:jc w:val="both"/>
              <w:rPr>
                <w:b/>
                <w:sz w:val="24"/>
                <w:szCs w:val="24"/>
              </w:rPr>
            </w:pPr>
          </w:p>
        </w:tc>
      </w:tr>
      <w:tr w:rsidR="00313831" w:rsidTr="00787AF0">
        <w:tc>
          <w:tcPr>
            <w:tcW w:w="1701" w:type="dxa"/>
          </w:tcPr>
          <w:p w:rsidR="00313831" w:rsidRPr="009B66A5" w:rsidRDefault="00313831" w:rsidP="00462142">
            <w:pPr>
              <w:spacing w:line="360" w:lineRule="auto"/>
              <w:rPr>
                <w:b/>
                <w:sz w:val="24"/>
                <w:szCs w:val="24"/>
              </w:rPr>
            </w:pPr>
            <w:bookmarkStart w:id="6" w:name="_Hlk510629916"/>
          </w:p>
        </w:tc>
        <w:tc>
          <w:tcPr>
            <w:tcW w:w="7315" w:type="dxa"/>
          </w:tcPr>
          <w:p w:rsidR="00313831" w:rsidRDefault="003C5638" w:rsidP="00462142">
            <w:pPr>
              <w:spacing w:line="360" w:lineRule="auto"/>
              <w:jc w:val="both"/>
              <w:rPr>
                <w:i/>
                <w:sz w:val="24"/>
                <w:szCs w:val="24"/>
              </w:rPr>
            </w:pPr>
            <w:r>
              <w:rPr>
                <w:b/>
                <w:i/>
                <w:sz w:val="24"/>
                <w:szCs w:val="24"/>
              </w:rPr>
              <w:t xml:space="preserve">Recommendation </w:t>
            </w:r>
            <w:r w:rsidR="00F531FE">
              <w:rPr>
                <w:b/>
                <w:i/>
                <w:sz w:val="24"/>
                <w:szCs w:val="24"/>
              </w:rPr>
              <w:t>5:</w:t>
            </w:r>
            <w:r>
              <w:rPr>
                <w:i/>
                <w:sz w:val="24"/>
                <w:szCs w:val="24"/>
              </w:rPr>
              <w:t xml:space="preserve"> That, in respect of property settlement cases the following principles inform any </w:t>
            </w:r>
            <w:r w:rsidR="00FE11B1">
              <w:rPr>
                <w:i/>
                <w:sz w:val="24"/>
                <w:szCs w:val="24"/>
              </w:rPr>
              <w:t>re</w:t>
            </w:r>
            <w:r>
              <w:rPr>
                <w:i/>
                <w:sz w:val="24"/>
                <w:szCs w:val="24"/>
              </w:rPr>
              <w:t xml:space="preserve">development of the family law system: </w:t>
            </w:r>
          </w:p>
          <w:p w:rsidR="003C5638" w:rsidRDefault="003C5638" w:rsidP="009A0126">
            <w:pPr>
              <w:pStyle w:val="ListParagraph"/>
              <w:numPr>
                <w:ilvl w:val="0"/>
                <w:numId w:val="8"/>
              </w:numPr>
              <w:spacing w:line="360" w:lineRule="auto"/>
              <w:jc w:val="both"/>
              <w:rPr>
                <w:i/>
                <w:sz w:val="24"/>
                <w:szCs w:val="24"/>
              </w:rPr>
            </w:pPr>
            <w:r w:rsidRPr="003C5638">
              <w:rPr>
                <w:i/>
                <w:sz w:val="24"/>
                <w:szCs w:val="24"/>
              </w:rPr>
              <w:t>The rule of law</w:t>
            </w:r>
            <w:r>
              <w:rPr>
                <w:i/>
                <w:sz w:val="24"/>
                <w:szCs w:val="24"/>
              </w:rPr>
              <w:t>.</w:t>
            </w:r>
          </w:p>
          <w:p w:rsidR="003C5638" w:rsidRDefault="003C5638" w:rsidP="009A0126">
            <w:pPr>
              <w:pStyle w:val="ListParagraph"/>
              <w:numPr>
                <w:ilvl w:val="0"/>
                <w:numId w:val="8"/>
              </w:numPr>
              <w:spacing w:line="360" w:lineRule="auto"/>
              <w:jc w:val="both"/>
              <w:rPr>
                <w:i/>
                <w:sz w:val="24"/>
                <w:szCs w:val="24"/>
              </w:rPr>
            </w:pPr>
            <w:r>
              <w:rPr>
                <w:i/>
                <w:sz w:val="24"/>
                <w:szCs w:val="24"/>
              </w:rPr>
              <w:t>N</w:t>
            </w:r>
            <w:r w:rsidRPr="003C5638">
              <w:rPr>
                <w:i/>
                <w:sz w:val="24"/>
                <w:szCs w:val="24"/>
              </w:rPr>
              <w:t xml:space="preserve">on-discrimination between </w:t>
            </w:r>
            <w:r w:rsidR="00F531FE">
              <w:rPr>
                <w:i/>
                <w:sz w:val="24"/>
                <w:szCs w:val="24"/>
              </w:rPr>
              <w:t>spouses</w:t>
            </w:r>
            <w:r>
              <w:rPr>
                <w:i/>
                <w:sz w:val="24"/>
                <w:szCs w:val="24"/>
              </w:rPr>
              <w:t>.</w:t>
            </w:r>
            <w:r w:rsidRPr="003C5638">
              <w:rPr>
                <w:i/>
                <w:sz w:val="24"/>
                <w:szCs w:val="24"/>
              </w:rPr>
              <w:t xml:space="preserve"> </w:t>
            </w:r>
          </w:p>
          <w:p w:rsidR="003C5638" w:rsidRDefault="00F531FE" w:rsidP="009A0126">
            <w:pPr>
              <w:pStyle w:val="ListParagraph"/>
              <w:numPr>
                <w:ilvl w:val="0"/>
                <w:numId w:val="8"/>
              </w:numPr>
              <w:spacing w:line="360" w:lineRule="auto"/>
              <w:jc w:val="both"/>
              <w:rPr>
                <w:i/>
                <w:sz w:val="24"/>
                <w:szCs w:val="24"/>
              </w:rPr>
            </w:pPr>
            <w:r>
              <w:rPr>
                <w:i/>
                <w:sz w:val="24"/>
                <w:szCs w:val="24"/>
              </w:rPr>
              <w:t>Recognition of</w:t>
            </w:r>
            <w:r w:rsidR="003C5638">
              <w:rPr>
                <w:i/>
                <w:sz w:val="24"/>
                <w:szCs w:val="24"/>
              </w:rPr>
              <w:t xml:space="preserve"> a significant economic disparity between spouses, and </w:t>
            </w:r>
            <w:r>
              <w:rPr>
                <w:i/>
                <w:sz w:val="24"/>
                <w:szCs w:val="24"/>
              </w:rPr>
              <w:t>the differences between wealthier families and</w:t>
            </w:r>
            <w:r w:rsidR="003C5638">
              <w:rPr>
                <w:i/>
                <w:sz w:val="24"/>
                <w:szCs w:val="24"/>
              </w:rPr>
              <w:t xml:space="preserve"> less </w:t>
            </w:r>
            <w:r w:rsidR="00E014B4">
              <w:rPr>
                <w:i/>
                <w:noProof/>
                <w:sz w:val="24"/>
                <w:szCs w:val="24"/>
              </w:rPr>
              <w:t>affluent</w:t>
            </w:r>
            <w:r w:rsidR="003C5638">
              <w:rPr>
                <w:i/>
                <w:sz w:val="24"/>
                <w:szCs w:val="24"/>
              </w:rPr>
              <w:t xml:space="preserve"> families.</w:t>
            </w:r>
          </w:p>
          <w:p w:rsidR="003C5638" w:rsidRPr="003C5638" w:rsidRDefault="00F531FE" w:rsidP="009A0126">
            <w:pPr>
              <w:pStyle w:val="ListParagraph"/>
              <w:numPr>
                <w:ilvl w:val="0"/>
                <w:numId w:val="8"/>
              </w:numPr>
              <w:spacing w:line="360" w:lineRule="auto"/>
              <w:jc w:val="both"/>
              <w:rPr>
                <w:i/>
                <w:sz w:val="24"/>
                <w:szCs w:val="24"/>
              </w:rPr>
            </w:pPr>
            <w:r>
              <w:rPr>
                <w:i/>
                <w:sz w:val="24"/>
                <w:szCs w:val="24"/>
              </w:rPr>
              <w:t>Promotion</w:t>
            </w:r>
            <w:r w:rsidR="003C5638" w:rsidRPr="003C5638">
              <w:rPr>
                <w:i/>
                <w:sz w:val="24"/>
                <w:szCs w:val="24"/>
              </w:rPr>
              <w:t xml:space="preserve"> of equality of children as future members of society</w:t>
            </w:r>
            <w:r w:rsidR="003C5638">
              <w:rPr>
                <w:i/>
                <w:sz w:val="24"/>
                <w:szCs w:val="24"/>
              </w:rPr>
              <w:t xml:space="preserve"> by maximising their opportunities in each household for accommodation, </w:t>
            </w:r>
            <w:r w:rsidR="00FE11B1">
              <w:rPr>
                <w:i/>
                <w:sz w:val="24"/>
                <w:szCs w:val="24"/>
              </w:rPr>
              <w:t>education</w:t>
            </w:r>
            <w:r w:rsidR="004C1249">
              <w:rPr>
                <w:i/>
                <w:sz w:val="24"/>
                <w:szCs w:val="24"/>
              </w:rPr>
              <w:t>,</w:t>
            </w:r>
            <w:r w:rsidR="00FE11B1">
              <w:rPr>
                <w:i/>
                <w:sz w:val="24"/>
                <w:szCs w:val="24"/>
              </w:rPr>
              <w:t xml:space="preserve"> and health. </w:t>
            </w:r>
            <w:r w:rsidR="003C5638">
              <w:rPr>
                <w:i/>
                <w:sz w:val="24"/>
                <w:szCs w:val="24"/>
              </w:rPr>
              <w:t xml:space="preserve"> </w:t>
            </w:r>
          </w:p>
          <w:p w:rsidR="003C5638" w:rsidRPr="00313831" w:rsidRDefault="003C5638" w:rsidP="00462142">
            <w:pPr>
              <w:spacing w:line="360" w:lineRule="auto"/>
              <w:jc w:val="both"/>
              <w:rPr>
                <w:b/>
                <w:sz w:val="24"/>
                <w:szCs w:val="24"/>
              </w:rPr>
            </w:pPr>
          </w:p>
        </w:tc>
      </w:tr>
      <w:bookmarkEnd w:id="6"/>
      <w:tr w:rsidR="009B66A5" w:rsidTr="00787AF0">
        <w:tc>
          <w:tcPr>
            <w:tcW w:w="1701" w:type="dxa"/>
          </w:tcPr>
          <w:p w:rsidR="009B66A5" w:rsidRPr="00307729" w:rsidRDefault="009B66A5" w:rsidP="00462142">
            <w:pPr>
              <w:spacing w:line="360" w:lineRule="auto"/>
              <w:rPr>
                <w:b/>
                <w:sz w:val="28"/>
                <w:szCs w:val="28"/>
              </w:rPr>
            </w:pPr>
            <w:r w:rsidRPr="00307729">
              <w:rPr>
                <w:b/>
                <w:sz w:val="28"/>
                <w:szCs w:val="28"/>
              </w:rPr>
              <w:t xml:space="preserve">Question 17 </w:t>
            </w:r>
          </w:p>
          <w:p w:rsidR="009B66A5" w:rsidRPr="00307729" w:rsidRDefault="009B66A5" w:rsidP="00462142">
            <w:pPr>
              <w:spacing w:line="360" w:lineRule="auto"/>
              <w:rPr>
                <w:sz w:val="28"/>
                <w:szCs w:val="28"/>
              </w:rPr>
            </w:pPr>
          </w:p>
        </w:tc>
        <w:tc>
          <w:tcPr>
            <w:tcW w:w="7315" w:type="dxa"/>
          </w:tcPr>
          <w:p w:rsidR="009B66A5" w:rsidRPr="00307729" w:rsidRDefault="009B66A5" w:rsidP="00462142">
            <w:pPr>
              <w:spacing w:line="360" w:lineRule="auto"/>
              <w:jc w:val="both"/>
              <w:rPr>
                <w:b/>
                <w:sz w:val="28"/>
                <w:szCs w:val="28"/>
              </w:rPr>
            </w:pPr>
            <w:bookmarkStart w:id="7" w:name="_Hlk510193411"/>
            <w:r w:rsidRPr="00307729">
              <w:rPr>
                <w:b/>
                <w:sz w:val="28"/>
                <w:szCs w:val="28"/>
              </w:rPr>
              <w:t xml:space="preserve">What changes could be made to the provisions </w:t>
            </w:r>
            <w:r w:rsidRPr="00307729">
              <w:rPr>
                <w:b/>
                <w:noProof/>
                <w:sz w:val="28"/>
                <w:szCs w:val="28"/>
              </w:rPr>
              <w:t>in</w:t>
            </w:r>
            <w:r w:rsidRPr="00307729">
              <w:rPr>
                <w:b/>
                <w:sz w:val="28"/>
                <w:szCs w:val="28"/>
              </w:rPr>
              <w:t xml:space="preserve"> the </w:t>
            </w:r>
            <w:r w:rsidRPr="00307729">
              <w:rPr>
                <w:b/>
                <w:i/>
                <w:iCs/>
                <w:sz w:val="28"/>
                <w:szCs w:val="28"/>
              </w:rPr>
              <w:t xml:space="preserve">Family Law Act </w:t>
            </w:r>
            <w:r w:rsidRPr="00307729">
              <w:rPr>
                <w:b/>
                <w:sz w:val="28"/>
                <w:szCs w:val="28"/>
              </w:rPr>
              <w:t>governing property division to improve the clarity and comprehensibility of the law for parties and to promote fair outcomes?</w:t>
            </w:r>
            <w:bookmarkEnd w:id="7"/>
          </w:p>
          <w:p w:rsidR="00626DE8" w:rsidRPr="00307729" w:rsidRDefault="00626DE8" w:rsidP="00462142">
            <w:pPr>
              <w:spacing w:line="360" w:lineRule="auto"/>
              <w:jc w:val="both"/>
              <w:rPr>
                <w:sz w:val="28"/>
                <w:szCs w:val="28"/>
              </w:rPr>
            </w:pPr>
          </w:p>
        </w:tc>
      </w:tr>
      <w:tr w:rsidR="0022575B" w:rsidTr="00787AF0">
        <w:tc>
          <w:tcPr>
            <w:tcW w:w="1701" w:type="dxa"/>
          </w:tcPr>
          <w:p w:rsidR="0022575B" w:rsidRPr="009B66A5" w:rsidRDefault="0022575B" w:rsidP="00462142">
            <w:pPr>
              <w:spacing w:line="360" w:lineRule="auto"/>
              <w:rPr>
                <w:b/>
                <w:sz w:val="24"/>
                <w:szCs w:val="24"/>
              </w:rPr>
            </w:pPr>
          </w:p>
        </w:tc>
        <w:tc>
          <w:tcPr>
            <w:tcW w:w="7315" w:type="dxa"/>
          </w:tcPr>
          <w:p w:rsidR="0022575B" w:rsidRDefault="0022575B" w:rsidP="00462142">
            <w:pPr>
              <w:spacing w:line="360" w:lineRule="auto"/>
              <w:jc w:val="both"/>
              <w:rPr>
                <w:b/>
                <w:sz w:val="24"/>
                <w:szCs w:val="24"/>
              </w:rPr>
            </w:pPr>
            <w:r w:rsidRPr="0022575B">
              <w:rPr>
                <w:b/>
                <w:sz w:val="24"/>
                <w:szCs w:val="24"/>
              </w:rPr>
              <w:t>Discussion</w:t>
            </w:r>
            <w:r w:rsidR="00276212">
              <w:rPr>
                <w:b/>
                <w:sz w:val="24"/>
                <w:szCs w:val="24"/>
              </w:rPr>
              <w:t xml:space="preserve"> Summary:</w:t>
            </w:r>
          </w:p>
          <w:p w:rsidR="00276212" w:rsidRDefault="00276212" w:rsidP="009A0126">
            <w:pPr>
              <w:pStyle w:val="ListParagraph"/>
              <w:numPr>
                <w:ilvl w:val="0"/>
                <w:numId w:val="50"/>
              </w:numPr>
              <w:spacing w:line="360" w:lineRule="auto"/>
              <w:jc w:val="both"/>
              <w:rPr>
                <w:sz w:val="24"/>
                <w:szCs w:val="24"/>
              </w:rPr>
            </w:pPr>
            <w:r w:rsidRPr="00276212">
              <w:rPr>
                <w:sz w:val="24"/>
                <w:szCs w:val="24"/>
              </w:rPr>
              <w:t>New Zealand</w:t>
            </w:r>
            <w:r>
              <w:rPr>
                <w:sz w:val="24"/>
                <w:szCs w:val="24"/>
              </w:rPr>
              <w:t xml:space="preserve">’s family property system is currently under review. Their system is very different from the Australian system. The New Zealand </w:t>
            </w:r>
            <w:r w:rsidR="004C1249">
              <w:rPr>
                <w:sz w:val="24"/>
                <w:szCs w:val="24"/>
              </w:rPr>
              <w:t xml:space="preserve">review, when completed, will provide </w:t>
            </w:r>
            <w:r w:rsidR="004C1249" w:rsidRPr="0002417C">
              <w:rPr>
                <w:noProof/>
                <w:sz w:val="24"/>
                <w:szCs w:val="24"/>
              </w:rPr>
              <w:t>highly</w:t>
            </w:r>
            <w:r>
              <w:rPr>
                <w:sz w:val="24"/>
                <w:szCs w:val="24"/>
              </w:rPr>
              <w:t xml:space="preserve"> </w:t>
            </w:r>
            <w:r w:rsidR="005C1606">
              <w:rPr>
                <w:noProof/>
                <w:sz w:val="24"/>
                <w:szCs w:val="24"/>
              </w:rPr>
              <w:t>valuabl</w:t>
            </w:r>
            <w:r w:rsidR="00E014B4" w:rsidRPr="005C1606">
              <w:rPr>
                <w:noProof/>
                <w:sz w:val="24"/>
                <w:szCs w:val="24"/>
              </w:rPr>
              <w:t>e</w:t>
            </w:r>
            <w:r>
              <w:rPr>
                <w:sz w:val="24"/>
                <w:szCs w:val="24"/>
              </w:rPr>
              <w:t xml:space="preserve"> evidence about the advantages and disadvantages of potential reform. </w:t>
            </w:r>
          </w:p>
          <w:p w:rsidR="00276212" w:rsidRPr="00787AF0" w:rsidRDefault="00276212" w:rsidP="00787AF0">
            <w:pPr>
              <w:pStyle w:val="ListParagraph"/>
              <w:numPr>
                <w:ilvl w:val="0"/>
                <w:numId w:val="50"/>
              </w:numPr>
              <w:spacing w:line="360" w:lineRule="auto"/>
              <w:jc w:val="both"/>
              <w:rPr>
                <w:sz w:val="24"/>
                <w:szCs w:val="24"/>
              </w:rPr>
            </w:pPr>
            <w:r>
              <w:rPr>
                <w:sz w:val="24"/>
                <w:szCs w:val="24"/>
              </w:rPr>
              <w:t xml:space="preserve">There is </w:t>
            </w:r>
            <w:r w:rsidR="006B2997">
              <w:rPr>
                <w:sz w:val="24"/>
                <w:szCs w:val="24"/>
              </w:rPr>
              <w:t>insufficient</w:t>
            </w:r>
            <w:r>
              <w:rPr>
                <w:sz w:val="24"/>
                <w:szCs w:val="24"/>
              </w:rPr>
              <w:t xml:space="preserve"> quantitative data about how spouses </w:t>
            </w:r>
            <w:r w:rsidR="004C1249">
              <w:rPr>
                <w:sz w:val="24"/>
                <w:szCs w:val="24"/>
              </w:rPr>
              <w:lastRenderedPageBreak/>
              <w:t xml:space="preserve">presently </w:t>
            </w:r>
            <w:r>
              <w:rPr>
                <w:sz w:val="24"/>
                <w:szCs w:val="24"/>
              </w:rPr>
              <w:t xml:space="preserve">reach agreement on </w:t>
            </w:r>
            <w:r w:rsidR="006B2997">
              <w:rPr>
                <w:sz w:val="24"/>
                <w:szCs w:val="24"/>
              </w:rPr>
              <w:t xml:space="preserve">court-approved </w:t>
            </w:r>
            <w:r>
              <w:rPr>
                <w:sz w:val="24"/>
                <w:szCs w:val="24"/>
              </w:rPr>
              <w:t xml:space="preserve">property settlements. </w:t>
            </w:r>
            <w:r w:rsidRPr="00787AF0">
              <w:rPr>
                <w:sz w:val="24"/>
                <w:szCs w:val="24"/>
              </w:rPr>
              <w:t xml:space="preserve">Unpublished </w:t>
            </w:r>
            <w:r w:rsidR="006B2997" w:rsidRPr="00787AF0">
              <w:rPr>
                <w:sz w:val="24"/>
                <w:szCs w:val="24"/>
              </w:rPr>
              <w:t>information</w:t>
            </w:r>
            <w:r w:rsidRPr="00787AF0">
              <w:rPr>
                <w:sz w:val="24"/>
                <w:szCs w:val="24"/>
              </w:rPr>
              <w:t xml:space="preserve"> exists about the percentage and dollar results that spouses receive – from the ‘Application for Consent Orders’ process</w:t>
            </w:r>
            <w:r w:rsidR="006B2997" w:rsidRPr="00787AF0">
              <w:rPr>
                <w:sz w:val="24"/>
                <w:szCs w:val="24"/>
              </w:rPr>
              <w:t>.</w:t>
            </w:r>
            <w:r w:rsidR="00787AF0">
              <w:rPr>
                <w:sz w:val="24"/>
                <w:szCs w:val="24"/>
              </w:rPr>
              <w:t xml:space="preserve"> </w:t>
            </w:r>
            <w:r w:rsidRPr="00787AF0">
              <w:rPr>
                <w:sz w:val="24"/>
                <w:szCs w:val="24"/>
              </w:rPr>
              <w:t xml:space="preserve">Having this data (or a representative sample of it) would dramatically increase our understanding of ‘normal’ family property settlements, and the </w:t>
            </w:r>
            <w:r w:rsidR="004C1249" w:rsidRPr="00787AF0">
              <w:rPr>
                <w:sz w:val="24"/>
                <w:szCs w:val="24"/>
              </w:rPr>
              <w:t xml:space="preserve">overall </w:t>
            </w:r>
            <w:r w:rsidRPr="00787AF0">
              <w:rPr>
                <w:sz w:val="24"/>
                <w:szCs w:val="24"/>
              </w:rPr>
              <w:t xml:space="preserve">effect of the family law system. </w:t>
            </w:r>
          </w:p>
          <w:p w:rsidR="00276212" w:rsidRPr="00787AF0" w:rsidRDefault="00276212" w:rsidP="00787AF0">
            <w:pPr>
              <w:pStyle w:val="ListParagraph"/>
              <w:numPr>
                <w:ilvl w:val="0"/>
                <w:numId w:val="50"/>
              </w:numPr>
              <w:spacing w:line="360" w:lineRule="auto"/>
              <w:jc w:val="both"/>
              <w:rPr>
                <w:sz w:val="24"/>
                <w:szCs w:val="24"/>
              </w:rPr>
            </w:pPr>
            <w:r>
              <w:rPr>
                <w:sz w:val="24"/>
                <w:szCs w:val="24"/>
              </w:rPr>
              <w:t>Various published studies</w:t>
            </w:r>
            <w:r w:rsidR="004C1249">
              <w:rPr>
                <w:sz w:val="24"/>
                <w:szCs w:val="24"/>
              </w:rPr>
              <w:t xml:space="preserve"> of results of property settlements</w:t>
            </w:r>
            <w:r>
              <w:rPr>
                <w:sz w:val="24"/>
                <w:szCs w:val="24"/>
              </w:rPr>
              <w:t xml:space="preserve"> show that Mothers / Wives / Female spouses receive a small majority of property overall. </w:t>
            </w:r>
            <w:r w:rsidR="00787AF0">
              <w:rPr>
                <w:sz w:val="24"/>
                <w:szCs w:val="24"/>
              </w:rPr>
              <w:t xml:space="preserve"> </w:t>
            </w:r>
            <w:r w:rsidRPr="00787AF0">
              <w:rPr>
                <w:sz w:val="24"/>
                <w:szCs w:val="24"/>
              </w:rPr>
              <w:t xml:space="preserve">The author’s exploratory quantitative analysis </w:t>
            </w:r>
            <w:r w:rsidR="004C1249" w:rsidRPr="00787AF0">
              <w:rPr>
                <w:sz w:val="24"/>
                <w:szCs w:val="24"/>
              </w:rPr>
              <w:t xml:space="preserve">of 200 Federal Circuit Court </w:t>
            </w:r>
            <w:r w:rsidR="00787AF0">
              <w:rPr>
                <w:sz w:val="24"/>
                <w:szCs w:val="24"/>
              </w:rPr>
              <w:t>decisions</w:t>
            </w:r>
            <w:r w:rsidR="004C1249" w:rsidRPr="00787AF0">
              <w:rPr>
                <w:sz w:val="24"/>
                <w:szCs w:val="24"/>
              </w:rPr>
              <w:t xml:space="preserve"> </w:t>
            </w:r>
            <w:r w:rsidRPr="00787AF0">
              <w:rPr>
                <w:sz w:val="24"/>
                <w:szCs w:val="24"/>
              </w:rPr>
              <w:t>showed a median result of 55% to Mothers. There was a significant spread</w:t>
            </w:r>
            <w:r w:rsidR="004C1249" w:rsidRPr="00787AF0">
              <w:rPr>
                <w:sz w:val="24"/>
                <w:szCs w:val="24"/>
              </w:rPr>
              <w:t xml:space="preserve"> of overall results.</w:t>
            </w:r>
            <w:r w:rsidRPr="00787AF0">
              <w:rPr>
                <w:sz w:val="24"/>
                <w:szCs w:val="24"/>
              </w:rPr>
              <w:t xml:space="preserve"> </w:t>
            </w:r>
            <w:r w:rsidR="004C1249" w:rsidRPr="00787AF0">
              <w:rPr>
                <w:sz w:val="24"/>
                <w:szCs w:val="24"/>
              </w:rPr>
              <w:t>M</w:t>
            </w:r>
            <w:r w:rsidRPr="00787AF0">
              <w:rPr>
                <w:sz w:val="24"/>
                <w:szCs w:val="24"/>
              </w:rPr>
              <w:t>ean</w:t>
            </w:r>
            <w:r w:rsidR="004C1249" w:rsidRPr="00787AF0">
              <w:rPr>
                <w:sz w:val="24"/>
                <w:szCs w:val="24"/>
              </w:rPr>
              <w:t xml:space="preserve"> contribution-based entitlements</w:t>
            </w:r>
            <w:r w:rsidRPr="00787AF0">
              <w:rPr>
                <w:sz w:val="24"/>
                <w:szCs w:val="24"/>
              </w:rPr>
              <w:t xml:space="preserve"> were very close to equal. </w:t>
            </w:r>
            <w:r w:rsidR="00787AF0">
              <w:rPr>
                <w:sz w:val="24"/>
                <w:szCs w:val="24"/>
              </w:rPr>
              <w:t xml:space="preserve"> </w:t>
            </w:r>
            <w:r w:rsidRPr="00787AF0">
              <w:rPr>
                <w:sz w:val="24"/>
                <w:szCs w:val="24"/>
              </w:rPr>
              <w:t>Section 75(2) (or equivalent) adjustments mostly favoured mothers.</w:t>
            </w:r>
            <w:r w:rsidR="00787AF0" w:rsidRPr="00787AF0">
              <w:rPr>
                <w:sz w:val="24"/>
                <w:szCs w:val="24"/>
              </w:rPr>
              <w:t xml:space="preserve"> </w:t>
            </w:r>
            <w:r w:rsidRPr="00787AF0">
              <w:rPr>
                <w:sz w:val="24"/>
                <w:szCs w:val="24"/>
              </w:rPr>
              <w:t>The mean results showed an overall transfer of property from Fathers to Mothers</w:t>
            </w:r>
            <w:r w:rsidR="00787AF0" w:rsidRPr="00787AF0">
              <w:rPr>
                <w:sz w:val="24"/>
                <w:szCs w:val="24"/>
              </w:rPr>
              <w:t>.</w:t>
            </w:r>
            <w:r w:rsidRPr="00787AF0">
              <w:rPr>
                <w:noProof/>
                <w:sz w:val="24"/>
                <w:szCs w:val="24"/>
              </w:rPr>
              <w:t xml:space="preserve"> </w:t>
            </w:r>
          </w:p>
          <w:p w:rsidR="00276212" w:rsidRDefault="007D2931" w:rsidP="009A0126">
            <w:pPr>
              <w:pStyle w:val="ListParagraph"/>
              <w:numPr>
                <w:ilvl w:val="0"/>
                <w:numId w:val="50"/>
              </w:numPr>
              <w:spacing w:line="360" w:lineRule="auto"/>
              <w:jc w:val="both"/>
              <w:rPr>
                <w:sz w:val="24"/>
                <w:szCs w:val="24"/>
              </w:rPr>
            </w:pPr>
            <w:r>
              <w:rPr>
                <w:sz w:val="24"/>
                <w:szCs w:val="24"/>
              </w:rPr>
              <w:t xml:space="preserve">There </w:t>
            </w:r>
            <w:r w:rsidR="00787AF0">
              <w:rPr>
                <w:sz w:val="24"/>
                <w:szCs w:val="24"/>
              </w:rPr>
              <w:t>remains</w:t>
            </w:r>
            <w:r>
              <w:rPr>
                <w:sz w:val="24"/>
                <w:szCs w:val="24"/>
              </w:rPr>
              <w:t xml:space="preserve"> a need for f</w:t>
            </w:r>
            <w:r w:rsidR="00276212">
              <w:rPr>
                <w:sz w:val="24"/>
                <w:szCs w:val="24"/>
              </w:rPr>
              <w:t>urther quantitative research into judicial decisions.</w:t>
            </w:r>
          </w:p>
          <w:p w:rsidR="007D2931" w:rsidRPr="00787AF0" w:rsidRDefault="007D2931" w:rsidP="00787AF0">
            <w:pPr>
              <w:pStyle w:val="ListParagraph"/>
              <w:numPr>
                <w:ilvl w:val="0"/>
                <w:numId w:val="50"/>
              </w:numPr>
              <w:spacing w:line="360" w:lineRule="auto"/>
              <w:jc w:val="both"/>
              <w:rPr>
                <w:sz w:val="24"/>
                <w:szCs w:val="24"/>
              </w:rPr>
            </w:pPr>
            <w:r>
              <w:rPr>
                <w:sz w:val="24"/>
                <w:szCs w:val="24"/>
              </w:rPr>
              <w:t xml:space="preserve">Reform alternatives come from </w:t>
            </w:r>
            <w:r w:rsidR="00E014B4">
              <w:rPr>
                <w:sz w:val="24"/>
                <w:szCs w:val="24"/>
              </w:rPr>
              <w:t xml:space="preserve">a </w:t>
            </w:r>
            <w:r w:rsidRPr="00E014B4">
              <w:rPr>
                <w:noProof/>
                <w:sz w:val="24"/>
                <w:szCs w:val="24"/>
              </w:rPr>
              <w:t>study</w:t>
            </w:r>
            <w:r>
              <w:rPr>
                <w:sz w:val="24"/>
                <w:szCs w:val="24"/>
              </w:rPr>
              <w:t xml:space="preserve"> of regimes in New Zealand, the United Kingdom and Canada.</w:t>
            </w:r>
            <w:r w:rsidR="00787AF0">
              <w:rPr>
                <w:sz w:val="24"/>
                <w:szCs w:val="24"/>
              </w:rPr>
              <w:t xml:space="preserve"> </w:t>
            </w:r>
            <w:r w:rsidRPr="00787AF0">
              <w:rPr>
                <w:sz w:val="24"/>
                <w:szCs w:val="24"/>
              </w:rPr>
              <w:t xml:space="preserve">New Zealand has legislative objects and principles. The United Kingdom objective of ‘fairness’ comes from </w:t>
            </w:r>
            <w:r w:rsidR="00787AF0">
              <w:rPr>
                <w:sz w:val="24"/>
                <w:szCs w:val="24"/>
              </w:rPr>
              <w:t>various decisions</w:t>
            </w:r>
            <w:r w:rsidRPr="00787AF0">
              <w:rPr>
                <w:sz w:val="24"/>
                <w:szCs w:val="24"/>
              </w:rPr>
              <w:t>.</w:t>
            </w:r>
          </w:p>
          <w:p w:rsidR="007D2931" w:rsidRPr="007D2931" w:rsidRDefault="00787AF0" w:rsidP="009A0126">
            <w:pPr>
              <w:pStyle w:val="ListParagraph"/>
              <w:numPr>
                <w:ilvl w:val="0"/>
                <w:numId w:val="50"/>
              </w:numPr>
              <w:spacing w:line="360" w:lineRule="auto"/>
              <w:jc w:val="both"/>
              <w:rPr>
                <w:sz w:val="24"/>
                <w:szCs w:val="24"/>
              </w:rPr>
            </w:pPr>
            <w:r>
              <w:rPr>
                <w:sz w:val="24"/>
                <w:szCs w:val="24"/>
              </w:rPr>
              <w:t>Components of</w:t>
            </w:r>
            <w:r w:rsidR="007D2931">
              <w:rPr>
                <w:sz w:val="24"/>
                <w:szCs w:val="24"/>
              </w:rPr>
              <w:t xml:space="preserve"> the New Zealand legislation, combined with elements of the United Kingdom law, produces</w:t>
            </w:r>
            <w:r>
              <w:rPr>
                <w:sz w:val="24"/>
                <w:szCs w:val="24"/>
              </w:rPr>
              <w:t xml:space="preserve"> workable</w:t>
            </w:r>
            <w:r w:rsidR="007D2931">
              <w:rPr>
                <w:sz w:val="24"/>
                <w:szCs w:val="24"/>
              </w:rPr>
              <w:t xml:space="preserve"> objects and principles for</w:t>
            </w:r>
            <w:r>
              <w:rPr>
                <w:sz w:val="24"/>
                <w:szCs w:val="24"/>
              </w:rPr>
              <w:t xml:space="preserve"> alteration of property interests under</w:t>
            </w:r>
            <w:r w:rsidR="007D2931">
              <w:rPr>
                <w:sz w:val="24"/>
                <w:szCs w:val="24"/>
              </w:rPr>
              <w:t xml:space="preserve"> the </w:t>
            </w:r>
            <w:r w:rsidR="007D2931">
              <w:rPr>
                <w:i/>
                <w:sz w:val="24"/>
                <w:szCs w:val="24"/>
              </w:rPr>
              <w:t>Act.</w:t>
            </w:r>
          </w:p>
          <w:p w:rsidR="007D2931" w:rsidRDefault="007D2931" w:rsidP="009A0126">
            <w:pPr>
              <w:pStyle w:val="ListParagraph"/>
              <w:numPr>
                <w:ilvl w:val="0"/>
                <w:numId w:val="50"/>
              </w:numPr>
              <w:spacing w:line="360" w:lineRule="auto"/>
              <w:jc w:val="both"/>
              <w:rPr>
                <w:sz w:val="24"/>
                <w:szCs w:val="24"/>
              </w:rPr>
            </w:pPr>
            <w:r>
              <w:rPr>
                <w:sz w:val="24"/>
                <w:szCs w:val="24"/>
              </w:rPr>
              <w:t>There are options for including or excluding property from consideration</w:t>
            </w:r>
            <w:r w:rsidR="00787AF0">
              <w:rPr>
                <w:sz w:val="24"/>
                <w:szCs w:val="24"/>
              </w:rPr>
              <w:t>, such as ‘relationship property’ or ‘family property</w:t>
            </w:r>
            <w:r w:rsidR="007F13B4">
              <w:rPr>
                <w:sz w:val="24"/>
                <w:szCs w:val="24"/>
              </w:rPr>
              <w:t>’ or</w:t>
            </w:r>
            <w:r w:rsidR="00787AF0">
              <w:rPr>
                <w:sz w:val="24"/>
                <w:szCs w:val="24"/>
              </w:rPr>
              <w:t xml:space="preserve"> retaining the existing system. </w:t>
            </w:r>
            <w:r>
              <w:rPr>
                <w:sz w:val="24"/>
                <w:szCs w:val="24"/>
              </w:rPr>
              <w:t xml:space="preserve"> </w:t>
            </w:r>
          </w:p>
          <w:p w:rsidR="007D2931" w:rsidRDefault="007D2931" w:rsidP="009A0126">
            <w:pPr>
              <w:pStyle w:val="ListParagraph"/>
              <w:numPr>
                <w:ilvl w:val="0"/>
                <w:numId w:val="50"/>
              </w:numPr>
              <w:spacing w:line="360" w:lineRule="auto"/>
              <w:jc w:val="both"/>
              <w:rPr>
                <w:sz w:val="24"/>
                <w:szCs w:val="24"/>
              </w:rPr>
            </w:pPr>
            <w:r>
              <w:rPr>
                <w:sz w:val="24"/>
                <w:szCs w:val="24"/>
              </w:rPr>
              <w:t xml:space="preserve">Other options include presumptions or rules for equal sharing. </w:t>
            </w:r>
          </w:p>
          <w:p w:rsidR="007D2931" w:rsidRDefault="007D2931" w:rsidP="009A0126">
            <w:pPr>
              <w:pStyle w:val="ListParagraph"/>
              <w:numPr>
                <w:ilvl w:val="0"/>
                <w:numId w:val="50"/>
              </w:numPr>
              <w:spacing w:line="360" w:lineRule="auto"/>
              <w:jc w:val="both"/>
              <w:rPr>
                <w:sz w:val="24"/>
                <w:szCs w:val="24"/>
              </w:rPr>
            </w:pPr>
            <w:r>
              <w:rPr>
                <w:sz w:val="24"/>
                <w:szCs w:val="24"/>
              </w:rPr>
              <w:t xml:space="preserve">Alternatives for </w:t>
            </w:r>
            <w:r w:rsidR="00E014B4">
              <w:rPr>
                <w:sz w:val="24"/>
                <w:szCs w:val="24"/>
              </w:rPr>
              <w:t xml:space="preserve">the </w:t>
            </w:r>
            <w:r w:rsidRPr="00E014B4">
              <w:rPr>
                <w:noProof/>
                <w:sz w:val="24"/>
                <w:szCs w:val="24"/>
              </w:rPr>
              <w:t>disparity</w:t>
            </w:r>
            <w:r>
              <w:rPr>
                <w:sz w:val="24"/>
                <w:szCs w:val="24"/>
              </w:rPr>
              <w:t xml:space="preserve"> of wealth include additional factors </w:t>
            </w:r>
            <w:r>
              <w:rPr>
                <w:sz w:val="24"/>
                <w:szCs w:val="24"/>
              </w:rPr>
              <w:lastRenderedPageBreak/>
              <w:t>for consideration or a separate cause of action</w:t>
            </w:r>
            <w:r w:rsidR="007F13B4">
              <w:rPr>
                <w:sz w:val="24"/>
                <w:szCs w:val="24"/>
              </w:rPr>
              <w:t xml:space="preserve"> for adjustment or compensation. </w:t>
            </w:r>
            <w:r>
              <w:rPr>
                <w:sz w:val="24"/>
                <w:szCs w:val="24"/>
              </w:rPr>
              <w:t xml:space="preserve"> </w:t>
            </w:r>
          </w:p>
          <w:p w:rsidR="007D2931" w:rsidRDefault="007D2931" w:rsidP="009A0126">
            <w:pPr>
              <w:pStyle w:val="ListParagraph"/>
              <w:numPr>
                <w:ilvl w:val="0"/>
                <w:numId w:val="50"/>
              </w:numPr>
              <w:spacing w:line="360" w:lineRule="auto"/>
              <w:jc w:val="both"/>
              <w:rPr>
                <w:sz w:val="24"/>
                <w:szCs w:val="24"/>
              </w:rPr>
            </w:pPr>
            <w:r>
              <w:rPr>
                <w:sz w:val="24"/>
                <w:szCs w:val="24"/>
              </w:rPr>
              <w:t xml:space="preserve">Contributions are an outdated and unhelpful </w:t>
            </w:r>
            <w:r w:rsidR="00E014B4">
              <w:rPr>
                <w:sz w:val="24"/>
                <w:szCs w:val="24"/>
              </w:rPr>
              <w:t xml:space="preserve">concept. </w:t>
            </w:r>
          </w:p>
          <w:p w:rsidR="007D2931" w:rsidRDefault="007D2931" w:rsidP="009A0126">
            <w:pPr>
              <w:pStyle w:val="ListParagraph"/>
              <w:numPr>
                <w:ilvl w:val="0"/>
                <w:numId w:val="50"/>
              </w:numPr>
              <w:spacing w:line="360" w:lineRule="auto"/>
              <w:jc w:val="both"/>
              <w:rPr>
                <w:sz w:val="24"/>
                <w:szCs w:val="24"/>
              </w:rPr>
            </w:pPr>
            <w:r>
              <w:rPr>
                <w:sz w:val="24"/>
                <w:szCs w:val="24"/>
              </w:rPr>
              <w:t>If section 79</w:t>
            </w:r>
            <w:r w:rsidR="00E014B4">
              <w:rPr>
                <w:sz w:val="24"/>
                <w:szCs w:val="24"/>
              </w:rPr>
              <w:t xml:space="preserve"> of the </w:t>
            </w:r>
            <w:r w:rsidR="00E014B4">
              <w:rPr>
                <w:i/>
                <w:sz w:val="24"/>
                <w:szCs w:val="24"/>
              </w:rPr>
              <w:t>Act</w:t>
            </w:r>
            <w:r>
              <w:rPr>
                <w:sz w:val="24"/>
                <w:szCs w:val="24"/>
              </w:rPr>
              <w:t xml:space="preserve"> is to stay as it is, then a detailed statutory guidance document (</w:t>
            </w:r>
            <w:r w:rsidR="007F13B4">
              <w:rPr>
                <w:sz w:val="24"/>
                <w:szCs w:val="24"/>
              </w:rPr>
              <w:t xml:space="preserve">much </w:t>
            </w:r>
            <w:r>
              <w:rPr>
                <w:sz w:val="24"/>
                <w:szCs w:val="24"/>
              </w:rPr>
              <w:t>like the ‘Parenting Orders – What you need to know’ book) (or the United Kingdom property</w:t>
            </w:r>
            <w:r w:rsidR="007F13B4">
              <w:rPr>
                <w:sz w:val="24"/>
                <w:szCs w:val="24"/>
              </w:rPr>
              <w:t xml:space="preserve"> guidance</w:t>
            </w:r>
            <w:r>
              <w:rPr>
                <w:sz w:val="24"/>
                <w:szCs w:val="24"/>
              </w:rPr>
              <w:t xml:space="preserve"> document) provides a mechanism for clarity and consistency. </w:t>
            </w:r>
          </w:p>
          <w:p w:rsidR="007D2931" w:rsidRPr="007F13B4" w:rsidRDefault="007D2931" w:rsidP="007F13B4">
            <w:pPr>
              <w:pStyle w:val="ListParagraph"/>
              <w:numPr>
                <w:ilvl w:val="0"/>
                <w:numId w:val="50"/>
              </w:numPr>
              <w:spacing w:line="360" w:lineRule="auto"/>
              <w:jc w:val="both"/>
              <w:rPr>
                <w:sz w:val="24"/>
                <w:szCs w:val="24"/>
              </w:rPr>
            </w:pPr>
            <w:r>
              <w:rPr>
                <w:sz w:val="24"/>
                <w:szCs w:val="24"/>
              </w:rPr>
              <w:t xml:space="preserve">The guidance document requires incorporation into legislation and rules, and </w:t>
            </w:r>
            <w:r w:rsidR="007F13B4">
              <w:rPr>
                <w:noProof/>
                <w:sz w:val="24"/>
                <w:szCs w:val="24"/>
              </w:rPr>
              <w:t>ongoing</w:t>
            </w:r>
            <w:r>
              <w:rPr>
                <w:sz w:val="24"/>
                <w:szCs w:val="24"/>
              </w:rPr>
              <w:t xml:space="preserve"> education for practitioners in all parts of the family law system. </w:t>
            </w:r>
            <w:r w:rsidRPr="007F13B4">
              <w:rPr>
                <w:sz w:val="24"/>
                <w:szCs w:val="24"/>
              </w:rPr>
              <w:t>A great deal of information from the case law is available to include in the guidance document.</w:t>
            </w:r>
          </w:p>
          <w:p w:rsidR="007D2931" w:rsidRPr="007F13B4" w:rsidRDefault="007D2931" w:rsidP="007F13B4">
            <w:pPr>
              <w:pStyle w:val="ListParagraph"/>
              <w:numPr>
                <w:ilvl w:val="0"/>
                <w:numId w:val="50"/>
              </w:numPr>
              <w:spacing w:line="360" w:lineRule="auto"/>
              <w:jc w:val="both"/>
              <w:rPr>
                <w:sz w:val="24"/>
                <w:szCs w:val="24"/>
              </w:rPr>
            </w:pPr>
            <w:r>
              <w:rPr>
                <w:sz w:val="24"/>
                <w:szCs w:val="24"/>
              </w:rPr>
              <w:t>We still do not know</w:t>
            </w:r>
            <w:r w:rsidR="007F13B4">
              <w:rPr>
                <w:sz w:val="24"/>
                <w:szCs w:val="24"/>
              </w:rPr>
              <w:t>, cumulatively, if</w:t>
            </w:r>
            <w:r>
              <w:rPr>
                <w:sz w:val="24"/>
                <w:szCs w:val="24"/>
              </w:rPr>
              <w:t xml:space="preserve"> the family law system </w:t>
            </w:r>
            <w:r w:rsidR="006B2997">
              <w:rPr>
                <w:sz w:val="24"/>
                <w:szCs w:val="24"/>
              </w:rPr>
              <w:t xml:space="preserve">causes financial disadvantage or </w:t>
            </w:r>
            <w:r w:rsidR="007F13B4">
              <w:rPr>
                <w:sz w:val="24"/>
                <w:szCs w:val="24"/>
              </w:rPr>
              <w:t>ameliorates it</w:t>
            </w:r>
            <w:r w:rsidR="006B2997">
              <w:rPr>
                <w:sz w:val="24"/>
                <w:szCs w:val="24"/>
              </w:rPr>
              <w:t xml:space="preserve">. </w:t>
            </w:r>
            <w:r>
              <w:rPr>
                <w:sz w:val="24"/>
                <w:szCs w:val="24"/>
              </w:rPr>
              <w:t xml:space="preserve"> </w:t>
            </w:r>
            <w:r w:rsidRPr="007F13B4">
              <w:rPr>
                <w:sz w:val="24"/>
                <w:szCs w:val="24"/>
              </w:rPr>
              <w:t xml:space="preserve">If the Commission is satisfied that the family law system presently delivers </w:t>
            </w:r>
            <w:r w:rsidRPr="007F13B4">
              <w:rPr>
                <w:noProof/>
                <w:sz w:val="24"/>
                <w:szCs w:val="24"/>
              </w:rPr>
              <w:t>unfair</w:t>
            </w:r>
            <w:r w:rsidRPr="007F13B4">
              <w:rPr>
                <w:sz w:val="24"/>
                <w:szCs w:val="24"/>
              </w:rPr>
              <w:t xml:space="preserve"> </w:t>
            </w:r>
            <w:r w:rsidR="00E014B4" w:rsidRPr="007F13B4">
              <w:rPr>
                <w:sz w:val="24"/>
                <w:szCs w:val="24"/>
              </w:rPr>
              <w:t>results</w:t>
            </w:r>
            <w:r w:rsidRPr="007F13B4">
              <w:rPr>
                <w:sz w:val="24"/>
                <w:szCs w:val="24"/>
              </w:rPr>
              <w:t xml:space="preserve">, then it is time to consider radical change. </w:t>
            </w:r>
          </w:p>
          <w:p w:rsidR="0022575B" w:rsidRPr="007F13B4" w:rsidRDefault="007D2931" w:rsidP="007F13B4">
            <w:pPr>
              <w:pStyle w:val="ListParagraph"/>
              <w:numPr>
                <w:ilvl w:val="0"/>
                <w:numId w:val="50"/>
              </w:numPr>
              <w:spacing w:line="360" w:lineRule="auto"/>
              <w:jc w:val="both"/>
              <w:rPr>
                <w:sz w:val="24"/>
                <w:szCs w:val="24"/>
              </w:rPr>
            </w:pPr>
            <w:r>
              <w:rPr>
                <w:sz w:val="24"/>
                <w:szCs w:val="24"/>
              </w:rPr>
              <w:t xml:space="preserve">One option is a </w:t>
            </w:r>
            <w:r w:rsidRPr="00E014B4">
              <w:rPr>
                <w:noProof/>
                <w:sz w:val="24"/>
                <w:szCs w:val="24"/>
              </w:rPr>
              <w:t>whol</w:t>
            </w:r>
            <w:r w:rsidR="00E014B4">
              <w:rPr>
                <w:noProof/>
                <w:sz w:val="24"/>
                <w:szCs w:val="24"/>
              </w:rPr>
              <w:t>ly</w:t>
            </w:r>
            <w:r>
              <w:rPr>
                <w:sz w:val="24"/>
                <w:szCs w:val="24"/>
              </w:rPr>
              <w:t xml:space="preserve"> new cause of action for</w:t>
            </w:r>
            <w:r w:rsidR="00356924">
              <w:rPr>
                <w:sz w:val="24"/>
                <w:szCs w:val="24"/>
              </w:rPr>
              <w:t xml:space="preserve"> alteration of property interests for</w:t>
            </w:r>
            <w:r>
              <w:rPr>
                <w:sz w:val="24"/>
                <w:szCs w:val="24"/>
              </w:rPr>
              <w:t xml:space="preserve"> separated spouses with children. </w:t>
            </w:r>
            <w:r w:rsidR="007F13B4">
              <w:rPr>
                <w:sz w:val="24"/>
                <w:szCs w:val="24"/>
              </w:rPr>
              <w:t xml:space="preserve"> </w:t>
            </w:r>
            <w:r w:rsidRPr="007F13B4">
              <w:rPr>
                <w:sz w:val="24"/>
                <w:szCs w:val="24"/>
              </w:rPr>
              <w:t xml:space="preserve">This cause of action – reflecting the values discussion </w:t>
            </w:r>
            <w:r w:rsidR="006B2997" w:rsidRPr="007F13B4">
              <w:rPr>
                <w:sz w:val="24"/>
                <w:szCs w:val="24"/>
              </w:rPr>
              <w:t>–</w:t>
            </w:r>
            <w:r w:rsidRPr="007F13B4">
              <w:rPr>
                <w:sz w:val="24"/>
                <w:szCs w:val="24"/>
              </w:rPr>
              <w:t xml:space="preserve"> </w:t>
            </w:r>
            <w:r w:rsidR="006B2997" w:rsidRPr="007F13B4">
              <w:rPr>
                <w:sz w:val="24"/>
                <w:szCs w:val="24"/>
              </w:rPr>
              <w:t xml:space="preserve">involves including all property of the parties or each of them (irrespective of the circumstances of acquisition), equal division, further adjustment based on economic disparity and costs of children, and a separate discretion for </w:t>
            </w:r>
            <w:r w:rsidR="00E014B4" w:rsidRPr="007F13B4">
              <w:rPr>
                <w:sz w:val="24"/>
                <w:szCs w:val="24"/>
              </w:rPr>
              <w:t xml:space="preserve">the </w:t>
            </w:r>
            <w:r w:rsidR="006B2997" w:rsidRPr="007F13B4">
              <w:rPr>
                <w:noProof/>
                <w:sz w:val="24"/>
                <w:szCs w:val="24"/>
              </w:rPr>
              <w:t>composition</w:t>
            </w:r>
            <w:r w:rsidR="006B2997" w:rsidRPr="007F13B4">
              <w:rPr>
                <w:sz w:val="24"/>
                <w:szCs w:val="24"/>
              </w:rPr>
              <w:t xml:space="preserve"> of the order. This new cause of action </w:t>
            </w:r>
            <w:r w:rsidR="007F13B4">
              <w:rPr>
                <w:sz w:val="24"/>
                <w:szCs w:val="24"/>
              </w:rPr>
              <w:t xml:space="preserve">also </w:t>
            </w:r>
            <w:r w:rsidR="006B2997" w:rsidRPr="007F13B4">
              <w:rPr>
                <w:sz w:val="24"/>
                <w:szCs w:val="24"/>
              </w:rPr>
              <w:t xml:space="preserve">requires an associated statutory guidance document. </w:t>
            </w:r>
          </w:p>
          <w:p w:rsidR="006B2997" w:rsidRDefault="006B2997" w:rsidP="009A0126">
            <w:pPr>
              <w:pStyle w:val="ListParagraph"/>
              <w:numPr>
                <w:ilvl w:val="0"/>
                <w:numId w:val="50"/>
              </w:numPr>
              <w:spacing w:line="360" w:lineRule="auto"/>
              <w:jc w:val="both"/>
              <w:rPr>
                <w:sz w:val="24"/>
                <w:szCs w:val="24"/>
              </w:rPr>
            </w:pPr>
            <w:r>
              <w:rPr>
                <w:sz w:val="24"/>
                <w:szCs w:val="24"/>
              </w:rPr>
              <w:t>The discretion in section 79</w:t>
            </w:r>
            <w:r w:rsidR="007F13B4">
              <w:rPr>
                <w:sz w:val="24"/>
                <w:szCs w:val="24"/>
              </w:rPr>
              <w:t xml:space="preserve"> of the </w:t>
            </w:r>
            <w:r w:rsidR="007F13B4">
              <w:rPr>
                <w:i/>
                <w:sz w:val="24"/>
                <w:szCs w:val="24"/>
              </w:rPr>
              <w:t>Act</w:t>
            </w:r>
            <w:r>
              <w:rPr>
                <w:sz w:val="24"/>
                <w:szCs w:val="24"/>
              </w:rPr>
              <w:t xml:space="preserve"> would remain for families not falling within this cause of action.</w:t>
            </w:r>
          </w:p>
          <w:p w:rsidR="006B2997" w:rsidRDefault="006B2997" w:rsidP="006B2997">
            <w:pPr>
              <w:pStyle w:val="ListParagraph"/>
              <w:spacing w:line="360" w:lineRule="auto"/>
              <w:jc w:val="both"/>
              <w:rPr>
                <w:sz w:val="24"/>
                <w:szCs w:val="24"/>
              </w:rPr>
            </w:pPr>
          </w:p>
          <w:p w:rsidR="00356924" w:rsidRDefault="00356924" w:rsidP="006B2997">
            <w:pPr>
              <w:pStyle w:val="ListParagraph"/>
              <w:spacing w:line="360" w:lineRule="auto"/>
              <w:jc w:val="both"/>
              <w:rPr>
                <w:sz w:val="24"/>
                <w:szCs w:val="24"/>
              </w:rPr>
            </w:pPr>
          </w:p>
          <w:p w:rsidR="00356924" w:rsidRDefault="00356924" w:rsidP="006B2997">
            <w:pPr>
              <w:pStyle w:val="ListParagraph"/>
              <w:spacing w:line="360" w:lineRule="auto"/>
              <w:jc w:val="both"/>
              <w:rPr>
                <w:sz w:val="24"/>
                <w:szCs w:val="24"/>
              </w:rPr>
            </w:pPr>
          </w:p>
          <w:p w:rsidR="00356924" w:rsidRPr="006B2997" w:rsidRDefault="00356924" w:rsidP="006B2997">
            <w:pPr>
              <w:pStyle w:val="ListParagraph"/>
              <w:spacing w:line="360" w:lineRule="auto"/>
              <w:jc w:val="both"/>
              <w:rPr>
                <w:sz w:val="24"/>
                <w:szCs w:val="24"/>
              </w:rPr>
            </w:pPr>
          </w:p>
        </w:tc>
      </w:tr>
      <w:tr w:rsidR="009B66A5" w:rsidTr="00787AF0">
        <w:tc>
          <w:tcPr>
            <w:tcW w:w="1701" w:type="dxa"/>
          </w:tcPr>
          <w:p w:rsidR="009B66A5" w:rsidRPr="009B66A5" w:rsidRDefault="009B66A5" w:rsidP="00462142">
            <w:pPr>
              <w:spacing w:line="360" w:lineRule="auto"/>
              <w:rPr>
                <w:b/>
                <w:sz w:val="24"/>
                <w:szCs w:val="24"/>
              </w:rPr>
            </w:pPr>
          </w:p>
        </w:tc>
        <w:tc>
          <w:tcPr>
            <w:tcW w:w="7315" w:type="dxa"/>
          </w:tcPr>
          <w:p w:rsidR="00F547E6" w:rsidRPr="00F547E6" w:rsidRDefault="00F547E6" w:rsidP="00462142">
            <w:pPr>
              <w:spacing w:line="360" w:lineRule="auto"/>
              <w:jc w:val="both"/>
              <w:rPr>
                <w:b/>
                <w:i/>
                <w:sz w:val="24"/>
                <w:szCs w:val="24"/>
              </w:rPr>
            </w:pPr>
            <w:r w:rsidRPr="00934AA7">
              <w:rPr>
                <w:b/>
                <w:i/>
                <w:noProof/>
                <w:sz w:val="24"/>
                <w:szCs w:val="24"/>
              </w:rPr>
              <w:t xml:space="preserve">Recommendation 6: </w:t>
            </w:r>
            <w:r w:rsidR="00440600" w:rsidRPr="00934AA7">
              <w:rPr>
                <w:i/>
                <w:noProof/>
                <w:sz w:val="24"/>
                <w:szCs w:val="24"/>
              </w:rPr>
              <w:t xml:space="preserve">That the Commission delay its final considerations </w:t>
            </w:r>
            <w:r w:rsidR="00440600" w:rsidRPr="00934AA7">
              <w:rPr>
                <w:i/>
                <w:noProof/>
                <w:sz w:val="24"/>
                <w:szCs w:val="24"/>
              </w:rPr>
              <w:lastRenderedPageBreak/>
              <w:t>of reform concerning alteration of property interests until (a) The Law Commission (New Zealand) has completed its inquiry into the Property (Relationships) Act 1976 (NZ), and (b) Australian stakeholders have had a further opportunity to make submissions in light of the findings and recommendations made by the Law Commission (New Zealand).</w:t>
            </w:r>
          </w:p>
          <w:p w:rsidR="00F547E6" w:rsidRDefault="00F547E6" w:rsidP="00462142">
            <w:pPr>
              <w:spacing w:line="360" w:lineRule="auto"/>
              <w:jc w:val="both"/>
              <w:rPr>
                <w:b/>
                <w:i/>
                <w:sz w:val="24"/>
                <w:szCs w:val="24"/>
              </w:rPr>
            </w:pPr>
          </w:p>
          <w:p w:rsidR="00440600" w:rsidRPr="00EE2DE3" w:rsidRDefault="00440600" w:rsidP="00440600">
            <w:pPr>
              <w:pStyle w:val="Heading3"/>
              <w:spacing w:before="0" w:line="360" w:lineRule="auto"/>
              <w:outlineLvl w:val="2"/>
              <w:rPr>
                <w:rFonts w:asciiTheme="minorHAnsi" w:hAnsiTheme="minorHAnsi" w:cstheme="minorHAnsi"/>
                <w:b/>
                <w:i/>
                <w:color w:val="auto"/>
              </w:rPr>
            </w:pPr>
            <w:r w:rsidRPr="00EE2DE3">
              <w:rPr>
                <w:rFonts w:asciiTheme="minorHAnsi" w:hAnsiTheme="minorHAnsi" w:cstheme="minorHAnsi"/>
                <w:b/>
                <w:i/>
                <w:color w:val="auto"/>
              </w:rPr>
              <w:t>Recommendation 7</w:t>
            </w:r>
            <w:r w:rsidR="00EE2DE3" w:rsidRPr="00EE2DE3">
              <w:rPr>
                <w:rFonts w:asciiTheme="minorHAnsi" w:hAnsiTheme="minorHAnsi" w:cstheme="minorHAnsi"/>
                <w:b/>
                <w:i/>
                <w:color w:val="auto"/>
              </w:rPr>
              <w:t>:</w:t>
            </w:r>
          </w:p>
          <w:p w:rsidR="00440600" w:rsidRDefault="00440600" w:rsidP="00440600">
            <w:pPr>
              <w:spacing w:line="360" w:lineRule="auto"/>
              <w:jc w:val="both"/>
              <w:rPr>
                <w:i/>
                <w:sz w:val="24"/>
                <w:szCs w:val="24"/>
              </w:rPr>
            </w:pPr>
            <w:r>
              <w:rPr>
                <w:i/>
                <w:sz w:val="24"/>
                <w:szCs w:val="24"/>
              </w:rPr>
              <w:t>That, before making substantive changes to section 79 of the Act (including section 90SM), the Commission:</w:t>
            </w:r>
          </w:p>
          <w:p w:rsidR="00440600" w:rsidRDefault="00440600" w:rsidP="00440600">
            <w:pPr>
              <w:pStyle w:val="ListParagraph"/>
              <w:numPr>
                <w:ilvl w:val="0"/>
                <w:numId w:val="16"/>
              </w:numPr>
              <w:spacing w:line="360" w:lineRule="auto"/>
              <w:jc w:val="both"/>
              <w:rPr>
                <w:i/>
                <w:sz w:val="24"/>
                <w:szCs w:val="24"/>
              </w:rPr>
            </w:pPr>
            <w:r>
              <w:rPr>
                <w:i/>
                <w:sz w:val="24"/>
                <w:szCs w:val="24"/>
              </w:rPr>
              <w:t xml:space="preserve">Propose </w:t>
            </w:r>
            <w:r>
              <w:rPr>
                <w:i/>
                <w:noProof/>
                <w:sz w:val="24"/>
                <w:szCs w:val="24"/>
              </w:rPr>
              <w:t>amendments</w:t>
            </w:r>
            <w:r>
              <w:rPr>
                <w:i/>
                <w:sz w:val="24"/>
                <w:szCs w:val="24"/>
              </w:rPr>
              <w:t xml:space="preserve"> to the ‘Application for Consent Orders’ process to enable anonymised data to be used to understand the quantum and composition of agreed property outcomes, (with the ability for parties to prevent </w:t>
            </w:r>
            <w:r w:rsidR="00934AA7">
              <w:rPr>
                <w:i/>
                <w:sz w:val="24"/>
                <w:szCs w:val="24"/>
              </w:rPr>
              <w:t xml:space="preserve">the </w:t>
            </w:r>
            <w:r w:rsidRPr="00934AA7">
              <w:rPr>
                <w:i/>
                <w:noProof/>
                <w:sz w:val="24"/>
                <w:szCs w:val="24"/>
              </w:rPr>
              <w:t>use</w:t>
            </w:r>
            <w:r>
              <w:rPr>
                <w:i/>
                <w:sz w:val="24"/>
                <w:szCs w:val="24"/>
              </w:rPr>
              <w:t xml:space="preserve"> of their data if they wish) and </w:t>
            </w:r>
          </w:p>
          <w:p w:rsidR="006B2997" w:rsidRPr="00440600" w:rsidRDefault="00440600" w:rsidP="00440600">
            <w:pPr>
              <w:pStyle w:val="ListParagraph"/>
              <w:numPr>
                <w:ilvl w:val="0"/>
                <w:numId w:val="16"/>
              </w:numPr>
              <w:spacing w:line="360" w:lineRule="auto"/>
              <w:jc w:val="both"/>
              <w:rPr>
                <w:i/>
                <w:sz w:val="24"/>
                <w:szCs w:val="24"/>
              </w:rPr>
            </w:pPr>
            <w:r w:rsidRPr="00440600">
              <w:rPr>
                <w:i/>
                <w:sz w:val="24"/>
                <w:szCs w:val="24"/>
              </w:rPr>
              <w:t xml:space="preserve">Recommend that an organisation (such as – but not necessarily limited to AIFS) undertake further quantitative research of consent order applications (including percentages and dollar results). </w:t>
            </w:r>
          </w:p>
          <w:p w:rsidR="00440600" w:rsidRDefault="00440600" w:rsidP="00462142">
            <w:pPr>
              <w:spacing w:line="360" w:lineRule="auto"/>
              <w:jc w:val="both"/>
              <w:rPr>
                <w:b/>
                <w:i/>
                <w:sz w:val="24"/>
                <w:szCs w:val="24"/>
              </w:rPr>
            </w:pPr>
          </w:p>
          <w:p w:rsidR="00B53896" w:rsidRPr="00B53896" w:rsidRDefault="00B53896" w:rsidP="00462142">
            <w:pPr>
              <w:spacing w:line="360" w:lineRule="auto"/>
              <w:jc w:val="both"/>
              <w:rPr>
                <w:b/>
                <w:i/>
                <w:sz w:val="24"/>
                <w:szCs w:val="24"/>
              </w:rPr>
            </w:pPr>
            <w:r w:rsidRPr="00B53896">
              <w:rPr>
                <w:b/>
                <w:i/>
                <w:sz w:val="24"/>
                <w:szCs w:val="24"/>
              </w:rPr>
              <w:t>Recommendation 8</w:t>
            </w:r>
            <w:r w:rsidR="00DC3AE3">
              <w:rPr>
                <w:b/>
                <w:i/>
                <w:sz w:val="24"/>
                <w:szCs w:val="24"/>
              </w:rPr>
              <w:t>:</w:t>
            </w:r>
          </w:p>
          <w:p w:rsidR="00B53896" w:rsidRDefault="00522160" w:rsidP="00462142">
            <w:pPr>
              <w:spacing w:line="360" w:lineRule="auto"/>
              <w:jc w:val="both"/>
              <w:rPr>
                <w:i/>
                <w:sz w:val="24"/>
                <w:szCs w:val="24"/>
              </w:rPr>
            </w:pPr>
            <w:r>
              <w:rPr>
                <w:i/>
                <w:sz w:val="24"/>
                <w:szCs w:val="24"/>
              </w:rPr>
              <w:t xml:space="preserve">That, before making substantive changes to section 79 of the Act (including section 90SM), the Commission </w:t>
            </w:r>
            <w:r w:rsidRPr="00856E53">
              <w:rPr>
                <w:i/>
                <w:noProof/>
                <w:sz w:val="24"/>
                <w:szCs w:val="24"/>
              </w:rPr>
              <w:t>recommend</w:t>
            </w:r>
            <w:r>
              <w:rPr>
                <w:i/>
                <w:noProof/>
                <w:sz w:val="24"/>
                <w:szCs w:val="24"/>
              </w:rPr>
              <w:t>s</w:t>
            </w:r>
            <w:r w:rsidRPr="00E84E98">
              <w:rPr>
                <w:i/>
                <w:sz w:val="24"/>
                <w:szCs w:val="24"/>
              </w:rPr>
              <w:t xml:space="preserve"> that an organisation (such as – but not necessarily limited to AIFS) undertake </w:t>
            </w:r>
            <w:r>
              <w:rPr>
                <w:i/>
                <w:sz w:val="24"/>
                <w:szCs w:val="24"/>
              </w:rPr>
              <w:t>further</w:t>
            </w:r>
            <w:r w:rsidRPr="00E84E98">
              <w:rPr>
                <w:i/>
                <w:sz w:val="24"/>
                <w:szCs w:val="24"/>
              </w:rPr>
              <w:t xml:space="preserve"> quantitative research of </w:t>
            </w:r>
            <w:r>
              <w:rPr>
                <w:i/>
                <w:sz w:val="24"/>
                <w:szCs w:val="24"/>
              </w:rPr>
              <w:t xml:space="preserve">judicial decisions. </w:t>
            </w:r>
          </w:p>
          <w:p w:rsidR="00522160" w:rsidRDefault="00522160" w:rsidP="00462142">
            <w:pPr>
              <w:spacing w:line="360" w:lineRule="auto"/>
              <w:jc w:val="both"/>
              <w:rPr>
                <w:b/>
                <w:i/>
                <w:sz w:val="24"/>
                <w:szCs w:val="24"/>
              </w:rPr>
            </w:pPr>
          </w:p>
          <w:p w:rsidR="00883423" w:rsidRDefault="00313831" w:rsidP="00883423">
            <w:pPr>
              <w:spacing w:line="360" w:lineRule="auto"/>
              <w:jc w:val="both"/>
              <w:rPr>
                <w:i/>
                <w:sz w:val="24"/>
                <w:szCs w:val="24"/>
              </w:rPr>
            </w:pPr>
            <w:r w:rsidRPr="00626DE8">
              <w:rPr>
                <w:b/>
                <w:i/>
                <w:sz w:val="24"/>
                <w:szCs w:val="24"/>
              </w:rPr>
              <w:t xml:space="preserve">Recommendation </w:t>
            </w:r>
            <w:r w:rsidR="0022575B">
              <w:rPr>
                <w:b/>
                <w:i/>
                <w:sz w:val="24"/>
                <w:szCs w:val="24"/>
              </w:rPr>
              <w:t>9</w:t>
            </w:r>
            <w:r w:rsidRPr="00626DE8">
              <w:rPr>
                <w:i/>
                <w:sz w:val="24"/>
                <w:szCs w:val="24"/>
              </w:rPr>
              <w:t xml:space="preserve">:  </w:t>
            </w:r>
            <w:r w:rsidR="00883423">
              <w:rPr>
                <w:i/>
                <w:sz w:val="24"/>
                <w:szCs w:val="24"/>
              </w:rPr>
              <w:t xml:space="preserve">That the Commission recommends insertion </w:t>
            </w:r>
            <w:r w:rsidR="00883423" w:rsidRPr="00E014B4">
              <w:rPr>
                <w:i/>
                <w:noProof/>
                <w:sz w:val="24"/>
                <w:szCs w:val="24"/>
              </w:rPr>
              <w:t>of specific</w:t>
            </w:r>
            <w:r w:rsidR="00883423" w:rsidRPr="00626DE8">
              <w:rPr>
                <w:i/>
                <w:sz w:val="24"/>
                <w:szCs w:val="24"/>
              </w:rPr>
              <w:t xml:space="preserve"> objects and principles into the Family Law Act 1975 (Cth) for </w:t>
            </w:r>
            <w:r w:rsidR="00883423">
              <w:rPr>
                <w:i/>
                <w:sz w:val="24"/>
                <w:szCs w:val="24"/>
              </w:rPr>
              <w:t>alteration of property interests</w:t>
            </w:r>
            <w:r w:rsidR="00883423" w:rsidRPr="00626DE8">
              <w:rPr>
                <w:i/>
                <w:sz w:val="24"/>
                <w:szCs w:val="24"/>
              </w:rPr>
              <w:t xml:space="preserve"> </w:t>
            </w:r>
            <w:r w:rsidR="00883423">
              <w:rPr>
                <w:i/>
                <w:sz w:val="24"/>
                <w:szCs w:val="24"/>
              </w:rPr>
              <w:t>(</w:t>
            </w:r>
            <w:r w:rsidR="00883423" w:rsidRPr="00626DE8">
              <w:rPr>
                <w:i/>
                <w:sz w:val="24"/>
                <w:szCs w:val="24"/>
              </w:rPr>
              <w:t>whe</w:t>
            </w:r>
            <w:r w:rsidR="00883423">
              <w:rPr>
                <w:i/>
                <w:sz w:val="24"/>
                <w:szCs w:val="24"/>
              </w:rPr>
              <w:t>ther</w:t>
            </w:r>
            <w:r w:rsidR="00883423" w:rsidRPr="00626DE8">
              <w:rPr>
                <w:i/>
                <w:sz w:val="24"/>
                <w:szCs w:val="24"/>
              </w:rPr>
              <w:t xml:space="preserve"> the </w:t>
            </w:r>
            <w:r w:rsidR="00883423">
              <w:rPr>
                <w:i/>
                <w:sz w:val="24"/>
                <w:szCs w:val="24"/>
              </w:rPr>
              <w:t>spouses</w:t>
            </w:r>
            <w:r w:rsidR="00883423" w:rsidRPr="00626DE8">
              <w:rPr>
                <w:i/>
                <w:sz w:val="24"/>
                <w:szCs w:val="24"/>
              </w:rPr>
              <w:t xml:space="preserve"> have children</w:t>
            </w:r>
            <w:r w:rsidR="00883423">
              <w:rPr>
                <w:i/>
                <w:sz w:val="24"/>
                <w:szCs w:val="24"/>
              </w:rPr>
              <w:t xml:space="preserve"> of their marriage or de-facto relationship or not).</w:t>
            </w:r>
            <w:r w:rsidR="00883423" w:rsidRPr="00626DE8">
              <w:rPr>
                <w:i/>
                <w:sz w:val="24"/>
                <w:szCs w:val="24"/>
              </w:rPr>
              <w:t xml:space="preserve"> These are</w:t>
            </w:r>
            <w:r w:rsidR="00883423">
              <w:rPr>
                <w:i/>
                <w:sz w:val="24"/>
                <w:szCs w:val="24"/>
              </w:rPr>
              <w:t>:</w:t>
            </w:r>
          </w:p>
          <w:p w:rsidR="00883423" w:rsidRPr="00356924" w:rsidRDefault="00883423" w:rsidP="00883423">
            <w:pPr>
              <w:pStyle w:val="ListParagraph"/>
              <w:numPr>
                <w:ilvl w:val="0"/>
                <w:numId w:val="55"/>
              </w:numPr>
              <w:spacing w:line="360" w:lineRule="auto"/>
              <w:jc w:val="both"/>
              <w:rPr>
                <w:i/>
                <w:sz w:val="24"/>
                <w:szCs w:val="24"/>
              </w:rPr>
            </w:pPr>
            <w:r w:rsidRPr="00AF7E31">
              <w:rPr>
                <w:i/>
                <w:sz w:val="24"/>
                <w:szCs w:val="24"/>
              </w:rPr>
              <w:t xml:space="preserve"> </w:t>
            </w:r>
            <w:r>
              <w:rPr>
                <w:i/>
                <w:sz w:val="24"/>
                <w:szCs w:val="24"/>
              </w:rPr>
              <w:t>T</w:t>
            </w:r>
            <w:r w:rsidRPr="00AF7E31">
              <w:rPr>
                <w:i/>
                <w:sz w:val="24"/>
                <w:szCs w:val="24"/>
              </w:rPr>
              <w:t xml:space="preserve">he role of a </w:t>
            </w:r>
            <w:r>
              <w:rPr>
                <w:i/>
                <w:sz w:val="24"/>
                <w:szCs w:val="24"/>
              </w:rPr>
              <w:t>c</w:t>
            </w:r>
            <w:r w:rsidRPr="00AF7E31">
              <w:rPr>
                <w:i/>
                <w:sz w:val="24"/>
                <w:szCs w:val="24"/>
              </w:rPr>
              <w:t xml:space="preserve">ourt </w:t>
            </w:r>
            <w:r w:rsidRPr="00E014B4">
              <w:rPr>
                <w:i/>
                <w:noProof/>
                <w:sz w:val="24"/>
                <w:szCs w:val="24"/>
              </w:rPr>
              <w:t xml:space="preserve">in </w:t>
            </w:r>
            <w:r>
              <w:rPr>
                <w:i/>
                <w:noProof/>
                <w:sz w:val="24"/>
                <w:szCs w:val="24"/>
              </w:rPr>
              <w:t xml:space="preserve">altering property interests between </w:t>
            </w:r>
            <w:r w:rsidRPr="00934AA7">
              <w:rPr>
                <w:i/>
                <w:noProof/>
                <w:sz w:val="24"/>
                <w:szCs w:val="24"/>
              </w:rPr>
              <w:t>spouses</w:t>
            </w:r>
            <w:r w:rsidRPr="00AF7E31">
              <w:rPr>
                <w:i/>
                <w:sz w:val="24"/>
                <w:szCs w:val="24"/>
              </w:rPr>
              <w:t xml:space="preserve"> </w:t>
            </w:r>
            <w:r>
              <w:rPr>
                <w:i/>
                <w:sz w:val="24"/>
                <w:szCs w:val="24"/>
              </w:rPr>
              <w:t>is</w:t>
            </w:r>
            <w:r w:rsidRPr="00AF7E31">
              <w:rPr>
                <w:i/>
                <w:sz w:val="24"/>
                <w:szCs w:val="24"/>
              </w:rPr>
              <w:t xml:space="preserve"> to address, to the </w:t>
            </w:r>
            <w:r w:rsidRPr="00C8274F">
              <w:rPr>
                <w:i/>
                <w:noProof/>
                <w:sz w:val="24"/>
                <w:szCs w:val="24"/>
              </w:rPr>
              <w:t>greatest</w:t>
            </w:r>
            <w:r w:rsidRPr="00AF7E31">
              <w:rPr>
                <w:i/>
                <w:sz w:val="24"/>
                <w:szCs w:val="24"/>
              </w:rPr>
              <w:t xml:space="preserve"> extent practicable, </w:t>
            </w:r>
            <w:r>
              <w:rPr>
                <w:i/>
                <w:noProof/>
                <w:sz w:val="24"/>
                <w:szCs w:val="24"/>
              </w:rPr>
              <w:t>economic</w:t>
            </w:r>
            <w:r w:rsidRPr="00AF7E31">
              <w:rPr>
                <w:i/>
                <w:sz w:val="24"/>
                <w:szCs w:val="24"/>
              </w:rPr>
              <w:t xml:space="preserve"> </w:t>
            </w:r>
            <w:r w:rsidRPr="00AF7E31">
              <w:rPr>
                <w:i/>
                <w:sz w:val="24"/>
                <w:szCs w:val="24"/>
              </w:rPr>
              <w:lastRenderedPageBreak/>
              <w:t>disadvantage</w:t>
            </w:r>
            <w:r>
              <w:rPr>
                <w:i/>
                <w:sz w:val="24"/>
                <w:szCs w:val="24"/>
              </w:rPr>
              <w:t xml:space="preserve">. </w:t>
            </w:r>
          </w:p>
          <w:p w:rsidR="00883423" w:rsidRDefault="00883423" w:rsidP="00883423">
            <w:pPr>
              <w:pStyle w:val="ListParagraph"/>
              <w:numPr>
                <w:ilvl w:val="0"/>
                <w:numId w:val="55"/>
              </w:numPr>
              <w:spacing w:line="360" w:lineRule="auto"/>
              <w:jc w:val="both"/>
              <w:rPr>
                <w:i/>
                <w:sz w:val="24"/>
                <w:szCs w:val="24"/>
              </w:rPr>
            </w:pPr>
            <w:r>
              <w:rPr>
                <w:i/>
                <w:sz w:val="24"/>
                <w:szCs w:val="24"/>
              </w:rPr>
              <w:t xml:space="preserve">The </w:t>
            </w:r>
            <w:r w:rsidRPr="00883423">
              <w:rPr>
                <w:i/>
                <w:sz w:val="24"/>
                <w:szCs w:val="24"/>
              </w:rPr>
              <w:t>principles underlying</w:t>
            </w:r>
            <w:r>
              <w:rPr>
                <w:i/>
                <w:sz w:val="24"/>
                <w:szCs w:val="24"/>
              </w:rPr>
              <w:t xml:space="preserve"> this role are:</w:t>
            </w:r>
          </w:p>
          <w:p w:rsidR="00883423" w:rsidRDefault="00883423" w:rsidP="00883423">
            <w:pPr>
              <w:pStyle w:val="ListParagraph"/>
              <w:numPr>
                <w:ilvl w:val="0"/>
                <w:numId w:val="54"/>
              </w:numPr>
              <w:spacing w:line="360" w:lineRule="auto"/>
              <w:jc w:val="both"/>
              <w:rPr>
                <w:i/>
                <w:sz w:val="24"/>
                <w:szCs w:val="24"/>
              </w:rPr>
            </w:pPr>
            <w:r w:rsidRPr="008901C8">
              <w:rPr>
                <w:i/>
                <w:sz w:val="24"/>
                <w:szCs w:val="24"/>
              </w:rPr>
              <w:t xml:space="preserve">Wherever possible, spouses should reach agreement </w:t>
            </w:r>
            <w:r w:rsidRPr="008901C8">
              <w:rPr>
                <w:i/>
                <w:noProof/>
                <w:sz w:val="24"/>
                <w:szCs w:val="24"/>
              </w:rPr>
              <w:t>on</w:t>
            </w:r>
            <w:r w:rsidRPr="008901C8">
              <w:rPr>
                <w:i/>
                <w:sz w:val="24"/>
                <w:szCs w:val="24"/>
              </w:rPr>
              <w:t xml:space="preserve"> their </w:t>
            </w:r>
            <w:r>
              <w:rPr>
                <w:i/>
                <w:sz w:val="24"/>
                <w:szCs w:val="24"/>
              </w:rPr>
              <w:t>division of property after separation</w:t>
            </w:r>
            <w:r w:rsidRPr="008901C8">
              <w:rPr>
                <w:i/>
                <w:sz w:val="24"/>
                <w:szCs w:val="24"/>
              </w:rPr>
              <w:t xml:space="preserve">, </w:t>
            </w:r>
          </w:p>
          <w:p w:rsidR="00883423" w:rsidRDefault="00883423" w:rsidP="00883423">
            <w:pPr>
              <w:pStyle w:val="ListParagraph"/>
              <w:numPr>
                <w:ilvl w:val="0"/>
                <w:numId w:val="54"/>
              </w:numPr>
              <w:spacing w:line="360" w:lineRule="auto"/>
              <w:jc w:val="both"/>
              <w:rPr>
                <w:i/>
                <w:sz w:val="24"/>
                <w:szCs w:val="24"/>
              </w:rPr>
            </w:pPr>
            <w:r w:rsidRPr="008901C8">
              <w:rPr>
                <w:i/>
                <w:sz w:val="24"/>
                <w:szCs w:val="24"/>
              </w:rPr>
              <w:t>Spouses are equal in status, and continuation of such equality is optimal</w:t>
            </w:r>
            <w:r>
              <w:rPr>
                <w:i/>
                <w:sz w:val="24"/>
                <w:szCs w:val="24"/>
              </w:rPr>
              <w:t>,</w:t>
            </w:r>
          </w:p>
          <w:p w:rsidR="00883423" w:rsidRDefault="00883423" w:rsidP="00883423">
            <w:pPr>
              <w:pStyle w:val="ListParagraph"/>
              <w:numPr>
                <w:ilvl w:val="0"/>
                <w:numId w:val="54"/>
              </w:numPr>
              <w:spacing w:line="360" w:lineRule="auto"/>
              <w:jc w:val="both"/>
              <w:rPr>
                <w:i/>
                <w:sz w:val="24"/>
                <w:szCs w:val="24"/>
              </w:rPr>
            </w:pPr>
            <w:r>
              <w:rPr>
                <w:i/>
                <w:sz w:val="24"/>
                <w:szCs w:val="24"/>
              </w:rPr>
              <w:t>F</w:t>
            </w:r>
            <w:r w:rsidRPr="008901C8">
              <w:rPr>
                <w:i/>
                <w:sz w:val="24"/>
                <w:szCs w:val="24"/>
              </w:rPr>
              <w:t xml:space="preserve">inancial outcomes following separation may be </w:t>
            </w:r>
            <w:r w:rsidR="006E02C6" w:rsidRPr="0007012D">
              <w:rPr>
                <w:i/>
                <w:noProof/>
                <w:sz w:val="24"/>
                <w:szCs w:val="24"/>
              </w:rPr>
              <w:t>different</w:t>
            </w:r>
            <w:r w:rsidRPr="008901C8">
              <w:rPr>
                <w:i/>
                <w:sz w:val="24"/>
                <w:szCs w:val="24"/>
              </w:rPr>
              <w:t xml:space="preserve"> for financially disadvantaged families compared to wealthier families</w:t>
            </w:r>
            <w:r>
              <w:rPr>
                <w:i/>
                <w:sz w:val="24"/>
                <w:szCs w:val="24"/>
              </w:rPr>
              <w:t>, and</w:t>
            </w:r>
          </w:p>
          <w:p w:rsidR="00313831" w:rsidRPr="00883423" w:rsidRDefault="00883423" w:rsidP="00883423">
            <w:pPr>
              <w:pStyle w:val="ListParagraph"/>
              <w:numPr>
                <w:ilvl w:val="0"/>
                <w:numId w:val="54"/>
              </w:numPr>
              <w:spacing w:line="360" w:lineRule="auto"/>
              <w:jc w:val="both"/>
              <w:rPr>
                <w:i/>
                <w:sz w:val="24"/>
                <w:szCs w:val="24"/>
              </w:rPr>
            </w:pPr>
            <w:r w:rsidRPr="00883423">
              <w:rPr>
                <w:i/>
                <w:sz w:val="24"/>
                <w:szCs w:val="24"/>
              </w:rPr>
              <w:t>The financial interests of dependent children have priority, irrespective of any child support paid or payable, having regard to children’s role as future economic and social members of society.</w:t>
            </w:r>
          </w:p>
          <w:p w:rsidR="009B66A5" w:rsidRDefault="009B66A5" w:rsidP="00462142">
            <w:pPr>
              <w:spacing w:line="360" w:lineRule="auto"/>
              <w:jc w:val="both"/>
              <w:rPr>
                <w:sz w:val="24"/>
                <w:szCs w:val="24"/>
              </w:rPr>
            </w:pPr>
          </w:p>
          <w:p w:rsidR="009B66A5" w:rsidRDefault="009B66A5" w:rsidP="00462142">
            <w:pPr>
              <w:spacing w:line="360" w:lineRule="auto"/>
              <w:jc w:val="both"/>
              <w:rPr>
                <w:i/>
                <w:sz w:val="24"/>
                <w:szCs w:val="24"/>
              </w:rPr>
            </w:pPr>
            <w:r w:rsidRPr="008E3B67">
              <w:rPr>
                <w:b/>
                <w:i/>
                <w:sz w:val="24"/>
                <w:szCs w:val="24"/>
              </w:rPr>
              <w:t xml:space="preserve">Recommendation </w:t>
            </w:r>
            <w:r w:rsidR="00AF7E31">
              <w:rPr>
                <w:b/>
                <w:i/>
                <w:sz w:val="24"/>
                <w:szCs w:val="24"/>
              </w:rPr>
              <w:t>10</w:t>
            </w:r>
            <w:r>
              <w:rPr>
                <w:i/>
                <w:sz w:val="24"/>
                <w:szCs w:val="24"/>
              </w:rPr>
              <w:t xml:space="preserve">: </w:t>
            </w:r>
            <w:r w:rsidR="00883423" w:rsidRPr="00F608A0">
              <w:rPr>
                <w:i/>
                <w:noProof/>
                <w:sz w:val="24"/>
                <w:szCs w:val="24"/>
              </w:rPr>
              <w:t>That a provision is added to section 79(4) of the Act to require a Court to consider</w:t>
            </w:r>
            <w:r w:rsidR="00883423">
              <w:rPr>
                <w:i/>
                <w:noProof/>
                <w:sz w:val="24"/>
                <w:szCs w:val="24"/>
              </w:rPr>
              <w:t xml:space="preserve"> and give weight to</w:t>
            </w:r>
            <w:r w:rsidR="00883423" w:rsidRPr="00F608A0">
              <w:rPr>
                <w:i/>
                <w:noProof/>
                <w:sz w:val="24"/>
                <w:szCs w:val="24"/>
              </w:rPr>
              <w:t xml:space="preserve"> the objects and principles mentioned above.</w:t>
            </w:r>
          </w:p>
          <w:p w:rsidR="00AF7E31" w:rsidRDefault="00AF7E31" w:rsidP="00462142">
            <w:pPr>
              <w:spacing w:line="360" w:lineRule="auto"/>
              <w:jc w:val="both"/>
              <w:rPr>
                <w:i/>
                <w:sz w:val="24"/>
                <w:szCs w:val="24"/>
              </w:rPr>
            </w:pPr>
          </w:p>
          <w:p w:rsidR="00AF7E31" w:rsidRDefault="00DC3AE3" w:rsidP="00462142">
            <w:pPr>
              <w:spacing w:line="360" w:lineRule="auto"/>
              <w:jc w:val="both"/>
              <w:rPr>
                <w:i/>
                <w:sz w:val="24"/>
                <w:szCs w:val="24"/>
              </w:rPr>
            </w:pPr>
            <w:r>
              <w:rPr>
                <w:b/>
                <w:i/>
                <w:sz w:val="24"/>
                <w:szCs w:val="24"/>
              </w:rPr>
              <w:t xml:space="preserve">Recommendation 11: </w:t>
            </w:r>
            <w:r w:rsidR="00FA5649">
              <w:rPr>
                <w:i/>
                <w:sz w:val="24"/>
                <w:szCs w:val="24"/>
              </w:rPr>
              <w:t xml:space="preserve">That, in considering fairer outcomes, the Commission avoid contributions as a primary conceptual means to determine spouse’s entitlements, </w:t>
            </w:r>
            <w:r w:rsidR="00FA5649" w:rsidRPr="002C6DE4">
              <w:rPr>
                <w:i/>
                <w:noProof/>
                <w:sz w:val="24"/>
                <w:szCs w:val="24"/>
              </w:rPr>
              <w:t>or</w:t>
            </w:r>
            <w:r w:rsidR="00FA5649">
              <w:rPr>
                <w:i/>
                <w:sz w:val="24"/>
                <w:szCs w:val="24"/>
              </w:rPr>
              <w:t xml:space="preserve"> recommend amendments to sections 79(4)(a)-(c) to reflect the New Zealand definition of ‘contributions’.</w:t>
            </w:r>
          </w:p>
          <w:p w:rsidR="00FA5649" w:rsidRDefault="00FA5649" w:rsidP="00462142">
            <w:pPr>
              <w:spacing w:line="360" w:lineRule="auto"/>
              <w:jc w:val="both"/>
              <w:rPr>
                <w:i/>
                <w:sz w:val="24"/>
                <w:szCs w:val="24"/>
              </w:rPr>
            </w:pPr>
          </w:p>
          <w:p w:rsidR="00886CBB" w:rsidRPr="00886CBB" w:rsidRDefault="00886CBB" w:rsidP="00462142">
            <w:pPr>
              <w:spacing w:line="360" w:lineRule="auto"/>
              <w:jc w:val="both"/>
              <w:rPr>
                <w:b/>
                <w:i/>
                <w:sz w:val="24"/>
                <w:szCs w:val="24"/>
              </w:rPr>
            </w:pPr>
            <w:r w:rsidRPr="00886CBB">
              <w:rPr>
                <w:b/>
                <w:i/>
                <w:sz w:val="24"/>
                <w:szCs w:val="24"/>
              </w:rPr>
              <w:t>Recommendation 1</w:t>
            </w:r>
            <w:r>
              <w:rPr>
                <w:b/>
                <w:i/>
                <w:sz w:val="24"/>
                <w:szCs w:val="24"/>
              </w:rPr>
              <w:t>2:</w:t>
            </w:r>
          </w:p>
          <w:p w:rsidR="00886CBB" w:rsidRPr="00886CBB" w:rsidRDefault="00886CBB" w:rsidP="00462142">
            <w:pPr>
              <w:spacing w:line="360" w:lineRule="auto"/>
              <w:jc w:val="both"/>
              <w:rPr>
                <w:i/>
                <w:sz w:val="24"/>
                <w:szCs w:val="24"/>
              </w:rPr>
            </w:pPr>
            <w:r w:rsidRPr="00886CBB">
              <w:rPr>
                <w:i/>
                <w:sz w:val="24"/>
                <w:szCs w:val="24"/>
              </w:rPr>
              <w:t xml:space="preserve">That the Commission recommend insertion into the Act and the Rules provisions enabling a property settlement guidance document, then mandating </w:t>
            </w:r>
            <w:r w:rsidR="00E014B4">
              <w:rPr>
                <w:i/>
                <w:sz w:val="24"/>
                <w:szCs w:val="24"/>
              </w:rPr>
              <w:t xml:space="preserve">the </w:t>
            </w:r>
            <w:r w:rsidRPr="00E014B4">
              <w:rPr>
                <w:i/>
                <w:noProof/>
                <w:sz w:val="24"/>
                <w:szCs w:val="24"/>
              </w:rPr>
              <w:t>use</w:t>
            </w:r>
            <w:r w:rsidRPr="00886CBB">
              <w:rPr>
                <w:i/>
                <w:sz w:val="24"/>
                <w:szCs w:val="24"/>
              </w:rPr>
              <w:t xml:space="preserve"> of that guidance in consent and contested property applications. </w:t>
            </w:r>
            <w:r w:rsidR="00356924">
              <w:rPr>
                <w:i/>
                <w:sz w:val="24"/>
                <w:szCs w:val="24"/>
              </w:rPr>
              <w:t xml:space="preserve"> That, </w:t>
            </w:r>
            <w:r w:rsidR="0007012D">
              <w:rPr>
                <w:i/>
                <w:noProof/>
                <w:sz w:val="24"/>
                <w:szCs w:val="24"/>
              </w:rPr>
              <w:t>also</w:t>
            </w:r>
            <w:r w:rsidR="00356924">
              <w:rPr>
                <w:i/>
                <w:sz w:val="24"/>
                <w:szCs w:val="24"/>
              </w:rPr>
              <w:t xml:space="preserve">, </w:t>
            </w:r>
            <w:r w:rsidR="00A336BA">
              <w:rPr>
                <w:i/>
                <w:sz w:val="24"/>
                <w:szCs w:val="24"/>
              </w:rPr>
              <w:t xml:space="preserve">the Act strongly encourage parties to utilise such a document in negotiation, even if the ultimate agreed outcome is different. </w:t>
            </w:r>
          </w:p>
          <w:p w:rsidR="00356924" w:rsidRDefault="00356924" w:rsidP="00462142">
            <w:pPr>
              <w:spacing w:line="360" w:lineRule="auto"/>
              <w:jc w:val="both"/>
              <w:rPr>
                <w:i/>
                <w:sz w:val="24"/>
                <w:szCs w:val="24"/>
              </w:rPr>
            </w:pPr>
          </w:p>
          <w:p w:rsidR="00EE2DE3" w:rsidRDefault="00EE2DE3" w:rsidP="00462142">
            <w:pPr>
              <w:spacing w:line="360" w:lineRule="auto"/>
              <w:jc w:val="both"/>
              <w:rPr>
                <w:i/>
                <w:sz w:val="24"/>
                <w:szCs w:val="24"/>
              </w:rPr>
            </w:pPr>
          </w:p>
          <w:p w:rsidR="00886CBB" w:rsidRPr="00886CBB" w:rsidRDefault="00886CBB" w:rsidP="00462142">
            <w:pPr>
              <w:spacing w:line="360" w:lineRule="auto"/>
              <w:jc w:val="both"/>
              <w:rPr>
                <w:b/>
                <w:i/>
                <w:sz w:val="24"/>
                <w:szCs w:val="24"/>
              </w:rPr>
            </w:pPr>
            <w:r w:rsidRPr="00886CBB">
              <w:rPr>
                <w:b/>
                <w:i/>
                <w:sz w:val="24"/>
                <w:szCs w:val="24"/>
              </w:rPr>
              <w:t>Recommendation 1</w:t>
            </w:r>
            <w:r>
              <w:rPr>
                <w:b/>
                <w:i/>
                <w:sz w:val="24"/>
                <w:szCs w:val="24"/>
              </w:rPr>
              <w:t>3:</w:t>
            </w:r>
          </w:p>
          <w:p w:rsidR="00886CBB" w:rsidRDefault="00D73980" w:rsidP="00462142">
            <w:pPr>
              <w:spacing w:line="360" w:lineRule="auto"/>
              <w:jc w:val="both"/>
              <w:rPr>
                <w:i/>
                <w:sz w:val="24"/>
                <w:szCs w:val="24"/>
              </w:rPr>
            </w:pPr>
            <w:r w:rsidRPr="002C6DE4">
              <w:rPr>
                <w:i/>
                <w:noProof/>
                <w:sz w:val="24"/>
                <w:szCs w:val="24"/>
              </w:rPr>
              <w:t xml:space="preserve">That the Commission recommend widespread, and continuing, education (to all of the identified stakeholders) on the use of the </w:t>
            </w:r>
            <w:r w:rsidR="0007012D" w:rsidRPr="002C6DE4">
              <w:rPr>
                <w:i/>
                <w:noProof/>
                <w:sz w:val="24"/>
                <w:szCs w:val="24"/>
              </w:rPr>
              <w:t xml:space="preserve">suggested </w:t>
            </w:r>
            <w:r w:rsidRPr="002C6DE4">
              <w:rPr>
                <w:i/>
                <w:noProof/>
                <w:sz w:val="24"/>
                <w:szCs w:val="24"/>
              </w:rPr>
              <w:t>statutory property settlement guidance document.</w:t>
            </w:r>
          </w:p>
          <w:p w:rsidR="00D73980" w:rsidRDefault="00D73980" w:rsidP="00462142">
            <w:pPr>
              <w:spacing w:line="360" w:lineRule="auto"/>
              <w:jc w:val="both"/>
              <w:rPr>
                <w:b/>
                <w:i/>
                <w:sz w:val="24"/>
                <w:szCs w:val="24"/>
              </w:rPr>
            </w:pPr>
          </w:p>
          <w:p w:rsidR="00886CBB" w:rsidRPr="00886CBB" w:rsidRDefault="00886CBB" w:rsidP="00462142">
            <w:pPr>
              <w:spacing w:line="360" w:lineRule="auto"/>
              <w:jc w:val="both"/>
              <w:rPr>
                <w:i/>
                <w:sz w:val="24"/>
                <w:szCs w:val="24"/>
              </w:rPr>
            </w:pPr>
            <w:r>
              <w:rPr>
                <w:b/>
                <w:i/>
                <w:sz w:val="24"/>
                <w:szCs w:val="24"/>
              </w:rPr>
              <w:t>Recommendation 14</w:t>
            </w:r>
            <w:r>
              <w:rPr>
                <w:i/>
                <w:sz w:val="24"/>
                <w:szCs w:val="24"/>
              </w:rPr>
              <w:t>:</w:t>
            </w:r>
          </w:p>
          <w:p w:rsidR="00227348" w:rsidRDefault="00227348" w:rsidP="00227348">
            <w:pPr>
              <w:spacing w:line="360" w:lineRule="auto"/>
              <w:jc w:val="both"/>
              <w:rPr>
                <w:i/>
                <w:sz w:val="24"/>
                <w:szCs w:val="24"/>
              </w:rPr>
            </w:pPr>
            <w:r>
              <w:rPr>
                <w:i/>
                <w:sz w:val="24"/>
                <w:szCs w:val="24"/>
              </w:rPr>
              <w:t xml:space="preserve">That if the Commission is satisfied that the family law system produces </w:t>
            </w:r>
            <w:r w:rsidRPr="00C8274F">
              <w:rPr>
                <w:i/>
                <w:noProof/>
                <w:sz w:val="24"/>
                <w:szCs w:val="24"/>
              </w:rPr>
              <w:t>unfair</w:t>
            </w:r>
            <w:r>
              <w:rPr>
                <w:i/>
                <w:sz w:val="24"/>
                <w:szCs w:val="24"/>
              </w:rPr>
              <w:t xml:space="preserve"> property settlement outcomes, </w:t>
            </w:r>
            <w:r w:rsidR="00A336BA">
              <w:rPr>
                <w:i/>
                <w:sz w:val="24"/>
                <w:szCs w:val="24"/>
              </w:rPr>
              <w:t xml:space="preserve">(and an objects and principles provision is </w:t>
            </w:r>
            <w:r w:rsidR="00A336BA" w:rsidRPr="0007012D">
              <w:rPr>
                <w:i/>
                <w:noProof/>
                <w:sz w:val="24"/>
                <w:szCs w:val="24"/>
              </w:rPr>
              <w:t>insufficient)</w:t>
            </w:r>
            <w:r w:rsidR="0007012D">
              <w:rPr>
                <w:i/>
                <w:noProof/>
                <w:sz w:val="24"/>
                <w:szCs w:val="24"/>
              </w:rPr>
              <w:t>,</w:t>
            </w:r>
            <w:r w:rsidR="00A336BA">
              <w:rPr>
                <w:i/>
                <w:sz w:val="24"/>
                <w:szCs w:val="24"/>
              </w:rPr>
              <w:t xml:space="preserve"> </w:t>
            </w:r>
            <w:r>
              <w:rPr>
                <w:i/>
                <w:sz w:val="24"/>
                <w:szCs w:val="24"/>
              </w:rPr>
              <w:t xml:space="preserve">then the Commission consider a new cause of action for alteration of property interests in Part VII of the Act (and </w:t>
            </w:r>
            <w:r w:rsidR="00A336BA">
              <w:rPr>
                <w:i/>
                <w:sz w:val="24"/>
                <w:szCs w:val="24"/>
              </w:rPr>
              <w:t>its de-facto relationship</w:t>
            </w:r>
            <w:r>
              <w:rPr>
                <w:i/>
                <w:sz w:val="24"/>
                <w:szCs w:val="24"/>
              </w:rPr>
              <w:t xml:space="preserve"> equivalent) containing the following elements: </w:t>
            </w:r>
          </w:p>
          <w:p w:rsidR="00227348" w:rsidRDefault="00227348" w:rsidP="009A0126">
            <w:pPr>
              <w:pStyle w:val="ListParagraph"/>
              <w:numPr>
                <w:ilvl w:val="0"/>
                <w:numId w:val="38"/>
              </w:numPr>
              <w:spacing w:line="360" w:lineRule="auto"/>
              <w:jc w:val="both"/>
              <w:rPr>
                <w:i/>
                <w:sz w:val="24"/>
                <w:szCs w:val="24"/>
              </w:rPr>
            </w:pPr>
            <w:r>
              <w:rPr>
                <w:i/>
                <w:sz w:val="24"/>
                <w:szCs w:val="24"/>
              </w:rPr>
              <w:t>A separate cause of action applying to families where:</w:t>
            </w:r>
          </w:p>
          <w:p w:rsidR="00227348" w:rsidRDefault="00227348" w:rsidP="009A0126">
            <w:pPr>
              <w:pStyle w:val="ListParagraph"/>
              <w:numPr>
                <w:ilvl w:val="0"/>
                <w:numId w:val="40"/>
              </w:numPr>
              <w:spacing w:line="360" w:lineRule="auto"/>
              <w:jc w:val="both"/>
              <w:rPr>
                <w:i/>
                <w:sz w:val="24"/>
                <w:szCs w:val="24"/>
              </w:rPr>
            </w:pPr>
            <w:r>
              <w:rPr>
                <w:i/>
                <w:sz w:val="24"/>
                <w:szCs w:val="24"/>
              </w:rPr>
              <w:t xml:space="preserve">The spouses are in a marriage or de-facto relationship (using the existing requirements), and </w:t>
            </w:r>
          </w:p>
          <w:p w:rsidR="00227348" w:rsidRDefault="00227348" w:rsidP="009A0126">
            <w:pPr>
              <w:pStyle w:val="ListParagraph"/>
              <w:numPr>
                <w:ilvl w:val="0"/>
                <w:numId w:val="40"/>
              </w:numPr>
              <w:spacing w:line="360" w:lineRule="auto"/>
              <w:jc w:val="both"/>
              <w:rPr>
                <w:i/>
                <w:sz w:val="24"/>
                <w:szCs w:val="24"/>
              </w:rPr>
            </w:pPr>
            <w:r>
              <w:rPr>
                <w:i/>
                <w:sz w:val="24"/>
                <w:szCs w:val="24"/>
              </w:rPr>
              <w:t xml:space="preserve">There is a child of the relationship, and </w:t>
            </w:r>
          </w:p>
          <w:p w:rsidR="00227348" w:rsidRDefault="00227348" w:rsidP="009A0126">
            <w:pPr>
              <w:pStyle w:val="ListParagraph"/>
              <w:numPr>
                <w:ilvl w:val="0"/>
                <w:numId w:val="40"/>
              </w:numPr>
              <w:spacing w:line="360" w:lineRule="auto"/>
              <w:jc w:val="both"/>
              <w:rPr>
                <w:i/>
                <w:sz w:val="24"/>
                <w:szCs w:val="24"/>
              </w:rPr>
            </w:pPr>
            <w:r>
              <w:rPr>
                <w:i/>
                <w:sz w:val="24"/>
                <w:szCs w:val="24"/>
              </w:rPr>
              <w:t>The parties have not otherwise sought to regulate their arrangements through a financial agreement covering some or all their property, then,</w:t>
            </w:r>
          </w:p>
          <w:p w:rsidR="00227348" w:rsidRDefault="00227348" w:rsidP="009A0126">
            <w:pPr>
              <w:pStyle w:val="ListParagraph"/>
              <w:numPr>
                <w:ilvl w:val="0"/>
                <w:numId w:val="38"/>
              </w:numPr>
              <w:spacing w:line="360" w:lineRule="auto"/>
              <w:jc w:val="both"/>
              <w:rPr>
                <w:i/>
                <w:sz w:val="24"/>
                <w:szCs w:val="24"/>
              </w:rPr>
            </w:pPr>
            <w:r>
              <w:rPr>
                <w:i/>
                <w:sz w:val="24"/>
                <w:szCs w:val="24"/>
              </w:rPr>
              <w:t xml:space="preserve">Property </w:t>
            </w:r>
            <w:r w:rsidR="00E014B4">
              <w:rPr>
                <w:i/>
                <w:noProof/>
                <w:sz w:val="24"/>
                <w:szCs w:val="24"/>
              </w:rPr>
              <w:t>is</w:t>
            </w:r>
            <w:r>
              <w:rPr>
                <w:i/>
                <w:sz w:val="24"/>
                <w:szCs w:val="24"/>
              </w:rPr>
              <w:t xml:space="preserve"> all property acquired before during or after the marriage or de-facto relationship. </w:t>
            </w:r>
          </w:p>
          <w:p w:rsidR="00227348" w:rsidRDefault="00227348" w:rsidP="009A0126">
            <w:pPr>
              <w:pStyle w:val="ListParagraph"/>
              <w:numPr>
                <w:ilvl w:val="0"/>
                <w:numId w:val="38"/>
              </w:numPr>
              <w:spacing w:line="360" w:lineRule="auto"/>
              <w:jc w:val="both"/>
              <w:rPr>
                <w:i/>
                <w:sz w:val="24"/>
                <w:szCs w:val="24"/>
              </w:rPr>
            </w:pPr>
            <w:r>
              <w:rPr>
                <w:i/>
                <w:sz w:val="24"/>
                <w:szCs w:val="24"/>
              </w:rPr>
              <w:t xml:space="preserve">Property is divided equally as a rule. </w:t>
            </w:r>
          </w:p>
          <w:p w:rsidR="00227348" w:rsidRDefault="00227348" w:rsidP="009A0126">
            <w:pPr>
              <w:pStyle w:val="ListParagraph"/>
              <w:numPr>
                <w:ilvl w:val="0"/>
                <w:numId w:val="38"/>
              </w:numPr>
              <w:spacing w:line="360" w:lineRule="auto"/>
              <w:jc w:val="both"/>
              <w:rPr>
                <w:i/>
                <w:sz w:val="24"/>
                <w:szCs w:val="24"/>
              </w:rPr>
            </w:pPr>
            <w:r>
              <w:rPr>
                <w:i/>
                <w:sz w:val="24"/>
                <w:szCs w:val="24"/>
              </w:rPr>
              <w:t>Only if a person applies for an unequal division does a Court have discretion</w:t>
            </w:r>
            <w:r w:rsidR="00E014B4">
              <w:rPr>
                <w:i/>
                <w:sz w:val="24"/>
                <w:szCs w:val="24"/>
              </w:rPr>
              <w:t xml:space="preserve">, </w:t>
            </w:r>
            <w:r>
              <w:rPr>
                <w:i/>
                <w:sz w:val="24"/>
                <w:szCs w:val="24"/>
              </w:rPr>
              <w:t>governed by:</w:t>
            </w:r>
          </w:p>
          <w:p w:rsidR="00227348" w:rsidRDefault="00A336BA" w:rsidP="009A0126">
            <w:pPr>
              <w:pStyle w:val="ListParagraph"/>
              <w:numPr>
                <w:ilvl w:val="0"/>
                <w:numId w:val="41"/>
              </w:numPr>
              <w:spacing w:line="360" w:lineRule="auto"/>
              <w:jc w:val="both"/>
              <w:rPr>
                <w:i/>
                <w:sz w:val="24"/>
                <w:szCs w:val="24"/>
              </w:rPr>
            </w:pPr>
            <w:r>
              <w:rPr>
                <w:i/>
                <w:sz w:val="24"/>
                <w:szCs w:val="24"/>
              </w:rPr>
              <w:t>Statutory o</w:t>
            </w:r>
            <w:r w:rsidR="00227348">
              <w:rPr>
                <w:i/>
                <w:sz w:val="24"/>
                <w:szCs w:val="24"/>
              </w:rPr>
              <w:t xml:space="preserve">bjects and </w:t>
            </w:r>
            <w:r>
              <w:rPr>
                <w:i/>
                <w:sz w:val="24"/>
                <w:szCs w:val="24"/>
              </w:rPr>
              <w:t>p</w:t>
            </w:r>
            <w:r w:rsidR="00227348">
              <w:rPr>
                <w:i/>
                <w:sz w:val="24"/>
                <w:szCs w:val="24"/>
              </w:rPr>
              <w:t>rinciples</w:t>
            </w:r>
            <w:r>
              <w:rPr>
                <w:i/>
                <w:sz w:val="24"/>
                <w:szCs w:val="24"/>
              </w:rPr>
              <w:t>.</w:t>
            </w:r>
          </w:p>
          <w:p w:rsidR="00227348" w:rsidRDefault="00E014B4" w:rsidP="009A0126">
            <w:pPr>
              <w:pStyle w:val="ListParagraph"/>
              <w:numPr>
                <w:ilvl w:val="0"/>
                <w:numId w:val="41"/>
              </w:numPr>
              <w:spacing w:line="360" w:lineRule="auto"/>
              <w:jc w:val="both"/>
              <w:rPr>
                <w:i/>
                <w:sz w:val="24"/>
                <w:szCs w:val="24"/>
              </w:rPr>
            </w:pPr>
            <w:r w:rsidRPr="00E014B4">
              <w:rPr>
                <w:i/>
                <w:noProof/>
                <w:sz w:val="24"/>
                <w:szCs w:val="24"/>
              </w:rPr>
              <w:t>C</w:t>
            </w:r>
            <w:r w:rsidR="00227348" w:rsidRPr="00E014B4">
              <w:rPr>
                <w:i/>
                <w:noProof/>
                <w:sz w:val="24"/>
                <w:szCs w:val="24"/>
              </w:rPr>
              <w:t>osts</w:t>
            </w:r>
            <w:r w:rsidR="00227348">
              <w:rPr>
                <w:i/>
                <w:sz w:val="24"/>
                <w:szCs w:val="24"/>
              </w:rPr>
              <w:t xml:space="preserve"> of dependent children in each household.</w:t>
            </w:r>
          </w:p>
          <w:p w:rsidR="00227348" w:rsidRDefault="00E014B4" w:rsidP="009A0126">
            <w:pPr>
              <w:pStyle w:val="ListParagraph"/>
              <w:numPr>
                <w:ilvl w:val="0"/>
                <w:numId w:val="41"/>
              </w:numPr>
              <w:spacing w:line="360" w:lineRule="auto"/>
              <w:jc w:val="both"/>
              <w:rPr>
                <w:i/>
                <w:sz w:val="24"/>
                <w:szCs w:val="24"/>
              </w:rPr>
            </w:pPr>
            <w:r>
              <w:rPr>
                <w:i/>
                <w:noProof/>
                <w:sz w:val="24"/>
                <w:szCs w:val="24"/>
              </w:rPr>
              <w:t>The d</w:t>
            </w:r>
            <w:r w:rsidR="00227348" w:rsidRPr="00E014B4">
              <w:rPr>
                <w:i/>
                <w:noProof/>
                <w:sz w:val="24"/>
                <w:szCs w:val="24"/>
              </w:rPr>
              <w:t>isparity</w:t>
            </w:r>
            <w:r w:rsidR="00227348">
              <w:rPr>
                <w:i/>
                <w:sz w:val="24"/>
                <w:szCs w:val="24"/>
              </w:rPr>
              <w:t xml:space="preserve"> in income and earning capacity of the spouses.</w:t>
            </w:r>
          </w:p>
          <w:p w:rsidR="00227348" w:rsidRDefault="00E014B4" w:rsidP="009A0126">
            <w:pPr>
              <w:pStyle w:val="ListParagraph"/>
              <w:numPr>
                <w:ilvl w:val="0"/>
                <w:numId w:val="41"/>
              </w:numPr>
              <w:spacing w:line="360" w:lineRule="auto"/>
              <w:jc w:val="both"/>
              <w:rPr>
                <w:i/>
                <w:sz w:val="24"/>
                <w:szCs w:val="24"/>
              </w:rPr>
            </w:pPr>
            <w:r w:rsidRPr="005C1606">
              <w:rPr>
                <w:i/>
                <w:noProof/>
                <w:sz w:val="24"/>
                <w:szCs w:val="24"/>
              </w:rPr>
              <w:t>The h</w:t>
            </w:r>
            <w:r w:rsidR="00227348" w:rsidRPr="005C1606">
              <w:rPr>
                <w:i/>
                <w:noProof/>
                <w:sz w:val="24"/>
                <w:szCs w:val="24"/>
              </w:rPr>
              <w:t>ealth</w:t>
            </w:r>
            <w:r w:rsidR="00227348">
              <w:rPr>
                <w:i/>
                <w:sz w:val="24"/>
                <w:szCs w:val="24"/>
              </w:rPr>
              <w:t xml:space="preserve"> of the </w:t>
            </w:r>
            <w:r w:rsidR="005C1606">
              <w:rPr>
                <w:i/>
                <w:sz w:val="24"/>
                <w:szCs w:val="24"/>
              </w:rPr>
              <w:t>s</w:t>
            </w:r>
            <w:r w:rsidR="00227348">
              <w:rPr>
                <w:i/>
                <w:sz w:val="24"/>
                <w:szCs w:val="24"/>
              </w:rPr>
              <w:t>pouses.</w:t>
            </w:r>
          </w:p>
          <w:p w:rsidR="00227348" w:rsidRDefault="00227348" w:rsidP="009A0126">
            <w:pPr>
              <w:pStyle w:val="ListParagraph"/>
              <w:numPr>
                <w:ilvl w:val="0"/>
                <w:numId w:val="41"/>
              </w:numPr>
              <w:spacing w:line="360" w:lineRule="auto"/>
              <w:jc w:val="both"/>
              <w:rPr>
                <w:i/>
                <w:sz w:val="24"/>
                <w:szCs w:val="24"/>
              </w:rPr>
            </w:pPr>
            <w:r w:rsidRPr="005C1606">
              <w:rPr>
                <w:i/>
                <w:noProof/>
                <w:sz w:val="24"/>
                <w:szCs w:val="24"/>
              </w:rPr>
              <w:t xml:space="preserve">Financial </w:t>
            </w:r>
            <w:r w:rsidR="005C1606" w:rsidRPr="005C1606">
              <w:rPr>
                <w:i/>
                <w:noProof/>
                <w:sz w:val="24"/>
                <w:szCs w:val="24"/>
              </w:rPr>
              <w:t>r</w:t>
            </w:r>
            <w:r w:rsidRPr="005C1606">
              <w:rPr>
                <w:i/>
                <w:noProof/>
                <w:sz w:val="24"/>
                <w:szCs w:val="24"/>
              </w:rPr>
              <w:t>esources</w:t>
            </w:r>
            <w:r>
              <w:rPr>
                <w:i/>
                <w:sz w:val="24"/>
                <w:szCs w:val="24"/>
              </w:rPr>
              <w:t xml:space="preserve"> of the </w:t>
            </w:r>
            <w:r w:rsidR="005C1606">
              <w:rPr>
                <w:i/>
                <w:sz w:val="24"/>
                <w:szCs w:val="24"/>
              </w:rPr>
              <w:t>s</w:t>
            </w:r>
            <w:r>
              <w:rPr>
                <w:i/>
                <w:sz w:val="24"/>
                <w:szCs w:val="24"/>
              </w:rPr>
              <w:t>pouses.</w:t>
            </w:r>
          </w:p>
          <w:p w:rsidR="00227348" w:rsidRDefault="00A336BA" w:rsidP="009A0126">
            <w:pPr>
              <w:pStyle w:val="ListParagraph"/>
              <w:numPr>
                <w:ilvl w:val="0"/>
                <w:numId w:val="41"/>
              </w:numPr>
              <w:spacing w:line="360" w:lineRule="auto"/>
              <w:jc w:val="both"/>
              <w:rPr>
                <w:i/>
                <w:sz w:val="24"/>
                <w:szCs w:val="24"/>
              </w:rPr>
            </w:pPr>
            <w:r w:rsidRPr="0007012D">
              <w:rPr>
                <w:i/>
                <w:noProof/>
                <w:sz w:val="24"/>
                <w:szCs w:val="24"/>
              </w:rPr>
              <w:lastRenderedPageBreak/>
              <w:t xml:space="preserve">Ensuring a dignified standard of living </w:t>
            </w:r>
            <w:r w:rsidR="0007012D" w:rsidRPr="0007012D">
              <w:rPr>
                <w:i/>
                <w:noProof/>
                <w:sz w:val="24"/>
                <w:szCs w:val="24"/>
              </w:rPr>
              <w:t>in</w:t>
            </w:r>
            <w:r w:rsidR="0007012D">
              <w:rPr>
                <w:i/>
                <w:noProof/>
                <w:sz w:val="24"/>
                <w:szCs w:val="24"/>
              </w:rPr>
              <w:t xml:space="preserve"> </w:t>
            </w:r>
            <w:r w:rsidR="00227348" w:rsidRPr="0007012D">
              <w:rPr>
                <w:i/>
                <w:noProof/>
                <w:sz w:val="24"/>
                <w:szCs w:val="24"/>
              </w:rPr>
              <w:t>retirement.</w:t>
            </w:r>
            <w:r w:rsidR="00227348">
              <w:rPr>
                <w:i/>
                <w:sz w:val="24"/>
                <w:szCs w:val="24"/>
              </w:rPr>
              <w:t xml:space="preserve"> </w:t>
            </w:r>
          </w:p>
          <w:p w:rsidR="00227348" w:rsidRDefault="00E014B4" w:rsidP="009A0126">
            <w:pPr>
              <w:pStyle w:val="ListParagraph"/>
              <w:numPr>
                <w:ilvl w:val="0"/>
                <w:numId w:val="42"/>
              </w:numPr>
              <w:spacing w:line="360" w:lineRule="auto"/>
              <w:jc w:val="both"/>
              <w:rPr>
                <w:i/>
                <w:sz w:val="24"/>
                <w:szCs w:val="24"/>
              </w:rPr>
            </w:pPr>
            <w:r>
              <w:rPr>
                <w:i/>
                <w:sz w:val="24"/>
                <w:szCs w:val="24"/>
              </w:rPr>
              <w:t>A cap on t</w:t>
            </w:r>
            <w:r w:rsidR="00227348">
              <w:rPr>
                <w:i/>
                <w:sz w:val="24"/>
                <w:szCs w:val="24"/>
              </w:rPr>
              <w:t>he percentage division at 80%/20% for wealthier families, but</w:t>
            </w:r>
            <w:r>
              <w:rPr>
                <w:i/>
                <w:sz w:val="24"/>
                <w:szCs w:val="24"/>
              </w:rPr>
              <w:t>,</w:t>
            </w:r>
          </w:p>
          <w:p w:rsidR="00227348" w:rsidRDefault="00227348" w:rsidP="009A0126">
            <w:pPr>
              <w:pStyle w:val="ListParagraph"/>
              <w:numPr>
                <w:ilvl w:val="0"/>
                <w:numId w:val="42"/>
              </w:numPr>
              <w:spacing w:line="360" w:lineRule="auto"/>
              <w:jc w:val="both"/>
              <w:rPr>
                <w:i/>
                <w:sz w:val="24"/>
                <w:szCs w:val="24"/>
              </w:rPr>
            </w:pPr>
            <w:r>
              <w:rPr>
                <w:i/>
                <w:sz w:val="24"/>
                <w:szCs w:val="24"/>
              </w:rPr>
              <w:t xml:space="preserve">For less </w:t>
            </w:r>
            <w:r w:rsidR="00E014B4">
              <w:rPr>
                <w:i/>
                <w:noProof/>
                <w:sz w:val="24"/>
                <w:szCs w:val="24"/>
              </w:rPr>
              <w:t>affluent</w:t>
            </w:r>
            <w:r>
              <w:rPr>
                <w:i/>
                <w:sz w:val="24"/>
                <w:szCs w:val="24"/>
              </w:rPr>
              <w:t xml:space="preserve"> families the percentage division extends to 100%/0%. </w:t>
            </w:r>
          </w:p>
          <w:p w:rsidR="00227348" w:rsidRDefault="00227348" w:rsidP="009A0126">
            <w:pPr>
              <w:pStyle w:val="ListParagraph"/>
              <w:numPr>
                <w:ilvl w:val="0"/>
                <w:numId w:val="42"/>
              </w:numPr>
              <w:spacing w:line="360" w:lineRule="auto"/>
              <w:jc w:val="both"/>
              <w:rPr>
                <w:i/>
                <w:sz w:val="24"/>
                <w:szCs w:val="24"/>
              </w:rPr>
            </w:pPr>
            <w:r>
              <w:rPr>
                <w:i/>
                <w:sz w:val="24"/>
                <w:szCs w:val="24"/>
              </w:rPr>
              <w:t xml:space="preserve">The Court retains a discretion concerning the composition of an award (within the scope of the % entitlement), </w:t>
            </w:r>
            <w:r w:rsidR="00A336BA">
              <w:rPr>
                <w:i/>
                <w:sz w:val="24"/>
                <w:szCs w:val="24"/>
              </w:rPr>
              <w:t>using</w:t>
            </w:r>
            <w:r>
              <w:rPr>
                <w:i/>
                <w:sz w:val="24"/>
                <w:szCs w:val="24"/>
              </w:rPr>
              <w:t xml:space="preserve"> the following: </w:t>
            </w:r>
          </w:p>
          <w:p w:rsidR="00227348" w:rsidRDefault="00227348" w:rsidP="009A0126">
            <w:pPr>
              <w:pStyle w:val="ListParagraph"/>
              <w:numPr>
                <w:ilvl w:val="0"/>
                <w:numId w:val="43"/>
              </w:numPr>
              <w:spacing w:line="360" w:lineRule="auto"/>
              <w:jc w:val="both"/>
              <w:rPr>
                <w:i/>
                <w:sz w:val="24"/>
                <w:szCs w:val="24"/>
              </w:rPr>
            </w:pPr>
            <w:r>
              <w:rPr>
                <w:i/>
                <w:sz w:val="24"/>
                <w:szCs w:val="24"/>
              </w:rPr>
              <w:t xml:space="preserve">The </w:t>
            </w:r>
            <w:r w:rsidR="007F13B4">
              <w:rPr>
                <w:i/>
                <w:sz w:val="24"/>
                <w:szCs w:val="24"/>
              </w:rPr>
              <w:t>n</w:t>
            </w:r>
            <w:r>
              <w:rPr>
                <w:i/>
                <w:sz w:val="24"/>
                <w:szCs w:val="24"/>
              </w:rPr>
              <w:t xml:space="preserve">ature of </w:t>
            </w:r>
            <w:r w:rsidR="007F13B4">
              <w:rPr>
                <w:i/>
                <w:sz w:val="24"/>
                <w:szCs w:val="24"/>
              </w:rPr>
              <w:t>p</w:t>
            </w:r>
            <w:r>
              <w:rPr>
                <w:i/>
                <w:sz w:val="24"/>
                <w:szCs w:val="24"/>
              </w:rPr>
              <w:t>roperty</w:t>
            </w:r>
            <w:r w:rsidR="00A336BA">
              <w:rPr>
                <w:i/>
                <w:sz w:val="24"/>
                <w:szCs w:val="24"/>
              </w:rPr>
              <w:t xml:space="preserve"> (e.g. superannuation).</w:t>
            </w:r>
          </w:p>
          <w:p w:rsidR="00227348" w:rsidRDefault="00E014B4" w:rsidP="009A0126">
            <w:pPr>
              <w:pStyle w:val="ListParagraph"/>
              <w:numPr>
                <w:ilvl w:val="0"/>
                <w:numId w:val="43"/>
              </w:numPr>
              <w:spacing w:line="360" w:lineRule="auto"/>
              <w:jc w:val="both"/>
              <w:rPr>
                <w:i/>
                <w:sz w:val="24"/>
                <w:szCs w:val="24"/>
              </w:rPr>
            </w:pPr>
            <w:r>
              <w:rPr>
                <w:i/>
                <w:noProof/>
                <w:sz w:val="24"/>
                <w:szCs w:val="24"/>
              </w:rPr>
              <w:t>The d</w:t>
            </w:r>
            <w:r w:rsidR="00227348" w:rsidRPr="00E014B4">
              <w:rPr>
                <w:i/>
                <w:noProof/>
                <w:sz w:val="24"/>
                <w:szCs w:val="24"/>
              </w:rPr>
              <w:t>esire</w:t>
            </w:r>
            <w:r w:rsidR="00227348">
              <w:rPr>
                <w:i/>
                <w:sz w:val="24"/>
                <w:szCs w:val="24"/>
              </w:rPr>
              <w:t xml:space="preserve"> to retain </w:t>
            </w:r>
            <w:r w:rsidRPr="00E014B4">
              <w:rPr>
                <w:i/>
                <w:noProof/>
                <w:sz w:val="24"/>
                <w:szCs w:val="24"/>
              </w:rPr>
              <w:t>specific</w:t>
            </w:r>
            <w:r w:rsidR="00227348">
              <w:rPr>
                <w:i/>
                <w:sz w:val="24"/>
                <w:szCs w:val="24"/>
              </w:rPr>
              <w:t xml:space="preserve"> property.</w:t>
            </w:r>
          </w:p>
          <w:p w:rsidR="00227348" w:rsidRDefault="00227348" w:rsidP="009A0126">
            <w:pPr>
              <w:pStyle w:val="ListParagraph"/>
              <w:numPr>
                <w:ilvl w:val="0"/>
                <w:numId w:val="43"/>
              </w:numPr>
              <w:spacing w:line="360" w:lineRule="auto"/>
              <w:jc w:val="both"/>
              <w:rPr>
                <w:i/>
                <w:sz w:val="24"/>
                <w:szCs w:val="24"/>
              </w:rPr>
            </w:pPr>
            <w:r>
              <w:rPr>
                <w:i/>
                <w:sz w:val="24"/>
                <w:szCs w:val="24"/>
              </w:rPr>
              <w:t>Proximity (of real property) to children’s schools and family members.</w:t>
            </w:r>
          </w:p>
          <w:p w:rsidR="00227348" w:rsidRDefault="00227348" w:rsidP="009A0126">
            <w:pPr>
              <w:pStyle w:val="ListParagraph"/>
              <w:numPr>
                <w:ilvl w:val="0"/>
                <w:numId w:val="43"/>
              </w:numPr>
              <w:spacing w:line="360" w:lineRule="auto"/>
              <w:jc w:val="both"/>
              <w:rPr>
                <w:i/>
                <w:sz w:val="24"/>
                <w:szCs w:val="24"/>
              </w:rPr>
            </w:pPr>
            <w:r>
              <w:rPr>
                <w:i/>
                <w:sz w:val="24"/>
                <w:szCs w:val="24"/>
              </w:rPr>
              <w:t xml:space="preserve">The emotional impact of selling </w:t>
            </w:r>
            <w:r w:rsidR="00A336BA" w:rsidRPr="0007012D">
              <w:rPr>
                <w:i/>
                <w:noProof/>
                <w:sz w:val="24"/>
                <w:szCs w:val="24"/>
              </w:rPr>
              <w:t>real</w:t>
            </w:r>
            <w:r w:rsidR="00A336BA">
              <w:rPr>
                <w:i/>
                <w:sz w:val="24"/>
                <w:szCs w:val="24"/>
              </w:rPr>
              <w:t xml:space="preserve"> </w:t>
            </w:r>
            <w:r w:rsidRPr="00C8274F">
              <w:rPr>
                <w:i/>
                <w:noProof/>
                <w:sz w:val="24"/>
                <w:szCs w:val="24"/>
              </w:rPr>
              <w:t>property</w:t>
            </w:r>
            <w:r>
              <w:rPr>
                <w:i/>
                <w:sz w:val="24"/>
                <w:szCs w:val="24"/>
              </w:rPr>
              <w:t xml:space="preserve">. </w:t>
            </w:r>
          </w:p>
          <w:p w:rsidR="006635E1" w:rsidRDefault="006635E1" w:rsidP="009A0126">
            <w:pPr>
              <w:pStyle w:val="ListParagraph"/>
              <w:numPr>
                <w:ilvl w:val="0"/>
                <w:numId w:val="44"/>
              </w:numPr>
              <w:spacing w:line="360" w:lineRule="auto"/>
              <w:jc w:val="both"/>
              <w:rPr>
                <w:i/>
                <w:sz w:val="24"/>
                <w:szCs w:val="24"/>
              </w:rPr>
            </w:pPr>
            <w:r>
              <w:rPr>
                <w:i/>
                <w:sz w:val="24"/>
                <w:szCs w:val="24"/>
              </w:rPr>
              <w:t xml:space="preserve">In conjunction with this additional cause of action a statutory guidance document (as recommended </w:t>
            </w:r>
            <w:r w:rsidRPr="00C8274F">
              <w:rPr>
                <w:i/>
                <w:noProof/>
                <w:sz w:val="24"/>
                <w:szCs w:val="24"/>
              </w:rPr>
              <w:t>for</w:t>
            </w:r>
            <w:r>
              <w:rPr>
                <w:i/>
                <w:sz w:val="24"/>
                <w:szCs w:val="24"/>
              </w:rPr>
              <w:t xml:space="preserve"> the existing regime) issue, with procedural amendments to put it into effect, and extensive education take place, and </w:t>
            </w:r>
          </w:p>
          <w:p w:rsidR="00886CBB" w:rsidRPr="006635E1" w:rsidRDefault="006635E1" w:rsidP="009A0126">
            <w:pPr>
              <w:pStyle w:val="ListParagraph"/>
              <w:numPr>
                <w:ilvl w:val="0"/>
                <w:numId w:val="44"/>
              </w:numPr>
              <w:spacing w:line="360" w:lineRule="auto"/>
              <w:jc w:val="both"/>
              <w:rPr>
                <w:i/>
                <w:sz w:val="24"/>
                <w:szCs w:val="24"/>
              </w:rPr>
            </w:pPr>
            <w:r w:rsidRPr="006635E1">
              <w:rPr>
                <w:i/>
                <w:sz w:val="24"/>
                <w:szCs w:val="24"/>
              </w:rPr>
              <w:t xml:space="preserve">The </w:t>
            </w:r>
            <w:r w:rsidR="00D35EC4">
              <w:rPr>
                <w:i/>
                <w:noProof/>
                <w:sz w:val="24"/>
                <w:szCs w:val="24"/>
              </w:rPr>
              <w:t>current</w:t>
            </w:r>
            <w:r w:rsidRPr="006635E1">
              <w:rPr>
                <w:i/>
                <w:sz w:val="24"/>
                <w:szCs w:val="24"/>
              </w:rPr>
              <w:t xml:space="preserve"> provisions of section 79 of the Act (and equivalents) remain as a fall-back provision for other types of families.</w:t>
            </w:r>
          </w:p>
          <w:p w:rsidR="009B66A5" w:rsidRPr="009B66A5" w:rsidRDefault="009B66A5" w:rsidP="00462142">
            <w:pPr>
              <w:spacing w:line="360" w:lineRule="auto"/>
              <w:jc w:val="both"/>
              <w:rPr>
                <w:sz w:val="24"/>
                <w:szCs w:val="24"/>
              </w:rPr>
            </w:pPr>
          </w:p>
        </w:tc>
      </w:tr>
      <w:tr w:rsidR="00E6429C" w:rsidTr="00787AF0">
        <w:tc>
          <w:tcPr>
            <w:tcW w:w="1701" w:type="dxa"/>
          </w:tcPr>
          <w:p w:rsidR="00E6429C" w:rsidRPr="00307729" w:rsidRDefault="00E6429C" w:rsidP="00462142">
            <w:pPr>
              <w:spacing w:line="360" w:lineRule="auto"/>
              <w:rPr>
                <w:b/>
                <w:sz w:val="28"/>
                <w:szCs w:val="28"/>
              </w:rPr>
            </w:pPr>
            <w:r w:rsidRPr="00307729">
              <w:rPr>
                <w:b/>
                <w:bCs/>
                <w:sz w:val="28"/>
                <w:szCs w:val="28"/>
              </w:rPr>
              <w:lastRenderedPageBreak/>
              <w:t>Question 19</w:t>
            </w:r>
          </w:p>
        </w:tc>
        <w:tc>
          <w:tcPr>
            <w:tcW w:w="7315" w:type="dxa"/>
          </w:tcPr>
          <w:p w:rsidR="00E6429C" w:rsidRPr="00307729" w:rsidRDefault="0014551A" w:rsidP="00462142">
            <w:pPr>
              <w:spacing w:line="360" w:lineRule="auto"/>
              <w:rPr>
                <w:b/>
                <w:sz w:val="28"/>
                <w:szCs w:val="28"/>
              </w:rPr>
            </w:pPr>
            <w:r w:rsidRPr="00307729">
              <w:rPr>
                <w:b/>
                <w:sz w:val="28"/>
                <w:szCs w:val="28"/>
              </w:rPr>
              <w:t>W</w:t>
            </w:r>
            <w:r w:rsidR="00E6429C" w:rsidRPr="00307729">
              <w:rPr>
                <w:b/>
                <w:sz w:val="28"/>
                <w:szCs w:val="28"/>
              </w:rPr>
              <w:t xml:space="preserve">hat changes could be made to the provisions </w:t>
            </w:r>
            <w:r w:rsidR="00E6429C" w:rsidRPr="00307729">
              <w:rPr>
                <w:b/>
                <w:noProof/>
                <w:sz w:val="28"/>
                <w:szCs w:val="28"/>
              </w:rPr>
              <w:t>in</w:t>
            </w:r>
            <w:r w:rsidR="00E6429C" w:rsidRPr="00307729">
              <w:rPr>
                <w:b/>
                <w:sz w:val="28"/>
                <w:szCs w:val="28"/>
              </w:rPr>
              <w:t xml:space="preserve"> the </w:t>
            </w:r>
            <w:r w:rsidR="00E6429C" w:rsidRPr="00307729">
              <w:rPr>
                <w:b/>
                <w:i/>
                <w:iCs/>
                <w:sz w:val="28"/>
                <w:szCs w:val="28"/>
              </w:rPr>
              <w:t xml:space="preserve">Family Law Act </w:t>
            </w:r>
            <w:r w:rsidR="00E6429C" w:rsidRPr="00307729">
              <w:rPr>
                <w:b/>
                <w:sz w:val="28"/>
                <w:szCs w:val="28"/>
              </w:rPr>
              <w:t>governing binding financial agreements to improve the clarity and comprehensibility of the law for parties and to promote fair outcomes?</w:t>
            </w:r>
          </w:p>
        </w:tc>
      </w:tr>
      <w:tr w:rsidR="006B2997" w:rsidTr="00787AF0">
        <w:tc>
          <w:tcPr>
            <w:tcW w:w="1701" w:type="dxa"/>
          </w:tcPr>
          <w:p w:rsidR="006B2997" w:rsidRPr="00E6429C" w:rsidRDefault="006B2997" w:rsidP="00462142">
            <w:pPr>
              <w:spacing w:line="360" w:lineRule="auto"/>
              <w:rPr>
                <w:b/>
                <w:bCs/>
                <w:sz w:val="24"/>
                <w:szCs w:val="24"/>
              </w:rPr>
            </w:pPr>
          </w:p>
        </w:tc>
        <w:tc>
          <w:tcPr>
            <w:tcW w:w="7315" w:type="dxa"/>
          </w:tcPr>
          <w:p w:rsidR="006B2997" w:rsidRDefault="006B2997" w:rsidP="00CF3B39">
            <w:pPr>
              <w:spacing w:line="360" w:lineRule="auto"/>
              <w:rPr>
                <w:b/>
                <w:sz w:val="24"/>
                <w:szCs w:val="24"/>
              </w:rPr>
            </w:pPr>
            <w:r>
              <w:rPr>
                <w:b/>
                <w:sz w:val="24"/>
                <w:szCs w:val="24"/>
              </w:rPr>
              <w:t xml:space="preserve">Discussion Summary: </w:t>
            </w:r>
          </w:p>
          <w:p w:rsidR="006B2997" w:rsidRPr="006B2997" w:rsidRDefault="006B2997" w:rsidP="009A0126">
            <w:pPr>
              <w:pStyle w:val="ListParagraph"/>
              <w:numPr>
                <w:ilvl w:val="0"/>
                <w:numId w:val="51"/>
              </w:numPr>
              <w:spacing w:line="360" w:lineRule="auto"/>
              <w:jc w:val="both"/>
              <w:rPr>
                <w:b/>
                <w:sz w:val="24"/>
                <w:szCs w:val="24"/>
              </w:rPr>
            </w:pPr>
            <w:r>
              <w:rPr>
                <w:sz w:val="24"/>
                <w:szCs w:val="24"/>
              </w:rPr>
              <w:t xml:space="preserve">This question overlaps with the previous inquiry in 2015 / 2016 into financial agreements. </w:t>
            </w:r>
          </w:p>
          <w:p w:rsidR="006B2997" w:rsidRPr="006B2997" w:rsidRDefault="006B2997" w:rsidP="009A0126">
            <w:pPr>
              <w:pStyle w:val="ListParagraph"/>
              <w:numPr>
                <w:ilvl w:val="0"/>
                <w:numId w:val="51"/>
              </w:numPr>
              <w:spacing w:line="360" w:lineRule="auto"/>
              <w:jc w:val="both"/>
              <w:rPr>
                <w:b/>
                <w:sz w:val="24"/>
                <w:szCs w:val="24"/>
              </w:rPr>
            </w:pPr>
            <w:r>
              <w:rPr>
                <w:sz w:val="24"/>
                <w:szCs w:val="24"/>
              </w:rPr>
              <w:t xml:space="preserve">The Commission should have the benefit of </w:t>
            </w:r>
            <w:r w:rsidR="007F13B4">
              <w:rPr>
                <w:sz w:val="24"/>
                <w:szCs w:val="24"/>
              </w:rPr>
              <w:t>all</w:t>
            </w:r>
            <w:r>
              <w:rPr>
                <w:sz w:val="24"/>
                <w:szCs w:val="24"/>
              </w:rPr>
              <w:t xml:space="preserve"> the reports and submissions from that inquiry (including submissions on the exposure draft). </w:t>
            </w:r>
          </w:p>
          <w:p w:rsidR="006B2997" w:rsidRDefault="006B2997" w:rsidP="009A0126">
            <w:pPr>
              <w:pStyle w:val="ListParagraph"/>
              <w:numPr>
                <w:ilvl w:val="0"/>
                <w:numId w:val="51"/>
              </w:numPr>
              <w:spacing w:line="360" w:lineRule="auto"/>
              <w:jc w:val="both"/>
              <w:rPr>
                <w:sz w:val="24"/>
                <w:szCs w:val="24"/>
              </w:rPr>
            </w:pPr>
            <w:r w:rsidRPr="006B2997">
              <w:rPr>
                <w:sz w:val="24"/>
                <w:szCs w:val="24"/>
              </w:rPr>
              <w:lastRenderedPageBreak/>
              <w:t xml:space="preserve">In any event, because any changes will have to be prospective, reforms will add (even meritorious ones) </w:t>
            </w:r>
            <w:r>
              <w:rPr>
                <w:sz w:val="24"/>
                <w:szCs w:val="24"/>
              </w:rPr>
              <w:t xml:space="preserve">another layer of complexity to an already </w:t>
            </w:r>
            <w:r w:rsidR="00D35EC4">
              <w:rPr>
                <w:noProof/>
                <w:sz w:val="24"/>
                <w:szCs w:val="24"/>
              </w:rPr>
              <w:t>tricky</w:t>
            </w:r>
            <w:r>
              <w:rPr>
                <w:sz w:val="24"/>
                <w:szCs w:val="24"/>
              </w:rPr>
              <w:t xml:space="preserve"> statutory scheme. </w:t>
            </w:r>
          </w:p>
          <w:p w:rsidR="006B2997" w:rsidRPr="006B2997" w:rsidRDefault="006B2997" w:rsidP="009A0126">
            <w:pPr>
              <w:pStyle w:val="ListParagraph"/>
              <w:numPr>
                <w:ilvl w:val="0"/>
                <w:numId w:val="51"/>
              </w:numPr>
              <w:spacing w:line="360" w:lineRule="auto"/>
              <w:jc w:val="both"/>
              <w:rPr>
                <w:sz w:val="24"/>
                <w:szCs w:val="24"/>
              </w:rPr>
            </w:pPr>
            <w:r>
              <w:rPr>
                <w:sz w:val="24"/>
                <w:szCs w:val="24"/>
              </w:rPr>
              <w:t xml:space="preserve">Despite the problems with the </w:t>
            </w:r>
            <w:r w:rsidR="00E25128">
              <w:rPr>
                <w:sz w:val="24"/>
                <w:szCs w:val="24"/>
              </w:rPr>
              <w:t xml:space="preserve">legislation, </w:t>
            </w:r>
            <w:r w:rsidR="007F13B4">
              <w:rPr>
                <w:sz w:val="24"/>
                <w:szCs w:val="24"/>
              </w:rPr>
              <w:t xml:space="preserve">there should be </w:t>
            </w:r>
            <w:r w:rsidR="00E25128">
              <w:rPr>
                <w:sz w:val="24"/>
                <w:szCs w:val="24"/>
              </w:rPr>
              <w:t>no further changes</w:t>
            </w:r>
            <w:r w:rsidR="007F13B4">
              <w:rPr>
                <w:sz w:val="24"/>
                <w:szCs w:val="24"/>
              </w:rPr>
              <w:t>.</w:t>
            </w:r>
            <w:r w:rsidR="00E25128">
              <w:rPr>
                <w:sz w:val="24"/>
                <w:szCs w:val="24"/>
              </w:rPr>
              <w:t xml:space="preserve"> </w:t>
            </w:r>
          </w:p>
        </w:tc>
      </w:tr>
      <w:tr w:rsidR="00E6429C" w:rsidTr="00787AF0">
        <w:tc>
          <w:tcPr>
            <w:tcW w:w="1701" w:type="dxa"/>
          </w:tcPr>
          <w:p w:rsidR="00E6429C" w:rsidRPr="00E6429C" w:rsidRDefault="00E6429C" w:rsidP="00462142">
            <w:pPr>
              <w:spacing w:line="360" w:lineRule="auto"/>
              <w:rPr>
                <w:b/>
                <w:bCs/>
                <w:sz w:val="24"/>
                <w:szCs w:val="24"/>
              </w:rPr>
            </w:pPr>
          </w:p>
        </w:tc>
        <w:tc>
          <w:tcPr>
            <w:tcW w:w="7315" w:type="dxa"/>
          </w:tcPr>
          <w:p w:rsidR="00CF3B39" w:rsidRPr="00CF3B39" w:rsidRDefault="00CF3B39" w:rsidP="00CF3B39">
            <w:pPr>
              <w:spacing w:line="360" w:lineRule="auto"/>
              <w:rPr>
                <w:i/>
                <w:sz w:val="24"/>
                <w:szCs w:val="24"/>
              </w:rPr>
            </w:pPr>
          </w:p>
          <w:p w:rsidR="00CF3B39" w:rsidRPr="00CF3B39" w:rsidRDefault="00CF3B39" w:rsidP="00CF3B39">
            <w:pPr>
              <w:spacing w:line="360" w:lineRule="auto"/>
              <w:rPr>
                <w:b/>
                <w:i/>
                <w:sz w:val="24"/>
                <w:szCs w:val="24"/>
              </w:rPr>
            </w:pPr>
            <w:r w:rsidRPr="00CF3B39">
              <w:rPr>
                <w:b/>
                <w:i/>
                <w:sz w:val="24"/>
                <w:szCs w:val="24"/>
              </w:rPr>
              <w:t>Recommendation 15</w:t>
            </w:r>
          </w:p>
          <w:p w:rsidR="00CF3B39" w:rsidRPr="00CF3B39" w:rsidRDefault="00CF3B39" w:rsidP="006B2997">
            <w:pPr>
              <w:spacing w:line="360" w:lineRule="auto"/>
              <w:jc w:val="both"/>
              <w:rPr>
                <w:i/>
                <w:sz w:val="24"/>
                <w:szCs w:val="24"/>
              </w:rPr>
            </w:pPr>
            <w:r w:rsidRPr="00CF3B39">
              <w:rPr>
                <w:i/>
                <w:sz w:val="24"/>
                <w:szCs w:val="24"/>
              </w:rPr>
              <w:t xml:space="preserve">That the Commission </w:t>
            </w:r>
            <w:r w:rsidRPr="00D35EC4">
              <w:rPr>
                <w:i/>
                <w:noProof/>
                <w:sz w:val="24"/>
                <w:szCs w:val="24"/>
              </w:rPr>
              <w:t>consider</w:t>
            </w:r>
            <w:r w:rsidR="00D35EC4">
              <w:rPr>
                <w:i/>
                <w:noProof/>
                <w:sz w:val="24"/>
                <w:szCs w:val="24"/>
              </w:rPr>
              <w:t>s</w:t>
            </w:r>
            <w:r w:rsidRPr="00CF3B39">
              <w:rPr>
                <w:i/>
                <w:sz w:val="24"/>
                <w:szCs w:val="24"/>
              </w:rPr>
              <w:t xml:space="preserve"> the Commonwealth of Australia, Legal and Constitutional Affairs Legislation Committee Report, Family Law Amendment (Financial Agreements and Other Measures) Bill 2015, February 2016, and the public submissions.</w:t>
            </w:r>
          </w:p>
          <w:p w:rsidR="00CF3B39" w:rsidRPr="00CF3B39" w:rsidRDefault="00CF3B39" w:rsidP="006B2997">
            <w:pPr>
              <w:spacing w:line="360" w:lineRule="auto"/>
              <w:jc w:val="both"/>
              <w:rPr>
                <w:i/>
                <w:sz w:val="24"/>
                <w:szCs w:val="24"/>
              </w:rPr>
            </w:pPr>
          </w:p>
          <w:p w:rsidR="00CF3B39" w:rsidRPr="00CF3B39" w:rsidRDefault="00CF3B39" w:rsidP="006B2997">
            <w:pPr>
              <w:spacing w:line="360" w:lineRule="auto"/>
              <w:jc w:val="both"/>
              <w:rPr>
                <w:b/>
                <w:i/>
                <w:sz w:val="24"/>
                <w:szCs w:val="24"/>
              </w:rPr>
            </w:pPr>
            <w:r w:rsidRPr="00CF3B39">
              <w:rPr>
                <w:b/>
                <w:i/>
                <w:sz w:val="24"/>
                <w:szCs w:val="24"/>
              </w:rPr>
              <w:t>Recommendation 16</w:t>
            </w:r>
          </w:p>
          <w:p w:rsidR="00CF3B39" w:rsidRPr="00CF3B39" w:rsidRDefault="00CF3B39" w:rsidP="006B2997">
            <w:pPr>
              <w:spacing w:line="360" w:lineRule="auto"/>
              <w:jc w:val="both"/>
              <w:rPr>
                <w:i/>
                <w:sz w:val="24"/>
                <w:szCs w:val="24"/>
              </w:rPr>
            </w:pPr>
            <w:r w:rsidRPr="00CF3B39">
              <w:rPr>
                <w:i/>
                <w:sz w:val="24"/>
                <w:szCs w:val="24"/>
              </w:rPr>
              <w:t xml:space="preserve">That the Commission </w:t>
            </w:r>
            <w:r w:rsidRPr="00D35EC4">
              <w:rPr>
                <w:i/>
                <w:noProof/>
                <w:sz w:val="24"/>
                <w:szCs w:val="24"/>
              </w:rPr>
              <w:t>call</w:t>
            </w:r>
            <w:r w:rsidR="00D35EC4">
              <w:rPr>
                <w:i/>
                <w:noProof/>
                <w:sz w:val="24"/>
                <w:szCs w:val="24"/>
              </w:rPr>
              <w:t>s</w:t>
            </w:r>
            <w:r w:rsidRPr="00CF3B39">
              <w:rPr>
                <w:i/>
                <w:sz w:val="24"/>
                <w:szCs w:val="24"/>
              </w:rPr>
              <w:t xml:space="preserve"> upon the Department of Justice and Attorney-General to Produce:</w:t>
            </w:r>
          </w:p>
          <w:p w:rsidR="00CF3B39" w:rsidRPr="00CF3B39" w:rsidRDefault="00CF3B39" w:rsidP="006B2997">
            <w:pPr>
              <w:spacing w:line="360" w:lineRule="auto"/>
              <w:jc w:val="both"/>
              <w:rPr>
                <w:i/>
                <w:sz w:val="24"/>
                <w:szCs w:val="24"/>
              </w:rPr>
            </w:pPr>
            <w:r w:rsidRPr="00CF3B39">
              <w:rPr>
                <w:i/>
                <w:sz w:val="24"/>
                <w:szCs w:val="24"/>
              </w:rPr>
              <w:t>•</w:t>
            </w:r>
            <w:r w:rsidRPr="00CF3B39">
              <w:rPr>
                <w:i/>
                <w:sz w:val="24"/>
                <w:szCs w:val="24"/>
              </w:rPr>
              <w:tab/>
              <w:t xml:space="preserve">Binding Financial Agreements Amendments – Civil Law and Justice Legislation Amendment Bill 2015 (Cth) (“The Consultation Draft”), and </w:t>
            </w:r>
          </w:p>
          <w:p w:rsidR="00CF3B39" w:rsidRPr="00CF3B39" w:rsidRDefault="00CF3B39" w:rsidP="006B2997">
            <w:pPr>
              <w:spacing w:line="360" w:lineRule="auto"/>
              <w:jc w:val="both"/>
              <w:rPr>
                <w:i/>
                <w:sz w:val="24"/>
                <w:szCs w:val="24"/>
              </w:rPr>
            </w:pPr>
            <w:r w:rsidRPr="00CF3B39">
              <w:rPr>
                <w:i/>
                <w:sz w:val="24"/>
                <w:szCs w:val="24"/>
              </w:rPr>
              <w:t>•</w:t>
            </w:r>
            <w:r w:rsidRPr="00CF3B39">
              <w:rPr>
                <w:i/>
                <w:sz w:val="24"/>
                <w:szCs w:val="24"/>
              </w:rPr>
              <w:tab/>
              <w:t xml:space="preserve">The public submissions made in response to the exposure draft. </w:t>
            </w:r>
          </w:p>
          <w:p w:rsidR="00E25128" w:rsidRDefault="00E25128" w:rsidP="006B2997">
            <w:pPr>
              <w:spacing w:line="360" w:lineRule="auto"/>
              <w:jc w:val="both"/>
              <w:rPr>
                <w:b/>
                <w:i/>
                <w:sz w:val="24"/>
                <w:szCs w:val="24"/>
              </w:rPr>
            </w:pPr>
          </w:p>
          <w:p w:rsidR="00E6429C" w:rsidRPr="00E25128" w:rsidRDefault="002F7ADC" w:rsidP="00462142">
            <w:pPr>
              <w:spacing w:line="360" w:lineRule="auto"/>
              <w:jc w:val="both"/>
              <w:rPr>
                <w:i/>
                <w:sz w:val="24"/>
                <w:szCs w:val="24"/>
              </w:rPr>
            </w:pPr>
            <w:r w:rsidRPr="00CF3B39">
              <w:rPr>
                <w:b/>
                <w:i/>
                <w:sz w:val="24"/>
                <w:szCs w:val="24"/>
              </w:rPr>
              <w:t xml:space="preserve">Recommendation </w:t>
            </w:r>
            <w:r w:rsidR="00886CBB" w:rsidRPr="00CF3B39">
              <w:rPr>
                <w:b/>
                <w:i/>
                <w:sz w:val="24"/>
                <w:szCs w:val="24"/>
              </w:rPr>
              <w:t>1</w:t>
            </w:r>
            <w:r w:rsidR="00CF3B39" w:rsidRPr="00CF3B39">
              <w:rPr>
                <w:b/>
                <w:i/>
                <w:sz w:val="24"/>
                <w:szCs w:val="24"/>
              </w:rPr>
              <w:t>7</w:t>
            </w:r>
            <w:r w:rsidRPr="00CF3B39">
              <w:rPr>
                <w:i/>
                <w:sz w:val="24"/>
                <w:szCs w:val="24"/>
              </w:rPr>
              <w:t>: That there be no change to the exist</w:t>
            </w:r>
            <w:r w:rsidR="00886CBB" w:rsidRPr="00CF3B39">
              <w:rPr>
                <w:i/>
                <w:sz w:val="24"/>
                <w:szCs w:val="24"/>
              </w:rPr>
              <w:t>ing</w:t>
            </w:r>
            <w:r w:rsidRPr="00CF3B39">
              <w:rPr>
                <w:i/>
                <w:sz w:val="24"/>
                <w:szCs w:val="24"/>
              </w:rPr>
              <w:t xml:space="preserve"> financial agreements regime</w:t>
            </w:r>
            <w:r w:rsidR="00886CBB" w:rsidRPr="00CF3B39">
              <w:rPr>
                <w:i/>
                <w:sz w:val="24"/>
                <w:szCs w:val="24"/>
              </w:rPr>
              <w:t>.</w:t>
            </w:r>
            <w:r w:rsidRPr="00CF3B39">
              <w:rPr>
                <w:i/>
                <w:sz w:val="24"/>
                <w:szCs w:val="24"/>
              </w:rPr>
              <w:t xml:space="preserve"> </w:t>
            </w:r>
            <w:r w:rsidR="002754E9">
              <w:rPr>
                <w:i/>
                <w:sz w:val="24"/>
                <w:szCs w:val="24"/>
              </w:rPr>
              <w:t xml:space="preserve"> </w:t>
            </w:r>
          </w:p>
        </w:tc>
      </w:tr>
    </w:tbl>
    <w:p w:rsidR="005B2DEF" w:rsidRDefault="005B2DEF" w:rsidP="00462142">
      <w:pPr>
        <w:spacing w:after="0" w:line="360" w:lineRule="auto"/>
      </w:pPr>
    </w:p>
    <w:p w:rsidR="005B2DEF" w:rsidRDefault="005B2DEF" w:rsidP="00462142">
      <w:pPr>
        <w:spacing w:after="0" w:line="360" w:lineRule="auto"/>
      </w:pPr>
      <w:r>
        <w:br w:type="page"/>
      </w:r>
    </w:p>
    <w:p w:rsidR="005B2DEF" w:rsidRPr="007D6421" w:rsidRDefault="005B2DEF" w:rsidP="00462142">
      <w:pPr>
        <w:pStyle w:val="Heading1"/>
        <w:pBdr>
          <w:bottom w:val="single" w:sz="4" w:space="1" w:color="auto"/>
        </w:pBdr>
        <w:spacing w:before="0" w:line="360" w:lineRule="auto"/>
        <w:rPr>
          <w:b/>
          <w:color w:val="auto"/>
        </w:rPr>
      </w:pPr>
      <w:bookmarkStart w:id="8" w:name="_Toc512895928"/>
      <w:r>
        <w:rPr>
          <w:b/>
          <w:color w:val="auto"/>
        </w:rPr>
        <w:lastRenderedPageBreak/>
        <w:t>List of Abbreviations</w:t>
      </w:r>
      <w:bookmarkEnd w:id="8"/>
    </w:p>
    <w:p w:rsidR="005B2DEF" w:rsidRDefault="005B2DEF" w:rsidP="00462142">
      <w:pPr>
        <w:spacing w:after="0" w:line="360" w:lineRule="auto"/>
        <w:rPr>
          <w:b/>
          <w:bCs/>
          <w:sz w:val="24"/>
          <w:szCs w:val="24"/>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37"/>
        <w:gridCol w:w="2835"/>
      </w:tblGrid>
      <w:tr w:rsidR="005B2DEF" w:rsidRPr="005B2DEF" w:rsidTr="005B2DEF">
        <w:trPr>
          <w:trHeight w:val="428"/>
        </w:trPr>
        <w:tc>
          <w:tcPr>
            <w:tcW w:w="6237" w:type="dxa"/>
          </w:tcPr>
          <w:p w:rsidR="005B2DEF" w:rsidRPr="005B2DEF" w:rsidRDefault="005B2DEF" w:rsidP="00462142">
            <w:pPr>
              <w:spacing w:line="360" w:lineRule="auto"/>
              <w:rPr>
                <w:b/>
                <w:bCs/>
                <w:sz w:val="24"/>
                <w:szCs w:val="24"/>
              </w:rPr>
            </w:pPr>
            <w:r w:rsidRPr="005B2DEF">
              <w:rPr>
                <w:b/>
                <w:bCs/>
                <w:sz w:val="24"/>
                <w:szCs w:val="24"/>
              </w:rPr>
              <w:t>Full Description</w:t>
            </w:r>
          </w:p>
        </w:tc>
        <w:tc>
          <w:tcPr>
            <w:tcW w:w="2835" w:type="dxa"/>
          </w:tcPr>
          <w:p w:rsidR="005B2DEF" w:rsidRPr="005B2DEF" w:rsidRDefault="005B2DEF" w:rsidP="00462142">
            <w:pPr>
              <w:spacing w:line="360" w:lineRule="auto"/>
              <w:rPr>
                <w:b/>
                <w:bCs/>
                <w:sz w:val="24"/>
                <w:szCs w:val="24"/>
              </w:rPr>
            </w:pPr>
            <w:r w:rsidRPr="005B2DEF">
              <w:rPr>
                <w:b/>
                <w:bCs/>
                <w:sz w:val="24"/>
                <w:szCs w:val="24"/>
              </w:rPr>
              <w:t>Abbreviation</w:t>
            </w:r>
          </w:p>
        </w:tc>
      </w:tr>
      <w:tr w:rsidR="005B2DEF" w:rsidRPr="005B2DEF" w:rsidTr="005B2DEF">
        <w:trPr>
          <w:trHeight w:val="431"/>
        </w:trPr>
        <w:tc>
          <w:tcPr>
            <w:tcW w:w="6237" w:type="dxa"/>
          </w:tcPr>
          <w:p w:rsidR="005B2DEF" w:rsidRPr="005B2DEF" w:rsidRDefault="005B2DEF" w:rsidP="00462142">
            <w:pPr>
              <w:spacing w:line="360" w:lineRule="auto"/>
              <w:rPr>
                <w:bCs/>
                <w:sz w:val="24"/>
                <w:szCs w:val="24"/>
              </w:rPr>
            </w:pPr>
            <w:r>
              <w:rPr>
                <w:bCs/>
                <w:sz w:val="24"/>
                <w:szCs w:val="24"/>
              </w:rPr>
              <w:t>Australian Law Reform Commission</w:t>
            </w:r>
          </w:p>
        </w:tc>
        <w:tc>
          <w:tcPr>
            <w:tcW w:w="2835" w:type="dxa"/>
          </w:tcPr>
          <w:p w:rsidR="005B2DEF" w:rsidRPr="005B2DEF" w:rsidRDefault="005B2DEF" w:rsidP="00462142">
            <w:pPr>
              <w:spacing w:line="360" w:lineRule="auto"/>
              <w:rPr>
                <w:bCs/>
                <w:sz w:val="24"/>
                <w:szCs w:val="24"/>
              </w:rPr>
            </w:pPr>
            <w:r>
              <w:rPr>
                <w:bCs/>
                <w:sz w:val="24"/>
                <w:szCs w:val="24"/>
              </w:rPr>
              <w:t>The Commission</w:t>
            </w:r>
          </w:p>
        </w:tc>
      </w:tr>
      <w:tr w:rsidR="005B2DEF" w:rsidRPr="005B2DEF" w:rsidTr="005B2DEF">
        <w:trPr>
          <w:trHeight w:val="841"/>
        </w:trPr>
        <w:tc>
          <w:tcPr>
            <w:tcW w:w="6237" w:type="dxa"/>
          </w:tcPr>
          <w:p w:rsidR="005B2DEF" w:rsidRPr="005B2DEF" w:rsidRDefault="005B2DEF" w:rsidP="00462142">
            <w:pPr>
              <w:spacing w:line="360" w:lineRule="auto"/>
              <w:rPr>
                <w:bCs/>
                <w:sz w:val="24"/>
                <w:szCs w:val="24"/>
              </w:rPr>
            </w:pPr>
            <w:r w:rsidRPr="005B2DEF">
              <w:rPr>
                <w:bCs/>
                <w:sz w:val="24"/>
                <w:szCs w:val="24"/>
              </w:rPr>
              <w:t xml:space="preserve">Australian Bureau of Statistics </w:t>
            </w:r>
          </w:p>
          <w:p w:rsidR="005B2DEF" w:rsidRPr="005B2DEF" w:rsidRDefault="005B2DEF" w:rsidP="00462142">
            <w:pPr>
              <w:spacing w:line="360" w:lineRule="auto"/>
              <w:rPr>
                <w:bCs/>
                <w:sz w:val="24"/>
                <w:szCs w:val="24"/>
              </w:rPr>
            </w:pPr>
            <w:r w:rsidRPr="005B2DEF">
              <w:rPr>
                <w:bCs/>
                <w:sz w:val="24"/>
                <w:szCs w:val="24"/>
              </w:rPr>
              <w:t>Australian Institute of Family Studies</w:t>
            </w:r>
          </w:p>
        </w:tc>
        <w:tc>
          <w:tcPr>
            <w:tcW w:w="2835" w:type="dxa"/>
          </w:tcPr>
          <w:p w:rsidR="005B2DEF" w:rsidRPr="005B2DEF" w:rsidRDefault="005B2DEF" w:rsidP="00462142">
            <w:pPr>
              <w:spacing w:line="360" w:lineRule="auto"/>
              <w:rPr>
                <w:bCs/>
                <w:sz w:val="24"/>
                <w:szCs w:val="24"/>
              </w:rPr>
            </w:pPr>
            <w:r w:rsidRPr="005B2DEF">
              <w:rPr>
                <w:bCs/>
                <w:sz w:val="24"/>
                <w:szCs w:val="24"/>
              </w:rPr>
              <w:t>ABS</w:t>
            </w:r>
          </w:p>
          <w:p w:rsidR="005B2DEF" w:rsidRPr="005B2DEF" w:rsidRDefault="005B2DEF" w:rsidP="00462142">
            <w:pPr>
              <w:spacing w:line="360" w:lineRule="auto"/>
              <w:rPr>
                <w:bCs/>
                <w:sz w:val="24"/>
                <w:szCs w:val="24"/>
              </w:rPr>
            </w:pPr>
            <w:r w:rsidRPr="005B2DEF">
              <w:rPr>
                <w:bCs/>
                <w:sz w:val="24"/>
                <w:szCs w:val="24"/>
              </w:rPr>
              <w:t>AIFS</w:t>
            </w:r>
          </w:p>
        </w:tc>
      </w:tr>
      <w:tr w:rsidR="005B2DEF" w:rsidRPr="005B2DEF" w:rsidTr="005B2DEF">
        <w:trPr>
          <w:trHeight w:val="428"/>
        </w:trPr>
        <w:tc>
          <w:tcPr>
            <w:tcW w:w="6237" w:type="dxa"/>
          </w:tcPr>
          <w:p w:rsidR="005B2DEF" w:rsidRPr="005B2DEF" w:rsidRDefault="005B2DEF" w:rsidP="00462142">
            <w:pPr>
              <w:spacing w:line="360" w:lineRule="auto"/>
              <w:rPr>
                <w:bCs/>
                <w:sz w:val="24"/>
                <w:szCs w:val="24"/>
              </w:rPr>
            </w:pPr>
            <w:r w:rsidRPr="005B2DEF">
              <w:rPr>
                <w:bCs/>
                <w:i/>
                <w:sz w:val="24"/>
                <w:szCs w:val="24"/>
              </w:rPr>
              <w:t>Family Law Act 1975</w:t>
            </w:r>
            <w:r w:rsidRPr="005B2DEF">
              <w:rPr>
                <w:bCs/>
                <w:sz w:val="24"/>
                <w:szCs w:val="24"/>
              </w:rPr>
              <w:t xml:space="preserve"> (Cth) (as amended) </w:t>
            </w:r>
          </w:p>
        </w:tc>
        <w:tc>
          <w:tcPr>
            <w:tcW w:w="2835" w:type="dxa"/>
          </w:tcPr>
          <w:p w:rsidR="005B2DEF" w:rsidRPr="005B2DEF" w:rsidRDefault="005B2DEF" w:rsidP="00462142">
            <w:pPr>
              <w:spacing w:line="360" w:lineRule="auto"/>
              <w:rPr>
                <w:bCs/>
                <w:sz w:val="24"/>
                <w:szCs w:val="24"/>
              </w:rPr>
            </w:pPr>
            <w:r w:rsidRPr="005B2DEF">
              <w:rPr>
                <w:bCs/>
                <w:sz w:val="24"/>
                <w:szCs w:val="24"/>
              </w:rPr>
              <w:t xml:space="preserve">The </w:t>
            </w:r>
            <w:r w:rsidRPr="005B2DEF">
              <w:rPr>
                <w:bCs/>
                <w:i/>
                <w:sz w:val="24"/>
                <w:szCs w:val="24"/>
              </w:rPr>
              <w:t>Act</w:t>
            </w:r>
          </w:p>
        </w:tc>
      </w:tr>
      <w:tr w:rsidR="005B2DEF" w:rsidRPr="005B2DEF" w:rsidTr="005B2DEF">
        <w:trPr>
          <w:trHeight w:val="1701"/>
        </w:trPr>
        <w:tc>
          <w:tcPr>
            <w:tcW w:w="6237" w:type="dxa"/>
          </w:tcPr>
          <w:p w:rsidR="005B2DEF" w:rsidRPr="005B2DEF" w:rsidRDefault="005B2DEF" w:rsidP="00462142">
            <w:pPr>
              <w:spacing w:line="360" w:lineRule="auto"/>
              <w:rPr>
                <w:bCs/>
                <w:sz w:val="24"/>
                <w:szCs w:val="24"/>
              </w:rPr>
            </w:pPr>
            <w:r w:rsidRPr="005B2DEF">
              <w:rPr>
                <w:bCs/>
                <w:sz w:val="24"/>
                <w:szCs w:val="24"/>
              </w:rPr>
              <w:t>Family Court of Australia</w:t>
            </w:r>
          </w:p>
          <w:p w:rsidR="005B2DEF" w:rsidRPr="005B2DEF" w:rsidRDefault="005B2DEF" w:rsidP="00462142">
            <w:pPr>
              <w:spacing w:line="360" w:lineRule="auto"/>
              <w:rPr>
                <w:bCs/>
                <w:sz w:val="24"/>
                <w:szCs w:val="24"/>
              </w:rPr>
            </w:pPr>
            <w:r w:rsidRPr="005B2DEF">
              <w:rPr>
                <w:bCs/>
                <w:sz w:val="24"/>
                <w:szCs w:val="24"/>
              </w:rPr>
              <w:t>Federal Circuit Court of Australia</w:t>
            </w:r>
          </w:p>
          <w:p w:rsidR="005B2DEF" w:rsidRPr="005B2DEF" w:rsidRDefault="005B2DEF" w:rsidP="00462142">
            <w:pPr>
              <w:spacing w:line="360" w:lineRule="auto"/>
              <w:rPr>
                <w:bCs/>
                <w:sz w:val="24"/>
                <w:szCs w:val="24"/>
              </w:rPr>
            </w:pPr>
            <w:r w:rsidRPr="005B2DEF">
              <w:rPr>
                <w:bCs/>
                <w:sz w:val="24"/>
                <w:szCs w:val="24"/>
              </w:rPr>
              <w:t xml:space="preserve">Federal Magistrates Court of Australia </w:t>
            </w:r>
          </w:p>
          <w:p w:rsidR="005B2DEF" w:rsidRPr="005B2DEF" w:rsidRDefault="005B2DEF" w:rsidP="00462142">
            <w:pPr>
              <w:spacing w:line="360" w:lineRule="auto"/>
              <w:rPr>
                <w:bCs/>
                <w:sz w:val="24"/>
                <w:szCs w:val="24"/>
              </w:rPr>
            </w:pPr>
            <w:r w:rsidRPr="005B2DEF">
              <w:rPr>
                <w:bCs/>
                <w:sz w:val="24"/>
                <w:szCs w:val="24"/>
              </w:rPr>
              <w:t>Full Court of the Family Court of Australia</w:t>
            </w:r>
          </w:p>
        </w:tc>
        <w:tc>
          <w:tcPr>
            <w:tcW w:w="2835" w:type="dxa"/>
          </w:tcPr>
          <w:p w:rsidR="005B2DEF" w:rsidRPr="005B2DEF" w:rsidRDefault="005B2DEF" w:rsidP="00462142">
            <w:pPr>
              <w:spacing w:line="360" w:lineRule="auto"/>
              <w:rPr>
                <w:bCs/>
                <w:sz w:val="24"/>
                <w:szCs w:val="24"/>
              </w:rPr>
            </w:pPr>
            <w:r w:rsidRPr="005B2DEF">
              <w:rPr>
                <w:bCs/>
                <w:sz w:val="24"/>
                <w:szCs w:val="24"/>
              </w:rPr>
              <w:t>Family Court</w:t>
            </w:r>
          </w:p>
          <w:p w:rsidR="005B2DEF" w:rsidRPr="005B2DEF" w:rsidRDefault="005B2DEF" w:rsidP="00462142">
            <w:pPr>
              <w:spacing w:line="360" w:lineRule="auto"/>
              <w:rPr>
                <w:bCs/>
                <w:sz w:val="24"/>
                <w:szCs w:val="24"/>
              </w:rPr>
            </w:pPr>
            <w:r w:rsidRPr="005B2DEF">
              <w:rPr>
                <w:bCs/>
                <w:sz w:val="24"/>
                <w:szCs w:val="24"/>
              </w:rPr>
              <w:t>Federal Circuit Court</w:t>
            </w:r>
          </w:p>
          <w:p w:rsidR="005B2DEF" w:rsidRPr="005B2DEF" w:rsidRDefault="005B2DEF" w:rsidP="00462142">
            <w:pPr>
              <w:spacing w:line="360" w:lineRule="auto"/>
              <w:rPr>
                <w:bCs/>
                <w:sz w:val="24"/>
                <w:szCs w:val="24"/>
              </w:rPr>
            </w:pPr>
            <w:r w:rsidRPr="005B2DEF">
              <w:rPr>
                <w:bCs/>
                <w:sz w:val="24"/>
                <w:szCs w:val="24"/>
              </w:rPr>
              <w:t>Federal Magistrates Court</w:t>
            </w:r>
          </w:p>
          <w:p w:rsidR="005B2DEF" w:rsidRPr="005B2DEF" w:rsidRDefault="005B2DEF" w:rsidP="00462142">
            <w:pPr>
              <w:spacing w:line="360" w:lineRule="auto"/>
              <w:rPr>
                <w:bCs/>
                <w:sz w:val="24"/>
                <w:szCs w:val="24"/>
              </w:rPr>
            </w:pPr>
            <w:r w:rsidRPr="005B2DEF">
              <w:rPr>
                <w:bCs/>
                <w:sz w:val="24"/>
                <w:szCs w:val="24"/>
              </w:rPr>
              <w:t>Full Court</w:t>
            </w:r>
          </w:p>
        </w:tc>
      </w:tr>
      <w:tr w:rsidR="005B2DEF" w:rsidRPr="005B2DEF" w:rsidTr="005B2DEF">
        <w:trPr>
          <w:trHeight w:val="469"/>
        </w:trPr>
        <w:tc>
          <w:tcPr>
            <w:tcW w:w="6237" w:type="dxa"/>
          </w:tcPr>
          <w:p w:rsidR="005B2DEF" w:rsidRPr="005B2DEF" w:rsidRDefault="005B2DEF" w:rsidP="00462142">
            <w:pPr>
              <w:spacing w:line="360" w:lineRule="auto"/>
              <w:rPr>
                <w:bCs/>
                <w:sz w:val="24"/>
                <w:szCs w:val="24"/>
              </w:rPr>
            </w:pPr>
            <w:r w:rsidRPr="005B2DEF">
              <w:rPr>
                <w:bCs/>
                <w:sz w:val="24"/>
                <w:szCs w:val="24"/>
              </w:rPr>
              <w:t>Household Income and Labour Dynamics in Australia Survey</w:t>
            </w:r>
          </w:p>
        </w:tc>
        <w:tc>
          <w:tcPr>
            <w:tcW w:w="2835" w:type="dxa"/>
          </w:tcPr>
          <w:p w:rsidR="005B2DEF" w:rsidRPr="005B2DEF" w:rsidRDefault="005B2DEF" w:rsidP="00462142">
            <w:pPr>
              <w:spacing w:line="360" w:lineRule="auto"/>
              <w:rPr>
                <w:bCs/>
                <w:sz w:val="24"/>
                <w:szCs w:val="24"/>
              </w:rPr>
            </w:pPr>
            <w:r w:rsidRPr="005B2DEF">
              <w:rPr>
                <w:bCs/>
                <w:sz w:val="24"/>
                <w:szCs w:val="24"/>
              </w:rPr>
              <w:t>HILDA</w:t>
            </w:r>
          </w:p>
        </w:tc>
      </w:tr>
      <w:tr w:rsidR="005B2DEF" w:rsidRPr="005B2DEF" w:rsidTr="005B2DEF">
        <w:trPr>
          <w:trHeight w:val="428"/>
        </w:trPr>
        <w:tc>
          <w:tcPr>
            <w:tcW w:w="6237" w:type="dxa"/>
          </w:tcPr>
          <w:p w:rsidR="005B2DEF" w:rsidRPr="005B2DEF" w:rsidRDefault="005B2DEF" w:rsidP="00462142">
            <w:pPr>
              <w:spacing w:line="360" w:lineRule="auto"/>
              <w:rPr>
                <w:bCs/>
                <w:sz w:val="24"/>
                <w:szCs w:val="24"/>
              </w:rPr>
            </w:pPr>
            <w:r w:rsidRPr="005B2DEF">
              <w:rPr>
                <w:bCs/>
                <w:sz w:val="24"/>
                <w:szCs w:val="24"/>
              </w:rPr>
              <w:t xml:space="preserve">High Court of Australia </w:t>
            </w:r>
          </w:p>
        </w:tc>
        <w:tc>
          <w:tcPr>
            <w:tcW w:w="2835" w:type="dxa"/>
          </w:tcPr>
          <w:p w:rsidR="005B2DEF" w:rsidRPr="005B2DEF" w:rsidRDefault="005B2DEF" w:rsidP="00462142">
            <w:pPr>
              <w:spacing w:line="360" w:lineRule="auto"/>
              <w:rPr>
                <w:bCs/>
                <w:sz w:val="24"/>
                <w:szCs w:val="24"/>
              </w:rPr>
            </w:pPr>
            <w:r w:rsidRPr="005B2DEF">
              <w:rPr>
                <w:bCs/>
                <w:sz w:val="24"/>
                <w:szCs w:val="24"/>
              </w:rPr>
              <w:t xml:space="preserve">High Court </w:t>
            </w:r>
          </w:p>
        </w:tc>
      </w:tr>
      <w:tr w:rsidR="00DB0CF8" w:rsidRPr="005B2DEF" w:rsidTr="005B2DEF">
        <w:trPr>
          <w:trHeight w:val="449"/>
        </w:trPr>
        <w:tc>
          <w:tcPr>
            <w:tcW w:w="6237" w:type="dxa"/>
          </w:tcPr>
          <w:p w:rsidR="00D80913" w:rsidRPr="00DB0CF8" w:rsidRDefault="00D80913" w:rsidP="00462142">
            <w:pPr>
              <w:spacing w:line="360" w:lineRule="auto"/>
              <w:rPr>
                <w:bCs/>
                <w:sz w:val="24"/>
                <w:szCs w:val="24"/>
              </w:rPr>
            </w:pPr>
            <w:r>
              <w:rPr>
                <w:bCs/>
                <w:sz w:val="24"/>
                <w:szCs w:val="24"/>
              </w:rPr>
              <w:t xml:space="preserve">Issues Paper ‘Review of the Family Law System’ Australian Law Reform Commission Issues Paper 48, March 2018. </w:t>
            </w:r>
          </w:p>
        </w:tc>
        <w:tc>
          <w:tcPr>
            <w:tcW w:w="2835" w:type="dxa"/>
          </w:tcPr>
          <w:p w:rsidR="00DB0CF8" w:rsidRPr="00D80913" w:rsidRDefault="00D80913" w:rsidP="00462142">
            <w:pPr>
              <w:spacing w:line="360" w:lineRule="auto"/>
              <w:rPr>
                <w:bCs/>
                <w:sz w:val="24"/>
                <w:szCs w:val="24"/>
              </w:rPr>
            </w:pPr>
            <w:r>
              <w:rPr>
                <w:bCs/>
                <w:sz w:val="24"/>
                <w:szCs w:val="24"/>
              </w:rPr>
              <w:t>Issues Paper</w:t>
            </w:r>
          </w:p>
        </w:tc>
      </w:tr>
      <w:tr w:rsidR="005B2DEF" w:rsidRPr="005B2DEF" w:rsidTr="005B2DEF">
        <w:trPr>
          <w:trHeight w:val="449"/>
        </w:trPr>
        <w:tc>
          <w:tcPr>
            <w:tcW w:w="6237" w:type="dxa"/>
          </w:tcPr>
          <w:p w:rsidR="005B2DEF" w:rsidRPr="005B2DEF" w:rsidRDefault="005B2DEF" w:rsidP="00462142">
            <w:pPr>
              <w:spacing w:line="360" w:lineRule="auto"/>
              <w:rPr>
                <w:bCs/>
                <w:sz w:val="24"/>
                <w:szCs w:val="24"/>
              </w:rPr>
            </w:pPr>
            <w:r w:rsidRPr="005B2DEF">
              <w:rPr>
                <w:bCs/>
                <w:i/>
                <w:sz w:val="24"/>
                <w:szCs w:val="24"/>
              </w:rPr>
              <w:t>Matrimonial Causes Act 1959</w:t>
            </w:r>
            <w:r w:rsidRPr="005B2DEF">
              <w:rPr>
                <w:bCs/>
                <w:sz w:val="24"/>
                <w:szCs w:val="24"/>
              </w:rPr>
              <w:t xml:space="preserve"> (Cth)</w:t>
            </w:r>
          </w:p>
        </w:tc>
        <w:tc>
          <w:tcPr>
            <w:tcW w:w="2835" w:type="dxa"/>
          </w:tcPr>
          <w:p w:rsidR="005B2DEF" w:rsidRPr="005B2DEF" w:rsidRDefault="005B2DEF" w:rsidP="00462142">
            <w:pPr>
              <w:spacing w:line="360" w:lineRule="auto"/>
              <w:rPr>
                <w:bCs/>
                <w:sz w:val="24"/>
                <w:szCs w:val="24"/>
              </w:rPr>
            </w:pPr>
            <w:r w:rsidRPr="005B2DEF">
              <w:rPr>
                <w:bCs/>
                <w:i/>
                <w:sz w:val="24"/>
                <w:szCs w:val="24"/>
              </w:rPr>
              <w:t>Matrimonial Causes Act</w:t>
            </w:r>
            <w:r w:rsidRPr="005B2DEF">
              <w:rPr>
                <w:bCs/>
                <w:sz w:val="24"/>
                <w:szCs w:val="24"/>
              </w:rPr>
              <w:t xml:space="preserve"> </w:t>
            </w:r>
          </w:p>
        </w:tc>
      </w:tr>
      <w:tr w:rsidR="005B2DEF" w:rsidRPr="005B2DEF" w:rsidTr="005B2DEF">
        <w:trPr>
          <w:trHeight w:val="428"/>
        </w:trPr>
        <w:tc>
          <w:tcPr>
            <w:tcW w:w="6237" w:type="dxa"/>
          </w:tcPr>
          <w:p w:rsidR="005B2DEF" w:rsidRPr="005B2DEF" w:rsidRDefault="005B2DEF" w:rsidP="00462142">
            <w:pPr>
              <w:spacing w:line="360" w:lineRule="auto"/>
              <w:rPr>
                <w:bCs/>
                <w:sz w:val="24"/>
                <w:szCs w:val="24"/>
              </w:rPr>
            </w:pPr>
            <w:r w:rsidRPr="005B2DEF">
              <w:rPr>
                <w:bCs/>
                <w:i/>
                <w:sz w:val="24"/>
                <w:szCs w:val="24"/>
              </w:rPr>
              <w:t>Matrimonial Causes Act 1973</w:t>
            </w:r>
            <w:r w:rsidRPr="005B2DEF">
              <w:rPr>
                <w:bCs/>
                <w:sz w:val="24"/>
                <w:szCs w:val="24"/>
              </w:rPr>
              <w:t xml:space="preserve"> (UK)  </w:t>
            </w:r>
          </w:p>
        </w:tc>
        <w:tc>
          <w:tcPr>
            <w:tcW w:w="2835" w:type="dxa"/>
          </w:tcPr>
          <w:p w:rsidR="005B2DEF" w:rsidRPr="005B2DEF" w:rsidRDefault="005B2DEF" w:rsidP="00462142">
            <w:pPr>
              <w:spacing w:line="360" w:lineRule="auto"/>
              <w:rPr>
                <w:bCs/>
                <w:i/>
                <w:sz w:val="24"/>
                <w:szCs w:val="24"/>
              </w:rPr>
            </w:pPr>
            <w:r w:rsidRPr="005B2DEF">
              <w:rPr>
                <w:bCs/>
                <w:i/>
                <w:sz w:val="24"/>
                <w:szCs w:val="24"/>
              </w:rPr>
              <w:t>MCA</w:t>
            </w:r>
          </w:p>
        </w:tc>
      </w:tr>
      <w:tr w:rsidR="005B2DEF" w:rsidRPr="005B2DEF" w:rsidTr="005B2DEF">
        <w:trPr>
          <w:trHeight w:val="163"/>
        </w:trPr>
        <w:tc>
          <w:tcPr>
            <w:tcW w:w="6237" w:type="dxa"/>
          </w:tcPr>
          <w:p w:rsidR="005B2DEF" w:rsidRPr="005B2DEF" w:rsidRDefault="005B2DEF" w:rsidP="00462142">
            <w:pPr>
              <w:spacing w:line="360" w:lineRule="auto"/>
              <w:rPr>
                <w:bCs/>
                <w:sz w:val="24"/>
                <w:szCs w:val="24"/>
              </w:rPr>
            </w:pPr>
            <w:r w:rsidRPr="005B2DEF">
              <w:rPr>
                <w:bCs/>
                <w:i/>
                <w:sz w:val="24"/>
                <w:szCs w:val="24"/>
              </w:rPr>
              <w:t xml:space="preserve">Property (Relationships) Act 1976 </w:t>
            </w:r>
            <w:r w:rsidRPr="005B2DEF">
              <w:rPr>
                <w:bCs/>
                <w:sz w:val="24"/>
                <w:szCs w:val="24"/>
              </w:rPr>
              <w:t>(NZ)</w:t>
            </w:r>
          </w:p>
        </w:tc>
        <w:tc>
          <w:tcPr>
            <w:tcW w:w="2835" w:type="dxa"/>
          </w:tcPr>
          <w:p w:rsidR="005B2DEF" w:rsidRPr="005B2DEF" w:rsidRDefault="005B2DEF" w:rsidP="00462142">
            <w:pPr>
              <w:spacing w:line="360" w:lineRule="auto"/>
              <w:rPr>
                <w:bCs/>
                <w:i/>
                <w:sz w:val="24"/>
                <w:szCs w:val="24"/>
              </w:rPr>
            </w:pPr>
            <w:r w:rsidRPr="005B2DEF">
              <w:rPr>
                <w:bCs/>
                <w:i/>
                <w:sz w:val="24"/>
                <w:szCs w:val="24"/>
              </w:rPr>
              <w:t>PRA</w:t>
            </w:r>
          </w:p>
        </w:tc>
      </w:tr>
    </w:tbl>
    <w:p w:rsidR="005B2DEF" w:rsidRDefault="005B2DEF" w:rsidP="00462142">
      <w:pPr>
        <w:spacing w:after="0" w:line="360" w:lineRule="auto"/>
        <w:rPr>
          <w:b/>
          <w:bCs/>
          <w:sz w:val="24"/>
          <w:szCs w:val="24"/>
        </w:rPr>
      </w:pPr>
    </w:p>
    <w:p w:rsidR="005B2DEF" w:rsidRDefault="005B2DEF" w:rsidP="00462142">
      <w:pPr>
        <w:spacing w:after="0" w:line="360" w:lineRule="auto"/>
        <w:rPr>
          <w:b/>
          <w:bCs/>
          <w:sz w:val="24"/>
          <w:szCs w:val="24"/>
        </w:rPr>
      </w:pPr>
      <w:r>
        <w:rPr>
          <w:b/>
          <w:bCs/>
          <w:sz w:val="24"/>
          <w:szCs w:val="24"/>
        </w:rPr>
        <w:br w:type="page"/>
      </w:r>
    </w:p>
    <w:sdt>
      <w:sdtPr>
        <w:rPr>
          <w:rFonts w:asciiTheme="minorHAnsi" w:eastAsiaTheme="minorHAnsi" w:hAnsiTheme="minorHAnsi" w:cstheme="minorBidi"/>
          <w:color w:val="auto"/>
          <w:sz w:val="22"/>
          <w:szCs w:val="22"/>
          <w:lang w:val="en-AU"/>
        </w:rPr>
        <w:id w:val="-845170062"/>
        <w:docPartObj>
          <w:docPartGallery w:val="Table of Contents"/>
          <w:docPartUnique/>
        </w:docPartObj>
      </w:sdtPr>
      <w:sdtEndPr>
        <w:rPr>
          <w:b/>
          <w:bCs/>
          <w:noProof/>
        </w:rPr>
      </w:sdtEndPr>
      <w:sdtContent>
        <w:p w:rsidR="007D6421" w:rsidRPr="005B2DEF" w:rsidRDefault="007D6421" w:rsidP="00462142">
          <w:pPr>
            <w:pStyle w:val="TOCHeading"/>
            <w:spacing w:before="0" w:line="360" w:lineRule="auto"/>
            <w:rPr>
              <w:b/>
              <w:color w:val="auto"/>
            </w:rPr>
          </w:pPr>
          <w:r w:rsidRPr="005B2DEF">
            <w:rPr>
              <w:b/>
              <w:color w:val="auto"/>
            </w:rPr>
            <w:t>Table of Contents</w:t>
          </w:r>
        </w:p>
        <w:p w:rsidR="00A645C3" w:rsidRPr="00A645C3" w:rsidRDefault="005411EE">
          <w:pPr>
            <w:pStyle w:val="TOC1"/>
            <w:tabs>
              <w:tab w:val="right" w:leader="dot" w:pos="9016"/>
            </w:tabs>
            <w:rPr>
              <w:rFonts w:eastAsiaTheme="minorEastAsia"/>
              <w:noProof/>
              <w:sz w:val="24"/>
              <w:szCs w:val="24"/>
              <w:lang w:eastAsia="en-AU"/>
            </w:rPr>
          </w:pPr>
          <w:r w:rsidRPr="005411EE">
            <w:rPr>
              <w:sz w:val="24"/>
              <w:szCs w:val="24"/>
            </w:rPr>
            <w:fldChar w:fldCharType="begin"/>
          </w:r>
          <w:r w:rsidR="007D6421" w:rsidRPr="00C12655">
            <w:rPr>
              <w:sz w:val="24"/>
              <w:szCs w:val="24"/>
            </w:rPr>
            <w:instrText xml:space="preserve"> TOC \o "1-3" \h \z \u </w:instrText>
          </w:r>
          <w:r w:rsidRPr="005411EE">
            <w:rPr>
              <w:sz w:val="24"/>
              <w:szCs w:val="24"/>
            </w:rPr>
            <w:fldChar w:fldCharType="separate"/>
          </w:r>
          <w:hyperlink w:anchor="_Toc512895925" w:history="1">
            <w:r w:rsidR="00A645C3" w:rsidRPr="00A645C3">
              <w:rPr>
                <w:rStyle w:val="Hyperlink"/>
                <w:b/>
                <w:noProof/>
                <w:sz w:val="24"/>
                <w:szCs w:val="24"/>
              </w:rPr>
              <w:t>Introduction</w:t>
            </w:r>
            <w:r w:rsidR="00A645C3" w:rsidRPr="00A645C3">
              <w:rPr>
                <w:noProof/>
                <w:webHidden/>
                <w:sz w:val="24"/>
                <w:szCs w:val="24"/>
              </w:rPr>
              <w:tab/>
            </w:r>
            <w:r w:rsidRPr="00A645C3">
              <w:rPr>
                <w:noProof/>
                <w:webHidden/>
                <w:sz w:val="24"/>
                <w:szCs w:val="24"/>
              </w:rPr>
              <w:fldChar w:fldCharType="begin"/>
            </w:r>
            <w:r w:rsidR="00A645C3" w:rsidRPr="00A645C3">
              <w:rPr>
                <w:noProof/>
                <w:webHidden/>
                <w:sz w:val="24"/>
                <w:szCs w:val="24"/>
              </w:rPr>
              <w:instrText xml:space="preserve"> PAGEREF _Toc512895925 \h </w:instrText>
            </w:r>
            <w:r w:rsidRPr="00A645C3">
              <w:rPr>
                <w:noProof/>
                <w:webHidden/>
                <w:sz w:val="24"/>
                <w:szCs w:val="24"/>
              </w:rPr>
            </w:r>
            <w:r w:rsidRPr="00A645C3">
              <w:rPr>
                <w:noProof/>
                <w:webHidden/>
                <w:sz w:val="24"/>
                <w:szCs w:val="24"/>
              </w:rPr>
              <w:fldChar w:fldCharType="separate"/>
            </w:r>
            <w:r w:rsidR="00EE2DE3">
              <w:rPr>
                <w:noProof/>
                <w:webHidden/>
                <w:sz w:val="24"/>
                <w:szCs w:val="24"/>
              </w:rPr>
              <w:t>1</w:t>
            </w:r>
            <w:r w:rsidRPr="00A645C3">
              <w:rPr>
                <w:noProof/>
                <w:webHidden/>
                <w:sz w:val="24"/>
                <w:szCs w:val="24"/>
              </w:rPr>
              <w:fldChar w:fldCharType="end"/>
            </w:r>
          </w:hyperlink>
        </w:p>
        <w:p w:rsidR="00A645C3" w:rsidRPr="00A645C3" w:rsidRDefault="005411EE">
          <w:pPr>
            <w:pStyle w:val="TOC1"/>
            <w:tabs>
              <w:tab w:val="right" w:leader="dot" w:pos="9016"/>
            </w:tabs>
            <w:rPr>
              <w:rFonts w:eastAsiaTheme="minorEastAsia"/>
              <w:noProof/>
              <w:sz w:val="24"/>
              <w:szCs w:val="24"/>
              <w:lang w:eastAsia="en-AU"/>
            </w:rPr>
          </w:pPr>
          <w:hyperlink w:anchor="_Toc512895926" w:history="1">
            <w:r w:rsidR="00A645C3" w:rsidRPr="00A645C3">
              <w:rPr>
                <w:rStyle w:val="Hyperlink"/>
                <w:b/>
                <w:noProof/>
                <w:sz w:val="24"/>
                <w:szCs w:val="24"/>
              </w:rPr>
              <w:t>Declaration</w:t>
            </w:r>
            <w:r w:rsidR="00A645C3" w:rsidRPr="00A645C3">
              <w:rPr>
                <w:noProof/>
                <w:webHidden/>
                <w:sz w:val="24"/>
                <w:szCs w:val="24"/>
              </w:rPr>
              <w:tab/>
            </w:r>
            <w:r w:rsidRPr="00A645C3">
              <w:rPr>
                <w:noProof/>
                <w:webHidden/>
                <w:sz w:val="24"/>
                <w:szCs w:val="24"/>
              </w:rPr>
              <w:fldChar w:fldCharType="begin"/>
            </w:r>
            <w:r w:rsidR="00A645C3" w:rsidRPr="00A645C3">
              <w:rPr>
                <w:noProof/>
                <w:webHidden/>
                <w:sz w:val="24"/>
                <w:szCs w:val="24"/>
              </w:rPr>
              <w:instrText xml:space="preserve"> PAGEREF _Toc512895926 \h </w:instrText>
            </w:r>
            <w:r w:rsidRPr="00A645C3">
              <w:rPr>
                <w:noProof/>
                <w:webHidden/>
                <w:sz w:val="24"/>
                <w:szCs w:val="24"/>
              </w:rPr>
            </w:r>
            <w:r w:rsidRPr="00A645C3">
              <w:rPr>
                <w:noProof/>
                <w:webHidden/>
                <w:sz w:val="24"/>
                <w:szCs w:val="24"/>
              </w:rPr>
              <w:fldChar w:fldCharType="separate"/>
            </w:r>
            <w:r w:rsidR="00EE2DE3">
              <w:rPr>
                <w:noProof/>
                <w:webHidden/>
                <w:sz w:val="24"/>
                <w:szCs w:val="24"/>
              </w:rPr>
              <w:t>3</w:t>
            </w:r>
            <w:r w:rsidRPr="00A645C3">
              <w:rPr>
                <w:noProof/>
                <w:webHidden/>
                <w:sz w:val="24"/>
                <w:szCs w:val="24"/>
              </w:rPr>
              <w:fldChar w:fldCharType="end"/>
            </w:r>
          </w:hyperlink>
        </w:p>
        <w:p w:rsidR="00A645C3" w:rsidRPr="00A645C3" w:rsidRDefault="005411EE">
          <w:pPr>
            <w:pStyle w:val="TOC1"/>
            <w:tabs>
              <w:tab w:val="right" w:leader="dot" w:pos="9016"/>
            </w:tabs>
            <w:rPr>
              <w:rFonts w:eastAsiaTheme="minorEastAsia"/>
              <w:noProof/>
              <w:sz w:val="24"/>
              <w:szCs w:val="24"/>
              <w:lang w:eastAsia="en-AU"/>
            </w:rPr>
          </w:pPr>
          <w:hyperlink w:anchor="_Toc512895927" w:history="1">
            <w:r w:rsidR="00A645C3" w:rsidRPr="00A645C3">
              <w:rPr>
                <w:rStyle w:val="Hyperlink"/>
                <w:b/>
                <w:noProof/>
                <w:sz w:val="24"/>
                <w:szCs w:val="24"/>
              </w:rPr>
              <w:t>Executive Summary</w:t>
            </w:r>
            <w:r w:rsidR="00A645C3" w:rsidRPr="00A645C3">
              <w:rPr>
                <w:noProof/>
                <w:webHidden/>
                <w:sz w:val="24"/>
                <w:szCs w:val="24"/>
              </w:rPr>
              <w:tab/>
            </w:r>
            <w:r w:rsidRPr="00A645C3">
              <w:rPr>
                <w:noProof/>
                <w:webHidden/>
                <w:sz w:val="24"/>
                <w:szCs w:val="24"/>
              </w:rPr>
              <w:fldChar w:fldCharType="begin"/>
            </w:r>
            <w:r w:rsidR="00A645C3" w:rsidRPr="00A645C3">
              <w:rPr>
                <w:noProof/>
                <w:webHidden/>
                <w:sz w:val="24"/>
                <w:szCs w:val="24"/>
              </w:rPr>
              <w:instrText xml:space="preserve"> PAGEREF _Toc512895927 \h </w:instrText>
            </w:r>
            <w:r w:rsidRPr="00A645C3">
              <w:rPr>
                <w:noProof/>
                <w:webHidden/>
                <w:sz w:val="24"/>
                <w:szCs w:val="24"/>
              </w:rPr>
            </w:r>
            <w:r w:rsidRPr="00A645C3">
              <w:rPr>
                <w:noProof/>
                <w:webHidden/>
                <w:sz w:val="24"/>
                <w:szCs w:val="24"/>
              </w:rPr>
              <w:fldChar w:fldCharType="separate"/>
            </w:r>
            <w:r w:rsidR="00EE2DE3">
              <w:rPr>
                <w:noProof/>
                <w:webHidden/>
                <w:sz w:val="24"/>
                <w:szCs w:val="24"/>
              </w:rPr>
              <w:t>4</w:t>
            </w:r>
            <w:r w:rsidRPr="00A645C3">
              <w:rPr>
                <w:noProof/>
                <w:webHidden/>
                <w:sz w:val="24"/>
                <w:szCs w:val="24"/>
              </w:rPr>
              <w:fldChar w:fldCharType="end"/>
            </w:r>
          </w:hyperlink>
        </w:p>
        <w:p w:rsidR="00A645C3" w:rsidRPr="00A645C3" w:rsidRDefault="005411EE">
          <w:pPr>
            <w:pStyle w:val="TOC1"/>
            <w:tabs>
              <w:tab w:val="right" w:leader="dot" w:pos="9016"/>
            </w:tabs>
            <w:rPr>
              <w:rFonts w:eastAsiaTheme="minorEastAsia"/>
              <w:noProof/>
              <w:sz w:val="24"/>
              <w:szCs w:val="24"/>
              <w:lang w:eastAsia="en-AU"/>
            </w:rPr>
          </w:pPr>
          <w:hyperlink w:anchor="_Toc512895928" w:history="1">
            <w:r w:rsidR="00A645C3" w:rsidRPr="00A645C3">
              <w:rPr>
                <w:rStyle w:val="Hyperlink"/>
                <w:b/>
                <w:noProof/>
                <w:sz w:val="24"/>
                <w:szCs w:val="24"/>
              </w:rPr>
              <w:t>List of Abbreviations</w:t>
            </w:r>
            <w:r w:rsidR="00A645C3" w:rsidRPr="00A645C3">
              <w:rPr>
                <w:noProof/>
                <w:webHidden/>
                <w:sz w:val="24"/>
                <w:szCs w:val="24"/>
              </w:rPr>
              <w:tab/>
            </w:r>
            <w:r w:rsidRPr="00A645C3">
              <w:rPr>
                <w:noProof/>
                <w:webHidden/>
                <w:sz w:val="24"/>
                <w:szCs w:val="24"/>
              </w:rPr>
              <w:fldChar w:fldCharType="begin"/>
            </w:r>
            <w:r w:rsidR="00A645C3" w:rsidRPr="00A645C3">
              <w:rPr>
                <w:noProof/>
                <w:webHidden/>
                <w:sz w:val="24"/>
                <w:szCs w:val="24"/>
              </w:rPr>
              <w:instrText xml:space="preserve"> PAGEREF _Toc512895928 \h </w:instrText>
            </w:r>
            <w:r w:rsidRPr="00A645C3">
              <w:rPr>
                <w:noProof/>
                <w:webHidden/>
                <w:sz w:val="24"/>
                <w:szCs w:val="24"/>
              </w:rPr>
            </w:r>
            <w:r w:rsidRPr="00A645C3">
              <w:rPr>
                <w:noProof/>
                <w:webHidden/>
                <w:sz w:val="24"/>
                <w:szCs w:val="24"/>
              </w:rPr>
              <w:fldChar w:fldCharType="separate"/>
            </w:r>
            <w:r w:rsidR="00EE2DE3">
              <w:rPr>
                <w:noProof/>
                <w:webHidden/>
                <w:sz w:val="24"/>
                <w:szCs w:val="24"/>
              </w:rPr>
              <w:t>14</w:t>
            </w:r>
            <w:r w:rsidRPr="00A645C3">
              <w:rPr>
                <w:noProof/>
                <w:webHidden/>
                <w:sz w:val="24"/>
                <w:szCs w:val="24"/>
              </w:rPr>
              <w:fldChar w:fldCharType="end"/>
            </w:r>
          </w:hyperlink>
        </w:p>
        <w:p w:rsidR="00A645C3" w:rsidRPr="00A645C3" w:rsidRDefault="005411EE">
          <w:pPr>
            <w:pStyle w:val="TOC1"/>
            <w:tabs>
              <w:tab w:val="right" w:leader="dot" w:pos="9016"/>
            </w:tabs>
            <w:rPr>
              <w:rFonts w:eastAsiaTheme="minorEastAsia"/>
              <w:noProof/>
              <w:sz w:val="24"/>
              <w:szCs w:val="24"/>
              <w:lang w:eastAsia="en-AU"/>
            </w:rPr>
          </w:pPr>
          <w:hyperlink w:anchor="_Toc512895929" w:history="1">
            <w:r w:rsidR="00A645C3" w:rsidRPr="00A645C3">
              <w:rPr>
                <w:rStyle w:val="Hyperlink"/>
                <w:b/>
                <w:noProof/>
                <w:sz w:val="24"/>
                <w:szCs w:val="24"/>
              </w:rPr>
              <w:t>Question 1: What should be the role and objectives of the modern family law system?</w:t>
            </w:r>
            <w:r w:rsidR="00A645C3" w:rsidRPr="00A645C3">
              <w:rPr>
                <w:noProof/>
                <w:webHidden/>
                <w:sz w:val="24"/>
                <w:szCs w:val="24"/>
              </w:rPr>
              <w:tab/>
            </w:r>
            <w:r w:rsidRPr="00A645C3">
              <w:rPr>
                <w:noProof/>
                <w:webHidden/>
                <w:sz w:val="24"/>
                <w:szCs w:val="24"/>
              </w:rPr>
              <w:fldChar w:fldCharType="begin"/>
            </w:r>
            <w:r w:rsidR="00A645C3" w:rsidRPr="00A645C3">
              <w:rPr>
                <w:noProof/>
                <w:webHidden/>
                <w:sz w:val="24"/>
                <w:szCs w:val="24"/>
              </w:rPr>
              <w:instrText xml:space="preserve"> PAGEREF _Toc512895929 \h </w:instrText>
            </w:r>
            <w:r w:rsidRPr="00A645C3">
              <w:rPr>
                <w:noProof/>
                <w:webHidden/>
                <w:sz w:val="24"/>
                <w:szCs w:val="24"/>
              </w:rPr>
            </w:r>
            <w:r w:rsidRPr="00A645C3">
              <w:rPr>
                <w:noProof/>
                <w:webHidden/>
                <w:sz w:val="24"/>
                <w:szCs w:val="24"/>
              </w:rPr>
              <w:fldChar w:fldCharType="separate"/>
            </w:r>
            <w:r w:rsidR="00EE2DE3">
              <w:rPr>
                <w:noProof/>
                <w:webHidden/>
                <w:sz w:val="24"/>
                <w:szCs w:val="24"/>
              </w:rPr>
              <w:t>17</w:t>
            </w:r>
            <w:r w:rsidRPr="00A645C3">
              <w:rPr>
                <w:noProof/>
                <w:webHidden/>
                <w:sz w:val="24"/>
                <w:szCs w:val="24"/>
              </w:rPr>
              <w:fldChar w:fldCharType="end"/>
            </w:r>
          </w:hyperlink>
        </w:p>
        <w:p w:rsidR="00A645C3" w:rsidRPr="00A645C3" w:rsidRDefault="005411EE">
          <w:pPr>
            <w:pStyle w:val="TOC2"/>
            <w:tabs>
              <w:tab w:val="right" w:leader="dot" w:pos="9016"/>
            </w:tabs>
            <w:rPr>
              <w:rFonts w:eastAsiaTheme="minorEastAsia"/>
              <w:noProof/>
              <w:sz w:val="24"/>
              <w:szCs w:val="24"/>
              <w:lang w:eastAsia="en-AU"/>
            </w:rPr>
          </w:pPr>
          <w:hyperlink w:anchor="_Toc512895930" w:history="1">
            <w:r w:rsidR="00A645C3" w:rsidRPr="00A645C3">
              <w:rPr>
                <w:rStyle w:val="Hyperlink"/>
                <w:noProof/>
                <w:sz w:val="24"/>
                <w:szCs w:val="24"/>
              </w:rPr>
              <w:t>I How does the ‘Family Law System’ impact on Australian Society?</w:t>
            </w:r>
            <w:r w:rsidR="00A645C3" w:rsidRPr="00A645C3">
              <w:rPr>
                <w:noProof/>
                <w:webHidden/>
                <w:sz w:val="24"/>
                <w:szCs w:val="24"/>
              </w:rPr>
              <w:tab/>
            </w:r>
            <w:r w:rsidRPr="00A645C3">
              <w:rPr>
                <w:noProof/>
                <w:webHidden/>
                <w:sz w:val="24"/>
                <w:szCs w:val="24"/>
              </w:rPr>
              <w:fldChar w:fldCharType="begin"/>
            </w:r>
            <w:r w:rsidR="00A645C3" w:rsidRPr="00A645C3">
              <w:rPr>
                <w:noProof/>
                <w:webHidden/>
                <w:sz w:val="24"/>
                <w:szCs w:val="24"/>
              </w:rPr>
              <w:instrText xml:space="preserve"> PAGEREF _Toc512895930 \h </w:instrText>
            </w:r>
            <w:r w:rsidRPr="00A645C3">
              <w:rPr>
                <w:noProof/>
                <w:webHidden/>
                <w:sz w:val="24"/>
                <w:szCs w:val="24"/>
              </w:rPr>
            </w:r>
            <w:r w:rsidRPr="00A645C3">
              <w:rPr>
                <w:noProof/>
                <w:webHidden/>
                <w:sz w:val="24"/>
                <w:szCs w:val="24"/>
              </w:rPr>
              <w:fldChar w:fldCharType="separate"/>
            </w:r>
            <w:r w:rsidR="00EE2DE3">
              <w:rPr>
                <w:noProof/>
                <w:webHidden/>
                <w:sz w:val="24"/>
                <w:szCs w:val="24"/>
              </w:rPr>
              <w:t>17</w:t>
            </w:r>
            <w:r w:rsidRPr="00A645C3">
              <w:rPr>
                <w:noProof/>
                <w:webHidden/>
                <w:sz w:val="24"/>
                <w:szCs w:val="24"/>
              </w:rPr>
              <w:fldChar w:fldCharType="end"/>
            </w:r>
          </w:hyperlink>
        </w:p>
        <w:p w:rsidR="00A645C3" w:rsidRPr="00A645C3" w:rsidRDefault="005411EE">
          <w:pPr>
            <w:pStyle w:val="TOC2"/>
            <w:tabs>
              <w:tab w:val="right" w:leader="dot" w:pos="9016"/>
            </w:tabs>
            <w:rPr>
              <w:rFonts w:eastAsiaTheme="minorEastAsia"/>
              <w:noProof/>
              <w:sz w:val="24"/>
              <w:szCs w:val="24"/>
              <w:lang w:eastAsia="en-AU"/>
            </w:rPr>
          </w:pPr>
          <w:hyperlink w:anchor="_Toc512895931" w:history="1">
            <w:r w:rsidR="00A645C3" w:rsidRPr="00A645C3">
              <w:rPr>
                <w:rStyle w:val="Hyperlink"/>
                <w:noProof/>
                <w:sz w:val="24"/>
                <w:szCs w:val="24"/>
              </w:rPr>
              <w:t>II Parenting Orders Applications v Children with Separated Parents</w:t>
            </w:r>
            <w:r w:rsidR="00A645C3" w:rsidRPr="00A645C3">
              <w:rPr>
                <w:noProof/>
                <w:webHidden/>
                <w:sz w:val="24"/>
                <w:szCs w:val="24"/>
              </w:rPr>
              <w:tab/>
            </w:r>
            <w:r w:rsidRPr="00A645C3">
              <w:rPr>
                <w:noProof/>
                <w:webHidden/>
                <w:sz w:val="24"/>
                <w:szCs w:val="24"/>
              </w:rPr>
              <w:fldChar w:fldCharType="begin"/>
            </w:r>
            <w:r w:rsidR="00A645C3" w:rsidRPr="00A645C3">
              <w:rPr>
                <w:noProof/>
                <w:webHidden/>
                <w:sz w:val="24"/>
                <w:szCs w:val="24"/>
              </w:rPr>
              <w:instrText xml:space="preserve"> PAGEREF _Toc512895931 \h </w:instrText>
            </w:r>
            <w:r w:rsidRPr="00A645C3">
              <w:rPr>
                <w:noProof/>
                <w:webHidden/>
                <w:sz w:val="24"/>
                <w:szCs w:val="24"/>
              </w:rPr>
            </w:r>
            <w:r w:rsidRPr="00A645C3">
              <w:rPr>
                <w:noProof/>
                <w:webHidden/>
                <w:sz w:val="24"/>
                <w:szCs w:val="24"/>
              </w:rPr>
              <w:fldChar w:fldCharType="separate"/>
            </w:r>
            <w:r w:rsidR="00EE2DE3">
              <w:rPr>
                <w:noProof/>
                <w:webHidden/>
                <w:sz w:val="24"/>
                <w:szCs w:val="24"/>
              </w:rPr>
              <w:t>18</w:t>
            </w:r>
            <w:r w:rsidRPr="00A645C3">
              <w:rPr>
                <w:noProof/>
                <w:webHidden/>
                <w:sz w:val="24"/>
                <w:szCs w:val="24"/>
              </w:rPr>
              <w:fldChar w:fldCharType="end"/>
            </w:r>
          </w:hyperlink>
        </w:p>
        <w:p w:rsidR="00A645C3" w:rsidRPr="00A645C3" w:rsidRDefault="005411EE">
          <w:pPr>
            <w:pStyle w:val="TOC3"/>
            <w:tabs>
              <w:tab w:val="right" w:leader="dot" w:pos="9016"/>
            </w:tabs>
            <w:rPr>
              <w:rFonts w:eastAsiaTheme="minorEastAsia"/>
              <w:noProof/>
              <w:sz w:val="24"/>
              <w:szCs w:val="24"/>
              <w:lang w:eastAsia="en-AU"/>
            </w:rPr>
          </w:pPr>
          <w:hyperlink w:anchor="_Toc512895932" w:history="1">
            <w:r w:rsidR="00A645C3" w:rsidRPr="00A645C3">
              <w:rPr>
                <w:rStyle w:val="Hyperlink"/>
                <w:i/>
                <w:noProof/>
                <w:sz w:val="24"/>
                <w:szCs w:val="24"/>
              </w:rPr>
              <w:t>Recommendation 1</w:t>
            </w:r>
            <w:r w:rsidR="00A645C3" w:rsidRPr="00A645C3">
              <w:rPr>
                <w:noProof/>
                <w:webHidden/>
                <w:sz w:val="24"/>
                <w:szCs w:val="24"/>
              </w:rPr>
              <w:tab/>
            </w:r>
            <w:r w:rsidRPr="00A645C3">
              <w:rPr>
                <w:noProof/>
                <w:webHidden/>
                <w:sz w:val="24"/>
                <w:szCs w:val="24"/>
              </w:rPr>
              <w:fldChar w:fldCharType="begin"/>
            </w:r>
            <w:r w:rsidR="00A645C3" w:rsidRPr="00A645C3">
              <w:rPr>
                <w:noProof/>
                <w:webHidden/>
                <w:sz w:val="24"/>
                <w:szCs w:val="24"/>
              </w:rPr>
              <w:instrText xml:space="preserve"> PAGEREF _Toc512895932 \h </w:instrText>
            </w:r>
            <w:r w:rsidRPr="00A645C3">
              <w:rPr>
                <w:noProof/>
                <w:webHidden/>
                <w:sz w:val="24"/>
                <w:szCs w:val="24"/>
              </w:rPr>
            </w:r>
            <w:r w:rsidRPr="00A645C3">
              <w:rPr>
                <w:noProof/>
                <w:webHidden/>
                <w:sz w:val="24"/>
                <w:szCs w:val="24"/>
              </w:rPr>
              <w:fldChar w:fldCharType="separate"/>
            </w:r>
            <w:r w:rsidR="00EE2DE3">
              <w:rPr>
                <w:noProof/>
                <w:webHidden/>
                <w:sz w:val="24"/>
                <w:szCs w:val="24"/>
              </w:rPr>
              <w:t>22</w:t>
            </w:r>
            <w:r w:rsidRPr="00A645C3">
              <w:rPr>
                <w:noProof/>
                <w:webHidden/>
                <w:sz w:val="24"/>
                <w:szCs w:val="24"/>
              </w:rPr>
              <w:fldChar w:fldCharType="end"/>
            </w:r>
          </w:hyperlink>
        </w:p>
        <w:p w:rsidR="00A645C3" w:rsidRPr="00A645C3" w:rsidRDefault="005411EE">
          <w:pPr>
            <w:pStyle w:val="TOC3"/>
            <w:tabs>
              <w:tab w:val="right" w:leader="dot" w:pos="9016"/>
            </w:tabs>
            <w:rPr>
              <w:rFonts w:eastAsiaTheme="minorEastAsia"/>
              <w:noProof/>
              <w:sz w:val="24"/>
              <w:szCs w:val="24"/>
              <w:lang w:eastAsia="en-AU"/>
            </w:rPr>
          </w:pPr>
          <w:hyperlink w:anchor="_Toc512895933" w:history="1">
            <w:r w:rsidR="00A645C3" w:rsidRPr="00A645C3">
              <w:rPr>
                <w:rStyle w:val="Hyperlink"/>
                <w:i/>
                <w:noProof/>
                <w:sz w:val="24"/>
                <w:szCs w:val="24"/>
              </w:rPr>
              <w:t>Recommendation 2</w:t>
            </w:r>
            <w:r w:rsidR="00A645C3" w:rsidRPr="00A645C3">
              <w:rPr>
                <w:noProof/>
                <w:webHidden/>
                <w:sz w:val="24"/>
                <w:szCs w:val="24"/>
              </w:rPr>
              <w:tab/>
            </w:r>
            <w:r w:rsidRPr="00A645C3">
              <w:rPr>
                <w:noProof/>
                <w:webHidden/>
                <w:sz w:val="24"/>
                <w:szCs w:val="24"/>
              </w:rPr>
              <w:fldChar w:fldCharType="begin"/>
            </w:r>
            <w:r w:rsidR="00A645C3" w:rsidRPr="00A645C3">
              <w:rPr>
                <w:noProof/>
                <w:webHidden/>
                <w:sz w:val="24"/>
                <w:szCs w:val="24"/>
              </w:rPr>
              <w:instrText xml:space="preserve"> PAGEREF _Toc512895933 \h </w:instrText>
            </w:r>
            <w:r w:rsidRPr="00A645C3">
              <w:rPr>
                <w:noProof/>
                <w:webHidden/>
                <w:sz w:val="24"/>
                <w:szCs w:val="24"/>
              </w:rPr>
            </w:r>
            <w:r w:rsidRPr="00A645C3">
              <w:rPr>
                <w:noProof/>
                <w:webHidden/>
                <w:sz w:val="24"/>
                <w:szCs w:val="24"/>
              </w:rPr>
              <w:fldChar w:fldCharType="separate"/>
            </w:r>
            <w:r w:rsidR="00EE2DE3">
              <w:rPr>
                <w:noProof/>
                <w:webHidden/>
                <w:sz w:val="24"/>
                <w:szCs w:val="24"/>
              </w:rPr>
              <w:t>22</w:t>
            </w:r>
            <w:r w:rsidRPr="00A645C3">
              <w:rPr>
                <w:noProof/>
                <w:webHidden/>
                <w:sz w:val="24"/>
                <w:szCs w:val="24"/>
              </w:rPr>
              <w:fldChar w:fldCharType="end"/>
            </w:r>
          </w:hyperlink>
        </w:p>
        <w:p w:rsidR="00A645C3" w:rsidRPr="00A645C3" w:rsidRDefault="005411EE">
          <w:pPr>
            <w:pStyle w:val="TOC2"/>
            <w:tabs>
              <w:tab w:val="right" w:leader="dot" w:pos="9016"/>
            </w:tabs>
            <w:rPr>
              <w:rFonts w:eastAsiaTheme="minorEastAsia"/>
              <w:noProof/>
              <w:sz w:val="24"/>
              <w:szCs w:val="24"/>
              <w:lang w:eastAsia="en-AU"/>
            </w:rPr>
          </w:pPr>
          <w:hyperlink w:anchor="_Toc512895934" w:history="1">
            <w:r w:rsidR="00A645C3" w:rsidRPr="00A645C3">
              <w:rPr>
                <w:rStyle w:val="Hyperlink"/>
                <w:noProof/>
                <w:sz w:val="24"/>
                <w:szCs w:val="24"/>
              </w:rPr>
              <w:t>III Shared Care and Equal Time: Available (unpublished) Data</w:t>
            </w:r>
            <w:r w:rsidR="00A645C3" w:rsidRPr="00A645C3">
              <w:rPr>
                <w:noProof/>
                <w:webHidden/>
                <w:sz w:val="24"/>
                <w:szCs w:val="24"/>
              </w:rPr>
              <w:tab/>
            </w:r>
            <w:r w:rsidRPr="00A645C3">
              <w:rPr>
                <w:noProof/>
                <w:webHidden/>
                <w:sz w:val="24"/>
                <w:szCs w:val="24"/>
              </w:rPr>
              <w:fldChar w:fldCharType="begin"/>
            </w:r>
            <w:r w:rsidR="00A645C3" w:rsidRPr="00A645C3">
              <w:rPr>
                <w:noProof/>
                <w:webHidden/>
                <w:sz w:val="24"/>
                <w:szCs w:val="24"/>
              </w:rPr>
              <w:instrText xml:space="preserve"> PAGEREF _Toc512895934 \h </w:instrText>
            </w:r>
            <w:r w:rsidRPr="00A645C3">
              <w:rPr>
                <w:noProof/>
                <w:webHidden/>
                <w:sz w:val="24"/>
                <w:szCs w:val="24"/>
              </w:rPr>
            </w:r>
            <w:r w:rsidRPr="00A645C3">
              <w:rPr>
                <w:noProof/>
                <w:webHidden/>
                <w:sz w:val="24"/>
                <w:szCs w:val="24"/>
              </w:rPr>
              <w:fldChar w:fldCharType="separate"/>
            </w:r>
            <w:r w:rsidR="00EE2DE3">
              <w:rPr>
                <w:noProof/>
                <w:webHidden/>
                <w:sz w:val="24"/>
                <w:szCs w:val="24"/>
              </w:rPr>
              <w:t>22</w:t>
            </w:r>
            <w:r w:rsidRPr="00A645C3">
              <w:rPr>
                <w:noProof/>
                <w:webHidden/>
                <w:sz w:val="24"/>
                <w:szCs w:val="24"/>
              </w:rPr>
              <w:fldChar w:fldCharType="end"/>
            </w:r>
          </w:hyperlink>
        </w:p>
        <w:p w:rsidR="00A645C3" w:rsidRPr="00A645C3" w:rsidRDefault="005411EE">
          <w:pPr>
            <w:pStyle w:val="TOC3"/>
            <w:tabs>
              <w:tab w:val="right" w:leader="dot" w:pos="9016"/>
            </w:tabs>
            <w:rPr>
              <w:rFonts w:eastAsiaTheme="minorEastAsia"/>
              <w:noProof/>
              <w:sz w:val="24"/>
              <w:szCs w:val="24"/>
              <w:lang w:eastAsia="en-AU"/>
            </w:rPr>
          </w:pPr>
          <w:hyperlink w:anchor="_Toc512895935" w:history="1">
            <w:r w:rsidR="00A645C3" w:rsidRPr="00A645C3">
              <w:rPr>
                <w:rStyle w:val="Hyperlink"/>
                <w:i/>
                <w:noProof/>
                <w:sz w:val="24"/>
                <w:szCs w:val="24"/>
              </w:rPr>
              <w:t>Recommendation 3</w:t>
            </w:r>
            <w:r w:rsidR="00A645C3" w:rsidRPr="00A645C3">
              <w:rPr>
                <w:noProof/>
                <w:webHidden/>
                <w:sz w:val="24"/>
                <w:szCs w:val="24"/>
              </w:rPr>
              <w:tab/>
            </w:r>
            <w:r w:rsidRPr="00A645C3">
              <w:rPr>
                <w:noProof/>
                <w:webHidden/>
                <w:sz w:val="24"/>
                <w:szCs w:val="24"/>
              </w:rPr>
              <w:fldChar w:fldCharType="begin"/>
            </w:r>
            <w:r w:rsidR="00A645C3" w:rsidRPr="00A645C3">
              <w:rPr>
                <w:noProof/>
                <w:webHidden/>
                <w:sz w:val="24"/>
                <w:szCs w:val="24"/>
              </w:rPr>
              <w:instrText xml:space="preserve"> PAGEREF _Toc512895935 \h </w:instrText>
            </w:r>
            <w:r w:rsidRPr="00A645C3">
              <w:rPr>
                <w:noProof/>
                <w:webHidden/>
                <w:sz w:val="24"/>
                <w:szCs w:val="24"/>
              </w:rPr>
            </w:r>
            <w:r w:rsidRPr="00A645C3">
              <w:rPr>
                <w:noProof/>
                <w:webHidden/>
                <w:sz w:val="24"/>
                <w:szCs w:val="24"/>
              </w:rPr>
              <w:fldChar w:fldCharType="separate"/>
            </w:r>
            <w:r w:rsidR="00EE2DE3">
              <w:rPr>
                <w:noProof/>
                <w:webHidden/>
                <w:sz w:val="24"/>
                <w:szCs w:val="24"/>
              </w:rPr>
              <w:t>25</w:t>
            </w:r>
            <w:r w:rsidRPr="00A645C3">
              <w:rPr>
                <w:noProof/>
                <w:webHidden/>
                <w:sz w:val="24"/>
                <w:szCs w:val="24"/>
              </w:rPr>
              <w:fldChar w:fldCharType="end"/>
            </w:r>
          </w:hyperlink>
        </w:p>
        <w:p w:rsidR="00A645C3" w:rsidRPr="00A645C3" w:rsidRDefault="005411EE">
          <w:pPr>
            <w:pStyle w:val="TOC2"/>
            <w:tabs>
              <w:tab w:val="right" w:leader="dot" w:pos="9016"/>
            </w:tabs>
            <w:rPr>
              <w:rFonts w:eastAsiaTheme="minorEastAsia"/>
              <w:noProof/>
              <w:sz w:val="24"/>
              <w:szCs w:val="24"/>
              <w:lang w:eastAsia="en-AU"/>
            </w:rPr>
          </w:pPr>
          <w:hyperlink w:anchor="_Toc512895936" w:history="1">
            <w:r w:rsidR="00A645C3" w:rsidRPr="00A645C3">
              <w:rPr>
                <w:rStyle w:val="Hyperlink"/>
                <w:noProof/>
                <w:sz w:val="24"/>
                <w:szCs w:val="24"/>
              </w:rPr>
              <w:t>IV Research: Settlement Rates and Case Populations in Property Settlements</w:t>
            </w:r>
            <w:r w:rsidR="00A645C3" w:rsidRPr="00A645C3">
              <w:rPr>
                <w:noProof/>
                <w:webHidden/>
                <w:sz w:val="24"/>
                <w:szCs w:val="24"/>
              </w:rPr>
              <w:tab/>
            </w:r>
            <w:r w:rsidRPr="00A645C3">
              <w:rPr>
                <w:noProof/>
                <w:webHidden/>
                <w:sz w:val="24"/>
                <w:szCs w:val="24"/>
              </w:rPr>
              <w:fldChar w:fldCharType="begin"/>
            </w:r>
            <w:r w:rsidR="00A645C3" w:rsidRPr="00A645C3">
              <w:rPr>
                <w:noProof/>
                <w:webHidden/>
                <w:sz w:val="24"/>
                <w:szCs w:val="24"/>
              </w:rPr>
              <w:instrText xml:space="preserve"> PAGEREF _Toc512895936 \h </w:instrText>
            </w:r>
            <w:r w:rsidRPr="00A645C3">
              <w:rPr>
                <w:noProof/>
                <w:webHidden/>
                <w:sz w:val="24"/>
                <w:szCs w:val="24"/>
              </w:rPr>
            </w:r>
            <w:r w:rsidRPr="00A645C3">
              <w:rPr>
                <w:noProof/>
                <w:webHidden/>
                <w:sz w:val="24"/>
                <w:szCs w:val="24"/>
              </w:rPr>
              <w:fldChar w:fldCharType="separate"/>
            </w:r>
            <w:r w:rsidR="00EE2DE3">
              <w:rPr>
                <w:noProof/>
                <w:webHidden/>
                <w:sz w:val="24"/>
                <w:szCs w:val="24"/>
              </w:rPr>
              <w:t>25</w:t>
            </w:r>
            <w:r w:rsidRPr="00A645C3">
              <w:rPr>
                <w:noProof/>
                <w:webHidden/>
                <w:sz w:val="24"/>
                <w:szCs w:val="24"/>
              </w:rPr>
              <w:fldChar w:fldCharType="end"/>
            </w:r>
          </w:hyperlink>
        </w:p>
        <w:p w:rsidR="00A645C3" w:rsidRPr="00A645C3" w:rsidRDefault="005411EE">
          <w:pPr>
            <w:pStyle w:val="TOC3"/>
            <w:tabs>
              <w:tab w:val="right" w:leader="dot" w:pos="9016"/>
            </w:tabs>
            <w:rPr>
              <w:rFonts w:eastAsiaTheme="minorEastAsia"/>
              <w:noProof/>
              <w:sz w:val="24"/>
              <w:szCs w:val="24"/>
              <w:lang w:eastAsia="en-AU"/>
            </w:rPr>
          </w:pPr>
          <w:hyperlink w:anchor="_Toc512895937" w:history="1">
            <w:r w:rsidR="00A645C3" w:rsidRPr="00A645C3">
              <w:rPr>
                <w:rStyle w:val="Hyperlink"/>
                <w:i/>
                <w:noProof/>
                <w:sz w:val="24"/>
                <w:szCs w:val="24"/>
              </w:rPr>
              <w:t>Recommendation 4</w:t>
            </w:r>
            <w:r w:rsidR="00A645C3" w:rsidRPr="00A645C3">
              <w:rPr>
                <w:noProof/>
                <w:webHidden/>
                <w:sz w:val="24"/>
                <w:szCs w:val="24"/>
              </w:rPr>
              <w:tab/>
            </w:r>
            <w:r w:rsidRPr="00A645C3">
              <w:rPr>
                <w:noProof/>
                <w:webHidden/>
                <w:sz w:val="24"/>
                <w:szCs w:val="24"/>
              </w:rPr>
              <w:fldChar w:fldCharType="begin"/>
            </w:r>
            <w:r w:rsidR="00A645C3" w:rsidRPr="00A645C3">
              <w:rPr>
                <w:noProof/>
                <w:webHidden/>
                <w:sz w:val="24"/>
                <w:szCs w:val="24"/>
              </w:rPr>
              <w:instrText xml:space="preserve"> PAGEREF _Toc512895937 \h </w:instrText>
            </w:r>
            <w:r w:rsidRPr="00A645C3">
              <w:rPr>
                <w:noProof/>
                <w:webHidden/>
                <w:sz w:val="24"/>
                <w:szCs w:val="24"/>
              </w:rPr>
            </w:r>
            <w:r w:rsidRPr="00A645C3">
              <w:rPr>
                <w:noProof/>
                <w:webHidden/>
                <w:sz w:val="24"/>
                <w:szCs w:val="24"/>
              </w:rPr>
              <w:fldChar w:fldCharType="separate"/>
            </w:r>
            <w:r w:rsidR="00EE2DE3">
              <w:rPr>
                <w:noProof/>
                <w:webHidden/>
                <w:sz w:val="24"/>
                <w:szCs w:val="24"/>
              </w:rPr>
              <w:t>28</w:t>
            </w:r>
            <w:r w:rsidRPr="00A645C3">
              <w:rPr>
                <w:noProof/>
                <w:webHidden/>
                <w:sz w:val="24"/>
                <w:szCs w:val="24"/>
              </w:rPr>
              <w:fldChar w:fldCharType="end"/>
            </w:r>
          </w:hyperlink>
        </w:p>
        <w:p w:rsidR="00A645C3" w:rsidRPr="00A645C3" w:rsidRDefault="005411EE">
          <w:pPr>
            <w:pStyle w:val="TOC1"/>
            <w:tabs>
              <w:tab w:val="right" w:leader="dot" w:pos="9016"/>
            </w:tabs>
            <w:rPr>
              <w:rFonts w:eastAsiaTheme="minorEastAsia"/>
              <w:noProof/>
              <w:sz w:val="24"/>
              <w:szCs w:val="24"/>
              <w:lang w:eastAsia="en-AU"/>
            </w:rPr>
          </w:pPr>
          <w:hyperlink w:anchor="_Toc512895938" w:history="1">
            <w:r w:rsidR="00A645C3" w:rsidRPr="00A645C3">
              <w:rPr>
                <w:rStyle w:val="Hyperlink"/>
                <w:b/>
                <w:noProof/>
                <w:sz w:val="24"/>
                <w:szCs w:val="24"/>
              </w:rPr>
              <w:t>Question 2: What principles should guide any redevelopment of the family law system?</w:t>
            </w:r>
            <w:r w:rsidR="00A645C3" w:rsidRPr="00A645C3">
              <w:rPr>
                <w:noProof/>
                <w:webHidden/>
                <w:sz w:val="24"/>
                <w:szCs w:val="24"/>
              </w:rPr>
              <w:tab/>
            </w:r>
            <w:r w:rsidRPr="00A645C3">
              <w:rPr>
                <w:noProof/>
                <w:webHidden/>
                <w:sz w:val="24"/>
                <w:szCs w:val="24"/>
              </w:rPr>
              <w:fldChar w:fldCharType="begin"/>
            </w:r>
            <w:r w:rsidR="00A645C3" w:rsidRPr="00A645C3">
              <w:rPr>
                <w:noProof/>
                <w:webHidden/>
                <w:sz w:val="24"/>
                <w:szCs w:val="24"/>
              </w:rPr>
              <w:instrText xml:space="preserve"> PAGEREF _Toc512895938 \h </w:instrText>
            </w:r>
            <w:r w:rsidRPr="00A645C3">
              <w:rPr>
                <w:noProof/>
                <w:webHidden/>
                <w:sz w:val="24"/>
                <w:szCs w:val="24"/>
              </w:rPr>
            </w:r>
            <w:r w:rsidRPr="00A645C3">
              <w:rPr>
                <w:noProof/>
                <w:webHidden/>
                <w:sz w:val="24"/>
                <w:szCs w:val="24"/>
              </w:rPr>
              <w:fldChar w:fldCharType="separate"/>
            </w:r>
            <w:r w:rsidR="00EE2DE3">
              <w:rPr>
                <w:noProof/>
                <w:webHidden/>
                <w:sz w:val="24"/>
                <w:szCs w:val="24"/>
              </w:rPr>
              <w:t>29</w:t>
            </w:r>
            <w:r w:rsidRPr="00A645C3">
              <w:rPr>
                <w:noProof/>
                <w:webHidden/>
                <w:sz w:val="24"/>
                <w:szCs w:val="24"/>
              </w:rPr>
              <w:fldChar w:fldCharType="end"/>
            </w:r>
          </w:hyperlink>
        </w:p>
        <w:p w:rsidR="00A645C3" w:rsidRPr="00A645C3" w:rsidRDefault="005411EE">
          <w:pPr>
            <w:pStyle w:val="TOC2"/>
            <w:tabs>
              <w:tab w:val="right" w:leader="dot" w:pos="9016"/>
            </w:tabs>
            <w:rPr>
              <w:rFonts w:eastAsiaTheme="minorEastAsia"/>
              <w:noProof/>
              <w:sz w:val="24"/>
              <w:szCs w:val="24"/>
              <w:lang w:eastAsia="en-AU"/>
            </w:rPr>
          </w:pPr>
          <w:hyperlink w:anchor="_Toc512895939" w:history="1">
            <w:r w:rsidR="00A645C3" w:rsidRPr="00A645C3">
              <w:rPr>
                <w:rStyle w:val="Hyperlink"/>
                <w:noProof/>
                <w:sz w:val="24"/>
                <w:szCs w:val="24"/>
              </w:rPr>
              <w:t>I Thinking Outside the Traditional Bases</w:t>
            </w:r>
            <w:r w:rsidR="00A645C3" w:rsidRPr="00A645C3">
              <w:rPr>
                <w:noProof/>
                <w:webHidden/>
                <w:sz w:val="24"/>
                <w:szCs w:val="24"/>
              </w:rPr>
              <w:tab/>
            </w:r>
            <w:r w:rsidRPr="00A645C3">
              <w:rPr>
                <w:noProof/>
                <w:webHidden/>
                <w:sz w:val="24"/>
                <w:szCs w:val="24"/>
              </w:rPr>
              <w:fldChar w:fldCharType="begin"/>
            </w:r>
            <w:r w:rsidR="00A645C3" w:rsidRPr="00A645C3">
              <w:rPr>
                <w:noProof/>
                <w:webHidden/>
                <w:sz w:val="24"/>
                <w:szCs w:val="24"/>
              </w:rPr>
              <w:instrText xml:space="preserve"> PAGEREF _Toc512895939 \h </w:instrText>
            </w:r>
            <w:r w:rsidRPr="00A645C3">
              <w:rPr>
                <w:noProof/>
                <w:webHidden/>
                <w:sz w:val="24"/>
                <w:szCs w:val="24"/>
              </w:rPr>
            </w:r>
            <w:r w:rsidRPr="00A645C3">
              <w:rPr>
                <w:noProof/>
                <w:webHidden/>
                <w:sz w:val="24"/>
                <w:szCs w:val="24"/>
              </w:rPr>
              <w:fldChar w:fldCharType="separate"/>
            </w:r>
            <w:r w:rsidR="00EE2DE3">
              <w:rPr>
                <w:noProof/>
                <w:webHidden/>
                <w:sz w:val="24"/>
                <w:szCs w:val="24"/>
              </w:rPr>
              <w:t>29</w:t>
            </w:r>
            <w:r w:rsidRPr="00A645C3">
              <w:rPr>
                <w:noProof/>
                <w:webHidden/>
                <w:sz w:val="24"/>
                <w:szCs w:val="24"/>
              </w:rPr>
              <w:fldChar w:fldCharType="end"/>
            </w:r>
          </w:hyperlink>
        </w:p>
        <w:p w:rsidR="00A645C3" w:rsidRPr="00A645C3" w:rsidRDefault="005411EE">
          <w:pPr>
            <w:pStyle w:val="TOC2"/>
            <w:tabs>
              <w:tab w:val="right" w:leader="dot" w:pos="9016"/>
            </w:tabs>
            <w:rPr>
              <w:rFonts w:eastAsiaTheme="minorEastAsia"/>
              <w:noProof/>
              <w:sz w:val="24"/>
              <w:szCs w:val="24"/>
              <w:lang w:eastAsia="en-AU"/>
            </w:rPr>
          </w:pPr>
          <w:hyperlink w:anchor="_Toc512895940" w:history="1">
            <w:r w:rsidR="00A645C3" w:rsidRPr="00A645C3">
              <w:rPr>
                <w:rStyle w:val="Hyperlink"/>
                <w:noProof/>
                <w:sz w:val="24"/>
                <w:szCs w:val="24"/>
              </w:rPr>
              <w:t>II Different Principles for Parenting and Property Cases</w:t>
            </w:r>
            <w:r w:rsidR="00A645C3" w:rsidRPr="00A645C3">
              <w:rPr>
                <w:noProof/>
                <w:webHidden/>
                <w:sz w:val="24"/>
                <w:szCs w:val="24"/>
              </w:rPr>
              <w:tab/>
            </w:r>
            <w:r w:rsidRPr="00A645C3">
              <w:rPr>
                <w:noProof/>
                <w:webHidden/>
                <w:sz w:val="24"/>
                <w:szCs w:val="24"/>
              </w:rPr>
              <w:fldChar w:fldCharType="begin"/>
            </w:r>
            <w:r w:rsidR="00A645C3" w:rsidRPr="00A645C3">
              <w:rPr>
                <w:noProof/>
                <w:webHidden/>
                <w:sz w:val="24"/>
                <w:szCs w:val="24"/>
              </w:rPr>
              <w:instrText xml:space="preserve"> PAGEREF _Toc512895940 \h </w:instrText>
            </w:r>
            <w:r w:rsidRPr="00A645C3">
              <w:rPr>
                <w:noProof/>
                <w:webHidden/>
                <w:sz w:val="24"/>
                <w:szCs w:val="24"/>
              </w:rPr>
            </w:r>
            <w:r w:rsidRPr="00A645C3">
              <w:rPr>
                <w:noProof/>
                <w:webHidden/>
                <w:sz w:val="24"/>
                <w:szCs w:val="24"/>
              </w:rPr>
              <w:fldChar w:fldCharType="separate"/>
            </w:r>
            <w:r w:rsidR="00EE2DE3">
              <w:rPr>
                <w:noProof/>
                <w:webHidden/>
                <w:sz w:val="24"/>
                <w:szCs w:val="24"/>
              </w:rPr>
              <w:t>31</w:t>
            </w:r>
            <w:r w:rsidRPr="00A645C3">
              <w:rPr>
                <w:noProof/>
                <w:webHidden/>
                <w:sz w:val="24"/>
                <w:szCs w:val="24"/>
              </w:rPr>
              <w:fldChar w:fldCharType="end"/>
            </w:r>
          </w:hyperlink>
        </w:p>
        <w:p w:rsidR="00A645C3" w:rsidRPr="00A645C3" w:rsidRDefault="005411EE">
          <w:pPr>
            <w:pStyle w:val="TOC2"/>
            <w:tabs>
              <w:tab w:val="right" w:leader="dot" w:pos="9016"/>
            </w:tabs>
            <w:rPr>
              <w:rFonts w:eastAsiaTheme="minorEastAsia"/>
              <w:noProof/>
              <w:sz w:val="24"/>
              <w:szCs w:val="24"/>
              <w:lang w:eastAsia="en-AU"/>
            </w:rPr>
          </w:pPr>
          <w:hyperlink w:anchor="_Toc512895941" w:history="1">
            <w:r w:rsidR="00A645C3" w:rsidRPr="00A645C3">
              <w:rPr>
                <w:rStyle w:val="Hyperlink"/>
                <w:noProof/>
                <w:sz w:val="24"/>
                <w:szCs w:val="24"/>
              </w:rPr>
              <w:t xml:space="preserve">III The </w:t>
            </w:r>
            <w:r w:rsidR="00A645C3" w:rsidRPr="00A645C3">
              <w:rPr>
                <w:rStyle w:val="Hyperlink"/>
                <w:i/>
                <w:noProof/>
                <w:sz w:val="24"/>
                <w:szCs w:val="24"/>
              </w:rPr>
              <w:t>Act</w:t>
            </w:r>
            <w:r w:rsidR="00A645C3" w:rsidRPr="00A645C3">
              <w:rPr>
                <w:rStyle w:val="Hyperlink"/>
                <w:noProof/>
                <w:sz w:val="24"/>
                <w:szCs w:val="24"/>
              </w:rPr>
              <w:t xml:space="preserve"> (Concerning Finances) Already Reflects Liberal Philosophical Values</w:t>
            </w:r>
            <w:r w:rsidR="00A645C3" w:rsidRPr="00A645C3">
              <w:rPr>
                <w:noProof/>
                <w:webHidden/>
                <w:sz w:val="24"/>
                <w:szCs w:val="24"/>
              </w:rPr>
              <w:tab/>
            </w:r>
            <w:r w:rsidRPr="00A645C3">
              <w:rPr>
                <w:noProof/>
                <w:webHidden/>
                <w:sz w:val="24"/>
                <w:szCs w:val="24"/>
              </w:rPr>
              <w:fldChar w:fldCharType="begin"/>
            </w:r>
            <w:r w:rsidR="00A645C3" w:rsidRPr="00A645C3">
              <w:rPr>
                <w:noProof/>
                <w:webHidden/>
                <w:sz w:val="24"/>
                <w:szCs w:val="24"/>
              </w:rPr>
              <w:instrText xml:space="preserve"> PAGEREF _Toc512895941 \h </w:instrText>
            </w:r>
            <w:r w:rsidRPr="00A645C3">
              <w:rPr>
                <w:noProof/>
                <w:webHidden/>
                <w:sz w:val="24"/>
                <w:szCs w:val="24"/>
              </w:rPr>
            </w:r>
            <w:r w:rsidRPr="00A645C3">
              <w:rPr>
                <w:noProof/>
                <w:webHidden/>
                <w:sz w:val="24"/>
                <w:szCs w:val="24"/>
              </w:rPr>
              <w:fldChar w:fldCharType="separate"/>
            </w:r>
            <w:r w:rsidR="00EE2DE3">
              <w:rPr>
                <w:noProof/>
                <w:webHidden/>
                <w:sz w:val="24"/>
                <w:szCs w:val="24"/>
              </w:rPr>
              <w:t>32</w:t>
            </w:r>
            <w:r w:rsidRPr="00A645C3">
              <w:rPr>
                <w:noProof/>
                <w:webHidden/>
                <w:sz w:val="24"/>
                <w:szCs w:val="24"/>
              </w:rPr>
              <w:fldChar w:fldCharType="end"/>
            </w:r>
          </w:hyperlink>
        </w:p>
        <w:p w:rsidR="00A645C3" w:rsidRPr="00A645C3" w:rsidRDefault="005411EE">
          <w:pPr>
            <w:pStyle w:val="TOC2"/>
            <w:tabs>
              <w:tab w:val="right" w:leader="dot" w:pos="9016"/>
            </w:tabs>
            <w:rPr>
              <w:rFonts w:eastAsiaTheme="minorEastAsia"/>
              <w:noProof/>
              <w:sz w:val="24"/>
              <w:szCs w:val="24"/>
              <w:lang w:eastAsia="en-AU"/>
            </w:rPr>
          </w:pPr>
          <w:hyperlink w:anchor="_Toc512895942" w:history="1">
            <w:r w:rsidR="00A645C3" w:rsidRPr="00A645C3">
              <w:rPr>
                <w:rStyle w:val="Hyperlink"/>
                <w:noProof/>
                <w:sz w:val="24"/>
                <w:szCs w:val="24"/>
              </w:rPr>
              <w:t>IV A (Philosophically) Liberal Values Framework for Property Settlements</w:t>
            </w:r>
            <w:r w:rsidR="00A645C3" w:rsidRPr="00A645C3">
              <w:rPr>
                <w:noProof/>
                <w:webHidden/>
                <w:sz w:val="24"/>
                <w:szCs w:val="24"/>
              </w:rPr>
              <w:tab/>
            </w:r>
            <w:r w:rsidRPr="00A645C3">
              <w:rPr>
                <w:noProof/>
                <w:webHidden/>
                <w:sz w:val="24"/>
                <w:szCs w:val="24"/>
              </w:rPr>
              <w:fldChar w:fldCharType="begin"/>
            </w:r>
            <w:r w:rsidR="00A645C3" w:rsidRPr="00A645C3">
              <w:rPr>
                <w:noProof/>
                <w:webHidden/>
                <w:sz w:val="24"/>
                <w:szCs w:val="24"/>
              </w:rPr>
              <w:instrText xml:space="preserve"> PAGEREF _Toc512895942 \h </w:instrText>
            </w:r>
            <w:r w:rsidRPr="00A645C3">
              <w:rPr>
                <w:noProof/>
                <w:webHidden/>
                <w:sz w:val="24"/>
                <w:szCs w:val="24"/>
              </w:rPr>
            </w:r>
            <w:r w:rsidRPr="00A645C3">
              <w:rPr>
                <w:noProof/>
                <w:webHidden/>
                <w:sz w:val="24"/>
                <w:szCs w:val="24"/>
              </w:rPr>
              <w:fldChar w:fldCharType="separate"/>
            </w:r>
            <w:r w:rsidR="00EE2DE3">
              <w:rPr>
                <w:noProof/>
                <w:webHidden/>
                <w:sz w:val="24"/>
                <w:szCs w:val="24"/>
              </w:rPr>
              <w:t>33</w:t>
            </w:r>
            <w:r w:rsidRPr="00A645C3">
              <w:rPr>
                <w:noProof/>
                <w:webHidden/>
                <w:sz w:val="24"/>
                <w:szCs w:val="24"/>
              </w:rPr>
              <w:fldChar w:fldCharType="end"/>
            </w:r>
          </w:hyperlink>
        </w:p>
        <w:p w:rsidR="00A645C3" w:rsidRPr="00A645C3" w:rsidRDefault="005411EE">
          <w:pPr>
            <w:pStyle w:val="TOC3"/>
            <w:tabs>
              <w:tab w:val="right" w:leader="dot" w:pos="9016"/>
            </w:tabs>
            <w:rPr>
              <w:rFonts w:eastAsiaTheme="minorEastAsia"/>
              <w:noProof/>
              <w:sz w:val="24"/>
              <w:szCs w:val="24"/>
              <w:lang w:eastAsia="en-AU"/>
            </w:rPr>
          </w:pPr>
          <w:hyperlink w:anchor="_Toc512895943" w:history="1">
            <w:r w:rsidR="00A645C3" w:rsidRPr="00A645C3">
              <w:rPr>
                <w:rStyle w:val="Hyperlink"/>
                <w:i/>
                <w:noProof/>
                <w:sz w:val="24"/>
                <w:szCs w:val="24"/>
              </w:rPr>
              <w:t>Recommendation 5</w:t>
            </w:r>
            <w:r w:rsidR="00A645C3" w:rsidRPr="00A645C3">
              <w:rPr>
                <w:noProof/>
                <w:webHidden/>
                <w:sz w:val="24"/>
                <w:szCs w:val="24"/>
              </w:rPr>
              <w:tab/>
            </w:r>
            <w:r w:rsidRPr="00A645C3">
              <w:rPr>
                <w:noProof/>
                <w:webHidden/>
                <w:sz w:val="24"/>
                <w:szCs w:val="24"/>
              </w:rPr>
              <w:fldChar w:fldCharType="begin"/>
            </w:r>
            <w:r w:rsidR="00A645C3" w:rsidRPr="00A645C3">
              <w:rPr>
                <w:noProof/>
                <w:webHidden/>
                <w:sz w:val="24"/>
                <w:szCs w:val="24"/>
              </w:rPr>
              <w:instrText xml:space="preserve"> PAGEREF _Toc512895943 \h </w:instrText>
            </w:r>
            <w:r w:rsidRPr="00A645C3">
              <w:rPr>
                <w:noProof/>
                <w:webHidden/>
                <w:sz w:val="24"/>
                <w:szCs w:val="24"/>
              </w:rPr>
            </w:r>
            <w:r w:rsidRPr="00A645C3">
              <w:rPr>
                <w:noProof/>
                <w:webHidden/>
                <w:sz w:val="24"/>
                <w:szCs w:val="24"/>
              </w:rPr>
              <w:fldChar w:fldCharType="separate"/>
            </w:r>
            <w:r w:rsidR="00EE2DE3">
              <w:rPr>
                <w:noProof/>
                <w:webHidden/>
                <w:sz w:val="24"/>
                <w:szCs w:val="24"/>
              </w:rPr>
              <w:t>35</w:t>
            </w:r>
            <w:r w:rsidRPr="00A645C3">
              <w:rPr>
                <w:noProof/>
                <w:webHidden/>
                <w:sz w:val="24"/>
                <w:szCs w:val="24"/>
              </w:rPr>
              <w:fldChar w:fldCharType="end"/>
            </w:r>
          </w:hyperlink>
        </w:p>
        <w:p w:rsidR="00A645C3" w:rsidRPr="00A645C3" w:rsidRDefault="005411EE">
          <w:pPr>
            <w:pStyle w:val="TOC1"/>
            <w:tabs>
              <w:tab w:val="right" w:leader="dot" w:pos="9016"/>
            </w:tabs>
            <w:rPr>
              <w:rFonts w:eastAsiaTheme="minorEastAsia"/>
              <w:noProof/>
              <w:sz w:val="24"/>
              <w:szCs w:val="24"/>
              <w:lang w:eastAsia="en-AU"/>
            </w:rPr>
          </w:pPr>
          <w:hyperlink w:anchor="_Toc512895944" w:history="1">
            <w:r w:rsidR="00A645C3" w:rsidRPr="00A645C3">
              <w:rPr>
                <w:rStyle w:val="Hyperlink"/>
                <w:b/>
                <w:noProof/>
                <w:sz w:val="24"/>
                <w:szCs w:val="24"/>
              </w:rPr>
              <w:t xml:space="preserve">Question 17: What changes could be made to the provisions in the </w:t>
            </w:r>
            <w:r w:rsidR="00A645C3" w:rsidRPr="00A645C3">
              <w:rPr>
                <w:rStyle w:val="Hyperlink"/>
                <w:b/>
                <w:i/>
                <w:iCs/>
                <w:noProof/>
                <w:sz w:val="24"/>
                <w:szCs w:val="24"/>
              </w:rPr>
              <w:t xml:space="preserve">Family Law Act </w:t>
            </w:r>
            <w:r w:rsidR="00A645C3" w:rsidRPr="00A645C3">
              <w:rPr>
                <w:rStyle w:val="Hyperlink"/>
                <w:b/>
                <w:noProof/>
                <w:sz w:val="24"/>
                <w:szCs w:val="24"/>
              </w:rPr>
              <w:t>governing property division to improve the clarity and comprehensibility of the law for parties and to promote fair outcomes?</w:t>
            </w:r>
            <w:r w:rsidR="00A645C3" w:rsidRPr="00A645C3">
              <w:rPr>
                <w:noProof/>
                <w:webHidden/>
                <w:sz w:val="24"/>
                <w:szCs w:val="24"/>
              </w:rPr>
              <w:tab/>
            </w:r>
            <w:r w:rsidRPr="00A645C3">
              <w:rPr>
                <w:noProof/>
                <w:webHidden/>
                <w:sz w:val="24"/>
                <w:szCs w:val="24"/>
              </w:rPr>
              <w:fldChar w:fldCharType="begin"/>
            </w:r>
            <w:r w:rsidR="00A645C3" w:rsidRPr="00A645C3">
              <w:rPr>
                <w:noProof/>
                <w:webHidden/>
                <w:sz w:val="24"/>
                <w:szCs w:val="24"/>
              </w:rPr>
              <w:instrText xml:space="preserve"> PAGEREF _Toc512895944 \h </w:instrText>
            </w:r>
            <w:r w:rsidRPr="00A645C3">
              <w:rPr>
                <w:noProof/>
                <w:webHidden/>
                <w:sz w:val="24"/>
                <w:szCs w:val="24"/>
              </w:rPr>
            </w:r>
            <w:r w:rsidRPr="00A645C3">
              <w:rPr>
                <w:noProof/>
                <w:webHidden/>
                <w:sz w:val="24"/>
                <w:szCs w:val="24"/>
              </w:rPr>
              <w:fldChar w:fldCharType="separate"/>
            </w:r>
            <w:r w:rsidR="00EE2DE3">
              <w:rPr>
                <w:noProof/>
                <w:webHidden/>
                <w:sz w:val="24"/>
                <w:szCs w:val="24"/>
              </w:rPr>
              <w:t>36</w:t>
            </w:r>
            <w:r w:rsidRPr="00A645C3">
              <w:rPr>
                <w:noProof/>
                <w:webHidden/>
                <w:sz w:val="24"/>
                <w:szCs w:val="24"/>
              </w:rPr>
              <w:fldChar w:fldCharType="end"/>
            </w:r>
          </w:hyperlink>
        </w:p>
        <w:p w:rsidR="00A645C3" w:rsidRPr="00A645C3" w:rsidRDefault="005411EE">
          <w:pPr>
            <w:pStyle w:val="TOC2"/>
            <w:tabs>
              <w:tab w:val="right" w:leader="dot" w:pos="9016"/>
            </w:tabs>
            <w:rPr>
              <w:rFonts w:eastAsiaTheme="minorEastAsia"/>
              <w:noProof/>
              <w:sz w:val="24"/>
              <w:szCs w:val="24"/>
              <w:lang w:eastAsia="en-AU"/>
            </w:rPr>
          </w:pPr>
          <w:hyperlink w:anchor="_Toc512895945" w:history="1">
            <w:r w:rsidR="00A645C3" w:rsidRPr="00A645C3">
              <w:rPr>
                <w:rStyle w:val="Hyperlink"/>
                <w:noProof/>
                <w:sz w:val="24"/>
                <w:szCs w:val="24"/>
              </w:rPr>
              <w:t>I Two Part Question: Current Legislation and Reform Options</w:t>
            </w:r>
            <w:r w:rsidR="00A645C3" w:rsidRPr="00A645C3">
              <w:rPr>
                <w:noProof/>
                <w:webHidden/>
                <w:sz w:val="24"/>
                <w:szCs w:val="24"/>
              </w:rPr>
              <w:tab/>
            </w:r>
            <w:r w:rsidRPr="00A645C3">
              <w:rPr>
                <w:noProof/>
                <w:webHidden/>
                <w:sz w:val="24"/>
                <w:szCs w:val="24"/>
              </w:rPr>
              <w:fldChar w:fldCharType="begin"/>
            </w:r>
            <w:r w:rsidR="00A645C3" w:rsidRPr="00A645C3">
              <w:rPr>
                <w:noProof/>
                <w:webHidden/>
                <w:sz w:val="24"/>
                <w:szCs w:val="24"/>
              </w:rPr>
              <w:instrText xml:space="preserve"> PAGEREF _Toc512895945 \h </w:instrText>
            </w:r>
            <w:r w:rsidRPr="00A645C3">
              <w:rPr>
                <w:noProof/>
                <w:webHidden/>
                <w:sz w:val="24"/>
                <w:szCs w:val="24"/>
              </w:rPr>
            </w:r>
            <w:r w:rsidRPr="00A645C3">
              <w:rPr>
                <w:noProof/>
                <w:webHidden/>
                <w:sz w:val="24"/>
                <w:szCs w:val="24"/>
              </w:rPr>
              <w:fldChar w:fldCharType="separate"/>
            </w:r>
            <w:r w:rsidR="00EE2DE3">
              <w:rPr>
                <w:noProof/>
                <w:webHidden/>
                <w:sz w:val="24"/>
                <w:szCs w:val="24"/>
              </w:rPr>
              <w:t>36</w:t>
            </w:r>
            <w:r w:rsidRPr="00A645C3">
              <w:rPr>
                <w:noProof/>
                <w:webHidden/>
                <w:sz w:val="24"/>
                <w:szCs w:val="24"/>
              </w:rPr>
              <w:fldChar w:fldCharType="end"/>
            </w:r>
          </w:hyperlink>
        </w:p>
        <w:p w:rsidR="00A645C3" w:rsidRPr="00A645C3" w:rsidRDefault="005411EE">
          <w:pPr>
            <w:pStyle w:val="TOC3"/>
            <w:tabs>
              <w:tab w:val="right" w:leader="dot" w:pos="9016"/>
            </w:tabs>
            <w:rPr>
              <w:rFonts w:eastAsiaTheme="minorEastAsia"/>
              <w:noProof/>
              <w:sz w:val="24"/>
              <w:szCs w:val="24"/>
              <w:lang w:eastAsia="en-AU"/>
            </w:rPr>
          </w:pPr>
          <w:hyperlink w:anchor="_Toc512895946" w:history="1">
            <w:r w:rsidR="00A645C3" w:rsidRPr="00A645C3">
              <w:rPr>
                <w:rStyle w:val="Hyperlink"/>
                <w:i/>
                <w:noProof/>
                <w:sz w:val="24"/>
                <w:szCs w:val="24"/>
              </w:rPr>
              <w:t>Recommendation 6</w:t>
            </w:r>
            <w:r w:rsidR="00A645C3" w:rsidRPr="00A645C3">
              <w:rPr>
                <w:noProof/>
                <w:webHidden/>
                <w:sz w:val="24"/>
                <w:szCs w:val="24"/>
              </w:rPr>
              <w:tab/>
            </w:r>
            <w:r w:rsidRPr="00A645C3">
              <w:rPr>
                <w:noProof/>
                <w:webHidden/>
                <w:sz w:val="24"/>
                <w:szCs w:val="24"/>
              </w:rPr>
              <w:fldChar w:fldCharType="begin"/>
            </w:r>
            <w:r w:rsidR="00A645C3" w:rsidRPr="00A645C3">
              <w:rPr>
                <w:noProof/>
                <w:webHidden/>
                <w:sz w:val="24"/>
                <w:szCs w:val="24"/>
              </w:rPr>
              <w:instrText xml:space="preserve"> PAGEREF _Toc512895946 \h </w:instrText>
            </w:r>
            <w:r w:rsidRPr="00A645C3">
              <w:rPr>
                <w:noProof/>
                <w:webHidden/>
                <w:sz w:val="24"/>
                <w:szCs w:val="24"/>
              </w:rPr>
            </w:r>
            <w:r w:rsidRPr="00A645C3">
              <w:rPr>
                <w:noProof/>
                <w:webHidden/>
                <w:sz w:val="24"/>
                <w:szCs w:val="24"/>
              </w:rPr>
              <w:fldChar w:fldCharType="separate"/>
            </w:r>
            <w:r w:rsidR="00EE2DE3">
              <w:rPr>
                <w:noProof/>
                <w:webHidden/>
                <w:sz w:val="24"/>
                <w:szCs w:val="24"/>
              </w:rPr>
              <w:t>36</w:t>
            </w:r>
            <w:r w:rsidRPr="00A645C3">
              <w:rPr>
                <w:noProof/>
                <w:webHidden/>
                <w:sz w:val="24"/>
                <w:szCs w:val="24"/>
              </w:rPr>
              <w:fldChar w:fldCharType="end"/>
            </w:r>
          </w:hyperlink>
        </w:p>
        <w:p w:rsidR="00A645C3" w:rsidRPr="00A645C3" w:rsidRDefault="005411EE">
          <w:pPr>
            <w:pStyle w:val="TOC3"/>
            <w:tabs>
              <w:tab w:val="right" w:leader="dot" w:pos="9016"/>
            </w:tabs>
            <w:rPr>
              <w:rFonts w:eastAsiaTheme="minorEastAsia"/>
              <w:noProof/>
              <w:sz w:val="24"/>
              <w:szCs w:val="24"/>
              <w:lang w:eastAsia="en-AU"/>
            </w:rPr>
          </w:pPr>
          <w:hyperlink w:anchor="_Toc512895947" w:history="1">
            <w:r w:rsidR="00A645C3" w:rsidRPr="00A645C3">
              <w:rPr>
                <w:rStyle w:val="Hyperlink"/>
                <w:i/>
                <w:noProof/>
                <w:sz w:val="24"/>
                <w:szCs w:val="24"/>
              </w:rPr>
              <w:t>Recommendation 7</w:t>
            </w:r>
            <w:r w:rsidR="00A645C3" w:rsidRPr="00A645C3">
              <w:rPr>
                <w:noProof/>
                <w:webHidden/>
                <w:sz w:val="24"/>
                <w:szCs w:val="24"/>
              </w:rPr>
              <w:tab/>
            </w:r>
            <w:r w:rsidRPr="00A645C3">
              <w:rPr>
                <w:noProof/>
                <w:webHidden/>
                <w:sz w:val="24"/>
                <w:szCs w:val="24"/>
              </w:rPr>
              <w:fldChar w:fldCharType="begin"/>
            </w:r>
            <w:r w:rsidR="00A645C3" w:rsidRPr="00A645C3">
              <w:rPr>
                <w:noProof/>
                <w:webHidden/>
                <w:sz w:val="24"/>
                <w:szCs w:val="24"/>
              </w:rPr>
              <w:instrText xml:space="preserve"> PAGEREF _Toc512895947 \h </w:instrText>
            </w:r>
            <w:r w:rsidRPr="00A645C3">
              <w:rPr>
                <w:noProof/>
                <w:webHidden/>
                <w:sz w:val="24"/>
                <w:szCs w:val="24"/>
              </w:rPr>
            </w:r>
            <w:r w:rsidRPr="00A645C3">
              <w:rPr>
                <w:noProof/>
                <w:webHidden/>
                <w:sz w:val="24"/>
                <w:szCs w:val="24"/>
              </w:rPr>
              <w:fldChar w:fldCharType="separate"/>
            </w:r>
            <w:r w:rsidR="00EE2DE3">
              <w:rPr>
                <w:noProof/>
                <w:webHidden/>
                <w:sz w:val="24"/>
                <w:szCs w:val="24"/>
              </w:rPr>
              <w:t>37</w:t>
            </w:r>
            <w:r w:rsidRPr="00A645C3">
              <w:rPr>
                <w:noProof/>
                <w:webHidden/>
                <w:sz w:val="24"/>
                <w:szCs w:val="24"/>
              </w:rPr>
              <w:fldChar w:fldCharType="end"/>
            </w:r>
          </w:hyperlink>
        </w:p>
        <w:p w:rsidR="00A645C3" w:rsidRPr="00A645C3" w:rsidRDefault="005411EE">
          <w:pPr>
            <w:pStyle w:val="TOC2"/>
            <w:tabs>
              <w:tab w:val="right" w:leader="dot" w:pos="9016"/>
            </w:tabs>
            <w:rPr>
              <w:rFonts w:eastAsiaTheme="minorEastAsia"/>
              <w:noProof/>
              <w:sz w:val="24"/>
              <w:szCs w:val="24"/>
              <w:lang w:eastAsia="en-AU"/>
            </w:rPr>
          </w:pPr>
          <w:hyperlink w:anchor="_Toc512895948" w:history="1">
            <w:r w:rsidR="00A645C3" w:rsidRPr="00A645C3">
              <w:rPr>
                <w:rStyle w:val="Hyperlink"/>
                <w:noProof/>
                <w:sz w:val="24"/>
                <w:szCs w:val="24"/>
              </w:rPr>
              <w:t>II What is the Practical Effect of the Current Provisions Governing Property Division?</w:t>
            </w:r>
            <w:r w:rsidR="00A645C3" w:rsidRPr="00A645C3">
              <w:rPr>
                <w:noProof/>
                <w:webHidden/>
                <w:sz w:val="24"/>
                <w:szCs w:val="24"/>
              </w:rPr>
              <w:tab/>
            </w:r>
            <w:r w:rsidRPr="00A645C3">
              <w:rPr>
                <w:noProof/>
                <w:webHidden/>
                <w:sz w:val="24"/>
                <w:szCs w:val="24"/>
              </w:rPr>
              <w:fldChar w:fldCharType="begin"/>
            </w:r>
            <w:r w:rsidR="00A645C3" w:rsidRPr="00A645C3">
              <w:rPr>
                <w:noProof/>
                <w:webHidden/>
                <w:sz w:val="24"/>
                <w:szCs w:val="24"/>
              </w:rPr>
              <w:instrText xml:space="preserve"> PAGEREF _Toc512895948 \h </w:instrText>
            </w:r>
            <w:r w:rsidRPr="00A645C3">
              <w:rPr>
                <w:noProof/>
                <w:webHidden/>
                <w:sz w:val="24"/>
                <w:szCs w:val="24"/>
              </w:rPr>
            </w:r>
            <w:r w:rsidRPr="00A645C3">
              <w:rPr>
                <w:noProof/>
                <w:webHidden/>
                <w:sz w:val="24"/>
                <w:szCs w:val="24"/>
              </w:rPr>
              <w:fldChar w:fldCharType="separate"/>
            </w:r>
            <w:r w:rsidR="00EE2DE3">
              <w:rPr>
                <w:noProof/>
                <w:webHidden/>
                <w:sz w:val="24"/>
                <w:szCs w:val="24"/>
              </w:rPr>
              <w:t>38</w:t>
            </w:r>
            <w:r w:rsidRPr="00A645C3">
              <w:rPr>
                <w:noProof/>
                <w:webHidden/>
                <w:sz w:val="24"/>
                <w:szCs w:val="24"/>
              </w:rPr>
              <w:fldChar w:fldCharType="end"/>
            </w:r>
          </w:hyperlink>
        </w:p>
        <w:p w:rsidR="00A645C3" w:rsidRPr="00A645C3" w:rsidRDefault="005411EE">
          <w:pPr>
            <w:pStyle w:val="TOC3"/>
            <w:tabs>
              <w:tab w:val="right" w:leader="dot" w:pos="9016"/>
            </w:tabs>
            <w:rPr>
              <w:rFonts w:eastAsiaTheme="minorEastAsia"/>
              <w:noProof/>
              <w:sz w:val="24"/>
              <w:szCs w:val="24"/>
              <w:lang w:eastAsia="en-AU"/>
            </w:rPr>
          </w:pPr>
          <w:hyperlink w:anchor="_Toc512895949" w:history="1">
            <w:r w:rsidR="00A645C3" w:rsidRPr="00A645C3">
              <w:rPr>
                <w:rStyle w:val="Hyperlink"/>
                <w:i/>
                <w:noProof/>
                <w:sz w:val="24"/>
                <w:szCs w:val="24"/>
              </w:rPr>
              <w:t>Recommendation 8</w:t>
            </w:r>
            <w:r w:rsidR="00A645C3" w:rsidRPr="00A645C3">
              <w:rPr>
                <w:noProof/>
                <w:webHidden/>
                <w:sz w:val="24"/>
                <w:szCs w:val="24"/>
              </w:rPr>
              <w:tab/>
            </w:r>
            <w:r w:rsidRPr="00A645C3">
              <w:rPr>
                <w:noProof/>
                <w:webHidden/>
                <w:sz w:val="24"/>
                <w:szCs w:val="24"/>
              </w:rPr>
              <w:fldChar w:fldCharType="begin"/>
            </w:r>
            <w:r w:rsidR="00A645C3" w:rsidRPr="00A645C3">
              <w:rPr>
                <w:noProof/>
                <w:webHidden/>
                <w:sz w:val="24"/>
                <w:szCs w:val="24"/>
              </w:rPr>
              <w:instrText xml:space="preserve"> PAGEREF _Toc512895949 \h </w:instrText>
            </w:r>
            <w:r w:rsidRPr="00A645C3">
              <w:rPr>
                <w:noProof/>
                <w:webHidden/>
                <w:sz w:val="24"/>
                <w:szCs w:val="24"/>
              </w:rPr>
            </w:r>
            <w:r w:rsidRPr="00A645C3">
              <w:rPr>
                <w:noProof/>
                <w:webHidden/>
                <w:sz w:val="24"/>
                <w:szCs w:val="24"/>
              </w:rPr>
              <w:fldChar w:fldCharType="separate"/>
            </w:r>
            <w:r w:rsidR="00EE2DE3">
              <w:rPr>
                <w:noProof/>
                <w:webHidden/>
                <w:sz w:val="24"/>
                <w:szCs w:val="24"/>
              </w:rPr>
              <w:t>44</w:t>
            </w:r>
            <w:r w:rsidRPr="00A645C3">
              <w:rPr>
                <w:noProof/>
                <w:webHidden/>
                <w:sz w:val="24"/>
                <w:szCs w:val="24"/>
              </w:rPr>
              <w:fldChar w:fldCharType="end"/>
            </w:r>
          </w:hyperlink>
        </w:p>
        <w:p w:rsidR="00A645C3" w:rsidRPr="00A645C3" w:rsidRDefault="005411EE">
          <w:pPr>
            <w:pStyle w:val="TOC2"/>
            <w:tabs>
              <w:tab w:val="right" w:leader="dot" w:pos="9016"/>
            </w:tabs>
            <w:rPr>
              <w:rFonts w:eastAsiaTheme="minorEastAsia"/>
              <w:noProof/>
              <w:sz w:val="24"/>
              <w:szCs w:val="24"/>
              <w:lang w:eastAsia="en-AU"/>
            </w:rPr>
          </w:pPr>
          <w:hyperlink w:anchor="_Toc512895950" w:history="1">
            <w:r w:rsidR="00A645C3" w:rsidRPr="00A645C3">
              <w:rPr>
                <w:rStyle w:val="Hyperlink"/>
                <w:noProof/>
                <w:sz w:val="24"/>
                <w:szCs w:val="24"/>
              </w:rPr>
              <w:t>III Reform Options: Australia’s System v Comparable Common Law Systems</w:t>
            </w:r>
            <w:r w:rsidR="00A645C3" w:rsidRPr="00A645C3">
              <w:rPr>
                <w:noProof/>
                <w:webHidden/>
                <w:sz w:val="24"/>
                <w:szCs w:val="24"/>
              </w:rPr>
              <w:tab/>
            </w:r>
            <w:r w:rsidRPr="00A645C3">
              <w:rPr>
                <w:noProof/>
                <w:webHidden/>
                <w:sz w:val="24"/>
                <w:szCs w:val="24"/>
              </w:rPr>
              <w:fldChar w:fldCharType="begin"/>
            </w:r>
            <w:r w:rsidR="00A645C3" w:rsidRPr="00A645C3">
              <w:rPr>
                <w:noProof/>
                <w:webHidden/>
                <w:sz w:val="24"/>
                <w:szCs w:val="24"/>
              </w:rPr>
              <w:instrText xml:space="preserve"> PAGEREF _Toc512895950 \h </w:instrText>
            </w:r>
            <w:r w:rsidRPr="00A645C3">
              <w:rPr>
                <w:noProof/>
                <w:webHidden/>
                <w:sz w:val="24"/>
                <w:szCs w:val="24"/>
              </w:rPr>
            </w:r>
            <w:r w:rsidRPr="00A645C3">
              <w:rPr>
                <w:noProof/>
                <w:webHidden/>
                <w:sz w:val="24"/>
                <w:szCs w:val="24"/>
              </w:rPr>
              <w:fldChar w:fldCharType="separate"/>
            </w:r>
            <w:r w:rsidR="00EE2DE3">
              <w:rPr>
                <w:noProof/>
                <w:webHidden/>
                <w:sz w:val="24"/>
                <w:szCs w:val="24"/>
              </w:rPr>
              <w:t>44</w:t>
            </w:r>
            <w:r w:rsidRPr="00A645C3">
              <w:rPr>
                <w:noProof/>
                <w:webHidden/>
                <w:sz w:val="24"/>
                <w:szCs w:val="24"/>
              </w:rPr>
              <w:fldChar w:fldCharType="end"/>
            </w:r>
          </w:hyperlink>
        </w:p>
        <w:p w:rsidR="00A645C3" w:rsidRPr="00A645C3" w:rsidRDefault="005411EE">
          <w:pPr>
            <w:pStyle w:val="TOC3"/>
            <w:tabs>
              <w:tab w:val="right" w:leader="dot" w:pos="9016"/>
            </w:tabs>
            <w:rPr>
              <w:rFonts w:eastAsiaTheme="minorEastAsia"/>
              <w:noProof/>
              <w:sz w:val="24"/>
              <w:szCs w:val="24"/>
              <w:lang w:eastAsia="en-AU"/>
            </w:rPr>
          </w:pPr>
          <w:hyperlink w:anchor="_Toc512895951" w:history="1">
            <w:r w:rsidR="00A645C3" w:rsidRPr="00A645C3">
              <w:rPr>
                <w:rStyle w:val="Hyperlink"/>
                <w:i/>
                <w:noProof/>
                <w:sz w:val="24"/>
                <w:szCs w:val="24"/>
              </w:rPr>
              <w:t>Recommendation 9</w:t>
            </w:r>
            <w:r w:rsidR="00A645C3" w:rsidRPr="00A645C3">
              <w:rPr>
                <w:noProof/>
                <w:webHidden/>
                <w:sz w:val="24"/>
                <w:szCs w:val="24"/>
              </w:rPr>
              <w:tab/>
            </w:r>
            <w:r w:rsidRPr="00A645C3">
              <w:rPr>
                <w:noProof/>
                <w:webHidden/>
                <w:sz w:val="24"/>
                <w:szCs w:val="24"/>
              </w:rPr>
              <w:fldChar w:fldCharType="begin"/>
            </w:r>
            <w:r w:rsidR="00A645C3" w:rsidRPr="00A645C3">
              <w:rPr>
                <w:noProof/>
                <w:webHidden/>
                <w:sz w:val="24"/>
                <w:szCs w:val="24"/>
              </w:rPr>
              <w:instrText xml:space="preserve"> PAGEREF _Toc512895951 \h </w:instrText>
            </w:r>
            <w:r w:rsidRPr="00A645C3">
              <w:rPr>
                <w:noProof/>
                <w:webHidden/>
                <w:sz w:val="24"/>
                <w:szCs w:val="24"/>
              </w:rPr>
            </w:r>
            <w:r w:rsidRPr="00A645C3">
              <w:rPr>
                <w:noProof/>
                <w:webHidden/>
                <w:sz w:val="24"/>
                <w:szCs w:val="24"/>
              </w:rPr>
              <w:fldChar w:fldCharType="separate"/>
            </w:r>
            <w:r w:rsidR="00EE2DE3">
              <w:rPr>
                <w:noProof/>
                <w:webHidden/>
                <w:sz w:val="24"/>
                <w:szCs w:val="24"/>
              </w:rPr>
              <w:t>47</w:t>
            </w:r>
            <w:r w:rsidRPr="00A645C3">
              <w:rPr>
                <w:noProof/>
                <w:webHidden/>
                <w:sz w:val="24"/>
                <w:szCs w:val="24"/>
              </w:rPr>
              <w:fldChar w:fldCharType="end"/>
            </w:r>
          </w:hyperlink>
        </w:p>
        <w:p w:rsidR="00A645C3" w:rsidRPr="00A645C3" w:rsidRDefault="005411EE">
          <w:pPr>
            <w:pStyle w:val="TOC3"/>
            <w:tabs>
              <w:tab w:val="right" w:leader="dot" w:pos="9016"/>
            </w:tabs>
            <w:rPr>
              <w:rFonts w:eastAsiaTheme="minorEastAsia"/>
              <w:noProof/>
              <w:sz w:val="24"/>
              <w:szCs w:val="24"/>
              <w:lang w:eastAsia="en-AU"/>
            </w:rPr>
          </w:pPr>
          <w:hyperlink w:anchor="_Toc512895952" w:history="1">
            <w:r w:rsidR="00A645C3" w:rsidRPr="00A645C3">
              <w:rPr>
                <w:rStyle w:val="Hyperlink"/>
                <w:i/>
                <w:noProof/>
                <w:sz w:val="24"/>
                <w:szCs w:val="24"/>
              </w:rPr>
              <w:t>Recommendation 10</w:t>
            </w:r>
            <w:r w:rsidR="00A645C3" w:rsidRPr="00A645C3">
              <w:rPr>
                <w:noProof/>
                <w:webHidden/>
                <w:sz w:val="24"/>
                <w:szCs w:val="24"/>
              </w:rPr>
              <w:tab/>
            </w:r>
            <w:r w:rsidRPr="00A645C3">
              <w:rPr>
                <w:noProof/>
                <w:webHidden/>
                <w:sz w:val="24"/>
                <w:szCs w:val="24"/>
              </w:rPr>
              <w:fldChar w:fldCharType="begin"/>
            </w:r>
            <w:r w:rsidR="00A645C3" w:rsidRPr="00A645C3">
              <w:rPr>
                <w:noProof/>
                <w:webHidden/>
                <w:sz w:val="24"/>
                <w:szCs w:val="24"/>
              </w:rPr>
              <w:instrText xml:space="preserve"> PAGEREF _Toc512895952 \h </w:instrText>
            </w:r>
            <w:r w:rsidRPr="00A645C3">
              <w:rPr>
                <w:noProof/>
                <w:webHidden/>
                <w:sz w:val="24"/>
                <w:szCs w:val="24"/>
              </w:rPr>
            </w:r>
            <w:r w:rsidRPr="00A645C3">
              <w:rPr>
                <w:noProof/>
                <w:webHidden/>
                <w:sz w:val="24"/>
                <w:szCs w:val="24"/>
              </w:rPr>
              <w:fldChar w:fldCharType="separate"/>
            </w:r>
            <w:r w:rsidR="00EE2DE3">
              <w:rPr>
                <w:noProof/>
                <w:webHidden/>
                <w:sz w:val="24"/>
                <w:szCs w:val="24"/>
              </w:rPr>
              <w:t>47</w:t>
            </w:r>
            <w:r w:rsidRPr="00A645C3">
              <w:rPr>
                <w:noProof/>
                <w:webHidden/>
                <w:sz w:val="24"/>
                <w:szCs w:val="24"/>
              </w:rPr>
              <w:fldChar w:fldCharType="end"/>
            </w:r>
          </w:hyperlink>
        </w:p>
        <w:p w:rsidR="00A645C3" w:rsidRPr="00A645C3" w:rsidRDefault="005411EE">
          <w:pPr>
            <w:pStyle w:val="TOC2"/>
            <w:tabs>
              <w:tab w:val="right" w:leader="dot" w:pos="9016"/>
            </w:tabs>
            <w:rPr>
              <w:rFonts w:eastAsiaTheme="minorEastAsia"/>
              <w:noProof/>
              <w:sz w:val="24"/>
              <w:szCs w:val="24"/>
              <w:lang w:eastAsia="en-AU"/>
            </w:rPr>
          </w:pPr>
          <w:hyperlink w:anchor="_Toc512895953" w:history="1">
            <w:r w:rsidR="00A645C3" w:rsidRPr="00A645C3">
              <w:rPr>
                <w:rStyle w:val="Hyperlink"/>
                <w:noProof/>
                <w:sz w:val="24"/>
                <w:szCs w:val="24"/>
              </w:rPr>
              <w:t>IV Contributions: Outdated and Unhelpful</w:t>
            </w:r>
            <w:r w:rsidR="00A645C3" w:rsidRPr="00A645C3">
              <w:rPr>
                <w:noProof/>
                <w:webHidden/>
                <w:sz w:val="24"/>
                <w:szCs w:val="24"/>
              </w:rPr>
              <w:tab/>
            </w:r>
            <w:r w:rsidRPr="00A645C3">
              <w:rPr>
                <w:noProof/>
                <w:webHidden/>
                <w:sz w:val="24"/>
                <w:szCs w:val="24"/>
              </w:rPr>
              <w:fldChar w:fldCharType="begin"/>
            </w:r>
            <w:r w:rsidR="00A645C3" w:rsidRPr="00A645C3">
              <w:rPr>
                <w:noProof/>
                <w:webHidden/>
                <w:sz w:val="24"/>
                <w:szCs w:val="24"/>
              </w:rPr>
              <w:instrText xml:space="preserve"> PAGEREF _Toc512895953 \h </w:instrText>
            </w:r>
            <w:r w:rsidRPr="00A645C3">
              <w:rPr>
                <w:noProof/>
                <w:webHidden/>
                <w:sz w:val="24"/>
                <w:szCs w:val="24"/>
              </w:rPr>
            </w:r>
            <w:r w:rsidRPr="00A645C3">
              <w:rPr>
                <w:noProof/>
                <w:webHidden/>
                <w:sz w:val="24"/>
                <w:szCs w:val="24"/>
              </w:rPr>
              <w:fldChar w:fldCharType="separate"/>
            </w:r>
            <w:r w:rsidR="00EE2DE3">
              <w:rPr>
                <w:noProof/>
                <w:webHidden/>
                <w:sz w:val="24"/>
                <w:szCs w:val="24"/>
              </w:rPr>
              <w:t>50</w:t>
            </w:r>
            <w:r w:rsidRPr="00A645C3">
              <w:rPr>
                <w:noProof/>
                <w:webHidden/>
                <w:sz w:val="24"/>
                <w:szCs w:val="24"/>
              </w:rPr>
              <w:fldChar w:fldCharType="end"/>
            </w:r>
          </w:hyperlink>
        </w:p>
        <w:p w:rsidR="00A645C3" w:rsidRPr="00A645C3" w:rsidRDefault="005411EE">
          <w:pPr>
            <w:pStyle w:val="TOC3"/>
            <w:tabs>
              <w:tab w:val="right" w:leader="dot" w:pos="9016"/>
            </w:tabs>
            <w:rPr>
              <w:rFonts w:eastAsiaTheme="minorEastAsia"/>
              <w:noProof/>
              <w:sz w:val="24"/>
              <w:szCs w:val="24"/>
              <w:lang w:eastAsia="en-AU"/>
            </w:rPr>
          </w:pPr>
          <w:hyperlink w:anchor="_Toc512895954" w:history="1">
            <w:r w:rsidR="00A645C3" w:rsidRPr="00A645C3">
              <w:rPr>
                <w:rStyle w:val="Hyperlink"/>
                <w:i/>
                <w:noProof/>
                <w:sz w:val="24"/>
                <w:szCs w:val="24"/>
              </w:rPr>
              <w:t>Recommendation 11</w:t>
            </w:r>
            <w:r w:rsidR="00A645C3" w:rsidRPr="00A645C3">
              <w:rPr>
                <w:noProof/>
                <w:webHidden/>
                <w:sz w:val="24"/>
                <w:szCs w:val="24"/>
              </w:rPr>
              <w:tab/>
            </w:r>
            <w:r w:rsidRPr="00A645C3">
              <w:rPr>
                <w:noProof/>
                <w:webHidden/>
                <w:sz w:val="24"/>
                <w:szCs w:val="24"/>
              </w:rPr>
              <w:fldChar w:fldCharType="begin"/>
            </w:r>
            <w:r w:rsidR="00A645C3" w:rsidRPr="00A645C3">
              <w:rPr>
                <w:noProof/>
                <w:webHidden/>
                <w:sz w:val="24"/>
                <w:szCs w:val="24"/>
              </w:rPr>
              <w:instrText xml:space="preserve"> PAGEREF _Toc512895954 \h </w:instrText>
            </w:r>
            <w:r w:rsidRPr="00A645C3">
              <w:rPr>
                <w:noProof/>
                <w:webHidden/>
                <w:sz w:val="24"/>
                <w:szCs w:val="24"/>
              </w:rPr>
            </w:r>
            <w:r w:rsidRPr="00A645C3">
              <w:rPr>
                <w:noProof/>
                <w:webHidden/>
                <w:sz w:val="24"/>
                <w:szCs w:val="24"/>
              </w:rPr>
              <w:fldChar w:fldCharType="separate"/>
            </w:r>
            <w:r w:rsidR="00EE2DE3">
              <w:rPr>
                <w:noProof/>
                <w:webHidden/>
                <w:sz w:val="24"/>
                <w:szCs w:val="24"/>
              </w:rPr>
              <w:t>52</w:t>
            </w:r>
            <w:r w:rsidRPr="00A645C3">
              <w:rPr>
                <w:noProof/>
                <w:webHidden/>
                <w:sz w:val="24"/>
                <w:szCs w:val="24"/>
              </w:rPr>
              <w:fldChar w:fldCharType="end"/>
            </w:r>
          </w:hyperlink>
        </w:p>
        <w:p w:rsidR="00A645C3" w:rsidRPr="00A645C3" w:rsidRDefault="005411EE">
          <w:pPr>
            <w:pStyle w:val="TOC2"/>
            <w:tabs>
              <w:tab w:val="right" w:leader="dot" w:pos="9016"/>
            </w:tabs>
            <w:rPr>
              <w:rFonts w:eastAsiaTheme="minorEastAsia"/>
              <w:noProof/>
              <w:sz w:val="24"/>
              <w:szCs w:val="24"/>
              <w:lang w:eastAsia="en-AU"/>
            </w:rPr>
          </w:pPr>
          <w:hyperlink w:anchor="_Toc512895955" w:history="1">
            <w:r w:rsidR="00A645C3" w:rsidRPr="00A645C3">
              <w:rPr>
                <w:rStyle w:val="Hyperlink"/>
                <w:noProof/>
                <w:sz w:val="24"/>
                <w:szCs w:val="24"/>
              </w:rPr>
              <w:t>V Reform Proposal #1: A (Statutory) Guide for Transparency and Clarity</w:t>
            </w:r>
            <w:r w:rsidR="00A645C3" w:rsidRPr="00A645C3">
              <w:rPr>
                <w:noProof/>
                <w:webHidden/>
                <w:sz w:val="24"/>
                <w:szCs w:val="24"/>
              </w:rPr>
              <w:tab/>
            </w:r>
            <w:r w:rsidRPr="00A645C3">
              <w:rPr>
                <w:noProof/>
                <w:webHidden/>
                <w:sz w:val="24"/>
                <w:szCs w:val="24"/>
              </w:rPr>
              <w:fldChar w:fldCharType="begin"/>
            </w:r>
            <w:r w:rsidR="00A645C3" w:rsidRPr="00A645C3">
              <w:rPr>
                <w:noProof/>
                <w:webHidden/>
                <w:sz w:val="24"/>
                <w:szCs w:val="24"/>
              </w:rPr>
              <w:instrText xml:space="preserve"> PAGEREF _Toc512895955 \h </w:instrText>
            </w:r>
            <w:r w:rsidRPr="00A645C3">
              <w:rPr>
                <w:noProof/>
                <w:webHidden/>
                <w:sz w:val="24"/>
                <w:szCs w:val="24"/>
              </w:rPr>
            </w:r>
            <w:r w:rsidRPr="00A645C3">
              <w:rPr>
                <w:noProof/>
                <w:webHidden/>
                <w:sz w:val="24"/>
                <w:szCs w:val="24"/>
              </w:rPr>
              <w:fldChar w:fldCharType="separate"/>
            </w:r>
            <w:r w:rsidR="00EE2DE3">
              <w:rPr>
                <w:noProof/>
                <w:webHidden/>
                <w:sz w:val="24"/>
                <w:szCs w:val="24"/>
              </w:rPr>
              <w:t>52</w:t>
            </w:r>
            <w:r w:rsidRPr="00A645C3">
              <w:rPr>
                <w:noProof/>
                <w:webHidden/>
                <w:sz w:val="24"/>
                <w:szCs w:val="24"/>
              </w:rPr>
              <w:fldChar w:fldCharType="end"/>
            </w:r>
          </w:hyperlink>
        </w:p>
        <w:p w:rsidR="00A645C3" w:rsidRPr="00A645C3" w:rsidRDefault="005411EE">
          <w:pPr>
            <w:pStyle w:val="TOC3"/>
            <w:tabs>
              <w:tab w:val="right" w:leader="dot" w:pos="9016"/>
            </w:tabs>
            <w:rPr>
              <w:rFonts w:eastAsiaTheme="minorEastAsia"/>
              <w:noProof/>
              <w:sz w:val="24"/>
              <w:szCs w:val="24"/>
              <w:lang w:eastAsia="en-AU"/>
            </w:rPr>
          </w:pPr>
          <w:hyperlink w:anchor="_Toc512895956" w:history="1">
            <w:r w:rsidR="00A645C3" w:rsidRPr="00A645C3">
              <w:rPr>
                <w:rStyle w:val="Hyperlink"/>
                <w:i/>
                <w:noProof/>
                <w:sz w:val="24"/>
                <w:szCs w:val="24"/>
              </w:rPr>
              <w:t>Recommendation 12</w:t>
            </w:r>
            <w:r w:rsidR="00A645C3" w:rsidRPr="00A645C3">
              <w:rPr>
                <w:noProof/>
                <w:webHidden/>
                <w:sz w:val="24"/>
                <w:szCs w:val="24"/>
              </w:rPr>
              <w:tab/>
            </w:r>
            <w:r w:rsidRPr="00A645C3">
              <w:rPr>
                <w:noProof/>
                <w:webHidden/>
                <w:sz w:val="24"/>
                <w:szCs w:val="24"/>
              </w:rPr>
              <w:fldChar w:fldCharType="begin"/>
            </w:r>
            <w:r w:rsidR="00A645C3" w:rsidRPr="00A645C3">
              <w:rPr>
                <w:noProof/>
                <w:webHidden/>
                <w:sz w:val="24"/>
                <w:szCs w:val="24"/>
              </w:rPr>
              <w:instrText xml:space="preserve"> PAGEREF _Toc512895956 \h </w:instrText>
            </w:r>
            <w:r w:rsidRPr="00A645C3">
              <w:rPr>
                <w:noProof/>
                <w:webHidden/>
                <w:sz w:val="24"/>
                <w:szCs w:val="24"/>
              </w:rPr>
            </w:r>
            <w:r w:rsidRPr="00A645C3">
              <w:rPr>
                <w:noProof/>
                <w:webHidden/>
                <w:sz w:val="24"/>
                <w:szCs w:val="24"/>
              </w:rPr>
              <w:fldChar w:fldCharType="separate"/>
            </w:r>
            <w:r w:rsidR="00EE2DE3">
              <w:rPr>
                <w:noProof/>
                <w:webHidden/>
                <w:sz w:val="24"/>
                <w:szCs w:val="24"/>
              </w:rPr>
              <w:t>58</w:t>
            </w:r>
            <w:r w:rsidRPr="00A645C3">
              <w:rPr>
                <w:noProof/>
                <w:webHidden/>
                <w:sz w:val="24"/>
                <w:szCs w:val="24"/>
              </w:rPr>
              <w:fldChar w:fldCharType="end"/>
            </w:r>
          </w:hyperlink>
        </w:p>
        <w:p w:rsidR="00A645C3" w:rsidRPr="00A645C3" w:rsidRDefault="005411EE">
          <w:pPr>
            <w:pStyle w:val="TOC3"/>
            <w:tabs>
              <w:tab w:val="right" w:leader="dot" w:pos="9016"/>
            </w:tabs>
            <w:rPr>
              <w:rFonts w:eastAsiaTheme="minorEastAsia"/>
              <w:noProof/>
              <w:sz w:val="24"/>
              <w:szCs w:val="24"/>
              <w:lang w:eastAsia="en-AU"/>
            </w:rPr>
          </w:pPr>
          <w:hyperlink w:anchor="_Toc512895957" w:history="1">
            <w:r w:rsidR="00A645C3" w:rsidRPr="00A645C3">
              <w:rPr>
                <w:rStyle w:val="Hyperlink"/>
                <w:i/>
                <w:noProof/>
                <w:sz w:val="24"/>
                <w:szCs w:val="24"/>
              </w:rPr>
              <w:t>Recommendation 13</w:t>
            </w:r>
            <w:r w:rsidR="00A645C3" w:rsidRPr="00A645C3">
              <w:rPr>
                <w:noProof/>
                <w:webHidden/>
                <w:sz w:val="24"/>
                <w:szCs w:val="24"/>
              </w:rPr>
              <w:tab/>
            </w:r>
            <w:r w:rsidRPr="00A645C3">
              <w:rPr>
                <w:noProof/>
                <w:webHidden/>
                <w:sz w:val="24"/>
                <w:szCs w:val="24"/>
              </w:rPr>
              <w:fldChar w:fldCharType="begin"/>
            </w:r>
            <w:r w:rsidR="00A645C3" w:rsidRPr="00A645C3">
              <w:rPr>
                <w:noProof/>
                <w:webHidden/>
                <w:sz w:val="24"/>
                <w:szCs w:val="24"/>
              </w:rPr>
              <w:instrText xml:space="preserve"> PAGEREF _Toc512895957 \h </w:instrText>
            </w:r>
            <w:r w:rsidRPr="00A645C3">
              <w:rPr>
                <w:noProof/>
                <w:webHidden/>
                <w:sz w:val="24"/>
                <w:szCs w:val="24"/>
              </w:rPr>
            </w:r>
            <w:r w:rsidRPr="00A645C3">
              <w:rPr>
                <w:noProof/>
                <w:webHidden/>
                <w:sz w:val="24"/>
                <w:szCs w:val="24"/>
              </w:rPr>
              <w:fldChar w:fldCharType="separate"/>
            </w:r>
            <w:r w:rsidR="00EE2DE3">
              <w:rPr>
                <w:noProof/>
                <w:webHidden/>
                <w:sz w:val="24"/>
                <w:szCs w:val="24"/>
              </w:rPr>
              <w:t>59</w:t>
            </w:r>
            <w:r w:rsidRPr="00A645C3">
              <w:rPr>
                <w:noProof/>
                <w:webHidden/>
                <w:sz w:val="24"/>
                <w:szCs w:val="24"/>
              </w:rPr>
              <w:fldChar w:fldCharType="end"/>
            </w:r>
          </w:hyperlink>
        </w:p>
        <w:p w:rsidR="00A645C3" w:rsidRPr="00A645C3" w:rsidRDefault="005411EE">
          <w:pPr>
            <w:pStyle w:val="TOC2"/>
            <w:tabs>
              <w:tab w:val="right" w:leader="dot" w:pos="9016"/>
            </w:tabs>
            <w:rPr>
              <w:rFonts w:eastAsiaTheme="minorEastAsia"/>
              <w:noProof/>
              <w:sz w:val="24"/>
              <w:szCs w:val="24"/>
              <w:lang w:eastAsia="en-AU"/>
            </w:rPr>
          </w:pPr>
          <w:hyperlink w:anchor="_Toc512895958" w:history="1">
            <w:r w:rsidR="00A645C3" w:rsidRPr="00A645C3">
              <w:rPr>
                <w:rStyle w:val="Hyperlink"/>
                <w:noProof/>
                <w:sz w:val="24"/>
                <w:szCs w:val="24"/>
              </w:rPr>
              <w:t>VI Reform Proposal #2: Radical Change</w:t>
            </w:r>
            <w:r w:rsidR="00A645C3" w:rsidRPr="00A645C3">
              <w:rPr>
                <w:noProof/>
                <w:webHidden/>
                <w:sz w:val="24"/>
                <w:szCs w:val="24"/>
              </w:rPr>
              <w:tab/>
            </w:r>
            <w:r w:rsidRPr="00A645C3">
              <w:rPr>
                <w:noProof/>
                <w:webHidden/>
                <w:sz w:val="24"/>
                <w:szCs w:val="24"/>
              </w:rPr>
              <w:fldChar w:fldCharType="begin"/>
            </w:r>
            <w:r w:rsidR="00A645C3" w:rsidRPr="00A645C3">
              <w:rPr>
                <w:noProof/>
                <w:webHidden/>
                <w:sz w:val="24"/>
                <w:szCs w:val="24"/>
              </w:rPr>
              <w:instrText xml:space="preserve"> PAGEREF _Toc512895958 \h </w:instrText>
            </w:r>
            <w:r w:rsidRPr="00A645C3">
              <w:rPr>
                <w:noProof/>
                <w:webHidden/>
                <w:sz w:val="24"/>
                <w:szCs w:val="24"/>
              </w:rPr>
            </w:r>
            <w:r w:rsidRPr="00A645C3">
              <w:rPr>
                <w:noProof/>
                <w:webHidden/>
                <w:sz w:val="24"/>
                <w:szCs w:val="24"/>
              </w:rPr>
              <w:fldChar w:fldCharType="separate"/>
            </w:r>
            <w:r w:rsidR="00EE2DE3">
              <w:rPr>
                <w:noProof/>
                <w:webHidden/>
                <w:sz w:val="24"/>
                <w:szCs w:val="24"/>
              </w:rPr>
              <w:t>59</w:t>
            </w:r>
            <w:r w:rsidRPr="00A645C3">
              <w:rPr>
                <w:noProof/>
                <w:webHidden/>
                <w:sz w:val="24"/>
                <w:szCs w:val="24"/>
              </w:rPr>
              <w:fldChar w:fldCharType="end"/>
            </w:r>
          </w:hyperlink>
        </w:p>
        <w:p w:rsidR="00A645C3" w:rsidRPr="00A645C3" w:rsidRDefault="005411EE">
          <w:pPr>
            <w:pStyle w:val="TOC3"/>
            <w:tabs>
              <w:tab w:val="right" w:leader="dot" w:pos="9016"/>
            </w:tabs>
            <w:rPr>
              <w:rFonts w:eastAsiaTheme="minorEastAsia"/>
              <w:noProof/>
              <w:sz w:val="24"/>
              <w:szCs w:val="24"/>
              <w:lang w:eastAsia="en-AU"/>
            </w:rPr>
          </w:pPr>
          <w:hyperlink w:anchor="_Toc512895959" w:history="1">
            <w:r w:rsidR="00A645C3" w:rsidRPr="00A645C3">
              <w:rPr>
                <w:rStyle w:val="Hyperlink"/>
                <w:i/>
                <w:noProof/>
                <w:sz w:val="24"/>
                <w:szCs w:val="24"/>
              </w:rPr>
              <w:t>Recommendation 14</w:t>
            </w:r>
            <w:r w:rsidR="00A645C3" w:rsidRPr="00A645C3">
              <w:rPr>
                <w:noProof/>
                <w:webHidden/>
                <w:sz w:val="24"/>
                <w:szCs w:val="24"/>
              </w:rPr>
              <w:tab/>
            </w:r>
            <w:r w:rsidRPr="00A645C3">
              <w:rPr>
                <w:noProof/>
                <w:webHidden/>
                <w:sz w:val="24"/>
                <w:szCs w:val="24"/>
              </w:rPr>
              <w:fldChar w:fldCharType="begin"/>
            </w:r>
            <w:r w:rsidR="00A645C3" w:rsidRPr="00A645C3">
              <w:rPr>
                <w:noProof/>
                <w:webHidden/>
                <w:sz w:val="24"/>
                <w:szCs w:val="24"/>
              </w:rPr>
              <w:instrText xml:space="preserve"> PAGEREF _Toc512895959 \h </w:instrText>
            </w:r>
            <w:r w:rsidRPr="00A645C3">
              <w:rPr>
                <w:noProof/>
                <w:webHidden/>
                <w:sz w:val="24"/>
                <w:szCs w:val="24"/>
              </w:rPr>
            </w:r>
            <w:r w:rsidRPr="00A645C3">
              <w:rPr>
                <w:noProof/>
                <w:webHidden/>
                <w:sz w:val="24"/>
                <w:szCs w:val="24"/>
              </w:rPr>
              <w:fldChar w:fldCharType="separate"/>
            </w:r>
            <w:r w:rsidR="00EE2DE3">
              <w:rPr>
                <w:noProof/>
                <w:webHidden/>
                <w:sz w:val="24"/>
                <w:szCs w:val="24"/>
              </w:rPr>
              <w:t>66</w:t>
            </w:r>
            <w:r w:rsidRPr="00A645C3">
              <w:rPr>
                <w:noProof/>
                <w:webHidden/>
                <w:sz w:val="24"/>
                <w:szCs w:val="24"/>
              </w:rPr>
              <w:fldChar w:fldCharType="end"/>
            </w:r>
          </w:hyperlink>
        </w:p>
        <w:p w:rsidR="00A645C3" w:rsidRPr="00A645C3" w:rsidRDefault="005411EE">
          <w:pPr>
            <w:pStyle w:val="TOC1"/>
            <w:tabs>
              <w:tab w:val="right" w:leader="dot" w:pos="9016"/>
            </w:tabs>
            <w:rPr>
              <w:rFonts w:eastAsiaTheme="minorEastAsia"/>
              <w:noProof/>
              <w:sz w:val="24"/>
              <w:szCs w:val="24"/>
              <w:lang w:eastAsia="en-AU"/>
            </w:rPr>
          </w:pPr>
          <w:hyperlink w:anchor="_Toc512895960" w:history="1">
            <w:r w:rsidR="00A645C3" w:rsidRPr="00A645C3">
              <w:rPr>
                <w:rStyle w:val="Hyperlink"/>
                <w:b/>
                <w:noProof/>
                <w:sz w:val="24"/>
                <w:szCs w:val="24"/>
              </w:rPr>
              <w:t xml:space="preserve">Question 19: What changes could be made to the provisions in the </w:t>
            </w:r>
            <w:r w:rsidR="00A645C3" w:rsidRPr="00A645C3">
              <w:rPr>
                <w:rStyle w:val="Hyperlink"/>
                <w:b/>
                <w:i/>
                <w:iCs/>
                <w:noProof/>
                <w:sz w:val="24"/>
                <w:szCs w:val="24"/>
              </w:rPr>
              <w:t xml:space="preserve">Family Law Act </w:t>
            </w:r>
            <w:r w:rsidR="00A645C3" w:rsidRPr="00A645C3">
              <w:rPr>
                <w:rStyle w:val="Hyperlink"/>
                <w:b/>
                <w:noProof/>
                <w:sz w:val="24"/>
                <w:szCs w:val="24"/>
              </w:rPr>
              <w:t>governing binding financial agreements to improve the clarity and comprehensibility of the law for parties and to promote fair outcomes?</w:t>
            </w:r>
            <w:r w:rsidR="00A645C3" w:rsidRPr="00A645C3">
              <w:rPr>
                <w:noProof/>
                <w:webHidden/>
                <w:sz w:val="24"/>
                <w:szCs w:val="24"/>
              </w:rPr>
              <w:tab/>
            </w:r>
            <w:r w:rsidRPr="00A645C3">
              <w:rPr>
                <w:noProof/>
                <w:webHidden/>
                <w:sz w:val="24"/>
                <w:szCs w:val="24"/>
              </w:rPr>
              <w:fldChar w:fldCharType="begin"/>
            </w:r>
            <w:r w:rsidR="00A645C3" w:rsidRPr="00A645C3">
              <w:rPr>
                <w:noProof/>
                <w:webHidden/>
                <w:sz w:val="24"/>
                <w:szCs w:val="24"/>
              </w:rPr>
              <w:instrText xml:space="preserve"> PAGEREF _Toc512895960 \h </w:instrText>
            </w:r>
            <w:r w:rsidRPr="00A645C3">
              <w:rPr>
                <w:noProof/>
                <w:webHidden/>
                <w:sz w:val="24"/>
                <w:szCs w:val="24"/>
              </w:rPr>
            </w:r>
            <w:r w:rsidRPr="00A645C3">
              <w:rPr>
                <w:noProof/>
                <w:webHidden/>
                <w:sz w:val="24"/>
                <w:szCs w:val="24"/>
              </w:rPr>
              <w:fldChar w:fldCharType="separate"/>
            </w:r>
            <w:r w:rsidR="00EE2DE3">
              <w:rPr>
                <w:noProof/>
                <w:webHidden/>
                <w:sz w:val="24"/>
                <w:szCs w:val="24"/>
              </w:rPr>
              <w:t>68</w:t>
            </w:r>
            <w:r w:rsidRPr="00A645C3">
              <w:rPr>
                <w:noProof/>
                <w:webHidden/>
                <w:sz w:val="24"/>
                <w:szCs w:val="24"/>
              </w:rPr>
              <w:fldChar w:fldCharType="end"/>
            </w:r>
          </w:hyperlink>
        </w:p>
        <w:p w:rsidR="00A645C3" w:rsidRPr="00A645C3" w:rsidRDefault="005411EE">
          <w:pPr>
            <w:pStyle w:val="TOC2"/>
            <w:tabs>
              <w:tab w:val="right" w:leader="dot" w:pos="9016"/>
            </w:tabs>
            <w:rPr>
              <w:rFonts w:eastAsiaTheme="minorEastAsia"/>
              <w:noProof/>
              <w:sz w:val="24"/>
              <w:szCs w:val="24"/>
              <w:lang w:eastAsia="en-AU"/>
            </w:rPr>
          </w:pPr>
          <w:hyperlink w:anchor="_Toc512895961" w:history="1">
            <w:r w:rsidR="00A645C3" w:rsidRPr="00A645C3">
              <w:rPr>
                <w:rStyle w:val="Hyperlink"/>
                <w:noProof/>
                <w:sz w:val="24"/>
                <w:szCs w:val="24"/>
              </w:rPr>
              <w:t>I New Question but Similar Issues</w:t>
            </w:r>
            <w:r w:rsidR="00A645C3" w:rsidRPr="00A645C3">
              <w:rPr>
                <w:noProof/>
                <w:webHidden/>
                <w:sz w:val="24"/>
                <w:szCs w:val="24"/>
              </w:rPr>
              <w:tab/>
            </w:r>
            <w:r w:rsidRPr="00A645C3">
              <w:rPr>
                <w:noProof/>
                <w:webHidden/>
                <w:sz w:val="24"/>
                <w:szCs w:val="24"/>
              </w:rPr>
              <w:fldChar w:fldCharType="begin"/>
            </w:r>
            <w:r w:rsidR="00A645C3" w:rsidRPr="00A645C3">
              <w:rPr>
                <w:noProof/>
                <w:webHidden/>
                <w:sz w:val="24"/>
                <w:szCs w:val="24"/>
              </w:rPr>
              <w:instrText xml:space="preserve"> PAGEREF _Toc512895961 \h </w:instrText>
            </w:r>
            <w:r w:rsidRPr="00A645C3">
              <w:rPr>
                <w:noProof/>
                <w:webHidden/>
                <w:sz w:val="24"/>
                <w:szCs w:val="24"/>
              </w:rPr>
            </w:r>
            <w:r w:rsidRPr="00A645C3">
              <w:rPr>
                <w:noProof/>
                <w:webHidden/>
                <w:sz w:val="24"/>
                <w:szCs w:val="24"/>
              </w:rPr>
              <w:fldChar w:fldCharType="separate"/>
            </w:r>
            <w:r w:rsidR="00EE2DE3">
              <w:rPr>
                <w:noProof/>
                <w:webHidden/>
                <w:sz w:val="24"/>
                <w:szCs w:val="24"/>
              </w:rPr>
              <w:t>68</w:t>
            </w:r>
            <w:r w:rsidRPr="00A645C3">
              <w:rPr>
                <w:noProof/>
                <w:webHidden/>
                <w:sz w:val="24"/>
                <w:szCs w:val="24"/>
              </w:rPr>
              <w:fldChar w:fldCharType="end"/>
            </w:r>
          </w:hyperlink>
        </w:p>
        <w:p w:rsidR="00A645C3" w:rsidRPr="00A645C3" w:rsidRDefault="005411EE">
          <w:pPr>
            <w:pStyle w:val="TOC3"/>
            <w:tabs>
              <w:tab w:val="right" w:leader="dot" w:pos="9016"/>
            </w:tabs>
            <w:rPr>
              <w:rFonts w:eastAsiaTheme="minorEastAsia"/>
              <w:noProof/>
              <w:sz w:val="24"/>
              <w:szCs w:val="24"/>
              <w:lang w:eastAsia="en-AU"/>
            </w:rPr>
          </w:pPr>
          <w:hyperlink w:anchor="_Toc512895962" w:history="1">
            <w:r w:rsidR="00A645C3" w:rsidRPr="00A645C3">
              <w:rPr>
                <w:rStyle w:val="Hyperlink"/>
                <w:i/>
                <w:noProof/>
                <w:sz w:val="24"/>
                <w:szCs w:val="24"/>
              </w:rPr>
              <w:t>Recommendation 15</w:t>
            </w:r>
            <w:r w:rsidR="00A645C3" w:rsidRPr="00A645C3">
              <w:rPr>
                <w:noProof/>
                <w:webHidden/>
                <w:sz w:val="24"/>
                <w:szCs w:val="24"/>
              </w:rPr>
              <w:tab/>
            </w:r>
            <w:r w:rsidRPr="00A645C3">
              <w:rPr>
                <w:noProof/>
                <w:webHidden/>
                <w:sz w:val="24"/>
                <w:szCs w:val="24"/>
              </w:rPr>
              <w:fldChar w:fldCharType="begin"/>
            </w:r>
            <w:r w:rsidR="00A645C3" w:rsidRPr="00A645C3">
              <w:rPr>
                <w:noProof/>
                <w:webHidden/>
                <w:sz w:val="24"/>
                <w:szCs w:val="24"/>
              </w:rPr>
              <w:instrText xml:space="preserve"> PAGEREF _Toc512895962 \h </w:instrText>
            </w:r>
            <w:r w:rsidRPr="00A645C3">
              <w:rPr>
                <w:noProof/>
                <w:webHidden/>
                <w:sz w:val="24"/>
                <w:szCs w:val="24"/>
              </w:rPr>
            </w:r>
            <w:r w:rsidRPr="00A645C3">
              <w:rPr>
                <w:noProof/>
                <w:webHidden/>
                <w:sz w:val="24"/>
                <w:szCs w:val="24"/>
              </w:rPr>
              <w:fldChar w:fldCharType="separate"/>
            </w:r>
            <w:r w:rsidR="00EE2DE3">
              <w:rPr>
                <w:noProof/>
                <w:webHidden/>
                <w:sz w:val="24"/>
                <w:szCs w:val="24"/>
              </w:rPr>
              <w:t>69</w:t>
            </w:r>
            <w:r w:rsidRPr="00A645C3">
              <w:rPr>
                <w:noProof/>
                <w:webHidden/>
                <w:sz w:val="24"/>
                <w:szCs w:val="24"/>
              </w:rPr>
              <w:fldChar w:fldCharType="end"/>
            </w:r>
          </w:hyperlink>
        </w:p>
        <w:p w:rsidR="00A645C3" w:rsidRPr="00A645C3" w:rsidRDefault="005411EE">
          <w:pPr>
            <w:pStyle w:val="TOC3"/>
            <w:tabs>
              <w:tab w:val="right" w:leader="dot" w:pos="9016"/>
            </w:tabs>
            <w:rPr>
              <w:rFonts w:eastAsiaTheme="minorEastAsia"/>
              <w:noProof/>
              <w:sz w:val="24"/>
              <w:szCs w:val="24"/>
              <w:lang w:eastAsia="en-AU"/>
            </w:rPr>
          </w:pPr>
          <w:hyperlink w:anchor="_Toc512895963" w:history="1">
            <w:r w:rsidR="00A645C3" w:rsidRPr="00A645C3">
              <w:rPr>
                <w:rStyle w:val="Hyperlink"/>
                <w:i/>
                <w:noProof/>
                <w:sz w:val="24"/>
                <w:szCs w:val="24"/>
              </w:rPr>
              <w:t>Recommendation 16</w:t>
            </w:r>
            <w:r w:rsidR="00A645C3" w:rsidRPr="00A645C3">
              <w:rPr>
                <w:noProof/>
                <w:webHidden/>
                <w:sz w:val="24"/>
                <w:szCs w:val="24"/>
              </w:rPr>
              <w:tab/>
            </w:r>
            <w:r w:rsidRPr="00A645C3">
              <w:rPr>
                <w:noProof/>
                <w:webHidden/>
                <w:sz w:val="24"/>
                <w:szCs w:val="24"/>
              </w:rPr>
              <w:fldChar w:fldCharType="begin"/>
            </w:r>
            <w:r w:rsidR="00A645C3" w:rsidRPr="00A645C3">
              <w:rPr>
                <w:noProof/>
                <w:webHidden/>
                <w:sz w:val="24"/>
                <w:szCs w:val="24"/>
              </w:rPr>
              <w:instrText xml:space="preserve"> PAGEREF _Toc512895963 \h </w:instrText>
            </w:r>
            <w:r w:rsidRPr="00A645C3">
              <w:rPr>
                <w:noProof/>
                <w:webHidden/>
                <w:sz w:val="24"/>
                <w:szCs w:val="24"/>
              </w:rPr>
            </w:r>
            <w:r w:rsidRPr="00A645C3">
              <w:rPr>
                <w:noProof/>
                <w:webHidden/>
                <w:sz w:val="24"/>
                <w:szCs w:val="24"/>
              </w:rPr>
              <w:fldChar w:fldCharType="separate"/>
            </w:r>
            <w:r w:rsidR="00EE2DE3">
              <w:rPr>
                <w:noProof/>
                <w:webHidden/>
                <w:sz w:val="24"/>
                <w:szCs w:val="24"/>
              </w:rPr>
              <w:t>69</w:t>
            </w:r>
            <w:r w:rsidRPr="00A645C3">
              <w:rPr>
                <w:noProof/>
                <w:webHidden/>
                <w:sz w:val="24"/>
                <w:szCs w:val="24"/>
              </w:rPr>
              <w:fldChar w:fldCharType="end"/>
            </w:r>
          </w:hyperlink>
        </w:p>
        <w:p w:rsidR="00A645C3" w:rsidRPr="00A645C3" w:rsidRDefault="005411EE">
          <w:pPr>
            <w:pStyle w:val="TOC2"/>
            <w:tabs>
              <w:tab w:val="right" w:leader="dot" w:pos="9016"/>
            </w:tabs>
            <w:rPr>
              <w:rFonts w:eastAsiaTheme="minorEastAsia"/>
              <w:noProof/>
              <w:sz w:val="24"/>
              <w:szCs w:val="24"/>
              <w:lang w:eastAsia="en-AU"/>
            </w:rPr>
          </w:pPr>
          <w:hyperlink w:anchor="_Toc512895964" w:history="1">
            <w:r w:rsidR="00A645C3" w:rsidRPr="00A645C3">
              <w:rPr>
                <w:rStyle w:val="Hyperlink"/>
                <w:noProof/>
                <w:sz w:val="24"/>
                <w:szCs w:val="24"/>
              </w:rPr>
              <w:t>II No Substantive Changes: A Summary</w:t>
            </w:r>
            <w:r w:rsidR="00A645C3" w:rsidRPr="00A645C3">
              <w:rPr>
                <w:noProof/>
                <w:webHidden/>
                <w:sz w:val="24"/>
                <w:szCs w:val="24"/>
              </w:rPr>
              <w:tab/>
            </w:r>
            <w:r w:rsidRPr="00A645C3">
              <w:rPr>
                <w:noProof/>
                <w:webHidden/>
                <w:sz w:val="24"/>
                <w:szCs w:val="24"/>
              </w:rPr>
              <w:fldChar w:fldCharType="begin"/>
            </w:r>
            <w:r w:rsidR="00A645C3" w:rsidRPr="00A645C3">
              <w:rPr>
                <w:noProof/>
                <w:webHidden/>
                <w:sz w:val="24"/>
                <w:szCs w:val="24"/>
              </w:rPr>
              <w:instrText xml:space="preserve"> PAGEREF _Toc512895964 \h </w:instrText>
            </w:r>
            <w:r w:rsidRPr="00A645C3">
              <w:rPr>
                <w:noProof/>
                <w:webHidden/>
                <w:sz w:val="24"/>
                <w:szCs w:val="24"/>
              </w:rPr>
            </w:r>
            <w:r w:rsidRPr="00A645C3">
              <w:rPr>
                <w:noProof/>
                <w:webHidden/>
                <w:sz w:val="24"/>
                <w:szCs w:val="24"/>
              </w:rPr>
              <w:fldChar w:fldCharType="separate"/>
            </w:r>
            <w:r w:rsidR="00EE2DE3">
              <w:rPr>
                <w:noProof/>
                <w:webHidden/>
                <w:sz w:val="24"/>
                <w:szCs w:val="24"/>
              </w:rPr>
              <w:t>69</w:t>
            </w:r>
            <w:r w:rsidRPr="00A645C3">
              <w:rPr>
                <w:noProof/>
                <w:webHidden/>
                <w:sz w:val="24"/>
                <w:szCs w:val="24"/>
              </w:rPr>
              <w:fldChar w:fldCharType="end"/>
            </w:r>
          </w:hyperlink>
        </w:p>
        <w:p w:rsidR="00A645C3" w:rsidRPr="00A645C3" w:rsidRDefault="005411EE">
          <w:pPr>
            <w:pStyle w:val="TOC3"/>
            <w:tabs>
              <w:tab w:val="right" w:leader="dot" w:pos="9016"/>
            </w:tabs>
            <w:rPr>
              <w:rFonts w:eastAsiaTheme="minorEastAsia"/>
              <w:noProof/>
              <w:sz w:val="24"/>
              <w:szCs w:val="24"/>
              <w:lang w:eastAsia="en-AU"/>
            </w:rPr>
          </w:pPr>
          <w:hyperlink w:anchor="_Toc512895965" w:history="1">
            <w:r w:rsidR="00A645C3" w:rsidRPr="00A645C3">
              <w:rPr>
                <w:rStyle w:val="Hyperlink"/>
                <w:i/>
                <w:noProof/>
                <w:sz w:val="24"/>
                <w:szCs w:val="24"/>
              </w:rPr>
              <w:t>Recommendation 17</w:t>
            </w:r>
            <w:r w:rsidR="00A645C3" w:rsidRPr="00A645C3">
              <w:rPr>
                <w:noProof/>
                <w:webHidden/>
                <w:sz w:val="24"/>
                <w:szCs w:val="24"/>
              </w:rPr>
              <w:tab/>
            </w:r>
            <w:r w:rsidRPr="00A645C3">
              <w:rPr>
                <w:noProof/>
                <w:webHidden/>
                <w:sz w:val="24"/>
                <w:szCs w:val="24"/>
              </w:rPr>
              <w:fldChar w:fldCharType="begin"/>
            </w:r>
            <w:r w:rsidR="00A645C3" w:rsidRPr="00A645C3">
              <w:rPr>
                <w:noProof/>
                <w:webHidden/>
                <w:sz w:val="24"/>
                <w:szCs w:val="24"/>
              </w:rPr>
              <w:instrText xml:space="preserve"> PAGEREF _Toc512895965 \h </w:instrText>
            </w:r>
            <w:r w:rsidRPr="00A645C3">
              <w:rPr>
                <w:noProof/>
                <w:webHidden/>
                <w:sz w:val="24"/>
                <w:szCs w:val="24"/>
              </w:rPr>
            </w:r>
            <w:r w:rsidRPr="00A645C3">
              <w:rPr>
                <w:noProof/>
                <w:webHidden/>
                <w:sz w:val="24"/>
                <w:szCs w:val="24"/>
              </w:rPr>
              <w:fldChar w:fldCharType="separate"/>
            </w:r>
            <w:r w:rsidR="00EE2DE3">
              <w:rPr>
                <w:noProof/>
                <w:webHidden/>
                <w:sz w:val="24"/>
                <w:szCs w:val="24"/>
              </w:rPr>
              <w:t>72</w:t>
            </w:r>
            <w:r w:rsidRPr="00A645C3">
              <w:rPr>
                <w:noProof/>
                <w:webHidden/>
                <w:sz w:val="24"/>
                <w:szCs w:val="24"/>
              </w:rPr>
              <w:fldChar w:fldCharType="end"/>
            </w:r>
          </w:hyperlink>
        </w:p>
        <w:p w:rsidR="00A645C3" w:rsidRPr="00A645C3" w:rsidRDefault="005411EE">
          <w:pPr>
            <w:pStyle w:val="TOC1"/>
            <w:tabs>
              <w:tab w:val="right" w:leader="dot" w:pos="9016"/>
            </w:tabs>
            <w:rPr>
              <w:rFonts w:eastAsiaTheme="minorEastAsia"/>
              <w:noProof/>
              <w:sz w:val="24"/>
              <w:szCs w:val="24"/>
              <w:lang w:eastAsia="en-AU"/>
            </w:rPr>
          </w:pPr>
          <w:hyperlink w:anchor="_Toc512895966" w:history="1">
            <w:r w:rsidR="00A645C3" w:rsidRPr="00A645C3">
              <w:rPr>
                <w:rStyle w:val="Hyperlink"/>
                <w:noProof/>
                <w:sz w:val="24"/>
                <w:szCs w:val="24"/>
              </w:rPr>
              <w:t>Other Publications</w:t>
            </w:r>
            <w:r w:rsidR="00A645C3" w:rsidRPr="00A645C3">
              <w:rPr>
                <w:noProof/>
                <w:webHidden/>
                <w:sz w:val="24"/>
                <w:szCs w:val="24"/>
              </w:rPr>
              <w:tab/>
            </w:r>
            <w:r w:rsidRPr="00A645C3">
              <w:rPr>
                <w:noProof/>
                <w:webHidden/>
                <w:sz w:val="24"/>
                <w:szCs w:val="24"/>
              </w:rPr>
              <w:fldChar w:fldCharType="begin"/>
            </w:r>
            <w:r w:rsidR="00A645C3" w:rsidRPr="00A645C3">
              <w:rPr>
                <w:noProof/>
                <w:webHidden/>
                <w:sz w:val="24"/>
                <w:szCs w:val="24"/>
              </w:rPr>
              <w:instrText xml:space="preserve"> PAGEREF _Toc512895966 \h </w:instrText>
            </w:r>
            <w:r w:rsidRPr="00A645C3">
              <w:rPr>
                <w:noProof/>
                <w:webHidden/>
                <w:sz w:val="24"/>
                <w:szCs w:val="24"/>
              </w:rPr>
            </w:r>
            <w:r w:rsidRPr="00A645C3">
              <w:rPr>
                <w:noProof/>
                <w:webHidden/>
                <w:sz w:val="24"/>
                <w:szCs w:val="24"/>
              </w:rPr>
              <w:fldChar w:fldCharType="separate"/>
            </w:r>
            <w:r w:rsidR="00EE2DE3">
              <w:rPr>
                <w:noProof/>
                <w:webHidden/>
                <w:sz w:val="24"/>
                <w:szCs w:val="24"/>
              </w:rPr>
              <w:t>73</w:t>
            </w:r>
            <w:r w:rsidRPr="00A645C3">
              <w:rPr>
                <w:noProof/>
                <w:webHidden/>
                <w:sz w:val="24"/>
                <w:szCs w:val="24"/>
              </w:rPr>
              <w:fldChar w:fldCharType="end"/>
            </w:r>
          </w:hyperlink>
        </w:p>
        <w:p w:rsidR="00A645C3" w:rsidRDefault="005411EE">
          <w:pPr>
            <w:pStyle w:val="TOC1"/>
            <w:tabs>
              <w:tab w:val="right" w:leader="dot" w:pos="9016"/>
            </w:tabs>
            <w:rPr>
              <w:rFonts w:eastAsiaTheme="minorEastAsia"/>
              <w:noProof/>
              <w:lang w:eastAsia="en-AU"/>
            </w:rPr>
          </w:pPr>
          <w:hyperlink w:anchor="_Toc512895967" w:history="1">
            <w:r w:rsidR="00A645C3" w:rsidRPr="00A645C3">
              <w:rPr>
                <w:rStyle w:val="Hyperlink"/>
                <w:noProof/>
                <w:sz w:val="24"/>
                <w:szCs w:val="24"/>
              </w:rPr>
              <w:t>Endnotes</w:t>
            </w:r>
            <w:r w:rsidR="00A645C3" w:rsidRPr="00A645C3">
              <w:rPr>
                <w:noProof/>
                <w:webHidden/>
                <w:sz w:val="24"/>
                <w:szCs w:val="24"/>
              </w:rPr>
              <w:tab/>
            </w:r>
            <w:r w:rsidRPr="00A645C3">
              <w:rPr>
                <w:noProof/>
                <w:webHidden/>
                <w:sz w:val="24"/>
                <w:szCs w:val="24"/>
              </w:rPr>
              <w:fldChar w:fldCharType="begin"/>
            </w:r>
            <w:r w:rsidR="00A645C3" w:rsidRPr="00A645C3">
              <w:rPr>
                <w:noProof/>
                <w:webHidden/>
                <w:sz w:val="24"/>
                <w:szCs w:val="24"/>
              </w:rPr>
              <w:instrText xml:space="preserve"> PAGEREF _Toc512895967 \h </w:instrText>
            </w:r>
            <w:r w:rsidRPr="00A645C3">
              <w:rPr>
                <w:noProof/>
                <w:webHidden/>
                <w:sz w:val="24"/>
                <w:szCs w:val="24"/>
              </w:rPr>
            </w:r>
            <w:r w:rsidRPr="00A645C3">
              <w:rPr>
                <w:noProof/>
                <w:webHidden/>
                <w:sz w:val="24"/>
                <w:szCs w:val="24"/>
              </w:rPr>
              <w:fldChar w:fldCharType="separate"/>
            </w:r>
            <w:r w:rsidR="00EE2DE3">
              <w:rPr>
                <w:noProof/>
                <w:webHidden/>
                <w:sz w:val="24"/>
                <w:szCs w:val="24"/>
              </w:rPr>
              <w:t>74</w:t>
            </w:r>
            <w:r w:rsidRPr="00A645C3">
              <w:rPr>
                <w:noProof/>
                <w:webHidden/>
                <w:sz w:val="24"/>
                <w:szCs w:val="24"/>
              </w:rPr>
              <w:fldChar w:fldCharType="end"/>
            </w:r>
          </w:hyperlink>
        </w:p>
        <w:p w:rsidR="007D6421" w:rsidRDefault="005411EE" w:rsidP="00462142">
          <w:pPr>
            <w:spacing w:after="0" w:line="360" w:lineRule="auto"/>
          </w:pPr>
          <w:r w:rsidRPr="00C12655">
            <w:rPr>
              <w:b/>
              <w:bCs/>
              <w:noProof/>
              <w:sz w:val="24"/>
              <w:szCs w:val="24"/>
            </w:rPr>
            <w:fldChar w:fldCharType="end"/>
          </w:r>
        </w:p>
      </w:sdtContent>
    </w:sdt>
    <w:p w:rsidR="0067401C" w:rsidRDefault="0067401C" w:rsidP="00462142">
      <w:pPr>
        <w:spacing w:after="0" w:line="360" w:lineRule="auto"/>
        <w:rPr>
          <w:b/>
          <w:bCs/>
          <w:sz w:val="24"/>
          <w:szCs w:val="24"/>
        </w:rPr>
      </w:pPr>
    </w:p>
    <w:p w:rsidR="0067401C" w:rsidRDefault="0067401C" w:rsidP="00462142">
      <w:pPr>
        <w:spacing w:after="0" w:line="360" w:lineRule="auto"/>
      </w:pPr>
    </w:p>
    <w:p w:rsidR="0024745B" w:rsidRDefault="0024745B" w:rsidP="00462142">
      <w:pPr>
        <w:spacing w:after="0" w:line="360" w:lineRule="auto"/>
      </w:pPr>
      <w:r>
        <w:br w:type="page"/>
      </w:r>
    </w:p>
    <w:p w:rsidR="00352FB9" w:rsidRPr="00352FB9" w:rsidRDefault="00352FB9" w:rsidP="00462142">
      <w:pPr>
        <w:pStyle w:val="Heading1"/>
        <w:pBdr>
          <w:bottom w:val="single" w:sz="4" w:space="1" w:color="auto"/>
        </w:pBdr>
        <w:spacing w:before="0" w:line="360" w:lineRule="auto"/>
        <w:jc w:val="both"/>
        <w:rPr>
          <w:b/>
          <w:color w:val="auto"/>
        </w:rPr>
      </w:pPr>
      <w:bookmarkStart w:id="9" w:name="_Toc512895929"/>
      <w:r w:rsidRPr="00352FB9">
        <w:rPr>
          <w:b/>
          <w:color w:val="auto"/>
        </w:rPr>
        <w:lastRenderedPageBreak/>
        <w:t xml:space="preserve">Question </w:t>
      </w:r>
      <w:r w:rsidR="00BC226C">
        <w:rPr>
          <w:b/>
          <w:color w:val="auto"/>
        </w:rPr>
        <w:t>1</w:t>
      </w:r>
      <w:r w:rsidRPr="00352FB9">
        <w:rPr>
          <w:b/>
          <w:color w:val="auto"/>
        </w:rPr>
        <w:t xml:space="preserve">: </w:t>
      </w:r>
      <w:r w:rsidR="00BC226C" w:rsidRPr="00BC226C">
        <w:rPr>
          <w:b/>
          <w:color w:val="auto"/>
        </w:rPr>
        <w:t>What should be the role and objectives of the modern family law system</w:t>
      </w:r>
      <w:r w:rsidRPr="00352FB9">
        <w:rPr>
          <w:b/>
          <w:color w:val="auto"/>
        </w:rPr>
        <w:t>?</w:t>
      </w:r>
      <w:bookmarkEnd w:id="9"/>
    </w:p>
    <w:p w:rsidR="00352FB9" w:rsidRDefault="00352FB9" w:rsidP="00462142">
      <w:pPr>
        <w:spacing w:after="0" w:line="360" w:lineRule="auto"/>
      </w:pPr>
    </w:p>
    <w:p w:rsidR="00CC4FCD" w:rsidRPr="00E33E65" w:rsidRDefault="00DB2105" w:rsidP="004D4F0E">
      <w:pPr>
        <w:pStyle w:val="ListParagraph"/>
        <w:numPr>
          <w:ilvl w:val="0"/>
          <w:numId w:val="52"/>
        </w:numPr>
        <w:spacing w:after="0" w:line="360" w:lineRule="auto"/>
        <w:jc w:val="both"/>
        <w:rPr>
          <w:sz w:val="24"/>
          <w:szCs w:val="24"/>
        </w:rPr>
      </w:pPr>
      <w:r w:rsidRPr="00CC4FCD">
        <w:rPr>
          <w:sz w:val="24"/>
          <w:szCs w:val="24"/>
        </w:rPr>
        <w:t xml:space="preserve">Before we reform the </w:t>
      </w:r>
      <w:r w:rsidR="00F547E6" w:rsidRPr="00CC4FCD">
        <w:rPr>
          <w:sz w:val="24"/>
          <w:szCs w:val="24"/>
        </w:rPr>
        <w:t>‘</w:t>
      </w:r>
      <w:r w:rsidRPr="00CC4FCD">
        <w:rPr>
          <w:sz w:val="24"/>
          <w:szCs w:val="24"/>
        </w:rPr>
        <w:t>family law system</w:t>
      </w:r>
      <w:r w:rsidR="00F547E6" w:rsidRPr="00CC4FCD">
        <w:rPr>
          <w:sz w:val="24"/>
          <w:szCs w:val="24"/>
        </w:rPr>
        <w:t>’</w:t>
      </w:r>
      <w:r w:rsidRPr="00CC4FCD">
        <w:rPr>
          <w:sz w:val="24"/>
          <w:szCs w:val="24"/>
        </w:rPr>
        <w:t xml:space="preserve"> we need to know what the ‘</w:t>
      </w:r>
      <w:r w:rsidR="00F547E6" w:rsidRPr="00CC4FCD">
        <w:rPr>
          <w:sz w:val="24"/>
          <w:szCs w:val="24"/>
        </w:rPr>
        <w:t>family</w:t>
      </w:r>
      <w:r w:rsidRPr="00CC4FCD">
        <w:rPr>
          <w:sz w:val="24"/>
          <w:szCs w:val="24"/>
        </w:rPr>
        <w:t xml:space="preserve"> law system’ is, and what i</w:t>
      </w:r>
      <w:r w:rsidR="00F547E6" w:rsidRPr="00CC4FCD">
        <w:rPr>
          <w:sz w:val="24"/>
          <w:szCs w:val="24"/>
        </w:rPr>
        <w:t xml:space="preserve">t does, both for individual families and cumulatively for Australian society. </w:t>
      </w:r>
      <w:r w:rsidR="004D4F0E">
        <w:rPr>
          <w:sz w:val="24"/>
          <w:szCs w:val="24"/>
        </w:rPr>
        <w:t xml:space="preserve"> </w:t>
      </w:r>
    </w:p>
    <w:p w:rsidR="005C3A98" w:rsidRPr="00CC4FCD" w:rsidRDefault="00BC226C" w:rsidP="009A0126">
      <w:pPr>
        <w:pStyle w:val="ListParagraph"/>
        <w:numPr>
          <w:ilvl w:val="0"/>
          <w:numId w:val="52"/>
        </w:numPr>
        <w:spacing w:after="0" w:line="360" w:lineRule="auto"/>
        <w:jc w:val="both"/>
        <w:rPr>
          <w:sz w:val="24"/>
          <w:szCs w:val="24"/>
        </w:rPr>
      </w:pPr>
      <w:r w:rsidRPr="00CC4FCD">
        <w:rPr>
          <w:sz w:val="24"/>
          <w:szCs w:val="24"/>
        </w:rPr>
        <w:t>T</w:t>
      </w:r>
      <w:r w:rsidR="002A0CF4" w:rsidRPr="00CC4FCD">
        <w:rPr>
          <w:sz w:val="24"/>
          <w:szCs w:val="24"/>
        </w:rPr>
        <w:t>h</w:t>
      </w:r>
      <w:r w:rsidRPr="00CC4FCD">
        <w:rPr>
          <w:sz w:val="24"/>
          <w:szCs w:val="24"/>
        </w:rPr>
        <w:t xml:space="preserve">is </w:t>
      </w:r>
      <w:r w:rsidR="002C2F0E" w:rsidRPr="00CC4FCD">
        <w:rPr>
          <w:sz w:val="24"/>
          <w:szCs w:val="24"/>
        </w:rPr>
        <w:t>part</w:t>
      </w:r>
      <w:r w:rsidRPr="00CC4FCD">
        <w:rPr>
          <w:sz w:val="24"/>
          <w:szCs w:val="24"/>
        </w:rPr>
        <w:t xml:space="preserve"> does the following: </w:t>
      </w:r>
    </w:p>
    <w:p w:rsidR="00BD551A" w:rsidRDefault="00BD551A" w:rsidP="00662A8E">
      <w:pPr>
        <w:pStyle w:val="ListParagraph"/>
        <w:numPr>
          <w:ilvl w:val="0"/>
          <w:numId w:val="2"/>
        </w:numPr>
        <w:spacing w:after="0" w:line="360" w:lineRule="auto"/>
        <w:jc w:val="both"/>
        <w:rPr>
          <w:sz w:val="24"/>
          <w:szCs w:val="24"/>
        </w:rPr>
      </w:pPr>
      <w:r>
        <w:rPr>
          <w:sz w:val="24"/>
          <w:szCs w:val="24"/>
        </w:rPr>
        <w:t xml:space="preserve">Demonstrates </w:t>
      </w:r>
      <w:r w:rsidR="00D35EC4">
        <w:rPr>
          <w:sz w:val="24"/>
          <w:szCs w:val="24"/>
        </w:rPr>
        <w:t xml:space="preserve">that we do not </w:t>
      </w:r>
      <w:r w:rsidR="004D4F0E">
        <w:rPr>
          <w:sz w:val="24"/>
          <w:szCs w:val="24"/>
        </w:rPr>
        <w:t xml:space="preserve">yet </w:t>
      </w:r>
      <w:r w:rsidR="00D35EC4">
        <w:rPr>
          <w:sz w:val="24"/>
          <w:szCs w:val="24"/>
        </w:rPr>
        <w:t>know</w:t>
      </w:r>
      <w:r>
        <w:rPr>
          <w:sz w:val="24"/>
          <w:szCs w:val="24"/>
        </w:rPr>
        <w:t xml:space="preserve"> </w:t>
      </w:r>
      <w:r w:rsidR="00A17297">
        <w:rPr>
          <w:sz w:val="24"/>
          <w:szCs w:val="24"/>
        </w:rPr>
        <w:t xml:space="preserve">enough about </w:t>
      </w:r>
      <w:r>
        <w:rPr>
          <w:sz w:val="24"/>
          <w:szCs w:val="24"/>
        </w:rPr>
        <w:t xml:space="preserve">the broader </w:t>
      </w:r>
      <w:r w:rsidR="00F547E6">
        <w:rPr>
          <w:sz w:val="24"/>
          <w:szCs w:val="24"/>
        </w:rPr>
        <w:t>impact of</w:t>
      </w:r>
      <w:r>
        <w:rPr>
          <w:sz w:val="24"/>
          <w:szCs w:val="24"/>
        </w:rPr>
        <w:t xml:space="preserve"> the ‘family law system’ on Australian society</w:t>
      </w:r>
      <w:r w:rsidR="004D4F0E">
        <w:rPr>
          <w:sz w:val="24"/>
          <w:szCs w:val="24"/>
        </w:rPr>
        <w:t>.</w:t>
      </w:r>
      <w:r>
        <w:rPr>
          <w:sz w:val="24"/>
          <w:szCs w:val="24"/>
        </w:rPr>
        <w:t xml:space="preserve"> </w:t>
      </w:r>
    </w:p>
    <w:p w:rsidR="00BC226C" w:rsidRDefault="00BC226C" w:rsidP="00662A8E">
      <w:pPr>
        <w:pStyle w:val="ListParagraph"/>
        <w:numPr>
          <w:ilvl w:val="0"/>
          <w:numId w:val="2"/>
        </w:numPr>
        <w:spacing w:after="0" w:line="360" w:lineRule="auto"/>
        <w:jc w:val="both"/>
        <w:rPr>
          <w:sz w:val="24"/>
          <w:szCs w:val="24"/>
        </w:rPr>
      </w:pPr>
      <w:r w:rsidRPr="00BC226C">
        <w:rPr>
          <w:sz w:val="24"/>
          <w:szCs w:val="24"/>
        </w:rPr>
        <w:t>I</w:t>
      </w:r>
      <w:r w:rsidR="006B72A3" w:rsidRPr="00BC226C">
        <w:rPr>
          <w:sz w:val="24"/>
          <w:szCs w:val="24"/>
        </w:rPr>
        <w:t xml:space="preserve">dentifies </w:t>
      </w:r>
      <w:r w:rsidR="004D4F0E">
        <w:rPr>
          <w:sz w:val="24"/>
          <w:szCs w:val="24"/>
        </w:rPr>
        <w:t>some</w:t>
      </w:r>
      <w:r w:rsidR="006B72A3" w:rsidRPr="00BC226C">
        <w:rPr>
          <w:sz w:val="24"/>
          <w:szCs w:val="24"/>
        </w:rPr>
        <w:t xml:space="preserve"> unknowns about how families</w:t>
      </w:r>
      <w:r w:rsidR="004D4F0E">
        <w:rPr>
          <w:sz w:val="24"/>
          <w:szCs w:val="24"/>
        </w:rPr>
        <w:t xml:space="preserve"> with separated parents</w:t>
      </w:r>
      <w:r w:rsidR="00FB173B">
        <w:rPr>
          <w:sz w:val="24"/>
          <w:szCs w:val="24"/>
        </w:rPr>
        <w:t>;</w:t>
      </w:r>
      <w:r w:rsidR="00BD551A">
        <w:rPr>
          <w:sz w:val="24"/>
          <w:szCs w:val="24"/>
        </w:rPr>
        <w:t xml:space="preserve"> and points to data that could greatly assist</w:t>
      </w:r>
      <w:r w:rsidR="004D4F0E">
        <w:rPr>
          <w:sz w:val="24"/>
          <w:szCs w:val="24"/>
        </w:rPr>
        <w:t xml:space="preserve"> </w:t>
      </w:r>
      <w:r w:rsidR="0007012D">
        <w:rPr>
          <w:noProof/>
          <w:sz w:val="24"/>
          <w:szCs w:val="24"/>
        </w:rPr>
        <w:t>with</w:t>
      </w:r>
      <w:r w:rsidR="004D4F0E">
        <w:rPr>
          <w:sz w:val="24"/>
          <w:szCs w:val="24"/>
        </w:rPr>
        <w:t xml:space="preserve"> </w:t>
      </w:r>
      <w:r w:rsidR="0007012D">
        <w:rPr>
          <w:sz w:val="24"/>
          <w:szCs w:val="24"/>
        </w:rPr>
        <w:t xml:space="preserve">understanding </w:t>
      </w:r>
      <w:r w:rsidR="004D4F0E" w:rsidRPr="0007012D">
        <w:rPr>
          <w:noProof/>
          <w:sz w:val="24"/>
          <w:szCs w:val="24"/>
        </w:rPr>
        <w:t>agreed</w:t>
      </w:r>
      <w:r w:rsidR="0007012D">
        <w:rPr>
          <w:noProof/>
          <w:sz w:val="24"/>
          <w:szCs w:val="24"/>
        </w:rPr>
        <w:t xml:space="preserve"> on</w:t>
      </w:r>
      <w:r w:rsidR="004D4F0E">
        <w:rPr>
          <w:sz w:val="24"/>
          <w:szCs w:val="24"/>
        </w:rPr>
        <w:t xml:space="preserve"> arrangements for children’s living</w:t>
      </w:r>
      <w:r w:rsidR="0007012D">
        <w:rPr>
          <w:sz w:val="24"/>
          <w:szCs w:val="24"/>
        </w:rPr>
        <w:t xml:space="preserve"> and spending time with each parent</w:t>
      </w:r>
      <w:r w:rsidR="004D4F0E">
        <w:rPr>
          <w:sz w:val="24"/>
          <w:szCs w:val="24"/>
        </w:rPr>
        <w:t>.</w:t>
      </w:r>
      <w:r w:rsidR="00BD551A">
        <w:rPr>
          <w:sz w:val="24"/>
          <w:szCs w:val="24"/>
        </w:rPr>
        <w:t xml:space="preserve"> </w:t>
      </w:r>
    </w:p>
    <w:p w:rsidR="00FB173B" w:rsidRPr="00BC226C" w:rsidRDefault="004D4F0E" w:rsidP="00662A8E">
      <w:pPr>
        <w:pStyle w:val="ListParagraph"/>
        <w:numPr>
          <w:ilvl w:val="0"/>
          <w:numId w:val="2"/>
        </w:numPr>
        <w:spacing w:after="0" w:line="360" w:lineRule="auto"/>
        <w:jc w:val="both"/>
        <w:rPr>
          <w:sz w:val="24"/>
          <w:szCs w:val="24"/>
        </w:rPr>
      </w:pPr>
      <w:r>
        <w:rPr>
          <w:sz w:val="24"/>
          <w:szCs w:val="24"/>
        </w:rPr>
        <w:t>Discussed</w:t>
      </w:r>
      <w:r w:rsidR="00FB173B">
        <w:rPr>
          <w:sz w:val="24"/>
          <w:szCs w:val="24"/>
        </w:rPr>
        <w:t xml:space="preserve"> the writer’s research on the volumes of financial cases,</w:t>
      </w:r>
      <w:r w:rsidR="00BD551A">
        <w:rPr>
          <w:sz w:val="24"/>
          <w:szCs w:val="24"/>
        </w:rPr>
        <w:t xml:space="preserve"> comparing </w:t>
      </w:r>
      <w:r w:rsidR="005C3A98" w:rsidRPr="0007012D">
        <w:rPr>
          <w:noProof/>
          <w:sz w:val="24"/>
          <w:szCs w:val="24"/>
        </w:rPr>
        <w:t xml:space="preserve">the </w:t>
      </w:r>
      <w:r w:rsidRPr="0007012D">
        <w:rPr>
          <w:noProof/>
          <w:sz w:val="24"/>
          <w:szCs w:val="24"/>
        </w:rPr>
        <w:t>large</w:t>
      </w:r>
      <w:r>
        <w:rPr>
          <w:sz w:val="24"/>
          <w:szCs w:val="24"/>
        </w:rPr>
        <w:t xml:space="preserve"> </w:t>
      </w:r>
      <w:r w:rsidR="00D35EC4">
        <w:rPr>
          <w:noProof/>
          <w:sz w:val="24"/>
          <w:szCs w:val="24"/>
        </w:rPr>
        <w:t>number</w:t>
      </w:r>
      <w:r w:rsidR="005C3A98">
        <w:rPr>
          <w:sz w:val="24"/>
          <w:szCs w:val="24"/>
        </w:rPr>
        <w:t xml:space="preserve"> of agreed outcomes</w:t>
      </w:r>
      <w:r w:rsidR="00BD551A">
        <w:rPr>
          <w:sz w:val="24"/>
          <w:szCs w:val="24"/>
        </w:rPr>
        <w:t xml:space="preserve"> to</w:t>
      </w:r>
      <w:r w:rsidR="00FB173B">
        <w:rPr>
          <w:sz w:val="24"/>
          <w:szCs w:val="24"/>
        </w:rPr>
        <w:t xml:space="preserve"> </w:t>
      </w:r>
      <w:r>
        <w:rPr>
          <w:sz w:val="24"/>
          <w:szCs w:val="24"/>
        </w:rPr>
        <w:t xml:space="preserve">the small volume of </w:t>
      </w:r>
      <w:r w:rsidR="00FB173B">
        <w:rPr>
          <w:sz w:val="24"/>
          <w:szCs w:val="24"/>
        </w:rPr>
        <w:t xml:space="preserve">judicial decisions. </w:t>
      </w:r>
    </w:p>
    <w:p w:rsidR="002A0CF4" w:rsidRPr="00BC226C" w:rsidRDefault="00BC226C" w:rsidP="00662A8E">
      <w:pPr>
        <w:pStyle w:val="ListParagraph"/>
        <w:numPr>
          <w:ilvl w:val="0"/>
          <w:numId w:val="2"/>
        </w:numPr>
        <w:spacing w:after="0" w:line="360" w:lineRule="auto"/>
        <w:jc w:val="both"/>
        <w:rPr>
          <w:sz w:val="24"/>
          <w:szCs w:val="24"/>
        </w:rPr>
      </w:pPr>
      <w:r w:rsidRPr="00BC226C">
        <w:rPr>
          <w:sz w:val="24"/>
          <w:szCs w:val="24"/>
        </w:rPr>
        <w:t>T</w:t>
      </w:r>
      <w:r w:rsidR="006228C2" w:rsidRPr="00BC226C">
        <w:rPr>
          <w:sz w:val="24"/>
          <w:szCs w:val="24"/>
        </w:rPr>
        <w:t>urns to values and theoretical discussion</w:t>
      </w:r>
      <w:r w:rsidRPr="00BC226C">
        <w:rPr>
          <w:sz w:val="24"/>
          <w:szCs w:val="24"/>
        </w:rPr>
        <w:t xml:space="preserve">, </w:t>
      </w:r>
      <w:r w:rsidR="00D35EC4">
        <w:rPr>
          <w:noProof/>
          <w:sz w:val="24"/>
          <w:szCs w:val="24"/>
        </w:rPr>
        <w:t>main</w:t>
      </w:r>
      <w:r w:rsidRPr="00D35EC4">
        <w:rPr>
          <w:noProof/>
          <w:sz w:val="24"/>
          <w:szCs w:val="24"/>
        </w:rPr>
        <w:t>ly</w:t>
      </w:r>
      <w:r w:rsidRPr="00BC226C">
        <w:rPr>
          <w:sz w:val="24"/>
          <w:szCs w:val="24"/>
        </w:rPr>
        <w:t xml:space="preserve"> </w:t>
      </w:r>
      <w:r w:rsidR="008868F4">
        <w:rPr>
          <w:sz w:val="24"/>
          <w:szCs w:val="24"/>
        </w:rPr>
        <w:t>applying</w:t>
      </w:r>
      <w:r w:rsidR="006228C2" w:rsidRPr="00BC226C">
        <w:rPr>
          <w:sz w:val="24"/>
          <w:szCs w:val="24"/>
        </w:rPr>
        <w:t xml:space="preserve"> </w:t>
      </w:r>
      <w:r>
        <w:rPr>
          <w:sz w:val="24"/>
          <w:szCs w:val="24"/>
        </w:rPr>
        <w:t>liberal theories of justice</w:t>
      </w:r>
      <w:r w:rsidR="00B53154">
        <w:rPr>
          <w:sz w:val="24"/>
          <w:szCs w:val="24"/>
        </w:rPr>
        <w:t xml:space="preserve"> to develop a set of values to underpin property matters, at least where there </w:t>
      </w:r>
      <w:r w:rsidR="00F547E6">
        <w:rPr>
          <w:sz w:val="24"/>
          <w:szCs w:val="24"/>
        </w:rPr>
        <w:t xml:space="preserve">are </w:t>
      </w:r>
      <w:r w:rsidR="00BD551A">
        <w:rPr>
          <w:sz w:val="24"/>
          <w:szCs w:val="24"/>
        </w:rPr>
        <w:t xml:space="preserve">children of the marriage or de-facto relationship. </w:t>
      </w:r>
    </w:p>
    <w:p w:rsidR="002A0CF4" w:rsidRPr="00BC226C" w:rsidRDefault="002A0CF4" w:rsidP="00462142">
      <w:pPr>
        <w:spacing w:after="0" w:line="360" w:lineRule="auto"/>
        <w:rPr>
          <w:sz w:val="24"/>
          <w:szCs w:val="24"/>
        </w:rPr>
      </w:pPr>
    </w:p>
    <w:p w:rsidR="00352FB9" w:rsidRPr="0031221F" w:rsidRDefault="00352FB9" w:rsidP="00462142">
      <w:pPr>
        <w:pStyle w:val="Heading2"/>
        <w:spacing w:before="0" w:line="360" w:lineRule="auto"/>
        <w:rPr>
          <w:color w:val="auto"/>
          <w:sz w:val="28"/>
          <w:szCs w:val="28"/>
        </w:rPr>
      </w:pPr>
      <w:bookmarkStart w:id="10" w:name="_Toc512895930"/>
      <w:r w:rsidRPr="0031221F">
        <w:rPr>
          <w:color w:val="auto"/>
          <w:sz w:val="28"/>
          <w:szCs w:val="28"/>
        </w:rPr>
        <w:t xml:space="preserve">I </w:t>
      </w:r>
      <w:r w:rsidR="00BD551A">
        <w:rPr>
          <w:color w:val="auto"/>
          <w:sz w:val="28"/>
          <w:szCs w:val="28"/>
        </w:rPr>
        <w:t>How does</w:t>
      </w:r>
      <w:r w:rsidRPr="0031221F">
        <w:rPr>
          <w:color w:val="auto"/>
          <w:sz w:val="28"/>
          <w:szCs w:val="28"/>
        </w:rPr>
        <w:t xml:space="preserve"> the ‘Family Law System’</w:t>
      </w:r>
      <w:r w:rsidR="00BD551A">
        <w:rPr>
          <w:color w:val="auto"/>
          <w:sz w:val="28"/>
          <w:szCs w:val="28"/>
        </w:rPr>
        <w:t xml:space="preserve"> impact on Australian Society?</w:t>
      </w:r>
      <w:bookmarkEnd w:id="10"/>
      <w:r w:rsidR="00BD551A">
        <w:rPr>
          <w:color w:val="auto"/>
          <w:sz w:val="28"/>
          <w:szCs w:val="28"/>
        </w:rPr>
        <w:t xml:space="preserve"> </w:t>
      </w:r>
    </w:p>
    <w:p w:rsidR="00540614" w:rsidRPr="00E33E65" w:rsidRDefault="00352FB9" w:rsidP="00462142">
      <w:pPr>
        <w:pStyle w:val="ListParagraph"/>
        <w:numPr>
          <w:ilvl w:val="0"/>
          <w:numId w:val="52"/>
        </w:numPr>
        <w:spacing w:after="0" w:line="360" w:lineRule="auto"/>
        <w:jc w:val="both"/>
        <w:rPr>
          <w:sz w:val="24"/>
          <w:szCs w:val="24"/>
        </w:rPr>
      </w:pPr>
      <w:r w:rsidRPr="00CC4FCD">
        <w:rPr>
          <w:sz w:val="24"/>
          <w:szCs w:val="24"/>
        </w:rPr>
        <w:t xml:space="preserve">The Commission adopts a definition of the </w:t>
      </w:r>
      <w:r w:rsidR="002A0CF4" w:rsidRPr="00CC4FCD">
        <w:rPr>
          <w:sz w:val="24"/>
          <w:szCs w:val="24"/>
        </w:rPr>
        <w:t>‘</w:t>
      </w:r>
      <w:r w:rsidRPr="00CC4FCD">
        <w:rPr>
          <w:sz w:val="24"/>
          <w:szCs w:val="24"/>
        </w:rPr>
        <w:t xml:space="preserve">family law system’ in the Issues Paper that includes </w:t>
      </w:r>
      <w:r w:rsidR="004D4F0E">
        <w:rPr>
          <w:sz w:val="24"/>
          <w:szCs w:val="24"/>
        </w:rPr>
        <w:t>c</w:t>
      </w:r>
      <w:r w:rsidRPr="00CC4FCD">
        <w:rPr>
          <w:sz w:val="24"/>
          <w:szCs w:val="24"/>
        </w:rPr>
        <w:t>ourts, post-separation services (including dispute resolution services), private legal services, legal aid organisations and the community legal sector.</w:t>
      </w:r>
      <w:r w:rsidRPr="002A0CF4">
        <w:rPr>
          <w:rStyle w:val="EndnoteReference"/>
          <w:sz w:val="24"/>
          <w:szCs w:val="24"/>
        </w:rPr>
        <w:endnoteReference w:id="3"/>
      </w:r>
      <w:r w:rsidRPr="00CC4FCD">
        <w:rPr>
          <w:sz w:val="24"/>
          <w:szCs w:val="24"/>
        </w:rPr>
        <w:t xml:space="preserve"> </w:t>
      </w:r>
      <w:r w:rsidR="002A0CF4" w:rsidRPr="00CC4FCD">
        <w:rPr>
          <w:sz w:val="24"/>
          <w:szCs w:val="24"/>
        </w:rPr>
        <w:t xml:space="preserve">  This definition correctly recognises </w:t>
      </w:r>
      <w:r w:rsidR="004D4F0E">
        <w:rPr>
          <w:sz w:val="24"/>
          <w:szCs w:val="24"/>
        </w:rPr>
        <w:t xml:space="preserve">courts form only one part of a complex, inter-related service network. </w:t>
      </w:r>
    </w:p>
    <w:p w:rsidR="00D35EC4" w:rsidRPr="00CC4FCD" w:rsidRDefault="00BD551A" w:rsidP="009A0126">
      <w:pPr>
        <w:pStyle w:val="ListParagraph"/>
        <w:numPr>
          <w:ilvl w:val="0"/>
          <w:numId w:val="52"/>
        </w:numPr>
        <w:spacing w:after="0" w:line="360" w:lineRule="auto"/>
        <w:jc w:val="both"/>
        <w:rPr>
          <w:sz w:val="24"/>
          <w:szCs w:val="24"/>
        </w:rPr>
      </w:pPr>
      <w:r w:rsidRPr="00CC4FCD">
        <w:rPr>
          <w:sz w:val="24"/>
          <w:szCs w:val="24"/>
        </w:rPr>
        <w:t xml:space="preserve">The Commission rightly identifies that ‘most separating couples </w:t>
      </w:r>
      <w:r w:rsidR="00D35EC4" w:rsidRPr="00CC4FCD">
        <w:rPr>
          <w:noProof/>
          <w:sz w:val="24"/>
          <w:szCs w:val="24"/>
        </w:rPr>
        <w:t>are able to</w:t>
      </w:r>
      <w:r w:rsidRPr="00CC4FCD">
        <w:rPr>
          <w:sz w:val="24"/>
          <w:szCs w:val="24"/>
        </w:rPr>
        <w:t xml:space="preserve"> work out their arrangements with limited or no recourse to the family law system.’</w:t>
      </w:r>
      <w:r>
        <w:rPr>
          <w:rStyle w:val="EndnoteReference"/>
          <w:sz w:val="24"/>
          <w:szCs w:val="24"/>
        </w:rPr>
        <w:endnoteReference w:id="4"/>
      </w:r>
      <w:r w:rsidR="00540614" w:rsidRPr="00CC4FCD">
        <w:rPr>
          <w:sz w:val="24"/>
          <w:szCs w:val="24"/>
        </w:rPr>
        <w:t xml:space="preserve"> </w:t>
      </w:r>
      <w:r w:rsidR="00D37AA2" w:rsidRPr="00CC4FCD">
        <w:rPr>
          <w:noProof/>
          <w:sz w:val="24"/>
          <w:szCs w:val="24"/>
        </w:rPr>
        <w:t>Th</w:t>
      </w:r>
      <w:r w:rsidR="004D4F0E">
        <w:rPr>
          <w:noProof/>
          <w:sz w:val="24"/>
          <w:szCs w:val="24"/>
        </w:rPr>
        <w:t>e Commission’s statement</w:t>
      </w:r>
      <w:r w:rsidR="00D35EC4" w:rsidRPr="00CC4FCD">
        <w:rPr>
          <w:noProof/>
          <w:sz w:val="24"/>
          <w:szCs w:val="24"/>
        </w:rPr>
        <w:t xml:space="preserve"> </w:t>
      </w:r>
      <w:r w:rsidR="00D37AA2" w:rsidRPr="00CC4FCD">
        <w:rPr>
          <w:sz w:val="24"/>
          <w:szCs w:val="24"/>
        </w:rPr>
        <w:t xml:space="preserve">is important because of the number of </w:t>
      </w:r>
      <w:r w:rsidR="004D4F0E">
        <w:rPr>
          <w:sz w:val="24"/>
          <w:szCs w:val="24"/>
        </w:rPr>
        <w:t xml:space="preserve">separated </w:t>
      </w:r>
      <w:r w:rsidR="00D37AA2" w:rsidRPr="00CC4FCD">
        <w:rPr>
          <w:sz w:val="24"/>
          <w:szCs w:val="24"/>
        </w:rPr>
        <w:t>spouses that reach agreements with</w:t>
      </w:r>
      <w:r w:rsidR="004D4F0E">
        <w:rPr>
          <w:sz w:val="24"/>
          <w:szCs w:val="24"/>
        </w:rPr>
        <w:t>in</w:t>
      </w:r>
      <w:r w:rsidR="00D37AA2" w:rsidRPr="00CC4FCD">
        <w:rPr>
          <w:sz w:val="24"/>
          <w:szCs w:val="24"/>
        </w:rPr>
        <w:t xml:space="preserve">, </w:t>
      </w:r>
      <w:r w:rsidR="004D4F0E">
        <w:rPr>
          <w:sz w:val="24"/>
          <w:szCs w:val="24"/>
        </w:rPr>
        <w:t xml:space="preserve">or outside of, </w:t>
      </w:r>
      <w:r w:rsidR="00D37AA2" w:rsidRPr="00CC4FCD">
        <w:rPr>
          <w:sz w:val="24"/>
          <w:szCs w:val="24"/>
        </w:rPr>
        <w:t xml:space="preserve">the family law system. </w:t>
      </w:r>
    </w:p>
    <w:p w:rsidR="00CC4FCD" w:rsidRDefault="00CC4FCD" w:rsidP="00462142">
      <w:pPr>
        <w:spacing w:after="0" w:line="360" w:lineRule="auto"/>
        <w:jc w:val="both"/>
        <w:rPr>
          <w:sz w:val="24"/>
          <w:szCs w:val="24"/>
        </w:rPr>
      </w:pPr>
    </w:p>
    <w:p w:rsidR="002A0CF4" w:rsidRDefault="002A0CF4" w:rsidP="00462142">
      <w:pPr>
        <w:pStyle w:val="Heading2"/>
        <w:spacing w:before="0" w:line="360" w:lineRule="auto"/>
        <w:rPr>
          <w:color w:val="auto"/>
          <w:sz w:val="28"/>
          <w:szCs w:val="28"/>
        </w:rPr>
      </w:pPr>
      <w:bookmarkStart w:id="11" w:name="_Toc512895931"/>
      <w:r w:rsidRPr="0031221F">
        <w:rPr>
          <w:color w:val="auto"/>
          <w:sz w:val="28"/>
          <w:szCs w:val="28"/>
        </w:rPr>
        <w:lastRenderedPageBreak/>
        <w:t>II Parenting Orders Applications v Children with Separated Parents</w:t>
      </w:r>
      <w:bookmarkEnd w:id="11"/>
    </w:p>
    <w:p w:rsidR="00D37AA2" w:rsidRPr="004D4F0E" w:rsidRDefault="00A8427A" w:rsidP="004D4F0E">
      <w:pPr>
        <w:pStyle w:val="ListParagraph"/>
        <w:numPr>
          <w:ilvl w:val="0"/>
          <w:numId w:val="52"/>
        </w:numPr>
        <w:spacing w:after="0" w:line="360" w:lineRule="auto"/>
        <w:jc w:val="both"/>
        <w:rPr>
          <w:sz w:val="24"/>
          <w:szCs w:val="24"/>
        </w:rPr>
      </w:pPr>
      <w:r w:rsidRPr="00CC4FCD">
        <w:rPr>
          <w:noProof/>
          <w:sz w:val="24"/>
          <w:szCs w:val="24"/>
        </w:rPr>
        <w:t>This</w:t>
      </w:r>
      <w:r w:rsidRPr="00CC4FCD">
        <w:rPr>
          <w:sz w:val="24"/>
          <w:szCs w:val="24"/>
        </w:rPr>
        <w:t xml:space="preserve"> </w:t>
      </w:r>
      <w:r w:rsidR="00D37AA2" w:rsidRPr="00CC4FCD">
        <w:rPr>
          <w:sz w:val="24"/>
          <w:szCs w:val="24"/>
        </w:rPr>
        <w:t xml:space="preserve">section </w:t>
      </w:r>
      <w:r w:rsidRPr="00CC4FCD">
        <w:rPr>
          <w:sz w:val="24"/>
          <w:szCs w:val="24"/>
        </w:rPr>
        <w:t xml:space="preserve">sets out to demonstrate </w:t>
      </w:r>
      <w:r w:rsidRPr="0007012D">
        <w:rPr>
          <w:noProof/>
          <w:sz w:val="24"/>
          <w:szCs w:val="24"/>
        </w:rPr>
        <w:t xml:space="preserve">the </w:t>
      </w:r>
      <w:r w:rsidR="004D4F0E" w:rsidRPr="0007012D">
        <w:rPr>
          <w:noProof/>
          <w:sz w:val="24"/>
          <w:szCs w:val="24"/>
        </w:rPr>
        <w:t>large</w:t>
      </w:r>
      <w:r w:rsidR="004D4F0E">
        <w:rPr>
          <w:sz w:val="24"/>
          <w:szCs w:val="24"/>
        </w:rPr>
        <w:t xml:space="preserve"> </w:t>
      </w:r>
      <w:r w:rsidRPr="00CC4FCD">
        <w:rPr>
          <w:sz w:val="24"/>
          <w:szCs w:val="24"/>
        </w:rPr>
        <w:t xml:space="preserve">number of families </w:t>
      </w:r>
      <w:r w:rsidR="004D4F0E">
        <w:rPr>
          <w:sz w:val="24"/>
          <w:szCs w:val="24"/>
        </w:rPr>
        <w:t>with separated spouses</w:t>
      </w:r>
      <w:r w:rsidRPr="00CC4FCD">
        <w:rPr>
          <w:sz w:val="24"/>
          <w:szCs w:val="24"/>
        </w:rPr>
        <w:t xml:space="preserve"> that </w:t>
      </w:r>
      <w:r w:rsidRPr="00CC4FCD">
        <w:rPr>
          <w:i/>
          <w:noProof/>
          <w:sz w:val="24"/>
          <w:szCs w:val="24"/>
        </w:rPr>
        <w:t>do</w:t>
      </w:r>
      <w:r w:rsidRPr="00CC4FCD">
        <w:rPr>
          <w:i/>
          <w:sz w:val="24"/>
          <w:szCs w:val="24"/>
        </w:rPr>
        <w:t xml:space="preserve"> not</w:t>
      </w:r>
      <w:r w:rsidRPr="00CC4FCD">
        <w:rPr>
          <w:sz w:val="24"/>
          <w:szCs w:val="24"/>
        </w:rPr>
        <w:t xml:space="preserve"> have dealings with the family law system. </w:t>
      </w:r>
      <w:r w:rsidR="006D7025" w:rsidRPr="004D4F0E">
        <w:rPr>
          <w:sz w:val="24"/>
          <w:szCs w:val="24"/>
        </w:rPr>
        <w:t>The reasons are as follows:</w:t>
      </w:r>
    </w:p>
    <w:p w:rsidR="006D7025" w:rsidRPr="004D4F0E" w:rsidRDefault="006D7025" w:rsidP="004D4F0E">
      <w:pPr>
        <w:pStyle w:val="ListParagraph"/>
        <w:numPr>
          <w:ilvl w:val="0"/>
          <w:numId w:val="7"/>
        </w:numPr>
        <w:spacing w:after="0" w:line="360" w:lineRule="auto"/>
        <w:jc w:val="both"/>
        <w:rPr>
          <w:sz w:val="24"/>
          <w:szCs w:val="24"/>
        </w:rPr>
      </w:pPr>
      <w:r w:rsidRPr="00C1402E">
        <w:rPr>
          <w:sz w:val="24"/>
          <w:szCs w:val="24"/>
        </w:rPr>
        <w:t>There are likely to be submissions on the suitability or otherwise of shared parenting or equal time arrangements</w:t>
      </w:r>
      <w:r w:rsidR="004D4F0E">
        <w:rPr>
          <w:sz w:val="24"/>
          <w:szCs w:val="24"/>
        </w:rPr>
        <w:t>.</w:t>
      </w:r>
      <w:r w:rsidR="00C1402E" w:rsidRPr="00C1402E">
        <w:rPr>
          <w:sz w:val="24"/>
          <w:szCs w:val="24"/>
        </w:rPr>
        <w:t xml:space="preserve"> </w:t>
      </w:r>
      <w:r w:rsidR="00C1402E" w:rsidRPr="004D4F0E">
        <w:rPr>
          <w:sz w:val="24"/>
          <w:szCs w:val="24"/>
        </w:rPr>
        <w:t xml:space="preserve">There is a risk that some of those submissions will make broad statements about the prevalence of equal time arrangements. </w:t>
      </w:r>
    </w:p>
    <w:p w:rsidR="002C2F0E" w:rsidRPr="002C2F0E" w:rsidRDefault="002C2F0E" w:rsidP="009A0126">
      <w:pPr>
        <w:pStyle w:val="ListParagraph"/>
        <w:numPr>
          <w:ilvl w:val="0"/>
          <w:numId w:val="7"/>
        </w:numPr>
        <w:spacing w:after="0" w:line="360" w:lineRule="auto"/>
        <w:jc w:val="both"/>
        <w:rPr>
          <w:sz w:val="24"/>
          <w:szCs w:val="24"/>
        </w:rPr>
      </w:pPr>
      <w:r>
        <w:rPr>
          <w:sz w:val="24"/>
          <w:szCs w:val="24"/>
        </w:rPr>
        <w:t>There may be some who submit that Australia</w:t>
      </w:r>
      <w:r w:rsidR="004D4F0E">
        <w:rPr>
          <w:sz w:val="24"/>
          <w:szCs w:val="24"/>
        </w:rPr>
        <w:t>n</w:t>
      </w:r>
      <w:r>
        <w:rPr>
          <w:sz w:val="24"/>
          <w:szCs w:val="24"/>
        </w:rPr>
        <w:t xml:space="preserve"> families </w:t>
      </w:r>
      <w:r w:rsidR="004D4F0E">
        <w:rPr>
          <w:sz w:val="24"/>
          <w:szCs w:val="24"/>
        </w:rPr>
        <w:t xml:space="preserve">(or families with separated spouses) </w:t>
      </w:r>
      <w:r>
        <w:rPr>
          <w:sz w:val="24"/>
          <w:szCs w:val="24"/>
        </w:rPr>
        <w:t xml:space="preserve">are in </w:t>
      </w:r>
      <w:r w:rsidRPr="0007012D">
        <w:rPr>
          <w:noProof/>
          <w:sz w:val="24"/>
          <w:szCs w:val="24"/>
        </w:rPr>
        <w:t>crisis</w:t>
      </w:r>
      <w:r>
        <w:rPr>
          <w:sz w:val="24"/>
          <w:szCs w:val="24"/>
        </w:rPr>
        <w:t xml:space="preserve"> and that the responsibility for th</w:t>
      </w:r>
      <w:r w:rsidR="005C1606">
        <w:rPr>
          <w:sz w:val="24"/>
          <w:szCs w:val="24"/>
        </w:rPr>
        <w:t>is</w:t>
      </w:r>
      <w:r>
        <w:rPr>
          <w:sz w:val="24"/>
          <w:szCs w:val="24"/>
        </w:rPr>
        <w:t xml:space="preserve"> falls on the family law system.</w:t>
      </w:r>
    </w:p>
    <w:p w:rsidR="00C1402E" w:rsidRDefault="00C1402E" w:rsidP="009A0126">
      <w:pPr>
        <w:pStyle w:val="ListParagraph"/>
        <w:numPr>
          <w:ilvl w:val="0"/>
          <w:numId w:val="7"/>
        </w:numPr>
        <w:spacing w:after="0" w:line="360" w:lineRule="auto"/>
        <w:jc w:val="both"/>
        <w:rPr>
          <w:sz w:val="24"/>
          <w:szCs w:val="24"/>
        </w:rPr>
      </w:pPr>
      <w:r>
        <w:rPr>
          <w:sz w:val="24"/>
          <w:szCs w:val="24"/>
        </w:rPr>
        <w:t>Before the Commission turns to questions of reform, the Commission should have the best possible understanding of:</w:t>
      </w:r>
    </w:p>
    <w:p w:rsidR="00C1402E" w:rsidRDefault="00C1402E" w:rsidP="009A0126">
      <w:pPr>
        <w:pStyle w:val="ListParagraph"/>
        <w:numPr>
          <w:ilvl w:val="1"/>
          <w:numId w:val="7"/>
        </w:numPr>
        <w:spacing w:after="0" w:line="360" w:lineRule="auto"/>
        <w:jc w:val="both"/>
        <w:rPr>
          <w:sz w:val="24"/>
          <w:szCs w:val="24"/>
        </w:rPr>
      </w:pPr>
      <w:r>
        <w:rPr>
          <w:sz w:val="24"/>
          <w:szCs w:val="24"/>
        </w:rPr>
        <w:t>How the family law system operates</w:t>
      </w:r>
      <w:r w:rsidR="002C2F0E">
        <w:rPr>
          <w:sz w:val="24"/>
          <w:szCs w:val="24"/>
        </w:rPr>
        <w:t xml:space="preserve"> (</w:t>
      </w:r>
      <w:r w:rsidR="005C1606">
        <w:rPr>
          <w:noProof/>
          <w:sz w:val="24"/>
          <w:szCs w:val="24"/>
        </w:rPr>
        <w:t>regarding</w:t>
      </w:r>
      <w:r w:rsidR="002C2F0E">
        <w:rPr>
          <w:sz w:val="24"/>
          <w:szCs w:val="24"/>
        </w:rPr>
        <w:t xml:space="preserve"> agreements and decisions); and</w:t>
      </w:r>
      <w:r w:rsidR="00540614">
        <w:rPr>
          <w:sz w:val="24"/>
          <w:szCs w:val="24"/>
        </w:rPr>
        <w:t>,</w:t>
      </w:r>
    </w:p>
    <w:p w:rsidR="00A8427A" w:rsidRPr="00E33E65" w:rsidRDefault="00C1402E" w:rsidP="00462142">
      <w:pPr>
        <w:pStyle w:val="ListParagraph"/>
        <w:numPr>
          <w:ilvl w:val="1"/>
          <w:numId w:val="7"/>
        </w:numPr>
        <w:spacing w:after="0" w:line="360" w:lineRule="auto"/>
        <w:jc w:val="both"/>
        <w:rPr>
          <w:sz w:val="24"/>
          <w:szCs w:val="24"/>
        </w:rPr>
      </w:pPr>
      <w:r>
        <w:rPr>
          <w:sz w:val="24"/>
          <w:szCs w:val="24"/>
        </w:rPr>
        <w:t>The relationship between the family law system and the rest of Australia’s society</w:t>
      </w:r>
      <w:r w:rsidR="002C2F0E">
        <w:rPr>
          <w:sz w:val="24"/>
          <w:szCs w:val="24"/>
        </w:rPr>
        <w:t>, especially families where children have separated parents.</w:t>
      </w:r>
      <w:r>
        <w:rPr>
          <w:sz w:val="24"/>
          <w:szCs w:val="24"/>
        </w:rPr>
        <w:t xml:space="preserve">  </w:t>
      </w:r>
    </w:p>
    <w:p w:rsidR="002C2F0E" w:rsidRPr="00E33E65" w:rsidRDefault="004D4F0E" w:rsidP="00462142">
      <w:pPr>
        <w:pStyle w:val="ListParagraph"/>
        <w:numPr>
          <w:ilvl w:val="0"/>
          <w:numId w:val="52"/>
        </w:numPr>
        <w:spacing w:after="0" w:line="360" w:lineRule="auto"/>
        <w:jc w:val="both"/>
        <w:rPr>
          <w:sz w:val="24"/>
          <w:szCs w:val="24"/>
        </w:rPr>
      </w:pPr>
      <w:r>
        <w:rPr>
          <w:sz w:val="24"/>
          <w:szCs w:val="24"/>
        </w:rPr>
        <w:t xml:space="preserve">My PhD research relied upon </w:t>
      </w:r>
      <w:r w:rsidR="00E33E65">
        <w:rPr>
          <w:sz w:val="24"/>
          <w:szCs w:val="24"/>
        </w:rPr>
        <w:t>data</w:t>
      </w:r>
      <w:r>
        <w:rPr>
          <w:sz w:val="24"/>
          <w:szCs w:val="24"/>
        </w:rPr>
        <w:t xml:space="preserve"> from 2012-2013.</w:t>
      </w:r>
      <w:r w:rsidR="00E33E65">
        <w:rPr>
          <w:sz w:val="24"/>
          <w:szCs w:val="24"/>
        </w:rPr>
        <w:t xml:space="preserve"> Rather than do the research again, I rely on my previous inquiries. </w:t>
      </w:r>
      <w:r>
        <w:rPr>
          <w:sz w:val="24"/>
          <w:szCs w:val="24"/>
        </w:rPr>
        <w:t xml:space="preserve"> </w:t>
      </w:r>
      <w:r w:rsidR="008868F4" w:rsidRPr="00CC4FCD">
        <w:rPr>
          <w:sz w:val="24"/>
          <w:szCs w:val="24"/>
        </w:rPr>
        <w:t xml:space="preserve">Department of Human Services statistics </w:t>
      </w:r>
      <w:r w:rsidR="00F27470">
        <w:rPr>
          <w:noProof/>
          <w:sz w:val="24"/>
          <w:szCs w:val="24"/>
        </w:rPr>
        <w:t>set out</w:t>
      </w:r>
      <w:r w:rsidR="008868F4" w:rsidRPr="00CC4FCD">
        <w:rPr>
          <w:sz w:val="24"/>
          <w:szCs w:val="24"/>
        </w:rPr>
        <w:t xml:space="preserve"> that in 2012–2013, the child support system handled approximately 1.2 million children.</w:t>
      </w:r>
      <w:r w:rsidR="008868F4">
        <w:rPr>
          <w:rStyle w:val="EndnoteReference"/>
          <w:sz w:val="24"/>
          <w:szCs w:val="24"/>
        </w:rPr>
        <w:endnoteReference w:id="5"/>
      </w:r>
      <w:r w:rsidR="008868F4" w:rsidRPr="00CC4FCD">
        <w:rPr>
          <w:sz w:val="24"/>
          <w:szCs w:val="24"/>
        </w:rPr>
        <w:t xml:space="preserve"> In that same financial year, </w:t>
      </w:r>
      <w:r w:rsidR="008868F4" w:rsidRPr="00CC4FCD">
        <w:rPr>
          <w:noProof/>
          <w:sz w:val="24"/>
          <w:szCs w:val="24"/>
        </w:rPr>
        <w:t>a</w:t>
      </w:r>
      <w:r w:rsidR="005C1606" w:rsidRPr="00CC4FCD">
        <w:rPr>
          <w:noProof/>
          <w:sz w:val="24"/>
          <w:szCs w:val="24"/>
        </w:rPr>
        <w:t>bout</w:t>
      </w:r>
      <w:r w:rsidR="008868F4" w:rsidRPr="00CC4FCD">
        <w:rPr>
          <w:sz w:val="24"/>
          <w:szCs w:val="24"/>
        </w:rPr>
        <w:t xml:space="preserve"> 74</w:t>
      </w:r>
      <w:r w:rsidR="00540614" w:rsidRPr="00CC4FCD">
        <w:rPr>
          <w:sz w:val="24"/>
          <w:szCs w:val="24"/>
        </w:rPr>
        <w:t>,</w:t>
      </w:r>
      <w:r w:rsidR="008868F4" w:rsidRPr="00CC4FCD">
        <w:rPr>
          <w:sz w:val="24"/>
          <w:szCs w:val="24"/>
        </w:rPr>
        <w:t>700 new child support assessments issued.</w:t>
      </w:r>
      <w:r w:rsidR="008868F4">
        <w:rPr>
          <w:rStyle w:val="EndnoteReference"/>
          <w:sz w:val="24"/>
          <w:szCs w:val="24"/>
        </w:rPr>
        <w:endnoteReference w:id="6"/>
      </w:r>
      <w:r w:rsidR="008868F4" w:rsidRPr="00CC4FCD">
        <w:rPr>
          <w:sz w:val="24"/>
          <w:szCs w:val="24"/>
        </w:rPr>
        <w:t xml:space="preserve"> The Australian Bureau of Statistics estimated that, as of 2013, 1.506 million Australian children lived in one-parent families, comprised of 1.274 million children in lone mother families and 232</w:t>
      </w:r>
      <w:r w:rsidR="00540614" w:rsidRPr="00CC4FCD">
        <w:rPr>
          <w:sz w:val="24"/>
          <w:szCs w:val="24"/>
        </w:rPr>
        <w:t>,</w:t>
      </w:r>
      <w:r w:rsidR="008868F4" w:rsidRPr="00CC4FCD">
        <w:rPr>
          <w:sz w:val="24"/>
          <w:szCs w:val="24"/>
        </w:rPr>
        <w:t>000 children in lone father families.</w:t>
      </w:r>
      <w:r w:rsidR="008868F4">
        <w:rPr>
          <w:rStyle w:val="EndnoteReference"/>
          <w:sz w:val="24"/>
          <w:szCs w:val="24"/>
        </w:rPr>
        <w:endnoteReference w:id="7"/>
      </w:r>
      <w:r w:rsidR="008868F4" w:rsidRPr="00CC4FCD">
        <w:rPr>
          <w:sz w:val="24"/>
          <w:szCs w:val="24"/>
        </w:rPr>
        <w:t xml:space="preserve"> </w:t>
      </w:r>
      <w:r w:rsidR="008868F4" w:rsidRPr="00CC4FCD">
        <w:rPr>
          <w:noProof/>
          <w:sz w:val="24"/>
          <w:szCs w:val="24"/>
        </w:rPr>
        <w:t>This</w:t>
      </w:r>
      <w:r w:rsidR="008868F4" w:rsidRPr="00CC4FCD">
        <w:rPr>
          <w:sz w:val="24"/>
          <w:szCs w:val="24"/>
        </w:rPr>
        <w:t xml:space="preserve"> was out of a total estimated population of 7.194 million children.</w:t>
      </w:r>
      <w:r w:rsidR="008868F4">
        <w:rPr>
          <w:rStyle w:val="EndnoteReference"/>
          <w:sz w:val="24"/>
          <w:szCs w:val="24"/>
        </w:rPr>
        <w:endnoteReference w:id="8"/>
      </w:r>
      <w:r w:rsidR="008868F4" w:rsidRPr="00CC4FCD">
        <w:rPr>
          <w:sz w:val="24"/>
          <w:szCs w:val="24"/>
        </w:rPr>
        <w:t xml:space="preserve"> </w:t>
      </w:r>
      <w:r w:rsidR="005C1606" w:rsidRPr="00CC4FCD">
        <w:rPr>
          <w:noProof/>
          <w:sz w:val="24"/>
          <w:szCs w:val="24"/>
        </w:rPr>
        <w:t>The number of children</w:t>
      </w:r>
      <w:r w:rsidR="008868F4" w:rsidRPr="00CC4FCD">
        <w:rPr>
          <w:sz w:val="24"/>
          <w:szCs w:val="24"/>
        </w:rPr>
        <w:t xml:space="preserve"> equates to approximately one in five of all Australian children living in separated families.</w:t>
      </w:r>
    </w:p>
    <w:p w:rsidR="00540614" w:rsidRPr="00E33E65" w:rsidRDefault="00540614" w:rsidP="00462142">
      <w:pPr>
        <w:pStyle w:val="ListParagraph"/>
        <w:numPr>
          <w:ilvl w:val="0"/>
          <w:numId w:val="52"/>
        </w:numPr>
        <w:spacing w:after="0" w:line="360" w:lineRule="auto"/>
        <w:jc w:val="both"/>
        <w:rPr>
          <w:sz w:val="24"/>
          <w:szCs w:val="24"/>
        </w:rPr>
      </w:pPr>
      <w:r w:rsidRPr="00CC4FCD">
        <w:rPr>
          <w:sz w:val="24"/>
          <w:szCs w:val="24"/>
        </w:rPr>
        <w:t>In the context of around 1.5</w:t>
      </w:r>
      <w:r w:rsidR="00E33E65">
        <w:rPr>
          <w:sz w:val="24"/>
          <w:szCs w:val="24"/>
        </w:rPr>
        <w:t xml:space="preserve"> </w:t>
      </w:r>
      <w:r w:rsidRPr="00CC4FCD">
        <w:rPr>
          <w:sz w:val="24"/>
          <w:szCs w:val="24"/>
        </w:rPr>
        <w:t xml:space="preserve">million children with separated parents, consider </w:t>
      </w:r>
      <w:r w:rsidR="00F547E6" w:rsidRPr="00CC4FCD">
        <w:rPr>
          <w:sz w:val="24"/>
          <w:szCs w:val="24"/>
        </w:rPr>
        <w:t>the number</w:t>
      </w:r>
      <w:r w:rsidRPr="00CC4FCD">
        <w:rPr>
          <w:sz w:val="24"/>
          <w:szCs w:val="24"/>
        </w:rPr>
        <w:t xml:space="preserve"> of children affected</w:t>
      </w:r>
      <w:r w:rsidR="00E33E65">
        <w:rPr>
          <w:sz w:val="24"/>
          <w:szCs w:val="24"/>
        </w:rPr>
        <w:t xml:space="preserve"> each year</w:t>
      </w:r>
      <w:r w:rsidRPr="00CC4FCD">
        <w:rPr>
          <w:sz w:val="24"/>
          <w:szCs w:val="24"/>
        </w:rPr>
        <w:t xml:space="preserve"> by parenting proceedings or</w:t>
      </w:r>
      <w:r w:rsidR="00E33E65">
        <w:rPr>
          <w:sz w:val="24"/>
          <w:szCs w:val="24"/>
        </w:rPr>
        <w:t xml:space="preserve"> new parenting</w:t>
      </w:r>
      <w:r w:rsidRPr="00CC4FCD">
        <w:rPr>
          <w:sz w:val="24"/>
          <w:szCs w:val="24"/>
        </w:rPr>
        <w:t xml:space="preserve"> orders. </w:t>
      </w:r>
      <w:r w:rsidR="008868F4" w:rsidRPr="00CC4FCD">
        <w:rPr>
          <w:sz w:val="24"/>
          <w:szCs w:val="24"/>
        </w:rPr>
        <w:t xml:space="preserve">In </w:t>
      </w:r>
      <w:r w:rsidR="00BA0168" w:rsidRPr="00CC4FCD">
        <w:rPr>
          <w:sz w:val="24"/>
          <w:szCs w:val="24"/>
        </w:rPr>
        <w:t>the 2012-2013 year, the Federal Circuit Court had 17,364 applications for family law final orders filed.</w:t>
      </w:r>
      <w:r w:rsidR="00BA0168">
        <w:rPr>
          <w:rStyle w:val="EndnoteReference"/>
          <w:sz w:val="24"/>
          <w:szCs w:val="24"/>
        </w:rPr>
        <w:endnoteReference w:id="9"/>
      </w:r>
      <w:r w:rsidR="008868F4" w:rsidRPr="00CC4FCD">
        <w:rPr>
          <w:sz w:val="24"/>
          <w:szCs w:val="24"/>
        </w:rPr>
        <w:t xml:space="preserve"> </w:t>
      </w:r>
      <w:r w:rsidR="00BA0168" w:rsidRPr="00CC4FCD">
        <w:rPr>
          <w:sz w:val="24"/>
          <w:szCs w:val="24"/>
        </w:rPr>
        <w:t>Of those, 67% sought parenting orders.</w:t>
      </w:r>
      <w:r w:rsidR="00BA0168">
        <w:rPr>
          <w:rStyle w:val="EndnoteReference"/>
          <w:sz w:val="24"/>
          <w:szCs w:val="24"/>
        </w:rPr>
        <w:endnoteReference w:id="10"/>
      </w:r>
      <w:r w:rsidR="00BA0168" w:rsidRPr="00CC4FCD">
        <w:rPr>
          <w:sz w:val="24"/>
          <w:szCs w:val="24"/>
        </w:rPr>
        <w:t xml:space="preserve"> </w:t>
      </w:r>
      <w:r w:rsidR="00BA0168" w:rsidRPr="00CC4FCD">
        <w:rPr>
          <w:noProof/>
          <w:sz w:val="24"/>
          <w:szCs w:val="24"/>
        </w:rPr>
        <w:t>This</w:t>
      </w:r>
      <w:r w:rsidR="00BA0168" w:rsidRPr="00CC4FCD">
        <w:rPr>
          <w:sz w:val="24"/>
          <w:szCs w:val="24"/>
        </w:rPr>
        <w:t xml:space="preserve"> equals </w:t>
      </w:r>
      <w:r w:rsidR="00BA0168" w:rsidRPr="00CC4FCD">
        <w:rPr>
          <w:sz w:val="24"/>
          <w:szCs w:val="24"/>
        </w:rPr>
        <w:lastRenderedPageBreak/>
        <w:t>11,634 applications. For the Family Court, 2012-2013 saw a total of 1,323 applications for contested final parenting orders.</w:t>
      </w:r>
      <w:r w:rsidR="00BA0168">
        <w:rPr>
          <w:rStyle w:val="EndnoteReference"/>
          <w:sz w:val="24"/>
          <w:szCs w:val="24"/>
        </w:rPr>
        <w:endnoteReference w:id="11"/>
      </w:r>
      <w:r w:rsidR="00EF449E" w:rsidRPr="00CC4FCD">
        <w:rPr>
          <w:sz w:val="24"/>
          <w:szCs w:val="24"/>
        </w:rPr>
        <w:t xml:space="preserve"> </w:t>
      </w:r>
    </w:p>
    <w:p w:rsidR="00EF449E" w:rsidRPr="00E33E65" w:rsidRDefault="0049007F" w:rsidP="00462142">
      <w:pPr>
        <w:pStyle w:val="ListParagraph"/>
        <w:numPr>
          <w:ilvl w:val="0"/>
          <w:numId w:val="52"/>
        </w:numPr>
        <w:spacing w:after="0" w:line="360" w:lineRule="auto"/>
        <w:jc w:val="both"/>
        <w:rPr>
          <w:sz w:val="24"/>
          <w:szCs w:val="24"/>
        </w:rPr>
      </w:pPr>
      <w:r>
        <w:rPr>
          <w:noProof/>
          <w:sz w:val="24"/>
          <w:szCs w:val="24"/>
        </w:rPr>
        <w:t xml:space="preserve">In that same </w:t>
      </w:r>
      <w:r w:rsidRPr="00875BAC">
        <w:rPr>
          <w:noProof/>
          <w:sz w:val="24"/>
          <w:szCs w:val="24"/>
        </w:rPr>
        <w:t>year</w:t>
      </w:r>
      <w:r w:rsidR="00875BAC">
        <w:rPr>
          <w:noProof/>
          <w:sz w:val="24"/>
          <w:szCs w:val="24"/>
        </w:rPr>
        <w:t>,</w:t>
      </w:r>
      <w:r w:rsidR="00EF449E" w:rsidRPr="00CC4FCD">
        <w:rPr>
          <w:sz w:val="24"/>
          <w:szCs w:val="24"/>
        </w:rPr>
        <w:t xml:space="preserve"> there were </w:t>
      </w:r>
      <w:r w:rsidR="00D80913" w:rsidRPr="00CC4FCD">
        <w:rPr>
          <w:sz w:val="24"/>
          <w:szCs w:val="24"/>
        </w:rPr>
        <w:t>11,331 applications</w:t>
      </w:r>
      <w:r w:rsidR="00EF449E" w:rsidRPr="00CC4FCD">
        <w:rPr>
          <w:sz w:val="24"/>
          <w:szCs w:val="24"/>
        </w:rPr>
        <w:t xml:space="preserve"> </w:t>
      </w:r>
      <w:r w:rsidR="00540614" w:rsidRPr="00CC4FCD">
        <w:rPr>
          <w:sz w:val="24"/>
          <w:szCs w:val="24"/>
        </w:rPr>
        <w:t xml:space="preserve">to the Family Court </w:t>
      </w:r>
      <w:r w:rsidR="00EF449E" w:rsidRPr="00CC4FCD">
        <w:rPr>
          <w:sz w:val="24"/>
          <w:szCs w:val="24"/>
        </w:rPr>
        <w:t>for consent orders.</w:t>
      </w:r>
      <w:r w:rsidR="00EF449E">
        <w:rPr>
          <w:rStyle w:val="EndnoteReference"/>
          <w:sz w:val="24"/>
          <w:szCs w:val="24"/>
        </w:rPr>
        <w:endnoteReference w:id="12"/>
      </w:r>
      <w:r w:rsidR="00EF449E" w:rsidRPr="00CC4FCD">
        <w:rPr>
          <w:sz w:val="24"/>
          <w:szCs w:val="24"/>
        </w:rPr>
        <w:t xml:space="preserve">   The Family Court does not break down </w:t>
      </w:r>
      <w:r w:rsidR="00EF449E" w:rsidRPr="002C6DE4">
        <w:rPr>
          <w:noProof/>
          <w:sz w:val="24"/>
          <w:szCs w:val="24"/>
        </w:rPr>
        <w:t>it</w:t>
      </w:r>
      <w:r w:rsidR="002C6DE4">
        <w:rPr>
          <w:noProof/>
          <w:sz w:val="24"/>
          <w:szCs w:val="24"/>
        </w:rPr>
        <w:t>'</w:t>
      </w:r>
      <w:r w:rsidR="00EF449E" w:rsidRPr="002C6DE4">
        <w:rPr>
          <w:noProof/>
          <w:sz w:val="24"/>
          <w:szCs w:val="24"/>
        </w:rPr>
        <w:t>s</w:t>
      </w:r>
      <w:r w:rsidR="00EF449E" w:rsidRPr="00CC4FCD">
        <w:rPr>
          <w:sz w:val="24"/>
          <w:szCs w:val="24"/>
        </w:rPr>
        <w:t xml:space="preserve"> reporting on consent orders into content, but the AIFS has examined on the breakdown of the applications for consent orders by type.</w:t>
      </w:r>
      <w:r w:rsidR="00EF449E">
        <w:rPr>
          <w:rStyle w:val="EndnoteReference"/>
          <w:sz w:val="24"/>
          <w:szCs w:val="24"/>
        </w:rPr>
        <w:endnoteReference w:id="13"/>
      </w:r>
      <w:r w:rsidR="00EF449E" w:rsidRPr="00CC4FCD">
        <w:rPr>
          <w:sz w:val="24"/>
          <w:szCs w:val="24"/>
        </w:rPr>
        <w:t xml:space="preserve"> A</w:t>
      </w:r>
      <w:r w:rsidR="002C2F0E" w:rsidRPr="00CC4FCD">
        <w:rPr>
          <w:sz w:val="24"/>
          <w:szCs w:val="24"/>
        </w:rPr>
        <w:t>ccording to the AIFS,</w:t>
      </w:r>
      <w:r w:rsidR="00EF449E" w:rsidRPr="00CC4FCD">
        <w:rPr>
          <w:sz w:val="24"/>
          <w:szCs w:val="24"/>
        </w:rPr>
        <w:t xml:space="preserve"> at 2013, 71% of </w:t>
      </w:r>
      <w:r w:rsidR="00EF449E" w:rsidRPr="00CC4FCD">
        <w:rPr>
          <w:noProof/>
          <w:sz w:val="24"/>
          <w:szCs w:val="24"/>
        </w:rPr>
        <w:t>applications</w:t>
      </w:r>
      <w:r w:rsidR="00EF449E" w:rsidRPr="00CC4FCD">
        <w:rPr>
          <w:sz w:val="24"/>
          <w:szCs w:val="24"/>
        </w:rPr>
        <w:t xml:space="preserve"> for consent orders were for property only</w:t>
      </w:r>
      <w:r w:rsidR="000924D6" w:rsidRPr="00CC4FCD">
        <w:rPr>
          <w:sz w:val="24"/>
          <w:szCs w:val="24"/>
        </w:rPr>
        <w:t>,</w:t>
      </w:r>
      <w:r w:rsidR="00EF449E" w:rsidRPr="00CC4FCD">
        <w:rPr>
          <w:sz w:val="24"/>
          <w:szCs w:val="24"/>
        </w:rPr>
        <w:t xml:space="preserve"> </w:t>
      </w:r>
      <w:r w:rsidR="00EF449E" w:rsidRPr="00CC4FCD">
        <w:rPr>
          <w:noProof/>
          <w:sz w:val="24"/>
          <w:szCs w:val="24"/>
        </w:rPr>
        <w:t>and</w:t>
      </w:r>
      <w:r w:rsidR="00EF449E" w:rsidRPr="00CC4FCD">
        <w:rPr>
          <w:sz w:val="24"/>
          <w:szCs w:val="24"/>
        </w:rPr>
        <w:t xml:space="preserve"> a further 12% were for parenting and property orders combined.</w:t>
      </w:r>
      <w:r w:rsidR="00EF449E">
        <w:rPr>
          <w:rStyle w:val="EndnoteReference"/>
          <w:sz w:val="24"/>
          <w:szCs w:val="24"/>
        </w:rPr>
        <w:endnoteReference w:id="14"/>
      </w:r>
      <w:r w:rsidR="00EF449E" w:rsidRPr="00CC4FCD">
        <w:rPr>
          <w:sz w:val="24"/>
          <w:szCs w:val="24"/>
        </w:rPr>
        <w:t xml:space="preserve"> In other words, 29% of applications included a parenting order. </w:t>
      </w:r>
      <w:r w:rsidR="00EF449E" w:rsidRPr="00CC4FCD">
        <w:rPr>
          <w:noProof/>
          <w:sz w:val="24"/>
          <w:szCs w:val="24"/>
        </w:rPr>
        <w:t>This</w:t>
      </w:r>
      <w:r w:rsidR="00EF449E" w:rsidRPr="00CC4FCD">
        <w:rPr>
          <w:sz w:val="24"/>
          <w:szCs w:val="24"/>
        </w:rPr>
        <w:t xml:space="preserve"> totals 3,286 applications. </w:t>
      </w:r>
    </w:p>
    <w:p w:rsidR="00CC4FCD" w:rsidRPr="00E33E65" w:rsidRDefault="00EF449E" w:rsidP="00E33E65">
      <w:pPr>
        <w:pStyle w:val="ListParagraph"/>
        <w:numPr>
          <w:ilvl w:val="0"/>
          <w:numId w:val="52"/>
        </w:numPr>
        <w:spacing w:after="0" w:line="360" w:lineRule="auto"/>
        <w:jc w:val="both"/>
        <w:rPr>
          <w:sz w:val="24"/>
          <w:szCs w:val="24"/>
        </w:rPr>
      </w:pPr>
      <w:r w:rsidRPr="00CC4FCD">
        <w:rPr>
          <w:sz w:val="24"/>
          <w:szCs w:val="24"/>
        </w:rPr>
        <w:t>A total emerges of the applications for parenting orders</w:t>
      </w:r>
      <w:r w:rsidR="00E33E65">
        <w:rPr>
          <w:sz w:val="24"/>
          <w:szCs w:val="24"/>
        </w:rPr>
        <w:t xml:space="preserve"> to Commonwealth Courts</w:t>
      </w:r>
      <w:r w:rsidRPr="00CC4FCD">
        <w:rPr>
          <w:sz w:val="24"/>
          <w:szCs w:val="24"/>
        </w:rPr>
        <w:t xml:space="preserve"> in 2013. They are: </w:t>
      </w:r>
    </w:p>
    <w:p w:rsidR="00CC4FCD" w:rsidRDefault="00EF449E" w:rsidP="009A0126">
      <w:pPr>
        <w:pStyle w:val="ListParagraph"/>
        <w:numPr>
          <w:ilvl w:val="1"/>
          <w:numId w:val="52"/>
        </w:numPr>
        <w:spacing w:after="0" w:line="360" w:lineRule="auto"/>
        <w:jc w:val="both"/>
        <w:rPr>
          <w:sz w:val="24"/>
          <w:szCs w:val="24"/>
        </w:rPr>
      </w:pPr>
      <w:r w:rsidRPr="00CC4FCD">
        <w:rPr>
          <w:sz w:val="24"/>
          <w:szCs w:val="24"/>
        </w:rPr>
        <w:t>Applications for parenting orders in the F</w:t>
      </w:r>
      <w:r w:rsidR="00E33E65">
        <w:rPr>
          <w:sz w:val="24"/>
          <w:szCs w:val="24"/>
        </w:rPr>
        <w:t>ederal Circuit Court</w:t>
      </w:r>
      <w:r w:rsidRPr="00CC4FCD">
        <w:rPr>
          <w:sz w:val="24"/>
          <w:szCs w:val="24"/>
        </w:rPr>
        <w:t>: 11,364.</w:t>
      </w:r>
    </w:p>
    <w:p w:rsidR="00CC4FCD" w:rsidRDefault="00EF449E" w:rsidP="009A0126">
      <w:pPr>
        <w:pStyle w:val="ListParagraph"/>
        <w:numPr>
          <w:ilvl w:val="1"/>
          <w:numId w:val="52"/>
        </w:numPr>
        <w:spacing w:after="0" w:line="360" w:lineRule="auto"/>
        <w:jc w:val="both"/>
        <w:rPr>
          <w:sz w:val="24"/>
          <w:szCs w:val="24"/>
        </w:rPr>
      </w:pPr>
      <w:r w:rsidRPr="00CC4FCD">
        <w:rPr>
          <w:sz w:val="24"/>
          <w:szCs w:val="24"/>
        </w:rPr>
        <w:t>Applications for consent parenting orders in the F</w:t>
      </w:r>
      <w:r w:rsidR="00E33E65">
        <w:rPr>
          <w:sz w:val="24"/>
          <w:szCs w:val="24"/>
        </w:rPr>
        <w:t>amily Court</w:t>
      </w:r>
      <w:r w:rsidRPr="00CC4FCD">
        <w:rPr>
          <w:sz w:val="24"/>
          <w:szCs w:val="24"/>
        </w:rPr>
        <w:t>: 3,286.</w:t>
      </w:r>
    </w:p>
    <w:p w:rsidR="00CC4FCD" w:rsidRDefault="00EF449E" w:rsidP="009A0126">
      <w:pPr>
        <w:pStyle w:val="ListParagraph"/>
        <w:numPr>
          <w:ilvl w:val="1"/>
          <w:numId w:val="52"/>
        </w:numPr>
        <w:spacing w:after="0" w:line="360" w:lineRule="auto"/>
        <w:jc w:val="both"/>
        <w:rPr>
          <w:sz w:val="24"/>
          <w:szCs w:val="24"/>
        </w:rPr>
      </w:pPr>
      <w:r w:rsidRPr="00CC4FCD">
        <w:rPr>
          <w:sz w:val="24"/>
          <w:szCs w:val="24"/>
        </w:rPr>
        <w:t xml:space="preserve">Applications for </w:t>
      </w:r>
      <w:r w:rsidRPr="00CC4FCD">
        <w:rPr>
          <w:noProof/>
          <w:sz w:val="24"/>
          <w:szCs w:val="24"/>
        </w:rPr>
        <w:t>contested</w:t>
      </w:r>
      <w:r w:rsidR="000924D6" w:rsidRPr="00CC4FCD">
        <w:rPr>
          <w:noProof/>
          <w:sz w:val="24"/>
          <w:szCs w:val="24"/>
        </w:rPr>
        <w:t>/</w:t>
      </w:r>
      <w:r w:rsidR="00540614" w:rsidRPr="00CC4FCD">
        <w:rPr>
          <w:noProof/>
          <w:sz w:val="24"/>
          <w:szCs w:val="24"/>
        </w:rPr>
        <w:t>argued</w:t>
      </w:r>
      <w:r w:rsidRPr="00CC4FCD">
        <w:rPr>
          <w:sz w:val="24"/>
          <w:szCs w:val="24"/>
        </w:rPr>
        <w:t xml:space="preserve"> parenting orders in the FCA: 1,323. </w:t>
      </w:r>
    </w:p>
    <w:p w:rsidR="00D37AA2" w:rsidRPr="00E33E65" w:rsidRDefault="00FE59F0" w:rsidP="00462142">
      <w:pPr>
        <w:pStyle w:val="ListParagraph"/>
        <w:numPr>
          <w:ilvl w:val="1"/>
          <w:numId w:val="52"/>
        </w:numPr>
        <w:spacing w:after="0" w:line="360" w:lineRule="auto"/>
        <w:jc w:val="both"/>
        <w:rPr>
          <w:sz w:val="24"/>
          <w:szCs w:val="24"/>
        </w:rPr>
      </w:pPr>
      <w:r w:rsidRPr="00CC4FCD">
        <w:rPr>
          <w:sz w:val="24"/>
          <w:szCs w:val="24"/>
        </w:rPr>
        <w:t>Total: 15,973 applications.</w:t>
      </w:r>
    </w:p>
    <w:p w:rsidR="00AF01E8" w:rsidRPr="00E33E65" w:rsidRDefault="00FE59F0" w:rsidP="00462142">
      <w:pPr>
        <w:pStyle w:val="ListParagraph"/>
        <w:numPr>
          <w:ilvl w:val="0"/>
          <w:numId w:val="52"/>
        </w:numPr>
        <w:spacing w:after="0" w:line="360" w:lineRule="auto"/>
        <w:jc w:val="both"/>
        <w:rPr>
          <w:sz w:val="24"/>
          <w:szCs w:val="24"/>
        </w:rPr>
      </w:pPr>
      <w:r w:rsidRPr="00CC4FCD">
        <w:rPr>
          <w:sz w:val="24"/>
          <w:szCs w:val="24"/>
        </w:rPr>
        <w:t xml:space="preserve">Neither court publishes data about </w:t>
      </w:r>
      <w:r w:rsidR="00E33E65">
        <w:rPr>
          <w:sz w:val="24"/>
          <w:szCs w:val="24"/>
        </w:rPr>
        <w:t>the total children the subject of orders.</w:t>
      </w:r>
      <w:r w:rsidRPr="00CC4FCD">
        <w:rPr>
          <w:sz w:val="24"/>
          <w:szCs w:val="24"/>
        </w:rPr>
        <w:t xml:space="preserve"> Census data (albeit from 2016), suggests that there are 1.8 children per couple family on average.</w:t>
      </w:r>
      <w:r>
        <w:rPr>
          <w:rStyle w:val="EndnoteReference"/>
          <w:sz w:val="24"/>
          <w:szCs w:val="24"/>
        </w:rPr>
        <w:endnoteReference w:id="15"/>
      </w:r>
      <w:r w:rsidRPr="00CC4FCD">
        <w:rPr>
          <w:sz w:val="24"/>
          <w:szCs w:val="24"/>
        </w:rPr>
        <w:t xml:space="preserve"> </w:t>
      </w:r>
      <w:r w:rsidR="00A8427A" w:rsidRPr="00CC4FCD">
        <w:rPr>
          <w:sz w:val="24"/>
          <w:szCs w:val="24"/>
        </w:rPr>
        <w:t>Using t</w:t>
      </w:r>
      <w:r w:rsidRPr="00CC4FCD">
        <w:rPr>
          <w:sz w:val="24"/>
          <w:szCs w:val="24"/>
        </w:rPr>
        <w:t xml:space="preserve">his multiplier </w:t>
      </w:r>
      <w:r w:rsidR="00A8427A" w:rsidRPr="00CC4FCD">
        <w:rPr>
          <w:sz w:val="24"/>
          <w:szCs w:val="24"/>
        </w:rPr>
        <w:t>permits</w:t>
      </w:r>
      <w:r w:rsidR="00E33E65">
        <w:rPr>
          <w:sz w:val="24"/>
          <w:szCs w:val="24"/>
        </w:rPr>
        <w:t xml:space="preserve"> a (very)</w:t>
      </w:r>
      <w:r w:rsidR="00A8427A" w:rsidRPr="00CC4FCD">
        <w:rPr>
          <w:sz w:val="24"/>
          <w:szCs w:val="24"/>
        </w:rPr>
        <w:t xml:space="preserve"> </w:t>
      </w:r>
      <w:r w:rsidR="002C2F0E" w:rsidRPr="00CC4FCD">
        <w:rPr>
          <w:sz w:val="24"/>
          <w:szCs w:val="24"/>
        </w:rPr>
        <w:t xml:space="preserve">rough </w:t>
      </w:r>
      <w:r w:rsidR="00A8427A" w:rsidRPr="00CC4FCD">
        <w:rPr>
          <w:sz w:val="24"/>
          <w:szCs w:val="24"/>
        </w:rPr>
        <w:t xml:space="preserve">estimation of </w:t>
      </w:r>
      <w:r w:rsidRPr="00CC4FCD">
        <w:rPr>
          <w:sz w:val="24"/>
          <w:szCs w:val="24"/>
        </w:rPr>
        <w:t xml:space="preserve">the number of children the subject of court applications. The result is (1.8 </w:t>
      </w:r>
      <w:r w:rsidR="002C2F0E" w:rsidRPr="00CC4FCD">
        <w:rPr>
          <w:sz w:val="24"/>
          <w:szCs w:val="24"/>
        </w:rPr>
        <w:t xml:space="preserve">children </w:t>
      </w:r>
      <w:r w:rsidRPr="00CC4FCD">
        <w:rPr>
          <w:sz w:val="24"/>
          <w:szCs w:val="24"/>
        </w:rPr>
        <w:t>x 15,973</w:t>
      </w:r>
      <w:r w:rsidR="002C2F0E" w:rsidRPr="00CC4FCD">
        <w:rPr>
          <w:sz w:val="24"/>
          <w:szCs w:val="24"/>
        </w:rPr>
        <w:t xml:space="preserve"> applications</w:t>
      </w:r>
      <w:r w:rsidRPr="00CC4FCD">
        <w:rPr>
          <w:sz w:val="24"/>
          <w:szCs w:val="24"/>
        </w:rPr>
        <w:t xml:space="preserve">) 28,752 children.  </w:t>
      </w:r>
      <w:r w:rsidR="00D25194" w:rsidRPr="00CC4FCD">
        <w:rPr>
          <w:sz w:val="24"/>
          <w:szCs w:val="24"/>
        </w:rPr>
        <w:t>T</w:t>
      </w:r>
      <w:r w:rsidRPr="00CC4FCD">
        <w:rPr>
          <w:sz w:val="24"/>
          <w:szCs w:val="24"/>
        </w:rPr>
        <w:t xml:space="preserve">his figure excludes state courts of summary </w:t>
      </w:r>
      <w:r w:rsidRPr="00CC4FCD">
        <w:rPr>
          <w:noProof/>
          <w:sz w:val="24"/>
          <w:szCs w:val="24"/>
        </w:rPr>
        <w:t>jurisdiction</w:t>
      </w:r>
      <w:r w:rsidRPr="00CC4FCD">
        <w:rPr>
          <w:sz w:val="24"/>
          <w:szCs w:val="24"/>
        </w:rPr>
        <w:t xml:space="preserve"> and the Family Court of Western Australia.  </w:t>
      </w:r>
    </w:p>
    <w:p w:rsidR="00FE59F0" w:rsidRPr="00CC4FCD" w:rsidRDefault="00FE59F0" w:rsidP="009A0126">
      <w:pPr>
        <w:pStyle w:val="ListParagraph"/>
        <w:numPr>
          <w:ilvl w:val="0"/>
          <w:numId w:val="52"/>
        </w:numPr>
        <w:spacing w:after="0" w:line="360" w:lineRule="auto"/>
        <w:jc w:val="both"/>
        <w:rPr>
          <w:sz w:val="24"/>
          <w:szCs w:val="24"/>
        </w:rPr>
      </w:pPr>
      <w:r w:rsidRPr="00CC4FCD">
        <w:rPr>
          <w:sz w:val="24"/>
          <w:szCs w:val="24"/>
        </w:rPr>
        <w:t>Subject to the</w:t>
      </w:r>
      <w:r w:rsidR="00540614" w:rsidRPr="00CC4FCD">
        <w:rPr>
          <w:sz w:val="24"/>
          <w:szCs w:val="24"/>
        </w:rPr>
        <w:t>se</w:t>
      </w:r>
      <w:r w:rsidRPr="00CC4FCD">
        <w:rPr>
          <w:sz w:val="24"/>
          <w:szCs w:val="24"/>
        </w:rPr>
        <w:t xml:space="preserve"> assumptions, around 29,000 children</w:t>
      </w:r>
      <w:r w:rsidR="00A8427A" w:rsidRPr="00CC4FCD">
        <w:rPr>
          <w:sz w:val="24"/>
          <w:szCs w:val="24"/>
        </w:rPr>
        <w:t xml:space="preserve"> (in 2013)</w:t>
      </w:r>
      <w:r w:rsidRPr="00CC4FCD">
        <w:rPr>
          <w:sz w:val="24"/>
          <w:szCs w:val="24"/>
        </w:rPr>
        <w:t xml:space="preserve"> were the subject of some form of family law parenting order, </w:t>
      </w:r>
      <w:r w:rsidR="00A8427A" w:rsidRPr="00CC4FCD">
        <w:rPr>
          <w:sz w:val="24"/>
          <w:szCs w:val="24"/>
        </w:rPr>
        <w:t>out of</w:t>
      </w:r>
      <w:r w:rsidRPr="00CC4FCD">
        <w:rPr>
          <w:sz w:val="24"/>
          <w:szCs w:val="24"/>
        </w:rPr>
        <w:t xml:space="preserve"> 1.506 million children with separated parents. </w:t>
      </w:r>
      <w:r w:rsidR="00E33E65" w:rsidRPr="002C6DE4">
        <w:rPr>
          <w:noProof/>
          <w:sz w:val="24"/>
          <w:szCs w:val="24"/>
        </w:rPr>
        <w:t>This</w:t>
      </w:r>
      <w:r w:rsidR="002C6DE4" w:rsidRPr="002C6DE4">
        <w:rPr>
          <w:noProof/>
          <w:sz w:val="24"/>
          <w:szCs w:val="24"/>
        </w:rPr>
        <w:t>, in percentage terms,</w:t>
      </w:r>
      <w:r w:rsidR="00E33E65">
        <w:rPr>
          <w:sz w:val="24"/>
          <w:szCs w:val="24"/>
        </w:rPr>
        <w:t xml:space="preserve"> represents</w:t>
      </w:r>
      <w:r w:rsidRPr="00CC4FCD">
        <w:rPr>
          <w:sz w:val="24"/>
          <w:szCs w:val="24"/>
        </w:rPr>
        <w:t xml:space="preserve"> 1.9% of all children with separated parents. </w:t>
      </w:r>
      <w:r w:rsidR="00A8427A" w:rsidRPr="00CC4FCD">
        <w:rPr>
          <w:sz w:val="24"/>
          <w:szCs w:val="24"/>
        </w:rPr>
        <w:t>A proportionate visual comparison</w:t>
      </w:r>
      <w:r w:rsidR="000E25A4" w:rsidRPr="00CC4FCD">
        <w:rPr>
          <w:sz w:val="24"/>
          <w:szCs w:val="24"/>
        </w:rPr>
        <w:t xml:space="preserve"> (</w:t>
      </w:r>
      <w:r w:rsidR="00540614" w:rsidRPr="00CC4FCD">
        <w:rPr>
          <w:sz w:val="24"/>
          <w:szCs w:val="24"/>
        </w:rPr>
        <w:t>conditional upon</w:t>
      </w:r>
      <w:r w:rsidR="000E25A4" w:rsidRPr="00CC4FCD">
        <w:rPr>
          <w:sz w:val="24"/>
          <w:szCs w:val="24"/>
        </w:rPr>
        <w:t xml:space="preserve"> </w:t>
      </w:r>
      <w:r w:rsidR="000924D6" w:rsidRPr="00CC4FCD">
        <w:rPr>
          <w:noProof/>
          <w:sz w:val="24"/>
          <w:szCs w:val="24"/>
        </w:rPr>
        <w:t>essential</w:t>
      </w:r>
      <w:r w:rsidR="000E25A4" w:rsidRPr="00CC4FCD">
        <w:rPr>
          <w:sz w:val="24"/>
          <w:szCs w:val="24"/>
        </w:rPr>
        <w:t xml:space="preserve"> qualifications about the data)</w:t>
      </w:r>
      <w:r w:rsidR="00A8427A" w:rsidRPr="00CC4FCD">
        <w:rPr>
          <w:sz w:val="24"/>
          <w:szCs w:val="24"/>
        </w:rPr>
        <w:t xml:space="preserve"> follows</w:t>
      </w:r>
      <w:r w:rsidRPr="00CC4FCD">
        <w:rPr>
          <w:sz w:val="24"/>
          <w:szCs w:val="24"/>
        </w:rPr>
        <w:t>:</w:t>
      </w:r>
    </w:p>
    <w:p w:rsidR="00FE59F0" w:rsidRDefault="00FE59F0" w:rsidP="00462142">
      <w:pPr>
        <w:spacing w:after="0" w:line="360" w:lineRule="auto"/>
        <w:jc w:val="both"/>
        <w:rPr>
          <w:sz w:val="24"/>
          <w:szCs w:val="24"/>
        </w:rPr>
      </w:pPr>
    </w:p>
    <w:p w:rsidR="00E33E65" w:rsidRDefault="00E33E65" w:rsidP="00462142">
      <w:pPr>
        <w:spacing w:after="0" w:line="360" w:lineRule="auto"/>
        <w:jc w:val="center"/>
        <w:rPr>
          <w:b/>
          <w:sz w:val="24"/>
          <w:szCs w:val="24"/>
        </w:rPr>
      </w:pPr>
    </w:p>
    <w:p w:rsidR="00E33E65" w:rsidRDefault="00E33E65" w:rsidP="00462142">
      <w:pPr>
        <w:spacing w:after="0" w:line="360" w:lineRule="auto"/>
        <w:jc w:val="center"/>
        <w:rPr>
          <w:b/>
          <w:sz w:val="24"/>
          <w:szCs w:val="24"/>
        </w:rPr>
      </w:pPr>
    </w:p>
    <w:p w:rsidR="00E33E65" w:rsidRDefault="00E33E65" w:rsidP="00462142">
      <w:pPr>
        <w:spacing w:after="0" w:line="360" w:lineRule="auto"/>
        <w:jc w:val="center"/>
        <w:rPr>
          <w:b/>
          <w:sz w:val="24"/>
          <w:szCs w:val="24"/>
        </w:rPr>
      </w:pPr>
    </w:p>
    <w:p w:rsidR="00E33E65" w:rsidRDefault="00E33E65" w:rsidP="00462142">
      <w:pPr>
        <w:spacing w:after="0" w:line="360" w:lineRule="auto"/>
        <w:jc w:val="center"/>
        <w:rPr>
          <w:b/>
          <w:sz w:val="24"/>
          <w:szCs w:val="24"/>
        </w:rPr>
      </w:pPr>
    </w:p>
    <w:p w:rsidR="00E33E65" w:rsidRDefault="00E33E65" w:rsidP="00462142">
      <w:pPr>
        <w:spacing w:after="0" w:line="360" w:lineRule="auto"/>
        <w:jc w:val="center"/>
        <w:rPr>
          <w:b/>
          <w:sz w:val="24"/>
          <w:szCs w:val="24"/>
        </w:rPr>
      </w:pPr>
    </w:p>
    <w:p w:rsidR="00E33E65" w:rsidRDefault="00E33E65" w:rsidP="00462142">
      <w:pPr>
        <w:spacing w:after="0" w:line="360" w:lineRule="auto"/>
        <w:jc w:val="center"/>
        <w:rPr>
          <w:b/>
          <w:sz w:val="24"/>
          <w:szCs w:val="24"/>
        </w:rPr>
      </w:pPr>
    </w:p>
    <w:p w:rsidR="00FE59F0" w:rsidRPr="00FE59F0" w:rsidRDefault="00FE59F0" w:rsidP="00462142">
      <w:pPr>
        <w:spacing w:after="0" w:line="360" w:lineRule="auto"/>
        <w:jc w:val="center"/>
        <w:rPr>
          <w:b/>
          <w:sz w:val="24"/>
          <w:szCs w:val="24"/>
        </w:rPr>
      </w:pPr>
      <w:r>
        <w:rPr>
          <w:b/>
          <w:sz w:val="24"/>
          <w:szCs w:val="24"/>
        </w:rPr>
        <w:t xml:space="preserve">2013: Estimated Number of Children the Subject of Family Law </w:t>
      </w:r>
      <w:r w:rsidR="00A8085D">
        <w:rPr>
          <w:b/>
          <w:sz w:val="24"/>
          <w:szCs w:val="24"/>
        </w:rPr>
        <w:t>Applications</w:t>
      </w:r>
      <w:r>
        <w:rPr>
          <w:b/>
          <w:sz w:val="24"/>
          <w:szCs w:val="24"/>
        </w:rPr>
        <w:t xml:space="preserve"> v Total Children in Australia with Separated Parents</w:t>
      </w:r>
    </w:p>
    <w:p w:rsidR="00FE59F0" w:rsidRDefault="005411EE" w:rsidP="00462142">
      <w:pPr>
        <w:spacing w:after="0" w:line="360" w:lineRule="auto"/>
        <w:jc w:val="both"/>
        <w:rPr>
          <w:sz w:val="24"/>
          <w:szCs w:val="24"/>
        </w:rPr>
      </w:pPr>
      <w:r w:rsidRPr="005411EE">
        <w:rPr>
          <w:noProof/>
        </w:rPr>
        <w:pict>
          <v:shape id="Text Box 5" o:spid="_x0000_s1036" type="#_x0000_t202" style="position:absolute;left:0;text-align:left;margin-left:192pt;margin-top:16.1pt;width:220.5pt;height:.0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6NLwIAAGQEAAAOAAAAZHJzL2Uyb0RvYy54bWysVMFu2zAMvQ/YPwi6L3ZSpCiMOEWWIsOA&#10;oC3QDD0rshwbkESNUmJnXz9KjtOt22nYRaZIitJ7j/TivjeanRT6FmzJp5OcM2UlVK09lPzbbvPp&#10;jjMfhK2EBqtKflae3y8/flh0rlAzaEBXChkVsb7oXMmbEFyRZV42ygg/AacsBWtAIwJt8ZBVKDqq&#10;bnQ2y/PbrAOsHIJU3pP3YQjyZapf10qGp7r2KjBdcnpbSCumdR/XbLkQxQGFa1p5eYb4h1cY0Vq6&#10;9FrqQQTBjtj+Ucq0EsFDHSYSTAZ13UqVMBCaaf4OzUsjnEpYiBzvrjT5/1dWPp6ekbVVyeecWWFI&#10;op3qA/sMPZtHdjrnC0p6cZQWenKTyqPfkzOC7ms08UtwGMWJ5/OV21hMknN2l+c3cwpJit3epNrZ&#10;21GHPnxRYFg0So4kXOJTnLY+0DModUyJN3nQbbVptY6bGFhrZCdBIndNG1R8IJ34LUvbmGshnhrC&#10;0ZNFfAOOaIV+3yc2ZiPGPVRngo4wtI53ctPSfVvhw7NA6hWCRP0fnmipNXQlh4vFWQP442/+mE8S&#10;UpSzjnqv5P77UaDiTH+1JG5s1NHA0diPhj2aNRDSKU2Wk8mkAxj0aNYI5pXGYhVvoZCwku4qeRjN&#10;dRgmgMZKqtUqJVE7OhG29sXJWHrkdde/CnQXVQKJ+QhjV4rinThDbpLHrY6BmE7KRV4HFi90Uysn&#10;eS5jF2fl133Kevs5LH8CAAD//wMAUEsDBBQABgAIAAAAIQCBrSpT4AAAAAkBAAAPAAAAZHJzL2Rv&#10;d25yZXYueG1sTI8xT8MwEIV3JP6DdUgsFXVIQhWFOFVVwQBLRejC5sbXOBDbke204d9zncp29+7p&#10;3feq9WwGdkIfemcFPC4TYGhbp3rbCdh/vj4UwEKUVsnBWRTwiwHW9e1NJUvlzvYDT03sGIXYUEoB&#10;Osax5Dy0Go0MSzeipdvReSMjrb7jysszhZuBp0my4kb2lj5oOeJWY/vTTEbALv/a6cV0fHnf5Jl/&#10;20/b1XfXCHF/N2+egUWc49UMF3xCh5qYDm6yKrBBQFbk1CXSkKbAyFCkTyQcLkIGvK74/wb1HwAA&#10;AP//AwBQSwECLQAUAAYACAAAACEAtoM4kv4AAADhAQAAEwAAAAAAAAAAAAAAAAAAAAAAW0NvbnRl&#10;bnRfVHlwZXNdLnhtbFBLAQItABQABgAIAAAAIQA4/SH/1gAAAJQBAAALAAAAAAAAAAAAAAAAAC8B&#10;AABfcmVscy8ucmVsc1BLAQItABQABgAIAAAAIQC1xf6NLwIAAGQEAAAOAAAAAAAAAAAAAAAAAC4C&#10;AABkcnMvZTJvRG9jLnhtbFBLAQItABQABgAIAAAAIQCBrSpT4AAAAAkBAAAPAAAAAAAAAAAAAAAA&#10;AIkEAABkcnMvZG93bnJldi54bWxQSwUGAAAAAAQABADzAAAAlgUAAAAA&#10;" stroked="f">
            <v:textbox style="mso-fit-shape-to-text:t" inset="0,0,0,0">
              <w:txbxContent>
                <w:p w:rsidR="0007012D" w:rsidRPr="00D94207" w:rsidRDefault="0007012D" w:rsidP="005D4613">
                  <w:pPr>
                    <w:pStyle w:val="Caption"/>
                    <w:rPr>
                      <w:noProof/>
                      <w:sz w:val="24"/>
                      <w:szCs w:val="24"/>
                    </w:rPr>
                  </w:pPr>
                  <w:r>
                    <w:t>DHS Data - Children with Separated Parents 2013 (1.506 million)</w:t>
                  </w:r>
                </w:p>
              </w:txbxContent>
            </v:textbox>
          </v:shape>
        </w:pict>
      </w:r>
      <w:r>
        <w:rPr>
          <w:noProof/>
          <w:sz w:val="24"/>
          <w:szCs w:val="24"/>
        </w:rPr>
        <w:pict>
          <v:oval id="Oval 3" o:spid="_x0000_s1041" style="position:absolute;left:0;text-align:left;margin-left:11.9pt;margin-top:5.1pt;width:186pt;height:180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hxmlgIAAI8FAAAOAAAAZHJzL2Uyb0RvYy54bWysVEtv2zAMvg/YfxB0X504XdcFdYqgRYcB&#10;RRu0HXpWZCoWJksapbz260fJjhusBTYMu9ik+CY/8uJy1xq2AQza2YqPT0acgZWu1nZV8W9PNx/O&#10;OQtR2FoYZ6Hiewj8cvb+3cXWT6F0jTM1ICMnNky3vuJNjH5aFEE20Ipw4jxYEiqHrYjE4qqoUWzJ&#10;e2uKcjQ6K7YOa49OQgj0et0J+Sz7VwpkvFcqQGSm4pRbzF/M32X6FrMLMV2h8I2WfRriH7JohbYU&#10;dHB1LaJga9SvXLVaogtOxRPp2sIppSXkGqia8ei3ah4b4SHXQs0JfmhT+H9u5d1mgUzXFZ9wZkVL&#10;I7rfCMMmqTNbH6ak8OgX2HOByFTmTmGb/lQA2+Vu7oduwi4ySY/l5KykEXEmSVaW52cjYshP8WLu&#10;McQv4FqWiIqDMdqHVLGYis1tiJ32QSs9BwkWJnUiJWWLojd1GBvXz/EGnY3dZI1eNfFBrxhqwmNs&#10;EGAROas1QSCrUDJHLoPvXC9hA+api969FakXXfWZinsDKQljH0BR/6jecc47IxeuDDJqY8WFpITj&#10;uK87ayczpY0ZDMs/G/b6yRQyqgfjv4g6WOTI1JvBuNXW4VvR6++HlFWnT2M7qjuRS1fvCTroup0K&#10;Xt5omuKtCHEhkJaIJk+HId7TRxm3rbjrKc4ahz/fek/6hG2Scralpax4+LEWCJyZr5ZQ/3l8epq2&#10;ODOnHz+VxOCxZHkssev2ytEMxnSCvMxk0o/mQCp07TPdj3mKSiJhJcWuuIx4YK5idyzoAkmYz7Ma&#10;ba4X8dY+enmYeoLo0+5ZoO/xGGkL7txhgV/BudNN87Buvo5O6Yz1l772/aatzwvTIzudlWM+a73c&#10;0dkvAAAA//8DAFBLAwQUAAYACAAAACEA1kqEW94AAAAJAQAADwAAAGRycy9kb3ducmV2LnhtbEyP&#10;zU7DMBCE70i8g7VIXBC1SflriFMhJBBShUQLF25uvMRR7XWI3Sa8PcsJbrszq9lvquUUvDjgkLpI&#10;Gi5mCgRSE21HrYb3t8fzWxApG7LGR0IN35hgWR8fVaa0caQ1Hja5FRxCqTQaXM59KWVqHAaTZrFH&#10;Yu8zDsFkXodW2sGMHB68LJS6lsF0xB+c6fHBYbPb7IMGsgvrx8uX54/VV3ZPZ0751/VO69OT6f4O&#10;RMYp/x3DLz6jQ81M27gnm4TXUMyZPLOuChDszxdXLGx5uGFF1pX836D+AQAA//8DAFBLAQItABQA&#10;BgAIAAAAIQC2gziS/gAAAOEBAAATAAAAAAAAAAAAAAAAAAAAAABbQ29udGVudF9UeXBlc10ueG1s&#10;UEsBAi0AFAAGAAgAAAAhADj9If/WAAAAlAEAAAsAAAAAAAAAAAAAAAAALwEAAF9yZWxzLy5yZWxz&#10;UEsBAi0AFAAGAAgAAAAhAFNeHGaWAgAAjwUAAA4AAAAAAAAAAAAAAAAALgIAAGRycy9lMm9Eb2Mu&#10;eG1sUEsBAi0AFAAGAAgAAAAhANZKhFveAAAACQEAAA8AAAAAAAAAAAAAAAAA8AQAAGRycy9kb3du&#10;cmV2LnhtbFBLBQYAAAAABAAEAPMAAAD7BQAAAAA=&#10;" fillcolor="#89aad3 [2164]" strokecolor="#4f81bd [3204]" strokeweight=".5pt">
            <v:fill color2="#7098c9 [2612]" rotate="t" colors="0 #abbedb;.5 #9eb3d5;1 #8ca7d2" focus="100%" type="gradient">
              <o:fill v:ext="view" type="gradientUnscaled"/>
            </v:fill>
            <v:stroke joinstyle="miter"/>
            <w10:wrap anchorx="margin"/>
          </v:oval>
        </w:pict>
      </w:r>
    </w:p>
    <w:p w:rsidR="00FE59F0" w:rsidRDefault="005411EE" w:rsidP="00462142">
      <w:pPr>
        <w:spacing w:after="0" w:line="360" w:lineRule="auto"/>
        <w:jc w:val="both"/>
        <w:rPr>
          <w:sz w:val="24"/>
          <w:szCs w:val="24"/>
        </w:rPr>
      </w:pPr>
      <w:r w:rsidRPr="005411EE">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9" o:spid="_x0000_s1040" type="#_x0000_t68" style="position:absolute;left:0;text-align:left;margin-left:165pt;margin-top:7.8pt;width:10.5pt;height:18.75pt;rotation:-8254475fd;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zUdfQIAAEoFAAAOAAAAZHJzL2Uyb0RvYy54bWysVN9P3DAMfp+0/yHK++iPu9vgRA+dQEyT&#10;EKAB4jmkCa2UxpmTu97tr5+T9gpjSJOm9aGKY/uz/dnO6dmuM2yr0LdgK14c5ZwpK6Fu7XPFH+4v&#10;Px1z5oOwtTBgVcX3yvOz1ccPp71bqhIaMLVCRiDWL3tX8SYEt8wyLxvVCX8ETllSasBOBBLxOatR&#10;9ITemazM889ZD1g7BKm8p9uLQclXCV9rJcON1l4FZipOuYX0x/R/iv9sdSqWzyhc08oxDfEPWXSi&#10;tRR0groQQbANtn9Ada1E8KDDkYQuA61bqVINVE2Rv6nmrhFOpVqIHO8mmvz/g5XX21tkbV3xE86s&#10;6KhFa0Tol+zBsZNIT+/8kqzu3C2OkqdjrHWnsWMIxGkxz+flcV4mCqgotksM7yeG1S4wSZfFbDZb&#10;UB8kqcrZcVEuYohswIqYDn34qqBj8VDxjUvZJFyxvfJhsD5YkWtMb0goncLeqIhj7HelqS6KOWSV&#10;JkqdG2RbQbMgpFQ2jKpG1Gq4XuT0jSlNHinBBBiRdWvMhF2kzCbL37GHXEf76KrSQE7O+d+dJ48U&#10;GWyYnLvWAr4HYEIxFqAH+wNJAzWRpSeo99T11DpqhnfysiW6r4QPtwJp/umSdjrc0E8b6CsO44mz&#10;BvDne/fRnsaStJz1tE8V9z82AhVn5pulgT0p5vO4gEmYL76UJOBrzdNrjd1050BtKlJ26Rjtgzkc&#10;NUL3SKu/jlFJJayk2BWXAQ/CeRj2nB4PqdbrZEZL50S4sndORvDIapyl+92jQDfOXKBhvYbD7onl&#10;m7kbbKOnhfUmgG7TUL7wOvJNC5sGZ3xc4ovwWk5WL0/g6hcAAAD//wMAUEsDBBQABgAIAAAAIQDR&#10;IGQ03gAAAAkBAAAPAAAAZHJzL2Rvd25yZXYueG1sTI9BT4NAEIXvJv6HzZh4s0sBtSBDY0x68mTb&#10;A8ctOwLKzhJ2C9Rf73qyx8n78t43xXYxvZhodJ1lhPUqAkFcW91xg3A87B42IJxXrFVvmRAu5GBb&#10;3t4UKtd25g+a9r4RoYRdrhBa74dcSle3ZJRb2YE4ZJ92NMqHc2ykHtUcyk0v4yh6kkZ1HBZaNdBb&#10;S/X3/mwQ5q/0vZKTni+Hn2zjdnF1TF2FeH+3vL6A8LT4fxj+9IM6lMHpZM+snegRknj9HFCEOMlA&#10;BCB5zGIQJ4Q0zUCWhbz+oPwFAAD//wMAUEsBAi0AFAAGAAgAAAAhALaDOJL+AAAA4QEAABMAAAAA&#10;AAAAAAAAAAAAAAAAAFtDb250ZW50X1R5cGVzXS54bWxQSwECLQAUAAYACAAAACEAOP0h/9YAAACU&#10;AQAACwAAAAAAAAAAAAAAAAAvAQAAX3JlbHMvLnJlbHNQSwECLQAUAAYACAAAACEAqJc1HX0CAABK&#10;BQAADgAAAAAAAAAAAAAAAAAuAgAAZHJzL2Uyb0RvYy54bWxQSwECLQAUAAYACAAAACEA0SBkNN4A&#10;AAAJAQAADwAAAAAAAAAAAAAAAADXBAAAZHJzL2Rvd25yZXYueG1sUEsFBgAAAAAEAAQA8wAAAOIF&#10;AAAAAA==&#10;" adj="6048" fillcolor="#c0504d [3205]" strokecolor="#622423 [1605]" strokeweight="1pt"/>
        </w:pict>
      </w:r>
    </w:p>
    <w:p w:rsidR="00FE59F0" w:rsidRDefault="00FE59F0" w:rsidP="00462142">
      <w:pPr>
        <w:spacing w:after="0" w:line="360" w:lineRule="auto"/>
        <w:jc w:val="both"/>
        <w:rPr>
          <w:sz w:val="24"/>
          <w:szCs w:val="24"/>
        </w:rPr>
      </w:pPr>
      <w:r>
        <w:rPr>
          <w:sz w:val="24"/>
          <w:szCs w:val="24"/>
        </w:rPr>
        <w:t xml:space="preserve"> </w:t>
      </w:r>
    </w:p>
    <w:p w:rsidR="00FE59F0" w:rsidRDefault="005411EE" w:rsidP="00462142">
      <w:pPr>
        <w:spacing w:after="0" w:line="360" w:lineRule="auto"/>
        <w:jc w:val="both"/>
        <w:rPr>
          <w:sz w:val="24"/>
          <w:szCs w:val="24"/>
        </w:rPr>
      </w:pPr>
      <w:r>
        <w:rPr>
          <w:noProof/>
          <w:sz w:val="24"/>
          <w:szCs w:val="24"/>
        </w:rPr>
        <w:pict>
          <v:oval id="Oval 4" o:spid="_x0000_s1039" style="position:absolute;left:0;text-align:left;margin-left:317.25pt;margin-top:15.8pt;width:3.65pt;height: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ZDxkgIAADwFAAAOAAAAZHJzL2Uyb0RvYy54bWysVEtv2zAMvg/YfxB0X51kTh9GnSJLkGFA&#10;0BRoh54ZWbaF6TVJidP9+lGyk6brTsN8MEjxJX78qNu7g5Jkz50XRpd0fDGihGtmKqGbkn5/Wn26&#10;psQH0BVIo3lJX7ind7OPH247W/CJaY2suCOYRPuisyVtQ7BFlnnWcgX+wliu0VgbpyCg6pqsctBh&#10;diWzyWh0mXXGVdYZxr3H02VvpLOUv645C5u69jwQWVK8W0h/l/7b+M9mt1A0Dmwr2HAN+IdbKBAa&#10;i55SLSEA2TnxLpUSzBlv6nDBjMpMXQvGUw/YzXj0RzePLVieekFwvD3B5P9fWna/f3BEVCXNKdGg&#10;cESbPUiSR2Q66wt0eLQPLvbm7dqwH55os2hBN3zuLeKLU4++2RvnqPgh7FA7FcOxWXJIyL+ckOeH&#10;QBge5pefp1NKGFp6MWaE4hhqnQ9fuVEkCiXlUgrrIzJQwH7tQ+999Ep3NVJUKyFlUiKb+EI6gq2V&#10;FBjjOvS3xq7OPaUmHTY0uRohWRggIWsJAUVlESKvG0pANsh0Flwq/ybau2Z7qpKvrsdflr1TCxXv&#10;a09H+CW8sHLvnjp9kyc2sgTf9iHJ1BNViYDbIoUq6XVMdMwkdWyTJ74PcLxOIEpbU73gnJ1B9LAz&#10;b9lKYJE1+PAADhmPh7jFYYO/WhrEwAwSJa1xv/52Hv2RiGilpMMNQnx+7sBxSuQ3jRS9Ged5XLmk&#10;5NOrCSru3LI9t+idWhgczjjdLonRP8ijWDujnnHZ57EqmkAzrN1PYlAWod9sfC4Yn8+TG66ZhbDW&#10;j5bF5BGnCO/T4RmcHfgUkIb35rht7zjV+8ZIbea7YGqRCPeK68B+XNE0y+E5iW/AuZ68Xh+92W8A&#10;AAD//wMAUEsDBBQABgAIAAAAIQDxoeh23AAAAAkBAAAPAAAAZHJzL2Rvd25yZXYueG1sTI/BTsMw&#10;DIbvSLxDZCRuLO02yihNpwkJISEuFLinjUkrGqdK0q28PebEjrY//f7+ar+4URwxxMGTgnyVgUDq&#10;vBnIKvh4f7rZgYhJk9GjJ1TwgxH29eVFpUvjT/SGxyZZwSEUS62gT2kqpYxdj07HlZ+Q+Pblg9OJ&#10;x2ClCfrE4W6U6ywrpNMD8YdeT/jYY/fdzE5BvBsIm9Yvn6/PazO/RBusOyh1fbUcHkAkXNI/DH/6&#10;rA41O7V+JhPFqKDYbG8ZVbDJCxAMFNucu7S82N2DrCt53qD+BQAA//8DAFBLAQItABQABgAIAAAA&#10;IQC2gziS/gAAAOEBAAATAAAAAAAAAAAAAAAAAAAAAABbQ29udGVudF9UeXBlc10ueG1sUEsBAi0A&#10;FAAGAAgAAAAhADj9If/WAAAAlAEAAAsAAAAAAAAAAAAAAAAALwEAAF9yZWxzLy5yZWxzUEsBAi0A&#10;FAAGAAgAAAAhABtNkPGSAgAAPAUAAA4AAAAAAAAAAAAAAAAALgIAAGRycy9lMm9Eb2MueG1sUEsB&#10;Ai0AFAAGAAgAAAAhAPGh6HbcAAAACQEAAA8AAAAAAAAAAAAAAAAA7AQAAGRycy9kb3ducmV2Lnht&#10;bFBLBQYAAAAABAAEAPMAAAD1BQAAAAA=&#10;" fillcolor="#4f81bd [3204]" strokecolor="#385d8a" strokeweight="1pt">
            <v:stroke joinstyle="miter"/>
            <v:path arrowok="t"/>
            <o:lock v:ext="edit" aspectratio="t"/>
          </v:oval>
        </w:pict>
      </w:r>
    </w:p>
    <w:p w:rsidR="00FE59F0" w:rsidRDefault="005411EE" w:rsidP="00462142">
      <w:pPr>
        <w:spacing w:after="0" w:line="360" w:lineRule="auto"/>
        <w:jc w:val="both"/>
        <w:rPr>
          <w:sz w:val="24"/>
          <w:szCs w:val="24"/>
        </w:rPr>
      </w:pPr>
      <w:r>
        <w:rPr>
          <w:noProof/>
          <w:sz w:val="24"/>
          <w:szCs w:val="24"/>
        </w:rPr>
        <w:pict>
          <v:shape id="Arrow: Up 8" o:spid="_x0000_s1038" type="#_x0000_t68" style="position:absolute;left:0;text-align:left;margin-left:315pt;margin-top:11.65pt;width:9.75pt;height:18.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EH7bQIAADsFAAAOAAAAZHJzL2Uyb0RvYy54bWysVFFP3DAMfp+0/xDlffR6g41V10MnENMk&#10;BGiAeA5pQislcebkrnf79XPSXjkxtEnT+pA6sf3Z/mJncba1hm0Uhg5czcujGWfKSWg691zzh/vL&#10;D6echShcIww4VfOdCvxs+f7doveVmkMLplHICMSFqvc1b2P0VVEE2SorwhF45UipAa2ItMXnokHR&#10;E7o1xXw2+1T0gI1HkCoEOr0YlHyZ8bVWMt5oHVRkpuaUW8wr5vUprcVyIapnFL7t5JiG+IcsrOgc&#10;BZ2gLkQUbI3db1C2kwgBdDySYAvQupMq10DVlLNX1dy1wqtcC5ET/ERT+H+w8npzi6xrak4X5YSl&#10;K1ohQl+xB89OEz29DxVZ3flbHHeBxFTrVqNNf6qCbTOlu4lStY1M0mE5/3g6P+FMkorEkmRCKV6c&#10;PYb4VYFlSaj52ufwmUuxuQpxsN5bkWvKZ8ggS3FnVErCuO9KUyEUc569cwupc4NsI+jyhZTKxVHV&#10;ikYNxycz+saUJo+cYAZMyLozZsIu/4Q95DraJ1eVO3Bynv3defLIkcHFydl2DvAtABPLsQA92O9J&#10;GqhJLD1Bs6NrRhj6P3h52RHdVyLEW4HU8DQaNMTxhhZtoK85jBJnLeDPt86TPfUhaTnraYBqHn6s&#10;BSrOzDdHHfqlPD5OE5c3xyef57TBQ83Tocat7TnQNZX0XHiZxWQfzV7UCPaRZn2VopJKOEmxay4j&#10;7jfncRhsei2kWq2yGU2ZF/HK3XmZwBOrqZfut48C/dhzkZr1GvbDJqpXfTfYJk8Hq3UE3eWmfOF1&#10;5JsmNDfO+JqkJ+Bwn61e3rzlLwAAAP//AwBQSwMEFAAGAAgAAAAhALjgGYHgAAAACQEAAA8AAABk&#10;cnMvZG93bnJldi54bWxMj81OwzAQhO9IvIO1SFwQtUkgakOcKiqqhEQvtPS+jU0c4Z8odtvQp2c5&#10;wW1WM5r9plpOzrKTHmMfvISHmQCmfRtU7zsJH7v1/RxYTOgV2uC1hG8dYVlfX1VYqnD27/q0TR2j&#10;Eh9LlGBSGkrOY2u0wzgLg/bkfYbRYaJz7Lga8UzlzvJMiII77D19MDjoldHt1/boJLxtTGNTts/j&#10;6zrcrS7ZpcHdi5S3N1PzDCzpKf2F4Ref0KEmpkM4ehWZlVDkgrYkCVmeA6NA8bh4AnYgIebA64r/&#10;X1D/AAAA//8DAFBLAQItABQABgAIAAAAIQC2gziS/gAAAOEBAAATAAAAAAAAAAAAAAAAAAAAAABb&#10;Q29udGVudF9UeXBlc10ueG1sUEsBAi0AFAAGAAgAAAAhADj9If/WAAAAlAEAAAsAAAAAAAAAAAAA&#10;AAAALwEAAF9yZWxzLy5yZWxzUEsBAi0AFAAGAAgAAAAhAGCgQfttAgAAOwUAAA4AAAAAAAAAAAAA&#10;AAAALgIAAGRycy9lMm9Eb2MueG1sUEsBAi0AFAAGAAgAAAAhALjgGYHgAAAACQEAAA8AAAAAAAAA&#10;AAAAAAAAxwQAAGRycy9kb3ducmV2LnhtbFBLBQYAAAAABAAEAPMAAADUBQAAAAA=&#10;" adj="5616" fillcolor="#c0504d [3205]" strokecolor="#622423 [1605]" strokeweight="1pt"/>
        </w:pict>
      </w:r>
    </w:p>
    <w:p w:rsidR="00FE59F0" w:rsidRDefault="005411EE" w:rsidP="00462142">
      <w:pPr>
        <w:spacing w:after="0" w:line="360" w:lineRule="auto"/>
        <w:jc w:val="both"/>
        <w:rPr>
          <w:sz w:val="24"/>
          <w:szCs w:val="24"/>
        </w:rPr>
      </w:pPr>
      <w:r w:rsidRPr="005411EE">
        <w:rPr>
          <w:noProof/>
        </w:rPr>
        <w:pict>
          <v:shape id="Text Box 6" o:spid="_x0000_s1037" type="#_x0000_t202" style="position:absolute;left:0;text-align:left;margin-left:240.75pt;margin-top:15.85pt;width:196.5pt;height:44.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DsUMAIAAGcEAAAOAAAAZHJzL2Uyb0RvYy54bWysVMGO2yAQvVfqPyDujZO0SbtRnFWaVapK&#10;q92VkmrPBEOMBAwFEjv9+g7Yzrbbnqpe8DAzDLz3Zry8bY0mZ+GDAlvSyWhMibAcKmWPJf223777&#10;REmIzFZMgxUlvYhAb1dv3ywbtxBTqEFXwhMsYsOicSWtY3SLogi8FoaFEThhMSjBGxZx649F5VmD&#10;1Y0upuPxvGjAV84DFyGg964L0lWuL6Xg8VHKICLRJcW3xbz6vB7SWqyWbHH0zNWK989g//AKw5TF&#10;S6+l7lhk5OTVH6WM4h4CyDjiYAqQUnGRMSCayfgVml3NnMhYkJzgrjSF/1eWP5yfPFFVSeeUWGZQ&#10;or1oI/kMLZkndhoXFpi0c5gWW3SjyoM/oDOBbqU36YtwCMaR58uV21SMo3P64WY2m2GIY2w2n9x8&#10;nKUyxctp50P8IsCQZJTUo3aZUna+D7FLHVLSZQG0qrZK67RJgY325MxQ56ZWUfTFf8vSNuVaSKe6&#10;gslTJIgdlGTF9tBmQt4PMA9QXRC9h657guNbhffdsxCfmMd2QVQ4AvERF6mhKSn0FiU1+B9/86d8&#10;VBGjlDTYfiUN30/MC0r0V4v6pl4dDD8Yh8GwJ7MBRDrB4XI8m3jARz2Y0oN5xslYp1swxCzHu0oa&#10;B3MTuyHAyeJivc5J2JGOxXu7czyVHnjdt8/Mu16ViHo+wNCYbPFKnC63Y3l9iiBVVi7x2rHY043d&#10;nLXvJy+Ny6/7nPXyf1j9BAAA//8DAFBLAwQUAAYACAAAACEACHCqqeAAAAAKAQAADwAAAGRycy9k&#10;b3ducmV2LnhtbEyPwU7DMAyG70i8Q2QkLoilLWOrStMJNnaDw8a0s9eEtqJxqiZdu7fHO8HR9qff&#10;35+vJtuKs+l940hBPItAGCqdbqhScPjaPqYgfEDS2DoyCi7Gw6q4vckx026knTnvQyU4hHyGCuoQ&#10;ukxKX9bGop+5zhDfvl1vMfDYV1L3OHK4bWUSRQtpsSH+UGNn1rUpf/aDVbDY9MO4o/XD5vD+gZ9d&#10;lRzfLkel7u+m1xcQwUzhD4arPqtDwU4nN5D2olUwT+NnRhU8xUsQDKTLOS9OTCZRArLI5f8KxS8A&#10;AAD//wMAUEsBAi0AFAAGAAgAAAAhALaDOJL+AAAA4QEAABMAAAAAAAAAAAAAAAAAAAAAAFtDb250&#10;ZW50X1R5cGVzXS54bWxQSwECLQAUAAYACAAAACEAOP0h/9YAAACUAQAACwAAAAAAAAAAAAAAAAAv&#10;AQAAX3JlbHMvLnJlbHNQSwECLQAUAAYACAAAACEAd1w7FDACAABnBAAADgAAAAAAAAAAAAAAAAAu&#10;AgAAZHJzL2Uyb0RvYy54bWxQSwECLQAUAAYACAAAACEACHCqqeAAAAAKAQAADwAAAAAAAAAAAAAA&#10;AACKBAAAZHJzL2Rvd25yZXYueG1sUEsFBgAAAAAEAAQA8wAAAJcFAAAAAA==&#10;" stroked="f">
            <v:textbox inset="0,0,0,0">
              <w:txbxContent>
                <w:p w:rsidR="0007012D" w:rsidRPr="00F41C59" w:rsidRDefault="0007012D" w:rsidP="005D4613">
                  <w:pPr>
                    <w:pStyle w:val="Caption"/>
                    <w:rPr>
                      <w:noProof/>
                      <w:sz w:val="24"/>
                      <w:szCs w:val="24"/>
                    </w:rPr>
                  </w:pPr>
                  <w:r>
                    <w:t xml:space="preserve"> Estimated Children Subject of Family Law Applications (Including consent applications) (2013) (29,000) (1.9% of children with Separated Parents).</w:t>
                  </w:r>
                </w:p>
              </w:txbxContent>
            </v:textbox>
            <w10:wrap anchorx="margin"/>
          </v:shape>
        </w:pict>
      </w:r>
    </w:p>
    <w:p w:rsidR="00FE59F0" w:rsidRDefault="00FE59F0" w:rsidP="00462142">
      <w:pPr>
        <w:spacing w:after="0" w:line="360" w:lineRule="auto"/>
        <w:jc w:val="both"/>
        <w:rPr>
          <w:sz w:val="24"/>
          <w:szCs w:val="24"/>
        </w:rPr>
      </w:pPr>
    </w:p>
    <w:p w:rsidR="00FE59F0" w:rsidRDefault="00FE59F0" w:rsidP="00462142">
      <w:pPr>
        <w:spacing w:after="0" w:line="360" w:lineRule="auto"/>
        <w:jc w:val="both"/>
        <w:rPr>
          <w:sz w:val="24"/>
          <w:szCs w:val="24"/>
        </w:rPr>
      </w:pPr>
    </w:p>
    <w:p w:rsidR="008868F4" w:rsidRDefault="008868F4" w:rsidP="00462142">
      <w:pPr>
        <w:spacing w:after="0" w:line="360" w:lineRule="auto"/>
        <w:jc w:val="both"/>
        <w:rPr>
          <w:sz w:val="24"/>
          <w:szCs w:val="24"/>
        </w:rPr>
      </w:pPr>
    </w:p>
    <w:p w:rsidR="002C2F0E" w:rsidRPr="00033EE7" w:rsidRDefault="00E33E65" w:rsidP="00462142">
      <w:pPr>
        <w:pStyle w:val="ListParagraph"/>
        <w:numPr>
          <w:ilvl w:val="0"/>
          <w:numId w:val="52"/>
        </w:numPr>
        <w:spacing w:after="0" w:line="360" w:lineRule="auto"/>
        <w:jc w:val="both"/>
        <w:rPr>
          <w:sz w:val="24"/>
          <w:szCs w:val="24"/>
        </w:rPr>
      </w:pPr>
      <w:r>
        <w:rPr>
          <w:sz w:val="24"/>
          <w:szCs w:val="24"/>
        </w:rPr>
        <w:t xml:space="preserve">Removing the applications for consent orders leaves 12,687 </w:t>
      </w:r>
      <w:r w:rsidR="00A8085D">
        <w:rPr>
          <w:sz w:val="24"/>
          <w:szCs w:val="24"/>
        </w:rPr>
        <w:t xml:space="preserve">contested parenting </w:t>
      </w:r>
      <w:r>
        <w:rPr>
          <w:sz w:val="24"/>
          <w:szCs w:val="24"/>
        </w:rPr>
        <w:t xml:space="preserve">applications in that year. Again, using the rough multiplier of 1.8, the total is around 22,900 children. </w:t>
      </w:r>
      <w:r w:rsidR="00033EE7">
        <w:rPr>
          <w:sz w:val="24"/>
          <w:szCs w:val="24"/>
        </w:rPr>
        <w:t>On those estimates, the number of children with parents in dispute in a Commonwealth Court represented about 1.5% of all children with separated parents. Even if these estimates are out by 10,000 children or 20,000 children, t</w:t>
      </w:r>
      <w:r w:rsidR="00D80913" w:rsidRPr="00CC4FCD">
        <w:rPr>
          <w:sz w:val="24"/>
          <w:szCs w:val="24"/>
        </w:rPr>
        <w:t xml:space="preserve">he point is that the number of children affected by family law proceedings in any given year is a tiny proportion of all </w:t>
      </w:r>
      <w:r w:rsidR="008F1051" w:rsidRPr="00CC4FCD">
        <w:rPr>
          <w:sz w:val="24"/>
          <w:szCs w:val="24"/>
        </w:rPr>
        <w:t xml:space="preserve">families with </w:t>
      </w:r>
      <w:r w:rsidR="00D80913" w:rsidRPr="00CC4FCD">
        <w:rPr>
          <w:sz w:val="24"/>
          <w:szCs w:val="24"/>
        </w:rPr>
        <w:t>separated parents.</w:t>
      </w:r>
      <w:r w:rsidR="00033EE7">
        <w:rPr>
          <w:sz w:val="24"/>
          <w:szCs w:val="24"/>
        </w:rPr>
        <w:t xml:space="preserve"> </w:t>
      </w:r>
    </w:p>
    <w:p w:rsidR="00CC4FCD" w:rsidRPr="00033EE7" w:rsidRDefault="00540614" w:rsidP="00033EE7">
      <w:pPr>
        <w:pStyle w:val="ListParagraph"/>
        <w:numPr>
          <w:ilvl w:val="0"/>
          <w:numId w:val="52"/>
        </w:numPr>
        <w:spacing w:after="0" w:line="360" w:lineRule="auto"/>
        <w:jc w:val="both"/>
        <w:rPr>
          <w:sz w:val="24"/>
          <w:szCs w:val="24"/>
        </w:rPr>
      </w:pPr>
      <w:r w:rsidRPr="00CC4FCD">
        <w:rPr>
          <w:sz w:val="24"/>
          <w:szCs w:val="24"/>
        </w:rPr>
        <w:t>T</w:t>
      </w:r>
      <w:r w:rsidR="00A8427A" w:rsidRPr="00CC4FCD">
        <w:rPr>
          <w:sz w:val="24"/>
          <w:szCs w:val="24"/>
        </w:rPr>
        <w:t xml:space="preserve">here are </w:t>
      </w:r>
      <w:r w:rsidR="00C1402E" w:rsidRPr="00CC4FCD">
        <w:rPr>
          <w:noProof/>
          <w:sz w:val="24"/>
          <w:szCs w:val="24"/>
        </w:rPr>
        <w:t>m</w:t>
      </w:r>
      <w:r w:rsidR="000924D6" w:rsidRPr="00CC4FCD">
        <w:rPr>
          <w:noProof/>
          <w:sz w:val="24"/>
          <w:szCs w:val="24"/>
        </w:rPr>
        <w:t>any</w:t>
      </w:r>
      <w:r w:rsidR="00C1402E" w:rsidRPr="00CC4FCD">
        <w:rPr>
          <w:sz w:val="24"/>
          <w:szCs w:val="24"/>
        </w:rPr>
        <w:t xml:space="preserve"> </w:t>
      </w:r>
      <w:r w:rsidR="00D80913" w:rsidRPr="00CC4FCD">
        <w:rPr>
          <w:sz w:val="24"/>
          <w:szCs w:val="24"/>
        </w:rPr>
        <w:t>qualifications and unknowns:</w:t>
      </w:r>
    </w:p>
    <w:p w:rsidR="00CC4FCD" w:rsidRDefault="00D80913" w:rsidP="009A0126">
      <w:pPr>
        <w:pStyle w:val="ListParagraph"/>
        <w:numPr>
          <w:ilvl w:val="1"/>
          <w:numId w:val="52"/>
        </w:numPr>
        <w:spacing w:after="0" w:line="360" w:lineRule="auto"/>
        <w:jc w:val="both"/>
        <w:rPr>
          <w:sz w:val="24"/>
          <w:szCs w:val="24"/>
        </w:rPr>
      </w:pPr>
      <w:r w:rsidRPr="00CC4FCD">
        <w:rPr>
          <w:sz w:val="24"/>
          <w:szCs w:val="24"/>
        </w:rPr>
        <w:t xml:space="preserve">There is, to my knowledge, no </w:t>
      </w:r>
      <w:r w:rsidR="00033EE7">
        <w:rPr>
          <w:sz w:val="24"/>
          <w:szCs w:val="24"/>
        </w:rPr>
        <w:t xml:space="preserve">quantitative </w:t>
      </w:r>
      <w:r w:rsidRPr="00CC4FCD">
        <w:rPr>
          <w:sz w:val="24"/>
          <w:szCs w:val="24"/>
        </w:rPr>
        <w:t xml:space="preserve">data about how many children in Australia are the subject of operative parenting orders or parenting plans at any point in time. </w:t>
      </w:r>
    </w:p>
    <w:p w:rsidR="00540614" w:rsidRPr="00CC4FCD" w:rsidRDefault="00033EE7" w:rsidP="009A0126">
      <w:pPr>
        <w:pStyle w:val="ListParagraph"/>
        <w:numPr>
          <w:ilvl w:val="1"/>
          <w:numId w:val="52"/>
        </w:numPr>
        <w:spacing w:after="0" w:line="360" w:lineRule="auto"/>
        <w:jc w:val="both"/>
        <w:rPr>
          <w:sz w:val="24"/>
          <w:szCs w:val="24"/>
        </w:rPr>
      </w:pPr>
      <w:r>
        <w:rPr>
          <w:sz w:val="24"/>
          <w:szCs w:val="24"/>
        </w:rPr>
        <w:t>Similarly, w</w:t>
      </w:r>
      <w:r w:rsidR="000924D6" w:rsidRPr="00CC4FCD">
        <w:rPr>
          <w:sz w:val="24"/>
          <w:szCs w:val="24"/>
        </w:rPr>
        <w:t xml:space="preserve">e </w:t>
      </w:r>
      <w:r w:rsidR="000924D6" w:rsidRPr="00CC4FCD">
        <w:rPr>
          <w:noProof/>
          <w:sz w:val="24"/>
          <w:szCs w:val="24"/>
        </w:rPr>
        <w:t>do</w:t>
      </w:r>
      <w:r w:rsidR="000924D6" w:rsidRPr="00CC4FCD">
        <w:rPr>
          <w:sz w:val="24"/>
          <w:szCs w:val="24"/>
        </w:rPr>
        <w:t xml:space="preserve"> not</w:t>
      </w:r>
      <w:r>
        <w:rPr>
          <w:sz w:val="24"/>
          <w:szCs w:val="24"/>
        </w:rPr>
        <w:t xml:space="preserve"> appear to</w:t>
      </w:r>
      <w:r w:rsidR="000924D6" w:rsidRPr="00CC4FCD">
        <w:rPr>
          <w:sz w:val="24"/>
          <w:szCs w:val="24"/>
        </w:rPr>
        <w:t xml:space="preserve"> </w:t>
      </w:r>
      <w:r w:rsidR="000924D6" w:rsidRPr="00CC4FCD">
        <w:rPr>
          <w:noProof/>
          <w:sz w:val="24"/>
          <w:szCs w:val="24"/>
        </w:rPr>
        <w:t>know</w:t>
      </w:r>
      <w:r w:rsidR="00D80913" w:rsidRPr="00CC4FCD">
        <w:rPr>
          <w:sz w:val="24"/>
          <w:szCs w:val="24"/>
        </w:rPr>
        <w:t xml:space="preserve"> h</w:t>
      </w:r>
      <w:r w:rsidR="00A8427A" w:rsidRPr="00CC4FCD">
        <w:rPr>
          <w:sz w:val="24"/>
          <w:szCs w:val="24"/>
        </w:rPr>
        <w:t xml:space="preserve">ow </w:t>
      </w:r>
      <w:r w:rsidR="00A8427A" w:rsidRPr="00875BAC">
        <w:rPr>
          <w:noProof/>
          <w:sz w:val="24"/>
          <w:szCs w:val="24"/>
        </w:rPr>
        <w:t>many</w:t>
      </w:r>
      <w:r w:rsidR="00875BAC">
        <w:rPr>
          <w:noProof/>
          <w:sz w:val="24"/>
          <w:szCs w:val="24"/>
        </w:rPr>
        <w:t xml:space="preserve"> separated</w:t>
      </w:r>
      <w:r w:rsidR="00A8427A" w:rsidRPr="00CC4FCD">
        <w:rPr>
          <w:sz w:val="24"/>
          <w:szCs w:val="24"/>
        </w:rPr>
        <w:t xml:space="preserve"> parents reached agreement about their children at </w:t>
      </w:r>
      <w:r>
        <w:rPr>
          <w:sz w:val="24"/>
          <w:szCs w:val="24"/>
        </w:rPr>
        <w:t xml:space="preserve">family dispute </w:t>
      </w:r>
      <w:r w:rsidR="00A8427A" w:rsidRPr="00CC4FCD">
        <w:rPr>
          <w:sz w:val="24"/>
          <w:szCs w:val="24"/>
        </w:rPr>
        <w:t xml:space="preserve">resolution, </w:t>
      </w:r>
      <w:r w:rsidR="000924D6" w:rsidRPr="00CC4FCD">
        <w:rPr>
          <w:noProof/>
          <w:sz w:val="24"/>
          <w:szCs w:val="24"/>
        </w:rPr>
        <w:t>notab</w:t>
      </w:r>
      <w:r w:rsidR="00D80913" w:rsidRPr="00CC4FCD">
        <w:rPr>
          <w:noProof/>
          <w:sz w:val="24"/>
          <w:szCs w:val="24"/>
        </w:rPr>
        <w:t>ly</w:t>
      </w:r>
      <w:r w:rsidR="00D80913" w:rsidRPr="00CC4FCD">
        <w:rPr>
          <w:sz w:val="24"/>
          <w:szCs w:val="24"/>
        </w:rPr>
        <w:t>:</w:t>
      </w:r>
    </w:p>
    <w:p w:rsidR="00D80913" w:rsidRPr="00540614" w:rsidRDefault="00D80913" w:rsidP="009A0126">
      <w:pPr>
        <w:pStyle w:val="ListParagraph"/>
        <w:numPr>
          <w:ilvl w:val="2"/>
          <w:numId w:val="3"/>
        </w:numPr>
        <w:spacing w:after="0" w:line="360" w:lineRule="auto"/>
        <w:jc w:val="both"/>
        <w:rPr>
          <w:sz w:val="24"/>
          <w:szCs w:val="24"/>
        </w:rPr>
      </w:pPr>
      <w:r w:rsidRPr="00540614">
        <w:rPr>
          <w:sz w:val="24"/>
          <w:szCs w:val="24"/>
        </w:rPr>
        <w:t>H</w:t>
      </w:r>
      <w:r w:rsidR="00A8427A" w:rsidRPr="00540614">
        <w:rPr>
          <w:sz w:val="24"/>
          <w:szCs w:val="24"/>
        </w:rPr>
        <w:t xml:space="preserve">ow many parents reached a written agreement (parenting plan or informal agreement), </w:t>
      </w:r>
      <w:r w:rsidRPr="00540614">
        <w:rPr>
          <w:sz w:val="24"/>
          <w:szCs w:val="24"/>
        </w:rPr>
        <w:t>or</w:t>
      </w:r>
    </w:p>
    <w:p w:rsidR="00A8427A" w:rsidRPr="00D80913" w:rsidRDefault="00A8427A" w:rsidP="009A0126">
      <w:pPr>
        <w:pStyle w:val="ListParagraph"/>
        <w:numPr>
          <w:ilvl w:val="2"/>
          <w:numId w:val="3"/>
        </w:numPr>
        <w:spacing w:after="0" w:line="360" w:lineRule="auto"/>
        <w:jc w:val="both"/>
        <w:rPr>
          <w:sz w:val="24"/>
          <w:szCs w:val="24"/>
        </w:rPr>
      </w:pPr>
      <w:r w:rsidRPr="00D80913">
        <w:rPr>
          <w:sz w:val="24"/>
          <w:szCs w:val="24"/>
        </w:rPr>
        <w:t>How many parents reached an oral agreement</w:t>
      </w:r>
      <w:r w:rsidR="00033EE7">
        <w:rPr>
          <w:sz w:val="24"/>
          <w:szCs w:val="24"/>
        </w:rPr>
        <w:t>.</w:t>
      </w:r>
      <w:r w:rsidRPr="00D80913">
        <w:rPr>
          <w:sz w:val="24"/>
          <w:szCs w:val="24"/>
        </w:rPr>
        <w:t xml:space="preserve"> </w:t>
      </w:r>
    </w:p>
    <w:p w:rsidR="00033EE7" w:rsidRDefault="00D80913" w:rsidP="009A0126">
      <w:pPr>
        <w:pStyle w:val="ListParagraph"/>
        <w:numPr>
          <w:ilvl w:val="1"/>
          <w:numId w:val="52"/>
        </w:numPr>
        <w:spacing w:after="0" w:line="360" w:lineRule="auto"/>
        <w:jc w:val="both"/>
        <w:rPr>
          <w:sz w:val="24"/>
          <w:szCs w:val="24"/>
        </w:rPr>
      </w:pPr>
      <w:r w:rsidRPr="00CC4FCD">
        <w:rPr>
          <w:sz w:val="24"/>
          <w:szCs w:val="24"/>
        </w:rPr>
        <w:t>Outside the dispute resolution process, the unknowns include h</w:t>
      </w:r>
      <w:r w:rsidR="00A8427A" w:rsidRPr="00CC4FCD">
        <w:rPr>
          <w:sz w:val="24"/>
          <w:szCs w:val="24"/>
        </w:rPr>
        <w:t>ow many families had one parent who no longer sought to be involved in the child or children’s lives</w:t>
      </w:r>
      <w:r w:rsidR="008F1051" w:rsidRPr="00CC4FCD">
        <w:rPr>
          <w:sz w:val="24"/>
          <w:szCs w:val="24"/>
        </w:rPr>
        <w:t>, an</w:t>
      </w:r>
      <w:r w:rsidR="00033EE7">
        <w:rPr>
          <w:sz w:val="24"/>
          <w:szCs w:val="24"/>
        </w:rPr>
        <w:t>d</w:t>
      </w:r>
    </w:p>
    <w:p w:rsidR="00CC4FCD" w:rsidRDefault="00CC4FCD" w:rsidP="00033EE7">
      <w:pPr>
        <w:pStyle w:val="ListParagraph"/>
        <w:spacing w:after="0" w:line="360" w:lineRule="auto"/>
        <w:ind w:left="1440"/>
        <w:jc w:val="both"/>
        <w:rPr>
          <w:sz w:val="24"/>
          <w:szCs w:val="24"/>
        </w:rPr>
      </w:pPr>
    </w:p>
    <w:p w:rsidR="00A8085D" w:rsidRDefault="00A8085D" w:rsidP="00033EE7">
      <w:pPr>
        <w:pStyle w:val="ListParagraph"/>
        <w:spacing w:after="0" w:line="360" w:lineRule="auto"/>
        <w:ind w:left="1440"/>
        <w:jc w:val="both"/>
        <w:rPr>
          <w:sz w:val="24"/>
          <w:szCs w:val="24"/>
        </w:rPr>
      </w:pPr>
    </w:p>
    <w:p w:rsidR="00CC4FCD" w:rsidRDefault="00D80913" w:rsidP="009A0126">
      <w:pPr>
        <w:pStyle w:val="ListParagraph"/>
        <w:numPr>
          <w:ilvl w:val="1"/>
          <w:numId w:val="52"/>
        </w:numPr>
        <w:spacing w:after="0" w:line="360" w:lineRule="auto"/>
        <w:jc w:val="both"/>
        <w:rPr>
          <w:sz w:val="24"/>
          <w:szCs w:val="24"/>
        </w:rPr>
      </w:pPr>
      <w:r w:rsidRPr="00CC4FCD">
        <w:rPr>
          <w:sz w:val="24"/>
          <w:szCs w:val="24"/>
        </w:rPr>
        <w:t>For court proceedings, other unknown</w:t>
      </w:r>
      <w:r w:rsidR="008F1051" w:rsidRPr="00CC4FCD">
        <w:rPr>
          <w:sz w:val="24"/>
          <w:szCs w:val="24"/>
        </w:rPr>
        <w:t>s</w:t>
      </w:r>
      <w:r w:rsidRPr="00CC4FCD">
        <w:rPr>
          <w:sz w:val="24"/>
          <w:szCs w:val="24"/>
        </w:rPr>
        <w:t xml:space="preserve"> include:</w:t>
      </w:r>
    </w:p>
    <w:p w:rsidR="00CC4FCD" w:rsidRDefault="00190866" w:rsidP="009A0126">
      <w:pPr>
        <w:pStyle w:val="ListParagraph"/>
        <w:numPr>
          <w:ilvl w:val="2"/>
          <w:numId w:val="52"/>
        </w:numPr>
        <w:spacing w:after="0" w:line="360" w:lineRule="auto"/>
        <w:jc w:val="both"/>
        <w:rPr>
          <w:sz w:val="24"/>
          <w:szCs w:val="24"/>
        </w:rPr>
      </w:pPr>
      <w:r w:rsidRPr="00CC4FCD">
        <w:rPr>
          <w:sz w:val="24"/>
          <w:szCs w:val="24"/>
        </w:rPr>
        <w:t>How many children affected by family law proceedings compare</w:t>
      </w:r>
      <w:r w:rsidR="00033EE7">
        <w:rPr>
          <w:sz w:val="24"/>
          <w:szCs w:val="24"/>
        </w:rPr>
        <w:t>s</w:t>
      </w:r>
      <w:r w:rsidRPr="00CC4FCD">
        <w:rPr>
          <w:sz w:val="24"/>
          <w:szCs w:val="24"/>
        </w:rPr>
        <w:t xml:space="preserve"> to the numbers of </w:t>
      </w:r>
      <w:r w:rsidR="00033EE7">
        <w:rPr>
          <w:sz w:val="24"/>
          <w:szCs w:val="24"/>
        </w:rPr>
        <w:t>spouses</w:t>
      </w:r>
      <w:r w:rsidRPr="00CC4FCD">
        <w:rPr>
          <w:sz w:val="24"/>
          <w:szCs w:val="24"/>
        </w:rPr>
        <w:t xml:space="preserve"> with children who separate each year</w:t>
      </w:r>
      <w:r w:rsidR="00033EE7">
        <w:rPr>
          <w:sz w:val="24"/>
          <w:szCs w:val="24"/>
        </w:rPr>
        <w:t>.</w:t>
      </w:r>
      <w:r w:rsidRPr="00CC4FCD">
        <w:rPr>
          <w:sz w:val="24"/>
          <w:szCs w:val="24"/>
        </w:rPr>
        <w:t xml:space="preserve"> </w:t>
      </w:r>
    </w:p>
    <w:p w:rsidR="00190866" w:rsidRDefault="00033EE7" w:rsidP="009A0126">
      <w:pPr>
        <w:pStyle w:val="ListParagraph"/>
        <w:numPr>
          <w:ilvl w:val="2"/>
          <w:numId w:val="52"/>
        </w:numPr>
        <w:spacing w:after="0" w:line="360" w:lineRule="auto"/>
        <w:jc w:val="both"/>
        <w:rPr>
          <w:sz w:val="24"/>
          <w:szCs w:val="24"/>
        </w:rPr>
      </w:pPr>
      <w:r>
        <w:rPr>
          <w:noProof/>
          <w:sz w:val="24"/>
          <w:szCs w:val="24"/>
        </w:rPr>
        <w:t>What proportion of c</w:t>
      </w:r>
      <w:r w:rsidR="000924D6" w:rsidRPr="00CC4FCD">
        <w:rPr>
          <w:noProof/>
          <w:sz w:val="24"/>
          <w:szCs w:val="24"/>
        </w:rPr>
        <w:t>ourt</w:t>
      </w:r>
      <w:r w:rsidR="00190866" w:rsidRPr="00CC4FCD">
        <w:rPr>
          <w:noProof/>
          <w:sz w:val="24"/>
          <w:szCs w:val="24"/>
        </w:rPr>
        <w:t xml:space="preserve"> applications are for variation</w:t>
      </w:r>
      <w:r>
        <w:rPr>
          <w:noProof/>
          <w:sz w:val="24"/>
          <w:szCs w:val="24"/>
        </w:rPr>
        <w:t xml:space="preserve"> (or discharge)</w:t>
      </w:r>
      <w:r w:rsidR="00190866" w:rsidRPr="00CC4FCD">
        <w:rPr>
          <w:noProof/>
          <w:sz w:val="24"/>
          <w:szCs w:val="24"/>
        </w:rPr>
        <w:t xml:space="preserve"> of existing</w:t>
      </w:r>
      <w:r>
        <w:rPr>
          <w:noProof/>
          <w:sz w:val="24"/>
          <w:szCs w:val="24"/>
        </w:rPr>
        <w:t xml:space="preserve"> </w:t>
      </w:r>
      <w:r w:rsidRPr="002C6DE4">
        <w:rPr>
          <w:noProof/>
          <w:sz w:val="24"/>
          <w:szCs w:val="24"/>
        </w:rPr>
        <w:t>parenting</w:t>
      </w:r>
      <w:r w:rsidR="00190866" w:rsidRPr="002C6DE4">
        <w:rPr>
          <w:noProof/>
          <w:sz w:val="24"/>
          <w:szCs w:val="24"/>
        </w:rPr>
        <w:t xml:space="preserve"> orders</w:t>
      </w:r>
      <w:r w:rsidR="00190866" w:rsidRPr="00CC4FCD">
        <w:rPr>
          <w:noProof/>
          <w:sz w:val="24"/>
          <w:szCs w:val="24"/>
        </w:rPr>
        <w:t>.</w:t>
      </w:r>
      <w:r w:rsidR="00190866" w:rsidRPr="00CC4FCD">
        <w:rPr>
          <w:sz w:val="24"/>
          <w:szCs w:val="24"/>
        </w:rPr>
        <w:t xml:space="preserve"> </w:t>
      </w:r>
    </w:p>
    <w:p w:rsidR="00033EE7" w:rsidRDefault="00033EE7" w:rsidP="009A0126">
      <w:pPr>
        <w:pStyle w:val="ListParagraph"/>
        <w:numPr>
          <w:ilvl w:val="2"/>
          <w:numId w:val="52"/>
        </w:numPr>
        <w:spacing w:after="0" w:line="360" w:lineRule="auto"/>
        <w:jc w:val="both"/>
        <w:rPr>
          <w:sz w:val="24"/>
          <w:szCs w:val="24"/>
        </w:rPr>
      </w:pPr>
      <w:r>
        <w:rPr>
          <w:sz w:val="24"/>
          <w:szCs w:val="24"/>
        </w:rPr>
        <w:t>The number of children dealt with by state courts of summary jurisdiction.</w:t>
      </w:r>
    </w:p>
    <w:p w:rsidR="0049007F" w:rsidRPr="00033EE7" w:rsidRDefault="00033EE7" w:rsidP="00033EE7">
      <w:pPr>
        <w:pStyle w:val="ListParagraph"/>
        <w:numPr>
          <w:ilvl w:val="2"/>
          <w:numId w:val="52"/>
        </w:numPr>
        <w:spacing w:after="0" w:line="360" w:lineRule="auto"/>
        <w:jc w:val="both"/>
        <w:rPr>
          <w:sz w:val="24"/>
          <w:szCs w:val="24"/>
        </w:rPr>
      </w:pPr>
      <w:r>
        <w:rPr>
          <w:sz w:val="24"/>
          <w:szCs w:val="24"/>
        </w:rPr>
        <w:t>The number of children the subject of family law applications in family law courts in Western Australia.</w:t>
      </w:r>
    </w:p>
    <w:p w:rsidR="00C534E1" w:rsidRPr="00033EE7" w:rsidRDefault="00033EE7" w:rsidP="00462142">
      <w:pPr>
        <w:pStyle w:val="ListParagraph"/>
        <w:numPr>
          <w:ilvl w:val="0"/>
          <w:numId w:val="52"/>
        </w:numPr>
        <w:spacing w:after="0" w:line="360" w:lineRule="auto"/>
        <w:jc w:val="both"/>
        <w:rPr>
          <w:sz w:val="24"/>
          <w:szCs w:val="24"/>
        </w:rPr>
      </w:pPr>
      <w:r>
        <w:rPr>
          <w:sz w:val="24"/>
          <w:szCs w:val="24"/>
        </w:rPr>
        <w:t xml:space="preserve">There is </w:t>
      </w:r>
      <w:r w:rsidR="00F27470">
        <w:rPr>
          <w:sz w:val="24"/>
          <w:szCs w:val="24"/>
        </w:rPr>
        <w:t xml:space="preserve">a </w:t>
      </w:r>
      <w:r w:rsidRPr="00F27470">
        <w:rPr>
          <w:noProof/>
          <w:sz w:val="24"/>
          <w:szCs w:val="24"/>
        </w:rPr>
        <w:t>benefit</w:t>
      </w:r>
      <w:r>
        <w:rPr>
          <w:sz w:val="24"/>
          <w:szCs w:val="24"/>
        </w:rPr>
        <w:t xml:space="preserve"> in knowing the reach of the family law system into </w:t>
      </w:r>
      <w:r w:rsidR="00A8085D">
        <w:rPr>
          <w:sz w:val="24"/>
          <w:szCs w:val="24"/>
        </w:rPr>
        <w:t>Australia’s population. Some of the best data</w:t>
      </w:r>
      <w:r w:rsidR="000F1D6A" w:rsidRPr="00CC4FCD">
        <w:rPr>
          <w:sz w:val="24"/>
          <w:szCs w:val="24"/>
        </w:rPr>
        <w:t xml:space="preserve"> </w:t>
      </w:r>
      <w:r w:rsidR="002C6DE4">
        <w:rPr>
          <w:noProof/>
          <w:sz w:val="24"/>
          <w:szCs w:val="24"/>
        </w:rPr>
        <w:t>is</w:t>
      </w:r>
      <w:r w:rsidR="000F1D6A" w:rsidRPr="00CC4FCD">
        <w:rPr>
          <w:sz w:val="24"/>
          <w:szCs w:val="24"/>
        </w:rPr>
        <w:t xml:space="preserve"> </w:t>
      </w:r>
      <w:r w:rsidR="00540614" w:rsidRPr="00CC4FCD">
        <w:rPr>
          <w:sz w:val="24"/>
          <w:szCs w:val="24"/>
        </w:rPr>
        <w:t xml:space="preserve">the number </w:t>
      </w:r>
      <w:r w:rsidR="00F547E6" w:rsidRPr="00CC4FCD">
        <w:rPr>
          <w:sz w:val="24"/>
          <w:szCs w:val="24"/>
        </w:rPr>
        <w:t>of children’s</w:t>
      </w:r>
      <w:r w:rsidR="000F1D6A" w:rsidRPr="00CC4FCD">
        <w:rPr>
          <w:sz w:val="24"/>
          <w:szCs w:val="24"/>
        </w:rPr>
        <w:t xml:space="preserve"> arrangements </w:t>
      </w:r>
      <w:r w:rsidR="00A8085D">
        <w:rPr>
          <w:sz w:val="24"/>
          <w:szCs w:val="24"/>
        </w:rPr>
        <w:t>(</w:t>
      </w:r>
      <w:r w:rsidR="000F1D6A" w:rsidRPr="00CC4FCD">
        <w:rPr>
          <w:sz w:val="24"/>
          <w:szCs w:val="24"/>
        </w:rPr>
        <w:t>at any one time</w:t>
      </w:r>
      <w:r w:rsidR="00A8085D">
        <w:rPr>
          <w:sz w:val="24"/>
          <w:szCs w:val="24"/>
        </w:rPr>
        <w:t>)</w:t>
      </w:r>
      <w:r w:rsidR="000F1D6A" w:rsidRPr="00CC4FCD">
        <w:rPr>
          <w:sz w:val="24"/>
          <w:szCs w:val="24"/>
        </w:rPr>
        <w:t xml:space="preserve"> covered by a parenting order (consent or otherwise)</w:t>
      </w:r>
      <w:r w:rsidR="00A8085D">
        <w:rPr>
          <w:sz w:val="24"/>
          <w:szCs w:val="24"/>
        </w:rPr>
        <w:t xml:space="preserve">, </w:t>
      </w:r>
      <w:r w:rsidR="000F1D6A" w:rsidRPr="00CC4FCD">
        <w:rPr>
          <w:sz w:val="24"/>
          <w:szCs w:val="24"/>
        </w:rPr>
        <w:t>a parenting plan</w:t>
      </w:r>
      <w:r w:rsidR="00F33565" w:rsidRPr="00CC4FCD">
        <w:rPr>
          <w:sz w:val="24"/>
          <w:szCs w:val="24"/>
        </w:rPr>
        <w:t xml:space="preserve">, or an oral agreement </w:t>
      </w:r>
      <w:r w:rsidR="00A8085D">
        <w:rPr>
          <w:sz w:val="24"/>
          <w:szCs w:val="24"/>
        </w:rPr>
        <w:t xml:space="preserve">reached either at or </w:t>
      </w:r>
      <w:r w:rsidR="00F0093C">
        <w:rPr>
          <w:sz w:val="24"/>
          <w:szCs w:val="24"/>
        </w:rPr>
        <w:t>after</w:t>
      </w:r>
      <w:r w:rsidR="00A8085D">
        <w:rPr>
          <w:sz w:val="24"/>
          <w:szCs w:val="24"/>
        </w:rPr>
        <w:t xml:space="preserve"> Family Dispute Resolution</w:t>
      </w:r>
      <w:r w:rsidR="000F1D6A" w:rsidRPr="00CC4FCD">
        <w:rPr>
          <w:sz w:val="24"/>
          <w:szCs w:val="24"/>
        </w:rPr>
        <w:t>.</w:t>
      </w:r>
      <w:r w:rsidR="00A8085D">
        <w:rPr>
          <w:sz w:val="24"/>
          <w:szCs w:val="24"/>
        </w:rPr>
        <w:t xml:space="preserve"> </w:t>
      </w:r>
      <w:r w:rsidR="000F1D6A" w:rsidRPr="00CC4FCD">
        <w:rPr>
          <w:sz w:val="24"/>
          <w:szCs w:val="24"/>
        </w:rPr>
        <w:t xml:space="preserve"> </w:t>
      </w:r>
    </w:p>
    <w:p w:rsidR="0076498E" w:rsidRPr="00F0093C" w:rsidRDefault="008F1051" w:rsidP="00F0093C">
      <w:pPr>
        <w:pStyle w:val="ListParagraph"/>
        <w:numPr>
          <w:ilvl w:val="0"/>
          <w:numId w:val="52"/>
        </w:numPr>
        <w:spacing w:after="0" w:line="360" w:lineRule="auto"/>
        <w:jc w:val="both"/>
        <w:rPr>
          <w:sz w:val="24"/>
          <w:szCs w:val="24"/>
        </w:rPr>
      </w:pPr>
      <w:r w:rsidRPr="00CC4FCD">
        <w:rPr>
          <w:sz w:val="24"/>
          <w:szCs w:val="24"/>
        </w:rPr>
        <w:t xml:space="preserve">The existing </w:t>
      </w:r>
      <w:r w:rsidR="000F1D6A" w:rsidRPr="00CC4FCD">
        <w:rPr>
          <w:sz w:val="24"/>
          <w:szCs w:val="24"/>
        </w:rPr>
        <w:t>evidence</w:t>
      </w:r>
      <w:r w:rsidR="00190866" w:rsidRPr="00CC4FCD">
        <w:rPr>
          <w:sz w:val="24"/>
          <w:szCs w:val="24"/>
        </w:rPr>
        <w:t xml:space="preserve"> is that there is already a </w:t>
      </w:r>
      <w:r w:rsidRPr="00CC4FCD">
        <w:rPr>
          <w:sz w:val="24"/>
          <w:szCs w:val="24"/>
        </w:rPr>
        <w:t>situation where</w:t>
      </w:r>
      <w:r w:rsidR="00190866" w:rsidRPr="00CC4FCD">
        <w:rPr>
          <w:sz w:val="24"/>
          <w:szCs w:val="24"/>
        </w:rPr>
        <w:t xml:space="preserve"> most parents who separate reach agreement</w:t>
      </w:r>
      <w:r w:rsidR="00F33565" w:rsidRPr="00CC4FCD">
        <w:rPr>
          <w:sz w:val="24"/>
          <w:szCs w:val="24"/>
        </w:rPr>
        <w:t xml:space="preserve"> about their children’s arrangements</w:t>
      </w:r>
      <w:r w:rsidR="00190866" w:rsidRPr="00CC4FCD">
        <w:rPr>
          <w:sz w:val="24"/>
          <w:szCs w:val="24"/>
        </w:rPr>
        <w:t xml:space="preserve"> without having to apply to a Court.  </w:t>
      </w:r>
      <w:r w:rsidR="0076498E">
        <w:rPr>
          <w:sz w:val="24"/>
          <w:szCs w:val="24"/>
        </w:rPr>
        <w:t xml:space="preserve">AIFS research shows that, notwithstanding changes in percentages from time to time, utilisation of the Court system (which means an application to a Court – not a judgment), is somewhere in the order of 5-10% of separated families. In that same research, the AIFS shows the total of parents falling into the ‘discussion’ or ‘just happened’ category is consistent </w:t>
      </w:r>
      <w:r w:rsidR="0076498E" w:rsidRPr="002C6DE4">
        <w:rPr>
          <w:noProof/>
          <w:sz w:val="24"/>
          <w:szCs w:val="24"/>
        </w:rPr>
        <w:t>at</w:t>
      </w:r>
      <w:r w:rsidR="0076498E">
        <w:rPr>
          <w:sz w:val="24"/>
          <w:szCs w:val="24"/>
        </w:rPr>
        <w:t xml:space="preserve"> around 65% of all parents. The AIFS summary of their pathways for settlement research (as </w:t>
      </w:r>
      <w:r w:rsidR="002C6DE4">
        <w:rPr>
          <w:noProof/>
          <w:sz w:val="24"/>
          <w:szCs w:val="24"/>
        </w:rPr>
        <w:t>of</w:t>
      </w:r>
      <w:r w:rsidR="0076498E">
        <w:rPr>
          <w:sz w:val="24"/>
          <w:szCs w:val="24"/>
        </w:rPr>
        <w:t xml:space="preserve"> 2010) appears below:</w:t>
      </w:r>
    </w:p>
    <w:p w:rsidR="0076498E" w:rsidRPr="0076498E" w:rsidRDefault="0076498E" w:rsidP="002C6A5F">
      <w:pPr>
        <w:ind w:left="360"/>
        <w:jc w:val="center"/>
        <w:rPr>
          <w:b/>
          <w:sz w:val="24"/>
          <w:szCs w:val="24"/>
        </w:rPr>
      </w:pPr>
      <w:r>
        <w:rPr>
          <w:b/>
          <w:sz w:val="24"/>
          <w:szCs w:val="24"/>
        </w:rPr>
        <w:t xml:space="preserve">AIFS Research Results: </w:t>
      </w:r>
      <w:r w:rsidRPr="0076498E">
        <w:rPr>
          <w:b/>
          <w:sz w:val="24"/>
          <w:szCs w:val="24"/>
        </w:rPr>
        <w:t>Parenting dynamics after separation: A follow-up study of parents who separated after the 2006 family law reforms</w:t>
      </w:r>
      <w:r>
        <w:rPr>
          <w:b/>
          <w:sz w:val="24"/>
          <w:szCs w:val="24"/>
        </w:rPr>
        <w:t xml:space="preserve"> – Pathway Results</w:t>
      </w:r>
    </w:p>
    <w:p w:rsidR="0049007F" w:rsidRPr="00F0093C" w:rsidRDefault="0076498E" w:rsidP="00F0093C">
      <w:pPr>
        <w:pStyle w:val="ListParagraph"/>
        <w:spacing w:after="0" w:line="360" w:lineRule="auto"/>
        <w:jc w:val="right"/>
        <w:rPr>
          <w:sz w:val="24"/>
          <w:szCs w:val="24"/>
        </w:rPr>
      </w:pPr>
      <w:r>
        <w:rPr>
          <w:noProof/>
          <w:lang w:eastAsia="en-AU"/>
        </w:rPr>
        <w:drawing>
          <wp:inline distT="0" distB="0" distL="0" distR="0">
            <wp:extent cx="4916448" cy="195163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4947292" cy="1963874"/>
                    </a:xfrm>
                    <a:prstGeom prst="rect">
                      <a:avLst/>
                    </a:prstGeom>
                  </pic:spPr>
                </pic:pic>
              </a:graphicData>
            </a:graphic>
          </wp:inline>
        </w:drawing>
      </w:r>
      <w:r>
        <w:rPr>
          <w:rStyle w:val="EndnoteReference"/>
          <w:sz w:val="24"/>
          <w:szCs w:val="24"/>
        </w:rPr>
        <w:endnoteReference w:id="16"/>
      </w:r>
    </w:p>
    <w:p w:rsidR="00F0093C" w:rsidRDefault="00190866" w:rsidP="0049007F">
      <w:pPr>
        <w:pStyle w:val="ListParagraph"/>
        <w:numPr>
          <w:ilvl w:val="0"/>
          <w:numId w:val="52"/>
        </w:numPr>
        <w:spacing w:after="0" w:line="360" w:lineRule="auto"/>
        <w:jc w:val="both"/>
        <w:rPr>
          <w:sz w:val="24"/>
          <w:szCs w:val="24"/>
        </w:rPr>
      </w:pPr>
      <w:r w:rsidRPr="00CC4FCD">
        <w:rPr>
          <w:sz w:val="24"/>
          <w:szCs w:val="24"/>
        </w:rPr>
        <w:lastRenderedPageBreak/>
        <w:t>The family law system</w:t>
      </w:r>
      <w:r w:rsidR="00F27470">
        <w:rPr>
          <w:sz w:val="24"/>
          <w:szCs w:val="24"/>
        </w:rPr>
        <w:t>, therefore,</w:t>
      </w:r>
      <w:r w:rsidRPr="00CC4FCD">
        <w:rPr>
          <w:sz w:val="24"/>
          <w:szCs w:val="24"/>
        </w:rPr>
        <w:t xml:space="preserve"> comprises </w:t>
      </w:r>
      <w:r w:rsidR="00C534E1" w:rsidRPr="00CC4FCD">
        <w:rPr>
          <w:sz w:val="24"/>
          <w:szCs w:val="24"/>
        </w:rPr>
        <w:t xml:space="preserve">all the services the Commission identifies, but </w:t>
      </w:r>
      <w:r w:rsidR="00F0093C">
        <w:rPr>
          <w:sz w:val="24"/>
          <w:szCs w:val="24"/>
        </w:rPr>
        <w:t xml:space="preserve">potentially </w:t>
      </w:r>
      <w:r w:rsidR="00C534E1" w:rsidRPr="00CC4FCD">
        <w:rPr>
          <w:sz w:val="24"/>
          <w:szCs w:val="24"/>
        </w:rPr>
        <w:t>also the volume of private arrangements between parents. At the very least, the Commission should consider the impact of its findings on those families who do not directly interact with the family law system.</w:t>
      </w:r>
    </w:p>
    <w:p w:rsidR="006A76FC" w:rsidRPr="00F0093C" w:rsidRDefault="0049007F" w:rsidP="00462142">
      <w:pPr>
        <w:pStyle w:val="ListParagraph"/>
        <w:numPr>
          <w:ilvl w:val="0"/>
          <w:numId w:val="52"/>
        </w:numPr>
        <w:spacing w:after="0" w:line="360" w:lineRule="auto"/>
        <w:jc w:val="both"/>
        <w:rPr>
          <w:sz w:val="24"/>
          <w:szCs w:val="24"/>
        </w:rPr>
      </w:pPr>
      <w:r w:rsidRPr="00F0093C">
        <w:rPr>
          <w:sz w:val="24"/>
          <w:szCs w:val="24"/>
        </w:rPr>
        <w:t xml:space="preserve">On that </w:t>
      </w:r>
      <w:r w:rsidR="006A76FC" w:rsidRPr="00F0093C">
        <w:rPr>
          <w:sz w:val="24"/>
          <w:szCs w:val="24"/>
        </w:rPr>
        <w:t xml:space="preserve">basis that (a) there is not sufficient information about </w:t>
      </w:r>
      <w:r w:rsidR="00CC20DE" w:rsidRPr="00F0093C">
        <w:rPr>
          <w:sz w:val="24"/>
          <w:szCs w:val="24"/>
        </w:rPr>
        <w:t>the numbers of</w:t>
      </w:r>
      <w:r w:rsidR="006A76FC" w:rsidRPr="00F0093C">
        <w:rPr>
          <w:sz w:val="24"/>
          <w:szCs w:val="24"/>
        </w:rPr>
        <w:t xml:space="preserve"> children affected by family law orders (whether consent or otherwise) or agreements, and that it appears many parents reach </w:t>
      </w:r>
      <w:r w:rsidR="000924D6" w:rsidRPr="00F0093C">
        <w:rPr>
          <w:sz w:val="24"/>
          <w:szCs w:val="24"/>
        </w:rPr>
        <w:t xml:space="preserve">an </w:t>
      </w:r>
      <w:r w:rsidR="006A76FC" w:rsidRPr="00F0093C">
        <w:rPr>
          <w:noProof/>
          <w:sz w:val="24"/>
          <w:szCs w:val="24"/>
        </w:rPr>
        <w:t>agreement</w:t>
      </w:r>
      <w:r w:rsidR="006A76FC" w:rsidRPr="00F0093C">
        <w:rPr>
          <w:sz w:val="24"/>
          <w:szCs w:val="24"/>
        </w:rPr>
        <w:t xml:space="preserve"> without interacting with the family law system, I recommend: </w:t>
      </w:r>
    </w:p>
    <w:tbl>
      <w:tblPr>
        <w:tblStyle w:val="TableGrid"/>
        <w:tblW w:w="0" w:type="auto"/>
        <w:tblInd w:w="-5" w:type="dxa"/>
        <w:tblLook w:val="04A0"/>
      </w:tblPr>
      <w:tblGrid>
        <w:gridCol w:w="9021"/>
      </w:tblGrid>
      <w:tr w:rsidR="006A76FC" w:rsidTr="006A76FC">
        <w:tc>
          <w:tcPr>
            <w:tcW w:w="9021" w:type="dxa"/>
          </w:tcPr>
          <w:p w:rsidR="006A76FC" w:rsidRPr="008F1051" w:rsidRDefault="006A76FC" w:rsidP="00462142">
            <w:pPr>
              <w:pStyle w:val="Heading3"/>
              <w:spacing w:before="0" w:line="360" w:lineRule="auto"/>
              <w:outlineLvl w:val="2"/>
              <w:rPr>
                <w:i/>
                <w:color w:val="auto"/>
              </w:rPr>
            </w:pPr>
            <w:bookmarkStart w:id="12" w:name="_Toc512895932"/>
            <w:r w:rsidRPr="008F1051">
              <w:rPr>
                <w:i/>
                <w:color w:val="auto"/>
              </w:rPr>
              <w:t>Recommendation 1</w:t>
            </w:r>
            <w:bookmarkEnd w:id="12"/>
          </w:p>
          <w:p w:rsidR="008F1051" w:rsidRPr="008F1051" w:rsidRDefault="008F1051" w:rsidP="00462142">
            <w:pPr>
              <w:spacing w:line="360" w:lineRule="auto"/>
              <w:jc w:val="both"/>
              <w:rPr>
                <w:i/>
                <w:sz w:val="24"/>
                <w:szCs w:val="24"/>
              </w:rPr>
            </w:pPr>
            <w:r w:rsidRPr="005C1606">
              <w:rPr>
                <w:i/>
                <w:noProof/>
                <w:sz w:val="24"/>
                <w:szCs w:val="24"/>
              </w:rPr>
              <w:t>That the Commission appoint</w:t>
            </w:r>
            <w:r w:rsidR="005C1606" w:rsidRPr="005C1606">
              <w:rPr>
                <w:i/>
                <w:noProof/>
                <w:sz w:val="24"/>
                <w:szCs w:val="24"/>
              </w:rPr>
              <w:t>s</w:t>
            </w:r>
            <w:r w:rsidRPr="005C1606">
              <w:rPr>
                <w:i/>
                <w:noProof/>
                <w:sz w:val="24"/>
                <w:szCs w:val="24"/>
              </w:rPr>
              <w:t>, as part of this review, an organisation (for example AIFS) to obtain quantitative data about the number of children in Australia governed, at any one time, by a parenting order (consent or otherwise) or a parenting plan.</w:t>
            </w:r>
          </w:p>
        </w:tc>
      </w:tr>
    </w:tbl>
    <w:p w:rsidR="006A76FC" w:rsidRDefault="006A76FC" w:rsidP="00462142">
      <w:pPr>
        <w:spacing w:after="0" w:line="360" w:lineRule="auto"/>
        <w:jc w:val="both"/>
        <w:rPr>
          <w:sz w:val="24"/>
          <w:szCs w:val="24"/>
        </w:rPr>
      </w:pPr>
    </w:p>
    <w:tbl>
      <w:tblPr>
        <w:tblStyle w:val="TableGrid"/>
        <w:tblW w:w="0" w:type="auto"/>
        <w:tblLook w:val="04A0"/>
      </w:tblPr>
      <w:tblGrid>
        <w:gridCol w:w="9016"/>
      </w:tblGrid>
      <w:tr w:rsidR="00462142" w:rsidTr="00462142">
        <w:tc>
          <w:tcPr>
            <w:tcW w:w="9016" w:type="dxa"/>
          </w:tcPr>
          <w:p w:rsidR="00462142" w:rsidRPr="008F1051" w:rsidRDefault="00462142" w:rsidP="00462142">
            <w:pPr>
              <w:pStyle w:val="Heading3"/>
              <w:spacing w:before="0" w:line="360" w:lineRule="auto"/>
              <w:outlineLvl w:val="2"/>
              <w:rPr>
                <w:i/>
                <w:color w:val="auto"/>
              </w:rPr>
            </w:pPr>
            <w:bookmarkStart w:id="13" w:name="_Toc512895933"/>
            <w:r w:rsidRPr="008F1051">
              <w:rPr>
                <w:i/>
                <w:color w:val="auto"/>
              </w:rPr>
              <w:t xml:space="preserve">Recommendation </w:t>
            </w:r>
            <w:r>
              <w:rPr>
                <w:i/>
                <w:color w:val="auto"/>
              </w:rPr>
              <w:t>2</w:t>
            </w:r>
            <w:bookmarkEnd w:id="13"/>
          </w:p>
          <w:p w:rsidR="00462142" w:rsidRPr="00462142" w:rsidRDefault="00462142" w:rsidP="00462142">
            <w:pPr>
              <w:spacing w:line="360" w:lineRule="auto"/>
              <w:jc w:val="both"/>
              <w:rPr>
                <w:i/>
                <w:sz w:val="24"/>
                <w:szCs w:val="24"/>
              </w:rPr>
            </w:pPr>
            <w:r w:rsidRPr="005C1606">
              <w:rPr>
                <w:i/>
                <w:noProof/>
                <w:sz w:val="24"/>
                <w:szCs w:val="24"/>
              </w:rPr>
              <w:t>That the Commission consider</w:t>
            </w:r>
            <w:r w:rsidR="005C1606" w:rsidRPr="005C1606">
              <w:rPr>
                <w:i/>
                <w:noProof/>
                <w:sz w:val="24"/>
                <w:szCs w:val="24"/>
              </w:rPr>
              <w:t>s</w:t>
            </w:r>
            <w:r w:rsidRPr="005C1606">
              <w:rPr>
                <w:i/>
                <w:noProof/>
                <w:sz w:val="24"/>
                <w:szCs w:val="24"/>
              </w:rPr>
              <w:t xml:space="preserve"> the impact of its findings and recommendations on the families who manage their arrangements without interacting with the family law system.</w:t>
            </w:r>
          </w:p>
        </w:tc>
      </w:tr>
    </w:tbl>
    <w:p w:rsidR="00462142" w:rsidRDefault="00462142" w:rsidP="00462142">
      <w:pPr>
        <w:spacing w:after="0" w:line="360" w:lineRule="auto"/>
        <w:jc w:val="both"/>
        <w:rPr>
          <w:sz w:val="24"/>
          <w:szCs w:val="24"/>
        </w:rPr>
      </w:pPr>
    </w:p>
    <w:p w:rsidR="008643AC" w:rsidRPr="0031221F" w:rsidRDefault="008643AC" w:rsidP="00462142">
      <w:pPr>
        <w:pStyle w:val="Heading2"/>
        <w:spacing w:before="0" w:line="360" w:lineRule="auto"/>
        <w:rPr>
          <w:color w:val="auto"/>
          <w:sz w:val="28"/>
          <w:szCs w:val="28"/>
        </w:rPr>
      </w:pPr>
      <w:bookmarkStart w:id="14" w:name="_Toc512895934"/>
      <w:r w:rsidRPr="0031221F">
        <w:rPr>
          <w:color w:val="auto"/>
          <w:sz w:val="28"/>
          <w:szCs w:val="28"/>
        </w:rPr>
        <w:t xml:space="preserve">III </w:t>
      </w:r>
      <w:r w:rsidR="00DB0CF8">
        <w:rPr>
          <w:color w:val="auto"/>
          <w:sz w:val="28"/>
          <w:szCs w:val="28"/>
        </w:rPr>
        <w:t xml:space="preserve">Shared Care and Equal Time: Available (unpublished) </w:t>
      </w:r>
      <w:r w:rsidR="00B53154">
        <w:rPr>
          <w:color w:val="auto"/>
          <w:sz w:val="28"/>
          <w:szCs w:val="28"/>
        </w:rPr>
        <w:t>D</w:t>
      </w:r>
      <w:r w:rsidR="00DB0CF8">
        <w:rPr>
          <w:color w:val="auto"/>
          <w:sz w:val="28"/>
          <w:szCs w:val="28"/>
        </w:rPr>
        <w:t>ata</w:t>
      </w:r>
      <w:bookmarkEnd w:id="14"/>
    </w:p>
    <w:p w:rsidR="00CC4FCD" w:rsidRPr="00F0093C" w:rsidRDefault="00F0093C" w:rsidP="00F0093C">
      <w:pPr>
        <w:pStyle w:val="ListParagraph"/>
        <w:numPr>
          <w:ilvl w:val="0"/>
          <w:numId w:val="52"/>
        </w:numPr>
        <w:spacing w:after="0" w:line="360" w:lineRule="auto"/>
        <w:jc w:val="both"/>
        <w:rPr>
          <w:sz w:val="24"/>
          <w:szCs w:val="24"/>
        </w:rPr>
      </w:pPr>
      <w:r>
        <w:rPr>
          <w:noProof/>
          <w:sz w:val="24"/>
          <w:szCs w:val="24"/>
        </w:rPr>
        <w:t xml:space="preserve">Many of the matters in the Issues Paper (for example Questions 14, 15 and 16) </w:t>
      </w:r>
      <w:r w:rsidRPr="00F27470">
        <w:rPr>
          <w:noProof/>
          <w:sz w:val="24"/>
          <w:szCs w:val="24"/>
        </w:rPr>
        <w:t>touch</w:t>
      </w:r>
      <w:r w:rsidR="00F27470">
        <w:rPr>
          <w:noProof/>
          <w:sz w:val="24"/>
          <w:szCs w:val="24"/>
        </w:rPr>
        <w:t>es</w:t>
      </w:r>
      <w:r>
        <w:rPr>
          <w:noProof/>
          <w:sz w:val="24"/>
          <w:szCs w:val="24"/>
        </w:rPr>
        <w:t xml:space="preserve"> upon the appropriateness, or otherwise, of types of parenting arrangements (such as equal time arrangements). There is good historical data on the </w:t>
      </w:r>
      <w:r w:rsidRPr="00F27470">
        <w:rPr>
          <w:noProof/>
          <w:sz w:val="24"/>
          <w:szCs w:val="24"/>
        </w:rPr>
        <w:t>prev</w:t>
      </w:r>
      <w:r w:rsidR="00F27470">
        <w:rPr>
          <w:noProof/>
          <w:sz w:val="24"/>
          <w:szCs w:val="24"/>
        </w:rPr>
        <w:t>ale</w:t>
      </w:r>
      <w:r w:rsidRPr="00F27470">
        <w:rPr>
          <w:noProof/>
          <w:sz w:val="24"/>
          <w:szCs w:val="24"/>
        </w:rPr>
        <w:t>nce</w:t>
      </w:r>
      <w:r>
        <w:rPr>
          <w:noProof/>
          <w:sz w:val="24"/>
          <w:szCs w:val="24"/>
        </w:rPr>
        <w:t xml:space="preserve"> of different types of arrangements. Very useful data on current arrangements </w:t>
      </w:r>
      <w:r w:rsidRPr="00F27470">
        <w:rPr>
          <w:noProof/>
          <w:sz w:val="24"/>
          <w:szCs w:val="24"/>
        </w:rPr>
        <w:t>exist</w:t>
      </w:r>
      <w:r>
        <w:rPr>
          <w:noProof/>
          <w:sz w:val="24"/>
          <w:szCs w:val="24"/>
        </w:rPr>
        <w:t>, but it is not in the public domain.</w:t>
      </w:r>
    </w:p>
    <w:p w:rsidR="00D316AC" w:rsidRPr="00CC4FCD" w:rsidRDefault="00540614" w:rsidP="009A0126">
      <w:pPr>
        <w:pStyle w:val="ListParagraph"/>
        <w:numPr>
          <w:ilvl w:val="0"/>
          <w:numId w:val="52"/>
        </w:numPr>
        <w:spacing w:after="0" w:line="360" w:lineRule="auto"/>
        <w:jc w:val="both"/>
        <w:rPr>
          <w:sz w:val="24"/>
          <w:szCs w:val="24"/>
        </w:rPr>
      </w:pPr>
      <w:r w:rsidRPr="00CC4FCD">
        <w:rPr>
          <w:sz w:val="24"/>
          <w:szCs w:val="24"/>
        </w:rPr>
        <w:t xml:space="preserve">First, consider the historical data. </w:t>
      </w:r>
      <w:r w:rsidR="00DB0CF8" w:rsidRPr="00CC4FCD">
        <w:rPr>
          <w:sz w:val="24"/>
          <w:szCs w:val="24"/>
        </w:rPr>
        <w:t xml:space="preserve">For the years ending 30 </w:t>
      </w:r>
      <w:r w:rsidR="00DB0CF8" w:rsidRPr="00F27470">
        <w:rPr>
          <w:noProof/>
          <w:sz w:val="24"/>
          <w:szCs w:val="24"/>
        </w:rPr>
        <w:t>June</w:t>
      </w:r>
      <w:r w:rsidR="00DB0CF8" w:rsidRPr="00CC4FCD">
        <w:rPr>
          <w:sz w:val="24"/>
          <w:szCs w:val="24"/>
        </w:rPr>
        <w:t xml:space="preserve"> 2001-30 June 2009 the </w:t>
      </w:r>
      <w:r w:rsidR="0051315F" w:rsidRPr="00CC4FCD">
        <w:rPr>
          <w:sz w:val="24"/>
          <w:szCs w:val="24"/>
        </w:rPr>
        <w:t>C</w:t>
      </w:r>
      <w:r w:rsidR="00DB0CF8" w:rsidRPr="00CC4FCD">
        <w:rPr>
          <w:sz w:val="24"/>
          <w:szCs w:val="24"/>
        </w:rPr>
        <w:t xml:space="preserve">hild </w:t>
      </w:r>
      <w:r w:rsidR="0051315F" w:rsidRPr="00CC4FCD">
        <w:rPr>
          <w:sz w:val="24"/>
          <w:szCs w:val="24"/>
        </w:rPr>
        <w:t>S</w:t>
      </w:r>
      <w:r w:rsidR="00DB0CF8" w:rsidRPr="00CC4FCD">
        <w:rPr>
          <w:sz w:val="24"/>
          <w:szCs w:val="24"/>
        </w:rPr>
        <w:t xml:space="preserve">upport </w:t>
      </w:r>
      <w:r w:rsidR="0051315F" w:rsidRPr="00CC4FCD">
        <w:rPr>
          <w:sz w:val="24"/>
          <w:szCs w:val="24"/>
        </w:rPr>
        <w:t>A</w:t>
      </w:r>
      <w:r w:rsidR="00DB0CF8" w:rsidRPr="00CC4FCD">
        <w:rPr>
          <w:sz w:val="24"/>
          <w:szCs w:val="24"/>
        </w:rPr>
        <w:t xml:space="preserve">gency published statistics about the breakdown of </w:t>
      </w:r>
      <w:r w:rsidR="00F0093C">
        <w:rPr>
          <w:sz w:val="24"/>
          <w:szCs w:val="24"/>
        </w:rPr>
        <w:t xml:space="preserve">child support </w:t>
      </w:r>
      <w:r w:rsidR="00DB0CF8" w:rsidRPr="00CC4FCD">
        <w:rPr>
          <w:sz w:val="24"/>
          <w:szCs w:val="24"/>
        </w:rPr>
        <w:t xml:space="preserve">assessments by care arrangement. </w:t>
      </w:r>
      <w:r w:rsidR="00C3032C" w:rsidRPr="00CC4FCD">
        <w:rPr>
          <w:sz w:val="24"/>
          <w:szCs w:val="24"/>
        </w:rPr>
        <w:t>At that time</w:t>
      </w:r>
      <w:r w:rsidR="00DB0CF8" w:rsidRPr="00CC4FCD">
        <w:rPr>
          <w:sz w:val="24"/>
          <w:szCs w:val="24"/>
        </w:rPr>
        <w:t xml:space="preserve"> the child support agency used ‘care codes’. Sole care </w:t>
      </w:r>
      <w:r w:rsidR="00DB0CF8" w:rsidRPr="00CC4FCD">
        <w:rPr>
          <w:noProof/>
          <w:sz w:val="24"/>
          <w:szCs w:val="24"/>
        </w:rPr>
        <w:t xml:space="preserve">was </w:t>
      </w:r>
      <w:r w:rsidR="005C1606" w:rsidRPr="00CC4FCD">
        <w:rPr>
          <w:noProof/>
          <w:sz w:val="24"/>
          <w:szCs w:val="24"/>
        </w:rPr>
        <w:t xml:space="preserve">(at that time) </w:t>
      </w:r>
      <w:r w:rsidR="00DB0CF8" w:rsidRPr="00CC4FCD">
        <w:rPr>
          <w:noProof/>
          <w:sz w:val="24"/>
          <w:szCs w:val="24"/>
        </w:rPr>
        <w:t>described</w:t>
      </w:r>
      <w:r w:rsidR="00DB0CF8" w:rsidRPr="00CC4FCD">
        <w:rPr>
          <w:sz w:val="24"/>
          <w:szCs w:val="24"/>
        </w:rPr>
        <w:t xml:space="preserve"> as 70% of the year (that is, 255 or 256 nights per year and above). </w:t>
      </w:r>
      <w:r w:rsidR="00B53154" w:rsidRPr="00CC4FCD">
        <w:rPr>
          <w:sz w:val="24"/>
          <w:szCs w:val="24"/>
        </w:rPr>
        <w:t>T</w:t>
      </w:r>
      <w:r w:rsidR="00DB0CF8" w:rsidRPr="00CC4FCD">
        <w:rPr>
          <w:sz w:val="24"/>
          <w:szCs w:val="24"/>
        </w:rPr>
        <w:t>he following table shows the percentage of children in th</w:t>
      </w:r>
      <w:r w:rsidR="00F0093C">
        <w:rPr>
          <w:sz w:val="24"/>
          <w:szCs w:val="24"/>
        </w:rPr>
        <w:t>at</w:t>
      </w:r>
      <w:r w:rsidR="00DB0CF8" w:rsidRPr="00CC4FCD">
        <w:rPr>
          <w:sz w:val="24"/>
          <w:szCs w:val="24"/>
        </w:rPr>
        <w:t xml:space="preserve"> 70% or above care band</w:t>
      </w:r>
      <w:r w:rsidR="00F0093C">
        <w:rPr>
          <w:sz w:val="24"/>
          <w:szCs w:val="24"/>
        </w:rPr>
        <w:t xml:space="preserve"> for all years 2001-2009: </w:t>
      </w:r>
    </w:p>
    <w:p w:rsidR="006635E1" w:rsidRDefault="006635E1" w:rsidP="00462142">
      <w:pPr>
        <w:spacing w:after="0" w:line="360" w:lineRule="auto"/>
        <w:jc w:val="both"/>
        <w:rPr>
          <w:sz w:val="24"/>
          <w:szCs w:val="24"/>
        </w:rPr>
      </w:pPr>
    </w:p>
    <w:p w:rsidR="00DB0CF8" w:rsidRPr="00D316AC" w:rsidRDefault="00D316AC" w:rsidP="00CC4FCD">
      <w:pPr>
        <w:spacing w:after="0" w:line="360" w:lineRule="auto"/>
        <w:jc w:val="right"/>
        <w:rPr>
          <w:sz w:val="24"/>
          <w:szCs w:val="24"/>
        </w:rPr>
      </w:pPr>
      <w:r>
        <w:rPr>
          <w:noProof/>
          <w:sz w:val="24"/>
          <w:szCs w:val="24"/>
          <w:lang w:eastAsia="en-AU"/>
        </w:rPr>
        <w:lastRenderedPageBreak/>
        <w:drawing>
          <wp:inline distT="0" distB="0" distL="0" distR="0">
            <wp:extent cx="5173200" cy="2829600"/>
            <wp:effectExtent l="0" t="0" r="889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73200" cy="2829600"/>
                    </a:xfrm>
                    <a:prstGeom prst="rect">
                      <a:avLst/>
                    </a:prstGeom>
                    <a:noFill/>
                  </pic:spPr>
                </pic:pic>
              </a:graphicData>
            </a:graphic>
          </wp:inline>
        </w:drawing>
      </w:r>
      <w:r w:rsidR="00DB0CF8" w:rsidRPr="00DB0CF8">
        <w:rPr>
          <w:vertAlign w:val="superscript"/>
        </w:rPr>
        <w:endnoteReference w:id="17"/>
      </w:r>
    </w:p>
    <w:p w:rsidR="00DB0CF8" w:rsidRPr="00F0093C" w:rsidRDefault="00DB0CF8" w:rsidP="00F0093C">
      <w:pPr>
        <w:pStyle w:val="ListParagraph"/>
        <w:numPr>
          <w:ilvl w:val="0"/>
          <w:numId w:val="52"/>
        </w:numPr>
        <w:spacing w:after="0" w:line="360" w:lineRule="auto"/>
        <w:jc w:val="both"/>
        <w:rPr>
          <w:sz w:val="24"/>
          <w:szCs w:val="24"/>
        </w:rPr>
      </w:pPr>
      <w:r w:rsidRPr="00CC4FCD">
        <w:rPr>
          <w:sz w:val="24"/>
          <w:szCs w:val="24"/>
        </w:rPr>
        <w:t xml:space="preserve">The </w:t>
      </w:r>
      <w:r w:rsidR="005C1606" w:rsidRPr="00CC4FCD">
        <w:rPr>
          <w:noProof/>
          <w:sz w:val="24"/>
          <w:szCs w:val="24"/>
        </w:rPr>
        <w:t>chart</w:t>
      </w:r>
      <w:r w:rsidRPr="00CC4FCD">
        <w:rPr>
          <w:sz w:val="24"/>
          <w:szCs w:val="24"/>
        </w:rPr>
        <w:t xml:space="preserve"> shows a steady but not dramatic decline. As at 2009, 87% of children spent more than 255 nights per year with one parent, compared to 94% in 2001.  </w:t>
      </w:r>
      <w:r w:rsidR="00F33565" w:rsidRPr="00F0093C">
        <w:rPr>
          <w:sz w:val="24"/>
          <w:szCs w:val="24"/>
        </w:rPr>
        <w:t xml:space="preserve">The same exercise is available for shared parenting. </w:t>
      </w:r>
      <w:r w:rsidRPr="00F0093C">
        <w:rPr>
          <w:noProof/>
          <w:sz w:val="24"/>
          <w:szCs w:val="24"/>
        </w:rPr>
        <w:t>For</w:t>
      </w:r>
      <w:r w:rsidRPr="00F0093C">
        <w:rPr>
          <w:sz w:val="24"/>
          <w:szCs w:val="24"/>
        </w:rPr>
        <w:t xml:space="preserve"> this data, ‘shared’ was between 40% and 59.9% of the year with one parent. In other words, where children spent between 146 nights and 219 nights per year with one parent.  This next table shows a continued increase in shared arrangements from a low of 3.5% in 2001 to 8.4% in 2009.</w:t>
      </w:r>
    </w:p>
    <w:p w:rsidR="00DB0CF8" w:rsidRPr="00D316AC" w:rsidRDefault="00D316AC" w:rsidP="00CC4FCD">
      <w:pPr>
        <w:spacing w:after="0" w:line="360" w:lineRule="auto"/>
        <w:jc w:val="right"/>
        <w:rPr>
          <w:sz w:val="24"/>
          <w:szCs w:val="24"/>
        </w:rPr>
      </w:pPr>
      <w:r>
        <w:rPr>
          <w:noProof/>
          <w:sz w:val="24"/>
          <w:szCs w:val="24"/>
          <w:lang w:eastAsia="en-AU"/>
        </w:rPr>
        <w:drawing>
          <wp:inline distT="0" distB="0" distL="0" distR="0">
            <wp:extent cx="5194800" cy="2660400"/>
            <wp:effectExtent l="0" t="0" r="635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94800" cy="2660400"/>
                    </a:xfrm>
                    <a:prstGeom prst="rect">
                      <a:avLst/>
                    </a:prstGeom>
                    <a:noFill/>
                  </pic:spPr>
                </pic:pic>
              </a:graphicData>
            </a:graphic>
          </wp:inline>
        </w:drawing>
      </w:r>
      <w:r w:rsidR="00DB0CF8" w:rsidRPr="00DB0CF8">
        <w:rPr>
          <w:vertAlign w:val="superscript"/>
        </w:rPr>
        <w:endnoteReference w:id="18"/>
      </w:r>
    </w:p>
    <w:p w:rsidR="00F547E6" w:rsidRPr="00D00292" w:rsidRDefault="006D7025" w:rsidP="00462142">
      <w:pPr>
        <w:pStyle w:val="ListParagraph"/>
        <w:numPr>
          <w:ilvl w:val="0"/>
          <w:numId w:val="52"/>
        </w:numPr>
        <w:spacing w:after="0" w:line="360" w:lineRule="auto"/>
        <w:jc w:val="both"/>
        <w:rPr>
          <w:sz w:val="24"/>
          <w:szCs w:val="24"/>
        </w:rPr>
      </w:pPr>
      <w:r w:rsidRPr="00CC4FCD">
        <w:rPr>
          <w:sz w:val="24"/>
          <w:szCs w:val="24"/>
        </w:rPr>
        <w:t>The</w:t>
      </w:r>
      <w:r w:rsidR="00F33565" w:rsidRPr="00CC4FCD">
        <w:rPr>
          <w:sz w:val="24"/>
          <w:szCs w:val="24"/>
        </w:rPr>
        <w:t xml:space="preserve"> </w:t>
      </w:r>
      <w:r w:rsidRPr="00CC4FCD">
        <w:rPr>
          <w:sz w:val="24"/>
          <w:szCs w:val="24"/>
        </w:rPr>
        <w:t>care codes</w:t>
      </w:r>
      <w:r w:rsidR="00D316AC" w:rsidRPr="00CC4FCD">
        <w:rPr>
          <w:sz w:val="24"/>
          <w:szCs w:val="24"/>
        </w:rPr>
        <w:t xml:space="preserve"> subsequently</w:t>
      </w:r>
      <w:r w:rsidRPr="00CC4FCD">
        <w:rPr>
          <w:sz w:val="24"/>
          <w:szCs w:val="24"/>
        </w:rPr>
        <w:t xml:space="preserve"> change</w:t>
      </w:r>
      <w:r w:rsidR="00D80913" w:rsidRPr="00CC4FCD">
        <w:rPr>
          <w:sz w:val="24"/>
          <w:szCs w:val="24"/>
        </w:rPr>
        <w:t>d</w:t>
      </w:r>
      <w:r w:rsidRPr="00CC4FCD">
        <w:rPr>
          <w:sz w:val="24"/>
          <w:szCs w:val="24"/>
        </w:rPr>
        <w:t xml:space="preserve"> because of </w:t>
      </w:r>
      <w:r w:rsidR="00D80913" w:rsidRPr="00CC4FCD">
        <w:rPr>
          <w:sz w:val="24"/>
          <w:szCs w:val="24"/>
        </w:rPr>
        <w:t xml:space="preserve">legislative amendments </w:t>
      </w:r>
      <w:r w:rsidRPr="00CC4FCD">
        <w:rPr>
          <w:sz w:val="24"/>
          <w:szCs w:val="24"/>
        </w:rPr>
        <w:t>to the child support scheme in 2008.</w:t>
      </w:r>
      <w:r w:rsidR="00B53154" w:rsidRPr="007B0BFD">
        <w:rPr>
          <w:rStyle w:val="EndnoteReference"/>
          <w:sz w:val="24"/>
          <w:szCs w:val="24"/>
        </w:rPr>
        <w:endnoteReference w:id="19"/>
      </w:r>
      <w:r w:rsidRPr="00CC4FCD">
        <w:rPr>
          <w:sz w:val="24"/>
          <w:szCs w:val="24"/>
        </w:rPr>
        <w:t xml:space="preserve"> </w:t>
      </w:r>
    </w:p>
    <w:p w:rsidR="00AF01E8" w:rsidRPr="00D00292" w:rsidRDefault="00F33565" w:rsidP="00D00292">
      <w:pPr>
        <w:pStyle w:val="ListParagraph"/>
        <w:numPr>
          <w:ilvl w:val="0"/>
          <w:numId w:val="52"/>
        </w:numPr>
        <w:spacing w:after="0" w:line="360" w:lineRule="auto"/>
        <w:jc w:val="both"/>
        <w:rPr>
          <w:sz w:val="24"/>
          <w:szCs w:val="24"/>
        </w:rPr>
      </w:pPr>
      <w:r w:rsidRPr="00CC4FCD">
        <w:rPr>
          <w:sz w:val="24"/>
          <w:szCs w:val="24"/>
        </w:rPr>
        <w:t xml:space="preserve">The </w:t>
      </w:r>
      <w:r w:rsidR="00D00292">
        <w:rPr>
          <w:sz w:val="24"/>
          <w:szCs w:val="24"/>
        </w:rPr>
        <w:t xml:space="preserve">equivalent data, from 2009 </w:t>
      </w:r>
      <w:r w:rsidRPr="00CC4FCD">
        <w:rPr>
          <w:sz w:val="24"/>
          <w:szCs w:val="24"/>
        </w:rPr>
        <w:t>is not</w:t>
      </w:r>
      <w:r w:rsidR="00D00292">
        <w:rPr>
          <w:sz w:val="24"/>
          <w:szCs w:val="24"/>
        </w:rPr>
        <w:t>, to my knowledge,</w:t>
      </w:r>
      <w:r w:rsidRPr="00CC4FCD">
        <w:rPr>
          <w:sz w:val="24"/>
          <w:szCs w:val="24"/>
        </w:rPr>
        <w:t xml:space="preserve"> publicly available.</w:t>
      </w:r>
      <w:r w:rsidR="00D00292">
        <w:rPr>
          <w:sz w:val="24"/>
          <w:szCs w:val="24"/>
        </w:rPr>
        <w:t xml:space="preserve"> During my PhD </w:t>
      </w:r>
      <w:r w:rsidR="00D00292" w:rsidRPr="00F27470">
        <w:rPr>
          <w:noProof/>
          <w:sz w:val="24"/>
          <w:szCs w:val="24"/>
        </w:rPr>
        <w:t>research</w:t>
      </w:r>
      <w:r w:rsidR="00F27470">
        <w:rPr>
          <w:noProof/>
          <w:sz w:val="24"/>
          <w:szCs w:val="24"/>
        </w:rPr>
        <w:t>,</w:t>
      </w:r>
      <w:r w:rsidRPr="00CC4FCD">
        <w:rPr>
          <w:sz w:val="24"/>
          <w:szCs w:val="24"/>
        </w:rPr>
        <w:t xml:space="preserve"> I tried to obtain the data. </w:t>
      </w:r>
      <w:r w:rsidR="00D00292">
        <w:rPr>
          <w:sz w:val="24"/>
          <w:szCs w:val="24"/>
        </w:rPr>
        <w:t>In</w:t>
      </w:r>
      <w:r w:rsidR="0051315F" w:rsidRPr="00CC4FCD">
        <w:rPr>
          <w:sz w:val="24"/>
          <w:szCs w:val="24"/>
        </w:rPr>
        <w:t xml:space="preserve"> May </w:t>
      </w:r>
      <w:r w:rsidR="0051315F" w:rsidRPr="00CC4FCD">
        <w:rPr>
          <w:noProof/>
          <w:sz w:val="24"/>
          <w:szCs w:val="24"/>
        </w:rPr>
        <w:t>2014</w:t>
      </w:r>
      <w:r w:rsidR="005C1606" w:rsidRPr="00CC4FCD">
        <w:rPr>
          <w:noProof/>
          <w:sz w:val="24"/>
          <w:szCs w:val="24"/>
        </w:rPr>
        <w:t>,</w:t>
      </w:r>
      <w:r w:rsidR="0051315F" w:rsidRPr="00CC4FCD">
        <w:rPr>
          <w:sz w:val="24"/>
          <w:szCs w:val="24"/>
        </w:rPr>
        <w:t xml:space="preserve"> I made an application to </w:t>
      </w:r>
      <w:r w:rsidR="0051315F" w:rsidRPr="00CC4FCD">
        <w:rPr>
          <w:sz w:val="24"/>
          <w:szCs w:val="24"/>
        </w:rPr>
        <w:lastRenderedPageBreak/>
        <w:t xml:space="preserve">the </w:t>
      </w:r>
      <w:r w:rsidR="004053C3" w:rsidRPr="00CC4FCD">
        <w:rPr>
          <w:sz w:val="24"/>
          <w:szCs w:val="24"/>
        </w:rPr>
        <w:t>C</w:t>
      </w:r>
      <w:r w:rsidR="0051315F" w:rsidRPr="00CC4FCD">
        <w:rPr>
          <w:sz w:val="24"/>
          <w:szCs w:val="24"/>
        </w:rPr>
        <w:t xml:space="preserve">hild </w:t>
      </w:r>
      <w:r w:rsidR="004053C3" w:rsidRPr="00CC4FCD">
        <w:rPr>
          <w:sz w:val="24"/>
          <w:szCs w:val="24"/>
        </w:rPr>
        <w:t>S</w:t>
      </w:r>
      <w:r w:rsidR="0051315F" w:rsidRPr="00CC4FCD">
        <w:rPr>
          <w:sz w:val="24"/>
          <w:szCs w:val="24"/>
        </w:rPr>
        <w:t xml:space="preserve">upport </w:t>
      </w:r>
      <w:r w:rsidR="004053C3" w:rsidRPr="00CC4FCD">
        <w:rPr>
          <w:sz w:val="24"/>
          <w:szCs w:val="24"/>
        </w:rPr>
        <w:t>A</w:t>
      </w:r>
      <w:r w:rsidR="0051315F" w:rsidRPr="00CC4FCD">
        <w:rPr>
          <w:sz w:val="24"/>
          <w:szCs w:val="24"/>
        </w:rPr>
        <w:t xml:space="preserve">gency, </w:t>
      </w:r>
      <w:r w:rsidR="005C1606" w:rsidRPr="00CC4FCD">
        <w:rPr>
          <w:noProof/>
          <w:sz w:val="24"/>
          <w:szCs w:val="24"/>
        </w:rPr>
        <w:t>under</w:t>
      </w:r>
      <w:r w:rsidR="0051315F" w:rsidRPr="00CC4FCD">
        <w:rPr>
          <w:sz w:val="24"/>
          <w:szCs w:val="24"/>
        </w:rPr>
        <w:t xml:space="preserve"> freedom of information legislation, for production of </w:t>
      </w:r>
      <w:r w:rsidR="00D80913" w:rsidRPr="00CC4FCD">
        <w:rPr>
          <w:sz w:val="24"/>
          <w:szCs w:val="24"/>
        </w:rPr>
        <w:t>updated data</w:t>
      </w:r>
      <w:r w:rsidR="0051315F" w:rsidRPr="00CC4FCD">
        <w:rPr>
          <w:sz w:val="24"/>
          <w:szCs w:val="24"/>
        </w:rPr>
        <w:t xml:space="preserve">.  The </w:t>
      </w:r>
      <w:r w:rsidR="005C1606" w:rsidRPr="00CC4FCD">
        <w:rPr>
          <w:noProof/>
          <w:sz w:val="24"/>
          <w:szCs w:val="24"/>
        </w:rPr>
        <w:t>request</w:t>
      </w:r>
      <w:r w:rsidR="0051315F" w:rsidRPr="00CC4FCD">
        <w:rPr>
          <w:sz w:val="24"/>
          <w:szCs w:val="24"/>
        </w:rPr>
        <w:t xml:space="preserve"> sought the care percentage tables (or their equivalent document) for June 2010 to June 2013. </w:t>
      </w:r>
      <w:r w:rsidR="00D80913" w:rsidRPr="00CC4FCD">
        <w:rPr>
          <w:sz w:val="24"/>
          <w:szCs w:val="24"/>
        </w:rPr>
        <w:t>T</w:t>
      </w:r>
      <w:r w:rsidR="0051315F" w:rsidRPr="00CC4FCD">
        <w:rPr>
          <w:sz w:val="24"/>
          <w:szCs w:val="24"/>
        </w:rPr>
        <w:t xml:space="preserve">he </w:t>
      </w:r>
      <w:r w:rsidR="004053C3" w:rsidRPr="00CC4FCD">
        <w:rPr>
          <w:sz w:val="24"/>
          <w:szCs w:val="24"/>
        </w:rPr>
        <w:t>Department of Human Services declined</w:t>
      </w:r>
      <w:r w:rsidR="00D80913" w:rsidRPr="00CC4FCD">
        <w:rPr>
          <w:sz w:val="24"/>
          <w:szCs w:val="24"/>
        </w:rPr>
        <w:t xml:space="preserve"> the </w:t>
      </w:r>
      <w:r w:rsidR="00D80913" w:rsidRPr="00CC4FCD">
        <w:rPr>
          <w:noProof/>
          <w:sz w:val="24"/>
          <w:szCs w:val="24"/>
        </w:rPr>
        <w:t>application</w:t>
      </w:r>
      <w:r w:rsidR="0051315F" w:rsidRPr="00CC4FCD">
        <w:rPr>
          <w:sz w:val="24"/>
          <w:szCs w:val="24"/>
        </w:rPr>
        <w:t xml:space="preserve"> on 17 June 2014. Amongst the reasons given, the department confirmed that the data </w:t>
      </w:r>
      <w:r w:rsidRPr="00CC4FCD">
        <w:rPr>
          <w:sz w:val="24"/>
          <w:szCs w:val="24"/>
        </w:rPr>
        <w:t>the</w:t>
      </w:r>
      <w:r w:rsidR="0051315F" w:rsidRPr="00CC4FCD">
        <w:rPr>
          <w:sz w:val="24"/>
          <w:szCs w:val="24"/>
        </w:rPr>
        <w:t xml:space="preserve"> exist</w:t>
      </w:r>
      <w:r w:rsidRPr="00CC4FCD">
        <w:rPr>
          <w:sz w:val="24"/>
          <w:szCs w:val="24"/>
        </w:rPr>
        <w:t>ed</w:t>
      </w:r>
      <w:r w:rsidR="0051315F" w:rsidRPr="00CC4FCD">
        <w:rPr>
          <w:sz w:val="24"/>
          <w:szCs w:val="24"/>
        </w:rPr>
        <w:t>, commenting:</w:t>
      </w:r>
    </w:p>
    <w:p w:rsidR="00F547E6" w:rsidRDefault="0051315F" w:rsidP="00D00292">
      <w:pPr>
        <w:spacing w:after="0" w:line="360" w:lineRule="auto"/>
        <w:ind w:left="1440"/>
        <w:jc w:val="both"/>
        <w:rPr>
          <w:sz w:val="24"/>
          <w:szCs w:val="24"/>
        </w:rPr>
      </w:pPr>
      <w:r w:rsidRPr="009F7E74">
        <w:rPr>
          <w:i/>
          <w:sz w:val="20"/>
          <w:szCs w:val="20"/>
        </w:rPr>
        <w:t xml:space="preserve">I am advised by the Internal and External Gateway section and the Families and Transformation Section that </w:t>
      </w:r>
      <w:r w:rsidRPr="00F27470">
        <w:rPr>
          <w:i/>
          <w:noProof/>
          <w:sz w:val="20"/>
          <w:szCs w:val="20"/>
        </w:rPr>
        <w:t>the data relevant to your request is still collect</w:t>
      </w:r>
      <w:r w:rsidR="00D00292" w:rsidRPr="00F27470">
        <w:rPr>
          <w:i/>
          <w:noProof/>
          <w:sz w:val="20"/>
          <w:szCs w:val="20"/>
        </w:rPr>
        <w:t>ed</w:t>
      </w:r>
      <w:r w:rsidRPr="00F27470">
        <w:rPr>
          <w:i/>
          <w:noProof/>
          <w:sz w:val="20"/>
          <w:szCs w:val="20"/>
        </w:rPr>
        <w:t xml:space="preserve"> by the Department from its service users</w:t>
      </w:r>
      <w:r w:rsidRPr="009F7E74">
        <w:rPr>
          <w:i/>
          <w:sz w:val="20"/>
          <w:szCs w:val="20"/>
        </w:rPr>
        <w:t xml:space="preserve">. However, as </w:t>
      </w:r>
      <w:r w:rsidRPr="00C8274F">
        <w:rPr>
          <w:i/>
          <w:noProof/>
          <w:sz w:val="20"/>
          <w:szCs w:val="20"/>
        </w:rPr>
        <w:t>this data is not ordinarily required by external o</w:t>
      </w:r>
      <w:r w:rsidR="004053C3" w:rsidRPr="00C8274F">
        <w:rPr>
          <w:i/>
          <w:noProof/>
          <w:sz w:val="20"/>
          <w:szCs w:val="20"/>
        </w:rPr>
        <w:t>r</w:t>
      </w:r>
      <w:r w:rsidRPr="00C8274F">
        <w:rPr>
          <w:i/>
          <w:noProof/>
          <w:sz w:val="20"/>
          <w:szCs w:val="20"/>
        </w:rPr>
        <w:t xml:space="preserve"> internal stakeholders</w:t>
      </w:r>
      <w:r w:rsidRPr="009F7E74">
        <w:rPr>
          <w:i/>
          <w:sz w:val="20"/>
          <w:szCs w:val="20"/>
        </w:rPr>
        <w:t>, regular reports containing this data are not routinely produced. Therefore, this data is not readily available</w:t>
      </w:r>
      <w:r w:rsidRPr="007B0BFD">
        <w:rPr>
          <w:i/>
          <w:sz w:val="24"/>
          <w:szCs w:val="24"/>
        </w:rPr>
        <w:t>.</w:t>
      </w:r>
      <w:r w:rsidRPr="007B0BFD">
        <w:rPr>
          <w:sz w:val="24"/>
          <w:szCs w:val="24"/>
        </w:rPr>
        <w:t xml:space="preserve"> </w:t>
      </w:r>
      <w:r w:rsidRPr="007B0BFD">
        <w:rPr>
          <w:sz w:val="24"/>
          <w:szCs w:val="24"/>
          <w:vertAlign w:val="superscript"/>
        </w:rPr>
        <w:endnoteReference w:id="20"/>
      </w:r>
    </w:p>
    <w:p w:rsidR="00F547E6" w:rsidRPr="00D00292" w:rsidRDefault="0051315F" w:rsidP="00462142">
      <w:pPr>
        <w:pStyle w:val="ListParagraph"/>
        <w:numPr>
          <w:ilvl w:val="0"/>
          <w:numId w:val="52"/>
        </w:numPr>
        <w:spacing w:after="0" w:line="360" w:lineRule="auto"/>
        <w:jc w:val="both"/>
        <w:rPr>
          <w:sz w:val="24"/>
          <w:szCs w:val="24"/>
        </w:rPr>
      </w:pPr>
      <w:r w:rsidRPr="00CC4FCD">
        <w:rPr>
          <w:sz w:val="24"/>
          <w:szCs w:val="24"/>
        </w:rPr>
        <w:t xml:space="preserve">The </w:t>
      </w:r>
      <w:r w:rsidR="004053C3" w:rsidRPr="00CC4FCD">
        <w:rPr>
          <w:sz w:val="24"/>
          <w:szCs w:val="24"/>
        </w:rPr>
        <w:t>D</w:t>
      </w:r>
      <w:r w:rsidRPr="00CC4FCD">
        <w:rPr>
          <w:sz w:val="24"/>
          <w:szCs w:val="24"/>
        </w:rPr>
        <w:t xml:space="preserve">epartment confirmed that the </w:t>
      </w:r>
      <w:r w:rsidR="00D00292">
        <w:rPr>
          <w:sz w:val="24"/>
          <w:szCs w:val="24"/>
        </w:rPr>
        <w:t>“</w:t>
      </w:r>
      <w:r w:rsidRPr="00CC4FCD">
        <w:rPr>
          <w:sz w:val="24"/>
          <w:szCs w:val="24"/>
        </w:rPr>
        <w:t>facts and figures</w:t>
      </w:r>
      <w:r w:rsidR="00D00292">
        <w:rPr>
          <w:sz w:val="24"/>
          <w:szCs w:val="24"/>
        </w:rPr>
        <w:t>”</w:t>
      </w:r>
      <w:r w:rsidRPr="00CC4FCD">
        <w:rPr>
          <w:sz w:val="24"/>
          <w:szCs w:val="24"/>
        </w:rPr>
        <w:t xml:space="preserve"> branch no longer </w:t>
      </w:r>
      <w:r w:rsidRPr="00CC4FCD">
        <w:rPr>
          <w:noProof/>
          <w:sz w:val="24"/>
          <w:szCs w:val="24"/>
        </w:rPr>
        <w:t>exist</w:t>
      </w:r>
      <w:r w:rsidR="00F33565" w:rsidRPr="00CC4FCD">
        <w:rPr>
          <w:noProof/>
          <w:sz w:val="24"/>
          <w:szCs w:val="24"/>
        </w:rPr>
        <w:t>ed</w:t>
      </w:r>
      <w:r w:rsidRPr="00CC4FCD">
        <w:rPr>
          <w:sz w:val="24"/>
          <w:szCs w:val="24"/>
        </w:rPr>
        <w:t xml:space="preserve"> and that a program would need to be written to extract the data with an estimated</w:t>
      </w:r>
      <w:r w:rsidR="00F33565" w:rsidRPr="00CC4FCD">
        <w:rPr>
          <w:sz w:val="24"/>
          <w:szCs w:val="24"/>
        </w:rPr>
        <w:t xml:space="preserve"> (then)</w:t>
      </w:r>
      <w:r w:rsidRPr="00CC4FCD">
        <w:rPr>
          <w:sz w:val="24"/>
          <w:szCs w:val="24"/>
        </w:rPr>
        <w:t xml:space="preserve"> cost of $4,000.00.</w:t>
      </w:r>
      <w:r w:rsidRPr="007B0BFD">
        <w:rPr>
          <w:vertAlign w:val="superscript"/>
        </w:rPr>
        <w:endnoteReference w:id="21"/>
      </w:r>
      <w:r w:rsidRPr="00CC4FCD">
        <w:rPr>
          <w:sz w:val="24"/>
          <w:szCs w:val="24"/>
        </w:rPr>
        <w:t xml:space="preserve"> </w:t>
      </w:r>
      <w:r w:rsidR="00F33565" w:rsidRPr="00CC4FCD">
        <w:rPr>
          <w:sz w:val="24"/>
          <w:szCs w:val="24"/>
        </w:rPr>
        <w:t>I could not fund the costs</w:t>
      </w:r>
      <w:r w:rsidR="004053C3" w:rsidRPr="00CC4FCD">
        <w:rPr>
          <w:sz w:val="24"/>
          <w:szCs w:val="24"/>
        </w:rPr>
        <w:t xml:space="preserve"> and therefore could not see the data. </w:t>
      </w:r>
      <w:r w:rsidR="00F33565" w:rsidRPr="00CC4FCD">
        <w:rPr>
          <w:sz w:val="24"/>
          <w:szCs w:val="24"/>
        </w:rPr>
        <w:t xml:space="preserve"> </w:t>
      </w:r>
    </w:p>
    <w:p w:rsidR="00DB0CF8" w:rsidRPr="00CC4FCD" w:rsidRDefault="00CC5B18" w:rsidP="009A0126">
      <w:pPr>
        <w:pStyle w:val="ListParagraph"/>
        <w:numPr>
          <w:ilvl w:val="0"/>
          <w:numId w:val="52"/>
        </w:numPr>
        <w:spacing w:after="0" w:line="360" w:lineRule="auto"/>
        <w:jc w:val="both"/>
        <w:rPr>
          <w:sz w:val="24"/>
          <w:szCs w:val="24"/>
        </w:rPr>
      </w:pPr>
      <w:r>
        <w:rPr>
          <w:sz w:val="24"/>
          <w:szCs w:val="24"/>
        </w:rPr>
        <w:t xml:space="preserve">There </w:t>
      </w:r>
      <w:r w:rsidR="0051315F" w:rsidRPr="00CC4FCD">
        <w:rPr>
          <w:sz w:val="24"/>
          <w:szCs w:val="24"/>
        </w:rPr>
        <w:t xml:space="preserve">is a framework issued by the Department of Human </w:t>
      </w:r>
      <w:r w:rsidR="00E1316F" w:rsidRPr="00CC4FCD">
        <w:rPr>
          <w:noProof/>
          <w:sz w:val="24"/>
          <w:szCs w:val="24"/>
        </w:rPr>
        <w:t>S</w:t>
      </w:r>
      <w:r w:rsidR="0051315F" w:rsidRPr="00CC4FCD">
        <w:rPr>
          <w:noProof/>
          <w:sz w:val="24"/>
          <w:szCs w:val="24"/>
        </w:rPr>
        <w:t>ervices</w:t>
      </w:r>
      <w:r w:rsidR="0051315F" w:rsidRPr="00CC4FCD">
        <w:rPr>
          <w:sz w:val="24"/>
          <w:szCs w:val="24"/>
        </w:rPr>
        <w:t xml:space="preserve"> to seek information for research.</w:t>
      </w:r>
      <w:r w:rsidR="0051315F" w:rsidRPr="007B0BFD">
        <w:rPr>
          <w:rStyle w:val="EndnoteReference"/>
          <w:sz w:val="24"/>
          <w:szCs w:val="24"/>
        </w:rPr>
        <w:endnoteReference w:id="22"/>
      </w:r>
      <w:r w:rsidR="00C3032C" w:rsidRPr="00CC4FCD">
        <w:rPr>
          <w:sz w:val="24"/>
          <w:szCs w:val="24"/>
        </w:rPr>
        <w:t xml:space="preserve"> The Department of Human Services is </w:t>
      </w:r>
      <w:r w:rsidR="00635922" w:rsidRPr="00CC4FCD">
        <w:rPr>
          <w:sz w:val="24"/>
          <w:szCs w:val="24"/>
        </w:rPr>
        <w:t xml:space="preserve">highly likely to have updated data. </w:t>
      </w:r>
      <w:r w:rsidR="006D7025" w:rsidRPr="00CC4FCD">
        <w:rPr>
          <w:sz w:val="24"/>
          <w:szCs w:val="24"/>
        </w:rPr>
        <w:t xml:space="preserve">The </w:t>
      </w:r>
      <w:r w:rsidR="006D7025" w:rsidRPr="00CC4FCD">
        <w:rPr>
          <w:i/>
          <w:sz w:val="24"/>
          <w:szCs w:val="24"/>
        </w:rPr>
        <w:t>Child Support (Assessment) Act 1989</w:t>
      </w:r>
      <w:r w:rsidR="006D7025" w:rsidRPr="00CC4FCD">
        <w:rPr>
          <w:sz w:val="24"/>
          <w:szCs w:val="24"/>
        </w:rPr>
        <w:t xml:space="preserve"> (Cth)</w:t>
      </w:r>
      <w:r w:rsidR="00C3032C" w:rsidRPr="00CC4FCD">
        <w:rPr>
          <w:sz w:val="24"/>
          <w:szCs w:val="24"/>
        </w:rPr>
        <w:t xml:space="preserve"> </w:t>
      </w:r>
      <w:r w:rsidR="00F33565" w:rsidRPr="00CC4FCD">
        <w:rPr>
          <w:sz w:val="24"/>
          <w:szCs w:val="24"/>
        </w:rPr>
        <w:t xml:space="preserve">still </w:t>
      </w:r>
      <w:r w:rsidR="006D7025" w:rsidRPr="00CC4FCD">
        <w:rPr>
          <w:sz w:val="24"/>
          <w:szCs w:val="24"/>
        </w:rPr>
        <w:t>requires</w:t>
      </w:r>
      <w:r w:rsidR="00D00292">
        <w:rPr>
          <w:sz w:val="24"/>
          <w:szCs w:val="24"/>
        </w:rPr>
        <w:t xml:space="preserve">, </w:t>
      </w:r>
      <w:r w:rsidR="00F27470">
        <w:rPr>
          <w:noProof/>
          <w:sz w:val="24"/>
          <w:szCs w:val="24"/>
        </w:rPr>
        <w:t>to complete</w:t>
      </w:r>
      <w:r w:rsidR="00D00292">
        <w:rPr>
          <w:sz w:val="24"/>
          <w:szCs w:val="24"/>
        </w:rPr>
        <w:t xml:space="preserve"> an assessment,</w:t>
      </w:r>
      <w:r w:rsidR="006D7025" w:rsidRPr="00CC4FCD">
        <w:rPr>
          <w:sz w:val="24"/>
          <w:szCs w:val="24"/>
        </w:rPr>
        <w:t xml:space="preserve"> the percentage of care a child has with each parent.</w:t>
      </w:r>
      <w:r w:rsidR="006D7025" w:rsidRPr="007B0BFD">
        <w:rPr>
          <w:rStyle w:val="EndnoteReference"/>
          <w:sz w:val="24"/>
          <w:szCs w:val="24"/>
        </w:rPr>
        <w:endnoteReference w:id="23"/>
      </w:r>
      <w:r w:rsidR="006D7025" w:rsidRPr="00CC4FCD">
        <w:rPr>
          <w:sz w:val="24"/>
          <w:szCs w:val="24"/>
        </w:rPr>
        <w:t xml:space="preserve">  The child support guide </w:t>
      </w:r>
      <w:r w:rsidR="00B53154" w:rsidRPr="00CC4FCD">
        <w:rPr>
          <w:sz w:val="24"/>
          <w:szCs w:val="24"/>
        </w:rPr>
        <w:t xml:space="preserve">helpfully </w:t>
      </w:r>
      <w:r w:rsidR="006D7025" w:rsidRPr="00CC4FCD">
        <w:rPr>
          <w:sz w:val="24"/>
          <w:szCs w:val="24"/>
        </w:rPr>
        <w:t>sets out the</w:t>
      </w:r>
      <w:r w:rsidR="00F33565" w:rsidRPr="00CC4FCD">
        <w:rPr>
          <w:sz w:val="24"/>
          <w:szCs w:val="24"/>
        </w:rPr>
        <w:t xml:space="preserve"> </w:t>
      </w:r>
      <w:r w:rsidR="00F33565" w:rsidRPr="00CC4FCD">
        <w:rPr>
          <w:noProof/>
          <w:sz w:val="24"/>
          <w:szCs w:val="24"/>
        </w:rPr>
        <w:t>current</w:t>
      </w:r>
      <w:r w:rsidR="00E1316F" w:rsidRPr="00CC4FCD">
        <w:rPr>
          <w:noProof/>
          <w:sz w:val="24"/>
          <w:szCs w:val="24"/>
        </w:rPr>
        <w:t>ly</w:t>
      </w:r>
      <w:r w:rsidR="006D7025" w:rsidRPr="00CC4FCD">
        <w:rPr>
          <w:sz w:val="24"/>
          <w:szCs w:val="24"/>
        </w:rPr>
        <w:t xml:space="preserve"> prescribed care bands</w:t>
      </w:r>
      <w:r w:rsidR="00D80913" w:rsidRPr="00CC4FCD">
        <w:rPr>
          <w:sz w:val="24"/>
          <w:szCs w:val="24"/>
        </w:rPr>
        <w:t>:</w:t>
      </w:r>
    </w:p>
    <w:p w:rsidR="00DB0CF8" w:rsidRPr="007B0BFD" w:rsidRDefault="006D7025" w:rsidP="00462142">
      <w:pPr>
        <w:spacing w:after="0" w:line="360" w:lineRule="auto"/>
        <w:jc w:val="center"/>
        <w:rPr>
          <w:b/>
          <w:sz w:val="24"/>
          <w:szCs w:val="24"/>
        </w:rPr>
      </w:pPr>
      <w:r w:rsidRPr="00E1316F">
        <w:rPr>
          <w:b/>
          <w:noProof/>
          <w:sz w:val="24"/>
          <w:szCs w:val="24"/>
        </w:rPr>
        <w:t>Current</w:t>
      </w:r>
      <w:r w:rsidRPr="007B0BFD">
        <w:rPr>
          <w:b/>
          <w:sz w:val="24"/>
          <w:szCs w:val="24"/>
        </w:rPr>
        <w:t xml:space="preserve"> Child Support</w:t>
      </w:r>
      <w:r w:rsidR="00B53154" w:rsidRPr="007B0BFD">
        <w:rPr>
          <w:b/>
          <w:sz w:val="24"/>
          <w:szCs w:val="24"/>
        </w:rPr>
        <w:t xml:space="preserve"> (Legislative)</w:t>
      </w:r>
      <w:r w:rsidRPr="007B0BFD">
        <w:rPr>
          <w:b/>
          <w:sz w:val="24"/>
          <w:szCs w:val="24"/>
        </w:rPr>
        <w:t xml:space="preserve"> Percentage of Care Bands</w:t>
      </w:r>
    </w:p>
    <w:p w:rsidR="00F547E6" w:rsidRDefault="006D7025" w:rsidP="00D00292">
      <w:pPr>
        <w:spacing w:after="0" w:line="360" w:lineRule="auto"/>
        <w:jc w:val="center"/>
        <w:rPr>
          <w:sz w:val="24"/>
          <w:szCs w:val="24"/>
        </w:rPr>
      </w:pPr>
      <w:r w:rsidRPr="007B0BFD">
        <w:rPr>
          <w:noProof/>
          <w:sz w:val="24"/>
          <w:szCs w:val="24"/>
          <w:lang w:eastAsia="en-AU"/>
        </w:rPr>
        <w:drawing>
          <wp:inline distT="0" distB="0" distL="0" distR="0">
            <wp:extent cx="4256567" cy="1916212"/>
            <wp:effectExtent l="19050" t="19050" r="10795" b="273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4283924" cy="1928528"/>
                    </a:xfrm>
                    <a:prstGeom prst="rect">
                      <a:avLst/>
                    </a:prstGeom>
                    <a:ln>
                      <a:solidFill>
                        <a:schemeClr val="tx1"/>
                      </a:solidFill>
                    </a:ln>
                  </pic:spPr>
                </pic:pic>
              </a:graphicData>
            </a:graphic>
          </wp:inline>
        </w:drawing>
      </w:r>
      <w:r w:rsidR="008F1051" w:rsidRPr="007B0BFD">
        <w:rPr>
          <w:rStyle w:val="EndnoteReference"/>
          <w:sz w:val="24"/>
          <w:szCs w:val="24"/>
        </w:rPr>
        <w:endnoteReference w:id="24"/>
      </w:r>
    </w:p>
    <w:p w:rsidR="00CC4FCD" w:rsidRPr="00D00292" w:rsidRDefault="007B0BFD" w:rsidP="00D00292">
      <w:pPr>
        <w:pStyle w:val="ListParagraph"/>
        <w:numPr>
          <w:ilvl w:val="0"/>
          <w:numId w:val="52"/>
        </w:numPr>
        <w:spacing w:after="0" w:line="360" w:lineRule="auto"/>
        <w:jc w:val="both"/>
        <w:rPr>
          <w:sz w:val="24"/>
          <w:szCs w:val="24"/>
        </w:rPr>
      </w:pPr>
      <w:r w:rsidRPr="00CC4FCD">
        <w:rPr>
          <w:sz w:val="24"/>
          <w:szCs w:val="24"/>
        </w:rPr>
        <w:t>If the Commission ha</w:t>
      </w:r>
      <w:r w:rsidR="00D00292">
        <w:rPr>
          <w:sz w:val="24"/>
          <w:szCs w:val="24"/>
        </w:rPr>
        <w:t>d</w:t>
      </w:r>
      <w:r w:rsidRPr="00CC4FCD">
        <w:rPr>
          <w:sz w:val="24"/>
          <w:szCs w:val="24"/>
        </w:rPr>
        <w:t xml:space="preserve"> th</w:t>
      </w:r>
      <w:r w:rsidR="00D00292">
        <w:rPr>
          <w:sz w:val="24"/>
          <w:szCs w:val="24"/>
        </w:rPr>
        <w:t>e</w:t>
      </w:r>
      <w:r w:rsidRPr="00CC4FCD">
        <w:rPr>
          <w:sz w:val="24"/>
          <w:szCs w:val="24"/>
        </w:rPr>
        <w:t xml:space="preserve"> </w:t>
      </w:r>
      <w:r w:rsidRPr="00CC4FCD">
        <w:rPr>
          <w:noProof/>
          <w:sz w:val="24"/>
          <w:szCs w:val="24"/>
        </w:rPr>
        <w:t>data</w:t>
      </w:r>
      <w:r w:rsidR="00D00292">
        <w:rPr>
          <w:noProof/>
          <w:sz w:val="24"/>
          <w:szCs w:val="24"/>
        </w:rPr>
        <w:t xml:space="preserve"> from the Department of Human Services,</w:t>
      </w:r>
      <w:r w:rsidRPr="00CC4FCD">
        <w:rPr>
          <w:sz w:val="24"/>
          <w:szCs w:val="24"/>
        </w:rPr>
        <w:t xml:space="preserve"> then the Commission has </w:t>
      </w:r>
      <w:r w:rsidRPr="00CC4FCD">
        <w:rPr>
          <w:noProof/>
          <w:sz w:val="24"/>
          <w:szCs w:val="24"/>
        </w:rPr>
        <w:t xml:space="preserve">a </w:t>
      </w:r>
      <w:r w:rsidRPr="00CC4FCD">
        <w:rPr>
          <w:sz w:val="24"/>
          <w:szCs w:val="24"/>
        </w:rPr>
        <w:t>start point about the actual prevalence of equal time</w:t>
      </w:r>
      <w:r w:rsidR="00D00292">
        <w:rPr>
          <w:sz w:val="24"/>
          <w:szCs w:val="24"/>
        </w:rPr>
        <w:t xml:space="preserve"> (or similar)</w:t>
      </w:r>
      <w:r w:rsidRPr="00CC4FCD">
        <w:rPr>
          <w:sz w:val="24"/>
          <w:szCs w:val="24"/>
        </w:rPr>
        <w:t xml:space="preserve"> arrangements from which to begin the discussion. </w:t>
      </w:r>
      <w:r w:rsidR="00540614" w:rsidRPr="00CC4FCD">
        <w:rPr>
          <w:sz w:val="24"/>
          <w:szCs w:val="24"/>
        </w:rPr>
        <w:t xml:space="preserve">The data will not be ‘like-for-like’ but </w:t>
      </w:r>
      <w:r w:rsidR="00B46357" w:rsidRPr="00CC4FCD">
        <w:rPr>
          <w:sz w:val="24"/>
          <w:szCs w:val="24"/>
        </w:rPr>
        <w:t xml:space="preserve">provides a comparison </w:t>
      </w:r>
      <w:r w:rsidR="00D00292">
        <w:rPr>
          <w:sz w:val="24"/>
          <w:szCs w:val="24"/>
        </w:rPr>
        <w:t xml:space="preserve">from </w:t>
      </w:r>
      <w:r w:rsidR="00B46357" w:rsidRPr="00CC4FCD">
        <w:rPr>
          <w:sz w:val="24"/>
          <w:szCs w:val="24"/>
        </w:rPr>
        <w:t>the baseline (from</w:t>
      </w:r>
      <w:r w:rsidR="00D00292">
        <w:rPr>
          <w:sz w:val="24"/>
          <w:szCs w:val="24"/>
        </w:rPr>
        <w:t xml:space="preserve"> the time of the</w:t>
      </w:r>
      <w:r w:rsidR="00B46357" w:rsidRPr="00CC4FCD">
        <w:rPr>
          <w:sz w:val="24"/>
          <w:szCs w:val="24"/>
        </w:rPr>
        <w:t xml:space="preserve"> 2006</w:t>
      </w:r>
      <w:r w:rsidR="00D00292">
        <w:rPr>
          <w:sz w:val="24"/>
          <w:szCs w:val="24"/>
        </w:rPr>
        <w:t xml:space="preserve"> amendments</w:t>
      </w:r>
      <w:r w:rsidR="00B46357" w:rsidRPr="00CC4FCD">
        <w:rPr>
          <w:sz w:val="24"/>
          <w:szCs w:val="24"/>
        </w:rPr>
        <w:t>) of 5.6% of children in shared care arrangements</w:t>
      </w:r>
      <w:r w:rsidR="00D00292">
        <w:rPr>
          <w:sz w:val="24"/>
          <w:szCs w:val="24"/>
        </w:rPr>
        <w:t>, to compare to now.</w:t>
      </w:r>
      <w:r w:rsidR="00B46357" w:rsidRPr="00CC4FCD">
        <w:rPr>
          <w:sz w:val="24"/>
          <w:szCs w:val="24"/>
        </w:rPr>
        <w:t xml:space="preserve"> </w:t>
      </w:r>
      <w:r w:rsidR="00B46357" w:rsidRPr="00CC4FCD">
        <w:rPr>
          <w:sz w:val="24"/>
          <w:szCs w:val="24"/>
        </w:rPr>
        <w:lastRenderedPageBreak/>
        <w:t xml:space="preserve">From </w:t>
      </w:r>
      <w:r w:rsidR="00D00292">
        <w:rPr>
          <w:noProof/>
          <w:sz w:val="24"/>
          <w:szCs w:val="24"/>
        </w:rPr>
        <w:t xml:space="preserve">that </w:t>
      </w:r>
      <w:r w:rsidR="00D00292" w:rsidRPr="00F27470">
        <w:rPr>
          <w:noProof/>
          <w:sz w:val="24"/>
          <w:szCs w:val="24"/>
        </w:rPr>
        <w:t>quan</w:t>
      </w:r>
      <w:r w:rsidR="00F27470">
        <w:rPr>
          <w:noProof/>
          <w:sz w:val="24"/>
          <w:szCs w:val="24"/>
        </w:rPr>
        <w:t>ti</w:t>
      </w:r>
      <w:r w:rsidR="00D00292" w:rsidRPr="00F27470">
        <w:rPr>
          <w:noProof/>
          <w:sz w:val="24"/>
          <w:szCs w:val="24"/>
        </w:rPr>
        <w:t>tative</w:t>
      </w:r>
      <w:r w:rsidR="00D00292">
        <w:rPr>
          <w:noProof/>
          <w:sz w:val="24"/>
          <w:szCs w:val="24"/>
        </w:rPr>
        <w:t xml:space="preserve"> data</w:t>
      </w:r>
      <w:r w:rsidR="00E1316F" w:rsidRPr="00CC4FCD">
        <w:rPr>
          <w:noProof/>
          <w:sz w:val="24"/>
          <w:szCs w:val="24"/>
        </w:rPr>
        <w:t>,</w:t>
      </w:r>
      <w:r w:rsidR="00B46357" w:rsidRPr="00CC4FCD">
        <w:rPr>
          <w:sz w:val="24"/>
          <w:szCs w:val="24"/>
        </w:rPr>
        <w:t xml:space="preserve"> the Commission may draw inferences about the </w:t>
      </w:r>
      <w:r w:rsidR="00D00292">
        <w:rPr>
          <w:sz w:val="24"/>
          <w:szCs w:val="24"/>
        </w:rPr>
        <w:t>overall impact of</w:t>
      </w:r>
      <w:r w:rsidR="00B46357" w:rsidRPr="00CC4FCD">
        <w:rPr>
          <w:sz w:val="24"/>
          <w:szCs w:val="24"/>
        </w:rPr>
        <w:t xml:space="preserve"> the 2006 amendments to the </w:t>
      </w:r>
      <w:r w:rsidR="00B46357" w:rsidRPr="00CC4FCD">
        <w:rPr>
          <w:i/>
          <w:sz w:val="24"/>
          <w:szCs w:val="24"/>
        </w:rPr>
        <w:t>Act</w:t>
      </w:r>
      <w:r w:rsidR="00B46357" w:rsidRPr="00CC4FCD">
        <w:rPr>
          <w:sz w:val="24"/>
          <w:szCs w:val="24"/>
        </w:rPr>
        <w:t xml:space="preserve">. </w:t>
      </w:r>
    </w:p>
    <w:p w:rsidR="007B0BFD" w:rsidRPr="00CC4FCD" w:rsidRDefault="007B0BFD" w:rsidP="009A0126">
      <w:pPr>
        <w:pStyle w:val="ListParagraph"/>
        <w:numPr>
          <w:ilvl w:val="0"/>
          <w:numId w:val="52"/>
        </w:numPr>
        <w:spacing w:after="0" w:line="360" w:lineRule="auto"/>
        <w:jc w:val="both"/>
        <w:rPr>
          <w:sz w:val="24"/>
          <w:szCs w:val="24"/>
        </w:rPr>
      </w:pPr>
      <w:r w:rsidRPr="00CC4FCD">
        <w:rPr>
          <w:sz w:val="24"/>
          <w:szCs w:val="24"/>
        </w:rPr>
        <w:t>On th</w:t>
      </w:r>
      <w:r w:rsidR="00B46357" w:rsidRPr="00CC4FCD">
        <w:rPr>
          <w:sz w:val="24"/>
          <w:szCs w:val="24"/>
        </w:rPr>
        <w:t>e</w:t>
      </w:r>
      <w:r w:rsidRPr="00CC4FCD">
        <w:rPr>
          <w:sz w:val="24"/>
          <w:szCs w:val="24"/>
        </w:rPr>
        <w:t>s</w:t>
      </w:r>
      <w:r w:rsidR="00B46357" w:rsidRPr="00CC4FCD">
        <w:rPr>
          <w:sz w:val="24"/>
          <w:szCs w:val="24"/>
        </w:rPr>
        <w:t>e</w:t>
      </w:r>
      <w:r w:rsidRPr="00CC4FCD">
        <w:rPr>
          <w:sz w:val="24"/>
          <w:szCs w:val="24"/>
        </w:rPr>
        <w:t xml:space="preserve"> bas</w:t>
      </w:r>
      <w:r w:rsidR="00B46357" w:rsidRPr="00CC4FCD">
        <w:rPr>
          <w:sz w:val="24"/>
          <w:szCs w:val="24"/>
        </w:rPr>
        <w:t>e</w:t>
      </w:r>
      <w:r w:rsidRPr="00CC4FCD">
        <w:rPr>
          <w:sz w:val="24"/>
          <w:szCs w:val="24"/>
        </w:rPr>
        <w:t xml:space="preserve">s I recommend: </w:t>
      </w:r>
    </w:p>
    <w:tbl>
      <w:tblPr>
        <w:tblStyle w:val="TableGrid"/>
        <w:tblW w:w="0" w:type="auto"/>
        <w:tblLook w:val="04A0"/>
      </w:tblPr>
      <w:tblGrid>
        <w:gridCol w:w="9016"/>
      </w:tblGrid>
      <w:tr w:rsidR="004053C3" w:rsidTr="004053C3">
        <w:tc>
          <w:tcPr>
            <w:tcW w:w="9016" w:type="dxa"/>
          </w:tcPr>
          <w:p w:rsidR="004053C3" w:rsidRPr="008F1051" w:rsidRDefault="004053C3" w:rsidP="00462142">
            <w:pPr>
              <w:pStyle w:val="Heading3"/>
              <w:spacing w:before="0" w:line="360" w:lineRule="auto"/>
              <w:outlineLvl w:val="2"/>
              <w:rPr>
                <w:i/>
                <w:color w:val="auto"/>
              </w:rPr>
            </w:pPr>
            <w:bookmarkStart w:id="15" w:name="_Toc512895935"/>
            <w:r w:rsidRPr="008F1051">
              <w:rPr>
                <w:i/>
                <w:color w:val="auto"/>
              </w:rPr>
              <w:t xml:space="preserve">Recommendation </w:t>
            </w:r>
            <w:r w:rsidR="00B46357">
              <w:rPr>
                <w:i/>
                <w:color w:val="auto"/>
              </w:rPr>
              <w:t>3</w:t>
            </w:r>
            <w:bookmarkEnd w:id="15"/>
          </w:p>
          <w:p w:rsidR="004053C3" w:rsidRPr="00CC4FCD" w:rsidRDefault="00E1316F" w:rsidP="00462142">
            <w:pPr>
              <w:spacing w:line="360" w:lineRule="auto"/>
              <w:jc w:val="both"/>
              <w:rPr>
                <w:i/>
                <w:sz w:val="24"/>
                <w:szCs w:val="24"/>
              </w:rPr>
            </w:pPr>
            <w:r w:rsidRPr="00195907">
              <w:rPr>
                <w:i/>
                <w:noProof/>
                <w:sz w:val="24"/>
                <w:szCs w:val="24"/>
              </w:rPr>
              <w:t xml:space="preserve">That the Commission </w:t>
            </w:r>
            <w:r w:rsidRPr="00C8274F">
              <w:rPr>
                <w:i/>
                <w:noProof/>
                <w:sz w:val="24"/>
                <w:szCs w:val="24"/>
              </w:rPr>
              <w:t>call</w:t>
            </w:r>
            <w:r w:rsidR="00C8274F">
              <w:rPr>
                <w:i/>
                <w:noProof/>
                <w:sz w:val="24"/>
                <w:szCs w:val="24"/>
              </w:rPr>
              <w:t>s</w:t>
            </w:r>
            <w:r w:rsidRPr="00195907">
              <w:rPr>
                <w:i/>
                <w:noProof/>
                <w:sz w:val="24"/>
                <w:szCs w:val="24"/>
              </w:rPr>
              <w:t xml:space="preserve"> upon the Department of Human Services (Commonwealth) to retrieve, then publish (in a manner akin to its previous ‘facts and figures’ documents), particulars of the present numbers of children living with mothers and fathers.</w:t>
            </w:r>
            <w:r>
              <w:rPr>
                <w:i/>
                <w:noProof/>
                <w:sz w:val="24"/>
                <w:szCs w:val="24"/>
              </w:rPr>
              <w:t xml:space="preserve"> Presentation of the data will be</w:t>
            </w:r>
            <w:r w:rsidRPr="00195907">
              <w:rPr>
                <w:i/>
                <w:noProof/>
                <w:sz w:val="24"/>
                <w:szCs w:val="24"/>
              </w:rPr>
              <w:t xml:space="preserve"> in each percentage of care band used in calculating a child support assessment.</w:t>
            </w:r>
            <w:r w:rsidRPr="00626DE8">
              <w:rPr>
                <w:i/>
                <w:sz w:val="24"/>
                <w:szCs w:val="24"/>
              </w:rPr>
              <w:t xml:space="preserve">  </w:t>
            </w:r>
          </w:p>
        </w:tc>
      </w:tr>
    </w:tbl>
    <w:p w:rsidR="00462142" w:rsidRDefault="00462142" w:rsidP="00462142">
      <w:pPr>
        <w:spacing w:after="0" w:line="360" w:lineRule="auto"/>
      </w:pPr>
    </w:p>
    <w:p w:rsidR="00F547E6" w:rsidRPr="00462142" w:rsidRDefault="00ED7169" w:rsidP="00462142">
      <w:pPr>
        <w:pStyle w:val="Heading2"/>
        <w:spacing w:before="0" w:line="360" w:lineRule="auto"/>
        <w:rPr>
          <w:color w:val="auto"/>
          <w:sz w:val="28"/>
          <w:szCs w:val="28"/>
        </w:rPr>
      </w:pPr>
      <w:bookmarkStart w:id="16" w:name="_Hlk510197670"/>
      <w:bookmarkStart w:id="17" w:name="_Toc512895936"/>
      <w:r w:rsidRPr="0031221F">
        <w:rPr>
          <w:color w:val="auto"/>
          <w:sz w:val="28"/>
          <w:szCs w:val="28"/>
        </w:rPr>
        <w:t xml:space="preserve">IV Research: Settlement Rates and Case Populations in </w:t>
      </w:r>
      <w:r w:rsidR="001708AA" w:rsidRPr="0031221F">
        <w:rPr>
          <w:color w:val="auto"/>
          <w:sz w:val="28"/>
          <w:szCs w:val="28"/>
        </w:rPr>
        <w:t>Property Settlements</w:t>
      </w:r>
      <w:bookmarkEnd w:id="16"/>
      <w:bookmarkEnd w:id="17"/>
    </w:p>
    <w:p w:rsidR="00D316AC" w:rsidRPr="00CC4FCD" w:rsidRDefault="00850DE2" w:rsidP="009A0126">
      <w:pPr>
        <w:pStyle w:val="ListParagraph"/>
        <w:numPr>
          <w:ilvl w:val="0"/>
          <w:numId w:val="52"/>
        </w:numPr>
        <w:spacing w:after="0" w:line="360" w:lineRule="auto"/>
        <w:jc w:val="both"/>
        <w:rPr>
          <w:sz w:val="24"/>
          <w:szCs w:val="24"/>
        </w:rPr>
      </w:pPr>
      <w:r w:rsidRPr="00CC4FCD">
        <w:rPr>
          <w:sz w:val="24"/>
          <w:szCs w:val="24"/>
        </w:rPr>
        <w:t xml:space="preserve">Both publicly available data and my research for my thesis </w:t>
      </w:r>
      <w:r w:rsidRPr="00F27470">
        <w:rPr>
          <w:noProof/>
          <w:sz w:val="24"/>
          <w:szCs w:val="24"/>
        </w:rPr>
        <w:t>show</w:t>
      </w:r>
      <w:r w:rsidRPr="00CC4FCD">
        <w:rPr>
          <w:sz w:val="24"/>
          <w:szCs w:val="24"/>
        </w:rPr>
        <w:t xml:space="preserve"> that most proceedings resolve without a final judicial decision. </w:t>
      </w:r>
      <w:r w:rsidR="00837348" w:rsidRPr="00CC4FCD">
        <w:rPr>
          <w:sz w:val="24"/>
          <w:szCs w:val="24"/>
        </w:rPr>
        <w:t xml:space="preserve">The Family Court reports in detail on </w:t>
      </w:r>
      <w:r w:rsidRPr="00CC4FCD">
        <w:rPr>
          <w:sz w:val="24"/>
          <w:szCs w:val="24"/>
        </w:rPr>
        <w:t>its</w:t>
      </w:r>
      <w:r w:rsidR="00837348" w:rsidRPr="00CC4FCD">
        <w:rPr>
          <w:sz w:val="24"/>
          <w:szCs w:val="24"/>
        </w:rPr>
        <w:t xml:space="preserve"> attrition rates</w:t>
      </w:r>
      <w:r w:rsidRPr="00CC4FCD">
        <w:rPr>
          <w:sz w:val="24"/>
          <w:szCs w:val="24"/>
        </w:rPr>
        <w:t xml:space="preserve">, that is, the percentage of cases that </w:t>
      </w:r>
      <w:r w:rsidR="00E1316F" w:rsidRPr="00CC4FCD">
        <w:rPr>
          <w:noProof/>
          <w:sz w:val="24"/>
          <w:szCs w:val="24"/>
        </w:rPr>
        <w:t>settl</w:t>
      </w:r>
      <w:r w:rsidRPr="00CC4FCD">
        <w:rPr>
          <w:noProof/>
          <w:sz w:val="24"/>
          <w:szCs w:val="24"/>
        </w:rPr>
        <w:t>e</w:t>
      </w:r>
      <w:r w:rsidRPr="00CC4FCD">
        <w:rPr>
          <w:sz w:val="24"/>
          <w:szCs w:val="24"/>
        </w:rPr>
        <w:t xml:space="preserve"> without a trial or a judgment. The Federal Circuit Court does not appear to report in the same way. The Family Court’s reporting includes both parenting and property matters. The Family Court’s reporting for its attrition rates for 2012-13 to 2016-17 is as follows:</w:t>
      </w:r>
    </w:p>
    <w:p w:rsidR="00850DE2" w:rsidRPr="00D316AC" w:rsidRDefault="00850DE2" w:rsidP="00462142">
      <w:pPr>
        <w:spacing w:after="0" w:line="360" w:lineRule="auto"/>
        <w:jc w:val="center"/>
        <w:rPr>
          <w:b/>
          <w:sz w:val="24"/>
          <w:szCs w:val="24"/>
        </w:rPr>
      </w:pPr>
      <w:r w:rsidRPr="00D316AC">
        <w:rPr>
          <w:b/>
          <w:sz w:val="24"/>
          <w:szCs w:val="24"/>
        </w:rPr>
        <w:t xml:space="preserve">Family </w:t>
      </w:r>
      <w:r w:rsidR="00D316AC" w:rsidRPr="00D316AC">
        <w:rPr>
          <w:b/>
          <w:sz w:val="24"/>
          <w:szCs w:val="24"/>
        </w:rPr>
        <w:t>C</w:t>
      </w:r>
      <w:r w:rsidRPr="00D316AC">
        <w:rPr>
          <w:b/>
          <w:sz w:val="24"/>
          <w:szCs w:val="24"/>
        </w:rPr>
        <w:t xml:space="preserve">ourt of Australia </w:t>
      </w:r>
      <w:r w:rsidR="001D699A">
        <w:rPr>
          <w:b/>
          <w:sz w:val="24"/>
          <w:szCs w:val="24"/>
        </w:rPr>
        <w:t>A</w:t>
      </w:r>
      <w:r w:rsidRPr="00D316AC">
        <w:rPr>
          <w:b/>
          <w:sz w:val="24"/>
          <w:szCs w:val="24"/>
        </w:rPr>
        <w:t xml:space="preserve">ttrition </w:t>
      </w:r>
      <w:r w:rsidR="001D699A">
        <w:rPr>
          <w:b/>
          <w:sz w:val="24"/>
          <w:szCs w:val="24"/>
        </w:rPr>
        <w:t>R</w:t>
      </w:r>
      <w:r w:rsidRPr="00D316AC">
        <w:rPr>
          <w:b/>
          <w:sz w:val="24"/>
          <w:szCs w:val="24"/>
        </w:rPr>
        <w:t>ates</w:t>
      </w:r>
    </w:p>
    <w:p w:rsidR="004053C3" w:rsidRDefault="00850DE2" w:rsidP="00462142">
      <w:pPr>
        <w:spacing w:after="0" w:line="360" w:lineRule="auto"/>
        <w:jc w:val="center"/>
        <w:rPr>
          <w:sz w:val="24"/>
          <w:szCs w:val="24"/>
        </w:rPr>
      </w:pPr>
      <w:r>
        <w:rPr>
          <w:noProof/>
          <w:lang w:eastAsia="en-AU"/>
        </w:rPr>
        <w:drawing>
          <wp:inline distT="0" distB="0" distL="0" distR="0">
            <wp:extent cx="3909600" cy="2365200"/>
            <wp:effectExtent l="19050" t="19050" r="15240" b="165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3909600" cy="2365200"/>
                    </a:xfrm>
                    <a:prstGeom prst="rect">
                      <a:avLst/>
                    </a:prstGeom>
                    <a:ln>
                      <a:solidFill>
                        <a:schemeClr val="tx1"/>
                      </a:solidFill>
                    </a:ln>
                  </pic:spPr>
                </pic:pic>
              </a:graphicData>
            </a:graphic>
          </wp:inline>
        </w:drawing>
      </w:r>
      <w:r>
        <w:rPr>
          <w:rStyle w:val="EndnoteReference"/>
          <w:sz w:val="24"/>
          <w:szCs w:val="24"/>
        </w:rPr>
        <w:endnoteReference w:id="25"/>
      </w:r>
    </w:p>
    <w:p w:rsidR="00462142" w:rsidRPr="00D00292" w:rsidRDefault="00D316AC" w:rsidP="00462142">
      <w:pPr>
        <w:pStyle w:val="ListParagraph"/>
        <w:numPr>
          <w:ilvl w:val="0"/>
          <w:numId w:val="52"/>
        </w:numPr>
        <w:spacing w:after="0" w:line="360" w:lineRule="auto"/>
        <w:jc w:val="both"/>
        <w:rPr>
          <w:sz w:val="24"/>
          <w:szCs w:val="24"/>
        </w:rPr>
      </w:pPr>
      <w:r w:rsidRPr="00CC4FCD">
        <w:rPr>
          <w:sz w:val="24"/>
          <w:szCs w:val="24"/>
        </w:rPr>
        <w:t xml:space="preserve">This data shows that, presently, about 25% of filed cases start a trial and around 15% of cases require a </w:t>
      </w:r>
      <w:r w:rsidR="00D00292">
        <w:rPr>
          <w:sz w:val="24"/>
          <w:szCs w:val="24"/>
        </w:rPr>
        <w:t xml:space="preserve">final </w:t>
      </w:r>
      <w:r w:rsidRPr="00CC4FCD">
        <w:rPr>
          <w:sz w:val="24"/>
          <w:szCs w:val="24"/>
        </w:rPr>
        <w:t xml:space="preserve">judicial decision. This data is in the context of the Family Court’s work, which is </w:t>
      </w:r>
      <w:r w:rsidR="00AF01E8" w:rsidRPr="00CC4FCD">
        <w:rPr>
          <w:sz w:val="24"/>
          <w:szCs w:val="24"/>
        </w:rPr>
        <w:t xml:space="preserve">the </w:t>
      </w:r>
      <w:r w:rsidRPr="00CC4FCD">
        <w:rPr>
          <w:noProof/>
          <w:sz w:val="24"/>
          <w:szCs w:val="24"/>
        </w:rPr>
        <w:t>more compl</w:t>
      </w:r>
      <w:r w:rsidR="00E1316F" w:rsidRPr="00CC4FCD">
        <w:rPr>
          <w:noProof/>
          <w:sz w:val="24"/>
          <w:szCs w:val="24"/>
        </w:rPr>
        <w:t>icated</w:t>
      </w:r>
      <w:r w:rsidRPr="00CC4FCD">
        <w:rPr>
          <w:sz w:val="24"/>
          <w:szCs w:val="24"/>
        </w:rPr>
        <w:t xml:space="preserve"> cases involving questions of jurisdiction or law, and likely a higher proportion matters much more difficult to resolve by </w:t>
      </w:r>
      <w:r w:rsidRPr="00CC4FCD">
        <w:rPr>
          <w:sz w:val="24"/>
          <w:szCs w:val="24"/>
        </w:rPr>
        <w:lastRenderedPageBreak/>
        <w:t>consent (</w:t>
      </w:r>
      <w:r w:rsidR="00E1316F" w:rsidRPr="00CC4FCD">
        <w:rPr>
          <w:noProof/>
          <w:sz w:val="24"/>
          <w:szCs w:val="24"/>
        </w:rPr>
        <w:t>for example</w:t>
      </w:r>
      <w:r w:rsidRPr="00CC4FCD">
        <w:rPr>
          <w:sz w:val="24"/>
          <w:szCs w:val="24"/>
        </w:rPr>
        <w:t xml:space="preserve"> </w:t>
      </w:r>
      <w:r w:rsidR="00AF01E8" w:rsidRPr="00CC4FCD">
        <w:rPr>
          <w:sz w:val="24"/>
          <w:szCs w:val="24"/>
        </w:rPr>
        <w:t xml:space="preserve">issues of </w:t>
      </w:r>
      <w:r w:rsidRPr="00CC4FCD">
        <w:rPr>
          <w:sz w:val="24"/>
          <w:szCs w:val="24"/>
        </w:rPr>
        <w:t>unacceptable risk of abuse</w:t>
      </w:r>
      <w:r w:rsidR="00AF01E8" w:rsidRPr="00CC4FCD">
        <w:rPr>
          <w:sz w:val="24"/>
          <w:szCs w:val="24"/>
        </w:rPr>
        <w:t xml:space="preserve">, </w:t>
      </w:r>
      <w:r w:rsidRPr="00CC4FCD">
        <w:rPr>
          <w:sz w:val="24"/>
          <w:szCs w:val="24"/>
        </w:rPr>
        <w:t>family violence</w:t>
      </w:r>
      <w:r w:rsidR="00AF01E8" w:rsidRPr="00CC4FCD">
        <w:rPr>
          <w:sz w:val="24"/>
          <w:szCs w:val="24"/>
        </w:rPr>
        <w:t>, or relocation</w:t>
      </w:r>
      <w:r w:rsidRPr="00CC4FCD">
        <w:rPr>
          <w:sz w:val="24"/>
          <w:szCs w:val="24"/>
        </w:rPr>
        <w:t xml:space="preserve">). </w:t>
      </w:r>
      <w:r w:rsidR="00AB6C1A">
        <w:rPr>
          <w:rStyle w:val="EndnoteReference"/>
          <w:sz w:val="24"/>
          <w:szCs w:val="24"/>
        </w:rPr>
        <w:endnoteReference w:id="26"/>
      </w:r>
    </w:p>
    <w:p w:rsidR="00462142" w:rsidRPr="00D00292" w:rsidRDefault="001708AA" w:rsidP="00462142">
      <w:pPr>
        <w:pStyle w:val="ListParagraph"/>
        <w:numPr>
          <w:ilvl w:val="0"/>
          <w:numId w:val="52"/>
        </w:numPr>
        <w:spacing w:after="0" w:line="360" w:lineRule="auto"/>
        <w:jc w:val="both"/>
        <w:rPr>
          <w:sz w:val="24"/>
          <w:szCs w:val="24"/>
        </w:rPr>
      </w:pPr>
      <w:r w:rsidRPr="00CC4FCD">
        <w:rPr>
          <w:sz w:val="24"/>
          <w:szCs w:val="24"/>
        </w:rPr>
        <w:t xml:space="preserve">As part of my </w:t>
      </w:r>
      <w:r w:rsidRPr="00CC4FCD">
        <w:rPr>
          <w:noProof/>
          <w:sz w:val="24"/>
          <w:szCs w:val="24"/>
        </w:rPr>
        <w:t>thesis</w:t>
      </w:r>
      <w:r w:rsidR="00E1316F" w:rsidRPr="00CC4FCD">
        <w:rPr>
          <w:noProof/>
          <w:sz w:val="24"/>
          <w:szCs w:val="24"/>
        </w:rPr>
        <w:t>,</w:t>
      </w:r>
      <w:r w:rsidRPr="00CC4FCD">
        <w:rPr>
          <w:sz w:val="24"/>
          <w:szCs w:val="24"/>
        </w:rPr>
        <w:t xml:space="preserve"> I undertook an exploratory quantitative review of 200 first-instance property judgments</w:t>
      </w:r>
      <w:r w:rsidR="00AB6C1A" w:rsidRPr="00CC4FCD">
        <w:rPr>
          <w:sz w:val="24"/>
          <w:szCs w:val="24"/>
        </w:rPr>
        <w:t>, mostly comprised of decisions from the Federal Circuit Court but with some from the Family Court.</w:t>
      </w:r>
      <w:r w:rsidR="00D00292">
        <w:rPr>
          <w:sz w:val="24"/>
          <w:szCs w:val="24"/>
        </w:rPr>
        <w:t xml:space="preserve"> The research covered decisions from 2012-2015.</w:t>
      </w:r>
      <w:r w:rsidRPr="00CC4FCD">
        <w:rPr>
          <w:sz w:val="24"/>
          <w:szCs w:val="24"/>
        </w:rPr>
        <w:t xml:space="preserve"> As part of </w:t>
      </w:r>
      <w:r w:rsidR="00D00292">
        <w:rPr>
          <w:noProof/>
          <w:sz w:val="24"/>
          <w:szCs w:val="24"/>
        </w:rPr>
        <w:t xml:space="preserve">examining </w:t>
      </w:r>
      <w:r w:rsidRPr="00CC4FCD">
        <w:rPr>
          <w:sz w:val="24"/>
          <w:szCs w:val="24"/>
        </w:rPr>
        <w:t>the significan</w:t>
      </w:r>
      <w:r w:rsidR="00D316AC" w:rsidRPr="00CC4FCD">
        <w:rPr>
          <w:sz w:val="24"/>
          <w:szCs w:val="24"/>
        </w:rPr>
        <w:t>ce</w:t>
      </w:r>
      <w:r w:rsidRPr="00CC4FCD">
        <w:rPr>
          <w:sz w:val="24"/>
          <w:szCs w:val="24"/>
        </w:rPr>
        <w:t xml:space="preserve"> of the sample, I </w:t>
      </w:r>
      <w:r w:rsidR="00D316AC" w:rsidRPr="00CC4FCD">
        <w:rPr>
          <w:sz w:val="24"/>
          <w:szCs w:val="24"/>
        </w:rPr>
        <w:t>estimated</w:t>
      </w:r>
      <w:r w:rsidRPr="00CC4FCD">
        <w:rPr>
          <w:sz w:val="24"/>
          <w:szCs w:val="24"/>
        </w:rPr>
        <w:t xml:space="preserve"> the number of </w:t>
      </w:r>
      <w:r w:rsidR="00D316AC" w:rsidRPr="00CC4FCD">
        <w:rPr>
          <w:sz w:val="24"/>
          <w:szCs w:val="24"/>
        </w:rPr>
        <w:t xml:space="preserve">overall </w:t>
      </w:r>
      <w:r w:rsidRPr="00CC4FCD">
        <w:rPr>
          <w:sz w:val="24"/>
          <w:szCs w:val="24"/>
        </w:rPr>
        <w:t>property settlement judgments</w:t>
      </w:r>
      <w:r w:rsidR="00D00292">
        <w:rPr>
          <w:sz w:val="24"/>
          <w:szCs w:val="24"/>
        </w:rPr>
        <w:t xml:space="preserve"> over that time.</w:t>
      </w:r>
      <w:r w:rsidRPr="00CC4FCD">
        <w:rPr>
          <w:sz w:val="24"/>
          <w:szCs w:val="24"/>
        </w:rPr>
        <w:t xml:space="preserve"> </w:t>
      </w:r>
    </w:p>
    <w:p w:rsidR="00886CBB" w:rsidRPr="00D00292" w:rsidRDefault="001708AA" w:rsidP="00462142">
      <w:pPr>
        <w:pStyle w:val="ListParagraph"/>
        <w:numPr>
          <w:ilvl w:val="0"/>
          <w:numId w:val="52"/>
        </w:numPr>
        <w:spacing w:after="0" w:line="360" w:lineRule="auto"/>
        <w:jc w:val="both"/>
        <w:rPr>
          <w:sz w:val="24"/>
          <w:szCs w:val="24"/>
        </w:rPr>
      </w:pPr>
      <w:r w:rsidRPr="00CC4FCD">
        <w:rPr>
          <w:sz w:val="24"/>
          <w:szCs w:val="24"/>
        </w:rPr>
        <w:t>The number of total judgements by</w:t>
      </w:r>
      <w:r w:rsidR="00E1316F" w:rsidRPr="00CC4FCD">
        <w:rPr>
          <w:sz w:val="24"/>
          <w:szCs w:val="24"/>
        </w:rPr>
        <w:t xml:space="preserve"> each</w:t>
      </w:r>
      <w:r w:rsidRPr="00CC4FCD">
        <w:rPr>
          <w:sz w:val="24"/>
          <w:szCs w:val="24"/>
        </w:rPr>
        <w:t xml:space="preserve"> </w:t>
      </w:r>
      <w:r w:rsidR="00E1316F" w:rsidRPr="00CC4FCD">
        <w:rPr>
          <w:noProof/>
          <w:sz w:val="24"/>
          <w:szCs w:val="24"/>
        </w:rPr>
        <w:t>C</w:t>
      </w:r>
      <w:r w:rsidRPr="00CC4FCD">
        <w:rPr>
          <w:noProof/>
          <w:sz w:val="24"/>
          <w:szCs w:val="24"/>
        </w:rPr>
        <w:t>ourt</w:t>
      </w:r>
      <w:r w:rsidRPr="00CC4FCD">
        <w:rPr>
          <w:sz w:val="24"/>
          <w:szCs w:val="24"/>
        </w:rPr>
        <w:t xml:space="preserve"> (as reported) over a three-year period from 2012–2015 comes to 6</w:t>
      </w:r>
      <w:r w:rsidR="00E1316F" w:rsidRPr="00CC4FCD">
        <w:rPr>
          <w:sz w:val="24"/>
          <w:szCs w:val="24"/>
        </w:rPr>
        <w:t>,</w:t>
      </w:r>
      <w:r w:rsidRPr="00CC4FCD">
        <w:rPr>
          <w:sz w:val="24"/>
          <w:szCs w:val="24"/>
        </w:rPr>
        <w:t xml:space="preserve">072 </w:t>
      </w:r>
      <w:r w:rsidR="00E1316F" w:rsidRPr="00CC4FCD">
        <w:rPr>
          <w:noProof/>
          <w:sz w:val="24"/>
          <w:szCs w:val="24"/>
        </w:rPr>
        <w:t>decision</w:t>
      </w:r>
      <w:r w:rsidRPr="00CC4FCD">
        <w:rPr>
          <w:noProof/>
          <w:sz w:val="24"/>
          <w:szCs w:val="24"/>
        </w:rPr>
        <w:t>s</w:t>
      </w:r>
      <w:r w:rsidRPr="00CC4FCD">
        <w:rPr>
          <w:sz w:val="24"/>
          <w:szCs w:val="24"/>
        </w:rPr>
        <w:t xml:space="preserve">. The numbers of </w:t>
      </w:r>
      <w:r w:rsidR="00E1316F" w:rsidRPr="00CC4FCD">
        <w:rPr>
          <w:noProof/>
          <w:sz w:val="24"/>
          <w:szCs w:val="24"/>
        </w:rPr>
        <w:t>decision</w:t>
      </w:r>
      <w:r w:rsidRPr="00CC4FCD">
        <w:rPr>
          <w:noProof/>
          <w:sz w:val="24"/>
          <w:szCs w:val="24"/>
        </w:rPr>
        <w:t>s</w:t>
      </w:r>
      <w:r w:rsidRPr="00CC4FCD">
        <w:rPr>
          <w:sz w:val="24"/>
          <w:szCs w:val="24"/>
        </w:rPr>
        <w:t xml:space="preserve"> by year follows</w:t>
      </w:r>
      <w:r w:rsidR="00D85E48" w:rsidRPr="00CC4FCD">
        <w:rPr>
          <w:sz w:val="24"/>
          <w:szCs w:val="24"/>
        </w:rPr>
        <w:t>:</w:t>
      </w:r>
    </w:p>
    <w:p w:rsidR="001708AA" w:rsidRPr="001708AA" w:rsidRDefault="00B46357" w:rsidP="00D00292">
      <w:pPr>
        <w:spacing w:after="0" w:line="360" w:lineRule="auto"/>
        <w:jc w:val="both"/>
        <w:rPr>
          <w:b/>
          <w:sz w:val="24"/>
          <w:szCs w:val="24"/>
        </w:rPr>
      </w:pPr>
      <w:r>
        <w:rPr>
          <w:b/>
          <w:sz w:val="24"/>
          <w:szCs w:val="24"/>
        </w:rPr>
        <w:t xml:space="preserve">Estimated </w:t>
      </w:r>
      <w:r w:rsidR="001708AA" w:rsidRPr="001708AA">
        <w:rPr>
          <w:b/>
          <w:sz w:val="24"/>
          <w:szCs w:val="24"/>
        </w:rPr>
        <w:t xml:space="preserve">Final Judgments Delivered by the Family Court and Federal Circuit Court 1 July 2012-30 June 2015 (Parenting and Property) </w:t>
      </w:r>
    </w:p>
    <w:tbl>
      <w:tblPr>
        <w:tblStyle w:val="GridTable1Light"/>
        <w:tblW w:w="0" w:type="auto"/>
        <w:tblLook w:val="04A0"/>
      </w:tblPr>
      <w:tblGrid>
        <w:gridCol w:w="2430"/>
        <w:gridCol w:w="1559"/>
        <w:gridCol w:w="1417"/>
        <w:gridCol w:w="1560"/>
        <w:gridCol w:w="1960"/>
      </w:tblGrid>
      <w:tr w:rsidR="001708AA" w:rsidRPr="001708AA" w:rsidTr="002F4778">
        <w:trPr>
          <w:cnfStyle w:val="100000000000"/>
        </w:trPr>
        <w:tc>
          <w:tcPr>
            <w:cnfStyle w:val="001000000000"/>
            <w:tcW w:w="2430" w:type="dxa"/>
          </w:tcPr>
          <w:p w:rsidR="001708AA" w:rsidRPr="001708AA" w:rsidRDefault="001708AA" w:rsidP="00462142">
            <w:pPr>
              <w:spacing w:line="360" w:lineRule="auto"/>
              <w:jc w:val="both"/>
              <w:rPr>
                <w:sz w:val="24"/>
                <w:szCs w:val="24"/>
              </w:rPr>
            </w:pPr>
          </w:p>
        </w:tc>
        <w:tc>
          <w:tcPr>
            <w:tcW w:w="1559" w:type="dxa"/>
          </w:tcPr>
          <w:p w:rsidR="001708AA" w:rsidRPr="001708AA" w:rsidRDefault="001708AA" w:rsidP="00462142">
            <w:pPr>
              <w:spacing w:line="360" w:lineRule="auto"/>
              <w:jc w:val="both"/>
              <w:cnfStyle w:val="100000000000"/>
              <w:rPr>
                <w:sz w:val="24"/>
                <w:szCs w:val="24"/>
              </w:rPr>
            </w:pPr>
            <w:r w:rsidRPr="001708AA">
              <w:rPr>
                <w:sz w:val="24"/>
                <w:szCs w:val="24"/>
              </w:rPr>
              <w:t>2012-2013</w:t>
            </w:r>
          </w:p>
        </w:tc>
        <w:tc>
          <w:tcPr>
            <w:tcW w:w="1417" w:type="dxa"/>
          </w:tcPr>
          <w:p w:rsidR="001708AA" w:rsidRPr="001708AA" w:rsidRDefault="001708AA" w:rsidP="00462142">
            <w:pPr>
              <w:spacing w:line="360" w:lineRule="auto"/>
              <w:jc w:val="both"/>
              <w:cnfStyle w:val="100000000000"/>
              <w:rPr>
                <w:sz w:val="24"/>
                <w:szCs w:val="24"/>
              </w:rPr>
            </w:pPr>
            <w:r w:rsidRPr="001708AA">
              <w:rPr>
                <w:sz w:val="24"/>
                <w:szCs w:val="24"/>
              </w:rPr>
              <w:t>2013-2014</w:t>
            </w:r>
          </w:p>
        </w:tc>
        <w:tc>
          <w:tcPr>
            <w:tcW w:w="1560" w:type="dxa"/>
          </w:tcPr>
          <w:p w:rsidR="001708AA" w:rsidRPr="001708AA" w:rsidRDefault="001708AA" w:rsidP="00462142">
            <w:pPr>
              <w:spacing w:line="360" w:lineRule="auto"/>
              <w:jc w:val="both"/>
              <w:cnfStyle w:val="100000000000"/>
              <w:rPr>
                <w:sz w:val="24"/>
                <w:szCs w:val="24"/>
              </w:rPr>
            </w:pPr>
            <w:r w:rsidRPr="001708AA">
              <w:rPr>
                <w:sz w:val="24"/>
                <w:szCs w:val="24"/>
              </w:rPr>
              <w:t>2014-2015</w:t>
            </w:r>
          </w:p>
        </w:tc>
        <w:tc>
          <w:tcPr>
            <w:tcW w:w="1960" w:type="dxa"/>
          </w:tcPr>
          <w:p w:rsidR="001708AA" w:rsidRPr="001708AA" w:rsidRDefault="001708AA" w:rsidP="00462142">
            <w:pPr>
              <w:spacing w:line="360" w:lineRule="auto"/>
              <w:jc w:val="both"/>
              <w:cnfStyle w:val="100000000000"/>
              <w:rPr>
                <w:sz w:val="24"/>
                <w:szCs w:val="24"/>
              </w:rPr>
            </w:pPr>
            <w:r w:rsidRPr="001708AA">
              <w:rPr>
                <w:sz w:val="24"/>
                <w:szCs w:val="24"/>
              </w:rPr>
              <w:t>Total by court</w:t>
            </w:r>
          </w:p>
        </w:tc>
      </w:tr>
      <w:tr w:rsidR="001708AA" w:rsidRPr="001708AA" w:rsidTr="002F4778">
        <w:tc>
          <w:tcPr>
            <w:cnfStyle w:val="001000000000"/>
            <w:tcW w:w="2430" w:type="dxa"/>
          </w:tcPr>
          <w:p w:rsidR="001708AA" w:rsidRPr="001708AA" w:rsidRDefault="001708AA" w:rsidP="00462142">
            <w:pPr>
              <w:spacing w:line="360" w:lineRule="auto"/>
              <w:jc w:val="both"/>
              <w:rPr>
                <w:sz w:val="24"/>
                <w:szCs w:val="24"/>
              </w:rPr>
            </w:pPr>
            <w:r w:rsidRPr="001708AA">
              <w:rPr>
                <w:sz w:val="24"/>
                <w:szCs w:val="24"/>
              </w:rPr>
              <w:t>Family Court</w:t>
            </w:r>
          </w:p>
        </w:tc>
        <w:tc>
          <w:tcPr>
            <w:tcW w:w="1559" w:type="dxa"/>
          </w:tcPr>
          <w:p w:rsidR="001708AA" w:rsidRPr="001708AA" w:rsidRDefault="001708AA" w:rsidP="00462142">
            <w:pPr>
              <w:spacing w:line="360" w:lineRule="auto"/>
              <w:jc w:val="both"/>
              <w:cnfStyle w:val="000000000000"/>
              <w:rPr>
                <w:sz w:val="24"/>
                <w:szCs w:val="24"/>
              </w:rPr>
            </w:pPr>
            <w:r w:rsidRPr="001708AA">
              <w:rPr>
                <w:sz w:val="24"/>
                <w:szCs w:val="24"/>
              </w:rPr>
              <w:t>459</w:t>
            </w:r>
            <w:r w:rsidRPr="001708AA">
              <w:rPr>
                <w:sz w:val="24"/>
                <w:szCs w:val="24"/>
                <w:vertAlign w:val="superscript"/>
              </w:rPr>
              <w:endnoteReference w:id="27"/>
            </w:r>
          </w:p>
        </w:tc>
        <w:tc>
          <w:tcPr>
            <w:tcW w:w="1417" w:type="dxa"/>
          </w:tcPr>
          <w:p w:rsidR="001708AA" w:rsidRPr="001708AA" w:rsidRDefault="001708AA" w:rsidP="00462142">
            <w:pPr>
              <w:spacing w:line="360" w:lineRule="auto"/>
              <w:jc w:val="both"/>
              <w:cnfStyle w:val="000000000000"/>
              <w:rPr>
                <w:sz w:val="24"/>
                <w:szCs w:val="24"/>
              </w:rPr>
            </w:pPr>
            <w:r w:rsidRPr="001708AA">
              <w:rPr>
                <w:sz w:val="24"/>
                <w:szCs w:val="24"/>
              </w:rPr>
              <w:t>453</w:t>
            </w:r>
            <w:r w:rsidRPr="001708AA">
              <w:rPr>
                <w:sz w:val="24"/>
                <w:szCs w:val="24"/>
                <w:vertAlign w:val="superscript"/>
              </w:rPr>
              <w:endnoteReference w:id="28"/>
            </w:r>
          </w:p>
        </w:tc>
        <w:tc>
          <w:tcPr>
            <w:tcW w:w="1560" w:type="dxa"/>
          </w:tcPr>
          <w:p w:rsidR="001708AA" w:rsidRPr="001708AA" w:rsidRDefault="001708AA" w:rsidP="00462142">
            <w:pPr>
              <w:spacing w:line="360" w:lineRule="auto"/>
              <w:jc w:val="both"/>
              <w:cnfStyle w:val="000000000000"/>
              <w:rPr>
                <w:sz w:val="24"/>
                <w:szCs w:val="24"/>
              </w:rPr>
            </w:pPr>
            <w:r w:rsidRPr="001708AA">
              <w:rPr>
                <w:sz w:val="24"/>
                <w:szCs w:val="24"/>
              </w:rPr>
              <w:t>419</w:t>
            </w:r>
            <w:r w:rsidRPr="001708AA">
              <w:rPr>
                <w:sz w:val="24"/>
                <w:szCs w:val="24"/>
                <w:vertAlign w:val="superscript"/>
              </w:rPr>
              <w:endnoteReference w:id="29"/>
            </w:r>
          </w:p>
        </w:tc>
        <w:tc>
          <w:tcPr>
            <w:tcW w:w="1960" w:type="dxa"/>
          </w:tcPr>
          <w:p w:rsidR="001708AA" w:rsidRPr="001708AA" w:rsidRDefault="001708AA" w:rsidP="00462142">
            <w:pPr>
              <w:spacing w:line="360" w:lineRule="auto"/>
              <w:jc w:val="both"/>
              <w:cnfStyle w:val="000000000000"/>
              <w:rPr>
                <w:sz w:val="24"/>
                <w:szCs w:val="24"/>
              </w:rPr>
            </w:pPr>
            <w:r w:rsidRPr="001708AA">
              <w:rPr>
                <w:sz w:val="24"/>
                <w:szCs w:val="24"/>
              </w:rPr>
              <w:t>1331</w:t>
            </w:r>
          </w:p>
        </w:tc>
      </w:tr>
      <w:tr w:rsidR="001708AA" w:rsidRPr="001708AA" w:rsidTr="002F4778">
        <w:tc>
          <w:tcPr>
            <w:cnfStyle w:val="001000000000"/>
            <w:tcW w:w="2430" w:type="dxa"/>
          </w:tcPr>
          <w:p w:rsidR="001708AA" w:rsidRPr="001708AA" w:rsidRDefault="001708AA" w:rsidP="00462142">
            <w:pPr>
              <w:spacing w:line="360" w:lineRule="auto"/>
              <w:jc w:val="both"/>
              <w:rPr>
                <w:sz w:val="24"/>
                <w:szCs w:val="24"/>
              </w:rPr>
            </w:pPr>
            <w:r w:rsidRPr="001708AA">
              <w:rPr>
                <w:sz w:val="24"/>
                <w:szCs w:val="24"/>
              </w:rPr>
              <w:t>Federal Circuit Court</w:t>
            </w:r>
          </w:p>
        </w:tc>
        <w:tc>
          <w:tcPr>
            <w:tcW w:w="1559" w:type="dxa"/>
          </w:tcPr>
          <w:p w:rsidR="001708AA" w:rsidRPr="001708AA" w:rsidRDefault="001708AA" w:rsidP="00462142">
            <w:pPr>
              <w:spacing w:line="360" w:lineRule="auto"/>
              <w:jc w:val="both"/>
              <w:cnfStyle w:val="000000000000"/>
              <w:rPr>
                <w:sz w:val="24"/>
                <w:szCs w:val="24"/>
              </w:rPr>
            </w:pPr>
            <w:r w:rsidRPr="001708AA">
              <w:rPr>
                <w:sz w:val="24"/>
                <w:szCs w:val="24"/>
              </w:rPr>
              <w:t>1629</w:t>
            </w:r>
            <w:r w:rsidRPr="001708AA">
              <w:rPr>
                <w:sz w:val="24"/>
                <w:szCs w:val="24"/>
                <w:vertAlign w:val="superscript"/>
              </w:rPr>
              <w:endnoteReference w:id="30"/>
            </w:r>
          </w:p>
        </w:tc>
        <w:tc>
          <w:tcPr>
            <w:tcW w:w="1417" w:type="dxa"/>
          </w:tcPr>
          <w:p w:rsidR="001708AA" w:rsidRPr="001708AA" w:rsidRDefault="001708AA" w:rsidP="00462142">
            <w:pPr>
              <w:spacing w:line="360" w:lineRule="auto"/>
              <w:jc w:val="both"/>
              <w:cnfStyle w:val="000000000000"/>
              <w:rPr>
                <w:sz w:val="24"/>
                <w:szCs w:val="24"/>
              </w:rPr>
            </w:pPr>
            <w:r w:rsidRPr="001708AA">
              <w:rPr>
                <w:sz w:val="24"/>
                <w:szCs w:val="24"/>
              </w:rPr>
              <w:t>1517</w:t>
            </w:r>
            <w:r w:rsidRPr="001708AA">
              <w:rPr>
                <w:sz w:val="24"/>
                <w:szCs w:val="24"/>
                <w:vertAlign w:val="superscript"/>
              </w:rPr>
              <w:endnoteReference w:id="31"/>
            </w:r>
          </w:p>
        </w:tc>
        <w:tc>
          <w:tcPr>
            <w:tcW w:w="1560" w:type="dxa"/>
          </w:tcPr>
          <w:p w:rsidR="001708AA" w:rsidRPr="001708AA" w:rsidRDefault="001708AA" w:rsidP="00462142">
            <w:pPr>
              <w:spacing w:line="360" w:lineRule="auto"/>
              <w:jc w:val="both"/>
              <w:cnfStyle w:val="000000000000"/>
              <w:rPr>
                <w:sz w:val="24"/>
                <w:szCs w:val="24"/>
              </w:rPr>
            </w:pPr>
            <w:r w:rsidRPr="001708AA">
              <w:rPr>
                <w:sz w:val="24"/>
                <w:szCs w:val="24"/>
              </w:rPr>
              <w:t>1595</w:t>
            </w:r>
            <w:r w:rsidRPr="001708AA">
              <w:rPr>
                <w:sz w:val="24"/>
                <w:szCs w:val="24"/>
                <w:vertAlign w:val="superscript"/>
              </w:rPr>
              <w:endnoteReference w:id="32"/>
            </w:r>
          </w:p>
        </w:tc>
        <w:tc>
          <w:tcPr>
            <w:tcW w:w="1960" w:type="dxa"/>
          </w:tcPr>
          <w:p w:rsidR="001708AA" w:rsidRPr="001708AA" w:rsidRDefault="001708AA" w:rsidP="00462142">
            <w:pPr>
              <w:spacing w:line="360" w:lineRule="auto"/>
              <w:jc w:val="both"/>
              <w:cnfStyle w:val="000000000000"/>
              <w:rPr>
                <w:sz w:val="24"/>
                <w:szCs w:val="24"/>
              </w:rPr>
            </w:pPr>
            <w:r w:rsidRPr="001708AA">
              <w:rPr>
                <w:sz w:val="24"/>
                <w:szCs w:val="24"/>
              </w:rPr>
              <w:t>4741</w:t>
            </w:r>
          </w:p>
        </w:tc>
      </w:tr>
      <w:tr w:rsidR="001708AA" w:rsidRPr="001708AA" w:rsidTr="002F4778">
        <w:tc>
          <w:tcPr>
            <w:cnfStyle w:val="001000000000"/>
            <w:tcW w:w="2430" w:type="dxa"/>
          </w:tcPr>
          <w:p w:rsidR="001708AA" w:rsidRPr="001708AA" w:rsidRDefault="001708AA" w:rsidP="00462142">
            <w:pPr>
              <w:spacing w:line="360" w:lineRule="auto"/>
              <w:jc w:val="both"/>
              <w:rPr>
                <w:sz w:val="24"/>
                <w:szCs w:val="24"/>
              </w:rPr>
            </w:pPr>
            <w:r w:rsidRPr="001708AA">
              <w:rPr>
                <w:sz w:val="24"/>
                <w:szCs w:val="24"/>
              </w:rPr>
              <w:t>Totals by year</w:t>
            </w:r>
          </w:p>
        </w:tc>
        <w:tc>
          <w:tcPr>
            <w:tcW w:w="1559" w:type="dxa"/>
          </w:tcPr>
          <w:p w:rsidR="001708AA" w:rsidRPr="001708AA" w:rsidRDefault="001708AA" w:rsidP="00462142">
            <w:pPr>
              <w:spacing w:line="360" w:lineRule="auto"/>
              <w:jc w:val="both"/>
              <w:cnfStyle w:val="000000000000"/>
              <w:rPr>
                <w:sz w:val="24"/>
                <w:szCs w:val="24"/>
              </w:rPr>
            </w:pPr>
            <w:r w:rsidRPr="001708AA">
              <w:rPr>
                <w:sz w:val="24"/>
                <w:szCs w:val="24"/>
              </w:rPr>
              <w:t>2088</w:t>
            </w:r>
          </w:p>
        </w:tc>
        <w:tc>
          <w:tcPr>
            <w:tcW w:w="1417" w:type="dxa"/>
          </w:tcPr>
          <w:p w:rsidR="001708AA" w:rsidRPr="001708AA" w:rsidRDefault="001708AA" w:rsidP="00462142">
            <w:pPr>
              <w:spacing w:line="360" w:lineRule="auto"/>
              <w:jc w:val="both"/>
              <w:cnfStyle w:val="000000000000"/>
              <w:rPr>
                <w:sz w:val="24"/>
                <w:szCs w:val="24"/>
              </w:rPr>
            </w:pPr>
            <w:r w:rsidRPr="001708AA">
              <w:rPr>
                <w:sz w:val="24"/>
                <w:szCs w:val="24"/>
              </w:rPr>
              <w:t>1970</w:t>
            </w:r>
          </w:p>
        </w:tc>
        <w:tc>
          <w:tcPr>
            <w:tcW w:w="1560" w:type="dxa"/>
          </w:tcPr>
          <w:p w:rsidR="001708AA" w:rsidRPr="001708AA" w:rsidRDefault="001708AA" w:rsidP="00462142">
            <w:pPr>
              <w:spacing w:line="360" w:lineRule="auto"/>
              <w:jc w:val="both"/>
              <w:cnfStyle w:val="000000000000"/>
              <w:rPr>
                <w:sz w:val="24"/>
                <w:szCs w:val="24"/>
              </w:rPr>
            </w:pPr>
            <w:r w:rsidRPr="001708AA">
              <w:rPr>
                <w:sz w:val="24"/>
                <w:szCs w:val="24"/>
              </w:rPr>
              <w:t>2014</w:t>
            </w:r>
          </w:p>
        </w:tc>
        <w:tc>
          <w:tcPr>
            <w:tcW w:w="1960" w:type="dxa"/>
          </w:tcPr>
          <w:p w:rsidR="001708AA" w:rsidRPr="001708AA" w:rsidRDefault="001708AA" w:rsidP="00462142">
            <w:pPr>
              <w:spacing w:line="360" w:lineRule="auto"/>
              <w:jc w:val="both"/>
              <w:cnfStyle w:val="000000000000"/>
              <w:rPr>
                <w:sz w:val="24"/>
                <w:szCs w:val="24"/>
              </w:rPr>
            </w:pPr>
            <w:r w:rsidRPr="001708AA">
              <w:rPr>
                <w:b/>
                <w:sz w:val="24"/>
                <w:szCs w:val="24"/>
              </w:rPr>
              <w:t xml:space="preserve">Overall Total:  </w:t>
            </w:r>
            <w:r w:rsidRPr="001708AA">
              <w:rPr>
                <w:sz w:val="24"/>
                <w:szCs w:val="24"/>
              </w:rPr>
              <w:t>6072</w:t>
            </w:r>
          </w:p>
        </w:tc>
      </w:tr>
    </w:tbl>
    <w:p w:rsidR="00B46357" w:rsidRDefault="00B46357" w:rsidP="00462142">
      <w:pPr>
        <w:spacing w:after="0" w:line="360" w:lineRule="auto"/>
        <w:jc w:val="both"/>
        <w:rPr>
          <w:sz w:val="24"/>
          <w:szCs w:val="24"/>
        </w:rPr>
      </w:pPr>
    </w:p>
    <w:p w:rsidR="00D00292" w:rsidRPr="00CC5B18" w:rsidRDefault="00D00292" w:rsidP="00CC5B18">
      <w:pPr>
        <w:pStyle w:val="ListParagraph"/>
        <w:numPr>
          <w:ilvl w:val="0"/>
          <w:numId w:val="52"/>
        </w:numPr>
        <w:spacing w:after="0" w:line="360" w:lineRule="auto"/>
        <w:jc w:val="both"/>
        <w:rPr>
          <w:sz w:val="24"/>
          <w:szCs w:val="24"/>
        </w:rPr>
      </w:pPr>
      <w:r>
        <w:rPr>
          <w:sz w:val="24"/>
          <w:szCs w:val="24"/>
        </w:rPr>
        <w:t xml:space="preserve">Updated figures show </w:t>
      </w:r>
      <w:r w:rsidR="00F27470">
        <w:rPr>
          <w:sz w:val="24"/>
          <w:szCs w:val="24"/>
        </w:rPr>
        <w:t xml:space="preserve">the </w:t>
      </w:r>
      <w:r w:rsidRPr="00F27470">
        <w:rPr>
          <w:noProof/>
          <w:sz w:val="24"/>
          <w:szCs w:val="24"/>
        </w:rPr>
        <w:t>consistency</w:t>
      </w:r>
      <w:r>
        <w:rPr>
          <w:sz w:val="24"/>
          <w:szCs w:val="24"/>
        </w:rPr>
        <w:t xml:space="preserve"> of judgment numbers. </w:t>
      </w:r>
      <w:r w:rsidRPr="00CC4FCD">
        <w:rPr>
          <w:sz w:val="24"/>
          <w:szCs w:val="24"/>
        </w:rPr>
        <w:t>In 2015–2016, the Federal Circuit Court delivered 1479 family law judgments</w:t>
      </w:r>
      <w:r>
        <w:rPr>
          <w:sz w:val="24"/>
          <w:szCs w:val="24"/>
        </w:rPr>
        <w:t>,</w:t>
      </w:r>
      <w:r w:rsidRPr="001708AA">
        <w:rPr>
          <w:vertAlign w:val="superscript"/>
        </w:rPr>
        <w:endnoteReference w:id="33"/>
      </w:r>
      <w:r w:rsidRPr="00CC4FCD">
        <w:rPr>
          <w:sz w:val="24"/>
          <w:szCs w:val="24"/>
        </w:rPr>
        <w:t xml:space="preserve"> </w:t>
      </w:r>
      <w:r>
        <w:rPr>
          <w:sz w:val="24"/>
          <w:szCs w:val="24"/>
        </w:rPr>
        <w:t xml:space="preserve">and </w:t>
      </w:r>
      <w:r w:rsidRPr="00CC4FCD">
        <w:rPr>
          <w:sz w:val="24"/>
          <w:szCs w:val="24"/>
        </w:rPr>
        <w:t xml:space="preserve">the Family Court finalised 319 cases by </w:t>
      </w:r>
      <w:r w:rsidRPr="00CC4FCD">
        <w:rPr>
          <w:noProof/>
          <w:sz w:val="24"/>
          <w:szCs w:val="24"/>
        </w:rPr>
        <w:t>judgment</w:t>
      </w:r>
      <w:r w:rsidRPr="00CC4FCD">
        <w:rPr>
          <w:sz w:val="24"/>
          <w:szCs w:val="24"/>
        </w:rPr>
        <w:t>.</w:t>
      </w:r>
      <w:r w:rsidRPr="001708AA">
        <w:rPr>
          <w:vertAlign w:val="superscript"/>
        </w:rPr>
        <w:endnoteReference w:id="34"/>
      </w:r>
      <w:r>
        <w:rPr>
          <w:sz w:val="24"/>
          <w:szCs w:val="24"/>
        </w:rPr>
        <w:t xml:space="preserve"> In 2016-2017, the Federal Circuit Court delivered</w:t>
      </w:r>
      <w:r w:rsidRPr="00CC4FCD">
        <w:rPr>
          <w:sz w:val="24"/>
          <w:szCs w:val="24"/>
        </w:rPr>
        <w:t xml:space="preserve"> </w:t>
      </w:r>
      <w:r w:rsidR="00CC5B18" w:rsidRPr="00CC5B18">
        <w:rPr>
          <w:sz w:val="24"/>
          <w:szCs w:val="24"/>
        </w:rPr>
        <w:t>1349</w:t>
      </w:r>
      <w:r w:rsidR="00CC5B18">
        <w:rPr>
          <w:sz w:val="24"/>
          <w:szCs w:val="24"/>
        </w:rPr>
        <w:t xml:space="preserve"> judgments in written format,</w:t>
      </w:r>
      <w:r w:rsidR="00CC5B18">
        <w:rPr>
          <w:rStyle w:val="EndnoteReference"/>
          <w:sz w:val="24"/>
          <w:szCs w:val="24"/>
        </w:rPr>
        <w:endnoteReference w:id="35"/>
      </w:r>
      <w:r w:rsidR="00CC5B18">
        <w:rPr>
          <w:sz w:val="24"/>
          <w:szCs w:val="24"/>
        </w:rPr>
        <w:t xml:space="preserve"> the Family Court 349 final trial judgments.</w:t>
      </w:r>
      <w:r w:rsidR="00CC5B18">
        <w:rPr>
          <w:rStyle w:val="EndnoteReference"/>
          <w:sz w:val="24"/>
          <w:szCs w:val="24"/>
        </w:rPr>
        <w:endnoteReference w:id="36"/>
      </w:r>
    </w:p>
    <w:p w:rsidR="00CC4FCD" w:rsidRDefault="001708AA" w:rsidP="009A0126">
      <w:pPr>
        <w:pStyle w:val="ListParagraph"/>
        <w:numPr>
          <w:ilvl w:val="0"/>
          <w:numId w:val="52"/>
        </w:numPr>
        <w:spacing w:after="0" w:line="360" w:lineRule="auto"/>
        <w:jc w:val="both"/>
        <w:rPr>
          <w:sz w:val="24"/>
          <w:szCs w:val="24"/>
        </w:rPr>
      </w:pPr>
      <w:r w:rsidRPr="00CC4FCD">
        <w:rPr>
          <w:sz w:val="24"/>
          <w:szCs w:val="24"/>
        </w:rPr>
        <w:t xml:space="preserve">Neither </w:t>
      </w:r>
      <w:r w:rsidR="00D85E48" w:rsidRPr="00CC4FCD">
        <w:rPr>
          <w:sz w:val="24"/>
          <w:szCs w:val="24"/>
        </w:rPr>
        <w:t>C</w:t>
      </w:r>
      <w:r w:rsidRPr="00CC4FCD">
        <w:rPr>
          <w:sz w:val="24"/>
          <w:szCs w:val="24"/>
        </w:rPr>
        <w:t xml:space="preserve">ourt reports a breakdown of judgments into financial, parenting or both. However, </w:t>
      </w:r>
      <w:r w:rsidR="00B46357" w:rsidRPr="00CC4FCD">
        <w:rPr>
          <w:sz w:val="24"/>
          <w:szCs w:val="24"/>
        </w:rPr>
        <w:t>they</w:t>
      </w:r>
      <w:r w:rsidRPr="00CC4FCD">
        <w:rPr>
          <w:sz w:val="24"/>
          <w:szCs w:val="24"/>
        </w:rPr>
        <w:t xml:space="preserve"> </w:t>
      </w:r>
      <w:r w:rsidRPr="00CC4FCD">
        <w:rPr>
          <w:noProof/>
          <w:sz w:val="24"/>
          <w:szCs w:val="24"/>
        </w:rPr>
        <w:t>report</w:t>
      </w:r>
      <w:r w:rsidRPr="00CC4FCD">
        <w:rPr>
          <w:sz w:val="24"/>
          <w:szCs w:val="24"/>
        </w:rPr>
        <w:t xml:space="preserve"> on the percentage of applications filed. Assuming (without any supporting evidence) that the number of judgments reflects the number of applications, </w:t>
      </w:r>
      <w:r w:rsidR="00B46357" w:rsidRPr="00CC4FCD">
        <w:rPr>
          <w:sz w:val="24"/>
          <w:szCs w:val="24"/>
        </w:rPr>
        <w:t xml:space="preserve">I estimated </w:t>
      </w:r>
      <w:r w:rsidR="00462142" w:rsidRPr="00CC4FCD">
        <w:rPr>
          <w:sz w:val="24"/>
          <w:szCs w:val="24"/>
        </w:rPr>
        <w:t>the potential</w:t>
      </w:r>
      <w:r w:rsidRPr="00CC4FCD">
        <w:rPr>
          <w:sz w:val="24"/>
          <w:szCs w:val="24"/>
        </w:rPr>
        <w:t xml:space="preserve"> population of financial </w:t>
      </w:r>
      <w:r w:rsidR="0074682B" w:rsidRPr="00CC4FCD">
        <w:rPr>
          <w:noProof/>
          <w:sz w:val="24"/>
          <w:szCs w:val="24"/>
        </w:rPr>
        <w:t>decision</w:t>
      </w:r>
      <w:r w:rsidRPr="00CC4FCD">
        <w:rPr>
          <w:noProof/>
          <w:sz w:val="24"/>
          <w:szCs w:val="24"/>
        </w:rPr>
        <w:t>s</w:t>
      </w:r>
      <w:r w:rsidR="00B72B62" w:rsidRPr="00CC4FCD">
        <w:rPr>
          <w:sz w:val="24"/>
          <w:szCs w:val="24"/>
        </w:rPr>
        <w:t xml:space="preserve"> over that time</w:t>
      </w:r>
      <w:r w:rsidRPr="00CC4FCD">
        <w:rPr>
          <w:sz w:val="24"/>
          <w:szCs w:val="24"/>
        </w:rPr>
        <w:t xml:space="preserve">, using the following formula: </w:t>
      </w:r>
    </w:p>
    <w:p w:rsidR="00D85E48" w:rsidRPr="00CC4FCD" w:rsidRDefault="00D85E48" w:rsidP="009A0126">
      <w:pPr>
        <w:pStyle w:val="ListParagraph"/>
        <w:numPr>
          <w:ilvl w:val="1"/>
          <w:numId w:val="52"/>
        </w:numPr>
        <w:spacing w:after="0" w:line="360" w:lineRule="auto"/>
        <w:jc w:val="both"/>
        <w:rPr>
          <w:sz w:val="24"/>
          <w:szCs w:val="24"/>
        </w:rPr>
      </w:pPr>
      <w:r w:rsidRPr="00CC4FCD">
        <w:rPr>
          <w:sz w:val="24"/>
          <w:szCs w:val="24"/>
        </w:rPr>
        <w:t>Federal Circuit Court:</w:t>
      </w:r>
    </w:p>
    <w:p w:rsidR="00D85E48" w:rsidRDefault="001708AA" w:rsidP="009A0126">
      <w:pPr>
        <w:numPr>
          <w:ilvl w:val="2"/>
          <w:numId w:val="52"/>
        </w:numPr>
        <w:spacing w:after="0" w:line="360" w:lineRule="auto"/>
        <w:jc w:val="both"/>
        <w:rPr>
          <w:sz w:val="24"/>
          <w:szCs w:val="24"/>
        </w:rPr>
      </w:pPr>
      <w:r w:rsidRPr="001708AA">
        <w:rPr>
          <w:sz w:val="24"/>
          <w:szCs w:val="24"/>
        </w:rPr>
        <w:t xml:space="preserve">Percentage of </w:t>
      </w:r>
      <w:r w:rsidRPr="00E04540">
        <w:rPr>
          <w:noProof/>
          <w:sz w:val="24"/>
          <w:szCs w:val="24"/>
        </w:rPr>
        <w:t>applications</w:t>
      </w:r>
      <w:r w:rsidRPr="001708AA">
        <w:rPr>
          <w:sz w:val="24"/>
          <w:szCs w:val="24"/>
        </w:rPr>
        <w:t xml:space="preserve"> in the Federal Circuit Court seeking </w:t>
      </w:r>
      <w:r w:rsidRPr="00E04540">
        <w:rPr>
          <w:noProof/>
          <w:sz w:val="24"/>
          <w:szCs w:val="24"/>
        </w:rPr>
        <w:t>financial</w:t>
      </w:r>
      <w:r w:rsidRPr="001708AA">
        <w:rPr>
          <w:sz w:val="24"/>
          <w:szCs w:val="24"/>
        </w:rPr>
        <w:t xml:space="preserve"> orders</w:t>
      </w:r>
      <w:r w:rsidR="00CC5B18">
        <w:rPr>
          <w:sz w:val="24"/>
          <w:szCs w:val="24"/>
        </w:rPr>
        <w:t xml:space="preserve"> (at 2015):</w:t>
      </w:r>
      <w:r w:rsidRPr="001708AA">
        <w:rPr>
          <w:sz w:val="24"/>
          <w:szCs w:val="24"/>
        </w:rPr>
        <w:t xml:space="preserve"> 46 </w:t>
      </w:r>
      <w:r>
        <w:rPr>
          <w:sz w:val="24"/>
          <w:szCs w:val="24"/>
        </w:rPr>
        <w:t>%</w:t>
      </w:r>
      <w:r w:rsidRPr="001708AA">
        <w:rPr>
          <w:sz w:val="24"/>
          <w:szCs w:val="24"/>
        </w:rPr>
        <w:t>.</w:t>
      </w:r>
      <w:r w:rsidRPr="001708AA">
        <w:rPr>
          <w:sz w:val="24"/>
          <w:szCs w:val="24"/>
          <w:vertAlign w:val="superscript"/>
        </w:rPr>
        <w:endnoteReference w:id="37"/>
      </w:r>
    </w:p>
    <w:p w:rsidR="00D85E48" w:rsidRDefault="00E1316F" w:rsidP="009A0126">
      <w:pPr>
        <w:numPr>
          <w:ilvl w:val="2"/>
          <w:numId w:val="52"/>
        </w:numPr>
        <w:spacing w:after="0" w:line="360" w:lineRule="auto"/>
        <w:jc w:val="both"/>
        <w:rPr>
          <w:sz w:val="24"/>
          <w:szCs w:val="24"/>
        </w:rPr>
      </w:pPr>
      <w:r>
        <w:rPr>
          <w:sz w:val="24"/>
          <w:szCs w:val="24"/>
        </w:rPr>
        <w:t>T</w:t>
      </w:r>
      <w:r w:rsidR="001708AA" w:rsidRPr="00D85E48">
        <w:rPr>
          <w:sz w:val="24"/>
          <w:szCs w:val="24"/>
        </w:rPr>
        <w:t>otal judgments in the Federal Circuit Court 2012-2015: 4</w:t>
      </w:r>
      <w:r w:rsidR="00D85E48">
        <w:rPr>
          <w:sz w:val="24"/>
          <w:szCs w:val="24"/>
        </w:rPr>
        <w:t>,</w:t>
      </w:r>
      <w:r w:rsidR="001708AA" w:rsidRPr="00D85E48">
        <w:rPr>
          <w:sz w:val="24"/>
          <w:szCs w:val="24"/>
        </w:rPr>
        <w:t>741.</w:t>
      </w:r>
    </w:p>
    <w:p w:rsidR="00CC4FCD" w:rsidRDefault="001708AA" w:rsidP="009A0126">
      <w:pPr>
        <w:numPr>
          <w:ilvl w:val="2"/>
          <w:numId w:val="52"/>
        </w:numPr>
        <w:spacing w:after="0" w:line="360" w:lineRule="auto"/>
        <w:jc w:val="both"/>
        <w:rPr>
          <w:sz w:val="24"/>
          <w:szCs w:val="24"/>
        </w:rPr>
      </w:pPr>
      <w:r w:rsidRPr="00D85E48">
        <w:rPr>
          <w:sz w:val="24"/>
          <w:szCs w:val="24"/>
        </w:rPr>
        <w:lastRenderedPageBreak/>
        <w:t>Calculation: 46 % of 4</w:t>
      </w:r>
      <w:r w:rsidR="00D85E48">
        <w:rPr>
          <w:sz w:val="24"/>
          <w:szCs w:val="24"/>
        </w:rPr>
        <w:t>,</w:t>
      </w:r>
      <w:r w:rsidRPr="00D85E48">
        <w:rPr>
          <w:sz w:val="24"/>
          <w:szCs w:val="24"/>
        </w:rPr>
        <w:t xml:space="preserve">741 judgments </w:t>
      </w:r>
      <w:r w:rsidR="00B72B62">
        <w:rPr>
          <w:sz w:val="24"/>
          <w:szCs w:val="24"/>
        </w:rPr>
        <w:t>=</w:t>
      </w:r>
      <w:r w:rsidRPr="00D85E48">
        <w:rPr>
          <w:sz w:val="24"/>
          <w:szCs w:val="24"/>
        </w:rPr>
        <w:t xml:space="preserve"> 2</w:t>
      </w:r>
      <w:r w:rsidR="00D85E48">
        <w:rPr>
          <w:sz w:val="24"/>
          <w:szCs w:val="24"/>
        </w:rPr>
        <w:t>,</w:t>
      </w:r>
      <w:r w:rsidRPr="00D85E48">
        <w:rPr>
          <w:sz w:val="24"/>
          <w:szCs w:val="24"/>
        </w:rPr>
        <w:t>180 judgments.</w:t>
      </w:r>
    </w:p>
    <w:p w:rsidR="00D85E48" w:rsidRPr="00CC4FCD" w:rsidRDefault="00D85E48" w:rsidP="009A0126">
      <w:pPr>
        <w:numPr>
          <w:ilvl w:val="1"/>
          <w:numId w:val="52"/>
        </w:numPr>
        <w:spacing w:after="0" w:line="360" w:lineRule="auto"/>
        <w:jc w:val="both"/>
        <w:rPr>
          <w:sz w:val="24"/>
          <w:szCs w:val="24"/>
        </w:rPr>
      </w:pPr>
      <w:r w:rsidRPr="00CC4FCD">
        <w:rPr>
          <w:sz w:val="24"/>
          <w:szCs w:val="24"/>
        </w:rPr>
        <w:t>Family Court:</w:t>
      </w:r>
    </w:p>
    <w:p w:rsidR="00D85E48" w:rsidRDefault="001708AA" w:rsidP="009A0126">
      <w:pPr>
        <w:numPr>
          <w:ilvl w:val="2"/>
          <w:numId w:val="52"/>
        </w:numPr>
        <w:spacing w:after="0" w:line="360" w:lineRule="auto"/>
        <w:jc w:val="both"/>
        <w:rPr>
          <w:sz w:val="24"/>
          <w:szCs w:val="24"/>
        </w:rPr>
      </w:pPr>
      <w:r w:rsidRPr="001708AA">
        <w:rPr>
          <w:sz w:val="24"/>
          <w:szCs w:val="24"/>
        </w:rPr>
        <w:t xml:space="preserve">Percentage of applications in the Family Court seeking financial orders: 66 </w:t>
      </w:r>
      <w:r>
        <w:rPr>
          <w:sz w:val="24"/>
          <w:szCs w:val="24"/>
        </w:rPr>
        <w:t>%</w:t>
      </w:r>
      <w:r w:rsidRPr="001708AA">
        <w:rPr>
          <w:sz w:val="24"/>
          <w:szCs w:val="24"/>
        </w:rPr>
        <w:t>.</w:t>
      </w:r>
      <w:r w:rsidRPr="001708AA">
        <w:rPr>
          <w:sz w:val="24"/>
          <w:szCs w:val="24"/>
          <w:vertAlign w:val="superscript"/>
        </w:rPr>
        <w:t xml:space="preserve"> </w:t>
      </w:r>
      <w:r w:rsidRPr="001708AA">
        <w:rPr>
          <w:sz w:val="24"/>
          <w:szCs w:val="24"/>
          <w:vertAlign w:val="superscript"/>
        </w:rPr>
        <w:endnoteReference w:id="38"/>
      </w:r>
    </w:p>
    <w:p w:rsidR="00D85E48" w:rsidRDefault="00835F61" w:rsidP="009A0126">
      <w:pPr>
        <w:numPr>
          <w:ilvl w:val="2"/>
          <w:numId w:val="52"/>
        </w:numPr>
        <w:spacing w:after="0" w:line="360" w:lineRule="auto"/>
        <w:jc w:val="both"/>
        <w:rPr>
          <w:sz w:val="24"/>
          <w:szCs w:val="24"/>
        </w:rPr>
      </w:pPr>
      <w:r>
        <w:rPr>
          <w:sz w:val="24"/>
          <w:szCs w:val="24"/>
        </w:rPr>
        <w:t>T</w:t>
      </w:r>
      <w:r w:rsidR="001708AA" w:rsidRPr="00D85E48">
        <w:rPr>
          <w:sz w:val="24"/>
          <w:szCs w:val="24"/>
        </w:rPr>
        <w:t>otal judgments in the Family Court 2012-2015: 1</w:t>
      </w:r>
      <w:r w:rsidR="00C8274F">
        <w:rPr>
          <w:sz w:val="24"/>
          <w:szCs w:val="24"/>
        </w:rPr>
        <w:t>,</w:t>
      </w:r>
      <w:r w:rsidR="001708AA" w:rsidRPr="00D85E48">
        <w:rPr>
          <w:sz w:val="24"/>
          <w:szCs w:val="24"/>
        </w:rPr>
        <w:t>331.</w:t>
      </w:r>
    </w:p>
    <w:p w:rsidR="00CC4FCD" w:rsidRDefault="001708AA" w:rsidP="009A0126">
      <w:pPr>
        <w:numPr>
          <w:ilvl w:val="2"/>
          <w:numId w:val="52"/>
        </w:numPr>
        <w:spacing w:after="0" w:line="360" w:lineRule="auto"/>
        <w:jc w:val="both"/>
        <w:rPr>
          <w:sz w:val="24"/>
          <w:szCs w:val="24"/>
        </w:rPr>
      </w:pPr>
      <w:r w:rsidRPr="00D85E48">
        <w:rPr>
          <w:sz w:val="24"/>
          <w:szCs w:val="24"/>
        </w:rPr>
        <w:t>Calculation: 66 % of 1</w:t>
      </w:r>
      <w:r w:rsidR="00C8274F">
        <w:rPr>
          <w:sz w:val="24"/>
          <w:szCs w:val="24"/>
        </w:rPr>
        <w:t>,</w:t>
      </w:r>
      <w:r w:rsidRPr="00D85E48">
        <w:rPr>
          <w:sz w:val="24"/>
          <w:szCs w:val="24"/>
        </w:rPr>
        <w:t xml:space="preserve">013 judgments equals 669 judgments. </w:t>
      </w:r>
    </w:p>
    <w:p w:rsidR="00CC4FCD" w:rsidRDefault="001708AA" w:rsidP="009A0126">
      <w:pPr>
        <w:numPr>
          <w:ilvl w:val="1"/>
          <w:numId w:val="52"/>
        </w:numPr>
        <w:spacing w:after="0" w:line="360" w:lineRule="auto"/>
        <w:jc w:val="both"/>
        <w:rPr>
          <w:sz w:val="24"/>
          <w:szCs w:val="24"/>
        </w:rPr>
      </w:pPr>
      <w:r w:rsidRPr="00CC4FCD">
        <w:rPr>
          <w:sz w:val="24"/>
          <w:szCs w:val="24"/>
        </w:rPr>
        <w:t>Totalling 669 judgments and 2</w:t>
      </w:r>
      <w:r w:rsidR="00D85E48" w:rsidRPr="00CC4FCD">
        <w:rPr>
          <w:sz w:val="24"/>
          <w:szCs w:val="24"/>
        </w:rPr>
        <w:t>,</w:t>
      </w:r>
      <w:r w:rsidRPr="00CC4FCD">
        <w:rPr>
          <w:sz w:val="24"/>
          <w:szCs w:val="24"/>
        </w:rPr>
        <w:t xml:space="preserve">180 judgments </w:t>
      </w:r>
      <w:r w:rsidRPr="00CC4FCD">
        <w:rPr>
          <w:noProof/>
          <w:sz w:val="24"/>
          <w:szCs w:val="24"/>
        </w:rPr>
        <w:t>equal</w:t>
      </w:r>
      <w:r w:rsidRPr="00CC4FCD">
        <w:rPr>
          <w:sz w:val="24"/>
          <w:szCs w:val="24"/>
        </w:rPr>
        <w:t xml:space="preserve"> 2</w:t>
      </w:r>
      <w:r w:rsidR="00D85E48" w:rsidRPr="00CC4FCD">
        <w:rPr>
          <w:sz w:val="24"/>
          <w:szCs w:val="24"/>
        </w:rPr>
        <w:t>,</w:t>
      </w:r>
      <w:r w:rsidRPr="00CC4FCD">
        <w:rPr>
          <w:sz w:val="24"/>
          <w:szCs w:val="24"/>
        </w:rPr>
        <w:t xml:space="preserve">849 </w:t>
      </w:r>
      <w:r w:rsidR="0074682B" w:rsidRPr="00CC4FCD">
        <w:rPr>
          <w:noProof/>
          <w:sz w:val="24"/>
          <w:szCs w:val="24"/>
        </w:rPr>
        <w:t>decision</w:t>
      </w:r>
      <w:r w:rsidRPr="00CC4FCD">
        <w:rPr>
          <w:noProof/>
          <w:sz w:val="24"/>
          <w:szCs w:val="24"/>
        </w:rPr>
        <w:t>s</w:t>
      </w:r>
      <w:r w:rsidRPr="00CC4FCD">
        <w:rPr>
          <w:sz w:val="24"/>
          <w:szCs w:val="24"/>
        </w:rPr>
        <w:t xml:space="preserve">. </w:t>
      </w:r>
    </w:p>
    <w:p w:rsidR="00CC4FCD" w:rsidRPr="00DB3D15" w:rsidRDefault="001708AA" w:rsidP="00462142">
      <w:pPr>
        <w:numPr>
          <w:ilvl w:val="1"/>
          <w:numId w:val="52"/>
        </w:numPr>
        <w:spacing w:after="0" w:line="360" w:lineRule="auto"/>
        <w:jc w:val="both"/>
        <w:rPr>
          <w:sz w:val="24"/>
          <w:szCs w:val="24"/>
        </w:rPr>
      </w:pPr>
      <w:r w:rsidRPr="00CC4FCD">
        <w:rPr>
          <w:sz w:val="24"/>
          <w:szCs w:val="24"/>
        </w:rPr>
        <w:t>Dividing this by three equals</w:t>
      </w:r>
      <w:r w:rsidR="00D85E48" w:rsidRPr="00CC4FCD">
        <w:rPr>
          <w:sz w:val="24"/>
          <w:szCs w:val="24"/>
        </w:rPr>
        <w:t xml:space="preserve"> around</w:t>
      </w:r>
      <w:r w:rsidRPr="00CC4FCD">
        <w:rPr>
          <w:sz w:val="24"/>
          <w:szCs w:val="24"/>
        </w:rPr>
        <w:t xml:space="preserve"> </w:t>
      </w:r>
      <w:r w:rsidRPr="00CC4FCD">
        <w:rPr>
          <w:b/>
          <w:i/>
          <w:sz w:val="24"/>
          <w:szCs w:val="24"/>
        </w:rPr>
        <w:t xml:space="preserve">950 </w:t>
      </w:r>
      <w:r w:rsidR="00B72B62" w:rsidRPr="00CC4FCD">
        <w:rPr>
          <w:sz w:val="24"/>
          <w:szCs w:val="24"/>
        </w:rPr>
        <w:t xml:space="preserve">final </w:t>
      </w:r>
      <w:r w:rsidRPr="00CC4FCD">
        <w:rPr>
          <w:sz w:val="24"/>
          <w:szCs w:val="24"/>
        </w:rPr>
        <w:t xml:space="preserve">property settlement judgments in total per year. </w:t>
      </w:r>
    </w:p>
    <w:p w:rsidR="00462142" w:rsidRPr="00DB3D15" w:rsidRDefault="00DB3D15" w:rsidP="00DB3D15">
      <w:pPr>
        <w:pStyle w:val="ListParagraph"/>
        <w:numPr>
          <w:ilvl w:val="0"/>
          <w:numId w:val="52"/>
        </w:numPr>
        <w:spacing w:after="0" w:line="360" w:lineRule="auto"/>
        <w:jc w:val="both"/>
        <w:rPr>
          <w:sz w:val="24"/>
          <w:szCs w:val="24"/>
        </w:rPr>
      </w:pPr>
      <w:r>
        <w:rPr>
          <w:sz w:val="24"/>
          <w:szCs w:val="24"/>
        </w:rPr>
        <w:t xml:space="preserve">The rest of the property settlement applications, whether to the Family Court or Federal Circuit Court, </w:t>
      </w:r>
      <w:r w:rsidRPr="00F27470">
        <w:rPr>
          <w:noProof/>
          <w:sz w:val="24"/>
          <w:szCs w:val="24"/>
        </w:rPr>
        <w:t>resolve</w:t>
      </w:r>
      <w:r w:rsidR="00F27470">
        <w:rPr>
          <w:noProof/>
          <w:sz w:val="24"/>
          <w:szCs w:val="24"/>
        </w:rPr>
        <w:t>d</w:t>
      </w:r>
      <w:r>
        <w:rPr>
          <w:sz w:val="24"/>
          <w:szCs w:val="24"/>
        </w:rPr>
        <w:t xml:space="preserve"> by a consent order. Rough estimates are possible of the overall number of property consent orders made. </w:t>
      </w:r>
      <w:r w:rsidR="002F4778" w:rsidRPr="00DB3D15">
        <w:rPr>
          <w:sz w:val="24"/>
          <w:szCs w:val="24"/>
        </w:rPr>
        <w:t>In the 2015–2016 financial year, the Family Court received 13</w:t>
      </w:r>
      <w:r w:rsidR="00835F61" w:rsidRPr="00DB3D15">
        <w:rPr>
          <w:sz w:val="24"/>
          <w:szCs w:val="24"/>
        </w:rPr>
        <w:t>,</w:t>
      </w:r>
      <w:r w:rsidR="002F4778" w:rsidRPr="00DB3D15">
        <w:rPr>
          <w:sz w:val="24"/>
          <w:szCs w:val="24"/>
        </w:rPr>
        <w:t>457 applications for consent orders, including parenting orders.</w:t>
      </w:r>
      <w:r w:rsidR="002F4778" w:rsidRPr="002F4778">
        <w:rPr>
          <w:vertAlign w:val="superscript"/>
        </w:rPr>
        <w:endnoteReference w:id="39"/>
      </w:r>
      <w:r w:rsidR="002F4778" w:rsidRPr="00DB3D15">
        <w:rPr>
          <w:sz w:val="24"/>
          <w:szCs w:val="24"/>
        </w:rPr>
        <w:t xml:space="preserve">  Using the same calculation style as that used above for judgments, if 83 </w:t>
      </w:r>
      <w:r w:rsidR="00D45D94" w:rsidRPr="00DB3D15">
        <w:rPr>
          <w:sz w:val="24"/>
          <w:szCs w:val="24"/>
        </w:rPr>
        <w:t>%</w:t>
      </w:r>
      <w:r w:rsidR="002F4778" w:rsidRPr="00DB3D15">
        <w:rPr>
          <w:sz w:val="24"/>
          <w:szCs w:val="24"/>
        </w:rPr>
        <w:t xml:space="preserve"> of </w:t>
      </w:r>
      <w:r w:rsidR="002F4778" w:rsidRPr="00DB3D15">
        <w:rPr>
          <w:noProof/>
          <w:sz w:val="24"/>
          <w:szCs w:val="24"/>
        </w:rPr>
        <w:t>applications</w:t>
      </w:r>
      <w:r w:rsidR="002F4778" w:rsidRPr="00DB3D15">
        <w:rPr>
          <w:sz w:val="24"/>
          <w:szCs w:val="24"/>
        </w:rPr>
        <w:t xml:space="preserve"> for consent orders involved financial matters, then applying that number to the 2015–2016 Family Court figures, the Family Court made</w:t>
      </w:r>
      <w:r>
        <w:rPr>
          <w:sz w:val="24"/>
          <w:szCs w:val="24"/>
        </w:rPr>
        <w:t xml:space="preserve"> around</w:t>
      </w:r>
      <w:r w:rsidR="002F4778" w:rsidRPr="00DB3D15">
        <w:rPr>
          <w:sz w:val="24"/>
          <w:szCs w:val="24"/>
        </w:rPr>
        <w:t xml:space="preserve"> </w:t>
      </w:r>
      <w:r w:rsidR="002F4778" w:rsidRPr="00DB3D15">
        <w:rPr>
          <w:b/>
          <w:sz w:val="24"/>
          <w:szCs w:val="24"/>
        </w:rPr>
        <w:t>11</w:t>
      </w:r>
      <w:r w:rsidR="00835F61" w:rsidRPr="00DB3D15">
        <w:rPr>
          <w:b/>
          <w:sz w:val="24"/>
          <w:szCs w:val="24"/>
        </w:rPr>
        <w:t>,</w:t>
      </w:r>
      <w:r w:rsidR="002F4778" w:rsidRPr="00DB3D15">
        <w:rPr>
          <w:b/>
          <w:sz w:val="24"/>
          <w:szCs w:val="24"/>
        </w:rPr>
        <w:t>100</w:t>
      </w:r>
      <w:r w:rsidR="002F4778" w:rsidRPr="00DB3D15">
        <w:rPr>
          <w:sz w:val="24"/>
          <w:szCs w:val="24"/>
        </w:rPr>
        <w:t xml:space="preserve"> </w:t>
      </w:r>
      <w:r w:rsidR="002F4778" w:rsidRPr="00DB3D15">
        <w:rPr>
          <w:b/>
          <w:sz w:val="24"/>
          <w:szCs w:val="24"/>
        </w:rPr>
        <w:t>financial consent orders</w:t>
      </w:r>
      <w:r w:rsidR="002F4778" w:rsidRPr="00DB3D15">
        <w:rPr>
          <w:sz w:val="24"/>
          <w:szCs w:val="24"/>
        </w:rPr>
        <w:t xml:space="preserve"> (on joint application) for the year ending 30 June 2016.  </w:t>
      </w:r>
    </w:p>
    <w:p w:rsidR="006635E1" w:rsidRPr="00DB3D15" w:rsidRDefault="002F4778" w:rsidP="00462142">
      <w:pPr>
        <w:pStyle w:val="ListParagraph"/>
        <w:numPr>
          <w:ilvl w:val="0"/>
          <w:numId w:val="52"/>
        </w:numPr>
        <w:spacing w:after="0" w:line="360" w:lineRule="auto"/>
        <w:jc w:val="both"/>
        <w:rPr>
          <w:sz w:val="24"/>
          <w:szCs w:val="24"/>
        </w:rPr>
      </w:pPr>
      <w:r w:rsidRPr="00CC4FCD">
        <w:rPr>
          <w:sz w:val="24"/>
          <w:szCs w:val="24"/>
        </w:rPr>
        <w:t>It is even more difficult to establish how many matters resolved by consent after the commencement of contested proceedings but before a final judgment. In 2015–2016, the Family Court received approximately 2</w:t>
      </w:r>
      <w:r w:rsidR="00835F61" w:rsidRPr="00CC4FCD">
        <w:rPr>
          <w:sz w:val="24"/>
          <w:szCs w:val="24"/>
        </w:rPr>
        <w:t>,</w:t>
      </w:r>
      <w:r w:rsidRPr="00CC4FCD">
        <w:rPr>
          <w:sz w:val="24"/>
          <w:szCs w:val="24"/>
        </w:rPr>
        <w:t>050 financial applications,</w:t>
      </w:r>
      <w:r w:rsidRPr="002F4778">
        <w:rPr>
          <w:vertAlign w:val="superscript"/>
        </w:rPr>
        <w:endnoteReference w:id="40"/>
      </w:r>
      <w:r w:rsidRPr="00CC4FCD">
        <w:rPr>
          <w:sz w:val="24"/>
          <w:szCs w:val="24"/>
        </w:rPr>
        <w:t xml:space="preserve"> and the Federal Circuit</w:t>
      </w:r>
      <w:r w:rsidR="00CC4FCD">
        <w:rPr>
          <w:sz w:val="24"/>
          <w:szCs w:val="24"/>
        </w:rPr>
        <w:t xml:space="preserve"> </w:t>
      </w:r>
      <w:r w:rsidRPr="00CC4FCD">
        <w:rPr>
          <w:sz w:val="24"/>
          <w:szCs w:val="24"/>
        </w:rPr>
        <w:t>Court 7</w:t>
      </w:r>
      <w:r w:rsidR="00835F61" w:rsidRPr="00CC4FCD">
        <w:rPr>
          <w:sz w:val="24"/>
          <w:szCs w:val="24"/>
        </w:rPr>
        <w:t>,</w:t>
      </w:r>
      <w:r w:rsidRPr="00CC4FCD">
        <w:rPr>
          <w:sz w:val="24"/>
          <w:szCs w:val="24"/>
        </w:rPr>
        <w:t>900 financial applications.</w:t>
      </w:r>
      <w:r w:rsidRPr="002F4778">
        <w:rPr>
          <w:vertAlign w:val="superscript"/>
        </w:rPr>
        <w:endnoteReference w:id="41"/>
      </w:r>
    </w:p>
    <w:p w:rsidR="00CC4FCD" w:rsidRPr="00DB3D15" w:rsidRDefault="002F4778" w:rsidP="00DB3D15">
      <w:pPr>
        <w:pStyle w:val="ListParagraph"/>
        <w:numPr>
          <w:ilvl w:val="0"/>
          <w:numId w:val="52"/>
        </w:numPr>
        <w:spacing w:after="0" w:line="360" w:lineRule="auto"/>
        <w:jc w:val="both"/>
        <w:rPr>
          <w:sz w:val="24"/>
          <w:szCs w:val="24"/>
        </w:rPr>
      </w:pPr>
      <w:r w:rsidRPr="00CC4FCD">
        <w:rPr>
          <w:sz w:val="24"/>
          <w:szCs w:val="24"/>
        </w:rPr>
        <w:t xml:space="preserve">Using the same assumptions as before, an estimate of the number of </w:t>
      </w:r>
      <w:r w:rsidR="00F27470">
        <w:rPr>
          <w:noProof/>
          <w:sz w:val="24"/>
          <w:szCs w:val="24"/>
        </w:rPr>
        <w:t>financial consent</w:t>
      </w:r>
      <w:r w:rsidRPr="00CC4FCD">
        <w:rPr>
          <w:sz w:val="24"/>
          <w:szCs w:val="24"/>
        </w:rPr>
        <w:t xml:space="preserve"> orders (following the commencement of contested proceedings but before a trial) follows: </w:t>
      </w:r>
    </w:p>
    <w:p w:rsidR="00DB3D15" w:rsidRDefault="00DB3D15" w:rsidP="00DB3D15">
      <w:pPr>
        <w:pStyle w:val="ListParagraph"/>
        <w:numPr>
          <w:ilvl w:val="1"/>
          <w:numId w:val="52"/>
        </w:numPr>
        <w:spacing w:after="0" w:line="360" w:lineRule="auto"/>
        <w:jc w:val="both"/>
        <w:rPr>
          <w:sz w:val="24"/>
          <w:szCs w:val="24"/>
        </w:rPr>
      </w:pPr>
      <w:r>
        <w:rPr>
          <w:sz w:val="24"/>
          <w:szCs w:val="24"/>
        </w:rPr>
        <w:t>Federal Circuit Court:</w:t>
      </w:r>
    </w:p>
    <w:p w:rsidR="00DB3D15" w:rsidRDefault="00835F61" w:rsidP="00DB3D15">
      <w:pPr>
        <w:pStyle w:val="ListParagraph"/>
        <w:numPr>
          <w:ilvl w:val="2"/>
          <w:numId w:val="52"/>
        </w:numPr>
        <w:spacing w:after="0" w:line="360" w:lineRule="auto"/>
        <w:jc w:val="both"/>
        <w:rPr>
          <w:sz w:val="24"/>
          <w:szCs w:val="24"/>
        </w:rPr>
      </w:pPr>
      <w:r w:rsidRPr="00DB3D15">
        <w:rPr>
          <w:sz w:val="24"/>
          <w:szCs w:val="24"/>
        </w:rPr>
        <w:t>T</w:t>
      </w:r>
      <w:r w:rsidR="002F4778" w:rsidRPr="00DB3D15">
        <w:rPr>
          <w:sz w:val="24"/>
          <w:szCs w:val="24"/>
        </w:rPr>
        <w:t xml:space="preserve">otal </w:t>
      </w:r>
      <w:r w:rsidR="002F4778" w:rsidRPr="00DB3D15">
        <w:rPr>
          <w:noProof/>
          <w:sz w:val="24"/>
          <w:szCs w:val="24"/>
        </w:rPr>
        <w:t>financial</w:t>
      </w:r>
      <w:r w:rsidR="002F4778" w:rsidRPr="00DB3D15">
        <w:rPr>
          <w:sz w:val="24"/>
          <w:szCs w:val="24"/>
        </w:rPr>
        <w:t xml:space="preserve"> applications in the Federal Circuit Court (2015-2016): 7</w:t>
      </w:r>
      <w:r w:rsidR="00DB3D15" w:rsidRPr="00DB3D15">
        <w:rPr>
          <w:sz w:val="24"/>
          <w:szCs w:val="24"/>
        </w:rPr>
        <w:t>,</w:t>
      </w:r>
      <w:r w:rsidR="002F4778" w:rsidRPr="00DB3D15">
        <w:rPr>
          <w:sz w:val="24"/>
          <w:szCs w:val="24"/>
        </w:rPr>
        <w:t>900.</w:t>
      </w:r>
      <w:r w:rsidR="002F4778" w:rsidRPr="002F4778">
        <w:rPr>
          <w:vertAlign w:val="superscript"/>
        </w:rPr>
        <w:endnoteReference w:id="42"/>
      </w:r>
    </w:p>
    <w:p w:rsidR="00DB3D15" w:rsidRDefault="00835F61" w:rsidP="00DB3D15">
      <w:pPr>
        <w:pStyle w:val="ListParagraph"/>
        <w:numPr>
          <w:ilvl w:val="2"/>
          <w:numId w:val="52"/>
        </w:numPr>
        <w:spacing w:after="0" w:line="360" w:lineRule="auto"/>
        <w:jc w:val="both"/>
        <w:rPr>
          <w:sz w:val="24"/>
          <w:szCs w:val="24"/>
        </w:rPr>
      </w:pPr>
      <w:r w:rsidRPr="00DB3D15">
        <w:rPr>
          <w:noProof/>
          <w:sz w:val="24"/>
          <w:szCs w:val="24"/>
        </w:rPr>
        <w:t>T</w:t>
      </w:r>
      <w:r w:rsidR="002F4778" w:rsidRPr="00DB3D15">
        <w:rPr>
          <w:noProof/>
          <w:sz w:val="24"/>
          <w:szCs w:val="24"/>
        </w:rPr>
        <w:t>otal</w:t>
      </w:r>
      <w:r w:rsidR="002F4778" w:rsidRPr="00DB3D15">
        <w:rPr>
          <w:sz w:val="24"/>
          <w:szCs w:val="24"/>
        </w:rPr>
        <w:t xml:space="preserve"> estimated </w:t>
      </w:r>
      <w:r w:rsidR="002F4778" w:rsidRPr="00DB3D15">
        <w:rPr>
          <w:noProof/>
          <w:sz w:val="24"/>
          <w:szCs w:val="24"/>
        </w:rPr>
        <w:t>financial</w:t>
      </w:r>
      <w:r w:rsidR="002F4778" w:rsidRPr="00DB3D15">
        <w:rPr>
          <w:sz w:val="24"/>
          <w:szCs w:val="24"/>
        </w:rPr>
        <w:t xml:space="preserve"> judgments in the Federal Circuit Court (average yearly 2012-2015): 726 (2</w:t>
      </w:r>
      <w:r w:rsidR="00DB3D15" w:rsidRPr="00DB3D15">
        <w:rPr>
          <w:sz w:val="24"/>
          <w:szCs w:val="24"/>
        </w:rPr>
        <w:t>,</w:t>
      </w:r>
      <w:r w:rsidR="002F4778" w:rsidRPr="00DB3D15">
        <w:rPr>
          <w:sz w:val="24"/>
          <w:szCs w:val="24"/>
        </w:rPr>
        <w:t>180 divided by three).</w:t>
      </w:r>
    </w:p>
    <w:p w:rsidR="00DB3D15" w:rsidRPr="00DB3D15" w:rsidRDefault="002F4778" w:rsidP="00DB3D15">
      <w:pPr>
        <w:pStyle w:val="ListParagraph"/>
        <w:numPr>
          <w:ilvl w:val="2"/>
          <w:numId w:val="52"/>
        </w:numPr>
        <w:spacing w:after="0" w:line="360" w:lineRule="auto"/>
        <w:jc w:val="both"/>
        <w:rPr>
          <w:sz w:val="24"/>
          <w:szCs w:val="24"/>
        </w:rPr>
      </w:pPr>
      <w:r w:rsidRPr="00DB3D15">
        <w:rPr>
          <w:sz w:val="24"/>
          <w:szCs w:val="24"/>
        </w:rPr>
        <w:t>Likely financial consent orders in the Federal Circuit Court (per year)</w:t>
      </w:r>
      <w:r w:rsidR="00DB3D15" w:rsidRPr="00DB3D15">
        <w:t xml:space="preserve"> </w:t>
      </w:r>
      <w:r w:rsidR="00DB3D15" w:rsidRPr="00DB3D15">
        <w:rPr>
          <w:sz w:val="24"/>
          <w:szCs w:val="24"/>
        </w:rPr>
        <w:t>(7,900 less 726)</w:t>
      </w:r>
      <w:r w:rsidRPr="00DB3D15">
        <w:rPr>
          <w:sz w:val="24"/>
          <w:szCs w:val="24"/>
        </w:rPr>
        <w:t xml:space="preserve">: </w:t>
      </w:r>
      <w:r w:rsidRPr="00DB3D15">
        <w:rPr>
          <w:b/>
          <w:sz w:val="24"/>
          <w:szCs w:val="24"/>
        </w:rPr>
        <w:t>7</w:t>
      </w:r>
      <w:r w:rsidR="00DB3D15" w:rsidRPr="00DB3D15">
        <w:rPr>
          <w:b/>
          <w:sz w:val="24"/>
          <w:szCs w:val="24"/>
        </w:rPr>
        <w:t>,</w:t>
      </w:r>
      <w:r w:rsidRPr="00DB3D15">
        <w:rPr>
          <w:b/>
          <w:sz w:val="24"/>
          <w:szCs w:val="24"/>
        </w:rPr>
        <w:t>174</w:t>
      </w:r>
      <w:r w:rsidR="00DB3D15">
        <w:rPr>
          <w:b/>
          <w:sz w:val="24"/>
          <w:szCs w:val="24"/>
        </w:rPr>
        <w:t xml:space="preserve"> consent orders.</w:t>
      </w:r>
      <w:r w:rsidRPr="00DB3D15">
        <w:rPr>
          <w:sz w:val="24"/>
          <w:szCs w:val="24"/>
        </w:rPr>
        <w:t xml:space="preserve"> </w:t>
      </w:r>
    </w:p>
    <w:p w:rsidR="00DB3D15" w:rsidRDefault="00DB3D15" w:rsidP="009A0126">
      <w:pPr>
        <w:pStyle w:val="ListParagraph"/>
        <w:numPr>
          <w:ilvl w:val="1"/>
          <w:numId w:val="52"/>
        </w:numPr>
        <w:spacing w:after="0" w:line="360" w:lineRule="auto"/>
        <w:jc w:val="both"/>
        <w:rPr>
          <w:sz w:val="24"/>
          <w:szCs w:val="24"/>
        </w:rPr>
      </w:pPr>
      <w:r>
        <w:rPr>
          <w:sz w:val="24"/>
          <w:szCs w:val="24"/>
        </w:rPr>
        <w:lastRenderedPageBreak/>
        <w:t>Family Court:</w:t>
      </w:r>
    </w:p>
    <w:p w:rsidR="00DB3D15" w:rsidRDefault="00835F61" w:rsidP="00DB3D15">
      <w:pPr>
        <w:pStyle w:val="ListParagraph"/>
        <w:numPr>
          <w:ilvl w:val="2"/>
          <w:numId w:val="52"/>
        </w:numPr>
        <w:spacing w:after="0" w:line="360" w:lineRule="auto"/>
        <w:jc w:val="both"/>
        <w:rPr>
          <w:sz w:val="24"/>
          <w:szCs w:val="24"/>
        </w:rPr>
      </w:pPr>
      <w:r w:rsidRPr="00DB3D15">
        <w:rPr>
          <w:sz w:val="24"/>
          <w:szCs w:val="24"/>
        </w:rPr>
        <w:t>T</w:t>
      </w:r>
      <w:r w:rsidR="002F4778" w:rsidRPr="00DB3D15">
        <w:rPr>
          <w:sz w:val="24"/>
          <w:szCs w:val="24"/>
        </w:rPr>
        <w:t>otal financial applications in the Family Court (2015-2016): 2050.</w:t>
      </w:r>
      <w:r w:rsidR="002F4778" w:rsidRPr="002F4778">
        <w:rPr>
          <w:vertAlign w:val="superscript"/>
        </w:rPr>
        <w:endnoteReference w:id="43"/>
      </w:r>
    </w:p>
    <w:p w:rsidR="00DB3D15" w:rsidRDefault="00835F61" w:rsidP="00DB3D15">
      <w:pPr>
        <w:pStyle w:val="ListParagraph"/>
        <w:numPr>
          <w:ilvl w:val="2"/>
          <w:numId w:val="52"/>
        </w:numPr>
        <w:spacing w:after="0" w:line="360" w:lineRule="auto"/>
        <w:jc w:val="both"/>
        <w:rPr>
          <w:sz w:val="24"/>
          <w:szCs w:val="24"/>
        </w:rPr>
      </w:pPr>
      <w:r w:rsidRPr="00DB3D15">
        <w:rPr>
          <w:noProof/>
          <w:sz w:val="24"/>
          <w:szCs w:val="24"/>
        </w:rPr>
        <w:t>T</w:t>
      </w:r>
      <w:r w:rsidR="002F4778" w:rsidRPr="00DB3D15">
        <w:rPr>
          <w:noProof/>
          <w:sz w:val="24"/>
          <w:szCs w:val="24"/>
        </w:rPr>
        <w:t>otal</w:t>
      </w:r>
      <w:r w:rsidR="002F4778" w:rsidRPr="00DB3D15">
        <w:rPr>
          <w:sz w:val="24"/>
          <w:szCs w:val="24"/>
        </w:rPr>
        <w:t xml:space="preserve"> estimated </w:t>
      </w:r>
      <w:r w:rsidR="002F4778" w:rsidRPr="00DB3D15">
        <w:rPr>
          <w:noProof/>
          <w:sz w:val="24"/>
          <w:szCs w:val="24"/>
        </w:rPr>
        <w:t>financial</w:t>
      </w:r>
      <w:r w:rsidR="002F4778" w:rsidRPr="00DB3D15">
        <w:rPr>
          <w:sz w:val="24"/>
          <w:szCs w:val="24"/>
        </w:rPr>
        <w:t xml:space="preserve"> judgments in the Family Court (average yearly 2012-2015): 443 (1</w:t>
      </w:r>
      <w:r w:rsidR="00DB3D15">
        <w:rPr>
          <w:sz w:val="24"/>
          <w:szCs w:val="24"/>
        </w:rPr>
        <w:t>,</w:t>
      </w:r>
      <w:r w:rsidR="002F4778" w:rsidRPr="00DB3D15">
        <w:rPr>
          <w:sz w:val="24"/>
          <w:szCs w:val="24"/>
        </w:rPr>
        <w:t>331 divided by three).</w:t>
      </w:r>
    </w:p>
    <w:p w:rsidR="00462142" w:rsidRPr="00DB3D15" w:rsidRDefault="002F4778" w:rsidP="00462142">
      <w:pPr>
        <w:pStyle w:val="ListParagraph"/>
        <w:numPr>
          <w:ilvl w:val="2"/>
          <w:numId w:val="52"/>
        </w:numPr>
        <w:spacing w:after="0" w:line="360" w:lineRule="auto"/>
        <w:jc w:val="both"/>
        <w:rPr>
          <w:sz w:val="24"/>
          <w:szCs w:val="24"/>
        </w:rPr>
      </w:pPr>
      <w:r w:rsidRPr="00DB3D15">
        <w:rPr>
          <w:sz w:val="24"/>
          <w:szCs w:val="24"/>
        </w:rPr>
        <w:t>Likely financial consent orders in the Family Court after filing but before trial (per year)</w:t>
      </w:r>
      <w:r w:rsidR="00DB3D15">
        <w:rPr>
          <w:sz w:val="24"/>
          <w:szCs w:val="24"/>
        </w:rPr>
        <w:t xml:space="preserve"> </w:t>
      </w:r>
      <w:r w:rsidRPr="00DB3D15">
        <w:rPr>
          <w:sz w:val="24"/>
          <w:szCs w:val="24"/>
        </w:rPr>
        <w:t>(2050 less 443)</w:t>
      </w:r>
      <w:r w:rsidR="00DB3D15">
        <w:rPr>
          <w:sz w:val="24"/>
          <w:szCs w:val="24"/>
        </w:rPr>
        <w:t xml:space="preserve">: </w:t>
      </w:r>
      <w:r w:rsidR="00DB3D15">
        <w:rPr>
          <w:b/>
          <w:sz w:val="24"/>
          <w:szCs w:val="24"/>
        </w:rPr>
        <w:t>1607 consent orders.</w:t>
      </w:r>
    </w:p>
    <w:p w:rsidR="00CC4FCD" w:rsidRPr="00DB3D15" w:rsidRDefault="00A82AF3" w:rsidP="00DB3D15">
      <w:pPr>
        <w:pStyle w:val="ListParagraph"/>
        <w:numPr>
          <w:ilvl w:val="0"/>
          <w:numId w:val="52"/>
        </w:numPr>
        <w:spacing w:after="0" w:line="360" w:lineRule="auto"/>
        <w:jc w:val="both"/>
        <w:rPr>
          <w:sz w:val="24"/>
          <w:szCs w:val="24"/>
        </w:rPr>
      </w:pPr>
      <w:r>
        <w:rPr>
          <w:noProof/>
          <w:sz w:val="24"/>
          <w:szCs w:val="24"/>
        </w:rPr>
        <w:t>Applying these estimates results in</w:t>
      </w:r>
      <w:r w:rsidR="00DB3D15">
        <w:rPr>
          <w:sz w:val="24"/>
          <w:szCs w:val="24"/>
        </w:rPr>
        <w:t xml:space="preserve"> a </w:t>
      </w:r>
      <w:r w:rsidR="002F4778" w:rsidRPr="00CC4FCD">
        <w:rPr>
          <w:sz w:val="24"/>
          <w:szCs w:val="24"/>
        </w:rPr>
        <w:t xml:space="preserve">working number </w:t>
      </w:r>
      <w:r>
        <w:rPr>
          <w:sz w:val="24"/>
          <w:szCs w:val="24"/>
        </w:rPr>
        <w:t>of</w:t>
      </w:r>
      <w:r w:rsidR="002F4778" w:rsidRPr="00CC4FCD">
        <w:rPr>
          <w:sz w:val="24"/>
          <w:szCs w:val="24"/>
        </w:rPr>
        <w:t xml:space="preserve"> around 7</w:t>
      </w:r>
      <w:r w:rsidR="00835F61" w:rsidRPr="00CC4FCD">
        <w:rPr>
          <w:sz w:val="24"/>
          <w:szCs w:val="24"/>
        </w:rPr>
        <w:t>,</w:t>
      </w:r>
      <w:r w:rsidR="002F4778" w:rsidRPr="00CC4FCD">
        <w:rPr>
          <w:sz w:val="24"/>
          <w:szCs w:val="24"/>
        </w:rPr>
        <w:t xml:space="preserve">600 consent financial orders per year finalising contested proceedings before a trial. </w:t>
      </w:r>
      <w:r w:rsidR="00462142" w:rsidRPr="00CC4FCD">
        <w:rPr>
          <w:sz w:val="24"/>
          <w:szCs w:val="24"/>
        </w:rPr>
        <w:t xml:space="preserve"> </w:t>
      </w:r>
      <w:r w:rsidR="002F4778" w:rsidRPr="00CC4FCD">
        <w:rPr>
          <w:sz w:val="24"/>
          <w:szCs w:val="24"/>
        </w:rPr>
        <w:t>Adding these 7</w:t>
      </w:r>
      <w:r w:rsidR="00835F61" w:rsidRPr="00CC4FCD">
        <w:rPr>
          <w:sz w:val="24"/>
          <w:szCs w:val="24"/>
        </w:rPr>
        <w:t>,</w:t>
      </w:r>
      <w:r w:rsidR="002F4778" w:rsidRPr="00CC4FCD">
        <w:rPr>
          <w:sz w:val="24"/>
          <w:szCs w:val="24"/>
        </w:rPr>
        <w:t xml:space="preserve">600 consent orders to the </w:t>
      </w:r>
      <w:r w:rsidR="00835F61" w:rsidRPr="00CC4FCD">
        <w:rPr>
          <w:sz w:val="24"/>
          <w:szCs w:val="24"/>
        </w:rPr>
        <w:t xml:space="preserve">estimated </w:t>
      </w:r>
      <w:r w:rsidR="002F4778" w:rsidRPr="00CC4FCD">
        <w:rPr>
          <w:sz w:val="24"/>
          <w:szCs w:val="24"/>
        </w:rPr>
        <w:t>11</w:t>
      </w:r>
      <w:r w:rsidR="00835F61" w:rsidRPr="00CC4FCD">
        <w:rPr>
          <w:sz w:val="24"/>
          <w:szCs w:val="24"/>
        </w:rPr>
        <w:t>,</w:t>
      </w:r>
      <w:r w:rsidR="002F4778" w:rsidRPr="00CC4FCD">
        <w:rPr>
          <w:sz w:val="24"/>
          <w:szCs w:val="24"/>
        </w:rPr>
        <w:t xml:space="preserve">100 consent </w:t>
      </w:r>
      <w:r w:rsidR="002F4778" w:rsidRPr="00CC4FCD">
        <w:rPr>
          <w:noProof/>
          <w:sz w:val="24"/>
          <w:szCs w:val="24"/>
        </w:rPr>
        <w:t>financial</w:t>
      </w:r>
      <w:r w:rsidR="002F4778" w:rsidRPr="00CC4FCD">
        <w:rPr>
          <w:sz w:val="24"/>
          <w:szCs w:val="24"/>
        </w:rPr>
        <w:t xml:space="preserve"> orders made (without commencing contested proceedings) equals </w:t>
      </w:r>
      <w:r w:rsidR="00835F61" w:rsidRPr="00CC4FCD">
        <w:rPr>
          <w:sz w:val="24"/>
          <w:szCs w:val="24"/>
        </w:rPr>
        <w:t xml:space="preserve">around </w:t>
      </w:r>
      <w:r w:rsidR="002F4778" w:rsidRPr="00DB3D15">
        <w:rPr>
          <w:b/>
          <w:sz w:val="24"/>
          <w:szCs w:val="24"/>
        </w:rPr>
        <w:t>18</w:t>
      </w:r>
      <w:r w:rsidR="00835F61" w:rsidRPr="00DB3D15">
        <w:rPr>
          <w:b/>
          <w:sz w:val="24"/>
          <w:szCs w:val="24"/>
        </w:rPr>
        <w:t>,</w:t>
      </w:r>
      <w:r w:rsidR="002F4778" w:rsidRPr="00DB3D15">
        <w:rPr>
          <w:b/>
          <w:sz w:val="24"/>
          <w:szCs w:val="24"/>
        </w:rPr>
        <w:t>700</w:t>
      </w:r>
      <w:r w:rsidR="002F4778" w:rsidRPr="00CC4FCD">
        <w:rPr>
          <w:sz w:val="24"/>
          <w:szCs w:val="24"/>
        </w:rPr>
        <w:t xml:space="preserve"> consent </w:t>
      </w:r>
      <w:r w:rsidR="002F4778" w:rsidRPr="00CC4FCD">
        <w:rPr>
          <w:noProof/>
          <w:sz w:val="24"/>
          <w:szCs w:val="24"/>
        </w:rPr>
        <w:t>financial</w:t>
      </w:r>
      <w:r w:rsidR="002F4778" w:rsidRPr="00CC4FCD">
        <w:rPr>
          <w:sz w:val="24"/>
          <w:szCs w:val="24"/>
        </w:rPr>
        <w:t xml:space="preserve"> orders per year.  </w:t>
      </w:r>
    </w:p>
    <w:p w:rsidR="00CC4FCD" w:rsidRPr="00DB3D15" w:rsidRDefault="002F4778" w:rsidP="00DB3D15">
      <w:pPr>
        <w:pStyle w:val="ListParagraph"/>
        <w:numPr>
          <w:ilvl w:val="0"/>
          <w:numId w:val="52"/>
        </w:numPr>
        <w:spacing w:after="0" w:line="360" w:lineRule="auto"/>
        <w:jc w:val="both"/>
        <w:rPr>
          <w:sz w:val="24"/>
          <w:szCs w:val="24"/>
        </w:rPr>
      </w:pPr>
      <w:r w:rsidRPr="00CC4FCD">
        <w:rPr>
          <w:sz w:val="24"/>
          <w:szCs w:val="24"/>
        </w:rPr>
        <w:t xml:space="preserve">In summary, </w:t>
      </w:r>
      <w:r w:rsidR="00626DE8" w:rsidRPr="00CC4FCD">
        <w:rPr>
          <w:sz w:val="24"/>
          <w:szCs w:val="24"/>
        </w:rPr>
        <w:t xml:space="preserve">my </w:t>
      </w:r>
      <w:r w:rsidR="001F1057">
        <w:rPr>
          <w:sz w:val="24"/>
          <w:szCs w:val="24"/>
        </w:rPr>
        <w:t>estimates suggest</w:t>
      </w:r>
      <w:r w:rsidR="00626DE8" w:rsidRPr="00CC4FCD">
        <w:rPr>
          <w:sz w:val="24"/>
          <w:szCs w:val="24"/>
        </w:rPr>
        <w:t xml:space="preserve"> </w:t>
      </w:r>
      <w:r w:rsidRPr="00CC4FCD">
        <w:rPr>
          <w:sz w:val="24"/>
          <w:szCs w:val="24"/>
        </w:rPr>
        <w:t xml:space="preserve">the Family Court and Federal Circuit Court produce </w:t>
      </w:r>
      <w:r w:rsidR="001F1057">
        <w:rPr>
          <w:sz w:val="24"/>
          <w:szCs w:val="24"/>
        </w:rPr>
        <w:t>19,650 orders per year comprised of</w:t>
      </w:r>
      <w:r w:rsidRPr="00CC4FCD">
        <w:rPr>
          <w:sz w:val="24"/>
          <w:szCs w:val="24"/>
        </w:rPr>
        <w:t xml:space="preserve"> around 950 financial judgments 18</w:t>
      </w:r>
      <w:r w:rsidR="00835F61" w:rsidRPr="00CC4FCD">
        <w:rPr>
          <w:sz w:val="24"/>
          <w:szCs w:val="24"/>
        </w:rPr>
        <w:t>,</w:t>
      </w:r>
      <w:r w:rsidRPr="00CC4FCD">
        <w:rPr>
          <w:sz w:val="24"/>
          <w:szCs w:val="24"/>
        </w:rPr>
        <w:t xml:space="preserve">700 </w:t>
      </w:r>
      <w:r w:rsidRPr="00CC4FCD">
        <w:rPr>
          <w:noProof/>
          <w:sz w:val="24"/>
          <w:szCs w:val="24"/>
        </w:rPr>
        <w:t>financial</w:t>
      </w:r>
      <w:r w:rsidRPr="00CC4FCD">
        <w:rPr>
          <w:sz w:val="24"/>
          <w:szCs w:val="24"/>
        </w:rPr>
        <w:t xml:space="preserve"> consent orders</w:t>
      </w:r>
      <w:r w:rsidR="001F1057">
        <w:rPr>
          <w:sz w:val="24"/>
          <w:szCs w:val="24"/>
        </w:rPr>
        <w:t>.</w:t>
      </w:r>
      <w:r w:rsidRPr="00CC4FCD">
        <w:rPr>
          <w:sz w:val="24"/>
          <w:szCs w:val="24"/>
        </w:rPr>
        <w:t xml:space="preserve"> </w:t>
      </w:r>
    </w:p>
    <w:p w:rsidR="00CC4FCD" w:rsidRPr="00DB3D15" w:rsidRDefault="009661A1" w:rsidP="00DB3D15">
      <w:pPr>
        <w:pStyle w:val="ListParagraph"/>
        <w:numPr>
          <w:ilvl w:val="0"/>
          <w:numId w:val="52"/>
        </w:numPr>
        <w:spacing w:after="0" w:line="360" w:lineRule="auto"/>
        <w:jc w:val="both"/>
        <w:rPr>
          <w:sz w:val="24"/>
          <w:szCs w:val="24"/>
        </w:rPr>
      </w:pPr>
      <w:r w:rsidRPr="00CC4FCD">
        <w:rPr>
          <w:b/>
          <w:i/>
          <w:sz w:val="24"/>
          <w:szCs w:val="24"/>
        </w:rPr>
        <w:t xml:space="preserve">The </w:t>
      </w:r>
      <w:r w:rsidR="00DB3D15">
        <w:rPr>
          <w:b/>
          <w:i/>
          <w:sz w:val="24"/>
          <w:szCs w:val="24"/>
        </w:rPr>
        <w:t xml:space="preserve">inference from these estimates </w:t>
      </w:r>
      <w:r w:rsidRPr="00CC4FCD">
        <w:rPr>
          <w:b/>
          <w:i/>
          <w:sz w:val="24"/>
          <w:szCs w:val="24"/>
        </w:rPr>
        <w:t xml:space="preserve">is that about </w:t>
      </w:r>
      <w:r w:rsidR="001D699A" w:rsidRPr="00CC4FCD">
        <w:rPr>
          <w:b/>
          <w:i/>
          <w:sz w:val="24"/>
          <w:szCs w:val="24"/>
        </w:rPr>
        <w:t>5</w:t>
      </w:r>
      <w:r w:rsidRPr="00CC4FCD">
        <w:rPr>
          <w:b/>
          <w:i/>
          <w:sz w:val="24"/>
          <w:szCs w:val="24"/>
        </w:rPr>
        <w:t>% of property settlement cases are judicially determined, and about 95% of cases resolve by consent</w:t>
      </w:r>
      <w:r w:rsidRPr="00CC4FCD">
        <w:rPr>
          <w:sz w:val="24"/>
          <w:szCs w:val="24"/>
        </w:rPr>
        <w:t>.</w:t>
      </w:r>
      <w:r w:rsidR="00626DE8" w:rsidRPr="00CC4FCD">
        <w:rPr>
          <w:sz w:val="24"/>
          <w:szCs w:val="24"/>
        </w:rPr>
        <w:t xml:space="preserve"> </w:t>
      </w:r>
      <w:r w:rsidR="00AB6C1A" w:rsidRPr="00CC4FCD">
        <w:rPr>
          <w:sz w:val="24"/>
          <w:szCs w:val="24"/>
        </w:rPr>
        <w:t xml:space="preserve"> </w:t>
      </w:r>
    </w:p>
    <w:p w:rsidR="00CC4FCD" w:rsidRPr="00DB3D15" w:rsidRDefault="00AB6C1A" w:rsidP="00DB3D15">
      <w:pPr>
        <w:pStyle w:val="ListParagraph"/>
        <w:numPr>
          <w:ilvl w:val="0"/>
          <w:numId w:val="52"/>
        </w:numPr>
        <w:spacing w:after="0" w:line="360" w:lineRule="auto"/>
        <w:jc w:val="both"/>
        <w:rPr>
          <w:sz w:val="24"/>
          <w:szCs w:val="24"/>
        </w:rPr>
      </w:pPr>
      <w:r w:rsidRPr="00CC4FCD">
        <w:rPr>
          <w:noProof/>
          <w:sz w:val="24"/>
          <w:szCs w:val="24"/>
        </w:rPr>
        <w:t>This</w:t>
      </w:r>
      <w:r w:rsidR="00835F61" w:rsidRPr="00CC4FCD">
        <w:rPr>
          <w:noProof/>
          <w:sz w:val="24"/>
          <w:szCs w:val="24"/>
        </w:rPr>
        <w:t xml:space="preserve"> conclusion</w:t>
      </w:r>
      <w:r w:rsidRPr="00CC4FCD">
        <w:rPr>
          <w:sz w:val="24"/>
          <w:szCs w:val="24"/>
        </w:rPr>
        <w:t xml:space="preserve"> is consistent with the published data of the Family Court, which shows around 85% of matters resolving by consent (even including parenting and the Family Court’s </w:t>
      </w:r>
      <w:r w:rsidRPr="00CC4FCD">
        <w:rPr>
          <w:noProof/>
          <w:sz w:val="24"/>
          <w:szCs w:val="24"/>
        </w:rPr>
        <w:t>compl</w:t>
      </w:r>
      <w:r w:rsidR="00835F61" w:rsidRPr="00CC4FCD">
        <w:rPr>
          <w:noProof/>
          <w:sz w:val="24"/>
          <w:szCs w:val="24"/>
        </w:rPr>
        <w:t>icated</w:t>
      </w:r>
      <w:r w:rsidRPr="00CC4FCD">
        <w:rPr>
          <w:sz w:val="24"/>
          <w:szCs w:val="24"/>
        </w:rPr>
        <w:t xml:space="preserve"> </w:t>
      </w:r>
      <w:r w:rsidRPr="00CC4FCD">
        <w:rPr>
          <w:noProof/>
          <w:sz w:val="24"/>
          <w:szCs w:val="24"/>
        </w:rPr>
        <w:t>matters</w:t>
      </w:r>
      <w:r w:rsidRPr="00CC4FCD">
        <w:rPr>
          <w:sz w:val="24"/>
          <w:szCs w:val="24"/>
        </w:rPr>
        <w:t xml:space="preserve">). In summary, of those families who enter the court system, the </w:t>
      </w:r>
      <w:r w:rsidR="001D699A" w:rsidRPr="00CC4FCD">
        <w:rPr>
          <w:sz w:val="24"/>
          <w:szCs w:val="24"/>
        </w:rPr>
        <w:t xml:space="preserve">available </w:t>
      </w:r>
      <w:r w:rsidRPr="00CC4FCD">
        <w:rPr>
          <w:sz w:val="24"/>
          <w:szCs w:val="24"/>
        </w:rPr>
        <w:t xml:space="preserve">evidence points to </w:t>
      </w:r>
      <w:r w:rsidR="00DB3D15">
        <w:rPr>
          <w:sz w:val="24"/>
          <w:szCs w:val="24"/>
        </w:rPr>
        <w:t xml:space="preserve">most </w:t>
      </w:r>
      <w:r w:rsidR="00DB3D15">
        <w:rPr>
          <w:noProof/>
          <w:sz w:val="24"/>
          <w:szCs w:val="24"/>
        </w:rPr>
        <w:t>matters</w:t>
      </w:r>
      <w:r w:rsidR="001D699A" w:rsidRPr="00CC4FCD">
        <w:rPr>
          <w:noProof/>
          <w:sz w:val="24"/>
          <w:szCs w:val="24"/>
        </w:rPr>
        <w:t xml:space="preserve"> resolving</w:t>
      </w:r>
      <w:r w:rsidRPr="00CC4FCD">
        <w:rPr>
          <w:sz w:val="24"/>
          <w:szCs w:val="24"/>
        </w:rPr>
        <w:t xml:space="preserve"> without </w:t>
      </w:r>
      <w:r w:rsidR="001D699A" w:rsidRPr="00CC4FCD">
        <w:rPr>
          <w:sz w:val="24"/>
          <w:szCs w:val="24"/>
        </w:rPr>
        <w:t xml:space="preserve">final </w:t>
      </w:r>
      <w:r w:rsidRPr="00CC4FCD">
        <w:rPr>
          <w:sz w:val="24"/>
          <w:szCs w:val="24"/>
        </w:rPr>
        <w:t>judicial determination. On that basis, I recommend:</w:t>
      </w:r>
    </w:p>
    <w:tbl>
      <w:tblPr>
        <w:tblStyle w:val="TableGrid"/>
        <w:tblW w:w="0" w:type="auto"/>
        <w:tblLook w:val="04A0"/>
      </w:tblPr>
      <w:tblGrid>
        <w:gridCol w:w="9016"/>
      </w:tblGrid>
      <w:tr w:rsidR="00626DE8" w:rsidTr="00626DE8">
        <w:tc>
          <w:tcPr>
            <w:tcW w:w="9016" w:type="dxa"/>
          </w:tcPr>
          <w:p w:rsidR="00626DE8" w:rsidRPr="00462142" w:rsidRDefault="00626DE8" w:rsidP="00462142">
            <w:pPr>
              <w:pStyle w:val="Heading3"/>
              <w:spacing w:before="0" w:line="360" w:lineRule="auto"/>
              <w:outlineLvl w:val="2"/>
              <w:rPr>
                <w:i/>
                <w:color w:val="auto"/>
              </w:rPr>
            </w:pPr>
            <w:bookmarkStart w:id="18" w:name="_Toc512895937"/>
            <w:r w:rsidRPr="008F1051">
              <w:rPr>
                <w:i/>
                <w:color w:val="auto"/>
              </w:rPr>
              <w:t xml:space="preserve">Recommendation </w:t>
            </w:r>
            <w:r w:rsidR="00B46357">
              <w:rPr>
                <w:i/>
                <w:color w:val="auto"/>
              </w:rPr>
              <w:t>4</w:t>
            </w:r>
            <w:bookmarkEnd w:id="18"/>
          </w:p>
          <w:p w:rsidR="00626DE8" w:rsidRDefault="00626DE8" w:rsidP="00462142">
            <w:pPr>
              <w:spacing w:line="360" w:lineRule="auto"/>
              <w:jc w:val="both"/>
              <w:rPr>
                <w:sz w:val="24"/>
                <w:szCs w:val="24"/>
              </w:rPr>
            </w:pPr>
            <w:r>
              <w:rPr>
                <w:i/>
                <w:sz w:val="24"/>
                <w:szCs w:val="24"/>
              </w:rPr>
              <w:t xml:space="preserve">That </w:t>
            </w:r>
            <w:r w:rsidRPr="00A82AF3">
              <w:rPr>
                <w:i/>
                <w:noProof/>
                <w:sz w:val="24"/>
                <w:szCs w:val="24"/>
              </w:rPr>
              <w:t>in</w:t>
            </w:r>
            <w:r>
              <w:rPr>
                <w:i/>
                <w:sz w:val="24"/>
                <w:szCs w:val="24"/>
              </w:rPr>
              <w:t xml:space="preserve"> </w:t>
            </w:r>
            <w:r w:rsidR="00070648">
              <w:rPr>
                <w:i/>
                <w:sz w:val="24"/>
                <w:szCs w:val="24"/>
              </w:rPr>
              <w:t>d</w:t>
            </w:r>
            <w:r>
              <w:rPr>
                <w:i/>
                <w:sz w:val="24"/>
                <w:szCs w:val="24"/>
              </w:rPr>
              <w:t>eveloping a future ‘</w:t>
            </w:r>
            <w:r w:rsidRPr="00626DE8">
              <w:rPr>
                <w:i/>
                <w:sz w:val="24"/>
                <w:szCs w:val="24"/>
              </w:rPr>
              <w:t>role and objectives</w:t>
            </w:r>
            <w:r>
              <w:rPr>
                <w:i/>
                <w:sz w:val="24"/>
                <w:szCs w:val="24"/>
              </w:rPr>
              <w:t xml:space="preserve">’ of the Family Law System, the Commission consider the </w:t>
            </w:r>
            <w:r w:rsidRPr="00A82AF3">
              <w:rPr>
                <w:i/>
                <w:noProof/>
                <w:sz w:val="24"/>
                <w:szCs w:val="24"/>
              </w:rPr>
              <w:t>data</w:t>
            </w:r>
            <w:r>
              <w:rPr>
                <w:i/>
                <w:sz w:val="24"/>
                <w:szCs w:val="24"/>
              </w:rPr>
              <w:t xml:space="preserve"> pointing to most separated spouses</w:t>
            </w:r>
            <w:r w:rsidR="00070648">
              <w:rPr>
                <w:i/>
                <w:sz w:val="24"/>
                <w:szCs w:val="24"/>
              </w:rPr>
              <w:t>, even within the family law system,</w:t>
            </w:r>
            <w:r>
              <w:rPr>
                <w:i/>
                <w:sz w:val="24"/>
                <w:szCs w:val="24"/>
              </w:rPr>
              <w:t xml:space="preserve"> reaching </w:t>
            </w:r>
            <w:r w:rsidR="00835F61">
              <w:rPr>
                <w:i/>
                <w:sz w:val="24"/>
                <w:szCs w:val="24"/>
              </w:rPr>
              <w:t xml:space="preserve">an </w:t>
            </w:r>
            <w:r w:rsidRPr="00835F61">
              <w:rPr>
                <w:i/>
                <w:noProof/>
                <w:sz w:val="24"/>
                <w:szCs w:val="24"/>
              </w:rPr>
              <w:t>agreement</w:t>
            </w:r>
            <w:r>
              <w:rPr>
                <w:i/>
                <w:sz w:val="24"/>
                <w:szCs w:val="24"/>
              </w:rPr>
              <w:t xml:space="preserve"> by themselves </w:t>
            </w:r>
            <w:r w:rsidR="001D699A">
              <w:rPr>
                <w:i/>
                <w:sz w:val="24"/>
                <w:szCs w:val="24"/>
              </w:rPr>
              <w:t xml:space="preserve">about their parenting </w:t>
            </w:r>
            <w:r w:rsidR="00070648">
              <w:rPr>
                <w:i/>
                <w:sz w:val="24"/>
                <w:szCs w:val="24"/>
              </w:rPr>
              <w:t>or</w:t>
            </w:r>
            <w:r w:rsidR="001D699A">
              <w:rPr>
                <w:i/>
                <w:sz w:val="24"/>
                <w:szCs w:val="24"/>
              </w:rPr>
              <w:t xml:space="preserve"> property arrangements</w:t>
            </w:r>
            <w:r>
              <w:rPr>
                <w:i/>
                <w:sz w:val="24"/>
                <w:szCs w:val="24"/>
              </w:rPr>
              <w:t>.</w:t>
            </w:r>
          </w:p>
        </w:tc>
      </w:tr>
    </w:tbl>
    <w:p w:rsidR="00AF01E8" w:rsidRDefault="00AF01E8" w:rsidP="00462142">
      <w:pPr>
        <w:spacing w:after="0" w:line="360" w:lineRule="auto"/>
        <w:rPr>
          <w:sz w:val="24"/>
          <w:szCs w:val="24"/>
        </w:rPr>
      </w:pPr>
      <w:r>
        <w:rPr>
          <w:sz w:val="24"/>
          <w:szCs w:val="24"/>
        </w:rPr>
        <w:br w:type="page"/>
      </w:r>
    </w:p>
    <w:p w:rsidR="009661A1" w:rsidRPr="00FE11B1" w:rsidRDefault="00FE11B1" w:rsidP="00462142">
      <w:pPr>
        <w:pStyle w:val="Heading1"/>
        <w:pBdr>
          <w:bottom w:val="single" w:sz="4" w:space="1" w:color="auto"/>
        </w:pBdr>
        <w:spacing w:before="0" w:line="360" w:lineRule="auto"/>
        <w:jc w:val="both"/>
        <w:rPr>
          <w:b/>
          <w:color w:val="auto"/>
          <w:sz w:val="36"/>
          <w:szCs w:val="36"/>
        </w:rPr>
      </w:pPr>
      <w:bookmarkStart w:id="19" w:name="_Toc512895938"/>
      <w:r w:rsidRPr="0031221F">
        <w:rPr>
          <w:b/>
          <w:color w:val="auto"/>
          <w:sz w:val="36"/>
          <w:szCs w:val="36"/>
        </w:rPr>
        <w:lastRenderedPageBreak/>
        <w:t>Question</w:t>
      </w:r>
      <w:r>
        <w:rPr>
          <w:b/>
          <w:color w:val="auto"/>
          <w:sz w:val="36"/>
          <w:szCs w:val="36"/>
        </w:rPr>
        <w:t xml:space="preserve"> 2</w:t>
      </w:r>
      <w:r w:rsidRPr="0031221F">
        <w:rPr>
          <w:b/>
          <w:color w:val="auto"/>
          <w:sz w:val="36"/>
          <w:szCs w:val="36"/>
        </w:rPr>
        <w:t xml:space="preserve">: </w:t>
      </w:r>
      <w:r w:rsidRPr="00FE11B1">
        <w:rPr>
          <w:b/>
          <w:color w:val="auto"/>
          <w:sz w:val="36"/>
          <w:szCs w:val="36"/>
        </w:rPr>
        <w:t>What principles should guide any redevelopment of the family law system?</w:t>
      </w:r>
      <w:bookmarkEnd w:id="19"/>
    </w:p>
    <w:p w:rsidR="00FE11B1" w:rsidRPr="00462142" w:rsidRDefault="00FE11B1" w:rsidP="00462142">
      <w:pPr>
        <w:pStyle w:val="Heading2"/>
        <w:spacing w:before="0" w:line="360" w:lineRule="auto"/>
        <w:rPr>
          <w:color w:val="auto"/>
          <w:sz w:val="28"/>
          <w:szCs w:val="28"/>
        </w:rPr>
      </w:pPr>
      <w:bookmarkStart w:id="20" w:name="_Toc512895939"/>
      <w:r w:rsidRPr="0031221F">
        <w:rPr>
          <w:color w:val="auto"/>
          <w:sz w:val="28"/>
          <w:szCs w:val="28"/>
        </w:rPr>
        <w:t xml:space="preserve">I </w:t>
      </w:r>
      <w:r>
        <w:rPr>
          <w:color w:val="auto"/>
          <w:sz w:val="28"/>
          <w:szCs w:val="28"/>
        </w:rPr>
        <w:t>Thinking Outside the Traditional Bases</w:t>
      </w:r>
      <w:bookmarkEnd w:id="20"/>
    </w:p>
    <w:p w:rsidR="00B72B62" w:rsidRPr="00070648" w:rsidRDefault="00FE11B1" w:rsidP="00462142">
      <w:pPr>
        <w:pStyle w:val="ListParagraph"/>
        <w:numPr>
          <w:ilvl w:val="0"/>
          <w:numId w:val="52"/>
        </w:numPr>
        <w:spacing w:after="0" w:line="360" w:lineRule="auto"/>
        <w:jc w:val="both"/>
        <w:rPr>
          <w:sz w:val="24"/>
          <w:szCs w:val="24"/>
        </w:rPr>
      </w:pPr>
      <w:r w:rsidRPr="00CC4FCD">
        <w:rPr>
          <w:sz w:val="24"/>
          <w:szCs w:val="24"/>
        </w:rPr>
        <w:t xml:space="preserve">This part examines the theoretical. It </w:t>
      </w:r>
      <w:r w:rsidR="00C8274F" w:rsidRPr="00CC4FCD">
        <w:rPr>
          <w:noProof/>
          <w:sz w:val="24"/>
          <w:szCs w:val="24"/>
        </w:rPr>
        <w:t xml:space="preserve">focuses </w:t>
      </w:r>
      <w:r w:rsidRPr="00CC4FCD">
        <w:rPr>
          <w:sz w:val="24"/>
          <w:szCs w:val="24"/>
        </w:rPr>
        <w:t xml:space="preserve">on property settlements. The discussion comes mainly from my thesis, albeit in a summary form. </w:t>
      </w:r>
      <w:bookmarkStart w:id="21" w:name="_Hlk493088537"/>
      <w:r w:rsidR="00FB16EA">
        <w:rPr>
          <w:sz w:val="24"/>
          <w:szCs w:val="24"/>
        </w:rPr>
        <w:t xml:space="preserve">Any reference to a provision in Part VIII of the </w:t>
      </w:r>
      <w:r w:rsidR="00FB16EA">
        <w:rPr>
          <w:i/>
          <w:sz w:val="24"/>
          <w:szCs w:val="24"/>
        </w:rPr>
        <w:t>Act</w:t>
      </w:r>
      <w:r w:rsidR="00FB16EA">
        <w:rPr>
          <w:sz w:val="24"/>
          <w:szCs w:val="24"/>
        </w:rPr>
        <w:t xml:space="preserve"> includes its de-facto relationship equivalent. </w:t>
      </w:r>
    </w:p>
    <w:p w:rsidR="002C6AC2" w:rsidRPr="00070648" w:rsidRDefault="003E296A" w:rsidP="00462142">
      <w:pPr>
        <w:pStyle w:val="ListParagraph"/>
        <w:numPr>
          <w:ilvl w:val="0"/>
          <w:numId w:val="52"/>
        </w:numPr>
        <w:spacing w:after="0" w:line="360" w:lineRule="auto"/>
        <w:jc w:val="both"/>
        <w:rPr>
          <w:sz w:val="24"/>
          <w:szCs w:val="24"/>
        </w:rPr>
      </w:pPr>
      <w:r>
        <w:rPr>
          <w:sz w:val="24"/>
          <w:szCs w:val="24"/>
        </w:rPr>
        <w:t>I use</w:t>
      </w:r>
      <w:r w:rsidR="00FE11B1" w:rsidRPr="00CC4FCD">
        <w:rPr>
          <w:sz w:val="24"/>
          <w:szCs w:val="24"/>
        </w:rPr>
        <w:t xml:space="preserve"> the term ‘separated families’. It means “married and de-facto couples where there is a child or children of that marriage or de-facto relationship”. It includes where there is a child of the relationship using an artificial conception procedure.</w:t>
      </w:r>
      <w:bookmarkEnd w:id="21"/>
      <w:r w:rsidR="00D85E48" w:rsidRPr="00FE11B1">
        <w:rPr>
          <w:vertAlign w:val="superscript"/>
        </w:rPr>
        <w:endnoteReference w:id="44"/>
      </w:r>
      <w:r w:rsidR="00D85E48" w:rsidRPr="00CC4FCD">
        <w:rPr>
          <w:sz w:val="24"/>
          <w:szCs w:val="24"/>
        </w:rPr>
        <w:t xml:space="preserve">  It excludes relationships (married or otherwise) where there are no children. It excludes families with </w:t>
      </w:r>
      <w:r w:rsidR="00C8274F" w:rsidRPr="00CC4FCD">
        <w:rPr>
          <w:sz w:val="24"/>
          <w:szCs w:val="24"/>
        </w:rPr>
        <w:t xml:space="preserve">the </w:t>
      </w:r>
      <w:r w:rsidR="00D85E48" w:rsidRPr="00CC4FCD">
        <w:rPr>
          <w:noProof/>
          <w:sz w:val="24"/>
          <w:szCs w:val="24"/>
        </w:rPr>
        <w:t>care</w:t>
      </w:r>
      <w:r w:rsidR="00D85E48" w:rsidRPr="00CC4FCD">
        <w:rPr>
          <w:sz w:val="24"/>
          <w:szCs w:val="24"/>
        </w:rPr>
        <w:t xml:space="preserve"> of dependent children from prior relationships</w:t>
      </w:r>
      <w:r>
        <w:rPr>
          <w:sz w:val="24"/>
          <w:szCs w:val="24"/>
        </w:rPr>
        <w:t xml:space="preserve"> (only)</w:t>
      </w:r>
      <w:r w:rsidR="00D85E48" w:rsidRPr="00CC4FCD">
        <w:rPr>
          <w:sz w:val="24"/>
          <w:szCs w:val="24"/>
        </w:rPr>
        <w:t xml:space="preserve"> (‘blended families’).  </w:t>
      </w:r>
    </w:p>
    <w:p w:rsidR="00DA077A" w:rsidRPr="00CC4FCD" w:rsidRDefault="00FB16EA" w:rsidP="009A0126">
      <w:pPr>
        <w:pStyle w:val="ListParagraph"/>
        <w:numPr>
          <w:ilvl w:val="0"/>
          <w:numId w:val="52"/>
        </w:numPr>
        <w:spacing w:after="0" w:line="360" w:lineRule="auto"/>
        <w:jc w:val="both"/>
        <w:rPr>
          <w:sz w:val="24"/>
          <w:szCs w:val="24"/>
        </w:rPr>
      </w:pPr>
      <w:r>
        <w:rPr>
          <w:sz w:val="24"/>
          <w:szCs w:val="24"/>
        </w:rPr>
        <w:t xml:space="preserve">I argue that specific principles can, and should, apply to property settlements for separated families (as defined). </w:t>
      </w:r>
      <w:r w:rsidR="00D85E48" w:rsidRPr="00CC4FCD">
        <w:rPr>
          <w:sz w:val="24"/>
          <w:szCs w:val="24"/>
        </w:rPr>
        <w:t>In brief, the</w:t>
      </w:r>
      <w:r w:rsidR="00DA077A" w:rsidRPr="00CC4FCD">
        <w:rPr>
          <w:sz w:val="24"/>
          <w:szCs w:val="24"/>
        </w:rPr>
        <w:t xml:space="preserve"> justifications for this approach</w:t>
      </w:r>
      <w:r w:rsidR="00D85E48" w:rsidRPr="00CC4FCD">
        <w:rPr>
          <w:sz w:val="24"/>
          <w:szCs w:val="24"/>
        </w:rPr>
        <w:t xml:space="preserve"> are</w:t>
      </w:r>
      <w:r w:rsidR="00DA077A" w:rsidRPr="00CC4FCD">
        <w:rPr>
          <w:sz w:val="24"/>
          <w:szCs w:val="24"/>
        </w:rPr>
        <w:t>:</w:t>
      </w:r>
    </w:p>
    <w:p w:rsidR="00DA077A" w:rsidRDefault="00D85E48" w:rsidP="009A0126">
      <w:pPr>
        <w:pStyle w:val="ListParagraph"/>
        <w:numPr>
          <w:ilvl w:val="0"/>
          <w:numId w:val="9"/>
        </w:numPr>
        <w:spacing w:after="0" w:line="360" w:lineRule="auto"/>
        <w:jc w:val="both"/>
        <w:rPr>
          <w:sz w:val="24"/>
          <w:szCs w:val="24"/>
        </w:rPr>
      </w:pPr>
      <w:r w:rsidRPr="00DA077A">
        <w:rPr>
          <w:sz w:val="24"/>
          <w:szCs w:val="24"/>
        </w:rPr>
        <w:t xml:space="preserve">the specific economic choices required (in intact relationships) </w:t>
      </w:r>
      <w:r w:rsidR="00DA077A" w:rsidRPr="00DA077A">
        <w:rPr>
          <w:sz w:val="24"/>
          <w:szCs w:val="24"/>
        </w:rPr>
        <w:t>with</w:t>
      </w:r>
      <w:r w:rsidRPr="00DA077A">
        <w:rPr>
          <w:sz w:val="24"/>
          <w:szCs w:val="24"/>
        </w:rPr>
        <w:t xml:space="preserve"> a child, </w:t>
      </w:r>
    </w:p>
    <w:p w:rsidR="00DA077A" w:rsidRDefault="00D85E48" w:rsidP="009A0126">
      <w:pPr>
        <w:pStyle w:val="ListParagraph"/>
        <w:numPr>
          <w:ilvl w:val="0"/>
          <w:numId w:val="9"/>
        </w:numPr>
        <w:spacing w:after="0" w:line="360" w:lineRule="auto"/>
        <w:jc w:val="both"/>
        <w:rPr>
          <w:sz w:val="24"/>
          <w:szCs w:val="24"/>
        </w:rPr>
      </w:pPr>
      <w:r w:rsidRPr="00DA077A">
        <w:rPr>
          <w:sz w:val="24"/>
          <w:szCs w:val="24"/>
        </w:rPr>
        <w:t xml:space="preserve">the </w:t>
      </w:r>
      <w:r w:rsidR="003E296A" w:rsidRPr="00A82AF3">
        <w:rPr>
          <w:noProof/>
          <w:sz w:val="24"/>
          <w:szCs w:val="24"/>
        </w:rPr>
        <w:t>likely</w:t>
      </w:r>
      <w:r w:rsidRPr="00DA077A">
        <w:rPr>
          <w:sz w:val="24"/>
          <w:szCs w:val="24"/>
        </w:rPr>
        <w:t xml:space="preserve"> ongoing parental and financial relationship after separation for parents with dependent children, and </w:t>
      </w:r>
    </w:p>
    <w:p w:rsidR="002C6AC2" w:rsidRPr="00070648" w:rsidRDefault="00D85E48" w:rsidP="00462142">
      <w:pPr>
        <w:pStyle w:val="ListParagraph"/>
        <w:numPr>
          <w:ilvl w:val="0"/>
          <w:numId w:val="9"/>
        </w:numPr>
        <w:spacing w:after="0" w:line="360" w:lineRule="auto"/>
        <w:jc w:val="both"/>
        <w:rPr>
          <w:sz w:val="24"/>
          <w:szCs w:val="24"/>
        </w:rPr>
      </w:pPr>
      <w:r w:rsidRPr="00DA077A">
        <w:rPr>
          <w:sz w:val="24"/>
          <w:szCs w:val="24"/>
        </w:rPr>
        <w:t xml:space="preserve">the difficulty in an analysis based on two different types of relationships (marriages and de-facto relationships).  </w:t>
      </w:r>
    </w:p>
    <w:p w:rsidR="002C6AC2" w:rsidRPr="00070648" w:rsidRDefault="003E296A" w:rsidP="00462142">
      <w:pPr>
        <w:pStyle w:val="ListParagraph"/>
        <w:numPr>
          <w:ilvl w:val="0"/>
          <w:numId w:val="52"/>
        </w:numPr>
        <w:spacing w:after="0" w:line="360" w:lineRule="auto"/>
        <w:jc w:val="both"/>
        <w:rPr>
          <w:sz w:val="24"/>
          <w:szCs w:val="24"/>
        </w:rPr>
      </w:pPr>
      <w:r>
        <w:rPr>
          <w:sz w:val="24"/>
          <w:szCs w:val="24"/>
        </w:rPr>
        <w:t>It is uncontroversial to say that c</w:t>
      </w:r>
      <w:r w:rsidR="00D85E48" w:rsidRPr="00CC4FCD">
        <w:rPr>
          <w:sz w:val="24"/>
          <w:szCs w:val="24"/>
        </w:rPr>
        <w:t>ouples with children make decisions with significant financial consequences that couples without children do not make. These</w:t>
      </w:r>
      <w:r>
        <w:rPr>
          <w:sz w:val="24"/>
          <w:szCs w:val="24"/>
        </w:rPr>
        <w:t xml:space="preserve"> decisions</w:t>
      </w:r>
      <w:r w:rsidR="00D85E48" w:rsidRPr="00CC4FCD">
        <w:rPr>
          <w:sz w:val="24"/>
          <w:szCs w:val="24"/>
        </w:rPr>
        <w:t xml:space="preserve"> include whether one parent should leave the workforce altogether, or one or both parents continue in full-time work or part-time </w:t>
      </w:r>
      <w:r w:rsidRPr="00CC4FCD">
        <w:rPr>
          <w:sz w:val="24"/>
          <w:szCs w:val="24"/>
        </w:rPr>
        <w:t>work</w:t>
      </w:r>
      <w:r>
        <w:rPr>
          <w:sz w:val="24"/>
          <w:szCs w:val="24"/>
        </w:rPr>
        <w:t xml:space="preserve"> or</w:t>
      </w:r>
      <w:r w:rsidR="00D85E48" w:rsidRPr="00CC4FCD">
        <w:rPr>
          <w:sz w:val="24"/>
          <w:szCs w:val="24"/>
        </w:rPr>
        <w:t xml:space="preserve"> take a short or long period of leave. Longer-term decisions include whether to rely upon paid or unpaid day-care </w:t>
      </w:r>
      <w:r w:rsidR="00DA077A" w:rsidRPr="00CC4FCD">
        <w:rPr>
          <w:sz w:val="24"/>
          <w:szCs w:val="24"/>
        </w:rPr>
        <w:t>arrangements or</w:t>
      </w:r>
      <w:r w:rsidR="00D85E48" w:rsidRPr="00CC4FCD">
        <w:rPr>
          <w:sz w:val="24"/>
          <w:szCs w:val="24"/>
        </w:rPr>
        <w:t xml:space="preserve"> accept or decline opportunities for promotion.  </w:t>
      </w:r>
    </w:p>
    <w:p w:rsidR="00CC4FCD" w:rsidRPr="003E296A" w:rsidRDefault="00D85E48" w:rsidP="003E296A">
      <w:pPr>
        <w:pStyle w:val="ListParagraph"/>
        <w:numPr>
          <w:ilvl w:val="0"/>
          <w:numId w:val="52"/>
        </w:numPr>
        <w:spacing w:after="0" w:line="360" w:lineRule="auto"/>
        <w:jc w:val="both"/>
        <w:rPr>
          <w:sz w:val="24"/>
          <w:szCs w:val="24"/>
        </w:rPr>
      </w:pPr>
      <w:r w:rsidRPr="00CC4FCD">
        <w:rPr>
          <w:sz w:val="24"/>
          <w:szCs w:val="24"/>
        </w:rPr>
        <w:t>Th</w:t>
      </w:r>
      <w:r w:rsidR="00B72B62" w:rsidRPr="00CC4FCD">
        <w:rPr>
          <w:sz w:val="24"/>
          <w:szCs w:val="24"/>
        </w:rPr>
        <w:t>e</w:t>
      </w:r>
      <w:r w:rsidRPr="00CC4FCD">
        <w:rPr>
          <w:sz w:val="24"/>
          <w:szCs w:val="24"/>
        </w:rPr>
        <w:t xml:space="preserve"> </w:t>
      </w:r>
      <w:r w:rsidR="00B72B62" w:rsidRPr="00CC4FCD">
        <w:rPr>
          <w:sz w:val="24"/>
          <w:szCs w:val="24"/>
        </w:rPr>
        <w:t xml:space="preserve">couple </w:t>
      </w:r>
      <w:r w:rsidRPr="00CC4FCD">
        <w:rPr>
          <w:sz w:val="24"/>
          <w:szCs w:val="24"/>
        </w:rPr>
        <w:t>relationship</w:t>
      </w:r>
      <w:r w:rsidR="003E296A">
        <w:rPr>
          <w:sz w:val="24"/>
          <w:szCs w:val="24"/>
        </w:rPr>
        <w:t xml:space="preserve"> changes but </w:t>
      </w:r>
      <w:r w:rsidRPr="00CC4FCD">
        <w:rPr>
          <w:sz w:val="24"/>
          <w:szCs w:val="24"/>
        </w:rPr>
        <w:t xml:space="preserve">continues </w:t>
      </w:r>
      <w:r w:rsidR="003E296A">
        <w:rPr>
          <w:sz w:val="24"/>
          <w:szCs w:val="24"/>
        </w:rPr>
        <w:t xml:space="preserve">in a different form </w:t>
      </w:r>
      <w:r w:rsidRPr="00CC4FCD">
        <w:rPr>
          <w:sz w:val="24"/>
          <w:szCs w:val="24"/>
        </w:rPr>
        <w:t xml:space="preserve">post-separation. The </w:t>
      </w:r>
      <w:r w:rsidRPr="00CC4FCD">
        <w:rPr>
          <w:i/>
          <w:sz w:val="24"/>
          <w:szCs w:val="24"/>
        </w:rPr>
        <w:t>Act</w:t>
      </w:r>
      <w:r w:rsidRPr="00CC4FCD">
        <w:rPr>
          <w:sz w:val="24"/>
          <w:szCs w:val="24"/>
        </w:rPr>
        <w:t xml:space="preserve"> provides that, in parenting cases, one of its objects is to ensure children have, consistent with their best interests, a meaningful involvement with each of their parents.</w:t>
      </w:r>
      <w:r w:rsidRPr="00FE11B1">
        <w:rPr>
          <w:vertAlign w:val="superscript"/>
        </w:rPr>
        <w:endnoteReference w:id="45"/>
      </w:r>
      <w:r w:rsidRPr="00CC4FCD">
        <w:rPr>
          <w:sz w:val="24"/>
          <w:szCs w:val="24"/>
        </w:rPr>
        <w:t xml:space="preserve"> Scholarly literature recognises the continuing nature of the parental relationship post-separation.</w:t>
      </w:r>
      <w:r w:rsidRPr="00FE11B1">
        <w:rPr>
          <w:vertAlign w:val="superscript"/>
        </w:rPr>
        <w:endnoteReference w:id="46"/>
      </w:r>
      <w:r w:rsidRPr="00CC4FCD">
        <w:rPr>
          <w:sz w:val="24"/>
          <w:szCs w:val="24"/>
        </w:rPr>
        <w:t xml:space="preserve"> </w:t>
      </w:r>
      <w:r w:rsidR="003E296A" w:rsidRPr="00A82AF3">
        <w:rPr>
          <w:noProof/>
          <w:sz w:val="24"/>
          <w:szCs w:val="24"/>
        </w:rPr>
        <w:t>Legal</w:t>
      </w:r>
      <w:r w:rsidR="003E296A">
        <w:rPr>
          <w:sz w:val="24"/>
          <w:szCs w:val="24"/>
        </w:rPr>
        <w:t xml:space="preserve"> financial obligations continue.</w:t>
      </w:r>
      <w:r w:rsidRPr="00CC4FCD">
        <w:rPr>
          <w:sz w:val="24"/>
          <w:szCs w:val="24"/>
        </w:rPr>
        <w:t xml:space="preserve">  </w:t>
      </w:r>
      <w:r w:rsidR="00C8274F" w:rsidRPr="00CC4FCD">
        <w:rPr>
          <w:sz w:val="24"/>
          <w:szCs w:val="24"/>
        </w:rPr>
        <w:t>C</w:t>
      </w:r>
      <w:r w:rsidRPr="00CC4FCD">
        <w:rPr>
          <w:sz w:val="24"/>
          <w:szCs w:val="24"/>
        </w:rPr>
        <w:t xml:space="preserve">hild support will </w:t>
      </w:r>
      <w:r w:rsidRPr="00CC4FCD">
        <w:rPr>
          <w:sz w:val="24"/>
          <w:szCs w:val="24"/>
        </w:rPr>
        <w:lastRenderedPageBreak/>
        <w:t>be payable until the youngest child reaches 18.</w:t>
      </w:r>
      <w:r w:rsidRPr="00FE11B1">
        <w:rPr>
          <w:vertAlign w:val="superscript"/>
        </w:rPr>
        <w:endnoteReference w:id="47"/>
      </w:r>
      <w:r w:rsidRPr="00CC4FCD">
        <w:rPr>
          <w:sz w:val="24"/>
          <w:szCs w:val="24"/>
        </w:rPr>
        <w:t xml:space="preserve"> If any of the children continue a course of </w:t>
      </w:r>
      <w:r w:rsidRPr="00CC4FCD">
        <w:rPr>
          <w:noProof/>
          <w:sz w:val="24"/>
          <w:szCs w:val="24"/>
        </w:rPr>
        <w:t>education</w:t>
      </w:r>
      <w:r w:rsidRPr="00CC4FCD">
        <w:rPr>
          <w:sz w:val="24"/>
          <w:szCs w:val="24"/>
        </w:rPr>
        <w:t xml:space="preserve"> or suffer from a disability, a court may order a parent to continue to pay child maintenance after a child turns 18.</w:t>
      </w:r>
      <w:r w:rsidRPr="00FE11B1">
        <w:rPr>
          <w:vertAlign w:val="superscript"/>
        </w:rPr>
        <w:endnoteReference w:id="48"/>
      </w:r>
      <w:r w:rsidRPr="00CC4FCD">
        <w:rPr>
          <w:sz w:val="24"/>
          <w:szCs w:val="24"/>
        </w:rPr>
        <w:t xml:space="preserve"> </w:t>
      </w:r>
    </w:p>
    <w:p w:rsidR="00FB16EA" w:rsidRDefault="00D85E48" w:rsidP="00070648">
      <w:pPr>
        <w:pStyle w:val="ListParagraph"/>
        <w:numPr>
          <w:ilvl w:val="0"/>
          <w:numId w:val="52"/>
        </w:numPr>
        <w:spacing w:after="0" w:line="360" w:lineRule="auto"/>
        <w:jc w:val="both"/>
        <w:rPr>
          <w:sz w:val="24"/>
          <w:szCs w:val="24"/>
        </w:rPr>
      </w:pPr>
      <w:r w:rsidRPr="00CC4FCD">
        <w:rPr>
          <w:sz w:val="24"/>
          <w:szCs w:val="24"/>
        </w:rPr>
        <w:t xml:space="preserve">Basing potential reform on the nature of marriage presents several problems. Past suggestions for law reform include </w:t>
      </w:r>
      <w:r w:rsidR="00C8274F" w:rsidRPr="00CC4FCD">
        <w:rPr>
          <w:noProof/>
          <w:sz w:val="24"/>
          <w:szCs w:val="24"/>
        </w:rPr>
        <w:t>found</w:t>
      </w:r>
      <w:r w:rsidRPr="00CC4FCD">
        <w:rPr>
          <w:noProof/>
          <w:sz w:val="24"/>
          <w:szCs w:val="24"/>
        </w:rPr>
        <w:t>ing</w:t>
      </w:r>
      <w:r w:rsidRPr="00CC4FCD">
        <w:rPr>
          <w:sz w:val="24"/>
          <w:szCs w:val="24"/>
        </w:rPr>
        <w:t xml:space="preserve"> division of property on the status of spouses to </w:t>
      </w:r>
      <w:r w:rsidRPr="00CC4FCD">
        <w:rPr>
          <w:noProof/>
          <w:sz w:val="24"/>
          <w:szCs w:val="24"/>
        </w:rPr>
        <w:t>marriage</w:t>
      </w:r>
      <w:r w:rsidRPr="00CC4FCD">
        <w:rPr>
          <w:sz w:val="24"/>
          <w:szCs w:val="24"/>
        </w:rPr>
        <w:t xml:space="preserve"> and the </w:t>
      </w:r>
      <w:r w:rsidR="00C8274F" w:rsidRPr="00CC4FCD">
        <w:rPr>
          <w:noProof/>
          <w:sz w:val="24"/>
          <w:szCs w:val="24"/>
        </w:rPr>
        <w:t>quality</w:t>
      </w:r>
      <w:r w:rsidRPr="00CC4FCD">
        <w:rPr>
          <w:sz w:val="24"/>
          <w:szCs w:val="24"/>
        </w:rPr>
        <w:t xml:space="preserve"> of the marriage relationship.</w:t>
      </w:r>
      <w:r w:rsidRPr="00FE11B1">
        <w:rPr>
          <w:vertAlign w:val="superscript"/>
        </w:rPr>
        <w:endnoteReference w:id="49"/>
      </w:r>
      <w:r w:rsidRPr="00CC4FCD">
        <w:rPr>
          <w:sz w:val="24"/>
          <w:szCs w:val="24"/>
        </w:rPr>
        <w:t xml:space="preserve"> The </w:t>
      </w:r>
      <w:r w:rsidRPr="00CC4FCD">
        <w:rPr>
          <w:i/>
          <w:sz w:val="24"/>
          <w:szCs w:val="24"/>
        </w:rPr>
        <w:t>Act</w:t>
      </w:r>
      <w:r w:rsidRPr="00CC4FCD">
        <w:rPr>
          <w:sz w:val="24"/>
          <w:szCs w:val="24"/>
        </w:rPr>
        <w:t xml:space="preserve"> already applies to de-facto </w:t>
      </w:r>
      <w:r w:rsidRPr="00CC4FCD">
        <w:rPr>
          <w:noProof/>
          <w:sz w:val="24"/>
          <w:szCs w:val="24"/>
        </w:rPr>
        <w:t>relationships</w:t>
      </w:r>
      <w:r w:rsidRPr="00CC4FCD">
        <w:rPr>
          <w:sz w:val="24"/>
          <w:szCs w:val="24"/>
        </w:rPr>
        <w:t xml:space="preserve"> and has done so since 2009.</w:t>
      </w:r>
      <w:r w:rsidRPr="00FE11B1">
        <w:rPr>
          <w:vertAlign w:val="superscript"/>
        </w:rPr>
        <w:endnoteReference w:id="50"/>
      </w:r>
      <w:r w:rsidRPr="00CC4FCD">
        <w:rPr>
          <w:sz w:val="24"/>
          <w:szCs w:val="24"/>
        </w:rPr>
        <w:t xml:space="preserve"> </w:t>
      </w:r>
      <w:r w:rsidR="00FB16EA">
        <w:rPr>
          <w:sz w:val="24"/>
          <w:szCs w:val="24"/>
        </w:rPr>
        <w:t xml:space="preserve">If marriage were the (only) rationale for alteration of property </w:t>
      </w:r>
      <w:r w:rsidR="00FB16EA" w:rsidRPr="00A82AF3">
        <w:rPr>
          <w:noProof/>
          <w:sz w:val="24"/>
          <w:szCs w:val="24"/>
        </w:rPr>
        <w:t>interests</w:t>
      </w:r>
      <w:r w:rsidR="00A82AF3">
        <w:rPr>
          <w:noProof/>
          <w:sz w:val="24"/>
          <w:szCs w:val="24"/>
        </w:rPr>
        <w:t>,</w:t>
      </w:r>
      <w:r w:rsidR="00FB16EA">
        <w:rPr>
          <w:sz w:val="24"/>
          <w:szCs w:val="24"/>
        </w:rPr>
        <w:t xml:space="preserve"> then the whole of the </w:t>
      </w:r>
      <w:r w:rsidR="00FB16EA" w:rsidRPr="00FB16EA">
        <w:rPr>
          <w:i/>
          <w:sz w:val="24"/>
          <w:szCs w:val="24"/>
        </w:rPr>
        <w:t>Act</w:t>
      </w:r>
      <w:r w:rsidR="00FB16EA">
        <w:rPr>
          <w:sz w:val="24"/>
          <w:szCs w:val="24"/>
        </w:rPr>
        <w:t xml:space="preserve"> (as it stands) concerning de-facto relationships is without a policy basis. </w:t>
      </w:r>
    </w:p>
    <w:p w:rsidR="00CC4FCD" w:rsidRPr="00FB16EA" w:rsidRDefault="00FB16EA" w:rsidP="00FB16EA">
      <w:pPr>
        <w:pStyle w:val="ListParagraph"/>
        <w:numPr>
          <w:ilvl w:val="0"/>
          <w:numId w:val="52"/>
        </w:numPr>
        <w:spacing w:after="0" w:line="360" w:lineRule="auto"/>
        <w:jc w:val="both"/>
        <w:rPr>
          <w:sz w:val="24"/>
          <w:szCs w:val="24"/>
        </w:rPr>
      </w:pPr>
      <w:r>
        <w:rPr>
          <w:sz w:val="24"/>
          <w:szCs w:val="24"/>
        </w:rPr>
        <w:t xml:space="preserve">De-facto relationships form a significant component of types of couple relationships. </w:t>
      </w:r>
      <w:r w:rsidR="00D85E48" w:rsidRPr="00FB16EA">
        <w:rPr>
          <w:sz w:val="24"/>
          <w:szCs w:val="24"/>
        </w:rPr>
        <w:t xml:space="preserve">ABS data for de-facto couples (2006) suggests </w:t>
      </w:r>
      <w:r w:rsidR="00D85E48" w:rsidRPr="00FB16EA">
        <w:rPr>
          <w:noProof/>
          <w:sz w:val="24"/>
          <w:szCs w:val="24"/>
        </w:rPr>
        <w:t>de-facto</w:t>
      </w:r>
      <w:r w:rsidR="00D85E48" w:rsidRPr="00FB16EA">
        <w:rPr>
          <w:sz w:val="24"/>
          <w:szCs w:val="24"/>
        </w:rPr>
        <w:t xml:space="preserve"> couple families make up around 15 </w:t>
      </w:r>
      <w:r w:rsidR="00D45D94" w:rsidRPr="00FB16EA">
        <w:rPr>
          <w:sz w:val="24"/>
          <w:szCs w:val="24"/>
        </w:rPr>
        <w:t>%</w:t>
      </w:r>
      <w:r w:rsidR="00D85E48" w:rsidRPr="00FB16EA">
        <w:rPr>
          <w:sz w:val="24"/>
          <w:szCs w:val="24"/>
        </w:rPr>
        <w:t xml:space="preserve"> of all families.</w:t>
      </w:r>
      <w:r w:rsidR="00D85E48" w:rsidRPr="00FE11B1">
        <w:rPr>
          <w:vertAlign w:val="superscript"/>
        </w:rPr>
        <w:endnoteReference w:id="51"/>
      </w:r>
      <w:r w:rsidR="00D85E48" w:rsidRPr="00FB16EA">
        <w:rPr>
          <w:sz w:val="24"/>
          <w:szCs w:val="24"/>
        </w:rPr>
        <w:t xml:space="preserve"> Other data points to increases in the ex-nuptial birth rates in the last </w:t>
      </w:r>
      <w:r w:rsidR="00D85E48" w:rsidRPr="00FB16EA">
        <w:rPr>
          <w:noProof/>
          <w:sz w:val="24"/>
          <w:szCs w:val="24"/>
        </w:rPr>
        <w:t>half</w:t>
      </w:r>
      <w:r w:rsidR="00C8274F" w:rsidRPr="00FB16EA">
        <w:rPr>
          <w:noProof/>
          <w:sz w:val="24"/>
          <w:szCs w:val="24"/>
        </w:rPr>
        <w:t>-</w:t>
      </w:r>
      <w:r w:rsidR="00D85E48" w:rsidRPr="00FB16EA">
        <w:rPr>
          <w:noProof/>
          <w:sz w:val="24"/>
          <w:szCs w:val="24"/>
        </w:rPr>
        <w:t>century</w:t>
      </w:r>
      <w:r w:rsidR="00D85E48" w:rsidRPr="00FB16EA">
        <w:rPr>
          <w:sz w:val="24"/>
          <w:szCs w:val="24"/>
        </w:rPr>
        <w:t xml:space="preserve">. In 1959, the ex-nuptial birth rate was 4.71 </w:t>
      </w:r>
      <w:r w:rsidR="00D45D94" w:rsidRPr="00FB16EA">
        <w:rPr>
          <w:sz w:val="24"/>
          <w:szCs w:val="24"/>
        </w:rPr>
        <w:t>%</w:t>
      </w:r>
      <w:r w:rsidR="00D85E48" w:rsidRPr="00FB16EA">
        <w:rPr>
          <w:sz w:val="24"/>
          <w:szCs w:val="24"/>
        </w:rPr>
        <w:t xml:space="preserve">; by 2007, it was 33.33 </w:t>
      </w:r>
      <w:r w:rsidR="00D45D94" w:rsidRPr="00FB16EA">
        <w:rPr>
          <w:sz w:val="24"/>
          <w:szCs w:val="24"/>
        </w:rPr>
        <w:t>%</w:t>
      </w:r>
      <w:r w:rsidR="00D85E48" w:rsidRPr="00FB16EA">
        <w:rPr>
          <w:sz w:val="24"/>
          <w:szCs w:val="24"/>
        </w:rPr>
        <w:t xml:space="preserve">, and 34.51 </w:t>
      </w:r>
      <w:r w:rsidR="00D45D94" w:rsidRPr="00FB16EA">
        <w:rPr>
          <w:sz w:val="24"/>
          <w:szCs w:val="24"/>
        </w:rPr>
        <w:t>%</w:t>
      </w:r>
      <w:r w:rsidR="00D85E48" w:rsidRPr="00FB16EA">
        <w:rPr>
          <w:sz w:val="24"/>
          <w:szCs w:val="24"/>
        </w:rPr>
        <w:t xml:space="preserve"> in 2012.</w:t>
      </w:r>
      <w:r w:rsidR="00D85E48" w:rsidRPr="00FE11B1">
        <w:rPr>
          <w:vertAlign w:val="superscript"/>
        </w:rPr>
        <w:endnoteReference w:id="52"/>
      </w:r>
      <w:r w:rsidR="00D85E48" w:rsidRPr="00FB16EA">
        <w:rPr>
          <w:sz w:val="24"/>
          <w:szCs w:val="24"/>
        </w:rPr>
        <w:t xml:space="preserve"> A noticeable minority of children are therefore born to parents in a de-facto relationship. </w:t>
      </w:r>
    </w:p>
    <w:p w:rsidR="003E296A" w:rsidRDefault="00D85E48" w:rsidP="00070648">
      <w:pPr>
        <w:pStyle w:val="ListParagraph"/>
        <w:numPr>
          <w:ilvl w:val="0"/>
          <w:numId w:val="52"/>
        </w:numPr>
        <w:spacing w:after="0" w:line="360" w:lineRule="auto"/>
        <w:jc w:val="both"/>
        <w:rPr>
          <w:sz w:val="24"/>
          <w:szCs w:val="24"/>
        </w:rPr>
      </w:pPr>
      <w:r w:rsidRPr="00CC4FCD">
        <w:rPr>
          <w:sz w:val="24"/>
          <w:szCs w:val="24"/>
        </w:rPr>
        <w:t xml:space="preserve">An option is to treat marriages and de-facto relationships as </w:t>
      </w:r>
      <w:r w:rsidR="00DA077A" w:rsidRPr="00CC4FCD">
        <w:rPr>
          <w:sz w:val="24"/>
          <w:szCs w:val="24"/>
        </w:rPr>
        <w:t>equivalent and</w:t>
      </w:r>
      <w:r w:rsidRPr="00CC4FCD">
        <w:rPr>
          <w:sz w:val="24"/>
          <w:szCs w:val="24"/>
        </w:rPr>
        <w:t xml:space="preserve"> use the nature of the spouse’s </w:t>
      </w:r>
      <w:r w:rsidRPr="00CC4FCD">
        <w:rPr>
          <w:noProof/>
          <w:sz w:val="24"/>
          <w:szCs w:val="24"/>
        </w:rPr>
        <w:t>relationship</w:t>
      </w:r>
      <w:r w:rsidRPr="00CC4FCD">
        <w:rPr>
          <w:sz w:val="24"/>
          <w:szCs w:val="24"/>
        </w:rPr>
        <w:t xml:space="preserve"> as a </w:t>
      </w:r>
      <w:r w:rsidR="003E296A">
        <w:rPr>
          <w:sz w:val="24"/>
          <w:szCs w:val="24"/>
        </w:rPr>
        <w:t xml:space="preserve">policy basis to justify alteration of </w:t>
      </w:r>
      <w:r w:rsidR="003E296A" w:rsidRPr="00A82AF3">
        <w:rPr>
          <w:noProof/>
          <w:sz w:val="24"/>
          <w:szCs w:val="24"/>
        </w:rPr>
        <w:t>property</w:t>
      </w:r>
      <w:r w:rsidR="003E296A">
        <w:rPr>
          <w:sz w:val="24"/>
          <w:szCs w:val="24"/>
        </w:rPr>
        <w:t xml:space="preserve"> interest</w:t>
      </w:r>
      <w:r w:rsidRPr="00CC4FCD">
        <w:rPr>
          <w:sz w:val="24"/>
          <w:szCs w:val="24"/>
        </w:rPr>
        <w:t xml:space="preserve">. </w:t>
      </w:r>
      <w:r w:rsidR="003E296A">
        <w:rPr>
          <w:sz w:val="24"/>
          <w:szCs w:val="24"/>
        </w:rPr>
        <w:t>M</w:t>
      </w:r>
      <w:r w:rsidRPr="00CC4FCD">
        <w:rPr>
          <w:sz w:val="24"/>
          <w:szCs w:val="24"/>
        </w:rPr>
        <w:t xml:space="preserve">arriages and de-facto </w:t>
      </w:r>
      <w:r w:rsidRPr="00CC4FCD">
        <w:rPr>
          <w:noProof/>
          <w:sz w:val="24"/>
          <w:szCs w:val="24"/>
        </w:rPr>
        <w:t>relationships</w:t>
      </w:r>
      <w:r w:rsidRPr="00CC4FCD">
        <w:rPr>
          <w:sz w:val="24"/>
          <w:szCs w:val="24"/>
        </w:rPr>
        <w:t xml:space="preserve"> are different legal concepts,</w:t>
      </w:r>
      <w:r w:rsidRPr="00FE11B1">
        <w:rPr>
          <w:vertAlign w:val="superscript"/>
        </w:rPr>
        <w:endnoteReference w:id="53"/>
      </w:r>
      <w:r w:rsidRPr="00CC4FCD">
        <w:rPr>
          <w:sz w:val="24"/>
          <w:szCs w:val="24"/>
        </w:rPr>
        <w:t xml:space="preserve"> </w:t>
      </w:r>
      <w:r w:rsidR="003E296A">
        <w:rPr>
          <w:sz w:val="24"/>
          <w:szCs w:val="24"/>
        </w:rPr>
        <w:t xml:space="preserve">with </w:t>
      </w:r>
      <w:r w:rsidR="00A82AF3">
        <w:rPr>
          <w:noProof/>
          <w:sz w:val="24"/>
          <w:szCs w:val="24"/>
        </w:rPr>
        <w:t>jurisdictional threshold</w:t>
      </w:r>
      <w:r w:rsidR="003E296A">
        <w:rPr>
          <w:sz w:val="24"/>
          <w:szCs w:val="24"/>
        </w:rPr>
        <w:t xml:space="preserve"> requirements in the </w:t>
      </w:r>
      <w:r w:rsidR="003E296A">
        <w:rPr>
          <w:i/>
          <w:sz w:val="24"/>
          <w:szCs w:val="24"/>
        </w:rPr>
        <w:t>Act</w:t>
      </w:r>
      <w:r w:rsidR="003E296A">
        <w:rPr>
          <w:sz w:val="24"/>
          <w:szCs w:val="24"/>
        </w:rPr>
        <w:t xml:space="preserve"> </w:t>
      </w:r>
      <w:r w:rsidR="003E296A" w:rsidRPr="00A82AF3">
        <w:rPr>
          <w:noProof/>
          <w:sz w:val="24"/>
          <w:szCs w:val="24"/>
        </w:rPr>
        <w:t>appl</w:t>
      </w:r>
      <w:r w:rsidR="00A82AF3">
        <w:rPr>
          <w:noProof/>
          <w:sz w:val="24"/>
          <w:szCs w:val="24"/>
        </w:rPr>
        <w:t>ying</w:t>
      </w:r>
      <w:r w:rsidR="003E296A">
        <w:rPr>
          <w:sz w:val="24"/>
          <w:szCs w:val="24"/>
        </w:rPr>
        <w:t xml:space="preserve"> only to de-facto relationships.</w:t>
      </w:r>
      <w:r w:rsidR="003E296A">
        <w:rPr>
          <w:rStyle w:val="EndnoteReference"/>
          <w:sz w:val="24"/>
          <w:szCs w:val="24"/>
        </w:rPr>
        <w:endnoteReference w:id="54"/>
      </w:r>
      <w:r w:rsidR="003E296A">
        <w:rPr>
          <w:sz w:val="24"/>
          <w:szCs w:val="24"/>
        </w:rPr>
        <w:t xml:space="preserve"> </w:t>
      </w:r>
    </w:p>
    <w:p w:rsidR="00CC4FCD" w:rsidRPr="00323F11" w:rsidRDefault="00D85E48" w:rsidP="00323F11">
      <w:pPr>
        <w:pStyle w:val="ListParagraph"/>
        <w:numPr>
          <w:ilvl w:val="0"/>
          <w:numId w:val="52"/>
        </w:numPr>
        <w:spacing w:after="0" w:line="360" w:lineRule="auto"/>
        <w:jc w:val="both"/>
        <w:rPr>
          <w:sz w:val="24"/>
          <w:szCs w:val="24"/>
        </w:rPr>
      </w:pPr>
      <w:r w:rsidRPr="003E296A">
        <w:rPr>
          <w:sz w:val="24"/>
          <w:szCs w:val="24"/>
        </w:rPr>
        <w:t>There is some evidence t</w:t>
      </w:r>
      <w:r w:rsidR="003E296A">
        <w:rPr>
          <w:sz w:val="24"/>
          <w:szCs w:val="24"/>
        </w:rPr>
        <w:t>o</w:t>
      </w:r>
      <w:r w:rsidRPr="003E296A">
        <w:rPr>
          <w:sz w:val="24"/>
          <w:szCs w:val="24"/>
        </w:rPr>
        <w:t xml:space="preserve"> suggest </w:t>
      </w:r>
      <w:r w:rsidR="00323F11" w:rsidRPr="00CC4FCD">
        <w:rPr>
          <w:sz w:val="24"/>
          <w:szCs w:val="24"/>
        </w:rPr>
        <w:t>Australian adults may treat the nature of their de-facto relationships different to marriages</w:t>
      </w:r>
      <w:r w:rsidRPr="003E296A">
        <w:rPr>
          <w:sz w:val="24"/>
          <w:szCs w:val="24"/>
        </w:rPr>
        <w:t xml:space="preserve">. The 2015 book </w:t>
      </w:r>
      <w:r w:rsidRPr="003E296A">
        <w:rPr>
          <w:i/>
          <w:sz w:val="24"/>
          <w:szCs w:val="24"/>
        </w:rPr>
        <w:t>Family Formation in 21</w:t>
      </w:r>
      <w:r w:rsidRPr="003E296A">
        <w:rPr>
          <w:i/>
          <w:sz w:val="24"/>
          <w:szCs w:val="24"/>
          <w:vertAlign w:val="superscript"/>
        </w:rPr>
        <w:t>st</w:t>
      </w:r>
      <w:r w:rsidRPr="003E296A">
        <w:rPr>
          <w:i/>
          <w:sz w:val="24"/>
          <w:szCs w:val="24"/>
        </w:rPr>
        <w:t xml:space="preserve"> Century Australia </w:t>
      </w:r>
      <w:r w:rsidRPr="003E296A">
        <w:rPr>
          <w:sz w:val="24"/>
          <w:szCs w:val="24"/>
        </w:rPr>
        <w:t>reported on research into survival rates of marriages and de-facto relationships.</w:t>
      </w:r>
      <w:r w:rsidRPr="003E296A">
        <w:rPr>
          <w:sz w:val="24"/>
          <w:szCs w:val="24"/>
          <w:vertAlign w:val="superscript"/>
        </w:rPr>
        <w:t xml:space="preserve"> </w:t>
      </w:r>
      <w:r w:rsidRPr="00FE11B1">
        <w:rPr>
          <w:vertAlign w:val="superscript"/>
        </w:rPr>
        <w:endnoteReference w:id="55"/>
      </w:r>
      <w:r w:rsidRPr="003E296A">
        <w:rPr>
          <w:sz w:val="24"/>
          <w:szCs w:val="24"/>
        </w:rPr>
        <w:t xml:space="preserve"> This data showed that at the 15-year mark approximately 65</w:t>
      </w:r>
      <w:r w:rsidR="00D45D94" w:rsidRPr="003E296A">
        <w:rPr>
          <w:sz w:val="24"/>
          <w:szCs w:val="24"/>
        </w:rPr>
        <w:t>%</w:t>
      </w:r>
      <w:r w:rsidRPr="003E296A">
        <w:rPr>
          <w:sz w:val="24"/>
          <w:szCs w:val="24"/>
        </w:rPr>
        <w:t xml:space="preserve"> of de-facto relationships continue to subsist, compared to more than 90</w:t>
      </w:r>
      <w:r w:rsidR="00D45D94" w:rsidRPr="003E296A">
        <w:rPr>
          <w:sz w:val="24"/>
          <w:szCs w:val="24"/>
        </w:rPr>
        <w:t>%</w:t>
      </w:r>
      <w:r w:rsidRPr="003E296A">
        <w:rPr>
          <w:sz w:val="24"/>
          <w:szCs w:val="24"/>
        </w:rPr>
        <w:t xml:space="preserve"> of married couples and those couples that cohabited before marriage. </w:t>
      </w:r>
      <w:r w:rsidRPr="00FE11B1">
        <w:rPr>
          <w:vertAlign w:val="superscript"/>
        </w:rPr>
        <w:endnoteReference w:id="56"/>
      </w:r>
      <w:r w:rsidRPr="003E296A">
        <w:rPr>
          <w:sz w:val="24"/>
          <w:szCs w:val="24"/>
        </w:rPr>
        <w:t xml:space="preserve"> </w:t>
      </w:r>
      <w:r w:rsidR="00323F11">
        <w:rPr>
          <w:sz w:val="24"/>
          <w:szCs w:val="24"/>
        </w:rPr>
        <w:t>If this evidence is correct, then de-facto cou</w:t>
      </w:r>
      <w:r w:rsidR="000A16D2">
        <w:rPr>
          <w:sz w:val="24"/>
          <w:szCs w:val="24"/>
        </w:rPr>
        <w:t>ple</w:t>
      </w:r>
      <w:r w:rsidR="00323F11">
        <w:rPr>
          <w:sz w:val="24"/>
          <w:szCs w:val="24"/>
        </w:rPr>
        <w:t xml:space="preserve"> relationships and married couples are distinct relationship types. Treating them as the same</w:t>
      </w:r>
      <w:r w:rsidR="00A82AF3">
        <w:rPr>
          <w:sz w:val="24"/>
          <w:szCs w:val="24"/>
        </w:rPr>
        <w:t>,</w:t>
      </w:r>
      <w:r w:rsidR="00323F11">
        <w:rPr>
          <w:sz w:val="24"/>
          <w:szCs w:val="24"/>
        </w:rPr>
        <w:t xml:space="preserve"> </w:t>
      </w:r>
      <w:r w:rsidR="00323F11" w:rsidRPr="00A82AF3">
        <w:rPr>
          <w:noProof/>
          <w:sz w:val="24"/>
          <w:szCs w:val="24"/>
        </w:rPr>
        <w:t>therefore</w:t>
      </w:r>
      <w:r w:rsidR="000A16D2">
        <w:rPr>
          <w:sz w:val="24"/>
          <w:szCs w:val="24"/>
        </w:rPr>
        <w:t xml:space="preserve"> (potentially)</w:t>
      </w:r>
      <w:r w:rsidR="00323F11">
        <w:rPr>
          <w:sz w:val="24"/>
          <w:szCs w:val="24"/>
        </w:rPr>
        <w:t xml:space="preserve"> </w:t>
      </w:r>
      <w:r w:rsidR="00323F11" w:rsidRPr="00A82AF3">
        <w:rPr>
          <w:noProof/>
          <w:sz w:val="24"/>
          <w:szCs w:val="24"/>
        </w:rPr>
        <w:t>artificially</w:t>
      </w:r>
      <w:r w:rsidR="00323F11">
        <w:rPr>
          <w:sz w:val="24"/>
          <w:szCs w:val="24"/>
        </w:rPr>
        <w:t xml:space="preserve"> inflates two separate family types.  </w:t>
      </w:r>
    </w:p>
    <w:p w:rsidR="00323F11" w:rsidRDefault="00DA077A" w:rsidP="009A0126">
      <w:pPr>
        <w:pStyle w:val="ListParagraph"/>
        <w:numPr>
          <w:ilvl w:val="0"/>
          <w:numId w:val="52"/>
        </w:numPr>
        <w:spacing w:after="0" w:line="360" w:lineRule="auto"/>
        <w:jc w:val="both"/>
        <w:rPr>
          <w:sz w:val="24"/>
          <w:szCs w:val="24"/>
        </w:rPr>
      </w:pPr>
      <w:r w:rsidRPr="00CC4FCD">
        <w:rPr>
          <w:sz w:val="24"/>
          <w:szCs w:val="24"/>
        </w:rPr>
        <w:t xml:space="preserve">In summary, if </w:t>
      </w:r>
      <w:r w:rsidR="00323F11">
        <w:rPr>
          <w:sz w:val="24"/>
          <w:szCs w:val="24"/>
        </w:rPr>
        <w:t xml:space="preserve">policy (or principles) </w:t>
      </w:r>
      <w:r w:rsidRPr="00CC4FCD">
        <w:rPr>
          <w:sz w:val="24"/>
          <w:szCs w:val="24"/>
        </w:rPr>
        <w:t>debate centres around the value (or otherwise) of marriage or de-facto relationships the likely result is an impasse</w:t>
      </w:r>
      <w:r w:rsidR="000A16D2">
        <w:rPr>
          <w:sz w:val="24"/>
          <w:szCs w:val="24"/>
        </w:rPr>
        <w:t>.</w:t>
      </w:r>
    </w:p>
    <w:p w:rsidR="00323F11" w:rsidRDefault="00DA077A" w:rsidP="00A645C3">
      <w:pPr>
        <w:pStyle w:val="ListParagraph"/>
        <w:numPr>
          <w:ilvl w:val="0"/>
          <w:numId w:val="52"/>
        </w:numPr>
        <w:spacing w:after="0" w:line="360" w:lineRule="auto"/>
        <w:jc w:val="both"/>
        <w:rPr>
          <w:sz w:val="24"/>
          <w:szCs w:val="24"/>
        </w:rPr>
      </w:pPr>
      <w:r w:rsidRPr="00323F11">
        <w:rPr>
          <w:sz w:val="24"/>
          <w:szCs w:val="24"/>
        </w:rPr>
        <w:lastRenderedPageBreak/>
        <w:t xml:space="preserve">This </w:t>
      </w:r>
      <w:r w:rsidR="00323F11">
        <w:rPr>
          <w:sz w:val="24"/>
          <w:szCs w:val="24"/>
        </w:rPr>
        <w:t>submission’s discussion</w:t>
      </w:r>
      <w:r w:rsidRPr="00323F11">
        <w:rPr>
          <w:sz w:val="24"/>
          <w:szCs w:val="24"/>
        </w:rPr>
        <w:t xml:space="preserve"> tries to break that mould by treating </w:t>
      </w:r>
      <w:r w:rsidRPr="00323F11">
        <w:rPr>
          <w:noProof/>
          <w:sz w:val="24"/>
          <w:szCs w:val="24"/>
        </w:rPr>
        <w:t>relationships</w:t>
      </w:r>
      <w:r w:rsidRPr="00323F11">
        <w:rPr>
          <w:sz w:val="24"/>
          <w:szCs w:val="24"/>
        </w:rPr>
        <w:t xml:space="preserve"> where there are children of </w:t>
      </w:r>
      <w:r w:rsidR="00C8274F" w:rsidRPr="00A82AF3">
        <w:rPr>
          <w:noProof/>
          <w:sz w:val="24"/>
          <w:szCs w:val="24"/>
        </w:rPr>
        <w:t xml:space="preserve">a </w:t>
      </w:r>
      <w:r w:rsidRPr="00A82AF3">
        <w:rPr>
          <w:noProof/>
          <w:sz w:val="24"/>
          <w:szCs w:val="24"/>
        </w:rPr>
        <w:t>marriage</w:t>
      </w:r>
      <w:r w:rsidRPr="00323F11">
        <w:rPr>
          <w:sz w:val="24"/>
          <w:szCs w:val="24"/>
        </w:rPr>
        <w:t xml:space="preserve"> or </w:t>
      </w:r>
      <w:r w:rsidR="00A82AF3">
        <w:rPr>
          <w:sz w:val="24"/>
          <w:szCs w:val="24"/>
        </w:rPr>
        <w:t xml:space="preserve">a </w:t>
      </w:r>
      <w:r w:rsidRPr="00323F11">
        <w:rPr>
          <w:sz w:val="24"/>
          <w:szCs w:val="24"/>
        </w:rPr>
        <w:t xml:space="preserve">de-facto relationship differently </w:t>
      </w:r>
      <w:r w:rsidR="00323F11">
        <w:rPr>
          <w:sz w:val="24"/>
          <w:szCs w:val="24"/>
        </w:rPr>
        <w:t xml:space="preserve">to other types of couple relationships. </w:t>
      </w:r>
    </w:p>
    <w:p w:rsidR="000A16D2" w:rsidRPr="00323F11" w:rsidRDefault="000A16D2" w:rsidP="000A16D2">
      <w:pPr>
        <w:pStyle w:val="ListParagraph"/>
        <w:spacing w:after="0" w:line="360" w:lineRule="auto"/>
        <w:jc w:val="both"/>
        <w:rPr>
          <w:sz w:val="24"/>
          <w:szCs w:val="24"/>
        </w:rPr>
      </w:pPr>
    </w:p>
    <w:p w:rsidR="009F7E74" w:rsidRPr="00462142" w:rsidRDefault="00DA077A" w:rsidP="00462142">
      <w:pPr>
        <w:pStyle w:val="Heading2"/>
        <w:spacing w:before="0" w:line="360" w:lineRule="auto"/>
        <w:rPr>
          <w:color w:val="auto"/>
          <w:sz w:val="28"/>
          <w:szCs w:val="28"/>
        </w:rPr>
      </w:pPr>
      <w:bookmarkStart w:id="22" w:name="_Hlk510459841"/>
      <w:bookmarkStart w:id="23" w:name="_Toc512895940"/>
      <w:r w:rsidRPr="0031221F">
        <w:rPr>
          <w:color w:val="auto"/>
          <w:sz w:val="28"/>
          <w:szCs w:val="28"/>
        </w:rPr>
        <w:t>I</w:t>
      </w:r>
      <w:r>
        <w:rPr>
          <w:color w:val="auto"/>
          <w:sz w:val="28"/>
          <w:szCs w:val="28"/>
        </w:rPr>
        <w:t>I</w:t>
      </w:r>
      <w:r w:rsidRPr="0031221F">
        <w:rPr>
          <w:color w:val="auto"/>
          <w:sz w:val="28"/>
          <w:szCs w:val="28"/>
        </w:rPr>
        <w:t xml:space="preserve"> </w:t>
      </w:r>
      <w:r w:rsidR="0028251C">
        <w:rPr>
          <w:color w:val="auto"/>
          <w:sz w:val="28"/>
          <w:szCs w:val="28"/>
        </w:rPr>
        <w:t xml:space="preserve">Different Principles </w:t>
      </w:r>
      <w:r w:rsidR="0028251C" w:rsidRPr="00E04540">
        <w:rPr>
          <w:noProof/>
          <w:color w:val="auto"/>
          <w:sz w:val="28"/>
          <w:szCs w:val="28"/>
        </w:rPr>
        <w:t>for</w:t>
      </w:r>
      <w:r w:rsidR="0028251C">
        <w:rPr>
          <w:color w:val="auto"/>
          <w:sz w:val="28"/>
          <w:szCs w:val="28"/>
        </w:rPr>
        <w:t xml:space="preserve"> Parenting and Property Cases</w:t>
      </w:r>
      <w:bookmarkEnd w:id="22"/>
      <w:bookmarkEnd w:id="23"/>
    </w:p>
    <w:p w:rsidR="00323F11" w:rsidRPr="00323F11" w:rsidRDefault="002C6AC2" w:rsidP="00070648">
      <w:pPr>
        <w:pStyle w:val="ListParagraph"/>
        <w:numPr>
          <w:ilvl w:val="0"/>
          <w:numId w:val="52"/>
        </w:numPr>
        <w:spacing w:after="0" w:line="360" w:lineRule="auto"/>
        <w:jc w:val="both"/>
        <w:rPr>
          <w:sz w:val="24"/>
          <w:szCs w:val="24"/>
        </w:rPr>
      </w:pPr>
      <w:r w:rsidRPr="00323F11">
        <w:rPr>
          <w:sz w:val="24"/>
          <w:szCs w:val="24"/>
        </w:rPr>
        <w:t xml:space="preserve">There is no need to have one set of guiding principles covering all areas. </w:t>
      </w:r>
      <w:r w:rsidR="0028251C" w:rsidRPr="00323F11">
        <w:rPr>
          <w:sz w:val="24"/>
          <w:szCs w:val="24"/>
        </w:rPr>
        <w:t xml:space="preserve">The issues paper refers to section 43 of the </w:t>
      </w:r>
      <w:r w:rsidR="0028251C" w:rsidRPr="00323F11">
        <w:rPr>
          <w:i/>
          <w:sz w:val="24"/>
          <w:szCs w:val="24"/>
        </w:rPr>
        <w:t>Act</w:t>
      </w:r>
      <w:r w:rsidR="0028251C" w:rsidRPr="00323F11">
        <w:rPr>
          <w:sz w:val="24"/>
          <w:szCs w:val="24"/>
        </w:rPr>
        <w:t xml:space="preserve"> as it applies to all cases.</w:t>
      </w:r>
      <w:r w:rsidR="0028251C" w:rsidRPr="00323F11">
        <w:rPr>
          <w:rStyle w:val="EndnoteReference"/>
          <w:sz w:val="24"/>
          <w:szCs w:val="24"/>
        </w:rPr>
        <w:endnoteReference w:id="57"/>
      </w:r>
      <w:r w:rsidR="009F7E74" w:rsidRPr="00323F11">
        <w:rPr>
          <w:sz w:val="24"/>
          <w:szCs w:val="24"/>
        </w:rPr>
        <w:t xml:space="preserve"> </w:t>
      </w:r>
      <w:r w:rsidR="00323F11" w:rsidRPr="00323F11">
        <w:rPr>
          <w:sz w:val="24"/>
          <w:szCs w:val="24"/>
        </w:rPr>
        <w:t xml:space="preserve">The parenting provisions of the </w:t>
      </w:r>
      <w:r w:rsidR="00323F11" w:rsidRPr="00323F11">
        <w:rPr>
          <w:i/>
          <w:sz w:val="24"/>
          <w:szCs w:val="24"/>
        </w:rPr>
        <w:t>Act</w:t>
      </w:r>
      <w:r w:rsidR="00323F11" w:rsidRPr="00323F11">
        <w:rPr>
          <w:sz w:val="24"/>
          <w:szCs w:val="24"/>
        </w:rPr>
        <w:t xml:space="preserve"> state that one object is to operate consistently with the </w:t>
      </w:r>
      <w:r w:rsidR="00323F11" w:rsidRPr="00323F11">
        <w:rPr>
          <w:i/>
          <w:sz w:val="24"/>
          <w:szCs w:val="24"/>
        </w:rPr>
        <w:t>Convention on the Rights of the Child</w:t>
      </w:r>
      <w:r w:rsidR="00323F11" w:rsidRPr="00323F11">
        <w:rPr>
          <w:sz w:val="24"/>
          <w:szCs w:val="24"/>
        </w:rPr>
        <w:t>.</w:t>
      </w:r>
      <w:r w:rsidR="00323F11" w:rsidRPr="00323F11">
        <w:rPr>
          <w:sz w:val="24"/>
          <w:szCs w:val="24"/>
          <w:vertAlign w:val="superscript"/>
        </w:rPr>
        <w:endnoteReference w:id="58"/>
      </w:r>
      <w:r w:rsidR="00323F11" w:rsidRPr="00323F11">
        <w:rPr>
          <w:sz w:val="24"/>
          <w:szCs w:val="24"/>
        </w:rPr>
        <w:t xml:space="preserve"> Therefore, the parenting provisions in Part VII of the </w:t>
      </w:r>
      <w:r w:rsidR="00323F11" w:rsidRPr="00323F11">
        <w:rPr>
          <w:i/>
          <w:sz w:val="24"/>
          <w:szCs w:val="24"/>
        </w:rPr>
        <w:t>Act</w:t>
      </w:r>
      <w:r w:rsidR="00323F11" w:rsidRPr="00323F11">
        <w:rPr>
          <w:sz w:val="24"/>
          <w:szCs w:val="24"/>
        </w:rPr>
        <w:t xml:space="preserve"> expressly situate themselves in a rights context. </w:t>
      </w:r>
      <w:r w:rsidR="00323F11" w:rsidRPr="00CC4FCD">
        <w:rPr>
          <w:sz w:val="24"/>
          <w:szCs w:val="24"/>
        </w:rPr>
        <w:t>There are no provisions in Part VIII</w:t>
      </w:r>
      <w:r w:rsidR="00323F11">
        <w:rPr>
          <w:sz w:val="24"/>
          <w:szCs w:val="24"/>
        </w:rPr>
        <w:t xml:space="preserve"> of the </w:t>
      </w:r>
      <w:r w:rsidR="00323F11">
        <w:rPr>
          <w:i/>
          <w:sz w:val="24"/>
          <w:szCs w:val="24"/>
        </w:rPr>
        <w:t>Act</w:t>
      </w:r>
      <w:r w:rsidR="00323F11" w:rsidRPr="00CC4FCD">
        <w:rPr>
          <w:sz w:val="24"/>
          <w:szCs w:val="24"/>
        </w:rPr>
        <w:t xml:space="preserve"> that </w:t>
      </w:r>
      <w:r w:rsidR="00323F11" w:rsidRPr="00CC4FCD">
        <w:rPr>
          <w:noProof/>
          <w:sz w:val="24"/>
          <w:szCs w:val="24"/>
        </w:rPr>
        <w:t>explicitly</w:t>
      </w:r>
      <w:r w:rsidR="00323F11" w:rsidRPr="00CC4FCD">
        <w:rPr>
          <w:sz w:val="24"/>
          <w:szCs w:val="24"/>
        </w:rPr>
        <w:t xml:space="preserve"> set out the objects and principles to which a court may have regard, whether on a rights basis or otherwise.</w:t>
      </w:r>
      <w:r w:rsidR="00323F11">
        <w:rPr>
          <w:sz w:val="24"/>
          <w:szCs w:val="24"/>
        </w:rPr>
        <w:t xml:space="preserve"> Therefore, a</w:t>
      </w:r>
      <w:r w:rsidR="00323F11" w:rsidRPr="00323F11">
        <w:rPr>
          <w:sz w:val="24"/>
          <w:szCs w:val="24"/>
        </w:rPr>
        <w:t xml:space="preserve">s the </w:t>
      </w:r>
      <w:r w:rsidR="00323F11" w:rsidRPr="00323F11">
        <w:rPr>
          <w:i/>
          <w:sz w:val="24"/>
          <w:szCs w:val="24"/>
        </w:rPr>
        <w:t>Act</w:t>
      </w:r>
      <w:r w:rsidR="00323F11" w:rsidRPr="00323F11">
        <w:rPr>
          <w:sz w:val="24"/>
          <w:szCs w:val="24"/>
        </w:rPr>
        <w:t xml:space="preserve"> stands, </w:t>
      </w:r>
      <w:r w:rsidR="00323F11">
        <w:rPr>
          <w:sz w:val="24"/>
          <w:szCs w:val="24"/>
        </w:rPr>
        <w:t>specific principles apply to parenting cases that do not apply in other types of cases.</w:t>
      </w:r>
    </w:p>
    <w:p w:rsidR="00CC4FCD" w:rsidRPr="00323F11" w:rsidRDefault="00DA077A" w:rsidP="00323F11">
      <w:pPr>
        <w:pStyle w:val="ListParagraph"/>
        <w:numPr>
          <w:ilvl w:val="0"/>
          <w:numId w:val="52"/>
        </w:numPr>
        <w:spacing w:after="0" w:line="360" w:lineRule="auto"/>
        <w:jc w:val="both"/>
        <w:rPr>
          <w:sz w:val="24"/>
          <w:szCs w:val="24"/>
        </w:rPr>
      </w:pPr>
      <w:r w:rsidRPr="00CC4FCD">
        <w:rPr>
          <w:sz w:val="24"/>
          <w:szCs w:val="24"/>
        </w:rPr>
        <w:t xml:space="preserve">The difficulty in adopting a </w:t>
      </w:r>
      <w:r w:rsidR="00323F11">
        <w:rPr>
          <w:sz w:val="24"/>
          <w:szCs w:val="24"/>
        </w:rPr>
        <w:t>singular policy framework for all</w:t>
      </w:r>
      <w:r w:rsidRPr="00CC4FCD">
        <w:rPr>
          <w:sz w:val="24"/>
          <w:szCs w:val="24"/>
        </w:rPr>
        <w:t xml:space="preserve"> family law</w:t>
      </w:r>
      <w:r w:rsidR="00323F11">
        <w:rPr>
          <w:sz w:val="24"/>
          <w:szCs w:val="24"/>
        </w:rPr>
        <w:t xml:space="preserve"> matters is the variety of systems.</w:t>
      </w:r>
      <w:r w:rsidRPr="00CC4FCD">
        <w:rPr>
          <w:sz w:val="24"/>
          <w:szCs w:val="24"/>
        </w:rPr>
        <w:t xml:space="preserve"> </w:t>
      </w:r>
      <w:r w:rsidR="00323F11">
        <w:rPr>
          <w:sz w:val="24"/>
          <w:szCs w:val="24"/>
        </w:rPr>
        <w:t>I</w:t>
      </w:r>
      <w:r w:rsidRPr="00CC4FCD">
        <w:rPr>
          <w:sz w:val="24"/>
          <w:szCs w:val="24"/>
        </w:rPr>
        <w:t xml:space="preserve">n financial matters, family law comprises (at least) the differing systems for alteration of property interests, agreements about future arrangements for </w:t>
      </w:r>
      <w:r w:rsidRPr="00A82AF3">
        <w:rPr>
          <w:noProof/>
          <w:sz w:val="24"/>
          <w:szCs w:val="24"/>
        </w:rPr>
        <w:t>property</w:t>
      </w:r>
      <w:r w:rsidRPr="00CC4FCD">
        <w:rPr>
          <w:sz w:val="24"/>
          <w:szCs w:val="24"/>
        </w:rPr>
        <w:t xml:space="preserve">, child support, and spousal maintenance. </w:t>
      </w:r>
    </w:p>
    <w:p w:rsidR="00CC4FCD" w:rsidRPr="00070648" w:rsidRDefault="002C6AC2" w:rsidP="00070648">
      <w:pPr>
        <w:pStyle w:val="ListParagraph"/>
        <w:numPr>
          <w:ilvl w:val="0"/>
          <w:numId w:val="52"/>
        </w:numPr>
        <w:spacing w:after="0" w:line="360" w:lineRule="auto"/>
        <w:jc w:val="both"/>
        <w:rPr>
          <w:sz w:val="24"/>
          <w:szCs w:val="24"/>
        </w:rPr>
      </w:pPr>
      <w:r w:rsidRPr="00CC4FCD">
        <w:rPr>
          <w:sz w:val="24"/>
          <w:szCs w:val="24"/>
        </w:rPr>
        <w:t>There</w:t>
      </w:r>
      <w:r w:rsidR="00323F11">
        <w:rPr>
          <w:sz w:val="24"/>
          <w:szCs w:val="24"/>
        </w:rPr>
        <w:t xml:space="preserve"> does not appear to be a settled academic view about the present policy justifications for alteration of property interests</w:t>
      </w:r>
      <w:r w:rsidR="00FB16EA">
        <w:rPr>
          <w:sz w:val="24"/>
          <w:szCs w:val="24"/>
        </w:rPr>
        <w:t>.</w:t>
      </w:r>
      <w:r w:rsidRPr="00CC4FCD">
        <w:rPr>
          <w:sz w:val="24"/>
          <w:szCs w:val="24"/>
        </w:rPr>
        <w:t xml:space="preserve"> </w:t>
      </w:r>
      <w:r w:rsidR="00323F11">
        <w:rPr>
          <w:sz w:val="24"/>
          <w:szCs w:val="24"/>
        </w:rPr>
        <w:t xml:space="preserve">There is a large </w:t>
      </w:r>
      <w:r w:rsidRPr="00CC4FCD">
        <w:rPr>
          <w:sz w:val="24"/>
          <w:szCs w:val="24"/>
        </w:rPr>
        <w:t>a body of literature.</w:t>
      </w:r>
      <w:r w:rsidRPr="00DA077A">
        <w:rPr>
          <w:vertAlign w:val="superscript"/>
        </w:rPr>
        <w:endnoteReference w:id="59"/>
      </w:r>
      <w:r w:rsidRPr="00CC4FCD">
        <w:rPr>
          <w:sz w:val="24"/>
          <w:szCs w:val="24"/>
        </w:rPr>
        <w:t xml:space="preserve"> </w:t>
      </w:r>
      <w:r w:rsidR="00FB16EA">
        <w:rPr>
          <w:sz w:val="24"/>
          <w:szCs w:val="24"/>
        </w:rPr>
        <w:t xml:space="preserve">Suggested justifying principles </w:t>
      </w:r>
      <w:r w:rsidRPr="00CC4FCD">
        <w:rPr>
          <w:sz w:val="24"/>
          <w:szCs w:val="24"/>
        </w:rPr>
        <w:t>include financial dependency by a wife,</w:t>
      </w:r>
      <w:r w:rsidRPr="00DA077A">
        <w:rPr>
          <w:vertAlign w:val="superscript"/>
        </w:rPr>
        <w:endnoteReference w:id="60"/>
      </w:r>
      <w:r w:rsidRPr="00CC4FCD">
        <w:rPr>
          <w:sz w:val="24"/>
          <w:szCs w:val="24"/>
        </w:rPr>
        <w:t xml:space="preserve"> the distinctive features of marriage, including the intention of marriage to last for life,</w:t>
      </w:r>
      <w:r w:rsidRPr="00DA077A">
        <w:rPr>
          <w:vertAlign w:val="superscript"/>
        </w:rPr>
        <w:endnoteReference w:id="61"/>
      </w:r>
      <w:r w:rsidRPr="00CC4FCD">
        <w:rPr>
          <w:sz w:val="24"/>
          <w:szCs w:val="24"/>
        </w:rPr>
        <w:t xml:space="preserve"> </w:t>
      </w:r>
      <w:r w:rsidR="00FB16EA">
        <w:rPr>
          <w:sz w:val="24"/>
          <w:szCs w:val="24"/>
        </w:rPr>
        <w:t>or (a form of)</w:t>
      </w:r>
      <w:r w:rsidRPr="00CC4FCD">
        <w:rPr>
          <w:sz w:val="24"/>
          <w:szCs w:val="24"/>
        </w:rPr>
        <w:t xml:space="preserve"> technocratic liberalism.</w:t>
      </w:r>
      <w:r w:rsidRPr="00DA077A">
        <w:rPr>
          <w:vertAlign w:val="superscript"/>
        </w:rPr>
        <w:endnoteReference w:id="62"/>
      </w:r>
      <w:r w:rsidRPr="00CC4FCD">
        <w:rPr>
          <w:sz w:val="24"/>
          <w:szCs w:val="24"/>
        </w:rPr>
        <w:t xml:space="preserve"> </w:t>
      </w:r>
      <w:r w:rsidR="00CC4FCD">
        <w:rPr>
          <w:sz w:val="24"/>
          <w:szCs w:val="24"/>
        </w:rPr>
        <w:t xml:space="preserve"> </w:t>
      </w:r>
      <w:r w:rsidRPr="00CC4FCD">
        <w:rPr>
          <w:sz w:val="24"/>
          <w:szCs w:val="24"/>
        </w:rPr>
        <w:t xml:space="preserve">Parkinson considered the marriage </w:t>
      </w:r>
      <w:r w:rsidR="00C8274F" w:rsidRPr="00CC4FCD">
        <w:rPr>
          <w:sz w:val="24"/>
          <w:szCs w:val="24"/>
        </w:rPr>
        <w:t xml:space="preserve">as a </w:t>
      </w:r>
      <w:r w:rsidRPr="00CC4FCD">
        <w:rPr>
          <w:sz w:val="24"/>
          <w:szCs w:val="24"/>
        </w:rPr>
        <w:t xml:space="preserve">partnership, especially in </w:t>
      </w:r>
      <w:r w:rsidR="00105FB4" w:rsidRPr="00CC4FCD">
        <w:rPr>
          <w:sz w:val="24"/>
          <w:szCs w:val="24"/>
        </w:rPr>
        <w:t xml:space="preserve">determining </w:t>
      </w:r>
      <w:r w:rsidRPr="00CC4FCD">
        <w:rPr>
          <w:sz w:val="24"/>
          <w:szCs w:val="24"/>
        </w:rPr>
        <w:t>contributions.</w:t>
      </w:r>
      <w:r w:rsidRPr="00DA077A">
        <w:rPr>
          <w:vertAlign w:val="superscript"/>
        </w:rPr>
        <w:endnoteReference w:id="63"/>
      </w:r>
      <w:r w:rsidRPr="00CC4FCD">
        <w:rPr>
          <w:sz w:val="24"/>
          <w:szCs w:val="24"/>
        </w:rPr>
        <w:t xml:space="preserve"> Parkinson </w:t>
      </w:r>
      <w:r w:rsidR="00FB16EA">
        <w:rPr>
          <w:sz w:val="24"/>
          <w:szCs w:val="24"/>
        </w:rPr>
        <w:t xml:space="preserve">has also argued that the case law reflects an </w:t>
      </w:r>
      <w:r w:rsidRPr="00CC4FCD">
        <w:rPr>
          <w:sz w:val="24"/>
          <w:szCs w:val="24"/>
        </w:rPr>
        <w:t>implicit doctrine of deferred community property.</w:t>
      </w:r>
      <w:r w:rsidRPr="00DA077A">
        <w:rPr>
          <w:vertAlign w:val="superscript"/>
        </w:rPr>
        <w:endnoteReference w:id="64"/>
      </w:r>
      <w:r w:rsidRPr="00CC4FCD">
        <w:rPr>
          <w:sz w:val="24"/>
          <w:szCs w:val="24"/>
        </w:rPr>
        <w:t xml:space="preserve"> Fehlberg </w:t>
      </w:r>
      <w:r w:rsidR="00FB16EA">
        <w:rPr>
          <w:sz w:val="24"/>
          <w:szCs w:val="24"/>
        </w:rPr>
        <w:t xml:space="preserve">considered the Full Court jurisprudence fell into </w:t>
      </w:r>
      <w:r w:rsidRPr="00CC4FCD">
        <w:rPr>
          <w:sz w:val="24"/>
          <w:szCs w:val="24"/>
        </w:rPr>
        <w:t>a divide between a partnership theme and an evaluative theme.</w:t>
      </w:r>
      <w:r w:rsidRPr="00DA077A">
        <w:rPr>
          <w:vertAlign w:val="superscript"/>
        </w:rPr>
        <w:endnoteReference w:id="65"/>
      </w:r>
      <w:r w:rsidRPr="00CC4FCD">
        <w:rPr>
          <w:sz w:val="24"/>
          <w:szCs w:val="24"/>
        </w:rPr>
        <w:t xml:space="preserve"> </w:t>
      </w:r>
    </w:p>
    <w:p w:rsidR="002C6AC2" w:rsidRPr="00FB16EA" w:rsidRDefault="00A80012" w:rsidP="009A0126">
      <w:pPr>
        <w:pStyle w:val="ListParagraph"/>
        <w:numPr>
          <w:ilvl w:val="0"/>
          <w:numId w:val="52"/>
        </w:numPr>
        <w:spacing w:after="0" w:line="360" w:lineRule="auto"/>
        <w:jc w:val="both"/>
        <w:rPr>
          <w:sz w:val="24"/>
          <w:szCs w:val="24"/>
        </w:rPr>
      </w:pPr>
      <w:r w:rsidRPr="00FB16EA">
        <w:rPr>
          <w:sz w:val="24"/>
          <w:szCs w:val="24"/>
        </w:rPr>
        <w:t xml:space="preserve">In summary: </w:t>
      </w:r>
    </w:p>
    <w:p w:rsidR="00B72B62" w:rsidRPr="00FB16EA" w:rsidRDefault="00A80012" w:rsidP="009A0126">
      <w:pPr>
        <w:pStyle w:val="ListParagraph"/>
        <w:numPr>
          <w:ilvl w:val="0"/>
          <w:numId w:val="10"/>
        </w:numPr>
        <w:spacing w:after="0" w:line="360" w:lineRule="auto"/>
        <w:jc w:val="both"/>
        <w:rPr>
          <w:sz w:val="24"/>
          <w:szCs w:val="24"/>
        </w:rPr>
      </w:pPr>
      <w:r w:rsidRPr="00FB16EA">
        <w:rPr>
          <w:sz w:val="24"/>
          <w:szCs w:val="24"/>
        </w:rPr>
        <w:t xml:space="preserve">There are no </w:t>
      </w:r>
      <w:r w:rsidR="00C8274F" w:rsidRPr="00FB16EA">
        <w:rPr>
          <w:noProof/>
          <w:sz w:val="24"/>
          <w:szCs w:val="24"/>
        </w:rPr>
        <w:t>specific</w:t>
      </w:r>
      <w:r w:rsidRPr="00FB16EA">
        <w:rPr>
          <w:sz w:val="24"/>
          <w:szCs w:val="24"/>
        </w:rPr>
        <w:t xml:space="preserve"> legislative principles </w:t>
      </w:r>
      <w:r w:rsidR="00C8274F" w:rsidRPr="00FB16EA">
        <w:rPr>
          <w:noProof/>
          <w:sz w:val="24"/>
          <w:szCs w:val="24"/>
        </w:rPr>
        <w:t>explicit</w:t>
      </w:r>
      <w:r w:rsidRPr="00FB16EA">
        <w:rPr>
          <w:noProof/>
          <w:sz w:val="24"/>
          <w:szCs w:val="24"/>
        </w:rPr>
        <w:t>ly</w:t>
      </w:r>
      <w:r w:rsidRPr="00FB16EA">
        <w:rPr>
          <w:sz w:val="24"/>
          <w:szCs w:val="24"/>
        </w:rPr>
        <w:t xml:space="preserve"> guiding property</w:t>
      </w:r>
      <w:r w:rsidR="00FB16EA" w:rsidRPr="00FB16EA">
        <w:rPr>
          <w:sz w:val="24"/>
          <w:szCs w:val="24"/>
        </w:rPr>
        <w:t xml:space="preserve"> settlement</w:t>
      </w:r>
      <w:r w:rsidRPr="00FB16EA">
        <w:rPr>
          <w:sz w:val="24"/>
          <w:szCs w:val="24"/>
        </w:rPr>
        <w:t xml:space="preserve"> cases. </w:t>
      </w:r>
    </w:p>
    <w:p w:rsidR="00A80012" w:rsidRPr="00FB16EA" w:rsidRDefault="00A80012" w:rsidP="00FB16EA">
      <w:pPr>
        <w:pStyle w:val="ListParagraph"/>
        <w:numPr>
          <w:ilvl w:val="0"/>
          <w:numId w:val="10"/>
        </w:numPr>
        <w:spacing w:after="0" w:line="360" w:lineRule="auto"/>
        <w:jc w:val="both"/>
        <w:rPr>
          <w:sz w:val="24"/>
          <w:szCs w:val="24"/>
        </w:rPr>
      </w:pPr>
      <w:r w:rsidRPr="00FB16EA">
        <w:rPr>
          <w:sz w:val="24"/>
          <w:szCs w:val="24"/>
        </w:rPr>
        <w:lastRenderedPageBreak/>
        <w:t>However, ther</w:t>
      </w:r>
      <w:r w:rsidR="00B72B62" w:rsidRPr="00FB16EA">
        <w:rPr>
          <w:sz w:val="24"/>
          <w:szCs w:val="24"/>
        </w:rPr>
        <w:t>e can be different principles for property cases, distinct from parenting.</w:t>
      </w:r>
      <w:r w:rsidR="00FB16EA" w:rsidRPr="00FB16EA">
        <w:rPr>
          <w:sz w:val="24"/>
          <w:szCs w:val="24"/>
        </w:rPr>
        <w:t xml:space="preserve"> </w:t>
      </w:r>
      <w:r w:rsidR="00FB16EA" w:rsidRPr="00A82AF3">
        <w:rPr>
          <w:noProof/>
          <w:sz w:val="24"/>
          <w:szCs w:val="24"/>
        </w:rPr>
        <w:t>This</w:t>
      </w:r>
      <w:r w:rsidR="00FB16EA" w:rsidRPr="00FB16EA">
        <w:rPr>
          <w:sz w:val="24"/>
          <w:szCs w:val="24"/>
        </w:rPr>
        <w:t xml:space="preserve"> is because the</w:t>
      </w:r>
      <w:r w:rsidRPr="00FB16EA">
        <w:rPr>
          <w:sz w:val="24"/>
          <w:szCs w:val="24"/>
        </w:rPr>
        <w:t xml:space="preserve"> parenting provisions of the </w:t>
      </w:r>
      <w:r w:rsidRPr="00FB16EA">
        <w:rPr>
          <w:i/>
          <w:sz w:val="24"/>
          <w:szCs w:val="24"/>
        </w:rPr>
        <w:t>Act</w:t>
      </w:r>
      <w:r w:rsidRPr="00FB16EA">
        <w:rPr>
          <w:sz w:val="24"/>
          <w:szCs w:val="24"/>
        </w:rPr>
        <w:t xml:space="preserve"> expressly rely on rights principles</w:t>
      </w:r>
      <w:r w:rsidR="00FB16EA" w:rsidRPr="00FB16EA">
        <w:rPr>
          <w:sz w:val="24"/>
          <w:szCs w:val="24"/>
        </w:rPr>
        <w:t xml:space="preserve">, distinct from principles applying to all cases. </w:t>
      </w:r>
      <w:r w:rsidRPr="00FB16EA">
        <w:rPr>
          <w:sz w:val="24"/>
          <w:szCs w:val="24"/>
        </w:rPr>
        <w:t xml:space="preserve"> </w:t>
      </w:r>
    </w:p>
    <w:p w:rsidR="00FB16EA" w:rsidRDefault="00A80012" w:rsidP="00FB16EA">
      <w:pPr>
        <w:pStyle w:val="ListParagraph"/>
        <w:numPr>
          <w:ilvl w:val="0"/>
          <w:numId w:val="10"/>
        </w:numPr>
        <w:spacing w:after="0" w:line="360" w:lineRule="auto"/>
        <w:jc w:val="both"/>
        <w:rPr>
          <w:sz w:val="24"/>
          <w:szCs w:val="24"/>
        </w:rPr>
      </w:pPr>
      <w:r w:rsidRPr="00FB16EA">
        <w:rPr>
          <w:sz w:val="24"/>
          <w:szCs w:val="24"/>
        </w:rPr>
        <w:t xml:space="preserve">Scholarly discourse discusses </w:t>
      </w:r>
      <w:r w:rsidR="00C8274F" w:rsidRPr="00FB16EA">
        <w:rPr>
          <w:sz w:val="24"/>
          <w:szCs w:val="24"/>
        </w:rPr>
        <w:t xml:space="preserve">a </w:t>
      </w:r>
      <w:r w:rsidRPr="00FB16EA">
        <w:rPr>
          <w:noProof/>
          <w:sz w:val="24"/>
          <w:szCs w:val="24"/>
        </w:rPr>
        <w:t>partnership</w:t>
      </w:r>
      <w:r w:rsidRPr="00FB16EA">
        <w:rPr>
          <w:sz w:val="24"/>
          <w:szCs w:val="24"/>
        </w:rPr>
        <w:t xml:space="preserve">, liberal, and moral bases as existing rationales for alteration of property interests. </w:t>
      </w:r>
    </w:p>
    <w:p w:rsidR="00A80012" w:rsidRPr="00FB16EA" w:rsidRDefault="00FB16EA" w:rsidP="00FB16EA">
      <w:pPr>
        <w:pStyle w:val="ListParagraph"/>
        <w:numPr>
          <w:ilvl w:val="0"/>
          <w:numId w:val="10"/>
        </w:numPr>
        <w:spacing w:after="0" w:line="360" w:lineRule="auto"/>
        <w:jc w:val="both"/>
        <w:rPr>
          <w:sz w:val="24"/>
          <w:szCs w:val="24"/>
        </w:rPr>
      </w:pPr>
      <w:r>
        <w:rPr>
          <w:sz w:val="24"/>
          <w:szCs w:val="24"/>
        </w:rPr>
        <w:t>Given the absence of a settled academic view</w:t>
      </w:r>
      <w:r w:rsidR="00A80012" w:rsidRPr="00FB16EA">
        <w:rPr>
          <w:sz w:val="24"/>
          <w:szCs w:val="24"/>
        </w:rPr>
        <w:t>, there is need to develop relevant principles or values.</w:t>
      </w:r>
    </w:p>
    <w:p w:rsidR="00A80012" w:rsidRDefault="00A80012" w:rsidP="009A0126">
      <w:pPr>
        <w:pStyle w:val="ListParagraph"/>
        <w:numPr>
          <w:ilvl w:val="0"/>
          <w:numId w:val="10"/>
        </w:numPr>
        <w:spacing w:after="0" w:line="360" w:lineRule="auto"/>
        <w:jc w:val="both"/>
        <w:rPr>
          <w:sz w:val="24"/>
          <w:szCs w:val="24"/>
        </w:rPr>
      </w:pPr>
      <w:r>
        <w:rPr>
          <w:sz w:val="24"/>
          <w:szCs w:val="24"/>
        </w:rPr>
        <w:t xml:space="preserve">Principles or values </w:t>
      </w:r>
      <w:r w:rsidR="00105FB4">
        <w:rPr>
          <w:sz w:val="24"/>
          <w:szCs w:val="24"/>
        </w:rPr>
        <w:t>are developable</w:t>
      </w:r>
      <w:r>
        <w:rPr>
          <w:sz w:val="24"/>
          <w:szCs w:val="24"/>
        </w:rPr>
        <w:t xml:space="preserve"> specifically for property settlement cases. </w:t>
      </w:r>
    </w:p>
    <w:p w:rsidR="00A80012" w:rsidRDefault="00105FB4" w:rsidP="00462142">
      <w:pPr>
        <w:pStyle w:val="ListParagraph"/>
        <w:numPr>
          <w:ilvl w:val="0"/>
          <w:numId w:val="10"/>
        </w:numPr>
        <w:spacing w:after="0" w:line="360" w:lineRule="auto"/>
        <w:jc w:val="both"/>
        <w:rPr>
          <w:sz w:val="24"/>
          <w:szCs w:val="24"/>
        </w:rPr>
      </w:pPr>
      <w:r>
        <w:rPr>
          <w:sz w:val="24"/>
          <w:szCs w:val="24"/>
        </w:rPr>
        <w:t>Principles or values for property cases with children are distinguishable from relationships without children.</w:t>
      </w:r>
    </w:p>
    <w:p w:rsidR="000A16D2" w:rsidRPr="000A16D2" w:rsidRDefault="000A16D2" w:rsidP="000A16D2">
      <w:pPr>
        <w:pStyle w:val="ListParagraph"/>
        <w:spacing w:after="0" w:line="360" w:lineRule="auto"/>
        <w:ind w:left="1080"/>
        <w:jc w:val="both"/>
        <w:rPr>
          <w:sz w:val="24"/>
          <w:szCs w:val="24"/>
        </w:rPr>
      </w:pPr>
    </w:p>
    <w:p w:rsidR="00B72B62" w:rsidRPr="00462142" w:rsidRDefault="00105FB4" w:rsidP="00462142">
      <w:pPr>
        <w:pStyle w:val="Heading2"/>
        <w:spacing w:before="0" w:line="360" w:lineRule="auto"/>
        <w:rPr>
          <w:color w:val="auto"/>
          <w:sz w:val="28"/>
          <w:szCs w:val="28"/>
        </w:rPr>
      </w:pPr>
      <w:bookmarkStart w:id="24" w:name="_Toc512895941"/>
      <w:r w:rsidRPr="0031221F">
        <w:rPr>
          <w:color w:val="auto"/>
          <w:sz w:val="28"/>
          <w:szCs w:val="28"/>
        </w:rPr>
        <w:t>I</w:t>
      </w:r>
      <w:r>
        <w:rPr>
          <w:color w:val="auto"/>
          <w:sz w:val="28"/>
          <w:szCs w:val="28"/>
        </w:rPr>
        <w:t>II</w:t>
      </w:r>
      <w:r w:rsidRPr="0031221F">
        <w:rPr>
          <w:color w:val="auto"/>
          <w:sz w:val="28"/>
          <w:szCs w:val="28"/>
        </w:rPr>
        <w:t xml:space="preserve"> </w:t>
      </w:r>
      <w:r>
        <w:rPr>
          <w:color w:val="auto"/>
          <w:sz w:val="28"/>
          <w:szCs w:val="28"/>
        </w:rPr>
        <w:t xml:space="preserve">The </w:t>
      </w:r>
      <w:r>
        <w:rPr>
          <w:i/>
          <w:color w:val="auto"/>
          <w:sz w:val="28"/>
          <w:szCs w:val="28"/>
        </w:rPr>
        <w:t>Act</w:t>
      </w:r>
      <w:r>
        <w:rPr>
          <w:color w:val="auto"/>
          <w:sz w:val="28"/>
          <w:szCs w:val="28"/>
        </w:rPr>
        <w:t xml:space="preserve"> (Concerning Finances) </w:t>
      </w:r>
      <w:r w:rsidR="00B72B62">
        <w:rPr>
          <w:color w:val="auto"/>
          <w:sz w:val="28"/>
          <w:szCs w:val="28"/>
        </w:rPr>
        <w:t xml:space="preserve">Already </w:t>
      </w:r>
      <w:r>
        <w:rPr>
          <w:color w:val="auto"/>
          <w:sz w:val="28"/>
          <w:szCs w:val="28"/>
        </w:rPr>
        <w:t>Reflects Liberal Philosophical Values</w:t>
      </w:r>
      <w:bookmarkEnd w:id="24"/>
    </w:p>
    <w:p w:rsidR="004053C3" w:rsidRPr="00CC4FCD" w:rsidRDefault="00B46357" w:rsidP="009A0126">
      <w:pPr>
        <w:pStyle w:val="ListParagraph"/>
        <w:numPr>
          <w:ilvl w:val="0"/>
          <w:numId w:val="52"/>
        </w:numPr>
        <w:spacing w:after="0" w:line="360" w:lineRule="auto"/>
        <w:jc w:val="both"/>
        <w:rPr>
          <w:sz w:val="24"/>
          <w:szCs w:val="24"/>
        </w:rPr>
      </w:pPr>
      <w:r w:rsidRPr="00CC4FCD">
        <w:rPr>
          <w:sz w:val="24"/>
          <w:szCs w:val="24"/>
        </w:rPr>
        <w:t xml:space="preserve">This section </w:t>
      </w:r>
      <w:r w:rsidR="000A16D2">
        <w:rPr>
          <w:sz w:val="24"/>
          <w:szCs w:val="24"/>
        </w:rPr>
        <w:t>argues</w:t>
      </w:r>
      <w:r w:rsidRPr="00CC4FCD">
        <w:rPr>
          <w:sz w:val="24"/>
          <w:szCs w:val="24"/>
        </w:rPr>
        <w:t xml:space="preserve">: </w:t>
      </w:r>
    </w:p>
    <w:p w:rsidR="00B46357" w:rsidRDefault="00B46357" w:rsidP="009A0126">
      <w:pPr>
        <w:pStyle w:val="ListParagraph"/>
        <w:numPr>
          <w:ilvl w:val="0"/>
          <w:numId w:val="11"/>
        </w:numPr>
        <w:spacing w:after="0" w:line="360" w:lineRule="auto"/>
        <w:jc w:val="both"/>
        <w:rPr>
          <w:sz w:val="24"/>
          <w:szCs w:val="24"/>
        </w:rPr>
      </w:pPr>
      <w:r>
        <w:rPr>
          <w:sz w:val="24"/>
          <w:szCs w:val="24"/>
        </w:rPr>
        <w:t>The financial agreement</w:t>
      </w:r>
      <w:r w:rsidR="000A16D2">
        <w:rPr>
          <w:sz w:val="24"/>
          <w:szCs w:val="24"/>
        </w:rPr>
        <w:t>s</w:t>
      </w:r>
      <w:r>
        <w:rPr>
          <w:sz w:val="24"/>
          <w:szCs w:val="24"/>
        </w:rPr>
        <w:t xml:space="preserve"> regime reflects liberal philosophical values of contrac</w:t>
      </w:r>
      <w:r w:rsidR="000A16D2">
        <w:rPr>
          <w:sz w:val="24"/>
          <w:szCs w:val="24"/>
        </w:rPr>
        <w:t>t and equity</w:t>
      </w:r>
      <w:r>
        <w:rPr>
          <w:sz w:val="24"/>
          <w:szCs w:val="24"/>
        </w:rPr>
        <w:t>;</w:t>
      </w:r>
    </w:p>
    <w:p w:rsidR="00B46357" w:rsidRDefault="00B46357" w:rsidP="009A0126">
      <w:pPr>
        <w:pStyle w:val="ListParagraph"/>
        <w:numPr>
          <w:ilvl w:val="0"/>
          <w:numId w:val="11"/>
        </w:numPr>
        <w:spacing w:after="0" w:line="360" w:lineRule="auto"/>
        <w:jc w:val="both"/>
        <w:rPr>
          <w:sz w:val="24"/>
          <w:szCs w:val="24"/>
        </w:rPr>
      </w:pPr>
      <w:r>
        <w:rPr>
          <w:sz w:val="24"/>
          <w:szCs w:val="24"/>
        </w:rPr>
        <w:t xml:space="preserve">Section 79 of the </w:t>
      </w:r>
      <w:r>
        <w:rPr>
          <w:i/>
          <w:sz w:val="24"/>
          <w:szCs w:val="24"/>
        </w:rPr>
        <w:t>Act</w:t>
      </w:r>
      <w:r>
        <w:rPr>
          <w:sz w:val="24"/>
          <w:szCs w:val="24"/>
        </w:rPr>
        <w:t xml:space="preserve"> is subservient to </w:t>
      </w:r>
      <w:r w:rsidR="00B72B62">
        <w:rPr>
          <w:sz w:val="24"/>
          <w:szCs w:val="24"/>
        </w:rPr>
        <w:t xml:space="preserve">the </w:t>
      </w:r>
      <w:r w:rsidR="00B72B62" w:rsidRPr="00E04540">
        <w:rPr>
          <w:noProof/>
          <w:sz w:val="24"/>
          <w:szCs w:val="24"/>
        </w:rPr>
        <w:t>financial</w:t>
      </w:r>
      <w:r w:rsidR="00B72B62">
        <w:rPr>
          <w:sz w:val="24"/>
          <w:szCs w:val="24"/>
        </w:rPr>
        <w:t xml:space="preserve"> agreements regime; </w:t>
      </w:r>
      <w:r w:rsidR="00FB16EA" w:rsidRPr="00B46357">
        <w:rPr>
          <w:rStyle w:val="EndnoteReference"/>
          <w:sz w:val="24"/>
          <w:szCs w:val="24"/>
        </w:rPr>
        <w:endnoteReference w:id="66"/>
      </w:r>
    </w:p>
    <w:p w:rsidR="00B72B62" w:rsidRDefault="00B72B62" w:rsidP="009A0126">
      <w:pPr>
        <w:pStyle w:val="ListParagraph"/>
        <w:numPr>
          <w:ilvl w:val="0"/>
          <w:numId w:val="11"/>
        </w:numPr>
        <w:spacing w:after="0" w:line="360" w:lineRule="auto"/>
        <w:jc w:val="both"/>
        <w:rPr>
          <w:sz w:val="24"/>
          <w:szCs w:val="24"/>
        </w:rPr>
      </w:pPr>
      <w:r>
        <w:rPr>
          <w:sz w:val="24"/>
          <w:szCs w:val="24"/>
        </w:rPr>
        <w:t xml:space="preserve">Accordingly, unless the </w:t>
      </w:r>
      <w:r w:rsidR="00C8274F">
        <w:rPr>
          <w:noProof/>
          <w:sz w:val="24"/>
          <w:szCs w:val="24"/>
        </w:rPr>
        <w:t>system</w:t>
      </w:r>
      <w:r>
        <w:rPr>
          <w:sz w:val="24"/>
          <w:szCs w:val="24"/>
        </w:rPr>
        <w:t xml:space="preserve"> for </w:t>
      </w:r>
      <w:r w:rsidRPr="00C8274F">
        <w:rPr>
          <w:noProof/>
          <w:sz w:val="24"/>
          <w:szCs w:val="24"/>
        </w:rPr>
        <w:t>financial</w:t>
      </w:r>
      <w:r>
        <w:rPr>
          <w:sz w:val="24"/>
          <w:szCs w:val="24"/>
        </w:rPr>
        <w:t xml:space="preserve"> agreements dramatically changes (and this submission later argues against </w:t>
      </w:r>
      <w:r w:rsidRPr="00C8274F">
        <w:rPr>
          <w:noProof/>
          <w:sz w:val="24"/>
          <w:szCs w:val="24"/>
        </w:rPr>
        <w:t>it)</w:t>
      </w:r>
      <w:r w:rsidR="00C8274F">
        <w:rPr>
          <w:noProof/>
          <w:sz w:val="24"/>
          <w:szCs w:val="24"/>
        </w:rPr>
        <w:t>,</w:t>
      </w:r>
      <w:r>
        <w:rPr>
          <w:sz w:val="24"/>
          <w:szCs w:val="24"/>
        </w:rPr>
        <w:t xml:space="preserve"> the </w:t>
      </w:r>
      <w:r>
        <w:rPr>
          <w:i/>
          <w:sz w:val="24"/>
          <w:szCs w:val="24"/>
        </w:rPr>
        <w:t>Act</w:t>
      </w:r>
      <w:r>
        <w:rPr>
          <w:sz w:val="24"/>
          <w:szCs w:val="24"/>
        </w:rPr>
        <w:t xml:space="preserve"> is already </w:t>
      </w:r>
      <w:r w:rsidR="00C8274F">
        <w:rPr>
          <w:sz w:val="24"/>
          <w:szCs w:val="24"/>
        </w:rPr>
        <w:t xml:space="preserve">philosophically </w:t>
      </w:r>
      <w:r>
        <w:rPr>
          <w:sz w:val="24"/>
          <w:szCs w:val="24"/>
        </w:rPr>
        <w:t>liberal.</w:t>
      </w:r>
    </w:p>
    <w:p w:rsidR="00CC4FCD" w:rsidRPr="00070648" w:rsidRDefault="006D3580" w:rsidP="00070648">
      <w:pPr>
        <w:pStyle w:val="ListParagraph"/>
        <w:numPr>
          <w:ilvl w:val="0"/>
          <w:numId w:val="52"/>
        </w:numPr>
        <w:spacing w:after="0" w:line="360" w:lineRule="auto"/>
        <w:jc w:val="both"/>
        <w:rPr>
          <w:sz w:val="24"/>
          <w:szCs w:val="24"/>
        </w:rPr>
      </w:pPr>
      <w:r w:rsidRPr="00CC4FCD">
        <w:rPr>
          <w:sz w:val="24"/>
          <w:szCs w:val="24"/>
        </w:rPr>
        <w:t>The formalities for entering into a financial agreement are well known.</w:t>
      </w:r>
      <w:r w:rsidR="000D38F9">
        <w:rPr>
          <w:rStyle w:val="EndnoteReference"/>
          <w:sz w:val="24"/>
          <w:szCs w:val="24"/>
        </w:rPr>
        <w:endnoteReference w:id="67"/>
      </w:r>
      <w:r w:rsidRPr="00CC4FCD">
        <w:rPr>
          <w:sz w:val="24"/>
          <w:szCs w:val="24"/>
        </w:rPr>
        <w:t xml:space="preserve"> Limited grounds also exist for setting aside a financial </w:t>
      </w:r>
      <w:r w:rsidRPr="00CC4FCD">
        <w:rPr>
          <w:noProof/>
          <w:sz w:val="24"/>
          <w:szCs w:val="24"/>
        </w:rPr>
        <w:t>agreement</w:t>
      </w:r>
      <w:r w:rsidRPr="00CC4FCD">
        <w:rPr>
          <w:sz w:val="24"/>
          <w:szCs w:val="24"/>
        </w:rPr>
        <w:t xml:space="preserve"> including a material change in circumstances relating to a child,</w:t>
      </w:r>
      <w:r w:rsidRPr="006D3580">
        <w:rPr>
          <w:vertAlign w:val="superscript"/>
        </w:rPr>
        <w:endnoteReference w:id="68"/>
      </w:r>
      <w:r w:rsidRPr="00CC4FCD">
        <w:rPr>
          <w:sz w:val="24"/>
          <w:szCs w:val="24"/>
        </w:rPr>
        <w:t xml:space="preserve"> and impracticability of implementing the </w:t>
      </w:r>
      <w:r w:rsidRPr="00CC4FCD">
        <w:rPr>
          <w:noProof/>
          <w:sz w:val="24"/>
          <w:szCs w:val="24"/>
        </w:rPr>
        <w:t>financial</w:t>
      </w:r>
      <w:r w:rsidRPr="00CC4FCD">
        <w:rPr>
          <w:sz w:val="24"/>
          <w:szCs w:val="24"/>
        </w:rPr>
        <w:t xml:space="preserve"> </w:t>
      </w:r>
      <w:r w:rsidRPr="00CC4FCD">
        <w:rPr>
          <w:noProof/>
          <w:sz w:val="24"/>
          <w:szCs w:val="24"/>
        </w:rPr>
        <w:t>agreement</w:t>
      </w:r>
      <w:r w:rsidRPr="00CC4FCD">
        <w:rPr>
          <w:sz w:val="24"/>
          <w:szCs w:val="24"/>
        </w:rPr>
        <w:t>.</w:t>
      </w:r>
      <w:r w:rsidRPr="006D3580">
        <w:rPr>
          <w:vertAlign w:val="superscript"/>
        </w:rPr>
        <w:endnoteReference w:id="69"/>
      </w:r>
      <w:r w:rsidRPr="00CC4FCD">
        <w:rPr>
          <w:sz w:val="24"/>
          <w:szCs w:val="24"/>
        </w:rPr>
        <w:t xml:space="preserve"> None of these grounds addresses the content of the </w:t>
      </w:r>
      <w:r w:rsidRPr="00CC4FCD">
        <w:rPr>
          <w:noProof/>
          <w:sz w:val="24"/>
          <w:szCs w:val="24"/>
        </w:rPr>
        <w:t>financial</w:t>
      </w:r>
      <w:r w:rsidRPr="00CC4FCD">
        <w:rPr>
          <w:sz w:val="24"/>
          <w:szCs w:val="24"/>
        </w:rPr>
        <w:t xml:space="preserve"> </w:t>
      </w:r>
      <w:r w:rsidRPr="00CC4FCD">
        <w:rPr>
          <w:noProof/>
          <w:sz w:val="24"/>
          <w:szCs w:val="24"/>
        </w:rPr>
        <w:t>agreement</w:t>
      </w:r>
      <w:r w:rsidRPr="00CC4FCD">
        <w:rPr>
          <w:sz w:val="24"/>
          <w:szCs w:val="24"/>
        </w:rPr>
        <w:t>.</w:t>
      </w:r>
    </w:p>
    <w:p w:rsidR="00CC4FCD" w:rsidRPr="00070648" w:rsidRDefault="006D3580" w:rsidP="00070648">
      <w:pPr>
        <w:pStyle w:val="ListParagraph"/>
        <w:numPr>
          <w:ilvl w:val="0"/>
          <w:numId w:val="52"/>
        </w:numPr>
        <w:spacing w:after="0" w:line="360" w:lineRule="auto"/>
        <w:jc w:val="both"/>
        <w:rPr>
          <w:sz w:val="24"/>
          <w:szCs w:val="24"/>
        </w:rPr>
      </w:pPr>
      <w:r w:rsidRPr="00CC4FCD">
        <w:rPr>
          <w:sz w:val="24"/>
          <w:szCs w:val="24"/>
        </w:rPr>
        <w:t>Positive satisfaction of the enforceability requirements of law and equity (and the absence of a ground to set aside) is a necessary pre-requisite to considering statutory formalities.</w:t>
      </w:r>
      <w:r w:rsidRPr="006D3580">
        <w:rPr>
          <w:vertAlign w:val="superscript"/>
        </w:rPr>
        <w:endnoteReference w:id="70"/>
      </w:r>
      <w:r w:rsidRPr="00CC4FCD">
        <w:rPr>
          <w:sz w:val="24"/>
          <w:szCs w:val="24"/>
        </w:rPr>
        <w:t xml:space="preserve"> A court has the same powers and may grant the same remedies as apply to contracts, both in law and equity.</w:t>
      </w:r>
      <w:r w:rsidRPr="006D3580">
        <w:rPr>
          <w:vertAlign w:val="superscript"/>
        </w:rPr>
        <w:endnoteReference w:id="71"/>
      </w:r>
      <w:r w:rsidRPr="00CC4FCD">
        <w:rPr>
          <w:sz w:val="24"/>
          <w:szCs w:val="24"/>
        </w:rPr>
        <w:t xml:space="preserve"> If an agreement is a financial agreement within the meaning of the </w:t>
      </w:r>
      <w:r w:rsidRPr="00CC4FCD">
        <w:rPr>
          <w:i/>
          <w:sz w:val="24"/>
          <w:szCs w:val="24"/>
        </w:rPr>
        <w:t>Act,</w:t>
      </w:r>
      <w:r w:rsidRPr="00CC4FCD">
        <w:rPr>
          <w:sz w:val="24"/>
          <w:szCs w:val="24"/>
        </w:rPr>
        <w:t xml:space="preserve"> the property the subject of the </w:t>
      </w:r>
      <w:r w:rsidRPr="00CC4FCD">
        <w:rPr>
          <w:noProof/>
          <w:sz w:val="24"/>
          <w:szCs w:val="24"/>
        </w:rPr>
        <w:t>financial</w:t>
      </w:r>
      <w:r w:rsidRPr="00CC4FCD">
        <w:rPr>
          <w:sz w:val="24"/>
          <w:szCs w:val="24"/>
        </w:rPr>
        <w:t xml:space="preserve"> </w:t>
      </w:r>
      <w:r w:rsidRPr="00CC4FCD">
        <w:rPr>
          <w:noProof/>
          <w:sz w:val="24"/>
          <w:szCs w:val="24"/>
        </w:rPr>
        <w:t>agreement</w:t>
      </w:r>
      <w:r w:rsidRPr="00CC4FCD">
        <w:rPr>
          <w:sz w:val="24"/>
          <w:szCs w:val="24"/>
        </w:rPr>
        <w:t xml:space="preserve"> cannot be the subject an order under section 79 of the </w:t>
      </w:r>
      <w:r w:rsidRPr="00CC4FCD">
        <w:rPr>
          <w:i/>
          <w:sz w:val="24"/>
          <w:szCs w:val="24"/>
        </w:rPr>
        <w:t>Act</w:t>
      </w:r>
      <w:r w:rsidRPr="00CC4FCD">
        <w:rPr>
          <w:sz w:val="24"/>
          <w:szCs w:val="24"/>
        </w:rPr>
        <w:t>.</w:t>
      </w:r>
      <w:r w:rsidRPr="006D3580">
        <w:rPr>
          <w:vertAlign w:val="superscript"/>
        </w:rPr>
        <w:endnoteReference w:id="72"/>
      </w:r>
    </w:p>
    <w:p w:rsidR="00C8274F" w:rsidRPr="00070648" w:rsidRDefault="006D3580" w:rsidP="00462142">
      <w:pPr>
        <w:pStyle w:val="ListParagraph"/>
        <w:numPr>
          <w:ilvl w:val="0"/>
          <w:numId w:val="52"/>
        </w:numPr>
        <w:spacing w:after="0" w:line="360" w:lineRule="auto"/>
        <w:jc w:val="both"/>
        <w:rPr>
          <w:sz w:val="24"/>
          <w:szCs w:val="24"/>
        </w:rPr>
      </w:pPr>
      <w:r w:rsidRPr="00CC4FCD">
        <w:rPr>
          <w:sz w:val="24"/>
          <w:szCs w:val="24"/>
        </w:rPr>
        <w:lastRenderedPageBreak/>
        <w:t xml:space="preserve">Nothing in the </w:t>
      </w:r>
      <w:r w:rsidRPr="00CC4FCD">
        <w:rPr>
          <w:i/>
          <w:sz w:val="24"/>
          <w:szCs w:val="24"/>
        </w:rPr>
        <w:t>Act</w:t>
      </w:r>
      <w:r w:rsidRPr="00CC4FCD">
        <w:rPr>
          <w:sz w:val="24"/>
          <w:szCs w:val="24"/>
        </w:rPr>
        <w:t xml:space="preserve"> prevents spouses entering, without supervision or approval by a court, an imbalanced bargain, or an outcome inconsistent with likely court orders on property division. What this means is that the jurisdiction of a court is subservient to a financial agreement</w:t>
      </w:r>
      <w:r w:rsidR="0070383F">
        <w:rPr>
          <w:sz w:val="24"/>
          <w:szCs w:val="24"/>
        </w:rPr>
        <w:t>. Moreover,</w:t>
      </w:r>
      <w:r w:rsidRPr="00CC4FCD">
        <w:rPr>
          <w:sz w:val="24"/>
          <w:szCs w:val="24"/>
        </w:rPr>
        <w:t xml:space="preserve"> regulation of such </w:t>
      </w:r>
      <w:r w:rsidRPr="00CC4FCD">
        <w:rPr>
          <w:noProof/>
          <w:sz w:val="24"/>
          <w:szCs w:val="24"/>
        </w:rPr>
        <w:t>agreements</w:t>
      </w:r>
      <w:r w:rsidRPr="00CC4FCD">
        <w:rPr>
          <w:sz w:val="24"/>
          <w:szCs w:val="24"/>
        </w:rPr>
        <w:t xml:space="preserve"> is, with only some departures, achieved applying traditional formation principles of contract and equity. This system, with its reliance on historical legal </w:t>
      </w:r>
      <w:r w:rsidRPr="00CC4FCD">
        <w:rPr>
          <w:noProof/>
          <w:sz w:val="24"/>
          <w:szCs w:val="24"/>
        </w:rPr>
        <w:t>principle</w:t>
      </w:r>
      <w:r w:rsidRPr="00CC4FCD">
        <w:rPr>
          <w:sz w:val="24"/>
          <w:szCs w:val="24"/>
        </w:rPr>
        <w:t xml:space="preserve">, </w:t>
      </w:r>
      <w:r w:rsidR="00266985" w:rsidRPr="00CC4FCD">
        <w:rPr>
          <w:sz w:val="24"/>
          <w:szCs w:val="24"/>
        </w:rPr>
        <w:t>reflects</w:t>
      </w:r>
      <w:r w:rsidRPr="00CC4FCD">
        <w:rPr>
          <w:sz w:val="24"/>
          <w:szCs w:val="24"/>
        </w:rPr>
        <w:t xml:space="preserve"> a </w:t>
      </w:r>
      <w:r w:rsidR="00266985" w:rsidRPr="00CC4FCD">
        <w:rPr>
          <w:sz w:val="24"/>
          <w:szCs w:val="24"/>
        </w:rPr>
        <w:t>classically</w:t>
      </w:r>
      <w:r w:rsidRPr="00CC4FCD">
        <w:rPr>
          <w:sz w:val="24"/>
          <w:szCs w:val="24"/>
        </w:rPr>
        <w:t xml:space="preserve"> liberal </w:t>
      </w:r>
      <w:r w:rsidR="00B4031E" w:rsidRPr="00CC4FCD">
        <w:rPr>
          <w:noProof/>
          <w:sz w:val="24"/>
          <w:szCs w:val="24"/>
        </w:rPr>
        <w:t>approach</w:t>
      </w:r>
      <w:r w:rsidRPr="00CC4FCD">
        <w:rPr>
          <w:sz w:val="24"/>
          <w:szCs w:val="24"/>
        </w:rPr>
        <w:t xml:space="preserve"> </w:t>
      </w:r>
      <w:r w:rsidR="00B4031E" w:rsidRPr="00CC4FCD">
        <w:rPr>
          <w:sz w:val="24"/>
          <w:szCs w:val="24"/>
        </w:rPr>
        <w:t>for</w:t>
      </w:r>
      <w:r w:rsidRPr="00CC4FCD">
        <w:rPr>
          <w:sz w:val="24"/>
          <w:szCs w:val="24"/>
        </w:rPr>
        <w:t xml:space="preserve"> enforcement of agreements with only limited exceptions.</w:t>
      </w:r>
      <w:r>
        <w:rPr>
          <w:rStyle w:val="EndnoteReference"/>
          <w:sz w:val="24"/>
          <w:szCs w:val="24"/>
        </w:rPr>
        <w:endnoteReference w:id="73"/>
      </w:r>
    </w:p>
    <w:p w:rsidR="00513770" w:rsidRDefault="006D3580" w:rsidP="009A0126">
      <w:pPr>
        <w:pStyle w:val="ListParagraph"/>
        <w:numPr>
          <w:ilvl w:val="0"/>
          <w:numId w:val="52"/>
        </w:numPr>
        <w:spacing w:after="0" w:line="360" w:lineRule="auto"/>
        <w:jc w:val="both"/>
        <w:rPr>
          <w:sz w:val="24"/>
          <w:szCs w:val="24"/>
        </w:rPr>
      </w:pPr>
      <w:r w:rsidRPr="00CC4FCD">
        <w:rPr>
          <w:sz w:val="24"/>
          <w:szCs w:val="24"/>
        </w:rPr>
        <w:t xml:space="preserve">On that basis, given the combination of the primacy of the financial agreement provisions, and their grounding in traditional principles of contract and equity, liberal values already inform the </w:t>
      </w:r>
      <w:r w:rsidR="00513770" w:rsidRPr="00CC4FCD">
        <w:rPr>
          <w:sz w:val="24"/>
          <w:szCs w:val="24"/>
        </w:rPr>
        <w:t xml:space="preserve">financial provisions of the </w:t>
      </w:r>
      <w:r w:rsidR="00513770" w:rsidRPr="00CC4FCD">
        <w:rPr>
          <w:i/>
          <w:sz w:val="24"/>
          <w:szCs w:val="24"/>
        </w:rPr>
        <w:t>Act</w:t>
      </w:r>
      <w:r w:rsidR="00513770" w:rsidRPr="00CC4FCD">
        <w:rPr>
          <w:sz w:val="24"/>
          <w:szCs w:val="24"/>
        </w:rPr>
        <w:t xml:space="preserve">. </w:t>
      </w:r>
    </w:p>
    <w:p w:rsidR="000A16D2" w:rsidRPr="00CC4FCD" w:rsidRDefault="000A16D2" w:rsidP="000A16D2">
      <w:pPr>
        <w:pStyle w:val="ListParagraph"/>
        <w:spacing w:after="0" w:line="360" w:lineRule="auto"/>
        <w:jc w:val="both"/>
        <w:rPr>
          <w:sz w:val="24"/>
          <w:szCs w:val="24"/>
        </w:rPr>
      </w:pPr>
    </w:p>
    <w:p w:rsidR="000D38F9" w:rsidRDefault="000D38F9" w:rsidP="00462142">
      <w:pPr>
        <w:pStyle w:val="Heading2"/>
        <w:spacing w:before="0" w:line="360" w:lineRule="auto"/>
        <w:rPr>
          <w:color w:val="auto"/>
          <w:sz w:val="28"/>
          <w:szCs w:val="28"/>
        </w:rPr>
      </w:pPr>
      <w:bookmarkStart w:id="25" w:name="_Toc512895942"/>
      <w:r w:rsidRPr="00E04540">
        <w:rPr>
          <w:noProof/>
          <w:color w:val="auto"/>
          <w:sz w:val="28"/>
          <w:szCs w:val="28"/>
        </w:rPr>
        <w:t xml:space="preserve">IV </w:t>
      </w:r>
      <w:r w:rsidR="00B4031E" w:rsidRPr="00E04540">
        <w:rPr>
          <w:noProof/>
          <w:color w:val="auto"/>
          <w:sz w:val="28"/>
          <w:szCs w:val="28"/>
        </w:rPr>
        <w:t>A</w:t>
      </w:r>
      <w:r w:rsidR="00B4031E">
        <w:rPr>
          <w:noProof/>
          <w:color w:val="auto"/>
          <w:sz w:val="28"/>
          <w:szCs w:val="28"/>
        </w:rPr>
        <w:t xml:space="preserve"> </w:t>
      </w:r>
      <w:r>
        <w:rPr>
          <w:color w:val="auto"/>
          <w:sz w:val="28"/>
          <w:szCs w:val="28"/>
        </w:rPr>
        <w:t>(Philosophically) Liberal Values Framework for Property Settlements</w:t>
      </w:r>
      <w:bookmarkEnd w:id="25"/>
    </w:p>
    <w:p w:rsidR="000D38F9" w:rsidRPr="0070383F" w:rsidRDefault="000D38F9" w:rsidP="0070383F">
      <w:pPr>
        <w:pStyle w:val="ListParagraph"/>
        <w:numPr>
          <w:ilvl w:val="0"/>
          <w:numId w:val="52"/>
        </w:numPr>
        <w:spacing w:after="0" w:line="360" w:lineRule="auto"/>
        <w:ind w:hanging="357"/>
        <w:jc w:val="both"/>
        <w:rPr>
          <w:sz w:val="24"/>
          <w:szCs w:val="24"/>
        </w:rPr>
      </w:pPr>
      <w:r w:rsidRPr="0070383F">
        <w:rPr>
          <w:sz w:val="24"/>
          <w:szCs w:val="24"/>
        </w:rPr>
        <w:t>This</w:t>
      </w:r>
      <w:r w:rsidR="0070383F" w:rsidRPr="0070383F">
        <w:t xml:space="preserve"> </w:t>
      </w:r>
      <w:r w:rsidR="0070383F">
        <w:t xml:space="preserve">part argues that </w:t>
      </w:r>
      <w:r w:rsidR="0070383F">
        <w:rPr>
          <w:sz w:val="24"/>
          <w:szCs w:val="24"/>
        </w:rPr>
        <w:t>a</w:t>
      </w:r>
      <w:r w:rsidR="0070383F" w:rsidRPr="0070383F">
        <w:rPr>
          <w:sz w:val="24"/>
          <w:szCs w:val="24"/>
        </w:rPr>
        <w:t xml:space="preserve"> liberal philosophical approach successfully informs potential </w:t>
      </w:r>
      <w:r w:rsidR="0070383F">
        <w:rPr>
          <w:sz w:val="24"/>
          <w:szCs w:val="24"/>
        </w:rPr>
        <w:t xml:space="preserve">redevelopment </w:t>
      </w:r>
      <w:r w:rsidR="0070383F" w:rsidRPr="0070383F">
        <w:rPr>
          <w:sz w:val="24"/>
          <w:szCs w:val="24"/>
        </w:rPr>
        <w:t>principles for property settlements.</w:t>
      </w:r>
      <w:r w:rsidR="0070383F">
        <w:rPr>
          <w:sz w:val="24"/>
          <w:szCs w:val="24"/>
        </w:rPr>
        <w:t xml:space="preserve"> It</w:t>
      </w:r>
      <w:r w:rsidRPr="0070383F">
        <w:rPr>
          <w:sz w:val="24"/>
          <w:szCs w:val="24"/>
        </w:rPr>
        <w:t xml:space="preserve"> sets out (in summary form):</w:t>
      </w:r>
    </w:p>
    <w:p w:rsidR="000D38F9" w:rsidRPr="005C3A98" w:rsidRDefault="0074682B" w:rsidP="0070383F">
      <w:pPr>
        <w:pStyle w:val="ListParagraph"/>
        <w:numPr>
          <w:ilvl w:val="0"/>
          <w:numId w:val="12"/>
        </w:numPr>
        <w:spacing w:after="0" w:line="360" w:lineRule="auto"/>
        <w:ind w:hanging="357"/>
        <w:jc w:val="both"/>
        <w:rPr>
          <w:sz w:val="24"/>
          <w:szCs w:val="24"/>
        </w:rPr>
      </w:pPr>
      <w:r>
        <w:rPr>
          <w:sz w:val="24"/>
          <w:szCs w:val="24"/>
        </w:rPr>
        <w:t>A</w:t>
      </w:r>
      <w:r w:rsidR="000D38F9" w:rsidRPr="005C3A98">
        <w:rPr>
          <w:sz w:val="24"/>
          <w:szCs w:val="24"/>
        </w:rPr>
        <w:t xml:space="preserve"> theory</w:t>
      </w:r>
      <w:r w:rsidR="00B4031E">
        <w:rPr>
          <w:sz w:val="24"/>
          <w:szCs w:val="24"/>
        </w:rPr>
        <w:t>:</w:t>
      </w:r>
      <w:r w:rsidR="000D38F9" w:rsidRPr="005C3A98">
        <w:rPr>
          <w:sz w:val="24"/>
          <w:szCs w:val="24"/>
        </w:rPr>
        <w:t xml:space="preserve"> Rawls’ theory of justice, </w:t>
      </w:r>
    </w:p>
    <w:p w:rsidR="000D38F9" w:rsidRPr="005C3A98" w:rsidRDefault="0074682B" w:rsidP="0070383F">
      <w:pPr>
        <w:pStyle w:val="ListParagraph"/>
        <w:numPr>
          <w:ilvl w:val="0"/>
          <w:numId w:val="12"/>
        </w:numPr>
        <w:spacing w:after="0" w:line="360" w:lineRule="auto"/>
        <w:ind w:hanging="357"/>
        <w:jc w:val="both"/>
        <w:rPr>
          <w:sz w:val="24"/>
          <w:szCs w:val="24"/>
        </w:rPr>
      </w:pPr>
      <w:r w:rsidRPr="0074682B">
        <w:rPr>
          <w:noProof/>
          <w:sz w:val="24"/>
          <w:szCs w:val="24"/>
        </w:rPr>
        <w:t>L</w:t>
      </w:r>
      <w:r w:rsidR="000D38F9" w:rsidRPr="0074682B">
        <w:rPr>
          <w:noProof/>
          <w:sz w:val="24"/>
          <w:szCs w:val="24"/>
        </w:rPr>
        <w:t>ink</w:t>
      </w:r>
      <w:r w:rsidRPr="0074682B">
        <w:rPr>
          <w:noProof/>
          <w:sz w:val="24"/>
          <w:szCs w:val="24"/>
        </w:rPr>
        <w:t>s</w:t>
      </w:r>
      <w:r w:rsidR="0070383F">
        <w:rPr>
          <w:noProof/>
          <w:sz w:val="24"/>
          <w:szCs w:val="24"/>
        </w:rPr>
        <w:t xml:space="preserve"> that theory</w:t>
      </w:r>
      <w:r w:rsidR="000D38F9" w:rsidRPr="005C3A98">
        <w:rPr>
          <w:sz w:val="24"/>
          <w:szCs w:val="24"/>
        </w:rPr>
        <w:t xml:space="preserve"> to family law (property settlements), </w:t>
      </w:r>
    </w:p>
    <w:p w:rsidR="000D38F9" w:rsidRPr="005C3A98" w:rsidRDefault="0070383F" w:rsidP="0070383F">
      <w:pPr>
        <w:pStyle w:val="ListParagraph"/>
        <w:numPr>
          <w:ilvl w:val="0"/>
          <w:numId w:val="12"/>
        </w:numPr>
        <w:spacing w:after="0" w:line="360" w:lineRule="auto"/>
        <w:ind w:hanging="357"/>
        <w:jc w:val="both"/>
        <w:rPr>
          <w:sz w:val="24"/>
          <w:szCs w:val="24"/>
        </w:rPr>
      </w:pPr>
      <w:r>
        <w:rPr>
          <w:sz w:val="24"/>
          <w:szCs w:val="24"/>
        </w:rPr>
        <w:t>Draws specific v</w:t>
      </w:r>
      <w:r w:rsidR="000D38F9" w:rsidRPr="005C3A98">
        <w:rPr>
          <w:sz w:val="24"/>
          <w:szCs w:val="24"/>
        </w:rPr>
        <w:t xml:space="preserve">alues </w:t>
      </w:r>
      <w:r w:rsidR="00A82AF3">
        <w:rPr>
          <w:sz w:val="24"/>
          <w:szCs w:val="24"/>
        </w:rPr>
        <w:t>exploration of the theory</w:t>
      </w:r>
      <w:r w:rsidR="000D38F9" w:rsidRPr="005C3A98">
        <w:rPr>
          <w:sz w:val="24"/>
          <w:szCs w:val="24"/>
        </w:rPr>
        <w:t xml:space="preserve">, and </w:t>
      </w:r>
    </w:p>
    <w:p w:rsidR="000D38F9" w:rsidRPr="00070648" w:rsidRDefault="0070383F" w:rsidP="0070383F">
      <w:pPr>
        <w:pStyle w:val="ListParagraph"/>
        <w:numPr>
          <w:ilvl w:val="0"/>
          <w:numId w:val="12"/>
        </w:numPr>
        <w:spacing w:after="0" w:line="360" w:lineRule="auto"/>
        <w:ind w:hanging="357"/>
        <w:jc w:val="both"/>
        <w:rPr>
          <w:sz w:val="24"/>
          <w:szCs w:val="24"/>
        </w:rPr>
      </w:pPr>
      <w:r w:rsidRPr="00A82AF3">
        <w:rPr>
          <w:noProof/>
          <w:sz w:val="24"/>
          <w:szCs w:val="24"/>
        </w:rPr>
        <w:t>Develops a</w:t>
      </w:r>
      <w:r w:rsidR="000D38F9" w:rsidRPr="00A82AF3">
        <w:rPr>
          <w:noProof/>
          <w:sz w:val="24"/>
          <w:szCs w:val="24"/>
        </w:rPr>
        <w:t xml:space="preserve"> framework for principles guiding the redevelopment of the legislation </w:t>
      </w:r>
      <w:r w:rsidRPr="00A82AF3">
        <w:rPr>
          <w:noProof/>
          <w:sz w:val="24"/>
          <w:szCs w:val="24"/>
        </w:rPr>
        <w:t>for</w:t>
      </w:r>
      <w:r w:rsidR="000D38F9" w:rsidRPr="00A82AF3">
        <w:rPr>
          <w:noProof/>
          <w:sz w:val="24"/>
          <w:szCs w:val="24"/>
        </w:rPr>
        <w:t xml:space="preserve"> alteration of property interests.</w:t>
      </w:r>
    </w:p>
    <w:p w:rsidR="00B11AA3" w:rsidRPr="00070648" w:rsidRDefault="000D38F9" w:rsidP="00462142">
      <w:pPr>
        <w:pStyle w:val="ListParagraph"/>
        <w:numPr>
          <w:ilvl w:val="0"/>
          <w:numId w:val="52"/>
        </w:numPr>
        <w:spacing w:after="0" w:line="360" w:lineRule="auto"/>
        <w:jc w:val="both"/>
        <w:rPr>
          <w:sz w:val="24"/>
          <w:szCs w:val="24"/>
        </w:rPr>
      </w:pPr>
      <w:r w:rsidRPr="00CC4FCD">
        <w:rPr>
          <w:sz w:val="24"/>
          <w:szCs w:val="24"/>
        </w:rPr>
        <w:t>John Rawls’ substantial works</w:t>
      </w:r>
      <w:r w:rsidR="00B11AA3" w:rsidRPr="005C3A98">
        <w:rPr>
          <w:vertAlign w:val="superscript"/>
        </w:rPr>
        <w:endnoteReference w:id="74"/>
      </w:r>
      <w:r w:rsidR="00B11AA3" w:rsidRPr="00CC4FCD">
        <w:rPr>
          <w:sz w:val="24"/>
          <w:szCs w:val="24"/>
        </w:rPr>
        <w:t xml:space="preserve"> fall under a liberal umbrella. Scholars in New Zealand and the United Kingdom use Rawls’ theory to evaluate </w:t>
      </w:r>
      <w:r w:rsidR="00B11AA3" w:rsidRPr="00CC4FCD">
        <w:rPr>
          <w:noProof/>
          <w:sz w:val="24"/>
          <w:szCs w:val="24"/>
        </w:rPr>
        <w:t>family</w:t>
      </w:r>
      <w:r w:rsidR="00B11AA3" w:rsidRPr="00CC4FCD">
        <w:rPr>
          <w:sz w:val="24"/>
          <w:szCs w:val="24"/>
        </w:rPr>
        <w:t xml:space="preserve"> law. Such an analysis has not been (save for one exception),</w:t>
      </w:r>
      <w:r w:rsidR="00B11AA3" w:rsidRPr="005C3A98">
        <w:rPr>
          <w:vertAlign w:val="superscript"/>
        </w:rPr>
        <w:endnoteReference w:id="75"/>
      </w:r>
      <w:r w:rsidR="00B11AA3" w:rsidRPr="00CC4FCD">
        <w:rPr>
          <w:sz w:val="24"/>
          <w:szCs w:val="24"/>
        </w:rPr>
        <w:t xml:space="preserve"> a feature of Australian discussion. George’s book, </w:t>
      </w:r>
      <w:r w:rsidR="00B11AA3" w:rsidRPr="00CC4FCD">
        <w:rPr>
          <w:i/>
          <w:sz w:val="24"/>
          <w:szCs w:val="24"/>
        </w:rPr>
        <w:t>Ideas and Debates in Family Law</w:t>
      </w:r>
      <w:r w:rsidR="00B11AA3" w:rsidRPr="00CC4FCD">
        <w:rPr>
          <w:sz w:val="24"/>
          <w:szCs w:val="24"/>
        </w:rPr>
        <w:t>,</w:t>
      </w:r>
      <w:r w:rsidR="00B11AA3" w:rsidRPr="00CC4FCD">
        <w:rPr>
          <w:i/>
          <w:sz w:val="24"/>
          <w:szCs w:val="24"/>
        </w:rPr>
        <w:t xml:space="preserve"> </w:t>
      </w:r>
      <w:r w:rsidR="00B11AA3" w:rsidRPr="00CC4FCD">
        <w:rPr>
          <w:sz w:val="24"/>
          <w:szCs w:val="24"/>
        </w:rPr>
        <w:t>(written in an English legal context) significantly influenced the choice of Rawls’ theory.</w:t>
      </w:r>
      <w:r w:rsidR="00B11AA3" w:rsidRPr="005C3A98">
        <w:rPr>
          <w:vertAlign w:val="superscript"/>
        </w:rPr>
        <w:endnoteReference w:id="76"/>
      </w:r>
    </w:p>
    <w:p w:rsidR="0070383F" w:rsidRDefault="00B11AA3" w:rsidP="0070383F">
      <w:pPr>
        <w:pStyle w:val="ListParagraph"/>
        <w:numPr>
          <w:ilvl w:val="0"/>
          <w:numId w:val="52"/>
        </w:numPr>
        <w:spacing w:after="0" w:line="360" w:lineRule="auto"/>
        <w:jc w:val="both"/>
        <w:rPr>
          <w:bCs/>
          <w:sz w:val="24"/>
          <w:szCs w:val="24"/>
        </w:rPr>
      </w:pPr>
      <w:r w:rsidRPr="00CC4FCD">
        <w:rPr>
          <w:bCs/>
          <w:sz w:val="24"/>
          <w:szCs w:val="24"/>
        </w:rPr>
        <w:t xml:space="preserve">Rawls’ liberal theory of justice provides for the supremacy of (and non-interference with) political liberties, particularly at a constitutional level. However, the </w:t>
      </w:r>
      <w:r w:rsidR="00B4031E" w:rsidRPr="00CC4FCD">
        <w:rPr>
          <w:bCs/>
          <w:noProof/>
          <w:sz w:val="24"/>
          <w:szCs w:val="24"/>
        </w:rPr>
        <w:t>doctrine</w:t>
      </w:r>
      <w:r w:rsidRPr="00CC4FCD">
        <w:rPr>
          <w:bCs/>
          <w:sz w:val="24"/>
          <w:szCs w:val="24"/>
        </w:rPr>
        <w:t xml:space="preserve"> permits distribution of social goods (including opportunities, </w:t>
      </w:r>
      <w:r w:rsidR="003141D1" w:rsidRPr="00CC4FCD">
        <w:rPr>
          <w:bCs/>
          <w:sz w:val="24"/>
          <w:szCs w:val="24"/>
        </w:rPr>
        <w:t>income,</w:t>
      </w:r>
      <w:r w:rsidRPr="00CC4FCD">
        <w:rPr>
          <w:bCs/>
          <w:sz w:val="24"/>
          <w:szCs w:val="24"/>
        </w:rPr>
        <w:t xml:space="preserve"> and wealth),</w:t>
      </w:r>
      <w:r w:rsidRPr="005C3A98">
        <w:rPr>
          <w:vertAlign w:val="superscript"/>
        </w:rPr>
        <w:endnoteReference w:id="77"/>
      </w:r>
      <w:r w:rsidRPr="00CC4FCD">
        <w:rPr>
          <w:bCs/>
          <w:sz w:val="24"/>
          <w:szCs w:val="24"/>
        </w:rPr>
        <w:t xml:space="preserve"> subject to meeting pre-conditions and with limitations on the amount distributed.  </w:t>
      </w:r>
    </w:p>
    <w:p w:rsidR="00B11AA3" w:rsidRPr="0070383F" w:rsidRDefault="00B11AA3" w:rsidP="0070383F">
      <w:pPr>
        <w:pStyle w:val="ListParagraph"/>
        <w:numPr>
          <w:ilvl w:val="0"/>
          <w:numId w:val="52"/>
        </w:numPr>
        <w:spacing w:after="0" w:line="360" w:lineRule="auto"/>
        <w:jc w:val="both"/>
        <w:rPr>
          <w:bCs/>
          <w:sz w:val="24"/>
          <w:szCs w:val="24"/>
        </w:rPr>
      </w:pPr>
      <w:r w:rsidRPr="00CC4FCD">
        <w:rPr>
          <w:bCs/>
          <w:sz w:val="24"/>
          <w:szCs w:val="24"/>
        </w:rPr>
        <w:t xml:space="preserve">There are two basic principles.  </w:t>
      </w:r>
      <w:r w:rsidRPr="0070383F">
        <w:rPr>
          <w:bCs/>
          <w:sz w:val="24"/>
          <w:szCs w:val="24"/>
        </w:rPr>
        <w:t xml:space="preserve">The first principle is </w:t>
      </w:r>
      <w:r w:rsidRPr="0070383F">
        <w:rPr>
          <w:sz w:val="24"/>
          <w:szCs w:val="24"/>
        </w:rPr>
        <w:t xml:space="preserve">that ‘each person has a claim to a fully adequate scheme of equal basic rights and liberties, which scheme is </w:t>
      </w:r>
      <w:r w:rsidRPr="0070383F">
        <w:rPr>
          <w:sz w:val="24"/>
          <w:szCs w:val="24"/>
        </w:rPr>
        <w:lastRenderedPageBreak/>
        <w:t>compatible with the same scheme for all; and in this scheme, the equal political liberties, and only those liberties, are to be guaranteed their fair value.’</w:t>
      </w:r>
      <w:r w:rsidRPr="005C3A98">
        <w:rPr>
          <w:vertAlign w:val="superscript"/>
        </w:rPr>
        <w:endnoteReference w:id="78"/>
      </w:r>
      <w:r w:rsidRPr="0070383F">
        <w:rPr>
          <w:sz w:val="24"/>
          <w:szCs w:val="24"/>
        </w:rPr>
        <w:t xml:space="preserve"> </w:t>
      </w:r>
    </w:p>
    <w:p w:rsidR="00CC4FCD" w:rsidRPr="00070648" w:rsidRDefault="00B11AA3" w:rsidP="00070648">
      <w:pPr>
        <w:pStyle w:val="ListParagraph"/>
        <w:numPr>
          <w:ilvl w:val="0"/>
          <w:numId w:val="52"/>
        </w:numPr>
        <w:spacing w:after="0" w:line="360" w:lineRule="auto"/>
        <w:jc w:val="both"/>
        <w:rPr>
          <w:noProof/>
          <w:sz w:val="24"/>
          <w:szCs w:val="24"/>
        </w:rPr>
      </w:pPr>
      <w:r w:rsidRPr="00CC4FCD">
        <w:rPr>
          <w:sz w:val="24"/>
          <w:szCs w:val="24"/>
        </w:rPr>
        <w:t xml:space="preserve">The second principle is that the optimal arrangements of social and economic inequalities are that they are both: (a) to the </w:t>
      </w:r>
      <w:r w:rsidRPr="00CC4FCD">
        <w:rPr>
          <w:noProof/>
          <w:sz w:val="24"/>
          <w:szCs w:val="24"/>
        </w:rPr>
        <w:t>greatest</w:t>
      </w:r>
      <w:r w:rsidRPr="00CC4FCD">
        <w:rPr>
          <w:sz w:val="24"/>
          <w:szCs w:val="24"/>
        </w:rPr>
        <w:t xml:space="preserve"> expected benefit of the least advantaged, subject to (b) providing the </w:t>
      </w:r>
      <w:r w:rsidRPr="00CC4FCD">
        <w:rPr>
          <w:noProof/>
          <w:sz w:val="24"/>
          <w:szCs w:val="24"/>
        </w:rPr>
        <w:t>greatest</w:t>
      </w:r>
      <w:r w:rsidRPr="00CC4FCD">
        <w:rPr>
          <w:sz w:val="24"/>
          <w:szCs w:val="24"/>
        </w:rPr>
        <w:t xml:space="preserve"> possible benefit for the least </w:t>
      </w:r>
      <w:r w:rsidRPr="00CC4FCD">
        <w:rPr>
          <w:noProof/>
          <w:sz w:val="24"/>
          <w:szCs w:val="24"/>
        </w:rPr>
        <w:t>well</w:t>
      </w:r>
      <w:r w:rsidR="00B4031E" w:rsidRPr="00CC4FCD">
        <w:rPr>
          <w:noProof/>
          <w:sz w:val="24"/>
          <w:szCs w:val="24"/>
        </w:rPr>
        <w:t>-</w:t>
      </w:r>
      <w:r w:rsidRPr="00CC4FCD">
        <w:rPr>
          <w:noProof/>
          <w:sz w:val="24"/>
          <w:szCs w:val="24"/>
        </w:rPr>
        <w:t>off</w:t>
      </w:r>
      <w:r w:rsidRPr="00CC4FCD">
        <w:rPr>
          <w:sz w:val="24"/>
          <w:szCs w:val="24"/>
        </w:rPr>
        <w:t xml:space="preserve"> (the difference principle).</w:t>
      </w:r>
      <w:r w:rsidRPr="005C3A98">
        <w:rPr>
          <w:vertAlign w:val="superscript"/>
        </w:rPr>
        <w:endnoteReference w:id="79"/>
      </w:r>
      <w:r w:rsidRPr="00CC4FCD">
        <w:rPr>
          <w:sz w:val="24"/>
          <w:szCs w:val="24"/>
        </w:rPr>
        <w:t xml:space="preserve">  The full analysis of how the theory applies appears in my doctoral thesis. </w:t>
      </w:r>
    </w:p>
    <w:p w:rsidR="00CC4FCD" w:rsidRPr="00070648" w:rsidRDefault="005C3A98" w:rsidP="00070648">
      <w:pPr>
        <w:pStyle w:val="ListParagraph"/>
        <w:numPr>
          <w:ilvl w:val="0"/>
          <w:numId w:val="52"/>
        </w:numPr>
        <w:spacing w:after="0" w:line="360" w:lineRule="auto"/>
        <w:jc w:val="both"/>
        <w:rPr>
          <w:noProof/>
          <w:sz w:val="24"/>
          <w:szCs w:val="24"/>
        </w:rPr>
      </w:pPr>
      <w:r w:rsidRPr="00CC4FCD">
        <w:rPr>
          <w:noProof/>
          <w:sz w:val="24"/>
          <w:szCs w:val="24"/>
        </w:rPr>
        <w:t>In summary form, the combination of two persons</w:t>
      </w:r>
      <w:r w:rsidR="00B4031E" w:rsidRPr="00CC4FCD">
        <w:rPr>
          <w:noProof/>
          <w:sz w:val="24"/>
          <w:szCs w:val="24"/>
        </w:rPr>
        <w:t>:</w:t>
      </w:r>
    </w:p>
    <w:p w:rsidR="00CC4FCD" w:rsidRDefault="005C3A98" w:rsidP="009A0126">
      <w:pPr>
        <w:pStyle w:val="ListParagraph"/>
        <w:numPr>
          <w:ilvl w:val="1"/>
          <w:numId w:val="52"/>
        </w:numPr>
        <w:spacing w:after="0" w:line="360" w:lineRule="auto"/>
        <w:jc w:val="both"/>
        <w:rPr>
          <w:noProof/>
          <w:sz w:val="24"/>
          <w:szCs w:val="24"/>
        </w:rPr>
      </w:pPr>
      <w:r w:rsidRPr="00CC4FCD">
        <w:rPr>
          <w:noProof/>
          <w:sz w:val="24"/>
          <w:szCs w:val="24"/>
        </w:rPr>
        <w:t xml:space="preserve">marrying – or being in a de-facto relationship, </w:t>
      </w:r>
      <w:r w:rsidRPr="00CC4FCD">
        <w:rPr>
          <w:i/>
          <w:noProof/>
          <w:sz w:val="24"/>
          <w:szCs w:val="24"/>
        </w:rPr>
        <w:t>and</w:t>
      </w:r>
      <w:r w:rsidRPr="00CC4FCD">
        <w:rPr>
          <w:noProof/>
          <w:sz w:val="24"/>
          <w:szCs w:val="24"/>
        </w:rPr>
        <w:t xml:space="preserve"> </w:t>
      </w:r>
    </w:p>
    <w:p w:rsidR="00CC4FCD" w:rsidRPr="00CC4FCD" w:rsidRDefault="005C3A98" w:rsidP="009A0126">
      <w:pPr>
        <w:pStyle w:val="ListParagraph"/>
        <w:numPr>
          <w:ilvl w:val="1"/>
          <w:numId w:val="52"/>
        </w:numPr>
        <w:spacing w:after="0" w:line="360" w:lineRule="auto"/>
        <w:jc w:val="both"/>
        <w:rPr>
          <w:noProof/>
          <w:sz w:val="24"/>
          <w:szCs w:val="24"/>
        </w:rPr>
      </w:pPr>
      <w:r w:rsidRPr="00CC4FCD">
        <w:rPr>
          <w:noProof/>
          <w:sz w:val="24"/>
          <w:szCs w:val="24"/>
        </w:rPr>
        <w:t>not otherwise regulating their arrangements by way of a financial agreement</w:t>
      </w:r>
      <w:r w:rsidR="00B4031E" w:rsidRPr="00CC4FCD">
        <w:rPr>
          <w:noProof/>
          <w:sz w:val="24"/>
          <w:szCs w:val="24"/>
        </w:rPr>
        <w:t>,</w:t>
      </w:r>
      <w:r w:rsidRPr="00CC4FCD">
        <w:rPr>
          <w:noProof/>
          <w:sz w:val="24"/>
          <w:szCs w:val="24"/>
        </w:rPr>
        <w:t xml:space="preserve"> </w:t>
      </w:r>
      <w:r w:rsidRPr="00CC4FCD">
        <w:rPr>
          <w:i/>
          <w:noProof/>
          <w:sz w:val="24"/>
          <w:szCs w:val="24"/>
        </w:rPr>
        <w:t>and</w:t>
      </w:r>
    </w:p>
    <w:p w:rsidR="00CC4FCD" w:rsidRDefault="005C3A98" w:rsidP="009A0126">
      <w:pPr>
        <w:pStyle w:val="ListParagraph"/>
        <w:numPr>
          <w:ilvl w:val="1"/>
          <w:numId w:val="52"/>
        </w:numPr>
        <w:spacing w:after="0" w:line="360" w:lineRule="auto"/>
        <w:jc w:val="both"/>
        <w:rPr>
          <w:noProof/>
          <w:sz w:val="24"/>
          <w:szCs w:val="24"/>
        </w:rPr>
      </w:pPr>
      <w:r w:rsidRPr="00CC4FCD">
        <w:rPr>
          <w:noProof/>
          <w:sz w:val="24"/>
          <w:szCs w:val="24"/>
        </w:rPr>
        <w:t xml:space="preserve">having a child or children </w:t>
      </w:r>
      <w:r w:rsidRPr="00CC4FCD">
        <w:rPr>
          <w:i/>
          <w:noProof/>
          <w:sz w:val="24"/>
          <w:szCs w:val="24"/>
        </w:rPr>
        <w:t>of that relationship</w:t>
      </w:r>
      <w:r w:rsidR="00B4031E" w:rsidRPr="00CC4FCD">
        <w:rPr>
          <w:noProof/>
          <w:sz w:val="24"/>
          <w:szCs w:val="24"/>
        </w:rPr>
        <w:t>,</w:t>
      </w:r>
      <w:r w:rsidRPr="00CC4FCD">
        <w:rPr>
          <w:noProof/>
          <w:sz w:val="24"/>
          <w:szCs w:val="24"/>
        </w:rPr>
        <w:t xml:space="preserve"> </w:t>
      </w:r>
    </w:p>
    <w:p w:rsidR="005C3A98" w:rsidRPr="00070648" w:rsidRDefault="005C3A98" w:rsidP="00462142">
      <w:pPr>
        <w:pStyle w:val="ListParagraph"/>
        <w:numPr>
          <w:ilvl w:val="1"/>
          <w:numId w:val="52"/>
        </w:numPr>
        <w:spacing w:after="0" w:line="360" w:lineRule="auto"/>
        <w:jc w:val="both"/>
        <w:rPr>
          <w:noProof/>
          <w:sz w:val="24"/>
          <w:szCs w:val="24"/>
        </w:rPr>
      </w:pPr>
      <w:r w:rsidRPr="00CC4FCD">
        <w:rPr>
          <w:i/>
          <w:noProof/>
          <w:sz w:val="24"/>
          <w:szCs w:val="24"/>
        </w:rPr>
        <w:t>cumulatively</w:t>
      </w:r>
      <w:r w:rsidRPr="00CC4FCD">
        <w:rPr>
          <w:noProof/>
          <w:sz w:val="24"/>
          <w:szCs w:val="24"/>
        </w:rPr>
        <w:t xml:space="preserve"> implies principles of equal status between spouses, equal sharing of all property (howsoever acquired), and long-term equalising of opportunity to attain wealth.</w:t>
      </w:r>
      <w:r w:rsidRPr="00CC4FCD">
        <w:rPr>
          <w:sz w:val="24"/>
          <w:szCs w:val="24"/>
        </w:rPr>
        <w:t xml:space="preserve">  </w:t>
      </w:r>
    </w:p>
    <w:p w:rsidR="006635E1" w:rsidRPr="00070648" w:rsidRDefault="00B11AA3" w:rsidP="00462142">
      <w:pPr>
        <w:pStyle w:val="ListParagraph"/>
        <w:numPr>
          <w:ilvl w:val="0"/>
          <w:numId w:val="52"/>
        </w:numPr>
        <w:spacing w:after="0" w:line="360" w:lineRule="auto"/>
        <w:jc w:val="both"/>
        <w:rPr>
          <w:sz w:val="24"/>
          <w:szCs w:val="24"/>
        </w:rPr>
      </w:pPr>
      <w:r w:rsidRPr="00D326B1">
        <w:rPr>
          <w:sz w:val="24"/>
          <w:szCs w:val="24"/>
        </w:rPr>
        <w:t xml:space="preserve">Taking Rawls’ theory of justice and applying it to family relationship property delivers </w:t>
      </w:r>
      <w:r w:rsidR="00A645C3">
        <w:rPr>
          <w:sz w:val="24"/>
          <w:szCs w:val="24"/>
        </w:rPr>
        <w:t>principles</w:t>
      </w:r>
      <w:r w:rsidRPr="00D326B1">
        <w:rPr>
          <w:sz w:val="24"/>
          <w:szCs w:val="24"/>
        </w:rPr>
        <w:t xml:space="preserve"> for </w:t>
      </w:r>
      <w:r w:rsidR="00A82AF3">
        <w:rPr>
          <w:sz w:val="24"/>
          <w:szCs w:val="24"/>
        </w:rPr>
        <w:t xml:space="preserve">the </w:t>
      </w:r>
      <w:r w:rsidR="005C3A98" w:rsidRPr="00A82AF3">
        <w:rPr>
          <w:noProof/>
          <w:sz w:val="24"/>
          <w:szCs w:val="24"/>
        </w:rPr>
        <w:t>delivery</w:t>
      </w:r>
      <w:r w:rsidR="005C3A98" w:rsidRPr="00D326B1">
        <w:rPr>
          <w:sz w:val="24"/>
          <w:szCs w:val="24"/>
        </w:rPr>
        <w:t xml:space="preserve"> of </w:t>
      </w:r>
      <w:r w:rsidRPr="00D326B1">
        <w:rPr>
          <w:sz w:val="24"/>
          <w:szCs w:val="24"/>
        </w:rPr>
        <w:t>just outcome</w:t>
      </w:r>
      <w:r w:rsidR="005C3A98" w:rsidRPr="00D326B1">
        <w:rPr>
          <w:sz w:val="24"/>
          <w:szCs w:val="24"/>
        </w:rPr>
        <w:t>s</w:t>
      </w:r>
      <w:r w:rsidRPr="00D326B1">
        <w:rPr>
          <w:sz w:val="24"/>
          <w:szCs w:val="24"/>
        </w:rPr>
        <w:t xml:space="preserve">. </w:t>
      </w:r>
      <w:r w:rsidR="005C3A98" w:rsidRPr="00D326B1">
        <w:rPr>
          <w:sz w:val="24"/>
          <w:szCs w:val="24"/>
        </w:rPr>
        <w:t xml:space="preserve">Assuming the retention of some form of judicial discretion, so long as </w:t>
      </w:r>
      <w:r w:rsidR="0074682B" w:rsidRPr="00D326B1">
        <w:rPr>
          <w:noProof/>
          <w:sz w:val="24"/>
          <w:szCs w:val="24"/>
        </w:rPr>
        <w:t>predictability and certainty characterise that discretion</w:t>
      </w:r>
      <w:r w:rsidR="005C3A98" w:rsidRPr="00D326B1">
        <w:rPr>
          <w:sz w:val="24"/>
          <w:szCs w:val="24"/>
        </w:rPr>
        <w:t>, procedural rules, neutral principles, and the avoids of any generalised notion of fairness</w:t>
      </w:r>
      <w:r w:rsidR="006635E1" w:rsidRPr="00D326B1">
        <w:rPr>
          <w:sz w:val="24"/>
          <w:szCs w:val="24"/>
        </w:rPr>
        <w:t>.</w:t>
      </w:r>
      <w:r w:rsidR="005C3A98" w:rsidRPr="005C3A98">
        <w:rPr>
          <w:vertAlign w:val="superscript"/>
        </w:rPr>
        <w:endnoteReference w:id="80"/>
      </w:r>
      <w:r w:rsidR="005C3A98" w:rsidRPr="00D326B1">
        <w:rPr>
          <w:sz w:val="24"/>
          <w:szCs w:val="24"/>
        </w:rPr>
        <w:t xml:space="preserve"> </w:t>
      </w:r>
    </w:p>
    <w:p w:rsidR="00B11AA3" w:rsidRPr="00D326B1" w:rsidRDefault="006635E1" w:rsidP="009A0126">
      <w:pPr>
        <w:pStyle w:val="ListParagraph"/>
        <w:numPr>
          <w:ilvl w:val="0"/>
          <w:numId w:val="52"/>
        </w:numPr>
        <w:spacing w:after="0" w:line="360" w:lineRule="auto"/>
        <w:jc w:val="both"/>
        <w:rPr>
          <w:sz w:val="24"/>
          <w:szCs w:val="24"/>
        </w:rPr>
      </w:pPr>
      <w:r w:rsidRPr="00D326B1">
        <w:rPr>
          <w:sz w:val="24"/>
          <w:szCs w:val="24"/>
        </w:rPr>
        <w:t>T</w:t>
      </w:r>
      <w:r w:rsidR="005C3A98" w:rsidRPr="00D326B1">
        <w:rPr>
          <w:sz w:val="24"/>
          <w:szCs w:val="24"/>
        </w:rPr>
        <w:t>he following values</w:t>
      </w:r>
      <w:r w:rsidR="0074682B" w:rsidRPr="00D326B1">
        <w:rPr>
          <w:sz w:val="24"/>
          <w:szCs w:val="24"/>
        </w:rPr>
        <w:t>, therefore,</w:t>
      </w:r>
      <w:r w:rsidR="005C3A98" w:rsidRPr="00D326B1">
        <w:rPr>
          <w:sz w:val="24"/>
          <w:szCs w:val="24"/>
        </w:rPr>
        <w:t xml:space="preserve"> should inform the redevelopment of the law and procedural elements of financial cases:</w:t>
      </w:r>
    </w:p>
    <w:p w:rsidR="00B11AA3" w:rsidRPr="005C3A98" w:rsidRDefault="00B11AA3" w:rsidP="009A0126">
      <w:pPr>
        <w:pStyle w:val="ListParagraph"/>
        <w:numPr>
          <w:ilvl w:val="0"/>
          <w:numId w:val="13"/>
        </w:numPr>
        <w:spacing w:after="0" w:line="360" w:lineRule="auto"/>
        <w:rPr>
          <w:sz w:val="24"/>
          <w:szCs w:val="24"/>
        </w:rPr>
      </w:pPr>
      <w:r w:rsidRPr="005C3A98">
        <w:rPr>
          <w:sz w:val="24"/>
          <w:szCs w:val="24"/>
        </w:rPr>
        <w:t xml:space="preserve">meeting the rule of law, </w:t>
      </w:r>
    </w:p>
    <w:p w:rsidR="00B11AA3" w:rsidRPr="005C3A98" w:rsidRDefault="00B11AA3" w:rsidP="009A0126">
      <w:pPr>
        <w:pStyle w:val="ListParagraph"/>
        <w:numPr>
          <w:ilvl w:val="0"/>
          <w:numId w:val="13"/>
        </w:numPr>
        <w:spacing w:after="0" w:line="360" w:lineRule="auto"/>
        <w:rPr>
          <w:sz w:val="24"/>
          <w:szCs w:val="24"/>
        </w:rPr>
      </w:pPr>
      <w:r w:rsidRPr="005C3A98">
        <w:rPr>
          <w:sz w:val="24"/>
          <w:szCs w:val="24"/>
        </w:rPr>
        <w:t xml:space="preserve">offering equality between spouses (that is, non-discrimination and the promotion of equal status);  </w:t>
      </w:r>
    </w:p>
    <w:p w:rsidR="00B11AA3" w:rsidRPr="005C3A98" w:rsidRDefault="00B11AA3" w:rsidP="009A0126">
      <w:pPr>
        <w:pStyle w:val="ListParagraph"/>
        <w:numPr>
          <w:ilvl w:val="0"/>
          <w:numId w:val="13"/>
        </w:numPr>
        <w:spacing w:after="0" w:line="360" w:lineRule="auto"/>
        <w:rPr>
          <w:sz w:val="24"/>
          <w:szCs w:val="24"/>
        </w:rPr>
      </w:pPr>
      <w:r w:rsidRPr="005C3A98">
        <w:rPr>
          <w:sz w:val="24"/>
          <w:szCs w:val="24"/>
        </w:rPr>
        <w:t>recognition of differentials in earning capacity and financial circumstances, both as between spouses and wealthier families compared to less wealthy families, and</w:t>
      </w:r>
    </w:p>
    <w:p w:rsidR="006635E1" w:rsidRPr="00070648" w:rsidRDefault="00B11AA3" w:rsidP="00462142">
      <w:pPr>
        <w:pStyle w:val="ListParagraph"/>
        <w:numPr>
          <w:ilvl w:val="0"/>
          <w:numId w:val="13"/>
        </w:numPr>
        <w:spacing w:after="0" w:line="360" w:lineRule="auto"/>
        <w:rPr>
          <w:sz w:val="24"/>
          <w:szCs w:val="24"/>
        </w:rPr>
      </w:pPr>
      <w:r w:rsidRPr="005C3A98">
        <w:rPr>
          <w:sz w:val="24"/>
          <w:szCs w:val="24"/>
        </w:rPr>
        <w:t>prioritises the economic interests of dependent children.</w:t>
      </w:r>
    </w:p>
    <w:p w:rsidR="00F531FE" w:rsidRPr="00D326B1" w:rsidRDefault="00F531FE" w:rsidP="009A0126">
      <w:pPr>
        <w:pStyle w:val="ListParagraph"/>
        <w:numPr>
          <w:ilvl w:val="0"/>
          <w:numId w:val="52"/>
        </w:numPr>
        <w:spacing w:after="0" w:line="360" w:lineRule="auto"/>
        <w:rPr>
          <w:sz w:val="24"/>
          <w:szCs w:val="24"/>
        </w:rPr>
      </w:pPr>
      <w:r w:rsidRPr="00D326B1">
        <w:rPr>
          <w:sz w:val="24"/>
          <w:szCs w:val="24"/>
        </w:rPr>
        <w:t>Applying this brief theoretical analysis produces the following recommendation</w:t>
      </w:r>
      <w:r w:rsidR="005C3A98" w:rsidRPr="00D326B1">
        <w:rPr>
          <w:sz w:val="24"/>
          <w:szCs w:val="24"/>
        </w:rPr>
        <w:t>:</w:t>
      </w:r>
    </w:p>
    <w:tbl>
      <w:tblPr>
        <w:tblStyle w:val="TableGrid"/>
        <w:tblW w:w="0" w:type="auto"/>
        <w:tblLook w:val="04A0"/>
      </w:tblPr>
      <w:tblGrid>
        <w:gridCol w:w="9016"/>
      </w:tblGrid>
      <w:tr w:rsidR="00F531FE" w:rsidTr="00F531FE">
        <w:tc>
          <w:tcPr>
            <w:tcW w:w="9016" w:type="dxa"/>
          </w:tcPr>
          <w:p w:rsidR="00F531FE" w:rsidRDefault="00F531FE" w:rsidP="00462142">
            <w:pPr>
              <w:pStyle w:val="Heading3"/>
              <w:spacing w:before="0" w:line="360" w:lineRule="auto"/>
              <w:outlineLvl w:val="2"/>
              <w:rPr>
                <w:i/>
                <w:color w:val="auto"/>
              </w:rPr>
            </w:pPr>
            <w:bookmarkStart w:id="27" w:name="_Toc512895943"/>
            <w:r w:rsidRPr="008F1051">
              <w:rPr>
                <w:i/>
                <w:color w:val="auto"/>
              </w:rPr>
              <w:lastRenderedPageBreak/>
              <w:t xml:space="preserve">Recommendation </w:t>
            </w:r>
            <w:r>
              <w:rPr>
                <w:i/>
                <w:color w:val="auto"/>
              </w:rPr>
              <w:t>5</w:t>
            </w:r>
            <w:bookmarkEnd w:id="27"/>
          </w:p>
          <w:p w:rsidR="00F531FE" w:rsidRPr="00F531FE" w:rsidRDefault="00F531FE" w:rsidP="00462142">
            <w:pPr>
              <w:spacing w:line="360" w:lineRule="auto"/>
              <w:jc w:val="both"/>
              <w:rPr>
                <w:i/>
                <w:sz w:val="24"/>
                <w:szCs w:val="24"/>
              </w:rPr>
            </w:pPr>
            <w:r w:rsidRPr="00F531FE">
              <w:rPr>
                <w:i/>
                <w:sz w:val="24"/>
                <w:szCs w:val="24"/>
              </w:rPr>
              <w:t xml:space="preserve">That, in respect of property settlement cases the following principles inform any redevelopment of the family law system: </w:t>
            </w:r>
          </w:p>
          <w:p w:rsidR="00F531FE" w:rsidRPr="00F531FE" w:rsidRDefault="00F531FE" w:rsidP="00462142">
            <w:pPr>
              <w:spacing w:line="360" w:lineRule="auto"/>
              <w:ind w:firstLine="720"/>
              <w:rPr>
                <w:i/>
                <w:sz w:val="24"/>
                <w:szCs w:val="24"/>
              </w:rPr>
            </w:pPr>
            <w:r w:rsidRPr="00F531FE">
              <w:rPr>
                <w:i/>
                <w:sz w:val="24"/>
                <w:szCs w:val="24"/>
              </w:rPr>
              <w:t>•</w:t>
            </w:r>
            <w:r w:rsidRPr="00F531FE">
              <w:rPr>
                <w:i/>
                <w:sz w:val="24"/>
                <w:szCs w:val="24"/>
              </w:rPr>
              <w:tab/>
              <w:t>The rule of law.</w:t>
            </w:r>
          </w:p>
          <w:p w:rsidR="00F531FE" w:rsidRPr="00F531FE" w:rsidRDefault="00F531FE" w:rsidP="00462142">
            <w:pPr>
              <w:spacing w:line="360" w:lineRule="auto"/>
              <w:ind w:firstLine="720"/>
              <w:rPr>
                <w:i/>
                <w:sz w:val="24"/>
                <w:szCs w:val="24"/>
              </w:rPr>
            </w:pPr>
            <w:r w:rsidRPr="00F531FE">
              <w:rPr>
                <w:i/>
                <w:sz w:val="24"/>
                <w:szCs w:val="24"/>
              </w:rPr>
              <w:t>•</w:t>
            </w:r>
            <w:r w:rsidRPr="00F531FE">
              <w:rPr>
                <w:i/>
                <w:sz w:val="24"/>
                <w:szCs w:val="24"/>
              </w:rPr>
              <w:tab/>
              <w:t xml:space="preserve">Non-discrimination between spouses. </w:t>
            </w:r>
          </w:p>
          <w:p w:rsidR="00F531FE" w:rsidRPr="00F531FE" w:rsidRDefault="00F531FE" w:rsidP="00462142">
            <w:pPr>
              <w:spacing w:line="360" w:lineRule="auto"/>
              <w:ind w:left="1440" w:hanging="720"/>
              <w:rPr>
                <w:i/>
                <w:sz w:val="24"/>
                <w:szCs w:val="24"/>
              </w:rPr>
            </w:pPr>
            <w:r w:rsidRPr="00F531FE">
              <w:rPr>
                <w:i/>
                <w:sz w:val="24"/>
                <w:szCs w:val="24"/>
              </w:rPr>
              <w:t>•</w:t>
            </w:r>
            <w:r w:rsidRPr="00F531FE">
              <w:rPr>
                <w:i/>
                <w:sz w:val="24"/>
                <w:szCs w:val="24"/>
              </w:rPr>
              <w:tab/>
              <w:t xml:space="preserve">Recognition of a significant economic disparity between spouses, and the differences between wealthier families and less </w:t>
            </w:r>
            <w:r w:rsidR="0074682B">
              <w:rPr>
                <w:i/>
                <w:noProof/>
                <w:sz w:val="24"/>
                <w:szCs w:val="24"/>
              </w:rPr>
              <w:t>affluent</w:t>
            </w:r>
            <w:r w:rsidRPr="00F531FE">
              <w:rPr>
                <w:i/>
                <w:sz w:val="24"/>
                <w:szCs w:val="24"/>
              </w:rPr>
              <w:t xml:space="preserve"> families.</w:t>
            </w:r>
          </w:p>
          <w:p w:rsidR="00F531FE" w:rsidRPr="00462142" w:rsidRDefault="00F531FE" w:rsidP="00462142">
            <w:pPr>
              <w:spacing w:line="360" w:lineRule="auto"/>
              <w:ind w:left="1440" w:hanging="720"/>
              <w:rPr>
                <w:i/>
                <w:sz w:val="24"/>
                <w:szCs w:val="24"/>
              </w:rPr>
            </w:pPr>
            <w:r w:rsidRPr="00F531FE">
              <w:rPr>
                <w:i/>
                <w:sz w:val="24"/>
                <w:szCs w:val="24"/>
              </w:rPr>
              <w:t>•</w:t>
            </w:r>
            <w:r w:rsidRPr="00F531FE">
              <w:rPr>
                <w:i/>
                <w:sz w:val="24"/>
                <w:szCs w:val="24"/>
              </w:rPr>
              <w:tab/>
              <w:t xml:space="preserve">Promotion of equality of children as future members of society by maximising their opportunities in each household for </w:t>
            </w:r>
            <w:r w:rsidR="0074682B">
              <w:rPr>
                <w:i/>
                <w:sz w:val="24"/>
                <w:szCs w:val="24"/>
              </w:rPr>
              <w:t xml:space="preserve">the </w:t>
            </w:r>
            <w:r w:rsidRPr="0074682B">
              <w:rPr>
                <w:i/>
                <w:noProof/>
                <w:sz w:val="24"/>
                <w:szCs w:val="24"/>
              </w:rPr>
              <w:t>stability</w:t>
            </w:r>
            <w:r w:rsidRPr="00F531FE">
              <w:rPr>
                <w:i/>
                <w:sz w:val="24"/>
                <w:szCs w:val="24"/>
              </w:rPr>
              <w:t xml:space="preserve"> of accommodation, the best possible education, and health.  </w:t>
            </w:r>
          </w:p>
        </w:tc>
      </w:tr>
    </w:tbl>
    <w:p w:rsidR="00B11AA3" w:rsidRDefault="00B11AA3" w:rsidP="00462142">
      <w:pPr>
        <w:spacing w:after="0" w:line="360" w:lineRule="auto"/>
      </w:pPr>
    </w:p>
    <w:p w:rsidR="00B11AA3" w:rsidRDefault="00B11AA3" w:rsidP="00462142">
      <w:pPr>
        <w:spacing w:after="0" w:line="360" w:lineRule="auto"/>
      </w:pPr>
    </w:p>
    <w:p w:rsidR="00B11AA3" w:rsidRDefault="00B11AA3" w:rsidP="00462142">
      <w:pPr>
        <w:spacing w:after="0" w:line="360" w:lineRule="auto"/>
        <w:rPr>
          <w:rFonts w:asciiTheme="majorHAnsi" w:eastAsiaTheme="majorEastAsia" w:hAnsiTheme="majorHAnsi" w:cstheme="majorBidi"/>
          <w:b/>
          <w:sz w:val="36"/>
          <w:szCs w:val="36"/>
        </w:rPr>
      </w:pPr>
      <w:r>
        <w:rPr>
          <w:b/>
          <w:sz w:val="36"/>
          <w:szCs w:val="36"/>
        </w:rPr>
        <w:br w:type="page"/>
      </w:r>
    </w:p>
    <w:p w:rsidR="002D5D8D" w:rsidRPr="0031221F" w:rsidRDefault="002D5D8D" w:rsidP="00462142">
      <w:pPr>
        <w:pStyle w:val="Heading1"/>
        <w:pBdr>
          <w:bottom w:val="single" w:sz="4" w:space="1" w:color="auto"/>
        </w:pBdr>
        <w:spacing w:before="0" w:line="360" w:lineRule="auto"/>
        <w:jc w:val="both"/>
        <w:rPr>
          <w:b/>
          <w:color w:val="auto"/>
          <w:sz w:val="36"/>
          <w:szCs w:val="36"/>
        </w:rPr>
      </w:pPr>
      <w:bookmarkStart w:id="28" w:name="_Toc512895944"/>
      <w:r w:rsidRPr="0031221F">
        <w:rPr>
          <w:b/>
          <w:color w:val="auto"/>
          <w:sz w:val="36"/>
          <w:szCs w:val="36"/>
        </w:rPr>
        <w:lastRenderedPageBreak/>
        <w:t xml:space="preserve">Question 17: What changes could be made to the provisions </w:t>
      </w:r>
      <w:r w:rsidRPr="00E04540">
        <w:rPr>
          <w:b/>
          <w:noProof/>
          <w:color w:val="auto"/>
          <w:sz w:val="36"/>
          <w:szCs w:val="36"/>
        </w:rPr>
        <w:t>in</w:t>
      </w:r>
      <w:r w:rsidRPr="0031221F">
        <w:rPr>
          <w:b/>
          <w:color w:val="auto"/>
          <w:sz w:val="36"/>
          <w:szCs w:val="36"/>
        </w:rPr>
        <w:t xml:space="preserve"> the </w:t>
      </w:r>
      <w:r w:rsidRPr="0031221F">
        <w:rPr>
          <w:b/>
          <w:i/>
          <w:iCs/>
          <w:color w:val="auto"/>
          <w:sz w:val="36"/>
          <w:szCs w:val="36"/>
        </w:rPr>
        <w:t xml:space="preserve">Family Law Act </w:t>
      </w:r>
      <w:r w:rsidRPr="0031221F">
        <w:rPr>
          <w:b/>
          <w:color w:val="auto"/>
          <w:sz w:val="36"/>
          <w:szCs w:val="36"/>
        </w:rPr>
        <w:t>governing property division to improve the clarity and comprehensibility of the law for parties and to promote fair outcomes?</w:t>
      </w:r>
      <w:bookmarkEnd w:id="28"/>
    </w:p>
    <w:p w:rsidR="00352FB9" w:rsidRDefault="00352FB9" w:rsidP="00462142">
      <w:pPr>
        <w:spacing w:after="0" w:line="360" w:lineRule="auto"/>
      </w:pPr>
    </w:p>
    <w:p w:rsidR="00F531FE" w:rsidRPr="00462142" w:rsidRDefault="00F531FE" w:rsidP="00462142">
      <w:pPr>
        <w:pStyle w:val="Heading2"/>
        <w:spacing w:before="0" w:line="360" w:lineRule="auto"/>
        <w:jc w:val="both"/>
        <w:rPr>
          <w:color w:val="auto"/>
          <w:sz w:val="28"/>
          <w:szCs w:val="28"/>
        </w:rPr>
      </w:pPr>
      <w:bookmarkStart w:id="29" w:name="_Toc512895945"/>
      <w:r w:rsidRPr="004E3003">
        <w:rPr>
          <w:color w:val="auto"/>
          <w:sz w:val="28"/>
          <w:szCs w:val="28"/>
        </w:rPr>
        <w:t>I</w:t>
      </w:r>
      <w:r>
        <w:rPr>
          <w:color w:val="auto"/>
          <w:sz w:val="28"/>
          <w:szCs w:val="28"/>
        </w:rPr>
        <w:t xml:space="preserve"> </w:t>
      </w:r>
      <w:r w:rsidR="00DC7DC2">
        <w:rPr>
          <w:color w:val="auto"/>
          <w:sz w:val="28"/>
          <w:szCs w:val="28"/>
        </w:rPr>
        <w:t>Two Part</w:t>
      </w:r>
      <w:r w:rsidR="00DB2105">
        <w:rPr>
          <w:color w:val="auto"/>
          <w:sz w:val="28"/>
          <w:szCs w:val="28"/>
        </w:rPr>
        <w:t xml:space="preserve"> Question</w:t>
      </w:r>
      <w:r w:rsidR="00DC7DC2">
        <w:rPr>
          <w:color w:val="auto"/>
          <w:sz w:val="28"/>
          <w:szCs w:val="28"/>
        </w:rPr>
        <w:t>: Current Legislation and Reform Options</w:t>
      </w:r>
      <w:bookmarkEnd w:id="29"/>
    </w:p>
    <w:p w:rsidR="00DB2105" w:rsidRPr="00D326B1" w:rsidRDefault="00DB2105" w:rsidP="009A0126">
      <w:pPr>
        <w:pStyle w:val="ListParagraph"/>
        <w:numPr>
          <w:ilvl w:val="0"/>
          <w:numId w:val="52"/>
        </w:numPr>
        <w:spacing w:after="0" w:line="360" w:lineRule="auto"/>
        <w:jc w:val="both"/>
        <w:rPr>
          <w:sz w:val="24"/>
          <w:szCs w:val="24"/>
        </w:rPr>
      </w:pPr>
      <w:r w:rsidRPr="00D326B1">
        <w:rPr>
          <w:sz w:val="24"/>
          <w:szCs w:val="24"/>
        </w:rPr>
        <w:t>This question has two elements which may (or may not) interlin</w:t>
      </w:r>
      <w:r w:rsidR="003141D1">
        <w:rPr>
          <w:sz w:val="24"/>
          <w:szCs w:val="24"/>
        </w:rPr>
        <w:t>k</w:t>
      </w:r>
      <w:r w:rsidRPr="00D326B1">
        <w:rPr>
          <w:sz w:val="24"/>
          <w:szCs w:val="24"/>
        </w:rPr>
        <w:t xml:space="preserve">. They are: </w:t>
      </w:r>
    </w:p>
    <w:p w:rsidR="00DB2105" w:rsidRPr="00DB2105" w:rsidRDefault="00DB2105" w:rsidP="009A0126">
      <w:pPr>
        <w:pStyle w:val="ListParagraph"/>
        <w:numPr>
          <w:ilvl w:val="0"/>
          <w:numId w:val="15"/>
        </w:numPr>
        <w:spacing w:after="0" w:line="360" w:lineRule="auto"/>
        <w:jc w:val="both"/>
        <w:rPr>
          <w:sz w:val="24"/>
          <w:szCs w:val="24"/>
        </w:rPr>
      </w:pPr>
      <w:r w:rsidRPr="00DB2105">
        <w:rPr>
          <w:sz w:val="24"/>
          <w:szCs w:val="24"/>
        </w:rPr>
        <w:t xml:space="preserve">Clarity and </w:t>
      </w:r>
      <w:r w:rsidR="001002F5">
        <w:rPr>
          <w:sz w:val="24"/>
          <w:szCs w:val="24"/>
        </w:rPr>
        <w:t>c</w:t>
      </w:r>
      <w:r w:rsidRPr="00DB2105">
        <w:rPr>
          <w:sz w:val="24"/>
          <w:szCs w:val="24"/>
        </w:rPr>
        <w:t xml:space="preserve">omprehensibility of the law for parties, and </w:t>
      </w:r>
    </w:p>
    <w:p w:rsidR="00DC7DC2" w:rsidRPr="00A645C3" w:rsidRDefault="00DB2105" w:rsidP="00462142">
      <w:pPr>
        <w:pStyle w:val="ListParagraph"/>
        <w:numPr>
          <w:ilvl w:val="0"/>
          <w:numId w:val="15"/>
        </w:numPr>
        <w:spacing w:after="0" w:line="360" w:lineRule="auto"/>
        <w:jc w:val="both"/>
        <w:rPr>
          <w:sz w:val="24"/>
          <w:szCs w:val="24"/>
        </w:rPr>
      </w:pPr>
      <w:r w:rsidRPr="00E04540">
        <w:rPr>
          <w:noProof/>
          <w:sz w:val="24"/>
          <w:szCs w:val="24"/>
        </w:rPr>
        <w:t>Promotion</w:t>
      </w:r>
      <w:r w:rsidRPr="00DB2105">
        <w:rPr>
          <w:sz w:val="24"/>
          <w:szCs w:val="24"/>
        </w:rPr>
        <w:t xml:space="preserve"> of fair outcomes. </w:t>
      </w:r>
    </w:p>
    <w:p w:rsidR="00D326B1" w:rsidRPr="00A645C3" w:rsidRDefault="00DB2105" w:rsidP="00A645C3">
      <w:pPr>
        <w:pStyle w:val="ListParagraph"/>
        <w:numPr>
          <w:ilvl w:val="0"/>
          <w:numId w:val="52"/>
        </w:numPr>
        <w:spacing w:after="0" w:line="360" w:lineRule="auto"/>
        <w:jc w:val="both"/>
        <w:rPr>
          <w:sz w:val="24"/>
          <w:szCs w:val="24"/>
        </w:rPr>
      </w:pPr>
      <w:r w:rsidRPr="00D326B1">
        <w:rPr>
          <w:sz w:val="24"/>
          <w:szCs w:val="24"/>
        </w:rPr>
        <w:t>This submission treats the question on the basis that discussion of clarity and comprehensibility is about the current property division provisions. The promotion of fair outcomes is</w:t>
      </w:r>
      <w:r w:rsidR="0074682B" w:rsidRPr="00D326B1">
        <w:rPr>
          <w:sz w:val="24"/>
          <w:szCs w:val="24"/>
        </w:rPr>
        <w:t>, therefore,</w:t>
      </w:r>
      <w:r w:rsidRPr="00D326B1">
        <w:rPr>
          <w:sz w:val="24"/>
          <w:szCs w:val="24"/>
        </w:rPr>
        <w:t xml:space="preserve"> an examination of potential alternatives to the current law.</w:t>
      </w:r>
    </w:p>
    <w:p w:rsidR="00DB2105" w:rsidRPr="00A645C3" w:rsidRDefault="00DB2105" w:rsidP="00462142">
      <w:pPr>
        <w:pStyle w:val="ListParagraph"/>
        <w:numPr>
          <w:ilvl w:val="0"/>
          <w:numId w:val="52"/>
        </w:numPr>
        <w:spacing w:after="0" w:line="360" w:lineRule="auto"/>
        <w:jc w:val="both"/>
        <w:rPr>
          <w:sz w:val="24"/>
          <w:szCs w:val="24"/>
        </w:rPr>
      </w:pPr>
      <w:r w:rsidRPr="00D326B1">
        <w:rPr>
          <w:sz w:val="24"/>
          <w:szCs w:val="24"/>
        </w:rPr>
        <w:t>The Commission should consider some international context. New Zealand is presently undertaking a comprehensive, broad-based review of its family property legislation, with a final report due in November 2018.</w:t>
      </w:r>
      <w:r w:rsidRPr="00DB2105">
        <w:rPr>
          <w:vertAlign w:val="superscript"/>
        </w:rPr>
        <w:endnoteReference w:id="81"/>
      </w:r>
      <w:r w:rsidRPr="00D326B1">
        <w:rPr>
          <w:sz w:val="24"/>
          <w:szCs w:val="24"/>
        </w:rPr>
        <w:t xml:space="preserve"> New Zealand’s </w:t>
      </w:r>
      <w:r w:rsidR="0074682B" w:rsidRPr="00D326B1">
        <w:rPr>
          <w:noProof/>
          <w:sz w:val="24"/>
          <w:szCs w:val="24"/>
        </w:rPr>
        <w:t>inquiry</w:t>
      </w:r>
      <w:r w:rsidRPr="00D326B1">
        <w:rPr>
          <w:sz w:val="24"/>
          <w:szCs w:val="24"/>
        </w:rPr>
        <w:t xml:space="preserve"> encompasses multiple components of the substance and procedure in resolving relationship property matters.</w:t>
      </w:r>
      <w:r w:rsidRPr="00DB2105">
        <w:rPr>
          <w:vertAlign w:val="superscript"/>
        </w:rPr>
        <w:endnoteReference w:id="82"/>
      </w:r>
      <w:r w:rsidRPr="00D326B1">
        <w:rPr>
          <w:sz w:val="24"/>
          <w:szCs w:val="24"/>
        </w:rPr>
        <w:t xml:space="preserve"> New Zealand’s system is one of the potential alternatives, but </w:t>
      </w:r>
      <w:r w:rsidR="001002F5">
        <w:rPr>
          <w:sz w:val="24"/>
          <w:szCs w:val="24"/>
        </w:rPr>
        <w:t>the forthcoming report will identify potential risks and pitfalls of reform.</w:t>
      </w:r>
      <w:r w:rsidRPr="00D326B1">
        <w:rPr>
          <w:sz w:val="24"/>
          <w:szCs w:val="24"/>
        </w:rPr>
        <w:t xml:space="preserve"> </w:t>
      </w:r>
    </w:p>
    <w:p w:rsidR="00DB2105" w:rsidRPr="00D326B1" w:rsidRDefault="00DB2105" w:rsidP="009A0126">
      <w:pPr>
        <w:pStyle w:val="ListParagraph"/>
        <w:numPr>
          <w:ilvl w:val="0"/>
          <w:numId w:val="52"/>
        </w:numPr>
        <w:spacing w:after="0" w:line="360" w:lineRule="auto"/>
        <w:jc w:val="both"/>
        <w:rPr>
          <w:sz w:val="24"/>
          <w:szCs w:val="24"/>
        </w:rPr>
      </w:pPr>
      <w:r w:rsidRPr="00D326B1">
        <w:rPr>
          <w:sz w:val="24"/>
          <w:szCs w:val="24"/>
        </w:rPr>
        <w:t xml:space="preserve">Because of this, I recommend: </w:t>
      </w:r>
    </w:p>
    <w:tbl>
      <w:tblPr>
        <w:tblStyle w:val="TableGrid"/>
        <w:tblW w:w="0" w:type="auto"/>
        <w:tblLook w:val="04A0"/>
      </w:tblPr>
      <w:tblGrid>
        <w:gridCol w:w="9016"/>
      </w:tblGrid>
      <w:tr w:rsidR="00DB2105" w:rsidTr="00DB2105">
        <w:tc>
          <w:tcPr>
            <w:tcW w:w="9016" w:type="dxa"/>
          </w:tcPr>
          <w:p w:rsidR="00DB2105" w:rsidRDefault="00DB2105" w:rsidP="00462142">
            <w:pPr>
              <w:pStyle w:val="Heading3"/>
              <w:spacing w:before="0" w:line="360" w:lineRule="auto"/>
              <w:outlineLvl w:val="2"/>
              <w:rPr>
                <w:i/>
                <w:color w:val="auto"/>
              </w:rPr>
            </w:pPr>
            <w:bookmarkStart w:id="30" w:name="_Toc512895946"/>
            <w:r w:rsidRPr="008F1051">
              <w:rPr>
                <w:i/>
                <w:color w:val="auto"/>
              </w:rPr>
              <w:t xml:space="preserve">Recommendation </w:t>
            </w:r>
            <w:r>
              <w:rPr>
                <w:i/>
                <w:color w:val="auto"/>
              </w:rPr>
              <w:t>6</w:t>
            </w:r>
            <w:bookmarkEnd w:id="30"/>
          </w:p>
          <w:p w:rsidR="00DB2105" w:rsidRPr="00D326B1" w:rsidRDefault="00DB2105" w:rsidP="00462142">
            <w:pPr>
              <w:spacing w:line="360" w:lineRule="auto"/>
              <w:jc w:val="both"/>
              <w:rPr>
                <w:i/>
                <w:sz w:val="24"/>
                <w:szCs w:val="24"/>
              </w:rPr>
            </w:pPr>
            <w:r w:rsidRPr="009C1DBD">
              <w:rPr>
                <w:i/>
                <w:noProof/>
                <w:sz w:val="24"/>
                <w:szCs w:val="24"/>
              </w:rPr>
              <w:t xml:space="preserve">That the Commission delay its final considerations of reform concerning alteration of property interests until (a) The Law Commission (New Zealand) has completed its inquiry into the Property (Relationships) Act 1976 (NZ), and (b) Australian stakeholders have had a further opportunity to make submissions in light of </w:t>
            </w:r>
            <w:r w:rsidR="001002F5" w:rsidRPr="009C1DBD">
              <w:rPr>
                <w:i/>
                <w:noProof/>
                <w:sz w:val="24"/>
                <w:szCs w:val="24"/>
              </w:rPr>
              <w:t>the findings and recommendations made by</w:t>
            </w:r>
            <w:r w:rsidR="00440600" w:rsidRPr="009C1DBD">
              <w:rPr>
                <w:i/>
                <w:noProof/>
                <w:sz w:val="24"/>
                <w:szCs w:val="24"/>
              </w:rPr>
              <w:t xml:space="preserve"> the</w:t>
            </w:r>
            <w:r w:rsidR="001002F5" w:rsidRPr="009C1DBD">
              <w:rPr>
                <w:i/>
                <w:noProof/>
                <w:sz w:val="24"/>
                <w:szCs w:val="24"/>
              </w:rPr>
              <w:t xml:space="preserve"> </w:t>
            </w:r>
            <w:r w:rsidR="00440600" w:rsidRPr="009C1DBD">
              <w:rPr>
                <w:i/>
                <w:noProof/>
                <w:sz w:val="24"/>
                <w:szCs w:val="24"/>
              </w:rPr>
              <w:t>Law Commission (New Zealand).</w:t>
            </w:r>
          </w:p>
        </w:tc>
      </w:tr>
    </w:tbl>
    <w:p w:rsidR="00A645C3" w:rsidRDefault="00A645C3" w:rsidP="00A645C3">
      <w:pPr>
        <w:pStyle w:val="ListParagraph"/>
        <w:spacing w:after="0" w:line="360" w:lineRule="auto"/>
        <w:jc w:val="both"/>
        <w:rPr>
          <w:sz w:val="24"/>
          <w:szCs w:val="24"/>
        </w:rPr>
      </w:pPr>
    </w:p>
    <w:p w:rsidR="00462142" w:rsidRPr="00A645C3" w:rsidRDefault="00440600" w:rsidP="00462142">
      <w:pPr>
        <w:pStyle w:val="ListParagraph"/>
        <w:numPr>
          <w:ilvl w:val="0"/>
          <w:numId w:val="52"/>
        </w:numPr>
        <w:spacing w:after="0" w:line="360" w:lineRule="auto"/>
        <w:jc w:val="both"/>
        <w:rPr>
          <w:sz w:val="24"/>
          <w:szCs w:val="24"/>
        </w:rPr>
      </w:pPr>
      <w:r>
        <w:rPr>
          <w:sz w:val="24"/>
          <w:szCs w:val="24"/>
        </w:rPr>
        <w:lastRenderedPageBreak/>
        <w:t xml:space="preserve">Obtaining data from applications for consent orders provides a way of finding out what (if any) </w:t>
      </w:r>
      <w:r w:rsidR="00A82AF3" w:rsidRPr="00980F2E">
        <w:rPr>
          <w:noProof/>
          <w:sz w:val="24"/>
          <w:szCs w:val="24"/>
        </w:rPr>
        <w:t>are</w:t>
      </w:r>
      <w:r>
        <w:rPr>
          <w:sz w:val="24"/>
          <w:szCs w:val="24"/>
        </w:rPr>
        <w:t xml:space="preserve"> the ‘usual’ or ‘common’ arrangements for property settlement. </w:t>
      </w:r>
      <w:r w:rsidR="00F547E6" w:rsidRPr="00D326B1">
        <w:rPr>
          <w:sz w:val="24"/>
          <w:szCs w:val="24"/>
        </w:rPr>
        <w:t xml:space="preserve">In the discussion of </w:t>
      </w:r>
      <w:r w:rsidR="00F547E6" w:rsidRPr="00D326B1">
        <w:rPr>
          <w:b/>
          <w:sz w:val="24"/>
          <w:szCs w:val="24"/>
        </w:rPr>
        <w:t>Question 1</w:t>
      </w:r>
      <w:r w:rsidR="00F547E6" w:rsidRPr="00D326B1">
        <w:rPr>
          <w:sz w:val="24"/>
          <w:szCs w:val="24"/>
        </w:rPr>
        <w:t xml:space="preserve">, I set out that the Family Court made 11 100 financial consent orders (on joint application) for the year ending 30 June 2016. </w:t>
      </w:r>
      <w:r>
        <w:rPr>
          <w:sz w:val="24"/>
          <w:szCs w:val="24"/>
        </w:rPr>
        <w:t>Approval of an application is not automatic.</w:t>
      </w:r>
      <w:r w:rsidR="00AB17D8" w:rsidRPr="00D326B1">
        <w:rPr>
          <w:sz w:val="24"/>
          <w:szCs w:val="24"/>
        </w:rPr>
        <w:t xml:space="preserve"> </w:t>
      </w:r>
      <w:r>
        <w:rPr>
          <w:sz w:val="24"/>
          <w:szCs w:val="24"/>
        </w:rPr>
        <w:t>I</w:t>
      </w:r>
      <w:r w:rsidR="00AB17D8" w:rsidRPr="00D326B1">
        <w:rPr>
          <w:sz w:val="24"/>
          <w:szCs w:val="24"/>
        </w:rPr>
        <w:t>t still must be just and equitable.</w:t>
      </w:r>
      <w:r w:rsidR="00AB17D8" w:rsidRPr="00462142">
        <w:rPr>
          <w:vertAlign w:val="superscript"/>
        </w:rPr>
        <w:endnoteReference w:id="83"/>
      </w:r>
      <w:r w:rsidR="00AB17D8" w:rsidRPr="00D326B1">
        <w:rPr>
          <w:sz w:val="24"/>
          <w:szCs w:val="24"/>
        </w:rPr>
        <w:t xml:space="preserve"> </w:t>
      </w:r>
    </w:p>
    <w:p w:rsidR="00462142" w:rsidRPr="00A645C3" w:rsidRDefault="00AB17D8" w:rsidP="00462142">
      <w:pPr>
        <w:pStyle w:val="ListParagraph"/>
        <w:numPr>
          <w:ilvl w:val="0"/>
          <w:numId w:val="52"/>
        </w:numPr>
        <w:spacing w:after="0" w:line="360" w:lineRule="auto"/>
        <w:jc w:val="both"/>
        <w:rPr>
          <w:sz w:val="24"/>
          <w:szCs w:val="24"/>
        </w:rPr>
      </w:pPr>
      <w:r w:rsidRPr="00D326B1">
        <w:rPr>
          <w:sz w:val="24"/>
          <w:szCs w:val="24"/>
        </w:rPr>
        <w:t xml:space="preserve">The risk in amending section 79 of the </w:t>
      </w:r>
      <w:r w:rsidRPr="00D326B1">
        <w:rPr>
          <w:i/>
          <w:sz w:val="24"/>
          <w:szCs w:val="24"/>
        </w:rPr>
        <w:t>Act</w:t>
      </w:r>
      <w:r w:rsidRPr="00D326B1">
        <w:rPr>
          <w:sz w:val="24"/>
          <w:szCs w:val="24"/>
        </w:rPr>
        <w:t xml:space="preserve"> without </w:t>
      </w:r>
      <w:r w:rsidR="009E50C1" w:rsidRPr="00D326B1">
        <w:rPr>
          <w:sz w:val="24"/>
          <w:szCs w:val="24"/>
        </w:rPr>
        <w:t xml:space="preserve">data about consent orders (which represents </w:t>
      </w:r>
      <w:r w:rsidR="006635E1" w:rsidRPr="00D326B1">
        <w:rPr>
          <w:sz w:val="24"/>
          <w:szCs w:val="24"/>
        </w:rPr>
        <w:t>most</w:t>
      </w:r>
      <w:r w:rsidR="009E50C1" w:rsidRPr="00D326B1">
        <w:rPr>
          <w:sz w:val="24"/>
          <w:szCs w:val="24"/>
        </w:rPr>
        <w:t xml:space="preserve"> outcomes)</w:t>
      </w:r>
      <w:r w:rsidRPr="00D326B1">
        <w:rPr>
          <w:sz w:val="24"/>
          <w:szCs w:val="24"/>
        </w:rPr>
        <w:t xml:space="preserve"> is that any amendments will substantially affect negotiated settlements</w:t>
      </w:r>
      <w:r w:rsidR="00440600">
        <w:rPr>
          <w:sz w:val="24"/>
          <w:szCs w:val="24"/>
        </w:rPr>
        <w:t xml:space="preserve"> (the clear majority of cases)</w:t>
      </w:r>
      <w:r w:rsidRPr="00D326B1">
        <w:rPr>
          <w:sz w:val="24"/>
          <w:szCs w:val="24"/>
        </w:rPr>
        <w:t xml:space="preserve"> without knowledge of what those settlements currently are.</w:t>
      </w:r>
    </w:p>
    <w:p w:rsidR="00462142" w:rsidRPr="00A645C3" w:rsidRDefault="00AB17D8" w:rsidP="00462142">
      <w:pPr>
        <w:pStyle w:val="ListParagraph"/>
        <w:numPr>
          <w:ilvl w:val="0"/>
          <w:numId w:val="52"/>
        </w:numPr>
        <w:spacing w:after="0" w:line="360" w:lineRule="auto"/>
        <w:jc w:val="both"/>
        <w:rPr>
          <w:sz w:val="24"/>
          <w:szCs w:val="24"/>
        </w:rPr>
      </w:pPr>
      <w:r w:rsidRPr="00D326B1">
        <w:rPr>
          <w:sz w:val="24"/>
          <w:szCs w:val="24"/>
        </w:rPr>
        <w:t>To my knowledge, there is no quant</w:t>
      </w:r>
      <w:r w:rsidR="00266985" w:rsidRPr="00D326B1">
        <w:rPr>
          <w:sz w:val="24"/>
          <w:szCs w:val="24"/>
        </w:rPr>
        <w:t>it</w:t>
      </w:r>
      <w:r w:rsidRPr="00D326B1">
        <w:rPr>
          <w:sz w:val="24"/>
          <w:szCs w:val="24"/>
        </w:rPr>
        <w:t>ative data drawn from the applications for consent orders.</w:t>
      </w:r>
      <w:r w:rsidR="0074682B" w:rsidRPr="00D326B1">
        <w:rPr>
          <w:sz w:val="24"/>
          <w:szCs w:val="24"/>
        </w:rPr>
        <w:t xml:space="preserve"> </w:t>
      </w:r>
      <w:r w:rsidR="0074682B" w:rsidRPr="00D326B1">
        <w:rPr>
          <w:noProof/>
          <w:sz w:val="24"/>
          <w:szCs w:val="24"/>
        </w:rPr>
        <w:t>This</w:t>
      </w:r>
      <w:r w:rsidR="0074682B" w:rsidRPr="00D326B1">
        <w:rPr>
          <w:sz w:val="24"/>
          <w:szCs w:val="24"/>
        </w:rPr>
        <w:t xml:space="preserve"> is not a criticism of researchers or the Family Court.</w:t>
      </w:r>
      <w:r w:rsidRPr="00D326B1">
        <w:rPr>
          <w:sz w:val="24"/>
          <w:szCs w:val="24"/>
        </w:rPr>
        <w:t xml:space="preserve"> </w:t>
      </w:r>
      <w:r w:rsidR="009E50C1" w:rsidRPr="00D326B1">
        <w:rPr>
          <w:sz w:val="24"/>
          <w:szCs w:val="24"/>
        </w:rPr>
        <w:t xml:space="preserve"> One of the (potential) reasons for </w:t>
      </w:r>
      <w:r w:rsidR="00440600">
        <w:rPr>
          <w:sz w:val="24"/>
          <w:szCs w:val="24"/>
        </w:rPr>
        <w:t>the absence of data</w:t>
      </w:r>
      <w:r w:rsidR="009E50C1" w:rsidRPr="00D326B1">
        <w:rPr>
          <w:sz w:val="24"/>
          <w:szCs w:val="24"/>
        </w:rPr>
        <w:t xml:space="preserve"> is the difficulty in gaining access to Court files. To examine registry files requires leave of the court. Such leave may include the imposition of conditions: for example, consent of each party.</w:t>
      </w:r>
      <w:r w:rsidR="009E50C1" w:rsidRPr="00462142">
        <w:rPr>
          <w:vertAlign w:val="superscript"/>
        </w:rPr>
        <w:endnoteReference w:id="84"/>
      </w:r>
    </w:p>
    <w:p w:rsidR="009E50C1" w:rsidRPr="00886AAC" w:rsidRDefault="0074682B" w:rsidP="00462142">
      <w:pPr>
        <w:pStyle w:val="ListParagraph"/>
        <w:numPr>
          <w:ilvl w:val="0"/>
          <w:numId w:val="52"/>
        </w:numPr>
        <w:spacing w:after="0" w:line="360" w:lineRule="auto"/>
        <w:jc w:val="both"/>
        <w:rPr>
          <w:sz w:val="24"/>
          <w:szCs w:val="24"/>
        </w:rPr>
      </w:pPr>
      <w:r w:rsidRPr="00D326B1">
        <w:rPr>
          <w:noProof/>
          <w:sz w:val="24"/>
          <w:szCs w:val="24"/>
        </w:rPr>
        <w:t>Amending</w:t>
      </w:r>
      <w:r w:rsidR="005C3A98" w:rsidRPr="00D326B1">
        <w:rPr>
          <w:noProof/>
          <w:sz w:val="24"/>
          <w:szCs w:val="24"/>
        </w:rPr>
        <w:t xml:space="preserve"> the application for consent orders form to </w:t>
      </w:r>
      <w:r w:rsidRPr="00D326B1">
        <w:rPr>
          <w:noProof/>
          <w:sz w:val="24"/>
          <w:szCs w:val="24"/>
        </w:rPr>
        <w:t xml:space="preserve">permit </w:t>
      </w:r>
      <w:r w:rsidR="005C3A98" w:rsidRPr="00D326B1">
        <w:rPr>
          <w:noProof/>
          <w:sz w:val="24"/>
          <w:szCs w:val="24"/>
        </w:rPr>
        <w:t>parties to consent to</w:t>
      </w:r>
      <w:r w:rsidRPr="00D326B1">
        <w:rPr>
          <w:noProof/>
          <w:sz w:val="24"/>
          <w:szCs w:val="24"/>
        </w:rPr>
        <w:t xml:space="preserve"> </w:t>
      </w:r>
      <w:r w:rsidRPr="009C1DBD">
        <w:rPr>
          <w:noProof/>
          <w:sz w:val="24"/>
          <w:szCs w:val="24"/>
        </w:rPr>
        <w:t>use</w:t>
      </w:r>
      <w:r w:rsidR="005C3A98" w:rsidRPr="009C1DBD">
        <w:rPr>
          <w:noProof/>
          <w:sz w:val="24"/>
          <w:szCs w:val="24"/>
        </w:rPr>
        <w:t xml:space="preserve"> their</w:t>
      </w:r>
      <w:r w:rsidR="005C3A98" w:rsidRPr="00D326B1">
        <w:rPr>
          <w:noProof/>
          <w:sz w:val="24"/>
          <w:szCs w:val="24"/>
        </w:rPr>
        <w:t xml:space="preserve"> anonymised financial</w:t>
      </w:r>
      <w:r w:rsidRPr="00D326B1">
        <w:rPr>
          <w:noProof/>
          <w:sz w:val="24"/>
          <w:szCs w:val="24"/>
        </w:rPr>
        <w:t xml:space="preserve"> data</w:t>
      </w:r>
      <w:r w:rsidR="00440600">
        <w:rPr>
          <w:noProof/>
          <w:sz w:val="24"/>
          <w:szCs w:val="24"/>
        </w:rPr>
        <w:t xml:space="preserve"> (including the ability for a party or </w:t>
      </w:r>
      <w:r w:rsidR="00440600" w:rsidRPr="00980F2E">
        <w:rPr>
          <w:noProof/>
          <w:sz w:val="24"/>
          <w:szCs w:val="24"/>
        </w:rPr>
        <w:t>parties</w:t>
      </w:r>
      <w:r w:rsidR="001F29BD" w:rsidRPr="00980F2E">
        <w:rPr>
          <w:noProof/>
          <w:sz w:val="24"/>
          <w:szCs w:val="24"/>
        </w:rPr>
        <w:t xml:space="preserve"> </w:t>
      </w:r>
      <w:r w:rsidR="00440600" w:rsidRPr="00980F2E">
        <w:rPr>
          <w:noProof/>
          <w:sz w:val="24"/>
          <w:szCs w:val="24"/>
        </w:rPr>
        <w:t>to</w:t>
      </w:r>
      <w:r w:rsidR="00440600">
        <w:rPr>
          <w:noProof/>
          <w:sz w:val="24"/>
          <w:szCs w:val="24"/>
        </w:rPr>
        <w:t xml:space="preserve"> not agree to use of their data)</w:t>
      </w:r>
      <w:r w:rsidRPr="00D326B1">
        <w:rPr>
          <w:sz w:val="24"/>
          <w:szCs w:val="24"/>
        </w:rPr>
        <w:t xml:space="preserve"> </w:t>
      </w:r>
      <w:r w:rsidR="00440600">
        <w:rPr>
          <w:sz w:val="24"/>
          <w:szCs w:val="24"/>
        </w:rPr>
        <w:t xml:space="preserve">facilitates substantial research without infringing on privacy. </w:t>
      </w:r>
      <w:r w:rsidR="00C344BB">
        <w:rPr>
          <w:sz w:val="24"/>
          <w:szCs w:val="24"/>
        </w:rPr>
        <w:t>I recommend as follows:</w:t>
      </w:r>
    </w:p>
    <w:tbl>
      <w:tblPr>
        <w:tblStyle w:val="TableGrid"/>
        <w:tblW w:w="0" w:type="auto"/>
        <w:tblLook w:val="04A0"/>
      </w:tblPr>
      <w:tblGrid>
        <w:gridCol w:w="9016"/>
      </w:tblGrid>
      <w:tr w:rsidR="0022575B" w:rsidTr="0022575B">
        <w:tc>
          <w:tcPr>
            <w:tcW w:w="9016" w:type="dxa"/>
          </w:tcPr>
          <w:p w:rsidR="0022575B" w:rsidRPr="0022575B" w:rsidRDefault="0022575B" w:rsidP="00462142">
            <w:pPr>
              <w:pStyle w:val="Heading3"/>
              <w:spacing w:before="0" w:line="360" w:lineRule="auto"/>
              <w:outlineLvl w:val="2"/>
              <w:rPr>
                <w:i/>
                <w:color w:val="auto"/>
              </w:rPr>
            </w:pPr>
            <w:bookmarkStart w:id="31" w:name="_Toc512895947"/>
            <w:bookmarkStart w:id="32" w:name="_Hlk510786712"/>
            <w:r w:rsidRPr="008F1051">
              <w:rPr>
                <w:i/>
                <w:color w:val="auto"/>
              </w:rPr>
              <w:t xml:space="preserve">Recommendation </w:t>
            </w:r>
            <w:r>
              <w:rPr>
                <w:i/>
                <w:color w:val="auto"/>
              </w:rPr>
              <w:t>7</w:t>
            </w:r>
            <w:bookmarkEnd w:id="31"/>
          </w:p>
          <w:p w:rsidR="0022575B" w:rsidRDefault="0022575B" w:rsidP="00462142">
            <w:pPr>
              <w:spacing w:line="360" w:lineRule="auto"/>
              <w:jc w:val="both"/>
              <w:rPr>
                <w:i/>
                <w:sz w:val="24"/>
                <w:szCs w:val="24"/>
              </w:rPr>
            </w:pPr>
            <w:r>
              <w:rPr>
                <w:i/>
                <w:sz w:val="24"/>
                <w:szCs w:val="24"/>
              </w:rPr>
              <w:t>That, before making substantive changes to section 79 of the Act (including section 90SM), the Commission:</w:t>
            </w:r>
          </w:p>
          <w:p w:rsidR="0022575B" w:rsidRPr="00D45D94" w:rsidRDefault="0022575B" w:rsidP="009A0126">
            <w:pPr>
              <w:pStyle w:val="ListParagraph"/>
              <w:numPr>
                <w:ilvl w:val="0"/>
                <w:numId w:val="16"/>
              </w:numPr>
              <w:spacing w:line="360" w:lineRule="auto"/>
              <w:jc w:val="both"/>
              <w:rPr>
                <w:i/>
                <w:sz w:val="24"/>
                <w:szCs w:val="24"/>
              </w:rPr>
            </w:pPr>
            <w:r>
              <w:rPr>
                <w:i/>
                <w:sz w:val="24"/>
                <w:szCs w:val="24"/>
              </w:rPr>
              <w:t xml:space="preserve">Propose </w:t>
            </w:r>
            <w:r w:rsidR="0074682B">
              <w:rPr>
                <w:i/>
                <w:noProof/>
                <w:sz w:val="24"/>
                <w:szCs w:val="24"/>
              </w:rPr>
              <w:t>amendment</w:t>
            </w:r>
            <w:r w:rsidR="00440600">
              <w:rPr>
                <w:i/>
                <w:noProof/>
                <w:sz w:val="24"/>
                <w:szCs w:val="24"/>
              </w:rPr>
              <w:t>s</w:t>
            </w:r>
            <w:r>
              <w:rPr>
                <w:i/>
                <w:sz w:val="24"/>
                <w:szCs w:val="24"/>
              </w:rPr>
              <w:t xml:space="preserve"> to the ‘Application for Consent Orders’ process to enable anonymised data to be used to understand the quantum and composition of agreed property outcomes,</w:t>
            </w:r>
            <w:r w:rsidR="00440600">
              <w:rPr>
                <w:i/>
                <w:sz w:val="24"/>
                <w:szCs w:val="24"/>
              </w:rPr>
              <w:t xml:space="preserve"> (with the ability for parties to prevent </w:t>
            </w:r>
            <w:r w:rsidR="009C1DBD">
              <w:rPr>
                <w:i/>
                <w:sz w:val="24"/>
                <w:szCs w:val="24"/>
              </w:rPr>
              <w:t xml:space="preserve">the </w:t>
            </w:r>
            <w:r w:rsidR="00440600" w:rsidRPr="009C1DBD">
              <w:rPr>
                <w:i/>
                <w:noProof/>
                <w:sz w:val="24"/>
                <w:szCs w:val="24"/>
              </w:rPr>
              <w:t>use</w:t>
            </w:r>
            <w:r w:rsidR="00440600">
              <w:rPr>
                <w:i/>
                <w:sz w:val="24"/>
                <w:szCs w:val="24"/>
              </w:rPr>
              <w:t xml:space="preserve"> of their data if they wish)</w:t>
            </w:r>
            <w:r>
              <w:rPr>
                <w:i/>
                <w:sz w:val="24"/>
                <w:szCs w:val="24"/>
              </w:rPr>
              <w:t xml:space="preserve"> and </w:t>
            </w:r>
          </w:p>
          <w:p w:rsidR="0022575B" w:rsidRPr="00886AAC" w:rsidRDefault="0022575B" w:rsidP="00462142">
            <w:pPr>
              <w:pStyle w:val="ListParagraph"/>
              <w:numPr>
                <w:ilvl w:val="0"/>
                <w:numId w:val="16"/>
              </w:numPr>
              <w:spacing w:line="360" w:lineRule="auto"/>
              <w:jc w:val="both"/>
              <w:rPr>
                <w:i/>
                <w:sz w:val="24"/>
                <w:szCs w:val="24"/>
              </w:rPr>
            </w:pPr>
            <w:r>
              <w:rPr>
                <w:i/>
                <w:sz w:val="24"/>
                <w:szCs w:val="24"/>
              </w:rPr>
              <w:t xml:space="preserve">Recommend that an organisation (such as – but not necessarily limited to AIFS) undertake </w:t>
            </w:r>
            <w:r w:rsidR="00356924">
              <w:rPr>
                <w:i/>
                <w:sz w:val="24"/>
                <w:szCs w:val="24"/>
              </w:rPr>
              <w:t>further</w:t>
            </w:r>
            <w:r>
              <w:rPr>
                <w:i/>
                <w:sz w:val="24"/>
                <w:szCs w:val="24"/>
              </w:rPr>
              <w:t xml:space="preserve"> quantitative research of consent order applications (</w:t>
            </w:r>
            <w:r w:rsidR="00440600">
              <w:rPr>
                <w:i/>
                <w:sz w:val="24"/>
                <w:szCs w:val="24"/>
              </w:rPr>
              <w:t xml:space="preserve">including </w:t>
            </w:r>
            <w:r w:rsidR="00356924">
              <w:rPr>
                <w:i/>
                <w:sz w:val="24"/>
                <w:szCs w:val="24"/>
              </w:rPr>
              <w:t>percentages</w:t>
            </w:r>
            <w:r>
              <w:rPr>
                <w:i/>
                <w:sz w:val="24"/>
                <w:szCs w:val="24"/>
              </w:rPr>
              <w:t xml:space="preserve"> and dollar results). </w:t>
            </w:r>
            <w:bookmarkEnd w:id="32"/>
          </w:p>
        </w:tc>
      </w:tr>
    </w:tbl>
    <w:p w:rsidR="00DC7DC2" w:rsidRDefault="00DC7DC2" w:rsidP="00462142">
      <w:pPr>
        <w:spacing w:after="0" w:line="360" w:lineRule="auto"/>
      </w:pPr>
    </w:p>
    <w:p w:rsidR="00A80012" w:rsidRPr="004E3003" w:rsidRDefault="00A80012" w:rsidP="00462142">
      <w:pPr>
        <w:pStyle w:val="Heading2"/>
        <w:spacing w:before="0" w:line="360" w:lineRule="auto"/>
        <w:jc w:val="both"/>
        <w:rPr>
          <w:color w:val="auto"/>
          <w:sz w:val="28"/>
          <w:szCs w:val="28"/>
        </w:rPr>
      </w:pPr>
      <w:bookmarkStart w:id="33" w:name="_Toc512895948"/>
      <w:r w:rsidRPr="004E3003">
        <w:rPr>
          <w:color w:val="auto"/>
          <w:sz w:val="28"/>
          <w:szCs w:val="28"/>
        </w:rPr>
        <w:lastRenderedPageBreak/>
        <w:t>I</w:t>
      </w:r>
      <w:r w:rsidR="00A645C3">
        <w:rPr>
          <w:color w:val="auto"/>
          <w:sz w:val="28"/>
          <w:szCs w:val="28"/>
        </w:rPr>
        <w:t>I</w:t>
      </w:r>
      <w:r>
        <w:rPr>
          <w:color w:val="auto"/>
          <w:sz w:val="28"/>
          <w:szCs w:val="28"/>
        </w:rPr>
        <w:t xml:space="preserve"> What is the Practical Effect of the </w:t>
      </w:r>
      <w:r w:rsidR="00BD551A">
        <w:rPr>
          <w:color w:val="auto"/>
          <w:sz w:val="28"/>
          <w:szCs w:val="28"/>
        </w:rPr>
        <w:t xml:space="preserve">Current </w:t>
      </w:r>
      <w:r>
        <w:rPr>
          <w:color w:val="auto"/>
          <w:sz w:val="28"/>
          <w:szCs w:val="28"/>
        </w:rPr>
        <w:t>Provisions Governing Property Division?</w:t>
      </w:r>
      <w:bookmarkEnd w:id="33"/>
    </w:p>
    <w:p w:rsidR="006E60F8" w:rsidRPr="00440600" w:rsidRDefault="006E60F8" w:rsidP="00440600">
      <w:pPr>
        <w:pStyle w:val="ListParagraph"/>
        <w:numPr>
          <w:ilvl w:val="0"/>
          <w:numId w:val="52"/>
        </w:numPr>
        <w:spacing w:after="0" w:line="360" w:lineRule="auto"/>
        <w:jc w:val="both"/>
        <w:rPr>
          <w:sz w:val="24"/>
          <w:szCs w:val="24"/>
        </w:rPr>
      </w:pPr>
      <w:r w:rsidRPr="00D326B1">
        <w:rPr>
          <w:sz w:val="24"/>
          <w:szCs w:val="24"/>
        </w:rPr>
        <w:t>This section</w:t>
      </w:r>
      <w:r w:rsidR="00440600">
        <w:rPr>
          <w:sz w:val="24"/>
          <w:szCs w:val="24"/>
        </w:rPr>
        <w:t xml:space="preserve"> </w:t>
      </w:r>
      <w:r w:rsidR="00440600" w:rsidRPr="00440600">
        <w:rPr>
          <w:sz w:val="24"/>
          <w:szCs w:val="24"/>
        </w:rPr>
        <w:t>b</w:t>
      </w:r>
      <w:r w:rsidRPr="00440600">
        <w:rPr>
          <w:sz w:val="24"/>
          <w:szCs w:val="24"/>
        </w:rPr>
        <w:t xml:space="preserve">riefly examines the </w:t>
      </w:r>
      <w:r w:rsidR="00440600">
        <w:rPr>
          <w:sz w:val="24"/>
          <w:szCs w:val="24"/>
        </w:rPr>
        <w:t xml:space="preserve">existing </w:t>
      </w:r>
      <w:r w:rsidRPr="00440600">
        <w:rPr>
          <w:sz w:val="24"/>
          <w:szCs w:val="24"/>
        </w:rPr>
        <w:t xml:space="preserve">published studies on property settlement </w:t>
      </w:r>
      <w:r w:rsidRPr="009C1DBD">
        <w:rPr>
          <w:noProof/>
          <w:sz w:val="24"/>
          <w:szCs w:val="24"/>
        </w:rPr>
        <w:t>results</w:t>
      </w:r>
      <w:r w:rsidRPr="00440600">
        <w:rPr>
          <w:sz w:val="24"/>
          <w:szCs w:val="24"/>
        </w:rPr>
        <w:t xml:space="preserve"> </w:t>
      </w:r>
      <w:r w:rsidR="00440600" w:rsidRPr="00440600">
        <w:rPr>
          <w:sz w:val="24"/>
          <w:szCs w:val="24"/>
        </w:rPr>
        <w:t xml:space="preserve">and </w:t>
      </w:r>
      <w:r w:rsidR="00440600">
        <w:rPr>
          <w:sz w:val="24"/>
          <w:szCs w:val="24"/>
        </w:rPr>
        <w:t>reports</w:t>
      </w:r>
      <w:r w:rsidR="00C233EE" w:rsidRPr="00440600">
        <w:rPr>
          <w:sz w:val="24"/>
          <w:szCs w:val="24"/>
        </w:rPr>
        <w:t xml:space="preserve"> (in a summary way) on my research into property settlement </w:t>
      </w:r>
      <w:r w:rsidR="00C344BB">
        <w:rPr>
          <w:sz w:val="24"/>
          <w:szCs w:val="24"/>
        </w:rPr>
        <w:t xml:space="preserve">reasoning </w:t>
      </w:r>
      <w:r w:rsidR="00C233EE" w:rsidRPr="00440600">
        <w:rPr>
          <w:sz w:val="24"/>
          <w:szCs w:val="24"/>
        </w:rPr>
        <w:t xml:space="preserve">processes and outcomes. </w:t>
      </w:r>
      <w:r w:rsidR="00D37EE0">
        <w:rPr>
          <w:rStyle w:val="EndnoteReference"/>
          <w:sz w:val="24"/>
          <w:szCs w:val="24"/>
        </w:rPr>
        <w:endnoteReference w:id="85"/>
      </w:r>
    </w:p>
    <w:p w:rsidR="00D326B1" w:rsidRPr="00886AAC" w:rsidRDefault="00D45D94" w:rsidP="00886AAC">
      <w:pPr>
        <w:pStyle w:val="ListParagraph"/>
        <w:numPr>
          <w:ilvl w:val="0"/>
          <w:numId w:val="52"/>
        </w:numPr>
        <w:spacing w:after="0" w:line="360" w:lineRule="auto"/>
        <w:jc w:val="both"/>
        <w:rPr>
          <w:sz w:val="24"/>
          <w:szCs w:val="24"/>
        </w:rPr>
      </w:pPr>
      <w:r w:rsidRPr="00D326B1">
        <w:rPr>
          <w:sz w:val="24"/>
          <w:szCs w:val="24"/>
        </w:rPr>
        <w:t>Many studies examine the outcomes of property settlement cases.</w:t>
      </w:r>
      <w:r w:rsidRPr="00D45D94">
        <w:rPr>
          <w:vertAlign w:val="superscript"/>
        </w:rPr>
        <w:endnoteReference w:id="86"/>
      </w:r>
      <w:r w:rsidRPr="00D326B1">
        <w:rPr>
          <w:sz w:val="24"/>
          <w:szCs w:val="24"/>
        </w:rPr>
        <w:t xml:space="preserve"> However, 1994 was seemingly the last time published research used a sample comprised of only judicially </w:t>
      </w:r>
      <w:r w:rsidRPr="00D326B1">
        <w:rPr>
          <w:noProof/>
          <w:sz w:val="24"/>
          <w:szCs w:val="24"/>
        </w:rPr>
        <w:t>determined</w:t>
      </w:r>
      <w:r w:rsidRPr="00D326B1">
        <w:rPr>
          <w:sz w:val="24"/>
          <w:szCs w:val="24"/>
        </w:rPr>
        <w:t xml:space="preserve"> cases. </w:t>
      </w:r>
      <w:r w:rsidRPr="00D45D94">
        <w:rPr>
          <w:vertAlign w:val="superscript"/>
        </w:rPr>
        <w:endnoteReference w:id="87"/>
      </w:r>
      <w:r w:rsidRPr="00D326B1">
        <w:rPr>
          <w:sz w:val="24"/>
          <w:szCs w:val="24"/>
        </w:rPr>
        <w:t xml:space="preserve"> Comparison of the literature does not necessarily suggest a pattern of results</w:t>
      </w:r>
      <w:r w:rsidR="006E60F8" w:rsidRPr="00D326B1">
        <w:rPr>
          <w:sz w:val="24"/>
          <w:szCs w:val="24"/>
        </w:rPr>
        <w:t>. It</w:t>
      </w:r>
      <w:r w:rsidR="00C344BB">
        <w:rPr>
          <w:sz w:val="24"/>
          <w:szCs w:val="24"/>
        </w:rPr>
        <w:t xml:space="preserve"> </w:t>
      </w:r>
      <w:r w:rsidR="006E60F8" w:rsidRPr="00D326B1">
        <w:rPr>
          <w:sz w:val="24"/>
          <w:szCs w:val="24"/>
        </w:rPr>
        <w:t>provide</w:t>
      </w:r>
      <w:r w:rsidR="00C344BB">
        <w:rPr>
          <w:sz w:val="24"/>
          <w:szCs w:val="24"/>
        </w:rPr>
        <w:t>s</w:t>
      </w:r>
      <w:r w:rsidR="006E60F8" w:rsidRPr="00D326B1">
        <w:rPr>
          <w:sz w:val="24"/>
          <w:szCs w:val="24"/>
        </w:rPr>
        <w:t xml:space="preserve"> background.</w:t>
      </w:r>
      <w:r w:rsidR="00C344BB">
        <w:rPr>
          <w:sz w:val="24"/>
          <w:szCs w:val="24"/>
        </w:rPr>
        <w:t xml:space="preserve"> Recent reporting in the study</w:t>
      </w:r>
      <w:r w:rsidR="006E60F8" w:rsidRPr="00D326B1">
        <w:rPr>
          <w:sz w:val="24"/>
          <w:szCs w:val="24"/>
        </w:rPr>
        <w:t xml:space="preserve"> </w:t>
      </w:r>
      <w:r w:rsidR="00886AAC" w:rsidRPr="00D326B1">
        <w:rPr>
          <w:i/>
          <w:sz w:val="24"/>
          <w:szCs w:val="24"/>
        </w:rPr>
        <w:t>Property Division after Separation</w:t>
      </w:r>
      <w:r w:rsidR="00886AAC" w:rsidRPr="00D326B1">
        <w:rPr>
          <w:sz w:val="24"/>
          <w:szCs w:val="24"/>
        </w:rPr>
        <w:t xml:space="preserve"> </w:t>
      </w:r>
      <w:r w:rsidR="00C344BB">
        <w:rPr>
          <w:sz w:val="24"/>
          <w:szCs w:val="24"/>
        </w:rPr>
        <w:t>showed</w:t>
      </w:r>
      <w:r w:rsidR="00886AAC" w:rsidRPr="00D326B1">
        <w:rPr>
          <w:sz w:val="24"/>
          <w:szCs w:val="24"/>
        </w:rPr>
        <w:t xml:space="preserve"> a median result of 57%</w:t>
      </w:r>
      <w:r w:rsidR="00C344BB">
        <w:rPr>
          <w:sz w:val="24"/>
          <w:szCs w:val="24"/>
        </w:rPr>
        <w:t xml:space="preserve"> to women</w:t>
      </w:r>
      <w:r w:rsidR="00886AAC" w:rsidRPr="00D326B1">
        <w:rPr>
          <w:sz w:val="24"/>
          <w:szCs w:val="24"/>
        </w:rPr>
        <w:t>,</w:t>
      </w:r>
      <w:r w:rsidR="00886AAC" w:rsidRPr="006E60F8">
        <w:rPr>
          <w:vertAlign w:val="superscript"/>
        </w:rPr>
        <w:endnoteReference w:id="88"/>
      </w:r>
      <w:r w:rsidR="00886AAC" w:rsidRPr="00D326B1">
        <w:rPr>
          <w:sz w:val="24"/>
          <w:szCs w:val="24"/>
        </w:rPr>
        <w:t xml:space="preserve"> with a considerable spread over results.</w:t>
      </w:r>
      <w:r w:rsidR="00886AAC">
        <w:rPr>
          <w:sz w:val="24"/>
          <w:szCs w:val="24"/>
        </w:rPr>
        <w:t xml:space="preserve"> </w:t>
      </w:r>
      <w:r w:rsidR="006E60F8" w:rsidRPr="00886AAC">
        <w:rPr>
          <w:sz w:val="24"/>
          <w:szCs w:val="24"/>
        </w:rPr>
        <w:t xml:space="preserve">Comparing </w:t>
      </w:r>
      <w:r w:rsidR="00886AAC">
        <w:rPr>
          <w:sz w:val="24"/>
          <w:szCs w:val="24"/>
        </w:rPr>
        <w:t xml:space="preserve">the mean outcomes from </w:t>
      </w:r>
      <w:r w:rsidR="006E60F8" w:rsidRPr="00886AAC">
        <w:rPr>
          <w:sz w:val="24"/>
          <w:szCs w:val="24"/>
        </w:rPr>
        <w:t xml:space="preserve">some of the </w:t>
      </w:r>
      <w:r w:rsidR="00462142" w:rsidRPr="00886AAC">
        <w:rPr>
          <w:sz w:val="24"/>
          <w:szCs w:val="24"/>
        </w:rPr>
        <w:t>best-known</w:t>
      </w:r>
      <w:r w:rsidR="006E60F8" w:rsidRPr="00886AAC">
        <w:rPr>
          <w:sz w:val="24"/>
          <w:szCs w:val="24"/>
        </w:rPr>
        <w:t xml:space="preserve"> literature </w:t>
      </w:r>
      <w:r w:rsidR="00886AAC">
        <w:rPr>
          <w:sz w:val="24"/>
          <w:szCs w:val="24"/>
        </w:rPr>
        <w:t>shows the following</w:t>
      </w:r>
      <w:r w:rsidR="006E60F8" w:rsidRPr="00886AAC">
        <w:rPr>
          <w:sz w:val="24"/>
          <w:szCs w:val="24"/>
        </w:rPr>
        <w:t>:</w:t>
      </w:r>
    </w:p>
    <w:p w:rsidR="00D45D94" w:rsidRDefault="00D45D94" w:rsidP="00886AAC">
      <w:pPr>
        <w:spacing w:after="0" w:line="240" w:lineRule="auto"/>
        <w:jc w:val="center"/>
        <w:rPr>
          <w:b/>
          <w:sz w:val="24"/>
          <w:szCs w:val="24"/>
        </w:rPr>
      </w:pPr>
      <w:r w:rsidRPr="00D45D94">
        <w:rPr>
          <w:b/>
          <w:sz w:val="24"/>
          <w:szCs w:val="24"/>
        </w:rPr>
        <w:t>Literature comparison Mean Results to Women / Mothers / Wives by Percentage Distribution (Where Superannuation Excluded)</w:t>
      </w:r>
    </w:p>
    <w:p w:rsidR="001002F5" w:rsidRPr="00C233EE" w:rsidRDefault="001002F5" w:rsidP="00886AAC">
      <w:pPr>
        <w:spacing w:after="0" w:line="240" w:lineRule="auto"/>
        <w:jc w:val="center"/>
        <w:rPr>
          <w:b/>
          <w:sz w:val="24"/>
          <w:szCs w:val="24"/>
        </w:rPr>
      </w:pPr>
    </w:p>
    <w:tbl>
      <w:tblPr>
        <w:tblStyle w:val="GridTableLight"/>
        <w:tblW w:w="8364" w:type="dxa"/>
        <w:tblInd w:w="562" w:type="dxa"/>
        <w:tblLayout w:type="fixed"/>
        <w:tblLook w:val="04A0"/>
      </w:tblPr>
      <w:tblGrid>
        <w:gridCol w:w="5954"/>
        <w:gridCol w:w="2410"/>
      </w:tblGrid>
      <w:tr w:rsidR="00D45D94" w:rsidRPr="00D45D94" w:rsidTr="00886AAC">
        <w:tc>
          <w:tcPr>
            <w:tcW w:w="5954" w:type="dxa"/>
          </w:tcPr>
          <w:p w:rsidR="00D45D94" w:rsidRPr="00D45D94" w:rsidRDefault="00D45D94" w:rsidP="00886AAC">
            <w:pPr>
              <w:rPr>
                <w:b/>
                <w:sz w:val="24"/>
                <w:szCs w:val="24"/>
              </w:rPr>
            </w:pPr>
            <w:r w:rsidRPr="00D45D94">
              <w:rPr>
                <w:b/>
                <w:sz w:val="24"/>
                <w:szCs w:val="24"/>
              </w:rPr>
              <w:t xml:space="preserve">Particulars </w:t>
            </w:r>
          </w:p>
        </w:tc>
        <w:tc>
          <w:tcPr>
            <w:tcW w:w="2410" w:type="dxa"/>
          </w:tcPr>
          <w:p w:rsidR="00D45D94" w:rsidRPr="00D45D94" w:rsidRDefault="00D45D94" w:rsidP="00886AAC">
            <w:pPr>
              <w:rPr>
                <w:b/>
                <w:sz w:val="24"/>
                <w:szCs w:val="24"/>
              </w:rPr>
            </w:pPr>
            <w:r w:rsidRPr="00D45D94">
              <w:rPr>
                <w:b/>
                <w:sz w:val="24"/>
                <w:szCs w:val="24"/>
              </w:rPr>
              <w:t>Women / Wives / Mothers</w:t>
            </w:r>
          </w:p>
        </w:tc>
      </w:tr>
      <w:tr w:rsidR="00D45D94" w:rsidRPr="00D45D94" w:rsidTr="00886AAC">
        <w:tc>
          <w:tcPr>
            <w:tcW w:w="5954" w:type="dxa"/>
          </w:tcPr>
          <w:p w:rsidR="00D45D94" w:rsidRPr="00D45D94" w:rsidRDefault="00D45D94" w:rsidP="00886AAC">
            <w:pPr>
              <w:rPr>
                <w:sz w:val="24"/>
                <w:szCs w:val="24"/>
              </w:rPr>
            </w:pPr>
            <w:r w:rsidRPr="00D45D94">
              <w:rPr>
                <w:i/>
                <w:sz w:val="24"/>
                <w:szCs w:val="24"/>
              </w:rPr>
              <w:t xml:space="preserve">A Survey of Family Court Property Cases in Australia / Matrimonial Property </w:t>
            </w:r>
            <w:r w:rsidRPr="00D45D94">
              <w:rPr>
                <w:sz w:val="24"/>
                <w:szCs w:val="24"/>
              </w:rPr>
              <w:t>(Range of means reported)</w:t>
            </w:r>
            <w:r w:rsidRPr="00D45D94">
              <w:rPr>
                <w:sz w:val="24"/>
                <w:szCs w:val="24"/>
                <w:vertAlign w:val="superscript"/>
              </w:rPr>
              <w:endnoteReference w:id="89"/>
            </w:r>
          </w:p>
        </w:tc>
        <w:tc>
          <w:tcPr>
            <w:tcW w:w="2410" w:type="dxa"/>
          </w:tcPr>
          <w:p w:rsidR="00D45D94" w:rsidRPr="00D45D94" w:rsidRDefault="00D45D94" w:rsidP="00886AAC">
            <w:pPr>
              <w:rPr>
                <w:sz w:val="24"/>
                <w:szCs w:val="24"/>
              </w:rPr>
            </w:pPr>
            <w:r w:rsidRPr="00D45D94">
              <w:rPr>
                <w:sz w:val="24"/>
                <w:szCs w:val="24"/>
              </w:rPr>
              <w:t xml:space="preserve">50.6 </w:t>
            </w:r>
            <w:r>
              <w:rPr>
                <w:sz w:val="24"/>
                <w:szCs w:val="24"/>
              </w:rPr>
              <w:t>%</w:t>
            </w:r>
            <w:r w:rsidRPr="00D45D94">
              <w:rPr>
                <w:sz w:val="24"/>
                <w:szCs w:val="24"/>
              </w:rPr>
              <w:t xml:space="preserve">-56.6 </w:t>
            </w:r>
            <w:r>
              <w:rPr>
                <w:sz w:val="24"/>
                <w:szCs w:val="24"/>
              </w:rPr>
              <w:t>%</w:t>
            </w:r>
            <w:r w:rsidRPr="00D45D94">
              <w:rPr>
                <w:sz w:val="24"/>
                <w:szCs w:val="24"/>
              </w:rPr>
              <w:t xml:space="preserve">  </w:t>
            </w:r>
          </w:p>
        </w:tc>
      </w:tr>
      <w:tr w:rsidR="00D45D94" w:rsidRPr="00D45D94" w:rsidTr="00886AAC">
        <w:tc>
          <w:tcPr>
            <w:tcW w:w="5954" w:type="dxa"/>
          </w:tcPr>
          <w:p w:rsidR="00D45D94" w:rsidRPr="00D45D94" w:rsidRDefault="00D45D94" w:rsidP="00886AAC">
            <w:pPr>
              <w:rPr>
                <w:sz w:val="24"/>
                <w:szCs w:val="24"/>
              </w:rPr>
            </w:pPr>
            <w:r w:rsidRPr="00D45D94">
              <w:rPr>
                <w:i/>
                <w:sz w:val="24"/>
                <w:szCs w:val="24"/>
              </w:rPr>
              <w:t>Settling Up</w:t>
            </w:r>
            <w:r w:rsidRPr="00D45D94">
              <w:rPr>
                <w:sz w:val="24"/>
                <w:szCs w:val="24"/>
              </w:rPr>
              <w:t xml:space="preserve"> (Younger respondents)</w:t>
            </w:r>
            <w:r w:rsidRPr="00D45D94">
              <w:rPr>
                <w:sz w:val="24"/>
                <w:szCs w:val="24"/>
                <w:vertAlign w:val="superscript"/>
              </w:rPr>
              <w:endnoteReference w:id="90"/>
            </w:r>
          </w:p>
        </w:tc>
        <w:tc>
          <w:tcPr>
            <w:tcW w:w="2410" w:type="dxa"/>
          </w:tcPr>
          <w:p w:rsidR="00D45D94" w:rsidRPr="00D45D94" w:rsidRDefault="00D45D94" w:rsidP="00886AAC">
            <w:pPr>
              <w:rPr>
                <w:sz w:val="24"/>
                <w:szCs w:val="24"/>
              </w:rPr>
            </w:pPr>
            <w:r w:rsidRPr="00D45D94">
              <w:rPr>
                <w:sz w:val="24"/>
                <w:szCs w:val="24"/>
              </w:rPr>
              <w:t xml:space="preserve">60 </w:t>
            </w:r>
            <w:r>
              <w:rPr>
                <w:sz w:val="24"/>
                <w:szCs w:val="24"/>
              </w:rPr>
              <w:t>%</w:t>
            </w:r>
          </w:p>
        </w:tc>
      </w:tr>
      <w:tr w:rsidR="00D45D94" w:rsidRPr="00D45D94" w:rsidTr="00886AAC">
        <w:tc>
          <w:tcPr>
            <w:tcW w:w="5954" w:type="dxa"/>
          </w:tcPr>
          <w:p w:rsidR="00D45D94" w:rsidRPr="00D45D94" w:rsidRDefault="00D45D94" w:rsidP="00886AAC">
            <w:pPr>
              <w:rPr>
                <w:sz w:val="24"/>
                <w:szCs w:val="24"/>
              </w:rPr>
            </w:pPr>
            <w:r w:rsidRPr="00D45D94">
              <w:rPr>
                <w:i/>
                <w:sz w:val="24"/>
                <w:szCs w:val="24"/>
              </w:rPr>
              <w:t>Settling Up</w:t>
            </w:r>
            <w:r w:rsidRPr="00D45D94">
              <w:rPr>
                <w:sz w:val="24"/>
                <w:szCs w:val="24"/>
              </w:rPr>
              <w:t xml:space="preserve"> (Older respondents)</w:t>
            </w:r>
            <w:r w:rsidRPr="00D45D94">
              <w:rPr>
                <w:sz w:val="24"/>
                <w:szCs w:val="24"/>
                <w:vertAlign w:val="superscript"/>
              </w:rPr>
              <w:endnoteReference w:id="91"/>
            </w:r>
          </w:p>
        </w:tc>
        <w:tc>
          <w:tcPr>
            <w:tcW w:w="2410" w:type="dxa"/>
          </w:tcPr>
          <w:p w:rsidR="00D45D94" w:rsidRPr="00D45D94" w:rsidRDefault="00D45D94" w:rsidP="00886AAC">
            <w:pPr>
              <w:rPr>
                <w:sz w:val="24"/>
                <w:szCs w:val="24"/>
              </w:rPr>
            </w:pPr>
            <w:r w:rsidRPr="00D45D94">
              <w:rPr>
                <w:sz w:val="24"/>
                <w:szCs w:val="24"/>
              </w:rPr>
              <w:t xml:space="preserve">57 </w:t>
            </w:r>
            <w:r>
              <w:rPr>
                <w:sz w:val="24"/>
                <w:szCs w:val="24"/>
              </w:rPr>
              <w:t>%</w:t>
            </w:r>
          </w:p>
        </w:tc>
      </w:tr>
      <w:tr w:rsidR="00D45D94" w:rsidRPr="00D45D94" w:rsidTr="00886AAC">
        <w:tc>
          <w:tcPr>
            <w:tcW w:w="5954" w:type="dxa"/>
          </w:tcPr>
          <w:p w:rsidR="00D45D94" w:rsidRPr="00D45D94" w:rsidRDefault="00D45D94" w:rsidP="00886AAC">
            <w:pPr>
              <w:rPr>
                <w:sz w:val="24"/>
                <w:szCs w:val="24"/>
              </w:rPr>
            </w:pPr>
            <w:r w:rsidRPr="00D45D94">
              <w:rPr>
                <w:i/>
                <w:sz w:val="24"/>
                <w:szCs w:val="24"/>
              </w:rPr>
              <w:t>Division of Matrimonial Property in Australia</w:t>
            </w:r>
            <w:r w:rsidRPr="00D45D94">
              <w:rPr>
                <w:sz w:val="24"/>
                <w:szCs w:val="24"/>
              </w:rPr>
              <w:t xml:space="preserve"> </w:t>
            </w:r>
          </w:p>
          <w:p w:rsidR="00D45D94" w:rsidRPr="00D45D94" w:rsidRDefault="00D45D94" w:rsidP="00886AAC">
            <w:pPr>
              <w:rPr>
                <w:sz w:val="24"/>
                <w:szCs w:val="24"/>
              </w:rPr>
            </w:pPr>
            <w:r w:rsidRPr="00D45D94">
              <w:rPr>
                <w:sz w:val="24"/>
                <w:szCs w:val="24"/>
              </w:rPr>
              <w:t>(Low asset marriages)</w:t>
            </w:r>
            <w:r w:rsidRPr="00D45D94">
              <w:rPr>
                <w:sz w:val="24"/>
                <w:szCs w:val="24"/>
                <w:vertAlign w:val="superscript"/>
              </w:rPr>
              <w:endnoteReference w:id="92"/>
            </w:r>
          </w:p>
        </w:tc>
        <w:tc>
          <w:tcPr>
            <w:tcW w:w="2410" w:type="dxa"/>
          </w:tcPr>
          <w:p w:rsidR="00D45D94" w:rsidRPr="00D45D94" w:rsidRDefault="00D45D94" w:rsidP="00886AAC">
            <w:pPr>
              <w:rPr>
                <w:sz w:val="24"/>
                <w:szCs w:val="24"/>
              </w:rPr>
            </w:pPr>
            <w:r w:rsidRPr="00D45D94">
              <w:rPr>
                <w:sz w:val="24"/>
                <w:szCs w:val="24"/>
              </w:rPr>
              <w:t xml:space="preserve">58 </w:t>
            </w:r>
            <w:r>
              <w:rPr>
                <w:sz w:val="24"/>
                <w:szCs w:val="24"/>
              </w:rPr>
              <w:t>%</w:t>
            </w:r>
          </w:p>
        </w:tc>
      </w:tr>
      <w:tr w:rsidR="00D45D94" w:rsidRPr="00D45D94" w:rsidTr="00886AAC">
        <w:tc>
          <w:tcPr>
            <w:tcW w:w="5954" w:type="dxa"/>
          </w:tcPr>
          <w:p w:rsidR="00D45D94" w:rsidRPr="00D45D94" w:rsidRDefault="00D45D94" w:rsidP="00886AAC">
            <w:pPr>
              <w:rPr>
                <w:sz w:val="24"/>
                <w:szCs w:val="24"/>
              </w:rPr>
            </w:pPr>
            <w:r w:rsidRPr="00D45D94">
              <w:rPr>
                <w:i/>
                <w:sz w:val="24"/>
                <w:szCs w:val="24"/>
              </w:rPr>
              <w:t>Division of Matrimonial Property in Australia</w:t>
            </w:r>
            <w:r w:rsidRPr="00D45D94">
              <w:rPr>
                <w:sz w:val="24"/>
                <w:szCs w:val="24"/>
              </w:rPr>
              <w:t xml:space="preserve"> </w:t>
            </w:r>
          </w:p>
          <w:p w:rsidR="00D45D94" w:rsidRPr="00D45D94" w:rsidRDefault="00D45D94" w:rsidP="00886AAC">
            <w:pPr>
              <w:rPr>
                <w:sz w:val="24"/>
                <w:szCs w:val="24"/>
              </w:rPr>
            </w:pPr>
            <w:r w:rsidRPr="00D45D94">
              <w:rPr>
                <w:sz w:val="24"/>
                <w:szCs w:val="24"/>
              </w:rPr>
              <w:t>(High asset marriages)</w:t>
            </w:r>
            <w:r w:rsidRPr="00D45D94">
              <w:rPr>
                <w:sz w:val="24"/>
                <w:szCs w:val="24"/>
                <w:vertAlign w:val="superscript"/>
              </w:rPr>
              <w:endnoteReference w:id="93"/>
            </w:r>
          </w:p>
        </w:tc>
        <w:tc>
          <w:tcPr>
            <w:tcW w:w="2410" w:type="dxa"/>
          </w:tcPr>
          <w:p w:rsidR="00D45D94" w:rsidRPr="00D45D94" w:rsidRDefault="00D45D94" w:rsidP="00886AAC">
            <w:pPr>
              <w:rPr>
                <w:sz w:val="24"/>
                <w:szCs w:val="24"/>
              </w:rPr>
            </w:pPr>
            <w:r w:rsidRPr="00D45D94">
              <w:rPr>
                <w:sz w:val="24"/>
                <w:szCs w:val="24"/>
              </w:rPr>
              <w:t xml:space="preserve">50 </w:t>
            </w:r>
            <w:r>
              <w:rPr>
                <w:sz w:val="24"/>
                <w:szCs w:val="24"/>
              </w:rPr>
              <w:t>%</w:t>
            </w:r>
          </w:p>
        </w:tc>
      </w:tr>
    </w:tbl>
    <w:p w:rsidR="006635E1" w:rsidRPr="00D45D94" w:rsidRDefault="006635E1" w:rsidP="00462142">
      <w:pPr>
        <w:spacing w:after="0" w:line="360" w:lineRule="auto"/>
        <w:rPr>
          <w:b/>
          <w:sz w:val="24"/>
          <w:szCs w:val="24"/>
        </w:rPr>
      </w:pPr>
    </w:p>
    <w:p w:rsidR="00D45D94" w:rsidRPr="00D45D94" w:rsidRDefault="006E60F8" w:rsidP="00886AAC">
      <w:pPr>
        <w:spacing w:after="0" w:line="240" w:lineRule="auto"/>
        <w:jc w:val="center"/>
        <w:rPr>
          <w:b/>
          <w:sz w:val="24"/>
          <w:szCs w:val="24"/>
        </w:rPr>
      </w:pPr>
      <w:r>
        <w:rPr>
          <w:b/>
          <w:sz w:val="24"/>
          <w:szCs w:val="24"/>
        </w:rPr>
        <w:t xml:space="preserve">Literature Comparison: </w:t>
      </w:r>
      <w:r w:rsidR="00D45D94" w:rsidRPr="00D45D94">
        <w:rPr>
          <w:b/>
          <w:sz w:val="24"/>
          <w:szCs w:val="24"/>
        </w:rPr>
        <w:t>Mean Results to Women / Mothers / Wives by Percentage Distribution (Superannuation Included)</w:t>
      </w:r>
    </w:p>
    <w:tbl>
      <w:tblPr>
        <w:tblStyle w:val="GridTableLight"/>
        <w:tblW w:w="8364" w:type="dxa"/>
        <w:tblInd w:w="562" w:type="dxa"/>
        <w:tblLayout w:type="fixed"/>
        <w:tblLook w:val="04A0"/>
      </w:tblPr>
      <w:tblGrid>
        <w:gridCol w:w="5954"/>
        <w:gridCol w:w="2410"/>
      </w:tblGrid>
      <w:tr w:rsidR="00D45D94" w:rsidRPr="00D45D94" w:rsidTr="00886AAC">
        <w:tc>
          <w:tcPr>
            <w:tcW w:w="5954" w:type="dxa"/>
          </w:tcPr>
          <w:p w:rsidR="00D45D94" w:rsidRPr="00D45D94" w:rsidRDefault="00D45D94" w:rsidP="00886AAC">
            <w:pPr>
              <w:rPr>
                <w:b/>
                <w:sz w:val="24"/>
                <w:szCs w:val="24"/>
              </w:rPr>
            </w:pPr>
            <w:r w:rsidRPr="00D45D94">
              <w:rPr>
                <w:b/>
                <w:sz w:val="24"/>
                <w:szCs w:val="24"/>
              </w:rPr>
              <w:t xml:space="preserve">Particulars </w:t>
            </w:r>
          </w:p>
        </w:tc>
        <w:tc>
          <w:tcPr>
            <w:tcW w:w="2410" w:type="dxa"/>
          </w:tcPr>
          <w:p w:rsidR="00D45D94" w:rsidRPr="00D45D94" w:rsidRDefault="00D45D94" w:rsidP="00886AAC">
            <w:pPr>
              <w:rPr>
                <w:b/>
                <w:sz w:val="24"/>
                <w:szCs w:val="24"/>
              </w:rPr>
            </w:pPr>
            <w:r w:rsidRPr="00D45D94">
              <w:rPr>
                <w:b/>
                <w:sz w:val="24"/>
                <w:szCs w:val="24"/>
              </w:rPr>
              <w:t>Women / Wives / Mothers</w:t>
            </w:r>
          </w:p>
        </w:tc>
      </w:tr>
      <w:tr w:rsidR="00D45D94" w:rsidRPr="00D45D94" w:rsidTr="00886AAC">
        <w:tc>
          <w:tcPr>
            <w:tcW w:w="5954" w:type="dxa"/>
          </w:tcPr>
          <w:p w:rsidR="00D45D94" w:rsidRPr="00D45D94" w:rsidRDefault="00D45D94" w:rsidP="00886AAC">
            <w:pPr>
              <w:rPr>
                <w:sz w:val="24"/>
                <w:szCs w:val="24"/>
              </w:rPr>
            </w:pPr>
            <w:r w:rsidRPr="00D45D94">
              <w:rPr>
                <w:i/>
                <w:sz w:val="24"/>
                <w:szCs w:val="24"/>
              </w:rPr>
              <w:t>Settling Up</w:t>
            </w:r>
            <w:r w:rsidRPr="00D45D94">
              <w:rPr>
                <w:sz w:val="24"/>
                <w:szCs w:val="24"/>
              </w:rPr>
              <w:t xml:space="preserve"> (Younger respondents)</w:t>
            </w:r>
            <w:r w:rsidRPr="00D45D94">
              <w:rPr>
                <w:sz w:val="24"/>
                <w:szCs w:val="24"/>
                <w:vertAlign w:val="superscript"/>
              </w:rPr>
              <w:endnoteReference w:id="94"/>
            </w:r>
          </w:p>
        </w:tc>
        <w:tc>
          <w:tcPr>
            <w:tcW w:w="2410" w:type="dxa"/>
          </w:tcPr>
          <w:p w:rsidR="00D45D94" w:rsidRPr="00D45D94" w:rsidRDefault="00D45D94" w:rsidP="00886AAC">
            <w:pPr>
              <w:rPr>
                <w:sz w:val="24"/>
                <w:szCs w:val="24"/>
              </w:rPr>
            </w:pPr>
            <w:r w:rsidRPr="00D45D94">
              <w:rPr>
                <w:sz w:val="24"/>
                <w:szCs w:val="24"/>
              </w:rPr>
              <w:t xml:space="preserve">53 </w:t>
            </w:r>
            <w:r>
              <w:rPr>
                <w:sz w:val="24"/>
                <w:szCs w:val="24"/>
              </w:rPr>
              <w:t>%</w:t>
            </w:r>
          </w:p>
        </w:tc>
      </w:tr>
      <w:tr w:rsidR="00D45D94" w:rsidRPr="00D45D94" w:rsidTr="00886AAC">
        <w:tc>
          <w:tcPr>
            <w:tcW w:w="5954" w:type="dxa"/>
          </w:tcPr>
          <w:p w:rsidR="00D45D94" w:rsidRPr="00D45D94" w:rsidRDefault="00D45D94" w:rsidP="00886AAC">
            <w:pPr>
              <w:rPr>
                <w:sz w:val="24"/>
                <w:szCs w:val="24"/>
              </w:rPr>
            </w:pPr>
            <w:r w:rsidRPr="00D45D94">
              <w:rPr>
                <w:i/>
                <w:sz w:val="24"/>
                <w:szCs w:val="24"/>
              </w:rPr>
              <w:t>Settling Up</w:t>
            </w:r>
            <w:r w:rsidRPr="00D45D94">
              <w:rPr>
                <w:sz w:val="24"/>
                <w:szCs w:val="24"/>
              </w:rPr>
              <w:t xml:space="preserve"> (Older respondents)</w:t>
            </w:r>
            <w:r w:rsidRPr="00D45D94">
              <w:rPr>
                <w:sz w:val="24"/>
                <w:szCs w:val="24"/>
                <w:vertAlign w:val="superscript"/>
              </w:rPr>
              <w:endnoteReference w:id="95"/>
            </w:r>
          </w:p>
        </w:tc>
        <w:tc>
          <w:tcPr>
            <w:tcW w:w="2410" w:type="dxa"/>
          </w:tcPr>
          <w:p w:rsidR="00D45D94" w:rsidRPr="00D45D94" w:rsidRDefault="00D45D94" w:rsidP="00886AAC">
            <w:pPr>
              <w:rPr>
                <w:sz w:val="24"/>
                <w:szCs w:val="24"/>
              </w:rPr>
            </w:pPr>
            <w:r w:rsidRPr="00D45D94">
              <w:rPr>
                <w:sz w:val="24"/>
                <w:szCs w:val="24"/>
              </w:rPr>
              <w:t xml:space="preserve">50 </w:t>
            </w:r>
            <w:r>
              <w:rPr>
                <w:sz w:val="24"/>
                <w:szCs w:val="24"/>
              </w:rPr>
              <w:t>%</w:t>
            </w:r>
          </w:p>
        </w:tc>
      </w:tr>
      <w:tr w:rsidR="00D45D94" w:rsidRPr="00D45D94" w:rsidTr="00886AAC">
        <w:tc>
          <w:tcPr>
            <w:tcW w:w="5954" w:type="dxa"/>
          </w:tcPr>
          <w:p w:rsidR="00D45D94" w:rsidRPr="00D45D94" w:rsidRDefault="00D45D94" w:rsidP="00886AAC">
            <w:pPr>
              <w:rPr>
                <w:sz w:val="24"/>
                <w:szCs w:val="24"/>
              </w:rPr>
            </w:pPr>
            <w:r w:rsidRPr="00D45D94">
              <w:rPr>
                <w:i/>
                <w:sz w:val="24"/>
                <w:szCs w:val="24"/>
              </w:rPr>
              <w:t>Superannuation and Divorce in Australia</w:t>
            </w:r>
            <w:r w:rsidRPr="00D45D94">
              <w:rPr>
                <w:sz w:val="24"/>
                <w:szCs w:val="24"/>
                <w:vertAlign w:val="superscript"/>
              </w:rPr>
              <w:endnoteReference w:id="96"/>
            </w:r>
          </w:p>
        </w:tc>
        <w:tc>
          <w:tcPr>
            <w:tcW w:w="2410" w:type="dxa"/>
          </w:tcPr>
          <w:p w:rsidR="00D45D94" w:rsidRPr="00D45D94" w:rsidRDefault="00D45D94" w:rsidP="00886AAC">
            <w:pPr>
              <w:rPr>
                <w:sz w:val="24"/>
                <w:szCs w:val="24"/>
              </w:rPr>
            </w:pPr>
            <w:r w:rsidRPr="00D45D94">
              <w:rPr>
                <w:sz w:val="24"/>
                <w:szCs w:val="24"/>
              </w:rPr>
              <w:t xml:space="preserve">50.3 </w:t>
            </w:r>
            <w:r>
              <w:rPr>
                <w:sz w:val="24"/>
                <w:szCs w:val="24"/>
              </w:rPr>
              <w:t>%</w:t>
            </w:r>
          </w:p>
        </w:tc>
      </w:tr>
    </w:tbl>
    <w:p w:rsidR="00D326B1" w:rsidRPr="00886AAC" w:rsidRDefault="00D326B1" w:rsidP="00886AAC">
      <w:pPr>
        <w:spacing w:after="0" w:line="360" w:lineRule="auto"/>
        <w:jc w:val="both"/>
        <w:rPr>
          <w:sz w:val="24"/>
          <w:szCs w:val="24"/>
        </w:rPr>
      </w:pPr>
    </w:p>
    <w:p w:rsidR="00F547E6" w:rsidRPr="00D326B1" w:rsidRDefault="006E60F8" w:rsidP="009A0126">
      <w:pPr>
        <w:pStyle w:val="ListParagraph"/>
        <w:numPr>
          <w:ilvl w:val="0"/>
          <w:numId w:val="52"/>
        </w:numPr>
        <w:spacing w:after="0" w:line="360" w:lineRule="auto"/>
        <w:jc w:val="both"/>
        <w:rPr>
          <w:sz w:val="24"/>
          <w:szCs w:val="24"/>
        </w:rPr>
      </w:pPr>
      <w:r w:rsidRPr="00D326B1">
        <w:rPr>
          <w:sz w:val="24"/>
          <w:szCs w:val="24"/>
        </w:rPr>
        <w:t xml:space="preserve">In </w:t>
      </w:r>
      <w:r w:rsidR="00B832DC" w:rsidRPr="00D326B1">
        <w:rPr>
          <w:sz w:val="24"/>
          <w:szCs w:val="24"/>
        </w:rPr>
        <w:t xml:space="preserve">this </w:t>
      </w:r>
      <w:r w:rsidR="00886AAC">
        <w:rPr>
          <w:sz w:val="24"/>
          <w:szCs w:val="24"/>
        </w:rPr>
        <w:t>literature</w:t>
      </w:r>
      <w:r w:rsidR="00B832DC" w:rsidRPr="00D326B1">
        <w:rPr>
          <w:sz w:val="24"/>
          <w:szCs w:val="24"/>
        </w:rPr>
        <w:t xml:space="preserve"> context</w:t>
      </w:r>
      <w:r w:rsidRPr="00D326B1">
        <w:rPr>
          <w:sz w:val="24"/>
          <w:szCs w:val="24"/>
        </w:rPr>
        <w:t xml:space="preserve">, I conducted for my thesis </w:t>
      </w:r>
      <w:r w:rsidR="00B832DC" w:rsidRPr="00D326B1">
        <w:rPr>
          <w:sz w:val="24"/>
          <w:szCs w:val="24"/>
        </w:rPr>
        <w:t xml:space="preserve">an </w:t>
      </w:r>
      <w:r w:rsidRPr="00D326B1">
        <w:rPr>
          <w:sz w:val="24"/>
          <w:szCs w:val="24"/>
        </w:rPr>
        <w:t xml:space="preserve">exploratory analysis of 200 property settlement </w:t>
      </w:r>
      <w:r w:rsidR="00886AAC">
        <w:rPr>
          <w:sz w:val="24"/>
          <w:szCs w:val="24"/>
        </w:rPr>
        <w:t>decisions</w:t>
      </w:r>
      <w:r w:rsidRPr="00D326B1">
        <w:rPr>
          <w:sz w:val="24"/>
          <w:szCs w:val="24"/>
        </w:rPr>
        <w:t xml:space="preserve">. </w:t>
      </w:r>
      <w:r w:rsidR="00C344BB">
        <w:rPr>
          <w:sz w:val="24"/>
          <w:szCs w:val="24"/>
        </w:rPr>
        <w:t>S</w:t>
      </w:r>
      <w:r w:rsidRPr="00D326B1">
        <w:rPr>
          <w:sz w:val="24"/>
          <w:szCs w:val="24"/>
        </w:rPr>
        <w:t xml:space="preserve">tatistical tests for reliability suggested that a sample of around 330 cases would have been more reliable. My resources did not stretch to </w:t>
      </w:r>
      <w:r w:rsidRPr="00D326B1">
        <w:rPr>
          <w:sz w:val="24"/>
          <w:szCs w:val="24"/>
        </w:rPr>
        <w:lastRenderedPageBreak/>
        <w:t xml:space="preserve">such a sample size.  </w:t>
      </w:r>
      <w:r w:rsidR="00C344BB">
        <w:rPr>
          <w:sz w:val="24"/>
          <w:szCs w:val="24"/>
        </w:rPr>
        <w:t xml:space="preserve">Accordingly, the study is exploratory. The results should </w:t>
      </w:r>
      <w:r w:rsidR="00C344BB" w:rsidRPr="009C1DBD">
        <w:rPr>
          <w:noProof/>
          <w:sz w:val="24"/>
          <w:szCs w:val="24"/>
        </w:rPr>
        <w:t>be read</w:t>
      </w:r>
      <w:r w:rsidR="00C344BB">
        <w:rPr>
          <w:sz w:val="24"/>
          <w:szCs w:val="24"/>
        </w:rPr>
        <w:t xml:space="preserve"> accordingly. </w:t>
      </w:r>
      <w:r w:rsidR="00F547E6" w:rsidRPr="00D326B1">
        <w:rPr>
          <w:sz w:val="24"/>
          <w:szCs w:val="24"/>
        </w:rPr>
        <w:t xml:space="preserve">The composition of </w:t>
      </w:r>
      <w:r w:rsidRPr="00D326B1">
        <w:rPr>
          <w:sz w:val="24"/>
          <w:szCs w:val="24"/>
        </w:rPr>
        <w:t>my research</w:t>
      </w:r>
      <w:r w:rsidR="00F547E6" w:rsidRPr="00D326B1">
        <w:rPr>
          <w:sz w:val="24"/>
          <w:szCs w:val="24"/>
        </w:rPr>
        <w:t xml:space="preserve"> sample was as follows: </w:t>
      </w:r>
    </w:p>
    <w:p w:rsidR="006E60F8" w:rsidRPr="006E60F8" w:rsidRDefault="006E60F8" w:rsidP="00462142">
      <w:pPr>
        <w:spacing w:after="0" w:line="360" w:lineRule="auto"/>
        <w:jc w:val="center"/>
        <w:rPr>
          <w:b/>
          <w:sz w:val="24"/>
          <w:szCs w:val="24"/>
        </w:rPr>
      </w:pPr>
      <w:r w:rsidRPr="006E60F8">
        <w:rPr>
          <w:b/>
          <w:sz w:val="24"/>
          <w:szCs w:val="24"/>
        </w:rPr>
        <w:t>Exploratory Quantitative Analysis Sample Details</w:t>
      </w:r>
    </w:p>
    <w:tbl>
      <w:tblPr>
        <w:tblStyle w:val="GridTableLight"/>
        <w:tblW w:w="0" w:type="auto"/>
        <w:tblInd w:w="704" w:type="dxa"/>
        <w:tblLook w:val="04A0"/>
      </w:tblPr>
      <w:tblGrid>
        <w:gridCol w:w="2126"/>
        <w:gridCol w:w="6186"/>
      </w:tblGrid>
      <w:tr w:rsidR="006E60F8" w:rsidRPr="006E60F8" w:rsidTr="00886AAC">
        <w:tc>
          <w:tcPr>
            <w:tcW w:w="2126" w:type="dxa"/>
          </w:tcPr>
          <w:p w:rsidR="006E60F8" w:rsidRPr="006E60F8" w:rsidRDefault="006E60F8" w:rsidP="00886AAC">
            <w:pPr>
              <w:rPr>
                <w:sz w:val="24"/>
                <w:szCs w:val="24"/>
              </w:rPr>
            </w:pPr>
            <w:r w:rsidRPr="006E60F8">
              <w:rPr>
                <w:sz w:val="24"/>
                <w:szCs w:val="24"/>
              </w:rPr>
              <w:t>Type of Analysis:</w:t>
            </w:r>
          </w:p>
        </w:tc>
        <w:tc>
          <w:tcPr>
            <w:tcW w:w="6186" w:type="dxa"/>
          </w:tcPr>
          <w:p w:rsidR="006E60F8" w:rsidRPr="006E60F8" w:rsidRDefault="006E60F8" w:rsidP="00886AAC">
            <w:pPr>
              <w:rPr>
                <w:sz w:val="24"/>
                <w:szCs w:val="24"/>
              </w:rPr>
            </w:pPr>
            <w:r w:rsidRPr="006E60F8">
              <w:rPr>
                <w:sz w:val="24"/>
                <w:szCs w:val="24"/>
              </w:rPr>
              <w:t>Cross-Sectional Study</w:t>
            </w:r>
          </w:p>
        </w:tc>
      </w:tr>
      <w:tr w:rsidR="006E60F8" w:rsidRPr="006E60F8" w:rsidTr="00886AAC">
        <w:tc>
          <w:tcPr>
            <w:tcW w:w="2126" w:type="dxa"/>
          </w:tcPr>
          <w:p w:rsidR="006E60F8" w:rsidRPr="006E60F8" w:rsidRDefault="006E60F8" w:rsidP="00886AAC">
            <w:pPr>
              <w:rPr>
                <w:sz w:val="24"/>
                <w:szCs w:val="24"/>
              </w:rPr>
            </w:pPr>
            <w:r w:rsidRPr="006E60F8">
              <w:rPr>
                <w:sz w:val="24"/>
                <w:szCs w:val="24"/>
              </w:rPr>
              <w:t>Sample Type:</w:t>
            </w:r>
          </w:p>
        </w:tc>
        <w:tc>
          <w:tcPr>
            <w:tcW w:w="6186" w:type="dxa"/>
          </w:tcPr>
          <w:p w:rsidR="006E60F8" w:rsidRPr="006E60F8" w:rsidRDefault="006E60F8" w:rsidP="00886AAC">
            <w:pPr>
              <w:rPr>
                <w:sz w:val="24"/>
                <w:szCs w:val="24"/>
              </w:rPr>
            </w:pPr>
            <w:r w:rsidRPr="006E60F8">
              <w:rPr>
                <w:sz w:val="24"/>
                <w:szCs w:val="24"/>
              </w:rPr>
              <w:t>Selected</w:t>
            </w:r>
          </w:p>
        </w:tc>
      </w:tr>
      <w:tr w:rsidR="006E60F8" w:rsidRPr="006E60F8" w:rsidTr="00886AAC">
        <w:tc>
          <w:tcPr>
            <w:tcW w:w="2126" w:type="dxa"/>
          </w:tcPr>
          <w:p w:rsidR="006E60F8" w:rsidRPr="006E60F8" w:rsidRDefault="006E60F8" w:rsidP="00886AAC">
            <w:pPr>
              <w:rPr>
                <w:sz w:val="24"/>
                <w:szCs w:val="24"/>
              </w:rPr>
            </w:pPr>
            <w:r w:rsidRPr="006E60F8">
              <w:rPr>
                <w:sz w:val="24"/>
                <w:szCs w:val="24"/>
              </w:rPr>
              <w:t>Databases:</w:t>
            </w:r>
          </w:p>
        </w:tc>
        <w:tc>
          <w:tcPr>
            <w:tcW w:w="6186" w:type="dxa"/>
          </w:tcPr>
          <w:p w:rsidR="006E60F8" w:rsidRPr="006E60F8" w:rsidRDefault="006E60F8" w:rsidP="00886AAC">
            <w:pPr>
              <w:rPr>
                <w:sz w:val="24"/>
                <w:szCs w:val="24"/>
              </w:rPr>
            </w:pPr>
            <w:r w:rsidRPr="006E60F8">
              <w:rPr>
                <w:sz w:val="24"/>
                <w:szCs w:val="24"/>
              </w:rPr>
              <w:t xml:space="preserve">Austlii – Cth Case Law -  Federal Circuit Court </w:t>
            </w:r>
          </w:p>
          <w:p w:rsidR="006E60F8" w:rsidRPr="006E60F8" w:rsidRDefault="006E60F8" w:rsidP="00886AAC">
            <w:pPr>
              <w:rPr>
                <w:sz w:val="24"/>
                <w:szCs w:val="24"/>
              </w:rPr>
            </w:pPr>
            <w:r w:rsidRPr="006E60F8">
              <w:rPr>
                <w:sz w:val="24"/>
                <w:szCs w:val="24"/>
              </w:rPr>
              <w:t xml:space="preserve">2013- </w:t>
            </w:r>
          </w:p>
          <w:p w:rsidR="006E60F8" w:rsidRPr="006E60F8" w:rsidRDefault="006E60F8" w:rsidP="00886AAC">
            <w:pPr>
              <w:rPr>
                <w:sz w:val="24"/>
                <w:szCs w:val="24"/>
              </w:rPr>
            </w:pPr>
            <w:r w:rsidRPr="006E60F8">
              <w:rPr>
                <w:sz w:val="24"/>
                <w:szCs w:val="24"/>
              </w:rPr>
              <w:t>Austlii – Cth Case Law - Federal Magistrates Court of Australia – Family Law 2000-2013</w:t>
            </w:r>
          </w:p>
          <w:p w:rsidR="006E60F8" w:rsidRPr="006E60F8" w:rsidRDefault="006E60F8" w:rsidP="00886AAC">
            <w:pPr>
              <w:rPr>
                <w:sz w:val="24"/>
                <w:szCs w:val="24"/>
              </w:rPr>
            </w:pPr>
            <w:r w:rsidRPr="006E60F8">
              <w:rPr>
                <w:sz w:val="24"/>
                <w:szCs w:val="24"/>
              </w:rPr>
              <w:t xml:space="preserve">Austlii – Cth Case Law - Family Court 1982- </w:t>
            </w:r>
          </w:p>
        </w:tc>
      </w:tr>
      <w:tr w:rsidR="006E60F8" w:rsidRPr="006E60F8" w:rsidTr="00886AAC">
        <w:tc>
          <w:tcPr>
            <w:tcW w:w="2126" w:type="dxa"/>
          </w:tcPr>
          <w:p w:rsidR="006E60F8" w:rsidRPr="006E60F8" w:rsidRDefault="006E60F8" w:rsidP="00886AAC">
            <w:pPr>
              <w:rPr>
                <w:sz w:val="24"/>
                <w:szCs w:val="24"/>
              </w:rPr>
            </w:pPr>
            <w:r w:rsidRPr="006E60F8">
              <w:rPr>
                <w:sz w:val="24"/>
                <w:szCs w:val="24"/>
              </w:rPr>
              <w:t>Search type:</w:t>
            </w:r>
          </w:p>
        </w:tc>
        <w:tc>
          <w:tcPr>
            <w:tcW w:w="6186" w:type="dxa"/>
          </w:tcPr>
          <w:p w:rsidR="006E60F8" w:rsidRPr="006E60F8" w:rsidRDefault="006E60F8" w:rsidP="00886AAC">
            <w:pPr>
              <w:rPr>
                <w:sz w:val="24"/>
                <w:szCs w:val="24"/>
              </w:rPr>
            </w:pPr>
            <w:r w:rsidRPr="006E60F8">
              <w:rPr>
                <w:sz w:val="24"/>
                <w:szCs w:val="24"/>
              </w:rPr>
              <w:t>Boolean Query</w:t>
            </w:r>
          </w:p>
        </w:tc>
      </w:tr>
      <w:tr w:rsidR="006E60F8" w:rsidRPr="006E60F8" w:rsidTr="00886AAC">
        <w:tc>
          <w:tcPr>
            <w:tcW w:w="2126" w:type="dxa"/>
          </w:tcPr>
          <w:p w:rsidR="006E60F8" w:rsidRPr="006E60F8" w:rsidRDefault="006E60F8" w:rsidP="00886AAC">
            <w:pPr>
              <w:rPr>
                <w:sz w:val="24"/>
                <w:szCs w:val="24"/>
              </w:rPr>
            </w:pPr>
            <w:r w:rsidRPr="006E60F8">
              <w:rPr>
                <w:sz w:val="24"/>
                <w:szCs w:val="24"/>
              </w:rPr>
              <w:t>Search term:</w:t>
            </w:r>
          </w:p>
        </w:tc>
        <w:tc>
          <w:tcPr>
            <w:tcW w:w="6186" w:type="dxa"/>
          </w:tcPr>
          <w:p w:rsidR="006E60F8" w:rsidRPr="006E60F8" w:rsidRDefault="006E60F8" w:rsidP="00886AAC">
            <w:pPr>
              <w:rPr>
                <w:sz w:val="24"/>
                <w:szCs w:val="24"/>
              </w:rPr>
            </w:pPr>
            <w:r w:rsidRPr="00F547E6">
              <w:t>Property Settlement AND Child</w:t>
            </w:r>
          </w:p>
        </w:tc>
      </w:tr>
      <w:tr w:rsidR="006E60F8" w:rsidRPr="006E60F8" w:rsidTr="00886AAC">
        <w:tc>
          <w:tcPr>
            <w:tcW w:w="2126" w:type="dxa"/>
          </w:tcPr>
          <w:p w:rsidR="006E60F8" w:rsidRPr="006E60F8" w:rsidRDefault="006E60F8" w:rsidP="00886AAC">
            <w:pPr>
              <w:rPr>
                <w:sz w:val="24"/>
                <w:szCs w:val="24"/>
              </w:rPr>
            </w:pPr>
            <w:r w:rsidRPr="00F547E6">
              <w:t>Date Ranges:</w:t>
            </w:r>
          </w:p>
        </w:tc>
        <w:tc>
          <w:tcPr>
            <w:tcW w:w="6186" w:type="dxa"/>
          </w:tcPr>
          <w:p w:rsidR="006E60F8" w:rsidRPr="00F547E6" w:rsidRDefault="006E60F8" w:rsidP="00886AAC">
            <w:r w:rsidRPr="00F547E6">
              <w:t xml:space="preserve">Specific: 30 November 2012- 11 April 2013 </w:t>
            </w:r>
          </w:p>
          <w:p w:rsidR="006E60F8" w:rsidRPr="00F547E6" w:rsidRDefault="006E60F8" w:rsidP="00886AAC">
            <w:r w:rsidRPr="00F547E6">
              <w:t>(Federal Magistrates Court of Australia – Family Law)</w:t>
            </w:r>
          </w:p>
          <w:p w:rsidR="006E60F8" w:rsidRPr="00F547E6" w:rsidRDefault="006E60F8" w:rsidP="00886AAC">
            <w:r w:rsidRPr="00F547E6">
              <w:t>12 April 2013 – 31 December 2015</w:t>
            </w:r>
          </w:p>
          <w:p w:rsidR="006E60F8" w:rsidRPr="00F547E6" w:rsidRDefault="006E60F8" w:rsidP="00886AAC">
            <w:r w:rsidRPr="00F547E6">
              <w:t>(Federal Circuit Court of Australia)</w:t>
            </w:r>
          </w:p>
          <w:p w:rsidR="006E60F8" w:rsidRPr="00F547E6" w:rsidRDefault="006E60F8" w:rsidP="00886AAC">
            <w:r w:rsidRPr="00F547E6">
              <w:t>23 October 2015 – 31 December 2015</w:t>
            </w:r>
          </w:p>
          <w:p w:rsidR="006E60F8" w:rsidRPr="006E60F8" w:rsidRDefault="006E60F8" w:rsidP="00886AAC">
            <w:r w:rsidRPr="00F547E6">
              <w:t>(Family Court of Australia)</w:t>
            </w:r>
          </w:p>
        </w:tc>
      </w:tr>
      <w:tr w:rsidR="006E60F8" w:rsidRPr="006E60F8" w:rsidTr="00886AAC">
        <w:tc>
          <w:tcPr>
            <w:tcW w:w="2126" w:type="dxa"/>
          </w:tcPr>
          <w:p w:rsidR="006E60F8" w:rsidRPr="006E60F8" w:rsidRDefault="006E60F8" w:rsidP="00886AAC">
            <w:pPr>
              <w:rPr>
                <w:sz w:val="24"/>
                <w:szCs w:val="24"/>
              </w:rPr>
            </w:pPr>
            <w:r>
              <w:rPr>
                <w:sz w:val="24"/>
                <w:szCs w:val="24"/>
              </w:rPr>
              <w:t>Data type:</w:t>
            </w:r>
          </w:p>
        </w:tc>
        <w:tc>
          <w:tcPr>
            <w:tcW w:w="6186" w:type="dxa"/>
          </w:tcPr>
          <w:p w:rsidR="006E60F8" w:rsidRPr="006E60F8" w:rsidRDefault="006E60F8" w:rsidP="00886AAC">
            <w:pPr>
              <w:rPr>
                <w:sz w:val="24"/>
                <w:szCs w:val="24"/>
              </w:rPr>
            </w:pPr>
            <w:r>
              <w:rPr>
                <w:sz w:val="24"/>
                <w:szCs w:val="24"/>
              </w:rPr>
              <w:t xml:space="preserve">Published decisions on </w:t>
            </w:r>
            <w:r>
              <w:rPr>
                <w:i/>
                <w:sz w:val="24"/>
                <w:szCs w:val="24"/>
              </w:rPr>
              <w:t>Austlii</w:t>
            </w:r>
          </w:p>
        </w:tc>
      </w:tr>
      <w:tr w:rsidR="006E60F8" w:rsidRPr="006E60F8" w:rsidTr="00886AAC">
        <w:tc>
          <w:tcPr>
            <w:tcW w:w="2126" w:type="dxa"/>
          </w:tcPr>
          <w:p w:rsidR="006E60F8" w:rsidRPr="006E60F8" w:rsidRDefault="00C233EE" w:rsidP="00886AAC">
            <w:pPr>
              <w:rPr>
                <w:sz w:val="24"/>
                <w:szCs w:val="24"/>
              </w:rPr>
            </w:pPr>
            <w:r w:rsidRPr="00671ADE">
              <w:rPr>
                <w:noProof/>
                <w:sz w:val="24"/>
                <w:szCs w:val="24"/>
              </w:rPr>
              <w:t>Number</w:t>
            </w:r>
            <w:r>
              <w:rPr>
                <w:sz w:val="24"/>
                <w:szCs w:val="24"/>
              </w:rPr>
              <w:t xml:space="preserve"> of cases returned from research:</w:t>
            </w:r>
          </w:p>
        </w:tc>
        <w:tc>
          <w:tcPr>
            <w:tcW w:w="6186" w:type="dxa"/>
          </w:tcPr>
          <w:p w:rsidR="006E60F8" w:rsidRPr="006E60F8" w:rsidRDefault="00C233EE" w:rsidP="00886AAC">
            <w:pPr>
              <w:rPr>
                <w:sz w:val="24"/>
                <w:szCs w:val="24"/>
              </w:rPr>
            </w:pPr>
            <w:r>
              <w:rPr>
                <w:sz w:val="24"/>
                <w:szCs w:val="24"/>
              </w:rPr>
              <w:t>550</w:t>
            </w:r>
          </w:p>
        </w:tc>
      </w:tr>
      <w:tr w:rsidR="00C233EE" w:rsidRPr="006E60F8" w:rsidTr="00886AAC">
        <w:tc>
          <w:tcPr>
            <w:tcW w:w="2126" w:type="dxa"/>
          </w:tcPr>
          <w:p w:rsidR="00C233EE" w:rsidRDefault="00C233EE" w:rsidP="00886AAC">
            <w:pPr>
              <w:rPr>
                <w:sz w:val="24"/>
                <w:szCs w:val="24"/>
              </w:rPr>
            </w:pPr>
            <w:r>
              <w:rPr>
                <w:sz w:val="24"/>
                <w:szCs w:val="24"/>
              </w:rPr>
              <w:t>Number excluded (not meeting search term)</w:t>
            </w:r>
          </w:p>
        </w:tc>
        <w:tc>
          <w:tcPr>
            <w:tcW w:w="6186" w:type="dxa"/>
          </w:tcPr>
          <w:p w:rsidR="00C233EE" w:rsidRDefault="00C233EE" w:rsidP="00886AAC">
            <w:pPr>
              <w:rPr>
                <w:sz w:val="24"/>
                <w:szCs w:val="24"/>
              </w:rPr>
            </w:pPr>
            <w:r>
              <w:rPr>
                <w:sz w:val="24"/>
                <w:szCs w:val="24"/>
              </w:rPr>
              <w:t>350</w:t>
            </w:r>
          </w:p>
        </w:tc>
      </w:tr>
      <w:tr w:rsidR="00C233EE" w:rsidRPr="006E60F8" w:rsidTr="00886AAC">
        <w:tc>
          <w:tcPr>
            <w:tcW w:w="2126" w:type="dxa"/>
          </w:tcPr>
          <w:p w:rsidR="00C233EE" w:rsidRDefault="00C233EE" w:rsidP="00886AAC">
            <w:pPr>
              <w:rPr>
                <w:sz w:val="24"/>
                <w:szCs w:val="24"/>
              </w:rPr>
            </w:pPr>
            <w:r>
              <w:rPr>
                <w:sz w:val="24"/>
                <w:szCs w:val="24"/>
              </w:rPr>
              <w:t>Sample size:</w:t>
            </w:r>
          </w:p>
        </w:tc>
        <w:tc>
          <w:tcPr>
            <w:tcW w:w="6186" w:type="dxa"/>
          </w:tcPr>
          <w:p w:rsidR="00C233EE" w:rsidRDefault="00C233EE" w:rsidP="00886AAC">
            <w:pPr>
              <w:rPr>
                <w:sz w:val="24"/>
                <w:szCs w:val="24"/>
              </w:rPr>
            </w:pPr>
            <w:r>
              <w:rPr>
                <w:sz w:val="24"/>
                <w:szCs w:val="24"/>
              </w:rPr>
              <w:t>200</w:t>
            </w:r>
          </w:p>
        </w:tc>
      </w:tr>
      <w:tr w:rsidR="00C233EE" w:rsidRPr="006E60F8" w:rsidTr="00886AAC">
        <w:tc>
          <w:tcPr>
            <w:tcW w:w="2126" w:type="dxa"/>
          </w:tcPr>
          <w:p w:rsidR="00C233EE" w:rsidRDefault="00C233EE" w:rsidP="00886AAC">
            <w:pPr>
              <w:rPr>
                <w:sz w:val="24"/>
                <w:szCs w:val="24"/>
              </w:rPr>
            </w:pPr>
            <w:r w:rsidRPr="00F547E6">
              <w:t>Requirements for inclusion</w:t>
            </w:r>
            <w:r>
              <w:t>:</w:t>
            </w:r>
          </w:p>
        </w:tc>
        <w:tc>
          <w:tcPr>
            <w:tcW w:w="6186" w:type="dxa"/>
          </w:tcPr>
          <w:p w:rsidR="00C233EE" w:rsidRDefault="00C233EE" w:rsidP="00886AAC">
            <w:pPr>
              <w:rPr>
                <w:sz w:val="24"/>
                <w:szCs w:val="24"/>
              </w:rPr>
            </w:pPr>
            <w:r w:rsidRPr="00F547E6">
              <w:t>Final Order (Section 79 or 90SM), Children of the Marriage or De-Facto Relationship</w:t>
            </w:r>
            <w:r>
              <w:t xml:space="preserve"> (Dependent or Independent)</w:t>
            </w:r>
          </w:p>
        </w:tc>
      </w:tr>
      <w:tr w:rsidR="00C233EE" w:rsidRPr="006E60F8" w:rsidTr="00886AAC">
        <w:tc>
          <w:tcPr>
            <w:tcW w:w="2126" w:type="dxa"/>
          </w:tcPr>
          <w:p w:rsidR="00C233EE" w:rsidRPr="00F547E6" w:rsidRDefault="00C233EE" w:rsidP="00886AAC">
            <w:r w:rsidRPr="00F547E6">
              <w:t xml:space="preserve">Cases </w:t>
            </w:r>
            <w:r w:rsidRPr="00671ADE">
              <w:rPr>
                <w:noProof/>
              </w:rPr>
              <w:t>chosen</w:t>
            </w:r>
          </w:p>
        </w:tc>
        <w:tc>
          <w:tcPr>
            <w:tcW w:w="6186" w:type="dxa"/>
          </w:tcPr>
          <w:p w:rsidR="00C233EE" w:rsidRPr="00F547E6" w:rsidRDefault="00C233EE" w:rsidP="00886AAC">
            <w:r w:rsidRPr="00F547E6">
              <w:t>Every case in the date range that met the requirements for inclusion</w:t>
            </w:r>
          </w:p>
        </w:tc>
      </w:tr>
    </w:tbl>
    <w:p w:rsidR="00F547E6" w:rsidRPr="00F547E6" w:rsidRDefault="00F547E6" w:rsidP="00462142">
      <w:pPr>
        <w:spacing w:after="0" w:line="360" w:lineRule="auto"/>
      </w:pPr>
      <w:r w:rsidRPr="00F547E6">
        <w:tab/>
      </w:r>
    </w:p>
    <w:p w:rsidR="00C233EE" w:rsidRPr="00D326B1" w:rsidRDefault="00C233EE" w:rsidP="009A0126">
      <w:pPr>
        <w:pStyle w:val="ListParagraph"/>
        <w:numPr>
          <w:ilvl w:val="0"/>
          <w:numId w:val="52"/>
        </w:numPr>
        <w:spacing w:after="0" w:line="360" w:lineRule="auto"/>
        <w:jc w:val="both"/>
        <w:rPr>
          <w:sz w:val="24"/>
          <w:szCs w:val="24"/>
        </w:rPr>
      </w:pPr>
      <w:r w:rsidRPr="00D326B1">
        <w:rPr>
          <w:sz w:val="24"/>
          <w:szCs w:val="24"/>
        </w:rPr>
        <w:t xml:space="preserve">The measured variables were: </w:t>
      </w:r>
    </w:p>
    <w:p w:rsidR="00C233EE" w:rsidRPr="00402906" w:rsidRDefault="00C233EE" w:rsidP="009A0126">
      <w:pPr>
        <w:numPr>
          <w:ilvl w:val="0"/>
          <w:numId w:val="18"/>
        </w:numPr>
        <w:spacing w:after="0" w:line="360" w:lineRule="auto"/>
        <w:jc w:val="both"/>
        <w:rPr>
          <w:sz w:val="24"/>
          <w:szCs w:val="24"/>
        </w:rPr>
      </w:pPr>
      <w:r w:rsidRPr="00402906">
        <w:rPr>
          <w:sz w:val="24"/>
          <w:szCs w:val="24"/>
        </w:rPr>
        <w:t>Separate non-superannuation property of each party by legal title at dollar value,</w:t>
      </w:r>
    </w:p>
    <w:p w:rsidR="00C233EE" w:rsidRPr="00402906" w:rsidRDefault="00C233EE" w:rsidP="009A0126">
      <w:pPr>
        <w:numPr>
          <w:ilvl w:val="0"/>
          <w:numId w:val="18"/>
        </w:numPr>
        <w:spacing w:after="0" w:line="360" w:lineRule="auto"/>
        <w:jc w:val="both"/>
        <w:rPr>
          <w:sz w:val="24"/>
          <w:szCs w:val="24"/>
        </w:rPr>
      </w:pPr>
      <w:r w:rsidRPr="00671ADE">
        <w:rPr>
          <w:noProof/>
          <w:sz w:val="24"/>
          <w:szCs w:val="24"/>
        </w:rPr>
        <w:t>Superannuation</w:t>
      </w:r>
      <w:r w:rsidRPr="00402906">
        <w:rPr>
          <w:sz w:val="24"/>
          <w:szCs w:val="24"/>
        </w:rPr>
        <w:t xml:space="preserve"> of each party at dollar value, </w:t>
      </w:r>
    </w:p>
    <w:p w:rsidR="00C233EE" w:rsidRPr="00402906" w:rsidRDefault="00C233EE" w:rsidP="009A0126">
      <w:pPr>
        <w:numPr>
          <w:ilvl w:val="0"/>
          <w:numId w:val="18"/>
        </w:numPr>
        <w:spacing w:after="0" w:line="360" w:lineRule="auto"/>
        <w:jc w:val="both"/>
        <w:rPr>
          <w:sz w:val="24"/>
          <w:szCs w:val="24"/>
        </w:rPr>
      </w:pPr>
      <w:r w:rsidRPr="00671ADE">
        <w:rPr>
          <w:noProof/>
          <w:sz w:val="24"/>
          <w:szCs w:val="24"/>
        </w:rPr>
        <w:t>Total</w:t>
      </w:r>
      <w:r w:rsidRPr="00402906">
        <w:rPr>
          <w:sz w:val="24"/>
          <w:szCs w:val="24"/>
        </w:rPr>
        <w:t xml:space="preserve"> </w:t>
      </w:r>
      <w:r w:rsidRPr="00671ADE">
        <w:rPr>
          <w:noProof/>
          <w:sz w:val="24"/>
          <w:szCs w:val="24"/>
        </w:rPr>
        <w:t>value</w:t>
      </w:r>
      <w:r w:rsidRPr="00402906">
        <w:rPr>
          <w:sz w:val="24"/>
          <w:szCs w:val="24"/>
        </w:rPr>
        <w:t xml:space="preserve"> of net non-superannuation property, </w:t>
      </w:r>
    </w:p>
    <w:p w:rsidR="00C233EE" w:rsidRPr="00402906" w:rsidRDefault="00C233EE" w:rsidP="009A0126">
      <w:pPr>
        <w:numPr>
          <w:ilvl w:val="0"/>
          <w:numId w:val="18"/>
        </w:numPr>
        <w:spacing w:after="0" w:line="360" w:lineRule="auto"/>
        <w:jc w:val="both"/>
        <w:rPr>
          <w:sz w:val="24"/>
          <w:szCs w:val="24"/>
        </w:rPr>
      </w:pPr>
      <w:r w:rsidRPr="00671ADE">
        <w:rPr>
          <w:noProof/>
          <w:sz w:val="24"/>
          <w:szCs w:val="24"/>
        </w:rPr>
        <w:t>Total</w:t>
      </w:r>
      <w:r w:rsidRPr="00402906">
        <w:rPr>
          <w:sz w:val="24"/>
          <w:szCs w:val="24"/>
        </w:rPr>
        <w:t xml:space="preserve"> </w:t>
      </w:r>
      <w:r w:rsidRPr="00671ADE">
        <w:rPr>
          <w:noProof/>
          <w:sz w:val="24"/>
          <w:szCs w:val="24"/>
        </w:rPr>
        <w:t>value</w:t>
      </w:r>
      <w:r w:rsidRPr="00402906">
        <w:rPr>
          <w:sz w:val="24"/>
          <w:szCs w:val="24"/>
        </w:rPr>
        <w:t xml:space="preserve"> of </w:t>
      </w:r>
      <w:r w:rsidRPr="00671ADE">
        <w:rPr>
          <w:noProof/>
          <w:sz w:val="24"/>
          <w:szCs w:val="24"/>
        </w:rPr>
        <w:t>superannuation</w:t>
      </w:r>
      <w:r w:rsidRPr="00402906">
        <w:rPr>
          <w:sz w:val="24"/>
          <w:szCs w:val="24"/>
        </w:rPr>
        <w:t xml:space="preserve">, </w:t>
      </w:r>
    </w:p>
    <w:p w:rsidR="00C233EE" w:rsidRPr="00402906" w:rsidRDefault="00C233EE" w:rsidP="009A0126">
      <w:pPr>
        <w:numPr>
          <w:ilvl w:val="0"/>
          <w:numId w:val="18"/>
        </w:numPr>
        <w:spacing w:after="0" w:line="360" w:lineRule="auto"/>
        <w:jc w:val="both"/>
        <w:rPr>
          <w:sz w:val="24"/>
          <w:szCs w:val="24"/>
        </w:rPr>
      </w:pPr>
      <w:r w:rsidRPr="00402906">
        <w:rPr>
          <w:sz w:val="24"/>
          <w:szCs w:val="24"/>
        </w:rPr>
        <w:t xml:space="preserve">Total net </w:t>
      </w:r>
      <w:r w:rsidRPr="00671ADE">
        <w:rPr>
          <w:noProof/>
          <w:sz w:val="24"/>
          <w:szCs w:val="24"/>
        </w:rPr>
        <w:t>property</w:t>
      </w:r>
      <w:r w:rsidRPr="00402906">
        <w:rPr>
          <w:sz w:val="24"/>
          <w:szCs w:val="24"/>
        </w:rPr>
        <w:t xml:space="preserve"> including </w:t>
      </w:r>
      <w:r w:rsidRPr="00671ADE">
        <w:rPr>
          <w:noProof/>
          <w:sz w:val="24"/>
          <w:szCs w:val="24"/>
        </w:rPr>
        <w:t>superannuation</w:t>
      </w:r>
      <w:r w:rsidRPr="00402906">
        <w:rPr>
          <w:sz w:val="24"/>
          <w:szCs w:val="24"/>
        </w:rPr>
        <w:t xml:space="preserve">, </w:t>
      </w:r>
    </w:p>
    <w:p w:rsidR="00C233EE" w:rsidRPr="00402906" w:rsidRDefault="00C233EE" w:rsidP="009A0126">
      <w:pPr>
        <w:numPr>
          <w:ilvl w:val="0"/>
          <w:numId w:val="18"/>
        </w:numPr>
        <w:spacing w:after="0" w:line="360" w:lineRule="auto"/>
        <w:jc w:val="both"/>
        <w:rPr>
          <w:sz w:val="24"/>
          <w:szCs w:val="24"/>
        </w:rPr>
      </w:pPr>
      <w:r w:rsidRPr="00402906">
        <w:rPr>
          <w:sz w:val="24"/>
          <w:szCs w:val="24"/>
        </w:rPr>
        <w:t>Contribution-based entitlement to each party for:</w:t>
      </w:r>
    </w:p>
    <w:p w:rsidR="00C233EE" w:rsidRPr="00402906" w:rsidRDefault="00C233EE" w:rsidP="009A0126">
      <w:pPr>
        <w:numPr>
          <w:ilvl w:val="1"/>
          <w:numId w:val="18"/>
        </w:numPr>
        <w:spacing w:after="0" w:line="360" w:lineRule="auto"/>
        <w:jc w:val="both"/>
        <w:rPr>
          <w:sz w:val="24"/>
          <w:szCs w:val="24"/>
        </w:rPr>
      </w:pPr>
      <w:r w:rsidRPr="00402906">
        <w:rPr>
          <w:sz w:val="24"/>
          <w:szCs w:val="24"/>
        </w:rPr>
        <w:t>Superannuation,</w:t>
      </w:r>
    </w:p>
    <w:p w:rsidR="00C233EE" w:rsidRPr="00402906" w:rsidRDefault="00C233EE" w:rsidP="009A0126">
      <w:pPr>
        <w:numPr>
          <w:ilvl w:val="1"/>
          <w:numId w:val="18"/>
        </w:numPr>
        <w:spacing w:after="0" w:line="360" w:lineRule="auto"/>
        <w:jc w:val="both"/>
        <w:rPr>
          <w:sz w:val="24"/>
          <w:szCs w:val="24"/>
        </w:rPr>
      </w:pPr>
      <w:r w:rsidRPr="00402906">
        <w:rPr>
          <w:sz w:val="24"/>
          <w:szCs w:val="24"/>
        </w:rPr>
        <w:t xml:space="preserve">Non-superannuation property, </w:t>
      </w:r>
    </w:p>
    <w:p w:rsidR="00C233EE" w:rsidRPr="00402906" w:rsidRDefault="00C233EE" w:rsidP="009A0126">
      <w:pPr>
        <w:numPr>
          <w:ilvl w:val="0"/>
          <w:numId w:val="18"/>
        </w:numPr>
        <w:spacing w:after="0" w:line="360" w:lineRule="auto"/>
        <w:jc w:val="both"/>
        <w:rPr>
          <w:sz w:val="24"/>
          <w:szCs w:val="24"/>
        </w:rPr>
      </w:pPr>
      <w:r w:rsidRPr="00402906">
        <w:rPr>
          <w:sz w:val="24"/>
          <w:szCs w:val="24"/>
        </w:rPr>
        <w:t xml:space="preserve">Section 75(2) adjustment in percentage terms, </w:t>
      </w:r>
    </w:p>
    <w:p w:rsidR="00C233EE" w:rsidRPr="00402906" w:rsidRDefault="00C233EE" w:rsidP="009A0126">
      <w:pPr>
        <w:numPr>
          <w:ilvl w:val="0"/>
          <w:numId w:val="18"/>
        </w:numPr>
        <w:spacing w:after="0" w:line="360" w:lineRule="auto"/>
        <w:jc w:val="both"/>
        <w:rPr>
          <w:sz w:val="24"/>
          <w:szCs w:val="24"/>
        </w:rPr>
      </w:pPr>
      <w:r w:rsidRPr="00402906">
        <w:rPr>
          <w:sz w:val="24"/>
          <w:szCs w:val="24"/>
        </w:rPr>
        <w:lastRenderedPageBreak/>
        <w:t xml:space="preserve">Person to whom the </w:t>
      </w:r>
      <w:r w:rsidRPr="00671ADE">
        <w:rPr>
          <w:noProof/>
          <w:sz w:val="24"/>
          <w:szCs w:val="24"/>
        </w:rPr>
        <w:t>adjustment</w:t>
      </w:r>
      <w:r w:rsidRPr="00402906">
        <w:rPr>
          <w:sz w:val="24"/>
          <w:szCs w:val="24"/>
        </w:rPr>
        <w:t xml:space="preserve"> flows, and</w:t>
      </w:r>
    </w:p>
    <w:p w:rsidR="00C233EE" w:rsidRPr="00402906" w:rsidRDefault="00C233EE" w:rsidP="009A0126">
      <w:pPr>
        <w:numPr>
          <w:ilvl w:val="0"/>
          <w:numId w:val="18"/>
        </w:numPr>
        <w:spacing w:after="0" w:line="360" w:lineRule="auto"/>
        <w:jc w:val="both"/>
        <w:rPr>
          <w:sz w:val="24"/>
          <w:szCs w:val="24"/>
        </w:rPr>
      </w:pPr>
      <w:r w:rsidRPr="00402906">
        <w:rPr>
          <w:sz w:val="24"/>
          <w:szCs w:val="24"/>
        </w:rPr>
        <w:t xml:space="preserve">Dependent or independent children. </w:t>
      </w:r>
    </w:p>
    <w:p w:rsidR="00C233EE" w:rsidRPr="00402906" w:rsidRDefault="00C233EE" w:rsidP="009A0126">
      <w:pPr>
        <w:numPr>
          <w:ilvl w:val="0"/>
          <w:numId w:val="18"/>
        </w:numPr>
        <w:spacing w:after="0" w:line="360" w:lineRule="auto"/>
        <w:jc w:val="both"/>
        <w:rPr>
          <w:sz w:val="24"/>
          <w:szCs w:val="24"/>
        </w:rPr>
      </w:pPr>
      <w:r w:rsidRPr="00402906">
        <w:rPr>
          <w:sz w:val="24"/>
          <w:szCs w:val="24"/>
        </w:rPr>
        <w:t>Percentage and dollar outcomes in superannuation, non-superannuation and overall, and</w:t>
      </w:r>
    </w:p>
    <w:p w:rsidR="00C233EE" w:rsidRPr="00C344BB" w:rsidRDefault="00C233EE" w:rsidP="00462142">
      <w:pPr>
        <w:numPr>
          <w:ilvl w:val="0"/>
          <w:numId w:val="18"/>
        </w:numPr>
        <w:spacing w:after="0" w:line="360" w:lineRule="auto"/>
        <w:jc w:val="both"/>
        <w:rPr>
          <w:sz w:val="24"/>
          <w:szCs w:val="24"/>
        </w:rPr>
      </w:pPr>
      <w:r w:rsidRPr="00402906">
        <w:rPr>
          <w:sz w:val="24"/>
          <w:szCs w:val="24"/>
        </w:rPr>
        <w:t xml:space="preserve">Dollar differential result between the parties. </w:t>
      </w:r>
    </w:p>
    <w:p w:rsidR="00D37EE0" w:rsidRPr="00D37EE0" w:rsidRDefault="00C233EE" w:rsidP="00D37EE0">
      <w:pPr>
        <w:pStyle w:val="ListParagraph"/>
        <w:numPr>
          <w:ilvl w:val="0"/>
          <w:numId w:val="52"/>
        </w:numPr>
        <w:spacing w:after="0" w:line="360" w:lineRule="auto"/>
        <w:jc w:val="both"/>
        <w:rPr>
          <w:sz w:val="24"/>
          <w:szCs w:val="24"/>
        </w:rPr>
      </w:pPr>
      <w:r w:rsidRPr="00D326B1">
        <w:rPr>
          <w:sz w:val="24"/>
          <w:szCs w:val="24"/>
        </w:rPr>
        <w:t xml:space="preserve">As a start </w:t>
      </w:r>
      <w:r w:rsidR="00462142" w:rsidRPr="00D326B1">
        <w:rPr>
          <w:sz w:val="24"/>
          <w:szCs w:val="24"/>
        </w:rPr>
        <w:t>point and</w:t>
      </w:r>
      <w:r w:rsidRPr="00D326B1">
        <w:rPr>
          <w:sz w:val="24"/>
          <w:szCs w:val="24"/>
        </w:rPr>
        <w:t xml:space="preserve"> using multiple assumptions (which are set out in the full study) I estimated what the value of each of the parties’ property was (using their legal title only). </w:t>
      </w:r>
      <w:r w:rsidR="00886AAC">
        <w:rPr>
          <w:sz w:val="24"/>
          <w:szCs w:val="24"/>
        </w:rPr>
        <w:t xml:space="preserve">I argue in the study that legal title (as between the spouses) is </w:t>
      </w:r>
      <w:r w:rsidR="00886AAC">
        <w:rPr>
          <w:noProof/>
          <w:sz w:val="24"/>
          <w:szCs w:val="24"/>
        </w:rPr>
        <w:t>the appropriate start point. Using</w:t>
      </w:r>
      <w:r w:rsidR="00C344BB">
        <w:rPr>
          <w:noProof/>
          <w:sz w:val="24"/>
          <w:szCs w:val="24"/>
        </w:rPr>
        <w:t xml:space="preserve"> that</w:t>
      </w:r>
      <w:r w:rsidR="00886AAC">
        <w:rPr>
          <w:noProof/>
          <w:sz w:val="24"/>
          <w:szCs w:val="24"/>
        </w:rPr>
        <w:t xml:space="preserve"> comparable legal title, the </w:t>
      </w:r>
      <w:r w:rsidRPr="00D326B1">
        <w:rPr>
          <w:sz w:val="24"/>
          <w:szCs w:val="24"/>
        </w:rPr>
        <w:t>mean results were:</w:t>
      </w:r>
    </w:p>
    <w:p w:rsidR="00F547E6" w:rsidRPr="00402906" w:rsidRDefault="00F547E6" w:rsidP="00D37EE0">
      <w:pPr>
        <w:spacing w:after="0" w:line="360" w:lineRule="auto"/>
        <w:jc w:val="center"/>
        <w:rPr>
          <w:b/>
          <w:sz w:val="24"/>
          <w:szCs w:val="24"/>
        </w:rPr>
      </w:pPr>
      <w:r w:rsidRPr="00402906">
        <w:rPr>
          <w:b/>
          <w:sz w:val="24"/>
          <w:szCs w:val="24"/>
        </w:rPr>
        <w:t>Mean Start Values of Mothers and Fathers: Legal Ownership (</w:t>
      </w:r>
      <w:r w:rsidRPr="00402906">
        <w:rPr>
          <w:b/>
          <w:i/>
          <w:sz w:val="24"/>
          <w:szCs w:val="24"/>
        </w:rPr>
        <w:t>n</w:t>
      </w:r>
      <w:r w:rsidRPr="00402906">
        <w:rPr>
          <w:b/>
          <w:sz w:val="24"/>
          <w:szCs w:val="24"/>
        </w:rPr>
        <w:t xml:space="preserve">=200) (% Rounded) </w:t>
      </w:r>
    </w:p>
    <w:tbl>
      <w:tblPr>
        <w:tblStyle w:val="GridTable1Light"/>
        <w:tblW w:w="8788" w:type="dxa"/>
        <w:tblInd w:w="279" w:type="dxa"/>
        <w:tblLook w:val="04A0"/>
      </w:tblPr>
      <w:tblGrid>
        <w:gridCol w:w="2973"/>
        <w:gridCol w:w="2123"/>
        <w:gridCol w:w="2264"/>
        <w:gridCol w:w="1428"/>
      </w:tblGrid>
      <w:tr w:rsidR="006E60F8" w:rsidRPr="00402906" w:rsidTr="00886AAC">
        <w:trPr>
          <w:cnfStyle w:val="100000000000"/>
        </w:trPr>
        <w:tc>
          <w:tcPr>
            <w:cnfStyle w:val="001000000000"/>
            <w:tcW w:w="2973" w:type="dxa"/>
          </w:tcPr>
          <w:p w:rsidR="00F547E6" w:rsidRPr="00402906" w:rsidRDefault="00F547E6" w:rsidP="00886AAC">
            <w:pPr>
              <w:jc w:val="both"/>
              <w:rPr>
                <w:sz w:val="24"/>
                <w:szCs w:val="24"/>
              </w:rPr>
            </w:pPr>
          </w:p>
        </w:tc>
        <w:tc>
          <w:tcPr>
            <w:tcW w:w="2123" w:type="dxa"/>
          </w:tcPr>
          <w:p w:rsidR="00F547E6" w:rsidRPr="00402906" w:rsidRDefault="00F547E6" w:rsidP="00886AAC">
            <w:pPr>
              <w:jc w:val="both"/>
              <w:cnfStyle w:val="100000000000"/>
              <w:rPr>
                <w:sz w:val="24"/>
                <w:szCs w:val="24"/>
              </w:rPr>
            </w:pPr>
            <w:r w:rsidRPr="00402906">
              <w:rPr>
                <w:sz w:val="24"/>
                <w:szCs w:val="24"/>
              </w:rPr>
              <w:t>Mothers</w:t>
            </w:r>
          </w:p>
        </w:tc>
        <w:tc>
          <w:tcPr>
            <w:tcW w:w="2264" w:type="dxa"/>
          </w:tcPr>
          <w:p w:rsidR="00F547E6" w:rsidRPr="00402906" w:rsidRDefault="00F547E6" w:rsidP="00886AAC">
            <w:pPr>
              <w:jc w:val="both"/>
              <w:cnfStyle w:val="100000000000"/>
              <w:rPr>
                <w:sz w:val="24"/>
                <w:szCs w:val="24"/>
              </w:rPr>
            </w:pPr>
            <w:r w:rsidRPr="00402906">
              <w:rPr>
                <w:sz w:val="24"/>
                <w:szCs w:val="24"/>
              </w:rPr>
              <w:t>Fathers</w:t>
            </w:r>
          </w:p>
        </w:tc>
        <w:tc>
          <w:tcPr>
            <w:tcW w:w="1428" w:type="dxa"/>
          </w:tcPr>
          <w:p w:rsidR="00F547E6" w:rsidRPr="00402906" w:rsidRDefault="00F547E6" w:rsidP="00886AAC">
            <w:pPr>
              <w:jc w:val="both"/>
              <w:cnfStyle w:val="100000000000"/>
              <w:rPr>
                <w:sz w:val="24"/>
                <w:szCs w:val="24"/>
              </w:rPr>
            </w:pPr>
            <w:r w:rsidRPr="00402906">
              <w:rPr>
                <w:sz w:val="24"/>
                <w:szCs w:val="24"/>
              </w:rPr>
              <w:t>Total</w:t>
            </w:r>
          </w:p>
        </w:tc>
      </w:tr>
      <w:tr w:rsidR="006E60F8" w:rsidRPr="00402906" w:rsidTr="00886AAC">
        <w:tc>
          <w:tcPr>
            <w:cnfStyle w:val="001000000000"/>
            <w:tcW w:w="2973" w:type="dxa"/>
          </w:tcPr>
          <w:p w:rsidR="00F547E6" w:rsidRPr="00886AAC" w:rsidRDefault="00F547E6" w:rsidP="00886AAC">
            <w:pPr>
              <w:jc w:val="both"/>
              <w:rPr>
                <w:b w:val="0"/>
                <w:sz w:val="24"/>
                <w:szCs w:val="24"/>
              </w:rPr>
            </w:pPr>
            <w:r w:rsidRPr="00886AAC">
              <w:rPr>
                <w:b w:val="0"/>
                <w:sz w:val="24"/>
                <w:szCs w:val="24"/>
              </w:rPr>
              <w:t>Non-super Property</w:t>
            </w:r>
          </w:p>
        </w:tc>
        <w:tc>
          <w:tcPr>
            <w:tcW w:w="2123" w:type="dxa"/>
          </w:tcPr>
          <w:p w:rsidR="00F547E6" w:rsidRPr="00402906" w:rsidRDefault="00F547E6" w:rsidP="00886AAC">
            <w:pPr>
              <w:jc w:val="both"/>
              <w:cnfStyle w:val="000000000000"/>
              <w:rPr>
                <w:sz w:val="24"/>
                <w:szCs w:val="24"/>
              </w:rPr>
            </w:pPr>
            <w:r w:rsidRPr="00402906">
              <w:rPr>
                <w:sz w:val="24"/>
                <w:szCs w:val="24"/>
              </w:rPr>
              <w:t xml:space="preserve">$418 </w:t>
            </w:r>
            <w:r w:rsidR="003141D1" w:rsidRPr="00402906">
              <w:rPr>
                <w:sz w:val="24"/>
                <w:szCs w:val="24"/>
              </w:rPr>
              <w:t>905 (</w:t>
            </w:r>
            <w:r w:rsidRPr="00402906">
              <w:rPr>
                <w:sz w:val="24"/>
                <w:szCs w:val="24"/>
              </w:rPr>
              <w:t>44 %)</w:t>
            </w:r>
          </w:p>
        </w:tc>
        <w:tc>
          <w:tcPr>
            <w:tcW w:w="2264" w:type="dxa"/>
          </w:tcPr>
          <w:p w:rsidR="00F547E6" w:rsidRPr="00402906" w:rsidRDefault="00F547E6" w:rsidP="00886AAC">
            <w:pPr>
              <w:jc w:val="both"/>
              <w:cnfStyle w:val="000000000000"/>
              <w:rPr>
                <w:sz w:val="24"/>
                <w:szCs w:val="24"/>
              </w:rPr>
            </w:pPr>
            <w:r w:rsidRPr="00402906">
              <w:rPr>
                <w:sz w:val="24"/>
                <w:szCs w:val="24"/>
              </w:rPr>
              <w:t>$529 768 (56 %)</w:t>
            </w:r>
          </w:p>
        </w:tc>
        <w:tc>
          <w:tcPr>
            <w:tcW w:w="1428" w:type="dxa"/>
          </w:tcPr>
          <w:p w:rsidR="00F547E6" w:rsidRPr="00402906" w:rsidRDefault="00F547E6" w:rsidP="00886AAC">
            <w:pPr>
              <w:jc w:val="both"/>
              <w:cnfStyle w:val="000000000000"/>
              <w:rPr>
                <w:sz w:val="24"/>
                <w:szCs w:val="24"/>
              </w:rPr>
            </w:pPr>
            <w:r w:rsidRPr="00402906">
              <w:rPr>
                <w:sz w:val="24"/>
                <w:szCs w:val="24"/>
              </w:rPr>
              <w:t>$948 674</w:t>
            </w:r>
          </w:p>
        </w:tc>
      </w:tr>
      <w:tr w:rsidR="006E60F8" w:rsidRPr="00402906" w:rsidTr="00886AAC">
        <w:tc>
          <w:tcPr>
            <w:cnfStyle w:val="001000000000"/>
            <w:tcW w:w="2973" w:type="dxa"/>
          </w:tcPr>
          <w:p w:rsidR="00F547E6" w:rsidRPr="00886AAC" w:rsidRDefault="00F547E6" w:rsidP="00886AAC">
            <w:pPr>
              <w:jc w:val="both"/>
              <w:rPr>
                <w:b w:val="0"/>
                <w:sz w:val="24"/>
                <w:szCs w:val="24"/>
              </w:rPr>
            </w:pPr>
            <w:r w:rsidRPr="00886AAC">
              <w:rPr>
                <w:b w:val="0"/>
                <w:sz w:val="24"/>
                <w:szCs w:val="24"/>
              </w:rPr>
              <w:t>Superannuation</w:t>
            </w:r>
          </w:p>
        </w:tc>
        <w:tc>
          <w:tcPr>
            <w:tcW w:w="2123" w:type="dxa"/>
          </w:tcPr>
          <w:p w:rsidR="00F547E6" w:rsidRPr="00402906" w:rsidRDefault="00F547E6" w:rsidP="00886AAC">
            <w:pPr>
              <w:jc w:val="both"/>
              <w:cnfStyle w:val="000000000000"/>
              <w:rPr>
                <w:sz w:val="24"/>
                <w:szCs w:val="24"/>
              </w:rPr>
            </w:pPr>
            <w:r w:rsidRPr="00402906">
              <w:rPr>
                <w:sz w:val="24"/>
                <w:szCs w:val="24"/>
              </w:rPr>
              <w:t>$117 191 (37 %)</w:t>
            </w:r>
          </w:p>
        </w:tc>
        <w:tc>
          <w:tcPr>
            <w:tcW w:w="2264" w:type="dxa"/>
          </w:tcPr>
          <w:p w:rsidR="00F547E6" w:rsidRPr="00402906" w:rsidRDefault="00F547E6" w:rsidP="00886AAC">
            <w:pPr>
              <w:jc w:val="both"/>
              <w:cnfStyle w:val="000000000000"/>
              <w:rPr>
                <w:sz w:val="24"/>
                <w:szCs w:val="24"/>
              </w:rPr>
            </w:pPr>
            <w:r w:rsidRPr="00402906">
              <w:rPr>
                <w:sz w:val="24"/>
                <w:szCs w:val="24"/>
              </w:rPr>
              <w:t>$197 826 (63 %)</w:t>
            </w:r>
          </w:p>
        </w:tc>
        <w:tc>
          <w:tcPr>
            <w:tcW w:w="1428" w:type="dxa"/>
          </w:tcPr>
          <w:p w:rsidR="00F547E6" w:rsidRPr="00402906" w:rsidRDefault="00F547E6" w:rsidP="00886AAC">
            <w:pPr>
              <w:jc w:val="both"/>
              <w:cnfStyle w:val="000000000000"/>
              <w:rPr>
                <w:sz w:val="24"/>
                <w:szCs w:val="24"/>
              </w:rPr>
            </w:pPr>
            <w:r w:rsidRPr="00402906">
              <w:rPr>
                <w:sz w:val="24"/>
                <w:szCs w:val="24"/>
              </w:rPr>
              <w:t>$315 018</w:t>
            </w:r>
          </w:p>
        </w:tc>
      </w:tr>
      <w:tr w:rsidR="006E60F8" w:rsidRPr="00402906" w:rsidTr="00886AAC">
        <w:tc>
          <w:tcPr>
            <w:cnfStyle w:val="001000000000"/>
            <w:tcW w:w="2973" w:type="dxa"/>
          </w:tcPr>
          <w:p w:rsidR="00F547E6" w:rsidRPr="00886AAC" w:rsidRDefault="00F547E6" w:rsidP="00886AAC">
            <w:pPr>
              <w:jc w:val="both"/>
              <w:rPr>
                <w:b w:val="0"/>
                <w:sz w:val="24"/>
                <w:szCs w:val="24"/>
              </w:rPr>
            </w:pPr>
            <w:r w:rsidRPr="00886AAC">
              <w:rPr>
                <w:b w:val="0"/>
                <w:sz w:val="24"/>
                <w:szCs w:val="24"/>
              </w:rPr>
              <w:t>Total property including super</w:t>
            </w:r>
          </w:p>
        </w:tc>
        <w:tc>
          <w:tcPr>
            <w:tcW w:w="2123" w:type="dxa"/>
          </w:tcPr>
          <w:p w:rsidR="00F547E6" w:rsidRPr="00402906" w:rsidRDefault="00F547E6" w:rsidP="00886AAC">
            <w:pPr>
              <w:jc w:val="both"/>
              <w:cnfStyle w:val="000000000000"/>
              <w:rPr>
                <w:sz w:val="24"/>
                <w:szCs w:val="24"/>
              </w:rPr>
            </w:pPr>
            <w:r w:rsidRPr="00402906">
              <w:rPr>
                <w:sz w:val="24"/>
                <w:szCs w:val="24"/>
              </w:rPr>
              <w:t>$534 079 (42 %)</w:t>
            </w:r>
          </w:p>
        </w:tc>
        <w:tc>
          <w:tcPr>
            <w:tcW w:w="2264" w:type="dxa"/>
          </w:tcPr>
          <w:p w:rsidR="00F547E6" w:rsidRPr="00402906" w:rsidRDefault="00F547E6" w:rsidP="00886AAC">
            <w:pPr>
              <w:jc w:val="both"/>
              <w:cnfStyle w:val="000000000000"/>
              <w:rPr>
                <w:sz w:val="24"/>
                <w:szCs w:val="24"/>
              </w:rPr>
            </w:pPr>
            <w:r w:rsidRPr="00402906">
              <w:rPr>
                <w:sz w:val="24"/>
                <w:szCs w:val="24"/>
              </w:rPr>
              <w:t>$726 018 (58 %)</w:t>
            </w:r>
          </w:p>
        </w:tc>
        <w:tc>
          <w:tcPr>
            <w:tcW w:w="1428" w:type="dxa"/>
          </w:tcPr>
          <w:p w:rsidR="00F547E6" w:rsidRPr="00402906" w:rsidRDefault="00F547E6" w:rsidP="00886AAC">
            <w:pPr>
              <w:jc w:val="both"/>
              <w:cnfStyle w:val="000000000000"/>
              <w:rPr>
                <w:sz w:val="24"/>
                <w:szCs w:val="24"/>
              </w:rPr>
            </w:pPr>
            <w:r w:rsidRPr="00402906">
              <w:rPr>
                <w:sz w:val="24"/>
                <w:szCs w:val="24"/>
              </w:rPr>
              <w:t>$1.26million</w:t>
            </w:r>
          </w:p>
        </w:tc>
      </w:tr>
    </w:tbl>
    <w:p w:rsidR="00F547E6" w:rsidRPr="00402906" w:rsidRDefault="00F547E6" w:rsidP="00462142">
      <w:pPr>
        <w:spacing w:after="0" w:line="360" w:lineRule="auto"/>
        <w:jc w:val="both"/>
        <w:rPr>
          <w:sz w:val="24"/>
          <w:szCs w:val="24"/>
        </w:rPr>
      </w:pPr>
    </w:p>
    <w:p w:rsidR="006635E1" w:rsidRPr="00D326B1" w:rsidRDefault="00D37EE0" w:rsidP="009A0126">
      <w:pPr>
        <w:pStyle w:val="ListParagraph"/>
        <w:numPr>
          <w:ilvl w:val="0"/>
          <w:numId w:val="52"/>
        </w:numPr>
        <w:spacing w:after="0" w:line="360" w:lineRule="auto"/>
        <w:jc w:val="both"/>
        <w:rPr>
          <w:sz w:val="24"/>
          <w:szCs w:val="24"/>
        </w:rPr>
      </w:pPr>
      <w:r>
        <w:rPr>
          <w:sz w:val="24"/>
          <w:szCs w:val="24"/>
        </w:rPr>
        <w:t>U</w:t>
      </w:r>
      <w:r w:rsidR="00402906" w:rsidRPr="00D326B1">
        <w:rPr>
          <w:sz w:val="24"/>
          <w:szCs w:val="24"/>
        </w:rPr>
        <w:t>sing legal ownership</w:t>
      </w:r>
      <w:r>
        <w:rPr>
          <w:noProof/>
          <w:sz w:val="24"/>
          <w:szCs w:val="24"/>
        </w:rPr>
        <w:t>,</w:t>
      </w:r>
      <w:r w:rsidR="00402906" w:rsidRPr="00D326B1">
        <w:rPr>
          <w:noProof/>
          <w:sz w:val="24"/>
          <w:szCs w:val="24"/>
        </w:rPr>
        <w:t xml:space="preserve"> </w:t>
      </w:r>
      <w:r>
        <w:rPr>
          <w:noProof/>
          <w:sz w:val="24"/>
          <w:szCs w:val="24"/>
        </w:rPr>
        <w:t>m</w:t>
      </w:r>
      <w:r w:rsidR="00402906" w:rsidRPr="00D326B1">
        <w:rPr>
          <w:noProof/>
          <w:sz w:val="24"/>
          <w:szCs w:val="24"/>
        </w:rPr>
        <w:t>others</w:t>
      </w:r>
      <w:r w:rsidR="00402906" w:rsidRPr="00D326B1">
        <w:rPr>
          <w:sz w:val="24"/>
          <w:szCs w:val="24"/>
        </w:rPr>
        <w:t xml:space="preserve"> had 42% of</w:t>
      </w:r>
      <w:r>
        <w:rPr>
          <w:sz w:val="24"/>
          <w:szCs w:val="24"/>
        </w:rPr>
        <w:t xml:space="preserve"> total net</w:t>
      </w:r>
      <w:r w:rsidR="00402906" w:rsidRPr="00D326B1">
        <w:rPr>
          <w:sz w:val="24"/>
          <w:szCs w:val="24"/>
        </w:rPr>
        <w:t xml:space="preserve"> property (including superannuation) by value and fathers 58%. I then measured the contribution-based entitlement in percentage terms.</w:t>
      </w:r>
      <w:r>
        <w:rPr>
          <w:sz w:val="24"/>
          <w:szCs w:val="24"/>
        </w:rPr>
        <w:t xml:space="preserve"> The assumptions used about contributions appear in the full study.</w:t>
      </w:r>
      <w:r w:rsidR="00402906" w:rsidRPr="00D326B1">
        <w:rPr>
          <w:sz w:val="24"/>
          <w:szCs w:val="24"/>
        </w:rPr>
        <w:t xml:space="preserve"> The</w:t>
      </w:r>
      <w:r>
        <w:rPr>
          <w:sz w:val="24"/>
          <w:szCs w:val="24"/>
        </w:rPr>
        <w:t xml:space="preserve"> contribution</w:t>
      </w:r>
      <w:r w:rsidR="00402906" w:rsidRPr="00D326B1">
        <w:rPr>
          <w:sz w:val="24"/>
          <w:szCs w:val="24"/>
        </w:rPr>
        <w:t xml:space="preserve"> results were:</w:t>
      </w:r>
    </w:p>
    <w:p w:rsidR="00F547E6" w:rsidRPr="00C233EE" w:rsidRDefault="00F547E6" w:rsidP="00462142">
      <w:pPr>
        <w:spacing w:after="0" w:line="360" w:lineRule="auto"/>
        <w:jc w:val="center"/>
        <w:rPr>
          <w:b/>
          <w:sz w:val="24"/>
          <w:szCs w:val="24"/>
        </w:rPr>
      </w:pPr>
      <w:r w:rsidRPr="00C233EE">
        <w:rPr>
          <w:b/>
          <w:sz w:val="24"/>
          <w:szCs w:val="24"/>
        </w:rPr>
        <w:t xml:space="preserve">Mean Percentage Ownership at Law v Contribution-Based Entitlement </w:t>
      </w:r>
      <w:r w:rsidRPr="00C233EE">
        <w:rPr>
          <w:b/>
          <w:i/>
          <w:sz w:val="24"/>
          <w:szCs w:val="24"/>
        </w:rPr>
        <w:t xml:space="preserve">Sample </w:t>
      </w:r>
      <w:r w:rsidRPr="00C233EE">
        <w:rPr>
          <w:b/>
          <w:sz w:val="24"/>
          <w:szCs w:val="24"/>
        </w:rPr>
        <w:t>(</w:t>
      </w:r>
      <w:r w:rsidRPr="00C233EE">
        <w:rPr>
          <w:b/>
          <w:i/>
          <w:sz w:val="24"/>
          <w:szCs w:val="24"/>
        </w:rPr>
        <w:t>n=</w:t>
      </w:r>
      <w:r w:rsidRPr="00C233EE">
        <w:rPr>
          <w:b/>
          <w:sz w:val="24"/>
          <w:szCs w:val="24"/>
        </w:rPr>
        <w:t>200)</w:t>
      </w:r>
    </w:p>
    <w:p w:rsidR="00F547E6" w:rsidRPr="00F547E6" w:rsidRDefault="00F547E6" w:rsidP="00462142">
      <w:pPr>
        <w:spacing w:after="0" w:line="360" w:lineRule="auto"/>
        <w:jc w:val="center"/>
      </w:pPr>
      <w:r w:rsidRPr="00F547E6">
        <w:rPr>
          <w:noProof/>
          <w:lang w:eastAsia="en-AU"/>
        </w:rPr>
        <w:drawing>
          <wp:inline distT="0" distB="0" distL="0" distR="0">
            <wp:extent cx="4610100" cy="1896353"/>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4647993" cy="1911940"/>
                    </a:xfrm>
                    <a:prstGeom prst="rect">
                      <a:avLst/>
                    </a:prstGeom>
                  </pic:spPr>
                </pic:pic>
              </a:graphicData>
            </a:graphic>
          </wp:inline>
        </w:drawing>
      </w:r>
    </w:p>
    <w:p w:rsidR="006635E1" w:rsidRDefault="00F547E6" w:rsidP="00671ADE">
      <w:pPr>
        <w:spacing w:after="0" w:line="360" w:lineRule="auto"/>
        <w:jc w:val="both"/>
        <w:rPr>
          <w:sz w:val="24"/>
          <w:szCs w:val="24"/>
        </w:rPr>
      </w:pPr>
      <w:r w:rsidRPr="00402906">
        <w:rPr>
          <w:sz w:val="24"/>
          <w:szCs w:val="24"/>
        </w:rPr>
        <w:t xml:space="preserve">Next is the contribution-based </w:t>
      </w:r>
      <w:r w:rsidRPr="00671ADE">
        <w:rPr>
          <w:noProof/>
          <w:sz w:val="24"/>
          <w:szCs w:val="24"/>
        </w:rPr>
        <w:t>entitlements</w:t>
      </w:r>
      <w:r w:rsidRPr="00402906">
        <w:rPr>
          <w:sz w:val="24"/>
          <w:szCs w:val="24"/>
        </w:rPr>
        <w:t xml:space="preserve"> </w:t>
      </w:r>
      <w:r w:rsidR="00D37EE0">
        <w:rPr>
          <w:sz w:val="24"/>
          <w:szCs w:val="24"/>
        </w:rPr>
        <w:t>result</w:t>
      </w:r>
      <w:r w:rsidRPr="00402906">
        <w:rPr>
          <w:sz w:val="24"/>
          <w:szCs w:val="24"/>
        </w:rPr>
        <w:t xml:space="preserve"> by categories of dependent and independent children</w:t>
      </w:r>
      <w:r w:rsidR="00D37EE0">
        <w:rPr>
          <w:sz w:val="24"/>
          <w:szCs w:val="24"/>
        </w:rPr>
        <w:t>:</w:t>
      </w:r>
      <w:r w:rsidR="00402906" w:rsidRPr="00402906">
        <w:rPr>
          <w:sz w:val="24"/>
          <w:szCs w:val="24"/>
        </w:rPr>
        <w:t xml:space="preserve"> </w:t>
      </w:r>
    </w:p>
    <w:p w:rsidR="00C344BB" w:rsidRDefault="00C344BB" w:rsidP="00671ADE">
      <w:pPr>
        <w:spacing w:after="0" w:line="360" w:lineRule="auto"/>
        <w:jc w:val="both"/>
        <w:rPr>
          <w:sz w:val="24"/>
          <w:szCs w:val="24"/>
        </w:rPr>
      </w:pPr>
    </w:p>
    <w:p w:rsidR="00C344BB" w:rsidRPr="00671ADE" w:rsidRDefault="00C344BB" w:rsidP="00671ADE">
      <w:pPr>
        <w:spacing w:after="0" w:line="360" w:lineRule="auto"/>
        <w:jc w:val="both"/>
        <w:rPr>
          <w:sz w:val="24"/>
          <w:szCs w:val="24"/>
        </w:rPr>
      </w:pPr>
    </w:p>
    <w:p w:rsidR="00402906" w:rsidRPr="00402906" w:rsidRDefault="00402906" w:rsidP="00D37EE0">
      <w:pPr>
        <w:spacing w:after="0" w:line="240" w:lineRule="auto"/>
        <w:jc w:val="center"/>
        <w:rPr>
          <w:b/>
          <w:sz w:val="24"/>
          <w:szCs w:val="24"/>
        </w:rPr>
      </w:pPr>
      <w:r w:rsidRPr="00402906">
        <w:rPr>
          <w:b/>
          <w:sz w:val="24"/>
          <w:szCs w:val="24"/>
        </w:rPr>
        <w:lastRenderedPageBreak/>
        <w:t xml:space="preserve">Mean Percentage Ownership at Law v Contribution-Based Entitlement:  Dependent Children </w:t>
      </w:r>
    </w:p>
    <w:p w:rsidR="00402906" w:rsidRDefault="00402906" w:rsidP="00462142">
      <w:pPr>
        <w:spacing w:after="0" w:line="360" w:lineRule="auto"/>
        <w:jc w:val="center"/>
        <w:rPr>
          <w:b/>
        </w:rPr>
      </w:pPr>
      <w:r>
        <w:rPr>
          <w:b/>
          <w:noProof/>
          <w:lang w:eastAsia="en-AU"/>
        </w:rPr>
        <w:drawing>
          <wp:inline distT="0" distB="0" distL="0" distR="0">
            <wp:extent cx="4552950" cy="1838434"/>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85959" cy="1851763"/>
                    </a:xfrm>
                    <a:prstGeom prst="rect">
                      <a:avLst/>
                    </a:prstGeom>
                    <a:noFill/>
                  </pic:spPr>
                </pic:pic>
              </a:graphicData>
            </a:graphic>
          </wp:inline>
        </w:drawing>
      </w:r>
    </w:p>
    <w:p w:rsidR="00402906" w:rsidRPr="00402906" w:rsidRDefault="00402906" w:rsidP="00D37EE0">
      <w:pPr>
        <w:spacing w:after="0" w:line="240" w:lineRule="auto"/>
        <w:jc w:val="center"/>
        <w:rPr>
          <w:b/>
          <w:sz w:val="24"/>
          <w:szCs w:val="24"/>
        </w:rPr>
      </w:pPr>
      <w:r w:rsidRPr="00402906">
        <w:rPr>
          <w:b/>
          <w:sz w:val="24"/>
          <w:szCs w:val="24"/>
        </w:rPr>
        <w:t>Mean Percentage Ownership at Law v Contribution-Based Entitlement: Independent Children (</w:t>
      </w:r>
      <w:r w:rsidRPr="00402906">
        <w:rPr>
          <w:b/>
          <w:i/>
          <w:sz w:val="24"/>
          <w:szCs w:val="24"/>
        </w:rPr>
        <w:t xml:space="preserve">Sample) </w:t>
      </w:r>
      <w:r w:rsidRPr="00402906">
        <w:rPr>
          <w:b/>
          <w:sz w:val="24"/>
          <w:szCs w:val="24"/>
        </w:rPr>
        <w:t>(</w:t>
      </w:r>
      <w:r w:rsidRPr="00402906">
        <w:rPr>
          <w:b/>
          <w:i/>
          <w:sz w:val="24"/>
          <w:szCs w:val="24"/>
        </w:rPr>
        <w:t>n</w:t>
      </w:r>
      <w:r w:rsidRPr="00402906">
        <w:rPr>
          <w:b/>
          <w:sz w:val="24"/>
          <w:szCs w:val="24"/>
        </w:rPr>
        <w:t>= 37)</w:t>
      </w:r>
    </w:p>
    <w:p w:rsidR="00402906" w:rsidRPr="00402906" w:rsidRDefault="00402906" w:rsidP="00886AAC">
      <w:pPr>
        <w:spacing w:after="0" w:line="360" w:lineRule="auto"/>
        <w:jc w:val="center"/>
        <w:rPr>
          <w:b/>
        </w:rPr>
      </w:pPr>
      <w:r>
        <w:rPr>
          <w:b/>
          <w:noProof/>
          <w:lang w:eastAsia="en-AU"/>
        </w:rPr>
        <w:drawing>
          <wp:inline distT="0" distB="0" distL="0" distR="0">
            <wp:extent cx="4559008" cy="186974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95001" cy="1884504"/>
                    </a:xfrm>
                    <a:prstGeom prst="rect">
                      <a:avLst/>
                    </a:prstGeom>
                    <a:noFill/>
                  </pic:spPr>
                </pic:pic>
              </a:graphicData>
            </a:graphic>
          </wp:inline>
        </w:drawing>
      </w:r>
    </w:p>
    <w:p w:rsidR="00D37EE0" w:rsidRPr="00D37EE0" w:rsidRDefault="00402906" w:rsidP="00D37EE0">
      <w:pPr>
        <w:pStyle w:val="ListParagraph"/>
        <w:numPr>
          <w:ilvl w:val="0"/>
          <w:numId w:val="52"/>
        </w:numPr>
        <w:spacing w:after="0" w:line="360" w:lineRule="auto"/>
        <w:jc w:val="both"/>
        <w:rPr>
          <w:sz w:val="24"/>
          <w:szCs w:val="24"/>
        </w:rPr>
      </w:pPr>
      <w:r w:rsidRPr="00D326B1">
        <w:rPr>
          <w:sz w:val="24"/>
          <w:szCs w:val="24"/>
        </w:rPr>
        <w:t xml:space="preserve">There </w:t>
      </w:r>
      <w:r w:rsidR="00886AAC">
        <w:rPr>
          <w:sz w:val="24"/>
          <w:szCs w:val="24"/>
        </w:rPr>
        <w:t>was</w:t>
      </w:r>
      <w:r w:rsidRPr="00D326B1">
        <w:rPr>
          <w:sz w:val="24"/>
          <w:szCs w:val="24"/>
        </w:rPr>
        <w:t xml:space="preserve"> no significant difference between the contribution-based entitlements whether the children </w:t>
      </w:r>
      <w:r w:rsidR="00886AAC">
        <w:rPr>
          <w:sz w:val="24"/>
          <w:szCs w:val="24"/>
        </w:rPr>
        <w:t>were</w:t>
      </w:r>
      <w:r w:rsidRPr="00D326B1">
        <w:rPr>
          <w:sz w:val="24"/>
          <w:szCs w:val="24"/>
        </w:rPr>
        <w:t xml:space="preserve"> dependent or not. </w:t>
      </w:r>
      <w:r w:rsidR="0059630E">
        <w:rPr>
          <w:sz w:val="24"/>
          <w:szCs w:val="24"/>
        </w:rPr>
        <w:t>T</w:t>
      </w:r>
      <w:r w:rsidRPr="00D326B1">
        <w:rPr>
          <w:sz w:val="24"/>
          <w:szCs w:val="24"/>
        </w:rPr>
        <w:t xml:space="preserve">he </w:t>
      </w:r>
      <w:r w:rsidR="00D37EE0">
        <w:rPr>
          <w:sz w:val="24"/>
          <w:szCs w:val="24"/>
        </w:rPr>
        <w:t xml:space="preserve">overall </w:t>
      </w:r>
      <w:r w:rsidRPr="00D326B1">
        <w:rPr>
          <w:sz w:val="24"/>
          <w:szCs w:val="24"/>
        </w:rPr>
        <w:t>mean</w:t>
      </w:r>
      <w:r w:rsidR="00D37EE0">
        <w:rPr>
          <w:sz w:val="24"/>
          <w:szCs w:val="24"/>
        </w:rPr>
        <w:t xml:space="preserve"> contribution-based entitlement</w:t>
      </w:r>
      <w:r w:rsidR="00886AAC">
        <w:rPr>
          <w:sz w:val="24"/>
          <w:szCs w:val="24"/>
        </w:rPr>
        <w:t xml:space="preserve"> </w:t>
      </w:r>
      <w:r w:rsidRPr="00D326B1">
        <w:rPr>
          <w:noProof/>
          <w:sz w:val="24"/>
          <w:szCs w:val="24"/>
        </w:rPr>
        <w:t>remain</w:t>
      </w:r>
      <w:r w:rsidR="00886AAC">
        <w:rPr>
          <w:noProof/>
          <w:sz w:val="24"/>
          <w:szCs w:val="24"/>
        </w:rPr>
        <w:t>ed</w:t>
      </w:r>
      <w:r w:rsidR="00D37EE0">
        <w:rPr>
          <w:noProof/>
          <w:sz w:val="24"/>
          <w:szCs w:val="24"/>
        </w:rPr>
        <w:t xml:space="preserve"> (just)</w:t>
      </w:r>
      <w:r w:rsidRPr="00D326B1">
        <w:rPr>
          <w:sz w:val="24"/>
          <w:szCs w:val="24"/>
        </w:rPr>
        <w:t xml:space="preserve"> in favour of fathers for contributions to superannuation, albeit within the high margin of error (6%). </w:t>
      </w:r>
      <w:r w:rsidR="00886AAC" w:rsidRPr="00886AAC">
        <w:rPr>
          <w:sz w:val="24"/>
          <w:szCs w:val="24"/>
        </w:rPr>
        <w:t xml:space="preserve">The results showed </w:t>
      </w:r>
      <w:r w:rsidRPr="00886AAC">
        <w:rPr>
          <w:sz w:val="24"/>
          <w:szCs w:val="24"/>
        </w:rPr>
        <w:t xml:space="preserve">that the contribution-based entitlement improved the position of mothers. </w:t>
      </w:r>
      <w:r w:rsidR="00886AAC">
        <w:rPr>
          <w:sz w:val="24"/>
          <w:szCs w:val="24"/>
        </w:rPr>
        <w:t>M</w:t>
      </w:r>
      <w:r w:rsidRPr="00886AAC">
        <w:rPr>
          <w:sz w:val="24"/>
          <w:szCs w:val="24"/>
        </w:rPr>
        <w:t xml:space="preserve">others started with 44% of </w:t>
      </w:r>
      <w:r w:rsidR="00856E53" w:rsidRPr="00886AAC">
        <w:rPr>
          <w:sz w:val="24"/>
          <w:szCs w:val="24"/>
        </w:rPr>
        <w:t xml:space="preserve">the </w:t>
      </w:r>
      <w:r w:rsidRPr="00886AAC">
        <w:rPr>
          <w:noProof/>
          <w:sz w:val="24"/>
          <w:szCs w:val="24"/>
        </w:rPr>
        <w:t>non-superannuation</w:t>
      </w:r>
      <w:r w:rsidRPr="00886AAC">
        <w:rPr>
          <w:sz w:val="24"/>
          <w:szCs w:val="24"/>
        </w:rPr>
        <w:t xml:space="preserve"> property and </w:t>
      </w:r>
      <w:r w:rsidR="00D37EE0">
        <w:rPr>
          <w:sz w:val="24"/>
          <w:szCs w:val="24"/>
        </w:rPr>
        <w:t>37</w:t>
      </w:r>
      <w:r w:rsidRPr="00886AAC">
        <w:rPr>
          <w:sz w:val="24"/>
          <w:szCs w:val="24"/>
        </w:rPr>
        <w:t xml:space="preserve">% of superannuation. </w:t>
      </w:r>
      <w:r w:rsidR="003141D1" w:rsidRPr="00886AAC">
        <w:rPr>
          <w:sz w:val="24"/>
          <w:szCs w:val="24"/>
        </w:rPr>
        <w:t>On measuring</w:t>
      </w:r>
      <w:r w:rsidRPr="00886AAC">
        <w:rPr>
          <w:sz w:val="24"/>
          <w:szCs w:val="24"/>
        </w:rPr>
        <w:t xml:space="preserve"> </w:t>
      </w:r>
      <w:r w:rsidR="003141D1" w:rsidRPr="00886AAC">
        <w:rPr>
          <w:sz w:val="24"/>
          <w:szCs w:val="24"/>
        </w:rPr>
        <w:t>contributions,</w:t>
      </w:r>
      <w:r w:rsidRPr="00886AAC">
        <w:rPr>
          <w:sz w:val="24"/>
          <w:szCs w:val="24"/>
        </w:rPr>
        <w:t xml:space="preserve"> the </w:t>
      </w:r>
      <w:r w:rsidR="00856E53" w:rsidRPr="00886AAC">
        <w:rPr>
          <w:noProof/>
          <w:sz w:val="24"/>
          <w:szCs w:val="24"/>
        </w:rPr>
        <w:t>situa</w:t>
      </w:r>
      <w:r w:rsidRPr="00886AAC">
        <w:rPr>
          <w:noProof/>
          <w:sz w:val="24"/>
          <w:szCs w:val="24"/>
        </w:rPr>
        <w:t>tion</w:t>
      </w:r>
      <w:r w:rsidRPr="00886AAC">
        <w:rPr>
          <w:sz w:val="24"/>
          <w:szCs w:val="24"/>
        </w:rPr>
        <w:t xml:space="preserve"> of mothers improved to 49% for non-superannuation property and 48% for </w:t>
      </w:r>
      <w:r w:rsidRPr="00886AAC">
        <w:rPr>
          <w:noProof/>
          <w:sz w:val="24"/>
          <w:szCs w:val="24"/>
        </w:rPr>
        <w:t>superannuation</w:t>
      </w:r>
      <w:r w:rsidRPr="00886AAC">
        <w:rPr>
          <w:sz w:val="24"/>
          <w:szCs w:val="24"/>
        </w:rPr>
        <w:t xml:space="preserve">. </w:t>
      </w:r>
      <w:r w:rsidR="00DC4D75" w:rsidRPr="00886AAC">
        <w:rPr>
          <w:sz w:val="24"/>
          <w:szCs w:val="24"/>
        </w:rPr>
        <w:t xml:space="preserve">I examined both the occurrence rates and the quantum of section 75(2) (or 90SM) adjustments. The mean </w:t>
      </w:r>
      <w:r w:rsidR="00DC4D75" w:rsidRPr="00886AAC">
        <w:rPr>
          <w:noProof/>
          <w:sz w:val="24"/>
          <w:szCs w:val="24"/>
        </w:rPr>
        <w:t>adjustment</w:t>
      </w:r>
      <w:r w:rsidR="00DC4D75" w:rsidRPr="00886AAC">
        <w:rPr>
          <w:sz w:val="24"/>
          <w:szCs w:val="24"/>
        </w:rPr>
        <w:t xml:space="preserve"> (irrespective of to whom the </w:t>
      </w:r>
      <w:r w:rsidR="00DC4D75" w:rsidRPr="00886AAC">
        <w:rPr>
          <w:noProof/>
          <w:sz w:val="24"/>
          <w:szCs w:val="24"/>
        </w:rPr>
        <w:t>adjustment</w:t>
      </w:r>
      <w:r w:rsidR="00DC4D75" w:rsidRPr="00886AAC">
        <w:rPr>
          <w:sz w:val="24"/>
          <w:szCs w:val="24"/>
        </w:rPr>
        <w:t xml:space="preserve"> </w:t>
      </w:r>
      <w:r w:rsidR="00856E53" w:rsidRPr="00886AAC">
        <w:rPr>
          <w:noProof/>
          <w:sz w:val="24"/>
          <w:szCs w:val="24"/>
        </w:rPr>
        <w:t>flowed</w:t>
      </w:r>
      <w:r w:rsidR="00DC4D75" w:rsidRPr="00886AAC">
        <w:rPr>
          <w:sz w:val="24"/>
          <w:szCs w:val="24"/>
        </w:rPr>
        <w:t xml:space="preserve">) was 13%. The median was 10 %. What stood out was the differences in </w:t>
      </w:r>
      <w:r w:rsidR="00DC4D75" w:rsidRPr="00886AAC">
        <w:rPr>
          <w:noProof/>
          <w:sz w:val="24"/>
          <w:szCs w:val="24"/>
        </w:rPr>
        <w:t>occu</w:t>
      </w:r>
      <w:r w:rsidR="00856E53" w:rsidRPr="00886AAC">
        <w:rPr>
          <w:noProof/>
          <w:sz w:val="24"/>
          <w:szCs w:val="24"/>
        </w:rPr>
        <w:t>r</w:t>
      </w:r>
      <w:r w:rsidR="00DC4D75" w:rsidRPr="00886AAC">
        <w:rPr>
          <w:noProof/>
          <w:sz w:val="24"/>
          <w:szCs w:val="24"/>
        </w:rPr>
        <w:t>rences</w:t>
      </w:r>
      <w:r w:rsidR="00DC4D75" w:rsidRPr="00886AAC">
        <w:rPr>
          <w:sz w:val="24"/>
          <w:szCs w:val="24"/>
        </w:rPr>
        <w:t xml:space="preserve">. Those results were: </w:t>
      </w:r>
    </w:p>
    <w:p w:rsidR="00D37EE0" w:rsidRDefault="00D37EE0" w:rsidP="00D37EE0">
      <w:pPr>
        <w:spacing w:after="0" w:line="240" w:lineRule="auto"/>
        <w:jc w:val="center"/>
        <w:rPr>
          <w:b/>
          <w:sz w:val="24"/>
          <w:szCs w:val="24"/>
        </w:rPr>
      </w:pPr>
    </w:p>
    <w:p w:rsidR="00C344BB" w:rsidRDefault="00C344BB" w:rsidP="00D37EE0">
      <w:pPr>
        <w:spacing w:after="0" w:line="240" w:lineRule="auto"/>
        <w:jc w:val="center"/>
        <w:rPr>
          <w:b/>
          <w:sz w:val="24"/>
          <w:szCs w:val="24"/>
        </w:rPr>
      </w:pPr>
    </w:p>
    <w:p w:rsidR="00C344BB" w:rsidRDefault="00C344BB" w:rsidP="00D37EE0">
      <w:pPr>
        <w:spacing w:after="0" w:line="240" w:lineRule="auto"/>
        <w:jc w:val="center"/>
        <w:rPr>
          <w:b/>
          <w:sz w:val="24"/>
          <w:szCs w:val="24"/>
        </w:rPr>
      </w:pPr>
    </w:p>
    <w:p w:rsidR="00C344BB" w:rsidRDefault="00C344BB" w:rsidP="00D37EE0">
      <w:pPr>
        <w:spacing w:after="0" w:line="240" w:lineRule="auto"/>
        <w:jc w:val="center"/>
        <w:rPr>
          <w:b/>
          <w:sz w:val="24"/>
          <w:szCs w:val="24"/>
        </w:rPr>
      </w:pPr>
    </w:p>
    <w:p w:rsidR="0059630E" w:rsidRDefault="0059630E" w:rsidP="00D37EE0">
      <w:pPr>
        <w:spacing w:after="0" w:line="240" w:lineRule="auto"/>
        <w:jc w:val="center"/>
        <w:rPr>
          <w:b/>
          <w:sz w:val="24"/>
          <w:szCs w:val="24"/>
        </w:rPr>
      </w:pPr>
    </w:p>
    <w:p w:rsidR="00F547E6" w:rsidRPr="00DC4D75" w:rsidRDefault="00F547E6" w:rsidP="00D37EE0">
      <w:pPr>
        <w:spacing w:after="0" w:line="240" w:lineRule="auto"/>
        <w:jc w:val="center"/>
        <w:rPr>
          <w:b/>
          <w:i/>
          <w:sz w:val="24"/>
          <w:szCs w:val="24"/>
        </w:rPr>
      </w:pPr>
      <w:r w:rsidRPr="00DC4D75">
        <w:rPr>
          <w:b/>
          <w:sz w:val="24"/>
          <w:szCs w:val="24"/>
        </w:rPr>
        <w:lastRenderedPageBreak/>
        <w:t>Comparative Occurrence of Section 75(2) Adjustments (</w:t>
      </w:r>
      <w:r w:rsidRPr="00DC4D75">
        <w:rPr>
          <w:b/>
          <w:i/>
          <w:sz w:val="24"/>
          <w:szCs w:val="24"/>
        </w:rPr>
        <w:t>n=</w:t>
      </w:r>
      <w:r w:rsidRPr="00DC4D75">
        <w:rPr>
          <w:b/>
          <w:sz w:val="24"/>
          <w:szCs w:val="24"/>
        </w:rPr>
        <w:t>139 Dependent Children, 25 Independent Children Cases) (</w:t>
      </w:r>
      <w:r w:rsidRPr="00DC4D75">
        <w:rPr>
          <w:b/>
          <w:i/>
          <w:sz w:val="24"/>
          <w:szCs w:val="24"/>
        </w:rPr>
        <w:t>Sample</w:t>
      </w:r>
      <w:r w:rsidRPr="00DC4D75">
        <w:rPr>
          <w:b/>
          <w:sz w:val="24"/>
          <w:szCs w:val="24"/>
        </w:rPr>
        <w:t>)</w:t>
      </w:r>
    </w:p>
    <w:p w:rsidR="00DC4D75" w:rsidRDefault="00F547E6" w:rsidP="00462142">
      <w:pPr>
        <w:spacing w:after="0" w:line="360" w:lineRule="auto"/>
        <w:jc w:val="center"/>
      </w:pPr>
      <w:r w:rsidRPr="00F547E6">
        <w:rPr>
          <w:noProof/>
          <w:lang w:eastAsia="en-AU"/>
        </w:rPr>
        <w:drawing>
          <wp:inline distT="0" distB="0" distL="0" distR="0">
            <wp:extent cx="3190584" cy="1876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3228127" cy="1898454"/>
                    </a:xfrm>
                    <a:prstGeom prst="rect">
                      <a:avLst/>
                    </a:prstGeom>
                    <a:ln>
                      <a:noFill/>
                    </a:ln>
                  </pic:spPr>
                </pic:pic>
              </a:graphicData>
            </a:graphic>
          </wp:inline>
        </w:drawing>
      </w:r>
    </w:p>
    <w:p w:rsidR="00F547E6" w:rsidRPr="00F547E6" w:rsidRDefault="00DC4D75" w:rsidP="009A0126">
      <w:pPr>
        <w:pStyle w:val="ListParagraph"/>
        <w:numPr>
          <w:ilvl w:val="0"/>
          <w:numId w:val="52"/>
        </w:numPr>
        <w:spacing w:after="0" w:line="360" w:lineRule="auto"/>
        <w:jc w:val="both"/>
      </w:pPr>
      <w:r w:rsidRPr="00D326B1">
        <w:rPr>
          <w:sz w:val="24"/>
          <w:szCs w:val="24"/>
        </w:rPr>
        <w:t xml:space="preserve">I examined the overall results by percentages and dollar terms. </w:t>
      </w:r>
      <w:r w:rsidR="00F547E6" w:rsidRPr="00D326B1">
        <w:rPr>
          <w:sz w:val="24"/>
          <w:szCs w:val="24"/>
        </w:rPr>
        <w:t>The median result was 55</w:t>
      </w:r>
      <w:r w:rsidR="00D45D94" w:rsidRPr="00D326B1">
        <w:rPr>
          <w:sz w:val="24"/>
          <w:szCs w:val="24"/>
        </w:rPr>
        <w:t>%</w:t>
      </w:r>
      <w:r w:rsidR="00F547E6" w:rsidRPr="00D326B1">
        <w:rPr>
          <w:sz w:val="24"/>
          <w:szCs w:val="24"/>
        </w:rPr>
        <w:t xml:space="preserve"> to mothers. </w:t>
      </w:r>
      <w:bookmarkStart w:id="34" w:name="_Toc466926695"/>
      <w:r w:rsidR="00F547E6" w:rsidRPr="00D326B1">
        <w:rPr>
          <w:sz w:val="24"/>
          <w:szCs w:val="24"/>
        </w:rPr>
        <w:t xml:space="preserve">The reporting </w:t>
      </w:r>
      <w:r w:rsidR="001002F5">
        <w:rPr>
          <w:sz w:val="24"/>
          <w:szCs w:val="24"/>
        </w:rPr>
        <w:t xml:space="preserve">of mean results </w:t>
      </w:r>
      <w:r w:rsidR="00F547E6" w:rsidRPr="00D326B1">
        <w:rPr>
          <w:sz w:val="24"/>
          <w:szCs w:val="24"/>
        </w:rPr>
        <w:t>commences with all property including superannuation</w:t>
      </w:r>
      <w:r w:rsidR="00F547E6" w:rsidRPr="00F547E6">
        <w:t>:</w:t>
      </w:r>
    </w:p>
    <w:bookmarkEnd w:id="34"/>
    <w:p w:rsidR="00F547E6" w:rsidRPr="00DC4D75" w:rsidRDefault="00F547E6" w:rsidP="00D37EE0">
      <w:pPr>
        <w:spacing w:after="0" w:line="240" w:lineRule="auto"/>
        <w:jc w:val="center"/>
        <w:rPr>
          <w:b/>
          <w:sz w:val="24"/>
          <w:szCs w:val="24"/>
        </w:rPr>
      </w:pPr>
      <w:r w:rsidRPr="00DC4D75">
        <w:rPr>
          <w:b/>
          <w:sz w:val="24"/>
          <w:szCs w:val="24"/>
        </w:rPr>
        <w:t xml:space="preserve">Mean Percentage Outcomes – Ownership at Law v Ultimate Discretionary Result (All Property Including Superannuation): </w:t>
      </w:r>
      <w:r w:rsidRPr="00DC4D75">
        <w:rPr>
          <w:b/>
          <w:i/>
          <w:sz w:val="24"/>
          <w:szCs w:val="24"/>
        </w:rPr>
        <w:t>Sample</w:t>
      </w:r>
      <w:r w:rsidRPr="00DC4D75">
        <w:rPr>
          <w:b/>
          <w:sz w:val="24"/>
          <w:szCs w:val="24"/>
        </w:rPr>
        <w:t xml:space="preserve"> (</w:t>
      </w:r>
      <w:r w:rsidRPr="00DC4D75">
        <w:rPr>
          <w:b/>
          <w:i/>
          <w:sz w:val="24"/>
          <w:szCs w:val="24"/>
        </w:rPr>
        <w:t>n=</w:t>
      </w:r>
      <w:r w:rsidRPr="00DC4D75">
        <w:rPr>
          <w:b/>
          <w:sz w:val="24"/>
          <w:szCs w:val="24"/>
        </w:rPr>
        <w:t>200)</w:t>
      </w:r>
    </w:p>
    <w:p w:rsidR="00F547E6" w:rsidRPr="00F547E6" w:rsidRDefault="00F547E6" w:rsidP="00462142">
      <w:pPr>
        <w:spacing w:after="0" w:line="360" w:lineRule="auto"/>
        <w:jc w:val="center"/>
      </w:pPr>
      <w:r w:rsidRPr="00F547E6">
        <w:rPr>
          <w:noProof/>
          <w:lang w:eastAsia="en-AU"/>
        </w:rPr>
        <w:drawing>
          <wp:inline distT="0" distB="0" distL="0" distR="0">
            <wp:extent cx="4441825" cy="200622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4442968" cy="2006737"/>
                    </a:xfrm>
                    <a:prstGeom prst="rect">
                      <a:avLst/>
                    </a:prstGeom>
                  </pic:spPr>
                </pic:pic>
              </a:graphicData>
            </a:graphic>
          </wp:inline>
        </w:drawing>
      </w:r>
    </w:p>
    <w:p w:rsidR="00F547E6" w:rsidRPr="00D326B1" w:rsidRDefault="00F547E6" w:rsidP="009A0126">
      <w:pPr>
        <w:pStyle w:val="ListParagraph"/>
        <w:numPr>
          <w:ilvl w:val="0"/>
          <w:numId w:val="52"/>
        </w:numPr>
        <w:spacing w:after="0" w:line="360" w:lineRule="auto"/>
        <w:jc w:val="both"/>
        <w:rPr>
          <w:sz w:val="24"/>
          <w:szCs w:val="24"/>
        </w:rPr>
      </w:pPr>
      <w:r w:rsidRPr="00D326B1">
        <w:rPr>
          <w:sz w:val="24"/>
          <w:szCs w:val="24"/>
        </w:rPr>
        <w:t xml:space="preserve">The standard deviation for all property (including superannuation) </w:t>
      </w:r>
      <w:r w:rsidR="0059630E">
        <w:rPr>
          <w:sz w:val="24"/>
          <w:szCs w:val="24"/>
        </w:rPr>
        <w:t>was</w:t>
      </w:r>
      <w:r w:rsidRPr="00D326B1">
        <w:rPr>
          <w:sz w:val="24"/>
          <w:szCs w:val="24"/>
        </w:rPr>
        <w:t xml:space="preserve"> 16 </w:t>
      </w:r>
      <w:r w:rsidR="00D45D94" w:rsidRPr="00D326B1">
        <w:rPr>
          <w:sz w:val="24"/>
          <w:szCs w:val="24"/>
        </w:rPr>
        <w:t>%</w:t>
      </w:r>
      <w:r w:rsidRPr="00D326B1">
        <w:rPr>
          <w:sz w:val="24"/>
          <w:szCs w:val="24"/>
        </w:rPr>
        <w:t xml:space="preserve">. The range was </w:t>
      </w:r>
      <w:r w:rsidR="0059630E">
        <w:rPr>
          <w:sz w:val="24"/>
          <w:szCs w:val="24"/>
        </w:rPr>
        <w:t>0</w:t>
      </w:r>
      <w:r w:rsidR="00D45D94" w:rsidRPr="00D326B1">
        <w:rPr>
          <w:sz w:val="24"/>
          <w:szCs w:val="24"/>
        </w:rPr>
        <w:t>%</w:t>
      </w:r>
      <w:r w:rsidRPr="00D326B1">
        <w:rPr>
          <w:sz w:val="24"/>
          <w:szCs w:val="24"/>
        </w:rPr>
        <w:t xml:space="preserve"> to 100 </w:t>
      </w:r>
      <w:r w:rsidR="00D45D94" w:rsidRPr="00D326B1">
        <w:rPr>
          <w:sz w:val="24"/>
          <w:szCs w:val="24"/>
        </w:rPr>
        <w:t>%</w:t>
      </w:r>
      <w:r w:rsidRPr="00D326B1">
        <w:rPr>
          <w:sz w:val="24"/>
          <w:szCs w:val="24"/>
        </w:rPr>
        <w:t xml:space="preserve">.  The mean results </w:t>
      </w:r>
      <w:r w:rsidR="003141D1">
        <w:rPr>
          <w:sz w:val="24"/>
          <w:szCs w:val="24"/>
        </w:rPr>
        <w:t>follow by</w:t>
      </w:r>
      <w:r w:rsidRPr="00D326B1">
        <w:rPr>
          <w:sz w:val="24"/>
          <w:szCs w:val="24"/>
        </w:rPr>
        <w:t xml:space="preserve"> </w:t>
      </w:r>
      <w:r w:rsidRPr="00D326B1">
        <w:rPr>
          <w:noProof/>
          <w:sz w:val="24"/>
          <w:szCs w:val="24"/>
        </w:rPr>
        <w:t>superannuation</w:t>
      </w:r>
      <w:r w:rsidRPr="00D326B1">
        <w:rPr>
          <w:sz w:val="24"/>
          <w:szCs w:val="24"/>
        </w:rPr>
        <w:t xml:space="preserve"> and non-superannuation property</w:t>
      </w:r>
      <w:r w:rsidR="00DC4D75" w:rsidRPr="00D326B1">
        <w:rPr>
          <w:sz w:val="24"/>
          <w:szCs w:val="24"/>
        </w:rPr>
        <w:t>:</w:t>
      </w:r>
    </w:p>
    <w:p w:rsidR="00F547E6" w:rsidRPr="00DC4D75" w:rsidRDefault="00F547E6" w:rsidP="001002F5">
      <w:pPr>
        <w:spacing w:after="0" w:line="240" w:lineRule="auto"/>
        <w:jc w:val="center"/>
        <w:rPr>
          <w:b/>
          <w:sz w:val="24"/>
          <w:szCs w:val="24"/>
        </w:rPr>
      </w:pPr>
      <w:r w:rsidRPr="00DC4D75">
        <w:rPr>
          <w:b/>
          <w:sz w:val="24"/>
          <w:szCs w:val="24"/>
        </w:rPr>
        <w:t xml:space="preserve">Mean Percentage Outcomes – Ownership at Law v Ultimate Discretionary Result (Super and Non-Super Separately): </w:t>
      </w:r>
      <w:r w:rsidRPr="00DC4D75">
        <w:rPr>
          <w:b/>
          <w:i/>
          <w:sz w:val="24"/>
          <w:szCs w:val="24"/>
        </w:rPr>
        <w:t>Sample</w:t>
      </w:r>
      <w:r w:rsidRPr="00DC4D75">
        <w:rPr>
          <w:b/>
          <w:sz w:val="24"/>
          <w:szCs w:val="24"/>
        </w:rPr>
        <w:t xml:space="preserve"> (</w:t>
      </w:r>
      <w:r w:rsidRPr="00DC4D75">
        <w:rPr>
          <w:b/>
          <w:i/>
          <w:sz w:val="24"/>
          <w:szCs w:val="24"/>
        </w:rPr>
        <w:t>n=</w:t>
      </w:r>
      <w:r w:rsidRPr="00DC4D75">
        <w:rPr>
          <w:b/>
          <w:sz w:val="24"/>
          <w:szCs w:val="24"/>
        </w:rPr>
        <w:t>200)</w:t>
      </w:r>
    </w:p>
    <w:p w:rsidR="00F547E6" w:rsidRPr="00DC4D75" w:rsidRDefault="00F547E6" w:rsidP="00462142">
      <w:pPr>
        <w:spacing w:after="0" w:line="360" w:lineRule="auto"/>
        <w:jc w:val="center"/>
      </w:pPr>
      <w:r w:rsidRPr="00F547E6">
        <w:rPr>
          <w:noProof/>
          <w:lang w:eastAsia="en-AU"/>
        </w:rPr>
        <w:drawing>
          <wp:inline distT="0" distB="0" distL="0" distR="0">
            <wp:extent cx="4476997" cy="1882138"/>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4489444" cy="1887371"/>
                    </a:xfrm>
                    <a:prstGeom prst="rect">
                      <a:avLst/>
                    </a:prstGeom>
                  </pic:spPr>
                </pic:pic>
              </a:graphicData>
            </a:graphic>
          </wp:inline>
        </w:drawing>
      </w:r>
    </w:p>
    <w:p w:rsidR="00D326B1" w:rsidRPr="00886AAC" w:rsidRDefault="00F547E6" w:rsidP="00886AAC">
      <w:pPr>
        <w:pStyle w:val="ListParagraph"/>
        <w:numPr>
          <w:ilvl w:val="0"/>
          <w:numId w:val="52"/>
        </w:numPr>
        <w:spacing w:after="0" w:line="360" w:lineRule="auto"/>
        <w:jc w:val="both"/>
        <w:rPr>
          <w:sz w:val="24"/>
          <w:szCs w:val="24"/>
        </w:rPr>
      </w:pPr>
      <w:r w:rsidRPr="00D326B1">
        <w:rPr>
          <w:sz w:val="24"/>
          <w:szCs w:val="24"/>
        </w:rPr>
        <w:lastRenderedPageBreak/>
        <w:t>Breaking down the reporting into superannuation and non-superannuation property had no significant effect. The result was still that mothers received a small majority.</w:t>
      </w:r>
      <w:r w:rsidR="00696AFC" w:rsidRPr="00D326B1">
        <w:rPr>
          <w:sz w:val="24"/>
          <w:szCs w:val="24"/>
        </w:rPr>
        <w:t xml:space="preserve">  </w:t>
      </w:r>
      <w:r w:rsidR="0059630E">
        <w:rPr>
          <w:sz w:val="24"/>
          <w:szCs w:val="24"/>
        </w:rPr>
        <w:t>Even with the sample size, t</w:t>
      </w:r>
      <w:r w:rsidR="00696AFC" w:rsidRPr="00D326B1">
        <w:rPr>
          <w:sz w:val="24"/>
          <w:szCs w:val="24"/>
        </w:rPr>
        <w:t>he mean (5</w:t>
      </w:r>
      <w:r w:rsidR="00D7730B" w:rsidRPr="00D326B1">
        <w:rPr>
          <w:sz w:val="24"/>
          <w:szCs w:val="24"/>
        </w:rPr>
        <w:t>4</w:t>
      </w:r>
      <w:r w:rsidR="00696AFC" w:rsidRPr="00D326B1">
        <w:rPr>
          <w:sz w:val="24"/>
          <w:szCs w:val="24"/>
        </w:rPr>
        <w:t xml:space="preserve">% </w:t>
      </w:r>
      <w:r w:rsidR="00875BAC">
        <w:rPr>
          <w:noProof/>
          <w:sz w:val="24"/>
          <w:szCs w:val="24"/>
        </w:rPr>
        <w:t xml:space="preserve">for </w:t>
      </w:r>
      <w:r w:rsidR="00696AFC" w:rsidRPr="00D326B1">
        <w:rPr>
          <w:sz w:val="24"/>
          <w:szCs w:val="24"/>
        </w:rPr>
        <w:t xml:space="preserve">mothers) </w:t>
      </w:r>
      <w:r w:rsidR="0059630E">
        <w:rPr>
          <w:sz w:val="24"/>
          <w:szCs w:val="24"/>
        </w:rPr>
        <w:t>wa</w:t>
      </w:r>
      <w:r w:rsidR="00D7730B" w:rsidRPr="00D326B1">
        <w:rPr>
          <w:sz w:val="24"/>
          <w:szCs w:val="24"/>
        </w:rPr>
        <w:t xml:space="preserve">s consistent with </w:t>
      </w:r>
      <w:r w:rsidR="00D7730B" w:rsidRPr="00D326B1">
        <w:rPr>
          <w:noProof/>
          <w:sz w:val="24"/>
          <w:szCs w:val="24"/>
        </w:rPr>
        <w:t>previous</w:t>
      </w:r>
      <w:r w:rsidR="00856E53" w:rsidRPr="00D326B1">
        <w:rPr>
          <w:noProof/>
          <w:sz w:val="24"/>
          <w:szCs w:val="24"/>
        </w:rPr>
        <w:t>ly</w:t>
      </w:r>
      <w:r w:rsidR="00D7730B" w:rsidRPr="00D326B1">
        <w:rPr>
          <w:sz w:val="24"/>
          <w:szCs w:val="24"/>
        </w:rPr>
        <w:t xml:space="preserve"> published studies. The median (55% to mothers) </w:t>
      </w:r>
      <w:r w:rsidR="0059630E">
        <w:rPr>
          <w:sz w:val="24"/>
          <w:szCs w:val="24"/>
        </w:rPr>
        <w:t>wa</w:t>
      </w:r>
      <w:r w:rsidR="00D7730B" w:rsidRPr="00D326B1">
        <w:rPr>
          <w:sz w:val="24"/>
          <w:szCs w:val="24"/>
        </w:rPr>
        <w:t xml:space="preserve">s consistent with the recent study </w:t>
      </w:r>
      <w:r w:rsidR="00D7730B" w:rsidRPr="00D326B1">
        <w:rPr>
          <w:i/>
          <w:sz w:val="24"/>
          <w:szCs w:val="24"/>
        </w:rPr>
        <w:t xml:space="preserve">Property Division after </w:t>
      </w:r>
      <w:r w:rsidR="00D7730B" w:rsidRPr="00D326B1">
        <w:rPr>
          <w:i/>
          <w:noProof/>
          <w:sz w:val="24"/>
          <w:szCs w:val="24"/>
        </w:rPr>
        <w:t>Separation</w:t>
      </w:r>
      <w:r w:rsidR="00D7730B" w:rsidRPr="00D326B1">
        <w:rPr>
          <w:sz w:val="24"/>
          <w:szCs w:val="24"/>
        </w:rPr>
        <w:t>.</w:t>
      </w:r>
      <w:r w:rsidR="00D7730B" w:rsidRPr="00D7730B">
        <w:rPr>
          <w:vertAlign w:val="superscript"/>
        </w:rPr>
        <w:endnoteReference w:id="97"/>
      </w:r>
    </w:p>
    <w:p w:rsidR="00D326B1" w:rsidRPr="00886AAC" w:rsidRDefault="00D7730B" w:rsidP="00886AAC">
      <w:pPr>
        <w:pStyle w:val="ListParagraph"/>
        <w:numPr>
          <w:ilvl w:val="0"/>
          <w:numId w:val="52"/>
        </w:numPr>
        <w:spacing w:after="0" w:line="360" w:lineRule="auto"/>
        <w:jc w:val="both"/>
        <w:rPr>
          <w:sz w:val="24"/>
          <w:szCs w:val="24"/>
        </w:rPr>
      </w:pPr>
      <w:r w:rsidRPr="00D326B1">
        <w:rPr>
          <w:sz w:val="24"/>
          <w:szCs w:val="24"/>
        </w:rPr>
        <w:t xml:space="preserve">I also undertook a comparison by 20% bands, as another way of testing the reliability of the data. There </w:t>
      </w:r>
      <w:r w:rsidR="0059630E">
        <w:rPr>
          <w:sz w:val="24"/>
          <w:szCs w:val="24"/>
        </w:rPr>
        <w:t>were</w:t>
      </w:r>
      <w:r w:rsidRPr="00D326B1">
        <w:rPr>
          <w:sz w:val="24"/>
          <w:szCs w:val="24"/>
        </w:rPr>
        <w:t xml:space="preserve"> two standout inconsistencies. The first is the cases </w:t>
      </w:r>
      <w:r w:rsidR="0059630E">
        <w:rPr>
          <w:sz w:val="24"/>
          <w:szCs w:val="24"/>
        </w:rPr>
        <w:t>where</w:t>
      </w:r>
      <w:r w:rsidRPr="00D326B1">
        <w:rPr>
          <w:sz w:val="24"/>
          <w:szCs w:val="24"/>
        </w:rPr>
        <w:t xml:space="preserve"> one party or the other receives less than 20 % of the property is much </w:t>
      </w:r>
      <w:r w:rsidR="0059630E">
        <w:rPr>
          <w:noProof/>
          <w:sz w:val="24"/>
          <w:szCs w:val="24"/>
        </w:rPr>
        <w:t>higher</w:t>
      </w:r>
      <w:r w:rsidRPr="00D326B1">
        <w:rPr>
          <w:sz w:val="24"/>
          <w:szCs w:val="24"/>
        </w:rPr>
        <w:t xml:space="preserve"> in the other studies than it </w:t>
      </w:r>
      <w:r w:rsidR="0059630E">
        <w:rPr>
          <w:sz w:val="24"/>
          <w:szCs w:val="24"/>
        </w:rPr>
        <w:t>wa</w:t>
      </w:r>
      <w:r w:rsidRPr="00D326B1">
        <w:rPr>
          <w:sz w:val="24"/>
          <w:szCs w:val="24"/>
        </w:rPr>
        <w:t>s in the sample</w:t>
      </w:r>
      <w:r w:rsidRPr="00D326B1">
        <w:rPr>
          <w:i/>
          <w:sz w:val="24"/>
          <w:szCs w:val="24"/>
        </w:rPr>
        <w:t xml:space="preserve">.  </w:t>
      </w:r>
      <w:r w:rsidR="0059630E">
        <w:rPr>
          <w:sz w:val="24"/>
          <w:szCs w:val="24"/>
        </w:rPr>
        <w:t>T</w:t>
      </w:r>
      <w:r w:rsidRPr="00D326B1">
        <w:rPr>
          <w:sz w:val="24"/>
          <w:szCs w:val="24"/>
        </w:rPr>
        <w:t>he sample results show</w:t>
      </w:r>
      <w:r w:rsidR="0059630E">
        <w:rPr>
          <w:sz w:val="24"/>
          <w:szCs w:val="24"/>
        </w:rPr>
        <w:t>ed</w:t>
      </w:r>
      <w:r w:rsidRPr="00D326B1">
        <w:rPr>
          <w:sz w:val="24"/>
          <w:szCs w:val="24"/>
        </w:rPr>
        <w:t xml:space="preserve"> only 4</w:t>
      </w:r>
      <w:r w:rsidR="00856E53" w:rsidRPr="00D326B1">
        <w:rPr>
          <w:sz w:val="24"/>
          <w:szCs w:val="24"/>
        </w:rPr>
        <w:t>.5</w:t>
      </w:r>
      <w:r w:rsidRPr="00D326B1">
        <w:rPr>
          <w:sz w:val="24"/>
          <w:szCs w:val="24"/>
        </w:rPr>
        <w:t xml:space="preserve"> % of cases where </w:t>
      </w:r>
      <w:r w:rsidR="0059630E">
        <w:rPr>
          <w:sz w:val="24"/>
          <w:szCs w:val="24"/>
        </w:rPr>
        <w:t>a</w:t>
      </w:r>
      <w:r w:rsidRPr="00D326B1">
        <w:rPr>
          <w:sz w:val="24"/>
          <w:szCs w:val="24"/>
        </w:rPr>
        <w:t xml:space="preserve"> mother received more than 80 % of the net property. In </w:t>
      </w:r>
      <w:r w:rsidRPr="00D326B1">
        <w:rPr>
          <w:i/>
          <w:sz w:val="24"/>
          <w:szCs w:val="24"/>
        </w:rPr>
        <w:t xml:space="preserve">Post-Separation Dynamics after Five </w:t>
      </w:r>
      <w:r w:rsidRPr="00D326B1">
        <w:rPr>
          <w:i/>
          <w:noProof/>
          <w:sz w:val="24"/>
          <w:szCs w:val="24"/>
        </w:rPr>
        <w:t>Years</w:t>
      </w:r>
      <w:r w:rsidRPr="00D326B1">
        <w:rPr>
          <w:sz w:val="24"/>
          <w:szCs w:val="24"/>
        </w:rPr>
        <w:t xml:space="preserve"> and </w:t>
      </w:r>
      <w:r w:rsidRPr="00D326B1">
        <w:rPr>
          <w:i/>
          <w:sz w:val="24"/>
          <w:szCs w:val="24"/>
        </w:rPr>
        <w:t>Division of Matrimonial Property,</w:t>
      </w:r>
      <w:r w:rsidRPr="00D326B1">
        <w:rPr>
          <w:sz w:val="24"/>
          <w:szCs w:val="24"/>
        </w:rPr>
        <w:t xml:space="preserve"> 22 % of mothers (or wives) received more than 80 % of the property. In </w:t>
      </w:r>
      <w:r w:rsidRPr="00D326B1">
        <w:rPr>
          <w:i/>
          <w:sz w:val="24"/>
          <w:szCs w:val="24"/>
        </w:rPr>
        <w:t>Settling Up</w:t>
      </w:r>
      <w:r w:rsidRPr="00D326B1">
        <w:rPr>
          <w:sz w:val="24"/>
          <w:szCs w:val="24"/>
        </w:rPr>
        <w:t xml:space="preserve">, 13 % of mothers (or views) received more than 80 % of the property. </w:t>
      </w:r>
    </w:p>
    <w:p w:rsidR="0059630E" w:rsidRDefault="00D7730B" w:rsidP="0059630E">
      <w:pPr>
        <w:pStyle w:val="ListParagraph"/>
        <w:numPr>
          <w:ilvl w:val="0"/>
          <w:numId w:val="52"/>
        </w:numPr>
        <w:spacing w:after="0" w:line="360" w:lineRule="auto"/>
        <w:jc w:val="both"/>
        <w:rPr>
          <w:sz w:val="24"/>
          <w:szCs w:val="24"/>
        </w:rPr>
      </w:pPr>
      <w:r w:rsidRPr="00D326B1">
        <w:rPr>
          <w:sz w:val="24"/>
          <w:szCs w:val="24"/>
        </w:rPr>
        <w:t xml:space="preserve">The second inconsistency is in the 60-79 % band. The sample result (38 %) </w:t>
      </w:r>
      <w:r w:rsidR="0059630E">
        <w:rPr>
          <w:sz w:val="24"/>
          <w:szCs w:val="24"/>
        </w:rPr>
        <w:t>wa</w:t>
      </w:r>
      <w:r w:rsidRPr="00D326B1">
        <w:rPr>
          <w:sz w:val="24"/>
          <w:szCs w:val="24"/>
        </w:rPr>
        <w:t xml:space="preserve">s larger than the other studies. In </w:t>
      </w:r>
      <w:r w:rsidRPr="00D326B1">
        <w:rPr>
          <w:i/>
          <w:sz w:val="24"/>
          <w:szCs w:val="24"/>
        </w:rPr>
        <w:t>Settling Up</w:t>
      </w:r>
      <w:r w:rsidRPr="00D326B1">
        <w:rPr>
          <w:sz w:val="24"/>
          <w:szCs w:val="24"/>
        </w:rPr>
        <w:t xml:space="preserve">, only 18 % of mothers (or wives) received amounts in this band. In </w:t>
      </w:r>
      <w:r w:rsidRPr="00D326B1">
        <w:rPr>
          <w:i/>
          <w:sz w:val="24"/>
          <w:szCs w:val="24"/>
        </w:rPr>
        <w:t>Division of Matrimonial Property,</w:t>
      </w:r>
      <w:r w:rsidRPr="00D326B1">
        <w:rPr>
          <w:sz w:val="24"/>
          <w:szCs w:val="24"/>
        </w:rPr>
        <w:t xml:space="preserve"> 20 % of </w:t>
      </w:r>
      <w:r w:rsidRPr="00D326B1">
        <w:rPr>
          <w:noProof/>
          <w:sz w:val="24"/>
          <w:szCs w:val="24"/>
        </w:rPr>
        <w:t>mothers</w:t>
      </w:r>
      <w:r w:rsidR="00856E53" w:rsidRPr="00D326B1">
        <w:rPr>
          <w:noProof/>
          <w:sz w:val="24"/>
          <w:szCs w:val="24"/>
        </w:rPr>
        <w:t>/</w:t>
      </w:r>
      <w:r w:rsidRPr="00D326B1">
        <w:rPr>
          <w:noProof/>
          <w:sz w:val="24"/>
          <w:szCs w:val="24"/>
        </w:rPr>
        <w:t>wives</w:t>
      </w:r>
      <w:r w:rsidRPr="00D326B1">
        <w:rPr>
          <w:sz w:val="24"/>
          <w:szCs w:val="24"/>
        </w:rPr>
        <w:t xml:space="preserve"> were in this result band, and the result was 25% in </w:t>
      </w:r>
      <w:r w:rsidRPr="00D326B1">
        <w:rPr>
          <w:i/>
          <w:sz w:val="24"/>
          <w:szCs w:val="24"/>
        </w:rPr>
        <w:t>Post-Separation Dynamics after Five Years</w:t>
      </w:r>
      <w:r w:rsidRPr="00D326B1">
        <w:rPr>
          <w:sz w:val="24"/>
          <w:szCs w:val="24"/>
        </w:rPr>
        <w:t>.</w:t>
      </w:r>
      <w:r w:rsidR="0059630E">
        <w:rPr>
          <w:sz w:val="24"/>
          <w:szCs w:val="24"/>
        </w:rPr>
        <w:t xml:space="preserve"> </w:t>
      </w:r>
    </w:p>
    <w:p w:rsidR="0059630E" w:rsidRDefault="0059630E" w:rsidP="0059630E">
      <w:pPr>
        <w:pStyle w:val="ListParagraph"/>
        <w:numPr>
          <w:ilvl w:val="0"/>
          <w:numId w:val="52"/>
        </w:numPr>
        <w:spacing w:after="0" w:line="360" w:lineRule="auto"/>
        <w:jc w:val="both"/>
        <w:rPr>
          <w:sz w:val="24"/>
          <w:szCs w:val="24"/>
        </w:rPr>
      </w:pPr>
      <w:r w:rsidRPr="0059630E">
        <w:rPr>
          <w:sz w:val="24"/>
          <w:szCs w:val="24"/>
        </w:rPr>
        <w:t xml:space="preserve">The </w:t>
      </w:r>
      <w:r w:rsidR="00D7730B" w:rsidRPr="0059630E">
        <w:rPr>
          <w:sz w:val="24"/>
          <w:szCs w:val="24"/>
        </w:rPr>
        <w:t xml:space="preserve">consistency is </w:t>
      </w:r>
      <w:r w:rsidR="00D7730B" w:rsidRPr="0059630E">
        <w:rPr>
          <w:noProof/>
          <w:sz w:val="24"/>
          <w:szCs w:val="24"/>
        </w:rPr>
        <w:t>that</w:t>
      </w:r>
      <w:r w:rsidR="00D7730B" w:rsidRPr="0059630E">
        <w:rPr>
          <w:sz w:val="24"/>
          <w:szCs w:val="24"/>
        </w:rPr>
        <w:t xml:space="preserve"> in all five studies (including </w:t>
      </w:r>
      <w:r>
        <w:rPr>
          <w:sz w:val="24"/>
          <w:szCs w:val="24"/>
        </w:rPr>
        <w:t>mine</w:t>
      </w:r>
      <w:r w:rsidR="00D7730B" w:rsidRPr="0059630E">
        <w:rPr>
          <w:sz w:val="24"/>
          <w:szCs w:val="24"/>
        </w:rPr>
        <w:t xml:space="preserve">) many cases had results somewhere between 40 % and 80 % to the mother (or wife). The sample’s cases had 79 % in this range, </w:t>
      </w:r>
      <w:r w:rsidR="00D7730B" w:rsidRPr="0059630E">
        <w:rPr>
          <w:i/>
          <w:sz w:val="24"/>
          <w:szCs w:val="24"/>
        </w:rPr>
        <w:t>Settling Up</w:t>
      </w:r>
      <w:r w:rsidR="00D7730B" w:rsidRPr="0059630E">
        <w:rPr>
          <w:sz w:val="24"/>
          <w:szCs w:val="24"/>
        </w:rPr>
        <w:t xml:space="preserve"> had 57 %, </w:t>
      </w:r>
      <w:r w:rsidR="00D7730B" w:rsidRPr="0059630E">
        <w:rPr>
          <w:i/>
          <w:sz w:val="24"/>
          <w:szCs w:val="24"/>
        </w:rPr>
        <w:t>Division of Matrimonial Property</w:t>
      </w:r>
      <w:r w:rsidR="00D7730B" w:rsidRPr="0059630E">
        <w:rPr>
          <w:sz w:val="24"/>
          <w:szCs w:val="24"/>
        </w:rPr>
        <w:t xml:space="preserve"> had 49 %, </w:t>
      </w:r>
      <w:r w:rsidR="00D7730B" w:rsidRPr="0059630E">
        <w:rPr>
          <w:i/>
          <w:sz w:val="24"/>
          <w:szCs w:val="24"/>
        </w:rPr>
        <w:t>Post-Separation Dynamics after Five Years</w:t>
      </w:r>
      <w:r w:rsidR="00D7730B" w:rsidRPr="0059630E">
        <w:rPr>
          <w:sz w:val="24"/>
          <w:szCs w:val="24"/>
        </w:rPr>
        <w:t xml:space="preserve"> had 59 %, and </w:t>
      </w:r>
      <w:r w:rsidR="00D7730B" w:rsidRPr="0059630E">
        <w:rPr>
          <w:i/>
          <w:sz w:val="24"/>
          <w:szCs w:val="24"/>
        </w:rPr>
        <w:t xml:space="preserve">Property Division After Separation </w:t>
      </w:r>
      <w:r w:rsidR="00D7730B" w:rsidRPr="0059630E">
        <w:rPr>
          <w:sz w:val="24"/>
          <w:szCs w:val="24"/>
        </w:rPr>
        <w:t>had 57 %. The comparison results follow:</w:t>
      </w:r>
    </w:p>
    <w:p w:rsidR="0059630E" w:rsidRDefault="0059630E" w:rsidP="0059630E">
      <w:pPr>
        <w:spacing w:after="0" w:line="360" w:lineRule="auto"/>
        <w:jc w:val="both"/>
        <w:rPr>
          <w:sz w:val="24"/>
          <w:szCs w:val="24"/>
        </w:rPr>
      </w:pPr>
    </w:p>
    <w:p w:rsidR="0059630E" w:rsidRDefault="0059630E" w:rsidP="0059630E">
      <w:pPr>
        <w:spacing w:after="0" w:line="360" w:lineRule="auto"/>
        <w:jc w:val="both"/>
        <w:rPr>
          <w:sz w:val="24"/>
          <w:szCs w:val="24"/>
        </w:rPr>
      </w:pPr>
    </w:p>
    <w:p w:rsidR="0059630E" w:rsidRDefault="0059630E" w:rsidP="0059630E">
      <w:pPr>
        <w:spacing w:after="0" w:line="360" w:lineRule="auto"/>
        <w:jc w:val="both"/>
        <w:rPr>
          <w:sz w:val="24"/>
          <w:szCs w:val="24"/>
        </w:rPr>
      </w:pPr>
    </w:p>
    <w:p w:rsidR="0059630E" w:rsidRDefault="0059630E" w:rsidP="0059630E">
      <w:pPr>
        <w:spacing w:after="0" w:line="360" w:lineRule="auto"/>
        <w:jc w:val="both"/>
        <w:rPr>
          <w:sz w:val="24"/>
          <w:szCs w:val="24"/>
        </w:rPr>
      </w:pPr>
    </w:p>
    <w:p w:rsidR="0059630E" w:rsidRDefault="0059630E" w:rsidP="0059630E">
      <w:pPr>
        <w:spacing w:after="0" w:line="360" w:lineRule="auto"/>
        <w:jc w:val="both"/>
        <w:rPr>
          <w:sz w:val="24"/>
          <w:szCs w:val="24"/>
        </w:rPr>
      </w:pPr>
    </w:p>
    <w:p w:rsidR="0059630E" w:rsidRDefault="0059630E" w:rsidP="0059630E">
      <w:pPr>
        <w:spacing w:after="0" w:line="360" w:lineRule="auto"/>
        <w:jc w:val="both"/>
        <w:rPr>
          <w:sz w:val="24"/>
          <w:szCs w:val="24"/>
        </w:rPr>
      </w:pPr>
    </w:p>
    <w:p w:rsidR="0059630E" w:rsidRDefault="0059630E" w:rsidP="0059630E">
      <w:pPr>
        <w:spacing w:after="0" w:line="360" w:lineRule="auto"/>
        <w:jc w:val="both"/>
        <w:rPr>
          <w:sz w:val="24"/>
          <w:szCs w:val="24"/>
        </w:rPr>
      </w:pPr>
    </w:p>
    <w:p w:rsidR="0059630E" w:rsidRDefault="0059630E" w:rsidP="0059630E">
      <w:pPr>
        <w:spacing w:after="0" w:line="360" w:lineRule="auto"/>
        <w:jc w:val="both"/>
        <w:rPr>
          <w:sz w:val="24"/>
          <w:szCs w:val="24"/>
        </w:rPr>
      </w:pPr>
    </w:p>
    <w:p w:rsidR="0059630E" w:rsidRPr="0059630E" w:rsidRDefault="0059630E" w:rsidP="0059630E">
      <w:pPr>
        <w:spacing w:after="0" w:line="360" w:lineRule="auto"/>
        <w:jc w:val="both"/>
        <w:rPr>
          <w:sz w:val="24"/>
          <w:szCs w:val="24"/>
        </w:rPr>
      </w:pPr>
    </w:p>
    <w:p w:rsidR="00A80012" w:rsidRPr="00C233EE" w:rsidRDefault="00C233EE" w:rsidP="001002F5">
      <w:pPr>
        <w:spacing w:after="0" w:line="240" w:lineRule="auto"/>
        <w:jc w:val="center"/>
        <w:rPr>
          <w:rFonts w:eastAsia="Times New Roman" w:cstheme="minorHAnsi"/>
          <w:b/>
          <w:sz w:val="24"/>
          <w:szCs w:val="24"/>
        </w:rPr>
      </w:pPr>
      <w:r w:rsidRPr="00C233EE">
        <w:rPr>
          <w:rFonts w:eastAsia="Times New Roman" w:cstheme="minorHAnsi"/>
          <w:b/>
          <w:sz w:val="24"/>
          <w:szCs w:val="24"/>
        </w:rPr>
        <w:lastRenderedPageBreak/>
        <w:t xml:space="preserve">Comparison of 20 </w:t>
      </w:r>
      <w:r w:rsidR="00D7730B">
        <w:rPr>
          <w:rFonts w:eastAsia="Times New Roman" w:cstheme="minorHAnsi"/>
          <w:b/>
          <w:sz w:val="24"/>
          <w:szCs w:val="24"/>
        </w:rPr>
        <w:t>%</w:t>
      </w:r>
      <w:r w:rsidRPr="00C233EE">
        <w:rPr>
          <w:rFonts w:eastAsia="Times New Roman" w:cstheme="minorHAnsi"/>
          <w:b/>
          <w:sz w:val="24"/>
          <w:szCs w:val="24"/>
        </w:rPr>
        <w:t xml:space="preserve"> Result Bands (Net Property Received by Value Including Superannuation) Settling Up, Division of Matrimonial Property, Post-Separation Dynamics after Five Years, Property Division After Separation, Sample (W= Wife or Mother) (Rounded)</w:t>
      </w:r>
    </w:p>
    <w:p w:rsidR="00D7730B" w:rsidRPr="00D7730B" w:rsidRDefault="00C233EE" w:rsidP="0059630E">
      <w:pPr>
        <w:spacing w:after="0" w:line="360" w:lineRule="auto"/>
        <w:jc w:val="center"/>
      </w:pPr>
      <w:r>
        <w:rPr>
          <w:noProof/>
          <w:lang w:eastAsia="en-AU"/>
        </w:rPr>
        <w:drawing>
          <wp:inline distT="0" distB="0" distL="0" distR="0">
            <wp:extent cx="5210175" cy="2400200"/>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cstate="print"/>
                    <a:srcRect b="1844"/>
                    <a:stretch/>
                  </pic:blipFill>
                  <pic:spPr bwMode="auto">
                    <a:xfrm>
                      <a:off x="0" y="0"/>
                      <a:ext cx="5274384" cy="242978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sidR="00D7730B" w:rsidRPr="00D7730B">
        <w:rPr>
          <w:vertAlign w:val="superscript"/>
        </w:rPr>
        <w:endnoteReference w:id="98"/>
      </w:r>
    </w:p>
    <w:p w:rsidR="00D326B1" w:rsidRPr="001002F5" w:rsidRDefault="00E84E98" w:rsidP="001002F5">
      <w:pPr>
        <w:pStyle w:val="ListParagraph"/>
        <w:numPr>
          <w:ilvl w:val="0"/>
          <w:numId w:val="52"/>
        </w:numPr>
        <w:spacing w:after="0" w:line="360" w:lineRule="auto"/>
        <w:jc w:val="both"/>
        <w:rPr>
          <w:sz w:val="24"/>
          <w:szCs w:val="24"/>
        </w:rPr>
      </w:pPr>
      <w:r w:rsidRPr="00D326B1">
        <w:rPr>
          <w:sz w:val="24"/>
          <w:szCs w:val="24"/>
        </w:rPr>
        <w:t xml:space="preserve">To my knowledge, </w:t>
      </w:r>
      <w:r w:rsidR="0059630E">
        <w:rPr>
          <w:sz w:val="24"/>
          <w:szCs w:val="24"/>
        </w:rPr>
        <w:t xml:space="preserve">my research </w:t>
      </w:r>
      <w:r w:rsidRPr="00D326B1">
        <w:rPr>
          <w:sz w:val="24"/>
          <w:szCs w:val="24"/>
        </w:rPr>
        <w:t xml:space="preserve">is the first </w:t>
      </w:r>
      <w:r w:rsidR="003141D1">
        <w:rPr>
          <w:sz w:val="24"/>
          <w:szCs w:val="24"/>
        </w:rPr>
        <w:t xml:space="preserve">quantitative analysis of </w:t>
      </w:r>
      <w:r w:rsidRPr="00D326B1">
        <w:rPr>
          <w:sz w:val="24"/>
          <w:szCs w:val="24"/>
        </w:rPr>
        <w:t>judicial decisions</w:t>
      </w:r>
      <w:r w:rsidR="00B53896" w:rsidRPr="00D326B1">
        <w:rPr>
          <w:sz w:val="24"/>
          <w:szCs w:val="24"/>
        </w:rPr>
        <w:t xml:space="preserve"> using (in effect) elements of the ‘four-step’ </w:t>
      </w:r>
      <w:r w:rsidR="003141D1" w:rsidRPr="00D326B1">
        <w:rPr>
          <w:sz w:val="24"/>
          <w:szCs w:val="24"/>
        </w:rPr>
        <w:t>process</w:t>
      </w:r>
      <w:r w:rsidR="003141D1">
        <w:rPr>
          <w:sz w:val="24"/>
          <w:szCs w:val="24"/>
        </w:rPr>
        <w:t>.</w:t>
      </w:r>
      <w:r w:rsidR="00B53896" w:rsidRPr="00D326B1">
        <w:rPr>
          <w:sz w:val="24"/>
          <w:szCs w:val="24"/>
        </w:rPr>
        <w:t xml:space="preserve"> My view is that it is worthwhile extending (or reproducing) this research over </w:t>
      </w:r>
      <w:r w:rsidR="00B53896" w:rsidRPr="00D326B1">
        <w:rPr>
          <w:noProof/>
          <w:sz w:val="24"/>
          <w:szCs w:val="24"/>
        </w:rPr>
        <w:t xml:space="preserve">a </w:t>
      </w:r>
      <w:r w:rsidR="00856E53" w:rsidRPr="00D326B1">
        <w:rPr>
          <w:noProof/>
          <w:sz w:val="24"/>
          <w:szCs w:val="24"/>
        </w:rPr>
        <w:t>more substantial</w:t>
      </w:r>
      <w:r w:rsidR="00B53896" w:rsidRPr="00D326B1">
        <w:rPr>
          <w:sz w:val="24"/>
          <w:szCs w:val="24"/>
        </w:rPr>
        <w:t xml:space="preserve"> number of judicial decisions to provide the best possible understanding of judicial decision-making.</w:t>
      </w:r>
      <w:r w:rsidR="00DA4ADE" w:rsidRPr="00D326B1">
        <w:rPr>
          <w:sz w:val="24"/>
          <w:szCs w:val="24"/>
        </w:rPr>
        <w:t xml:space="preserve"> </w:t>
      </w:r>
    </w:p>
    <w:p w:rsidR="00E84E98" w:rsidRPr="00D326B1" w:rsidRDefault="0059630E" w:rsidP="009A0126">
      <w:pPr>
        <w:pStyle w:val="ListParagraph"/>
        <w:numPr>
          <w:ilvl w:val="0"/>
          <w:numId w:val="52"/>
        </w:numPr>
        <w:spacing w:after="0" w:line="360" w:lineRule="auto"/>
        <w:jc w:val="both"/>
        <w:rPr>
          <w:sz w:val="24"/>
          <w:szCs w:val="24"/>
        </w:rPr>
      </w:pPr>
      <w:r>
        <w:rPr>
          <w:sz w:val="24"/>
          <w:szCs w:val="24"/>
        </w:rPr>
        <w:t>The reason is that u</w:t>
      </w:r>
      <w:r w:rsidR="00DA4ADE" w:rsidRPr="00D326B1">
        <w:rPr>
          <w:sz w:val="24"/>
          <w:szCs w:val="24"/>
        </w:rPr>
        <w:t>nless we know whether current</w:t>
      </w:r>
      <w:r w:rsidR="00522160">
        <w:rPr>
          <w:sz w:val="24"/>
          <w:szCs w:val="24"/>
        </w:rPr>
        <w:t xml:space="preserve"> judicial</w:t>
      </w:r>
      <w:r w:rsidR="00DA4ADE" w:rsidRPr="00D326B1">
        <w:rPr>
          <w:sz w:val="24"/>
          <w:szCs w:val="24"/>
        </w:rPr>
        <w:t xml:space="preserve"> decisions are unfair, it is difficult to </w:t>
      </w:r>
      <w:r w:rsidR="00856E53" w:rsidRPr="00D326B1">
        <w:rPr>
          <w:noProof/>
          <w:sz w:val="24"/>
          <w:szCs w:val="24"/>
        </w:rPr>
        <w:t>understand</w:t>
      </w:r>
      <w:r w:rsidR="00DA4ADE" w:rsidRPr="00D326B1">
        <w:rPr>
          <w:sz w:val="24"/>
          <w:szCs w:val="24"/>
        </w:rPr>
        <w:t xml:space="preserve"> how to make </w:t>
      </w:r>
      <w:r w:rsidR="00266985" w:rsidRPr="00D326B1">
        <w:rPr>
          <w:sz w:val="24"/>
          <w:szCs w:val="24"/>
        </w:rPr>
        <w:t>decisions</w:t>
      </w:r>
      <w:r w:rsidR="00DA4ADE" w:rsidRPr="00D326B1">
        <w:rPr>
          <w:sz w:val="24"/>
          <w:szCs w:val="24"/>
        </w:rPr>
        <w:t xml:space="preserve"> </w:t>
      </w:r>
      <w:r w:rsidR="00856E53" w:rsidRPr="00D326B1">
        <w:rPr>
          <w:noProof/>
          <w:sz w:val="24"/>
          <w:szCs w:val="24"/>
        </w:rPr>
        <w:t>faire</w:t>
      </w:r>
      <w:r w:rsidR="00DA4ADE" w:rsidRPr="00D326B1">
        <w:rPr>
          <w:noProof/>
          <w:sz w:val="24"/>
          <w:szCs w:val="24"/>
        </w:rPr>
        <w:t>r</w:t>
      </w:r>
      <w:r w:rsidR="00DA4ADE" w:rsidRPr="00D326B1">
        <w:rPr>
          <w:sz w:val="24"/>
          <w:szCs w:val="24"/>
        </w:rPr>
        <w:t>. On that basis I recommend:</w:t>
      </w:r>
    </w:p>
    <w:tbl>
      <w:tblPr>
        <w:tblStyle w:val="TableGrid"/>
        <w:tblW w:w="0" w:type="auto"/>
        <w:tblLook w:val="04A0"/>
      </w:tblPr>
      <w:tblGrid>
        <w:gridCol w:w="9016"/>
      </w:tblGrid>
      <w:tr w:rsidR="00B53896" w:rsidTr="00B53896">
        <w:tc>
          <w:tcPr>
            <w:tcW w:w="9016" w:type="dxa"/>
          </w:tcPr>
          <w:p w:rsidR="00B53896" w:rsidRPr="0022575B" w:rsidRDefault="00B53896" w:rsidP="00462142">
            <w:pPr>
              <w:pStyle w:val="Heading3"/>
              <w:spacing w:before="0" w:line="360" w:lineRule="auto"/>
              <w:outlineLvl w:val="2"/>
              <w:rPr>
                <w:i/>
                <w:color w:val="auto"/>
              </w:rPr>
            </w:pPr>
            <w:bookmarkStart w:id="35" w:name="_Toc512895949"/>
            <w:bookmarkStart w:id="36" w:name="_Hlk510804664"/>
            <w:r w:rsidRPr="008F1051">
              <w:rPr>
                <w:i/>
                <w:color w:val="auto"/>
              </w:rPr>
              <w:t xml:space="preserve">Recommendation </w:t>
            </w:r>
            <w:r>
              <w:rPr>
                <w:i/>
                <w:color w:val="auto"/>
              </w:rPr>
              <w:t>8</w:t>
            </w:r>
            <w:bookmarkEnd w:id="35"/>
          </w:p>
          <w:p w:rsidR="00B53896" w:rsidRPr="00522160" w:rsidRDefault="00B53896" w:rsidP="00522160">
            <w:pPr>
              <w:spacing w:line="360" w:lineRule="auto"/>
              <w:jc w:val="both"/>
              <w:rPr>
                <w:i/>
                <w:sz w:val="24"/>
                <w:szCs w:val="24"/>
              </w:rPr>
            </w:pPr>
            <w:r>
              <w:rPr>
                <w:i/>
                <w:sz w:val="24"/>
                <w:szCs w:val="24"/>
              </w:rPr>
              <w:t xml:space="preserve">That, before making substantive changes to section 79 of the Act (including section 90SM), the Commission </w:t>
            </w:r>
            <w:r w:rsidRPr="00856E53">
              <w:rPr>
                <w:i/>
                <w:noProof/>
                <w:sz w:val="24"/>
                <w:szCs w:val="24"/>
              </w:rPr>
              <w:t>recommend</w:t>
            </w:r>
            <w:r w:rsidR="00856E53">
              <w:rPr>
                <w:i/>
                <w:noProof/>
                <w:sz w:val="24"/>
                <w:szCs w:val="24"/>
              </w:rPr>
              <w:t>s</w:t>
            </w:r>
            <w:r w:rsidRPr="00E84E98">
              <w:rPr>
                <w:i/>
                <w:sz w:val="24"/>
                <w:szCs w:val="24"/>
              </w:rPr>
              <w:t xml:space="preserve"> that an organisation (such as – but not necessarily limited to AIFS) undertake </w:t>
            </w:r>
            <w:r w:rsidR="00522160">
              <w:rPr>
                <w:i/>
                <w:sz w:val="24"/>
                <w:szCs w:val="24"/>
              </w:rPr>
              <w:t>further</w:t>
            </w:r>
            <w:r w:rsidRPr="00E84E98">
              <w:rPr>
                <w:i/>
                <w:sz w:val="24"/>
                <w:szCs w:val="24"/>
              </w:rPr>
              <w:t xml:space="preserve"> quantitative research of </w:t>
            </w:r>
            <w:r>
              <w:rPr>
                <w:i/>
                <w:sz w:val="24"/>
                <w:szCs w:val="24"/>
              </w:rPr>
              <w:t>judicial decisions</w:t>
            </w:r>
            <w:r w:rsidR="00522160">
              <w:rPr>
                <w:i/>
                <w:sz w:val="24"/>
                <w:szCs w:val="24"/>
              </w:rPr>
              <w:t>.</w:t>
            </w:r>
            <w:r>
              <w:rPr>
                <w:i/>
                <w:sz w:val="24"/>
                <w:szCs w:val="24"/>
              </w:rPr>
              <w:t xml:space="preserve"> </w:t>
            </w:r>
          </w:p>
        </w:tc>
      </w:tr>
    </w:tbl>
    <w:p w:rsidR="00D7730B" w:rsidRDefault="00D7730B" w:rsidP="00462142">
      <w:pPr>
        <w:spacing w:after="0" w:line="360" w:lineRule="auto"/>
      </w:pPr>
    </w:p>
    <w:p w:rsidR="00462142" w:rsidRDefault="00462142" w:rsidP="00462142">
      <w:pPr>
        <w:spacing w:after="0" w:line="360" w:lineRule="auto"/>
      </w:pPr>
    </w:p>
    <w:p w:rsidR="00DA4ADE" w:rsidRPr="006635E1" w:rsidRDefault="00D973FF" w:rsidP="006635E1">
      <w:pPr>
        <w:pStyle w:val="Heading2"/>
        <w:spacing w:before="0" w:line="360" w:lineRule="auto"/>
        <w:rPr>
          <w:color w:val="auto"/>
          <w:sz w:val="28"/>
          <w:szCs w:val="28"/>
        </w:rPr>
      </w:pPr>
      <w:bookmarkStart w:id="37" w:name="_Toc510193252"/>
      <w:bookmarkStart w:id="38" w:name="_Hlk510803889"/>
      <w:bookmarkStart w:id="39" w:name="_Toc512895950"/>
      <w:bookmarkEnd w:id="36"/>
      <w:r w:rsidRPr="004E3003">
        <w:rPr>
          <w:color w:val="auto"/>
          <w:sz w:val="28"/>
          <w:szCs w:val="28"/>
        </w:rPr>
        <w:t>II</w:t>
      </w:r>
      <w:r w:rsidR="00A645C3">
        <w:rPr>
          <w:color w:val="auto"/>
          <w:sz w:val="28"/>
          <w:szCs w:val="28"/>
        </w:rPr>
        <w:t>I</w:t>
      </w:r>
      <w:r w:rsidRPr="004E3003">
        <w:rPr>
          <w:color w:val="auto"/>
          <w:sz w:val="28"/>
          <w:szCs w:val="28"/>
        </w:rPr>
        <w:t xml:space="preserve"> </w:t>
      </w:r>
      <w:r w:rsidR="00B53896">
        <w:rPr>
          <w:color w:val="auto"/>
          <w:sz w:val="28"/>
          <w:szCs w:val="28"/>
        </w:rPr>
        <w:t xml:space="preserve">Reform </w:t>
      </w:r>
      <w:r w:rsidR="00504EEE">
        <w:rPr>
          <w:color w:val="auto"/>
          <w:sz w:val="28"/>
          <w:szCs w:val="28"/>
        </w:rPr>
        <w:t>Options</w:t>
      </w:r>
      <w:r w:rsidR="00B53896">
        <w:rPr>
          <w:color w:val="auto"/>
          <w:sz w:val="28"/>
          <w:szCs w:val="28"/>
        </w:rPr>
        <w:t xml:space="preserve">: </w:t>
      </w:r>
      <w:r w:rsidRPr="004E3003">
        <w:rPr>
          <w:color w:val="auto"/>
          <w:sz w:val="28"/>
          <w:szCs w:val="28"/>
        </w:rPr>
        <w:t xml:space="preserve">Australia’s System v </w:t>
      </w:r>
      <w:bookmarkEnd w:id="37"/>
      <w:r w:rsidRPr="004E3003">
        <w:rPr>
          <w:color w:val="auto"/>
          <w:sz w:val="28"/>
          <w:szCs w:val="28"/>
        </w:rPr>
        <w:t>Comparable Common Law Systems</w:t>
      </w:r>
      <w:bookmarkEnd w:id="38"/>
      <w:bookmarkEnd w:id="39"/>
    </w:p>
    <w:p w:rsidR="00DA4ADE" w:rsidRPr="00D326B1" w:rsidRDefault="00DA4ADE" w:rsidP="009A0126">
      <w:pPr>
        <w:pStyle w:val="ListParagraph"/>
        <w:numPr>
          <w:ilvl w:val="0"/>
          <w:numId w:val="52"/>
        </w:numPr>
        <w:spacing w:after="0" w:line="360" w:lineRule="auto"/>
        <w:jc w:val="both"/>
        <w:rPr>
          <w:sz w:val="24"/>
          <w:szCs w:val="24"/>
        </w:rPr>
      </w:pPr>
      <w:r w:rsidRPr="00D326B1">
        <w:rPr>
          <w:sz w:val="24"/>
          <w:szCs w:val="24"/>
        </w:rPr>
        <w:t>This section looks at potential alternative</w:t>
      </w:r>
      <w:r w:rsidR="0059630E">
        <w:rPr>
          <w:sz w:val="24"/>
          <w:szCs w:val="24"/>
        </w:rPr>
        <w:t xml:space="preserve"> laws</w:t>
      </w:r>
      <w:r w:rsidRPr="00D326B1">
        <w:rPr>
          <w:sz w:val="24"/>
          <w:szCs w:val="24"/>
        </w:rPr>
        <w:t>, in particular:</w:t>
      </w:r>
    </w:p>
    <w:p w:rsidR="00DA4ADE" w:rsidRPr="00DA4ADE" w:rsidRDefault="00DA4ADE" w:rsidP="009A0126">
      <w:pPr>
        <w:pStyle w:val="ListParagraph"/>
        <w:numPr>
          <w:ilvl w:val="0"/>
          <w:numId w:val="19"/>
        </w:numPr>
        <w:spacing w:after="0" w:line="360" w:lineRule="auto"/>
        <w:jc w:val="both"/>
        <w:rPr>
          <w:sz w:val="24"/>
          <w:szCs w:val="24"/>
        </w:rPr>
      </w:pPr>
      <w:r w:rsidRPr="00DA4ADE">
        <w:rPr>
          <w:sz w:val="24"/>
          <w:szCs w:val="24"/>
        </w:rPr>
        <w:t>New Zealand</w:t>
      </w:r>
    </w:p>
    <w:p w:rsidR="00DA4ADE" w:rsidRPr="00DA4ADE" w:rsidRDefault="00875BAC" w:rsidP="009A0126">
      <w:pPr>
        <w:pStyle w:val="ListParagraph"/>
        <w:numPr>
          <w:ilvl w:val="0"/>
          <w:numId w:val="19"/>
        </w:numPr>
        <w:spacing w:after="0" w:line="360" w:lineRule="auto"/>
        <w:jc w:val="both"/>
        <w:rPr>
          <w:sz w:val="24"/>
          <w:szCs w:val="24"/>
        </w:rPr>
      </w:pPr>
      <w:r>
        <w:rPr>
          <w:noProof/>
          <w:sz w:val="24"/>
          <w:szCs w:val="24"/>
        </w:rPr>
        <w:t xml:space="preserve">The </w:t>
      </w:r>
      <w:r w:rsidR="00DA4ADE" w:rsidRPr="00875BAC">
        <w:rPr>
          <w:noProof/>
          <w:sz w:val="24"/>
          <w:szCs w:val="24"/>
        </w:rPr>
        <w:t>United</w:t>
      </w:r>
      <w:r w:rsidR="00DA4ADE" w:rsidRPr="00DA4ADE">
        <w:rPr>
          <w:sz w:val="24"/>
          <w:szCs w:val="24"/>
        </w:rPr>
        <w:t xml:space="preserve"> Kingdom, and </w:t>
      </w:r>
    </w:p>
    <w:p w:rsidR="00DA4ADE" w:rsidRPr="00522160" w:rsidRDefault="00DA4ADE" w:rsidP="00462142">
      <w:pPr>
        <w:pStyle w:val="ListParagraph"/>
        <w:numPr>
          <w:ilvl w:val="0"/>
          <w:numId w:val="19"/>
        </w:numPr>
        <w:spacing w:after="0" w:line="360" w:lineRule="auto"/>
        <w:jc w:val="both"/>
        <w:rPr>
          <w:sz w:val="24"/>
          <w:szCs w:val="24"/>
        </w:rPr>
      </w:pPr>
      <w:r w:rsidRPr="00DA4ADE">
        <w:rPr>
          <w:sz w:val="24"/>
          <w:szCs w:val="24"/>
        </w:rPr>
        <w:t>Some provincial Canadian law.</w:t>
      </w:r>
    </w:p>
    <w:p w:rsidR="00DA4ADE" w:rsidRPr="001002F5" w:rsidRDefault="00D973FF" w:rsidP="00462142">
      <w:pPr>
        <w:pStyle w:val="ListParagraph"/>
        <w:numPr>
          <w:ilvl w:val="0"/>
          <w:numId w:val="52"/>
        </w:numPr>
        <w:spacing w:after="0" w:line="360" w:lineRule="auto"/>
        <w:jc w:val="both"/>
        <w:rPr>
          <w:sz w:val="24"/>
          <w:szCs w:val="24"/>
        </w:rPr>
      </w:pPr>
      <w:r w:rsidRPr="00D326B1">
        <w:rPr>
          <w:sz w:val="24"/>
          <w:szCs w:val="24"/>
        </w:rPr>
        <w:t>Th</w:t>
      </w:r>
      <w:r w:rsidR="00DA4ADE" w:rsidRPr="00D326B1">
        <w:rPr>
          <w:sz w:val="24"/>
          <w:szCs w:val="24"/>
        </w:rPr>
        <w:t>is</w:t>
      </w:r>
      <w:r w:rsidRPr="00D326B1">
        <w:rPr>
          <w:sz w:val="24"/>
          <w:szCs w:val="24"/>
        </w:rPr>
        <w:t xml:space="preserve"> </w:t>
      </w:r>
      <w:r w:rsidR="00462142" w:rsidRPr="00D326B1">
        <w:rPr>
          <w:sz w:val="24"/>
          <w:szCs w:val="24"/>
        </w:rPr>
        <w:t xml:space="preserve">comparison method is not </w:t>
      </w:r>
      <w:r w:rsidR="00462142" w:rsidRPr="00D326B1">
        <w:rPr>
          <w:noProof/>
          <w:sz w:val="24"/>
          <w:szCs w:val="24"/>
        </w:rPr>
        <w:t>new</w:t>
      </w:r>
      <w:r w:rsidR="00462142" w:rsidRPr="00D326B1">
        <w:rPr>
          <w:sz w:val="24"/>
          <w:szCs w:val="24"/>
        </w:rPr>
        <w:t>.</w:t>
      </w:r>
      <w:r w:rsidR="00DA4ADE" w:rsidRPr="00D326B1">
        <w:rPr>
          <w:sz w:val="24"/>
          <w:szCs w:val="24"/>
        </w:rPr>
        <w:t xml:space="preserve"> The </w:t>
      </w:r>
      <w:r w:rsidRPr="00D326B1">
        <w:rPr>
          <w:sz w:val="24"/>
          <w:szCs w:val="24"/>
        </w:rPr>
        <w:t xml:space="preserve">Commission’s 1987 report, </w:t>
      </w:r>
      <w:r w:rsidRPr="00D326B1">
        <w:rPr>
          <w:i/>
          <w:sz w:val="24"/>
          <w:szCs w:val="24"/>
        </w:rPr>
        <w:t>Matrimonial Property</w:t>
      </w:r>
      <w:r w:rsidRPr="00D326B1">
        <w:rPr>
          <w:sz w:val="24"/>
          <w:szCs w:val="24"/>
        </w:rPr>
        <w:t>, examined the laws in Ontario and New Zealand.</w:t>
      </w:r>
      <w:r w:rsidRPr="00DA4ADE">
        <w:rPr>
          <w:vertAlign w:val="superscript"/>
        </w:rPr>
        <w:endnoteReference w:id="99"/>
      </w:r>
      <w:r w:rsidRPr="00D326B1">
        <w:rPr>
          <w:sz w:val="24"/>
          <w:szCs w:val="24"/>
        </w:rPr>
        <w:t xml:space="preserve"> The 1999 Australian Government discussion paper, </w:t>
      </w:r>
      <w:r w:rsidRPr="00D326B1">
        <w:rPr>
          <w:i/>
          <w:sz w:val="24"/>
          <w:szCs w:val="24"/>
        </w:rPr>
        <w:t>Options for Change,</w:t>
      </w:r>
      <w:r w:rsidRPr="00D326B1">
        <w:rPr>
          <w:sz w:val="24"/>
          <w:szCs w:val="24"/>
        </w:rPr>
        <w:t xml:space="preserve"> described the comparable laws in </w:t>
      </w:r>
      <w:r w:rsidRPr="00D326B1">
        <w:rPr>
          <w:sz w:val="24"/>
          <w:szCs w:val="24"/>
        </w:rPr>
        <w:lastRenderedPageBreak/>
        <w:t xml:space="preserve">New Zealand, Canada, </w:t>
      </w:r>
      <w:r w:rsidR="0059630E">
        <w:rPr>
          <w:sz w:val="24"/>
          <w:szCs w:val="24"/>
        </w:rPr>
        <w:t xml:space="preserve">some states in </w:t>
      </w:r>
      <w:r w:rsidRPr="00D326B1">
        <w:rPr>
          <w:sz w:val="24"/>
          <w:szCs w:val="24"/>
        </w:rPr>
        <w:t xml:space="preserve">the United States, and </w:t>
      </w:r>
      <w:r w:rsidR="00856E53" w:rsidRPr="00D326B1">
        <w:rPr>
          <w:sz w:val="24"/>
          <w:szCs w:val="24"/>
        </w:rPr>
        <w:t xml:space="preserve">the </w:t>
      </w:r>
      <w:r w:rsidRPr="00D326B1">
        <w:rPr>
          <w:noProof/>
          <w:sz w:val="24"/>
          <w:szCs w:val="24"/>
        </w:rPr>
        <w:t>United</w:t>
      </w:r>
      <w:r w:rsidRPr="00D326B1">
        <w:rPr>
          <w:sz w:val="24"/>
          <w:szCs w:val="24"/>
        </w:rPr>
        <w:t xml:space="preserve"> Kingdom.</w:t>
      </w:r>
      <w:r w:rsidRPr="00DA4ADE">
        <w:rPr>
          <w:vertAlign w:val="superscript"/>
        </w:rPr>
        <w:endnoteReference w:id="100"/>
      </w:r>
      <w:r w:rsidRPr="00D326B1">
        <w:rPr>
          <w:sz w:val="24"/>
          <w:szCs w:val="24"/>
        </w:rPr>
        <w:t xml:space="preserve"> In 2014, the Australian Productivity Commission examined the New Zealand property settlement legislation.</w:t>
      </w:r>
      <w:r w:rsidRPr="00DA4ADE">
        <w:rPr>
          <w:vertAlign w:val="superscript"/>
        </w:rPr>
        <w:endnoteReference w:id="101"/>
      </w:r>
      <w:r w:rsidRPr="00D326B1">
        <w:rPr>
          <w:sz w:val="24"/>
          <w:szCs w:val="24"/>
        </w:rPr>
        <w:t xml:space="preserve">  </w:t>
      </w:r>
    </w:p>
    <w:p w:rsidR="00DA4ADE" w:rsidRPr="00D326B1" w:rsidRDefault="00DA4ADE" w:rsidP="009A0126">
      <w:pPr>
        <w:pStyle w:val="ListParagraph"/>
        <w:numPr>
          <w:ilvl w:val="0"/>
          <w:numId w:val="52"/>
        </w:numPr>
        <w:spacing w:after="0" w:line="360" w:lineRule="auto"/>
        <w:jc w:val="both"/>
        <w:rPr>
          <w:sz w:val="24"/>
          <w:szCs w:val="24"/>
        </w:rPr>
      </w:pPr>
      <w:r w:rsidRPr="00D326B1">
        <w:rPr>
          <w:sz w:val="24"/>
          <w:szCs w:val="24"/>
        </w:rPr>
        <w:t>The comparisons follow under sub-components:</w:t>
      </w:r>
    </w:p>
    <w:p w:rsidR="00DA4ADE" w:rsidRPr="00DA4ADE" w:rsidRDefault="00DA4ADE" w:rsidP="009A0126">
      <w:pPr>
        <w:pStyle w:val="ListParagraph"/>
        <w:numPr>
          <w:ilvl w:val="0"/>
          <w:numId w:val="20"/>
        </w:numPr>
        <w:spacing w:after="0" w:line="360" w:lineRule="auto"/>
        <w:jc w:val="both"/>
        <w:rPr>
          <w:sz w:val="24"/>
          <w:szCs w:val="24"/>
        </w:rPr>
      </w:pPr>
      <w:r w:rsidRPr="00DA4ADE">
        <w:rPr>
          <w:sz w:val="24"/>
          <w:szCs w:val="24"/>
        </w:rPr>
        <w:t>Objects and principles</w:t>
      </w:r>
      <w:r>
        <w:rPr>
          <w:sz w:val="24"/>
          <w:szCs w:val="24"/>
        </w:rPr>
        <w:t>,</w:t>
      </w:r>
    </w:p>
    <w:p w:rsidR="00DA4ADE" w:rsidRPr="00DA4ADE" w:rsidRDefault="00DA4ADE" w:rsidP="009A0126">
      <w:pPr>
        <w:pStyle w:val="ListParagraph"/>
        <w:numPr>
          <w:ilvl w:val="0"/>
          <w:numId w:val="20"/>
        </w:numPr>
        <w:spacing w:after="0" w:line="360" w:lineRule="auto"/>
        <w:jc w:val="both"/>
        <w:rPr>
          <w:sz w:val="24"/>
          <w:szCs w:val="24"/>
        </w:rPr>
      </w:pPr>
      <w:r w:rsidRPr="00DA4ADE">
        <w:rPr>
          <w:sz w:val="24"/>
          <w:szCs w:val="24"/>
        </w:rPr>
        <w:t xml:space="preserve">Types of </w:t>
      </w:r>
      <w:r w:rsidRPr="00980F2E">
        <w:rPr>
          <w:noProof/>
          <w:sz w:val="24"/>
          <w:szCs w:val="24"/>
        </w:rPr>
        <w:t>property</w:t>
      </w:r>
      <w:r w:rsidRPr="00DA4ADE">
        <w:rPr>
          <w:sz w:val="24"/>
          <w:szCs w:val="24"/>
        </w:rPr>
        <w:t xml:space="preserve"> covered by the regimes</w:t>
      </w:r>
      <w:r>
        <w:rPr>
          <w:sz w:val="24"/>
          <w:szCs w:val="24"/>
        </w:rPr>
        <w:t>,</w:t>
      </w:r>
    </w:p>
    <w:p w:rsidR="00DA4ADE" w:rsidRPr="00E12BAB" w:rsidRDefault="00DA4ADE" w:rsidP="009A0126">
      <w:pPr>
        <w:pStyle w:val="ListParagraph"/>
        <w:numPr>
          <w:ilvl w:val="0"/>
          <w:numId w:val="20"/>
        </w:numPr>
        <w:spacing w:after="0" w:line="360" w:lineRule="auto"/>
        <w:jc w:val="both"/>
        <w:rPr>
          <w:sz w:val="24"/>
          <w:szCs w:val="24"/>
        </w:rPr>
      </w:pPr>
      <w:r w:rsidRPr="00DA4ADE">
        <w:rPr>
          <w:sz w:val="24"/>
          <w:szCs w:val="24"/>
        </w:rPr>
        <w:t>Non-discrimination</w:t>
      </w:r>
      <w:r w:rsidR="00FA09BE">
        <w:rPr>
          <w:sz w:val="24"/>
          <w:szCs w:val="24"/>
        </w:rPr>
        <w:t xml:space="preserve"> and rules of equality</w:t>
      </w:r>
      <w:r w:rsidR="00E12BAB">
        <w:rPr>
          <w:sz w:val="24"/>
          <w:szCs w:val="24"/>
        </w:rPr>
        <w:t>, and r</w:t>
      </w:r>
      <w:r w:rsidRPr="00E12BAB">
        <w:rPr>
          <w:sz w:val="24"/>
          <w:szCs w:val="24"/>
        </w:rPr>
        <w:t>ecognition of financial disadvantage,</w:t>
      </w:r>
    </w:p>
    <w:p w:rsidR="001002F5" w:rsidRPr="0059630E" w:rsidRDefault="00875BAC" w:rsidP="00462142">
      <w:pPr>
        <w:pStyle w:val="ListParagraph"/>
        <w:numPr>
          <w:ilvl w:val="0"/>
          <w:numId w:val="20"/>
        </w:numPr>
        <w:spacing w:after="0" w:line="360" w:lineRule="auto"/>
        <w:jc w:val="both"/>
        <w:rPr>
          <w:sz w:val="24"/>
          <w:szCs w:val="24"/>
        </w:rPr>
      </w:pPr>
      <w:r w:rsidRPr="00FF42A1">
        <w:rPr>
          <w:noProof/>
          <w:sz w:val="24"/>
          <w:szCs w:val="24"/>
        </w:rPr>
        <w:t>Giving p</w:t>
      </w:r>
      <w:r w:rsidR="00DA4ADE" w:rsidRPr="00FF42A1">
        <w:rPr>
          <w:noProof/>
          <w:sz w:val="24"/>
          <w:szCs w:val="24"/>
        </w:rPr>
        <w:t>riority to</w:t>
      </w:r>
      <w:r w:rsidRPr="00FF42A1">
        <w:rPr>
          <w:noProof/>
          <w:sz w:val="24"/>
          <w:szCs w:val="24"/>
        </w:rPr>
        <w:t xml:space="preserve"> the</w:t>
      </w:r>
      <w:r w:rsidR="00DA4ADE" w:rsidRPr="00FF42A1">
        <w:rPr>
          <w:noProof/>
          <w:sz w:val="24"/>
          <w:szCs w:val="24"/>
        </w:rPr>
        <w:t xml:space="preserve"> </w:t>
      </w:r>
      <w:r w:rsidR="00856E53" w:rsidRPr="00FF42A1">
        <w:rPr>
          <w:noProof/>
          <w:sz w:val="24"/>
          <w:szCs w:val="24"/>
        </w:rPr>
        <w:t>economic</w:t>
      </w:r>
      <w:r w:rsidR="00DA4ADE" w:rsidRPr="00FF42A1">
        <w:rPr>
          <w:noProof/>
          <w:sz w:val="24"/>
          <w:szCs w:val="24"/>
        </w:rPr>
        <w:t xml:space="preserve"> interests of children.</w:t>
      </w:r>
      <w:bookmarkStart w:id="40" w:name="_Hlk510789716"/>
    </w:p>
    <w:p w:rsidR="00DA4ADE" w:rsidRPr="00462142" w:rsidRDefault="00DA4ADE" w:rsidP="00462142">
      <w:pPr>
        <w:pStyle w:val="Heading4"/>
        <w:spacing w:before="0" w:line="360" w:lineRule="auto"/>
        <w:rPr>
          <w:color w:val="auto"/>
          <w:sz w:val="24"/>
          <w:szCs w:val="24"/>
        </w:rPr>
      </w:pPr>
      <w:r w:rsidRPr="00DA4ADE">
        <w:rPr>
          <w:color w:val="auto"/>
          <w:sz w:val="24"/>
          <w:szCs w:val="24"/>
        </w:rPr>
        <w:t>Objects and Principles</w:t>
      </w:r>
      <w:bookmarkEnd w:id="40"/>
    </w:p>
    <w:p w:rsidR="00DA4ADE" w:rsidRPr="001002F5" w:rsidRDefault="00DA4ADE" w:rsidP="00462142">
      <w:pPr>
        <w:pStyle w:val="ListParagraph"/>
        <w:numPr>
          <w:ilvl w:val="0"/>
          <w:numId w:val="52"/>
        </w:numPr>
        <w:spacing w:after="0" w:line="360" w:lineRule="auto"/>
        <w:jc w:val="both"/>
        <w:rPr>
          <w:rFonts w:cstheme="minorHAnsi"/>
          <w:sz w:val="24"/>
          <w:szCs w:val="24"/>
        </w:rPr>
      </w:pPr>
      <w:r w:rsidRPr="00D326B1">
        <w:rPr>
          <w:rFonts w:cstheme="minorHAnsi"/>
          <w:sz w:val="24"/>
          <w:szCs w:val="24"/>
        </w:rPr>
        <w:t xml:space="preserve">There </w:t>
      </w:r>
      <w:r w:rsidR="00522160">
        <w:rPr>
          <w:rFonts w:cstheme="minorHAnsi"/>
          <w:sz w:val="24"/>
          <w:szCs w:val="24"/>
        </w:rPr>
        <w:t>are</w:t>
      </w:r>
      <w:r w:rsidRPr="00D326B1">
        <w:rPr>
          <w:rFonts w:cstheme="minorHAnsi"/>
          <w:sz w:val="24"/>
          <w:szCs w:val="24"/>
        </w:rPr>
        <w:t xml:space="preserve"> no clear, readily ascertainable purpose</w:t>
      </w:r>
      <w:r w:rsidR="00522160">
        <w:rPr>
          <w:rFonts w:cstheme="minorHAnsi"/>
          <w:sz w:val="24"/>
          <w:szCs w:val="24"/>
        </w:rPr>
        <w:t>s</w:t>
      </w:r>
      <w:r w:rsidRPr="00D326B1">
        <w:rPr>
          <w:rFonts w:cstheme="minorHAnsi"/>
          <w:sz w:val="24"/>
          <w:szCs w:val="24"/>
        </w:rPr>
        <w:t xml:space="preserve"> to section 79 of the </w:t>
      </w:r>
      <w:r w:rsidRPr="00D326B1">
        <w:rPr>
          <w:rFonts w:cstheme="minorHAnsi"/>
          <w:i/>
          <w:sz w:val="24"/>
          <w:szCs w:val="24"/>
        </w:rPr>
        <w:t xml:space="preserve">Act. </w:t>
      </w:r>
      <w:r w:rsidR="00FA09BE" w:rsidRPr="00D326B1">
        <w:rPr>
          <w:rFonts w:cstheme="minorHAnsi"/>
          <w:sz w:val="24"/>
          <w:szCs w:val="24"/>
        </w:rPr>
        <w:t xml:space="preserve">There are no </w:t>
      </w:r>
      <w:r w:rsidR="00856E53" w:rsidRPr="00D326B1">
        <w:rPr>
          <w:rFonts w:cstheme="minorHAnsi"/>
          <w:noProof/>
          <w:sz w:val="24"/>
          <w:szCs w:val="24"/>
        </w:rPr>
        <w:t>specific</w:t>
      </w:r>
      <w:r w:rsidR="00FA09BE" w:rsidRPr="00D326B1">
        <w:rPr>
          <w:rFonts w:cstheme="minorHAnsi"/>
          <w:sz w:val="24"/>
          <w:szCs w:val="24"/>
        </w:rPr>
        <w:t xml:space="preserve"> objects or principles in Part VIII compared to Part VII. There are some provisions in the </w:t>
      </w:r>
      <w:r w:rsidR="00FA09BE" w:rsidRPr="00D326B1">
        <w:rPr>
          <w:rFonts w:cstheme="minorHAnsi"/>
          <w:i/>
          <w:sz w:val="24"/>
          <w:szCs w:val="24"/>
        </w:rPr>
        <w:t>Act</w:t>
      </w:r>
      <w:r w:rsidR="00FA09BE" w:rsidRPr="00D326B1">
        <w:rPr>
          <w:rFonts w:cstheme="minorHAnsi"/>
          <w:sz w:val="24"/>
          <w:szCs w:val="24"/>
        </w:rPr>
        <w:t xml:space="preserve"> and in the </w:t>
      </w:r>
      <w:r w:rsidR="00FA09BE" w:rsidRPr="00D326B1">
        <w:rPr>
          <w:rFonts w:cstheme="minorHAnsi"/>
          <w:i/>
          <w:sz w:val="24"/>
          <w:szCs w:val="24"/>
        </w:rPr>
        <w:t>Federal Circuit Court Act 1999</w:t>
      </w:r>
      <w:r w:rsidR="00FA09BE" w:rsidRPr="00D326B1">
        <w:rPr>
          <w:rFonts w:cstheme="minorHAnsi"/>
          <w:sz w:val="24"/>
          <w:szCs w:val="24"/>
        </w:rPr>
        <w:t xml:space="preserve"> (Cth), which encourage </w:t>
      </w:r>
      <w:r w:rsidR="00856E53" w:rsidRPr="00D326B1">
        <w:rPr>
          <w:rFonts w:cstheme="minorHAnsi"/>
          <w:sz w:val="24"/>
          <w:szCs w:val="24"/>
        </w:rPr>
        <w:t xml:space="preserve">the </w:t>
      </w:r>
      <w:r w:rsidR="00FA09BE" w:rsidRPr="00D326B1">
        <w:rPr>
          <w:rFonts w:cstheme="minorHAnsi"/>
          <w:noProof/>
          <w:sz w:val="24"/>
          <w:szCs w:val="24"/>
        </w:rPr>
        <w:t>use</w:t>
      </w:r>
      <w:r w:rsidR="00FA09BE" w:rsidRPr="00D326B1">
        <w:rPr>
          <w:rFonts w:cstheme="minorHAnsi"/>
          <w:sz w:val="24"/>
          <w:szCs w:val="24"/>
        </w:rPr>
        <w:t xml:space="preserve"> of streamlined processes without undue formality.</w:t>
      </w:r>
      <w:r w:rsidR="00FA09BE" w:rsidRPr="00FA09BE">
        <w:rPr>
          <w:vertAlign w:val="superscript"/>
        </w:rPr>
        <w:endnoteReference w:id="102"/>
      </w:r>
    </w:p>
    <w:p w:rsidR="004E3003" w:rsidRPr="00522160" w:rsidRDefault="00522160" w:rsidP="00462142">
      <w:pPr>
        <w:pStyle w:val="ListParagraph"/>
        <w:numPr>
          <w:ilvl w:val="0"/>
          <w:numId w:val="52"/>
        </w:numPr>
        <w:spacing w:after="0" w:line="360" w:lineRule="auto"/>
        <w:jc w:val="both"/>
        <w:rPr>
          <w:rFonts w:cstheme="minorHAnsi"/>
          <w:sz w:val="24"/>
          <w:szCs w:val="24"/>
        </w:rPr>
      </w:pPr>
      <w:r>
        <w:rPr>
          <w:rFonts w:cstheme="minorHAnsi"/>
          <w:sz w:val="24"/>
          <w:szCs w:val="24"/>
        </w:rPr>
        <w:t xml:space="preserve">In comparison, </w:t>
      </w:r>
      <w:r w:rsidR="00FA09BE" w:rsidRPr="00D326B1">
        <w:rPr>
          <w:rFonts w:cstheme="minorHAnsi"/>
          <w:sz w:val="24"/>
          <w:szCs w:val="24"/>
        </w:rPr>
        <w:t xml:space="preserve">New Zealand’s legislation has long had </w:t>
      </w:r>
      <w:r w:rsidR="00FA09BE" w:rsidRPr="00D326B1">
        <w:rPr>
          <w:rFonts w:cstheme="minorHAnsi"/>
          <w:noProof/>
          <w:sz w:val="24"/>
          <w:szCs w:val="24"/>
        </w:rPr>
        <w:t>express</w:t>
      </w:r>
      <w:r w:rsidR="00FA09BE" w:rsidRPr="00D326B1">
        <w:rPr>
          <w:rFonts w:cstheme="minorHAnsi"/>
          <w:sz w:val="24"/>
          <w:szCs w:val="24"/>
        </w:rPr>
        <w:t xml:space="preserve"> objects. The</w:t>
      </w:r>
      <w:r>
        <w:rPr>
          <w:rFonts w:cstheme="minorHAnsi"/>
          <w:sz w:val="24"/>
          <w:szCs w:val="24"/>
        </w:rPr>
        <w:t xml:space="preserve"> matrimonial</w:t>
      </w:r>
      <w:r w:rsidR="00FA09BE" w:rsidRPr="00D326B1">
        <w:rPr>
          <w:rFonts w:cstheme="minorHAnsi"/>
          <w:sz w:val="24"/>
          <w:szCs w:val="24"/>
        </w:rPr>
        <w:t xml:space="preserve"> property legislation was </w:t>
      </w:r>
      <w:r w:rsidR="001602BD" w:rsidRPr="00D326B1">
        <w:rPr>
          <w:rFonts w:cstheme="minorHAnsi"/>
          <w:sz w:val="24"/>
          <w:szCs w:val="24"/>
        </w:rPr>
        <w:t xml:space="preserve">previously called the </w:t>
      </w:r>
      <w:r w:rsidR="001602BD" w:rsidRPr="00D326B1">
        <w:rPr>
          <w:rFonts w:cstheme="minorHAnsi"/>
          <w:i/>
          <w:sz w:val="24"/>
          <w:szCs w:val="24"/>
        </w:rPr>
        <w:t>Matrimonial Property Act 1976</w:t>
      </w:r>
      <w:r w:rsidR="001602BD" w:rsidRPr="00D326B1">
        <w:rPr>
          <w:rFonts w:cstheme="minorHAnsi"/>
          <w:sz w:val="24"/>
          <w:szCs w:val="24"/>
        </w:rPr>
        <w:t xml:space="preserve"> (NZ). The 1976 </w:t>
      </w:r>
      <w:r w:rsidR="001602BD" w:rsidRPr="00D326B1">
        <w:rPr>
          <w:rFonts w:cstheme="minorHAnsi"/>
          <w:noProof/>
          <w:sz w:val="24"/>
          <w:szCs w:val="24"/>
        </w:rPr>
        <w:t>legislation</w:t>
      </w:r>
      <w:r w:rsidR="001602BD" w:rsidRPr="00D326B1">
        <w:rPr>
          <w:rFonts w:cstheme="minorHAnsi"/>
          <w:sz w:val="24"/>
          <w:szCs w:val="24"/>
        </w:rPr>
        <w:t xml:space="preserve"> expressed an intention to recognise the equal contribution of parties to a marriage, provide a just division of property, and consider the interests of children. </w:t>
      </w:r>
      <w:r w:rsidR="001602BD" w:rsidRPr="004E3003">
        <w:rPr>
          <w:vertAlign w:val="superscript"/>
        </w:rPr>
        <w:endnoteReference w:id="103"/>
      </w:r>
      <w:r w:rsidR="001602BD" w:rsidRPr="00D326B1">
        <w:rPr>
          <w:rFonts w:cstheme="minorHAnsi"/>
          <w:sz w:val="24"/>
          <w:szCs w:val="24"/>
        </w:rPr>
        <w:t xml:space="preserve"> The amending of the </w:t>
      </w:r>
      <w:r w:rsidR="001602BD" w:rsidRPr="00D326B1">
        <w:rPr>
          <w:rFonts w:cstheme="minorHAnsi"/>
          <w:i/>
          <w:sz w:val="24"/>
          <w:szCs w:val="24"/>
        </w:rPr>
        <w:t xml:space="preserve">Matrimonial Property Act 1976 </w:t>
      </w:r>
      <w:r w:rsidR="001602BD" w:rsidRPr="00D326B1">
        <w:rPr>
          <w:rFonts w:cstheme="minorHAnsi"/>
          <w:sz w:val="24"/>
          <w:szCs w:val="24"/>
        </w:rPr>
        <w:t xml:space="preserve">in 2001 (including renaming it the </w:t>
      </w:r>
      <w:r w:rsidR="001602BD" w:rsidRPr="00D326B1">
        <w:rPr>
          <w:rFonts w:cstheme="minorHAnsi"/>
          <w:i/>
          <w:sz w:val="24"/>
          <w:szCs w:val="24"/>
        </w:rPr>
        <w:t>PRA</w:t>
      </w:r>
      <w:r w:rsidR="001602BD" w:rsidRPr="00D326B1">
        <w:rPr>
          <w:rFonts w:cstheme="minorHAnsi"/>
          <w:sz w:val="24"/>
          <w:szCs w:val="24"/>
        </w:rPr>
        <w:t>) included additional objects and principles. They are that men and women have equal status,</w:t>
      </w:r>
      <w:r w:rsidR="001602BD" w:rsidRPr="004E3003">
        <w:rPr>
          <w:vertAlign w:val="superscript"/>
        </w:rPr>
        <w:endnoteReference w:id="104"/>
      </w:r>
      <w:r w:rsidR="001602BD" w:rsidRPr="00D326B1">
        <w:rPr>
          <w:rFonts w:cstheme="minorHAnsi"/>
          <w:sz w:val="24"/>
          <w:szCs w:val="24"/>
        </w:rPr>
        <w:t xml:space="preserve"> equality of all forms of contribution,</w:t>
      </w:r>
      <w:r w:rsidR="001602BD" w:rsidRPr="004E3003">
        <w:rPr>
          <w:vertAlign w:val="superscript"/>
        </w:rPr>
        <w:endnoteReference w:id="105"/>
      </w:r>
      <w:r w:rsidR="001602BD" w:rsidRPr="00D326B1">
        <w:rPr>
          <w:rFonts w:cstheme="minorHAnsi"/>
          <w:sz w:val="24"/>
          <w:szCs w:val="24"/>
        </w:rPr>
        <w:t xml:space="preserve"> regard to the economic advantages or disadvantages to the parties arising from the relationship,</w:t>
      </w:r>
      <w:r w:rsidR="001602BD" w:rsidRPr="004E3003">
        <w:rPr>
          <w:vertAlign w:val="superscript"/>
        </w:rPr>
        <w:endnoteReference w:id="106"/>
      </w:r>
      <w:r w:rsidR="001602BD" w:rsidRPr="00D326B1">
        <w:rPr>
          <w:rFonts w:cstheme="minorHAnsi"/>
          <w:sz w:val="24"/>
          <w:szCs w:val="24"/>
        </w:rPr>
        <w:t xml:space="preserve"> and resolving disputes as simply and inexpensively as justice permits.</w:t>
      </w:r>
      <w:r w:rsidR="001602BD" w:rsidRPr="004E3003">
        <w:rPr>
          <w:vertAlign w:val="superscript"/>
        </w:rPr>
        <w:endnoteReference w:id="107"/>
      </w:r>
      <w:r w:rsidR="001602BD" w:rsidRPr="00D326B1">
        <w:rPr>
          <w:rFonts w:cstheme="minorHAnsi"/>
          <w:sz w:val="24"/>
          <w:szCs w:val="24"/>
        </w:rPr>
        <w:t xml:space="preserve"> </w:t>
      </w:r>
    </w:p>
    <w:p w:rsidR="004E3003" w:rsidRPr="001002F5" w:rsidRDefault="001602BD" w:rsidP="00462142">
      <w:pPr>
        <w:pStyle w:val="ListParagraph"/>
        <w:numPr>
          <w:ilvl w:val="0"/>
          <w:numId w:val="52"/>
        </w:numPr>
        <w:spacing w:after="0" w:line="360" w:lineRule="auto"/>
        <w:jc w:val="both"/>
        <w:rPr>
          <w:rFonts w:cstheme="minorHAnsi"/>
          <w:sz w:val="24"/>
          <w:szCs w:val="24"/>
        </w:rPr>
      </w:pPr>
      <w:r w:rsidRPr="00D326B1">
        <w:rPr>
          <w:rFonts w:cstheme="minorHAnsi"/>
          <w:sz w:val="24"/>
          <w:szCs w:val="24"/>
        </w:rPr>
        <w:t>Ontario’s legislation states that its objects include the recognition of the equal position of spouses within marriage as a form of partnership.</w:t>
      </w:r>
      <w:r w:rsidRPr="004E3003">
        <w:rPr>
          <w:vertAlign w:val="superscript"/>
        </w:rPr>
        <w:endnoteReference w:id="108"/>
      </w:r>
      <w:r w:rsidRPr="00D326B1">
        <w:rPr>
          <w:rFonts w:cstheme="minorHAnsi"/>
          <w:sz w:val="24"/>
          <w:szCs w:val="24"/>
        </w:rPr>
        <w:t xml:space="preserve"> Judicial consideration of the purpose of Alberta’s legislation suggests that it recognises that the husband and wife carry on their married life for their mutual benefit, with such an arrangement accepted by each spouse.</w:t>
      </w:r>
      <w:r w:rsidRPr="004E3003">
        <w:rPr>
          <w:bCs/>
          <w:vertAlign w:val="superscript"/>
        </w:rPr>
        <w:endnoteReference w:id="109"/>
      </w:r>
      <w:r w:rsidRPr="00D326B1">
        <w:rPr>
          <w:rFonts w:cstheme="minorHAnsi"/>
          <w:sz w:val="24"/>
          <w:szCs w:val="24"/>
        </w:rPr>
        <w:t xml:space="preserve"> </w:t>
      </w:r>
    </w:p>
    <w:p w:rsidR="001602BD" w:rsidRPr="001002F5" w:rsidRDefault="001602BD" w:rsidP="00462142">
      <w:pPr>
        <w:pStyle w:val="ListParagraph"/>
        <w:numPr>
          <w:ilvl w:val="0"/>
          <w:numId w:val="52"/>
        </w:numPr>
        <w:spacing w:after="0" w:line="360" w:lineRule="auto"/>
        <w:jc w:val="both"/>
        <w:rPr>
          <w:rFonts w:cstheme="minorHAnsi"/>
          <w:sz w:val="24"/>
          <w:szCs w:val="24"/>
        </w:rPr>
      </w:pPr>
      <w:r w:rsidRPr="00D326B1">
        <w:rPr>
          <w:rFonts w:cstheme="minorHAnsi"/>
          <w:noProof/>
          <w:sz w:val="24"/>
          <w:szCs w:val="24"/>
        </w:rPr>
        <w:t>In the United Kingdom, there are no legislative objects</w:t>
      </w:r>
      <w:r w:rsidR="00856E53" w:rsidRPr="00D326B1">
        <w:rPr>
          <w:rFonts w:cstheme="minorHAnsi"/>
          <w:noProof/>
          <w:sz w:val="24"/>
          <w:szCs w:val="24"/>
        </w:rPr>
        <w:t>.</w:t>
      </w:r>
      <w:r w:rsidRPr="00D326B1">
        <w:rPr>
          <w:rFonts w:cstheme="minorHAnsi"/>
          <w:noProof/>
          <w:sz w:val="24"/>
          <w:szCs w:val="24"/>
        </w:rPr>
        <w:t xml:space="preserve"> </w:t>
      </w:r>
      <w:r w:rsidR="00856E53" w:rsidRPr="00D326B1">
        <w:rPr>
          <w:rFonts w:cstheme="minorHAnsi"/>
          <w:noProof/>
          <w:sz w:val="24"/>
          <w:szCs w:val="24"/>
        </w:rPr>
        <w:t>Th</w:t>
      </w:r>
      <w:r w:rsidRPr="00D326B1">
        <w:rPr>
          <w:rFonts w:cstheme="minorHAnsi"/>
          <w:noProof/>
          <w:sz w:val="24"/>
          <w:szCs w:val="24"/>
        </w:rPr>
        <w:t xml:space="preserve">ere are two principles, expressed as duties: first, to consider the welfare of any child of the family who has </w:t>
      </w:r>
      <w:r w:rsidRPr="00D326B1">
        <w:rPr>
          <w:rFonts w:cstheme="minorHAnsi"/>
          <w:noProof/>
          <w:sz w:val="24"/>
          <w:szCs w:val="24"/>
        </w:rPr>
        <w:lastRenderedPageBreak/>
        <w:t xml:space="preserve">not attained the age of eighteen; </w:t>
      </w:r>
      <w:r w:rsidRPr="00856E53">
        <w:rPr>
          <w:noProof/>
          <w:vertAlign w:val="superscript"/>
        </w:rPr>
        <w:endnoteReference w:id="110"/>
      </w:r>
      <w:r w:rsidRPr="00D326B1">
        <w:rPr>
          <w:rFonts w:cstheme="minorHAnsi"/>
          <w:noProof/>
          <w:sz w:val="24"/>
          <w:szCs w:val="24"/>
        </w:rPr>
        <w:t xml:space="preserve"> and second, to terminate the financial relationship between the parties as soon as is just and reasonable.</w:t>
      </w:r>
      <w:r w:rsidRPr="004E3003">
        <w:rPr>
          <w:vertAlign w:val="superscript"/>
        </w:rPr>
        <w:endnoteReference w:id="111"/>
      </w:r>
      <w:r w:rsidRPr="00D326B1">
        <w:rPr>
          <w:rFonts w:cstheme="minorHAnsi"/>
          <w:sz w:val="24"/>
          <w:szCs w:val="24"/>
        </w:rPr>
        <w:t xml:space="preserve"> In the absence of legislative guidance, courts have discerned a purpose. Lord Nicholls, in the 2001 House of Lords decision of </w:t>
      </w:r>
      <w:r w:rsidRPr="00D326B1">
        <w:rPr>
          <w:rFonts w:cstheme="minorHAnsi"/>
          <w:i/>
          <w:sz w:val="24"/>
          <w:szCs w:val="24"/>
        </w:rPr>
        <w:t>White v White</w:t>
      </w:r>
      <w:r w:rsidRPr="00D326B1">
        <w:rPr>
          <w:rFonts w:cstheme="minorHAnsi"/>
          <w:sz w:val="24"/>
          <w:szCs w:val="24"/>
        </w:rPr>
        <w:t>,</w:t>
      </w:r>
      <w:r w:rsidRPr="004E3003">
        <w:rPr>
          <w:vertAlign w:val="superscript"/>
        </w:rPr>
        <w:endnoteReference w:id="112"/>
      </w:r>
      <w:r w:rsidRPr="00D326B1">
        <w:rPr>
          <w:rFonts w:cstheme="minorHAnsi"/>
          <w:sz w:val="24"/>
          <w:szCs w:val="24"/>
        </w:rPr>
        <w:t xml:space="preserve"> observed that in preceding legislation</w:t>
      </w:r>
      <w:r w:rsidRPr="00D326B1">
        <w:rPr>
          <w:rFonts w:cstheme="minorHAnsi"/>
          <w:i/>
          <w:sz w:val="24"/>
          <w:szCs w:val="24"/>
        </w:rPr>
        <w:t xml:space="preserve"> </w:t>
      </w:r>
      <w:r w:rsidRPr="00D326B1">
        <w:rPr>
          <w:rFonts w:cstheme="minorHAnsi"/>
          <w:sz w:val="24"/>
          <w:szCs w:val="24"/>
        </w:rPr>
        <w:t>the stated objective was to place the parties in the financial position in which they would have been if the marriage had not broken down.</w:t>
      </w:r>
      <w:r w:rsidRPr="004E3003">
        <w:rPr>
          <w:vertAlign w:val="superscript"/>
        </w:rPr>
        <w:endnoteReference w:id="113"/>
      </w:r>
      <w:r w:rsidRPr="00D326B1">
        <w:rPr>
          <w:rFonts w:cstheme="minorHAnsi"/>
          <w:sz w:val="24"/>
          <w:szCs w:val="24"/>
        </w:rPr>
        <w:t xml:space="preserve"> Those provisions </w:t>
      </w:r>
      <w:r w:rsidRPr="00D326B1">
        <w:rPr>
          <w:rFonts w:cstheme="minorHAnsi"/>
          <w:noProof/>
          <w:sz w:val="24"/>
          <w:szCs w:val="24"/>
        </w:rPr>
        <w:t>were repealed</w:t>
      </w:r>
      <w:r w:rsidRPr="00D326B1">
        <w:rPr>
          <w:rFonts w:cstheme="minorHAnsi"/>
          <w:sz w:val="24"/>
          <w:szCs w:val="24"/>
        </w:rPr>
        <w:t>.</w:t>
      </w:r>
      <w:r w:rsidRPr="004E3003">
        <w:rPr>
          <w:vertAlign w:val="superscript"/>
        </w:rPr>
        <w:endnoteReference w:id="114"/>
      </w:r>
      <w:r w:rsidRPr="00D326B1">
        <w:rPr>
          <w:rFonts w:cstheme="minorHAnsi"/>
          <w:sz w:val="24"/>
          <w:szCs w:val="24"/>
        </w:rPr>
        <w:t xml:space="preserve"> In their absence, Lord Nicholls concluded that, implicitly, the objective was to achieve a fair outcome.</w:t>
      </w:r>
      <w:r w:rsidRPr="004E3003">
        <w:rPr>
          <w:vertAlign w:val="superscript"/>
        </w:rPr>
        <w:endnoteReference w:id="115"/>
      </w:r>
    </w:p>
    <w:p w:rsidR="00D326B1" w:rsidRPr="001002F5" w:rsidRDefault="001602BD" w:rsidP="001002F5">
      <w:pPr>
        <w:pStyle w:val="ListParagraph"/>
        <w:numPr>
          <w:ilvl w:val="0"/>
          <w:numId w:val="52"/>
        </w:numPr>
        <w:spacing w:after="0" w:line="360" w:lineRule="auto"/>
        <w:jc w:val="both"/>
        <w:rPr>
          <w:rFonts w:cstheme="minorHAnsi"/>
          <w:sz w:val="24"/>
          <w:szCs w:val="24"/>
        </w:rPr>
      </w:pPr>
      <w:r w:rsidRPr="00D326B1">
        <w:rPr>
          <w:rFonts w:cstheme="minorHAnsi"/>
          <w:sz w:val="24"/>
          <w:szCs w:val="24"/>
        </w:rPr>
        <w:t xml:space="preserve">Then in </w:t>
      </w:r>
      <w:r w:rsidRPr="00D326B1">
        <w:rPr>
          <w:rFonts w:cstheme="minorHAnsi"/>
          <w:i/>
          <w:sz w:val="24"/>
          <w:szCs w:val="24"/>
        </w:rPr>
        <w:t>Miller v Miller; McFarlane v McFarla</w:t>
      </w:r>
      <w:r w:rsidRPr="00D326B1">
        <w:rPr>
          <w:rFonts w:cstheme="minorHAnsi"/>
          <w:sz w:val="24"/>
          <w:szCs w:val="24"/>
        </w:rPr>
        <w:t>ne,</w:t>
      </w:r>
      <w:r w:rsidRPr="004E3003">
        <w:rPr>
          <w:vertAlign w:val="superscript"/>
        </w:rPr>
        <w:endnoteReference w:id="116"/>
      </w:r>
      <w:r w:rsidRPr="00D326B1">
        <w:rPr>
          <w:rFonts w:cstheme="minorHAnsi"/>
          <w:sz w:val="24"/>
          <w:szCs w:val="24"/>
        </w:rPr>
        <w:t xml:space="preserve"> Lord Nicholls considered that the first requirement of fairness was to make provision for the parties' housing and financial needs.</w:t>
      </w:r>
      <w:r w:rsidRPr="004E3003">
        <w:rPr>
          <w:vertAlign w:val="superscript"/>
        </w:rPr>
        <w:endnoteReference w:id="117"/>
      </w:r>
      <w:r w:rsidRPr="00D326B1">
        <w:rPr>
          <w:rFonts w:cstheme="minorHAnsi"/>
          <w:sz w:val="24"/>
          <w:szCs w:val="24"/>
        </w:rPr>
        <w:t xml:space="preserve"> On the meeting of such needs, the second component of fairness was to compensate for </w:t>
      </w:r>
      <w:r w:rsidR="00875BAC" w:rsidRPr="00875BAC">
        <w:rPr>
          <w:rFonts w:cstheme="minorHAnsi"/>
          <w:noProof/>
          <w:sz w:val="24"/>
          <w:szCs w:val="24"/>
        </w:rPr>
        <w:t xml:space="preserve">any </w:t>
      </w:r>
      <w:r w:rsidRPr="00875BAC">
        <w:rPr>
          <w:rFonts w:cstheme="minorHAnsi"/>
          <w:noProof/>
          <w:sz w:val="24"/>
          <w:szCs w:val="24"/>
        </w:rPr>
        <w:t>significant</w:t>
      </w:r>
      <w:r w:rsidRPr="00D326B1">
        <w:rPr>
          <w:rFonts w:cstheme="minorHAnsi"/>
          <w:sz w:val="24"/>
          <w:szCs w:val="24"/>
        </w:rPr>
        <w:t xml:space="preserve"> economic disparity between the parties.</w:t>
      </w:r>
      <w:r w:rsidRPr="004E3003">
        <w:rPr>
          <w:vertAlign w:val="superscript"/>
        </w:rPr>
        <w:endnoteReference w:id="118"/>
      </w:r>
      <w:r w:rsidRPr="00D326B1">
        <w:rPr>
          <w:rFonts w:cstheme="minorHAnsi"/>
          <w:sz w:val="24"/>
          <w:szCs w:val="24"/>
        </w:rPr>
        <w:t xml:space="preserve"> Third, a principle of ‘equality permeating a marriage’ applied, irrespective of the duration of the marriage.</w:t>
      </w:r>
      <w:r w:rsidRPr="004E3003">
        <w:rPr>
          <w:vertAlign w:val="superscript"/>
        </w:rPr>
        <w:endnoteReference w:id="119"/>
      </w:r>
      <w:r w:rsidRPr="00D326B1">
        <w:rPr>
          <w:rFonts w:cstheme="minorHAnsi"/>
          <w:sz w:val="24"/>
          <w:szCs w:val="24"/>
        </w:rPr>
        <w:t xml:space="preserve">  </w:t>
      </w:r>
      <w:r w:rsidRPr="00D326B1">
        <w:rPr>
          <w:rFonts w:cstheme="minorHAnsi"/>
          <w:iCs/>
          <w:sz w:val="24"/>
          <w:szCs w:val="24"/>
        </w:rPr>
        <w:t xml:space="preserve">In </w:t>
      </w:r>
      <w:r w:rsidRPr="00D326B1">
        <w:rPr>
          <w:rFonts w:cstheme="minorHAnsi"/>
          <w:i/>
          <w:iCs/>
          <w:sz w:val="24"/>
          <w:szCs w:val="24"/>
        </w:rPr>
        <w:t>Miller</w:t>
      </w:r>
      <w:r w:rsidRPr="00D326B1">
        <w:rPr>
          <w:rFonts w:cstheme="minorHAnsi"/>
          <w:iCs/>
          <w:sz w:val="24"/>
          <w:szCs w:val="24"/>
        </w:rPr>
        <w:t>, Baroness Hale considered that there must be some rationale for redistribution from one party to another.</w:t>
      </w:r>
      <w:r w:rsidRPr="004E3003">
        <w:rPr>
          <w:iCs/>
          <w:vertAlign w:val="superscript"/>
        </w:rPr>
        <w:endnoteReference w:id="120"/>
      </w:r>
      <w:r w:rsidRPr="00D326B1">
        <w:rPr>
          <w:rFonts w:cstheme="minorHAnsi"/>
          <w:sz w:val="24"/>
          <w:szCs w:val="24"/>
        </w:rPr>
        <w:t xml:space="preserve"> The first rationale </w:t>
      </w:r>
      <w:r w:rsidRPr="00875BAC">
        <w:rPr>
          <w:rFonts w:cstheme="minorHAnsi"/>
          <w:noProof/>
          <w:sz w:val="24"/>
          <w:szCs w:val="24"/>
        </w:rPr>
        <w:t>was</w:t>
      </w:r>
      <w:r w:rsidR="00875BAC" w:rsidRPr="00875BAC">
        <w:rPr>
          <w:rFonts w:cstheme="minorHAnsi"/>
          <w:noProof/>
          <w:sz w:val="24"/>
          <w:szCs w:val="24"/>
        </w:rPr>
        <w:t xml:space="preserve"> </w:t>
      </w:r>
      <w:r w:rsidR="00875BAC">
        <w:rPr>
          <w:rFonts w:cstheme="minorHAnsi"/>
          <w:noProof/>
          <w:sz w:val="24"/>
          <w:szCs w:val="24"/>
        </w:rPr>
        <w:t>each spouses’</w:t>
      </w:r>
      <w:r w:rsidRPr="00875BAC">
        <w:rPr>
          <w:rFonts w:cstheme="minorHAnsi"/>
          <w:noProof/>
          <w:sz w:val="24"/>
          <w:szCs w:val="24"/>
        </w:rPr>
        <w:t xml:space="preserve"> need</w:t>
      </w:r>
      <w:r w:rsidRPr="00D326B1">
        <w:rPr>
          <w:rFonts w:cstheme="minorHAnsi"/>
          <w:sz w:val="24"/>
          <w:szCs w:val="24"/>
        </w:rPr>
        <w:t xml:space="preserve">, which commonly arose </w:t>
      </w:r>
      <w:r w:rsidR="00883423">
        <w:rPr>
          <w:rFonts w:cstheme="minorHAnsi"/>
          <w:sz w:val="24"/>
          <w:szCs w:val="24"/>
        </w:rPr>
        <w:t>on</w:t>
      </w:r>
      <w:r w:rsidRPr="00D326B1">
        <w:rPr>
          <w:rFonts w:cstheme="minorHAnsi"/>
          <w:sz w:val="24"/>
          <w:szCs w:val="24"/>
        </w:rPr>
        <w:t xml:space="preserve"> future responsibilities to look after children.</w:t>
      </w:r>
      <w:r w:rsidRPr="004E3003">
        <w:rPr>
          <w:vertAlign w:val="superscript"/>
        </w:rPr>
        <w:endnoteReference w:id="121"/>
      </w:r>
      <w:r w:rsidRPr="00D326B1">
        <w:rPr>
          <w:rFonts w:cstheme="minorHAnsi"/>
          <w:sz w:val="24"/>
          <w:szCs w:val="24"/>
        </w:rPr>
        <w:t xml:space="preserve"> The second rationale was economic compensation for a person who has given up a potentially successful career.</w:t>
      </w:r>
      <w:r w:rsidRPr="004E3003">
        <w:rPr>
          <w:vertAlign w:val="superscript"/>
        </w:rPr>
        <w:endnoteReference w:id="122"/>
      </w:r>
      <w:r w:rsidRPr="00D326B1">
        <w:rPr>
          <w:rFonts w:cstheme="minorHAnsi"/>
          <w:sz w:val="24"/>
          <w:szCs w:val="24"/>
        </w:rPr>
        <w:t xml:space="preserve"> The third rationale was the principle of equal sharing, arising from the ‘widespread perception that marriage is a partnership of equals.’</w:t>
      </w:r>
      <w:r w:rsidRPr="004E3003">
        <w:rPr>
          <w:vertAlign w:val="superscript"/>
        </w:rPr>
        <w:endnoteReference w:id="123"/>
      </w:r>
      <w:r w:rsidRPr="00D326B1">
        <w:rPr>
          <w:rFonts w:cstheme="minorHAnsi"/>
          <w:sz w:val="24"/>
          <w:szCs w:val="24"/>
        </w:rPr>
        <w:t xml:space="preserve"> </w:t>
      </w:r>
    </w:p>
    <w:p w:rsidR="00D326B1" w:rsidRPr="00522160" w:rsidRDefault="00883423" w:rsidP="00522160">
      <w:pPr>
        <w:pStyle w:val="ListParagraph"/>
        <w:numPr>
          <w:ilvl w:val="0"/>
          <w:numId w:val="52"/>
        </w:numPr>
        <w:spacing w:after="0" w:line="360" w:lineRule="auto"/>
        <w:jc w:val="both"/>
        <w:rPr>
          <w:rFonts w:cstheme="minorHAnsi"/>
          <w:sz w:val="24"/>
          <w:szCs w:val="24"/>
        </w:rPr>
      </w:pPr>
      <w:r>
        <w:rPr>
          <w:rFonts w:cstheme="minorHAnsi"/>
          <w:sz w:val="24"/>
          <w:szCs w:val="24"/>
        </w:rPr>
        <w:t>T</w:t>
      </w:r>
      <w:r w:rsidR="00E12BAB" w:rsidRPr="00D326B1">
        <w:rPr>
          <w:rFonts w:cstheme="minorHAnsi"/>
          <w:sz w:val="24"/>
          <w:szCs w:val="24"/>
        </w:rPr>
        <w:t xml:space="preserve">he options </w:t>
      </w:r>
      <w:r>
        <w:rPr>
          <w:rFonts w:cstheme="minorHAnsi"/>
          <w:sz w:val="24"/>
          <w:szCs w:val="24"/>
        </w:rPr>
        <w:t xml:space="preserve">therefore </w:t>
      </w:r>
      <w:r w:rsidR="00E12BAB" w:rsidRPr="00D326B1">
        <w:rPr>
          <w:rFonts w:cstheme="minorHAnsi"/>
          <w:sz w:val="24"/>
          <w:szCs w:val="24"/>
        </w:rPr>
        <w:t>include:</w:t>
      </w:r>
    </w:p>
    <w:p w:rsidR="00D326B1" w:rsidRDefault="00E12BAB" w:rsidP="009A0126">
      <w:pPr>
        <w:pStyle w:val="ListParagraph"/>
        <w:numPr>
          <w:ilvl w:val="1"/>
          <w:numId w:val="52"/>
        </w:numPr>
        <w:spacing w:after="0" w:line="360" w:lineRule="auto"/>
        <w:jc w:val="both"/>
        <w:rPr>
          <w:rFonts w:cstheme="minorHAnsi"/>
          <w:sz w:val="24"/>
          <w:szCs w:val="24"/>
        </w:rPr>
      </w:pPr>
      <w:r w:rsidRPr="00D326B1">
        <w:rPr>
          <w:rFonts w:cstheme="minorHAnsi"/>
          <w:sz w:val="24"/>
          <w:szCs w:val="24"/>
        </w:rPr>
        <w:t>No</w:t>
      </w:r>
      <w:r w:rsidR="00522160">
        <w:rPr>
          <w:rFonts w:cstheme="minorHAnsi"/>
          <w:sz w:val="24"/>
          <w:szCs w:val="24"/>
        </w:rPr>
        <w:t xml:space="preserve"> express</w:t>
      </w:r>
      <w:r w:rsidRPr="00D326B1">
        <w:rPr>
          <w:rFonts w:cstheme="minorHAnsi"/>
          <w:sz w:val="24"/>
          <w:szCs w:val="24"/>
        </w:rPr>
        <w:t xml:space="preserve"> objects and principles</w:t>
      </w:r>
      <w:r w:rsidR="00522160">
        <w:rPr>
          <w:rFonts w:cstheme="minorHAnsi"/>
          <w:sz w:val="24"/>
          <w:szCs w:val="24"/>
        </w:rPr>
        <w:t xml:space="preserve"> (retention of the status quo),</w:t>
      </w:r>
    </w:p>
    <w:p w:rsidR="00D326B1" w:rsidRDefault="00E12BAB" w:rsidP="009A0126">
      <w:pPr>
        <w:pStyle w:val="ListParagraph"/>
        <w:numPr>
          <w:ilvl w:val="1"/>
          <w:numId w:val="52"/>
        </w:numPr>
        <w:spacing w:after="0" w:line="360" w:lineRule="auto"/>
        <w:jc w:val="both"/>
        <w:rPr>
          <w:rFonts w:cstheme="minorHAnsi"/>
          <w:sz w:val="24"/>
          <w:szCs w:val="24"/>
        </w:rPr>
      </w:pPr>
      <w:r w:rsidRPr="00D326B1">
        <w:rPr>
          <w:rFonts w:cstheme="minorHAnsi"/>
          <w:sz w:val="24"/>
          <w:szCs w:val="24"/>
        </w:rPr>
        <w:t>Multiple objects – including the equality of status of spouses, and recognition of economic disadvantage</w:t>
      </w:r>
      <w:r w:rsidR="00522160">
        <w:rPr>
          <w:rFonts w:cstheme="minorHAnsi"/>
          <w:sz w:val="24"/>
          <w:szCs w:val="24"/>
        </w:rPr>
        <w:t>,</w:t>
      </w:r>
    </w:p>
    <w:p w:rsidR="00D326B1" w:rsidRDefault="00E12BAB" w:rsidP="009A0126">
      <w:pPr>
        <w:pStyle w:val="ListParagraph"/>
        <w:numPr>
          <w:ilvl w:val="1"/>
          <w:numId w:val="52"/>
        </w:numPr>
        <w:spacing w:after="0" w:line="360" w:lineRule="auto"/>
        <w:jc w:val="both"/>
        <w:rPr>
          <w:rFonts w:cstheme="minorHAnsi"/>
          <w:sz w:val="24"/>
          <w:szCs w:val="24"/>
        </w:rPr>
      </w:pPr>
      <w:r w:rsidRPr="00D326B1">
        <w:rPr>
          <w:rFonts w:cstheme="minorHAnsi"/>
          <w:sz w:val="24"/>
          <w:szCs w:val="24"/>
        </w:rPr>
        <w:t xml:space="preserve">One object with multiple components </w:t>
      </w:r>
      <w:r w:rsidR="00522160">
        <w:rPr>
          <w:rFonts w:cstheme="minorHAnsi"/>
          <w:sz w:val="24"/>
          <w:szCs w:val="24"/>
        </w:rPr>
        <w:t xml:space="preserve">(reflecting – for example -  </w:t>
      </w:r>
      <w:r w:rsidRPr="00D326B1">
        <w:rPr>
          <w:rFonts w:cstheme="minorHAnsi"/>
          <w:sz w:val="24"/>
          <w:szCs w:val="24"/>
        </w:rPr>
        <w:t xml:space="preserve">the </w:t>
      </w:r>
      <w:r w:rsidR="00856E53" w:rsidRPr="00D326B1">
        <w:rPr>
          <w:rFonts w:cstheme="minorHAnsi"/>
          <w:noProof/>
          <w:sz w:val="24"/>
          <w:szCs w:val="24"/>
        </w:rPr>
        <w:t>elem</w:t>
      </w:r>
      <w:r w:rsidR="00266985" w:rsidRPr="00D326B1">
        <w:rPr>
          <w:rFonts w:cstheme="minorHAnsi"/>
          <w:noProof/>
          <w:sz w:val="24"/>
          <w:szCs w:val="24"/>
        </w:rPr>
        <w:t>ents</w:t>
      </w:r>
      <w:r w:rsidRPr="00D326B1">
        <w:rPr>
          <w:rFonts w:cstheme="minorHAnsi"/>
          <w:sz w:val="24"/>
          <w:szCs w:val="24"/>
        </w:rPr>
        <w:t xml:space="preserve"> of fairness</w:t>
      </w:r>
      <w:r w:rsidR="00522160">
        <w:rPr>
          <w:rFonts w:cstheme="minorHAnsi"/>
          <w:sz w:val="24"/>
          <w:szCs w:val="24"/>
        </w:rPr>
        <w:t>),</w:t>
      </w:r>
      <w:r w:rsidRPr="00D326B1">
        <w:rPr>
          <w:rFonts w:cstheme="minorHAnsi"/>
          <w:sz w:val="24"/>
          <w:szCs w:val="24"/>
        </w:rPr>
        <w:t xml:space="preserve"> </w:t>
      </w:r>
    </w:p>
    <w:p w:rsidR="00954E38" w:rsidRPr="001002F5" w:rsidRDefault="00E12BAB" w:rsidP="00954E38">
      <w:pPr>
        <w:pStyle w:val="ListParagraph"/>
        <w:numPr>
          <w:ilvl w:val="1"/>
          <w:numId w:val="52"/>
        </w:numPr>
        <w:spacing w:after="0" w:line="360" w:lineRule="auto"/>
        <w:jc w:val="both"/>
        <w:rPr>
          <w:rFonts w:cstheme="minorHAnsi"/>
          <w:sz w:val="24"/>
          <w:szCs w:val="24"/>
        </w:rPr>
      </w:pPr>
      <w:r w:rsidRPr="00D326B1">
        <w:rPr>
          <w:rFonts w:cstheme="minorHAnsi"/>
          <w:sz w:val="24"/>
          <w:szCs w:val="24"/>
        </w:rPr>
        <w:t xml:space="preserve">One object recognising the nature of marriage </w:t>
      </w:r>
      <w:r w:rsidR="00522160">
        <w:rPr>
          <w:rFonts w:cstheme="minorHAnsi"/>
          <w:sz w:val="24"/>
          <w:szCs w:val="24"/>
        </w:rPr>
        <w:t xml:space="preserve">(for example </w:t>
      </w:r>
      <w:r w:rsidRPr="00D326B1">
        <w:rPr>
          <w:rFonts w:cstheme="minorHAnsi"/>
          <w:sz w:val="24"/>
          <w:szCs w:val="24"/>
        </w:rPr>
        <w:t>married life is for mutual benefit</w:t>
      </w:r>
      <w:r w:rsidR="00522160">
        <w:rPr>
          <w:rFonts w:cstheme="minorHAnsi"/>
          <w:sz w:val="24"/>
          <w:szCs w:val="24"/>
        </w:rPr>
        <w:t>).</w:t>
      </w:r>
      <w:r w:rsidRPr="00D326B1">
        <w:rPr>
          <w:rFonts w:cstheme="minorHAnsi"/>
          <w:sz w:val="24"/>
          <w:szCs w:val="24"/>
        </w:rPr>
        <w:t xml:space="preserve"> </w:t>
      </w:r>
    </w:p>
    <w:p w:rsidR="00954E38" w:rsidRPr="00D326B1" w:rsidRDefault="00954E38" w:rsidP="009A0126">
      <w:pPr>
        <w:pStyle w:val="ListParagraph"/>
        <w:numPr>
          <w:ilvl w:val="0"/>
          <w:numId w:val="52"/>
        </w:numPr>
        <w:spacing w:after="0" w:line="360" w:lineRule="auto"/>
        <w:jc w:val="both"/>
        <w:rPr>
          <w:rFonts w:cstheme="minorHAnsi"/>
          <w:iCs/>
          <w:sz w:val="24"/>
          <w:szCs w:val="24"/>
        </w:rPr>
      </w:pPr>
      <w:r w:rsidRPr="00D326B1">
        <w:rPr>
          <w:rFonts w:cstheme="minorHAnsi"/>
          <w:iCs/>
          <w:sz w:val="24"/>
          <w:szCs w:val="24"/>
        </w:rPr>
        <w:t xml:space="preserve">Based in part on the New Zealand legislation, and </w:t>
      </w:r>
      <w:r w:rsidR="00883423">
        <w:rPr>
          <w:rFonts w:cstheme="minorHAnsi"/>
          <w:iCs/>
          <w:sz w:val="24"/>
          <w:szCs w:val="24"/>
        </w:rPr>
        <w:t>applying</w:t>
      </w:r>
      <w:r w:rsidRPr="00D326B1">
        <w:rPr>
          <w:rFonts w:cstheme="minorHAnsi"/>
          <w:iCs/>
          <w:sz w:val="24"/>
          <w:szCs w:val="24"/>
        </w:rPr>
        <w:t xml:space="preserve"> the values discussion from </w:t>
      </w:r>
      <w:r w:rsidRPr="00D326B1">
        <w:rPr>
          <w:rFonts w:cstheme="minorHAnsi"/>
          <w:b/>
          <w:iCs/>
          <w:sz w:val="24"/>
          <w:szCs w:val="24"/>
        </w:rPr>
        <w:t>Question 1</w:t>
      </w:r>
      <w:r w:rsidRPr="00D326B1">
        <w:rPr>
          <w:rFonts w:cstheme="minorHAnsi"/>
          <w:iCs/>
          <w:sz w:val="24"/>
          <w:szCs w:val="24"/>
        </w:rPr>
        <w:t xml:space="preserve">, my recommendations are: </w:t>
      </w:r>
    </w:p>
    <w:tbl>
      <w:tblPr>
        <w:tblStyle w:val="TableGrid"/>
        <w:tblW w:w="0" w:type="auto"/>
        <w:tblLook w:val="04A0"/>
      </w:tblPr>
      <w:tblGrid>
        <w:gridCol w:w="9016"/>
      </w:tblGrid>
      <w:tr w:rsidR="00AF7E31" w:rsidTr="003354AD">
        <w:tc>
          <w:tcPr>
            <w:tcW w:w="9016" w:type="dxa"/>
            <w:tcBorders>
              <w:bottom w:val="single" w:sz="4" w:space="0" w:color="auto"/>
            </w:tcBorders>
          </w:tcPr>
          <w:p w:rsidR="00DC3AE3" w:rsidRPr="00462142" w:rsidRDefault="00AF7E31" w:rsidP="00462142">
            <w:pPr>
              <w:pStyle w:val="Heading3"/>
              <w:spacing w:before="0" w:line="360" w:lineRule="auto"/>
              <w:outlineLvl w:val="2"/>
              <w:rPr>
                <w:i/>
                <w:color w:val="auto"/>
              </w:rPr>
            </w:pPr>
            <w:bookmarkStart w:id="41" w:name="_Toc512895951"/>
            <w:bookmarkStart w:id="42" w:name="_Hlk510791535"/>
            <w:r w:rsidRPr="008F1051">
              <w:rPr>
                <w:i/>
                <w:color w:val="auto"/>
              </w:rPr>
              <w:lastRenderedPageBreak/>
              <w:t xml:space="preserve">Recommendation </w:t>
            </w:r>
            <w:r>
              <w:rPr>
                <w:i/>
                <w:color w:val="auto"/>
              </w:rPr>
              <w:t>9</w:t>
            </w:r>
            <w:bookmarkEnd w:id="41"/>
          </w:p>
          <w:p w:rsidR="008901C8" w:rsidRDefault="008901C8" w:rsidP="008901C8">
            <w:pPr>
              <w:spacing w:line="360" w:lineRule="auto"/>
              <w:jc w:val="both"/>
              <w:rPr>
                <w:i/>
                <w:sz w:val="24"/>
                <w:szCs w:val="24"/>
              </w:rPr>
            </w:pPr>
            <w:r w:rsidRPr="00980F2E">
              <w:rPr>
                <w:i/>
                <w:noProof/>
                <w:sz w:val="24"/>
                <w:szCs w:val="24"/>
              </w:rPr>
              <w:t xml:space="preserve">That the Commission recommends insertion of specific objects and principles into the Family Law Act 1975 (Cth) for alteration of property interests </w:t>
            </w:r>
            <w:r w:rsidR="00883423" w:rsidRPr="00980F2E">
              <w:rPr>
                <w:i/>
                <w:noProof/>
                <w:sz w:val="24"/>
                <w:szCs w:val="24"/>
              </w:rPr>
              <w:t>(whether</w:t>
            </w:r>
            <w:r w:rsidRPr="00980F2E">
              <w:rPr>
                <w:i/>
                <w:noProof/>
                <w:sz w:val="24"/>
                <w:szCs w:val="24"/>
              </w:rPr>
              <w:t xml:space="preserve"> the spouses have children of their marriage or de-facto relationship</w:t>
            </w:r>
            <w:r w:rsidR="00883423" w:rsidRPr="00980F2E">
              <w:rPr>
                <w:i/>
                <w:noProof/>
                <w:sz w:val="24"/>
                <w:szCs w:val="24"/>
              </w:rPr>
              <w:t xml:space="preserve"> or not).</w:t>
            </w:r>
            <w:r w:rsidRPr="00626DE8">
              <w:rPr>
                <w:i/>
                <w:sz w:val="24"/>
                <w:szCs w:val="24"/>
              </w:rPr>
              <w:t xml:space="preserve"> These are</w:t>
            </w:r>
            <w:r>
              <w:rPr>
                <w:i/>
                <w:sz w:val="24"/>
                <w:szCs w:val="24"/>
              </w:rPr>
              <w:t>:</w:t>
            </w:r>
          </w:p>
          <w:p w:rsidR="008901C8" w:rsidRPr="00356924" w:rsidRDefault="008901C8" w:rsidP="00883423">
            <w:pPr>
              <w:pStyle w:val="ListParagraph"/>
              <w:numPr>
                <w:ilvl w:val="0"/>
                <w:numId w:val="55"/>
              </w:numPr>
              <w:spacing w:line="360" w:lineRule="auto"/>
              <w:jc w:val="both"/>
              <w:rPr>
                <w:i/>
                <w:sz w:val="24"/>
                <w:szCs w:val="24"/>
              </w:rPr>
            </w:pPr>
            <w:r w:rsidRPr="00AF7E31">
              <w:rPr>
                <w:i/>
                <w:sz w:val="24"/>
                <w:szCs w:val="24"/>
              </w:rPr>
              <w:t xml:space="preserve"> </w:t>
            </w:r>
            <w:r>
              <w:rPr>
                <w:i/>
                <w:sz w:val="24"/>
                <w:szCs w:val="24"/>
              </w:rPr>
              <w:t>T</w:t>
            </w:r>
            <w:r w:rsidRPr="00AF7E31">
              <w:rPr>
                <w:i/>
                <w:sz w:val="24"/>
                <w:szCs w:val="24"/>
              </w:rPr>
              <w:t xml:space="preserve">he role of a </w:t>
            </w:r>
            <w:r>
              <w:rPr>
                <w:i/>
                <w:sz w:val="24"/>
                <w:szCs w:val="24"/>
              </w:rPr>
              <w:t>c</w:t>
            </w:r>
            <w:r w:rsidRPr="00AF7E31">
              <w:rPr>
                <w:i/>
                <w:sz w:val="24"/>
                <w:szCs w:val="24"/>
              </w:rPr>
              <w:t xml:space="preserve">ourt </w:t>
            </w:r>
            <w:r w:rsidRPr="00E014B4">
              <w:rPr>
                <w:i/>
                <w:noProof/>
                <w:sz w:val="24"/>
                <w:szCs w:val="24"/>
              </w:rPr>
              <w:t xml:space="preserve">in </w:t>
            </w:r>
            <w:r w:rsidR="00883423">
              <w:rPr>
                <w:i/>
                <w:noProof/>
                <w:sz w:val="24"/>
                <w:szCs w:val="24"/>
              </w:rPr>
              <w:t xml:space="preserve">altering property interests between </w:t>
            </w:r>
            <w:r w:rsidR="00883423" w:rsidRPr="00980F2E">
              <w:rPr>
                <w:i/>
                <w:noProof/>
                <w:sz w:val="24"/>
                <w:szCs w:val="24"/>
              </w:rPr>
              <w:t>spouses</w:t>
            </w:r>
            <w:r w:rsidRPr="00AF7E31">
              <w:rPr>
                <w:i/>
                <w:sz w:val="24"/>
                <w:szCs w:val="24"/>
              </w:rPr>
              <w:t xml:space="preserve"> </w:t>
            </w:r>
            <w:r>
              <w:rPr>
                <w:i/>
                <w:sz w:val="24"/>
                <w:szCs w:val="24"/>
              </w:rPr>
              <w:t>is</w:t>
            </w:r>
            <w:r w:rsidRPr="00AF7E31">
              <w:rPr>
                <w:i/>
                <w:sz w:val="24"/>
                <w:szCs w:val="24"/>
              </w:rPr>
              <w:t xml:space="preserve"> to address, to the </w:t>
            </w:r>
            <w:r w:rsidRPr="00C8274F">
              <w:rPr>
                <w:i/>
                <w:noProof/>
                <w:sz w:val="24"/>
                <w:szCs w:val="24"/>
              </w:rPr>
              <w:t>greatest</w:t>
            </w:r>
            <w:r w:rsidRPr="00AF7E31">
              <w:rPr>
                <w:i/>
                <w:sz w:val="24"/>
                <w:szCs w:val="24"/>
              </w:rPr>
              <w:t xml:space="preserve"> extent practicable, </w:t>
            </w:r>
            <w:r>
              <w:rPr>
                <w:i/>
                <w:noProof/>
                <w:sz w:val="24"/>
                <w:szCs w:val="24"/>
              </w:rPr>
              <w:t>economic</w:t>
            </w:r>
            <w:r w:rsidRPr="00AF7E31">
              <w:rPr>
                <w:i/>
                <w:sz w:val="24"/>
                <w:szCs w:val="24"/>
              </w:rPr>
              <w:t xml:space="preserve"> disadvantage</w:t>
            </w:r>
            <w:r w:rsidR="00883423">
              <w:rPr>
                <w:i/>
                <w:sz w:val="24"/>
                <w:szCs w:val="24"/>
              </w:rPr>
              <w:t>.</w:t>
            </w:r>
            <w:r>
              <w:rPr>
                <w:i/>
                <w:sz w:val="24"/>
                <w:szCs w:val="24"/>
              </w:rPr>
              <w:t xml:space="preserve"> </w:t>
            </w:r>
          </w:p>
          <w:p w:rsidR="008901C8" w:rsidRDefault="00883423" w:rsidP="00883423">
            <w:pPr>
              <w:pStyle w:val="ListParagraph"/>
              <w:numPr>
                <w:ilvl w:val="0"/>
                <w:numId w:val="55"/>
              </w:numPr>
              <w:spacing w:line="360" w:lineRule="auto"/>
              <w:jc w:val="both"/>
              <w:rPr>
                <w:i/>
                <w:sz w:val="24"/>
                <w:szCs w:val="24"/>
              </w:rPr>
            </w:pPr>
            <w:r>
              <w:rPr>
                <w:i/>
                <w:sz w:val="24"/>
                <w:szCs w:val="24"/>
              </w:rPr>
              <w:t xml:space="preserve">The </w:t>
            </w:r>
            <w:r w:rsidRPr="00883423">
              <w:rPr>
                <w:i/>
                <w:sz w:val="24"/>
                <w:szCs w:val="24"/>
              </w:rPr>
              <w:t>principles underlying</w:t>
            </w:r>
            <w:r>
              <w:rPr>
                <w:i/>
                <w:sz w:val="24"/>
                <w:szCs w:val="24"/>
              </w:rPr>
              <w:t xml:space="preserve"> this role are:</w:t>
            </w:r>
          </w:p>
          <w:p w:rsidR="009219A1" w:rsidRDefault="008901C8" w:rsidP="009219A1">
            <w:pPr>
              <w:pStyle w:val="ListParagraph"/>
              <w:numPr>
                <w:ilvl w:val="0"/>
                <w:numId w:val="56"/>
              </w:numPr>
              <w:spacing w:line="360" w:lineRule="auto"/>
              <w:jc w:val="both"/>
              <w:rPr>
                <w:i/>
                <w:sz w:val="24"/>
                <w:szCs w:val="24"/>
              </w:rPr>
            </w:pPr>
            <w:r w:rsidRPr="00883423">
              <w:rPr>
                <w:i/>
                <w:sz w:val="24"/>
                <w:szCs w:val="24"/>
              </w:rPr>
              <w:t xml:space="preserve">Wherever possible, spouses should reach agreement </w:t>
            </w:r>
            <w:r w:rsidRPr="00883423">
              <w:rPr>
                <w:i/>
                <w:noProof/>
                <w:sz w:val="24"/>
                <w:szCs w:val="24"/>
              </w:rPr>
              <w:t>on</w:t>
            </w:r>
            <w:r w:rsidRPr="00883423">
              <w:rPr>
                <w:i/>
                <w:sz w:val="24"/>
                <w:szCs w:val="24"/>
              </w:rPr>
              <w:t xml:space="preserve"> their </w:t>
            </w:r>
            <w:r w:rsidR="00883423" w:rsidRPr="00883423">
              <w:rPr>
                <w:i/>
                <w:sz w:val="24"/>
                <w:szCs w:val="24"/>
              </w:rPr>
              <w:t>division of property after separation</w:t>
            </w:r>
            <w:r w:rsidRPr="00883423">
              <w:rPr>
                <w:i/>
                <w:sz w:val="24"/>
                <w:szCs w:val="24"/>
              </w:rPr>
              <w:t xml:space="preserve">, </w:t>
            </w:r>
          </w:p>
          <w:p w:rsidR="009219A1" w:rsidRDefault="008901C8" w:rsidP="009219A1">
            <w:pPr>
              <w:pStyle w:val="ListParagraph"/>
              <w:numPr>
                <w:ilvl w:val="0"/>
                <w:numId w:val="56"/>
              </w:numPr>
              <w:spacing w:line="360" w:lineRule="auto"/>
              <w:jc w:val="both"/>
              <w:rPr>
                <w:i/>
                <w:sz w:val="24"/>
                <w:szCs w:val="24"/>
              </w:rPr>
            </w:pPr>
            <w:r w:rsidRPr="009219A1">
              <w:rPr>
                <w:i/>
                <w:sz w:val="24"/>
                <w:szCs w:val="24"/>
              </w:rPr>
              <w:t>Spouses are equal in status, and continuation of such equality is optimal</w:t>
            </w:r>
            <w:r w:rsidR="00883423" w:rsidRPr="009219A1">
              <w:rPr>
                <w:i/>
                <w:sz w:val="24"/>
                <w:szCs w:val="24"/>
              </w:rPr>
              <w:t>,</w:t>
            </w:r>
          </w:p>
          <w:p w:rsidR="009219A1" w:rsidRDefault="00883423" w:rsidP="009219A1">
            <w:pPr>
              <w:pStyle w:val="ListParagraph"/>
              <w:numPr>
                <w:ilvl w:val="0"/>
                <w:numId w:val="56"/>
              </w:numPr>
              <w:spacing w:line="360" w:lineRule="auto"/>
              <w:jc w:val="both"/>
              <w:rPr>
                <w:i/>
                <w:sz w:val="24"/>
                <w:szCs w:val="24"/>
              </w:rPr>
            </w:pPr>
            <w:r w:rsidRPr="009219A1">
              <w:rPr>
                <w:i/>
                <w:sz w:val="24"/>
                <w:szCs w:val="24"/>
              </w:rPr>
              <w:t>F</w:t>
            </w:r>
            <w:r w:rsidR="008901C8" w:rsidRPr="009219A1">
              <w:rPr>
                <w:i/>
                <w:sz w:val="24"/>
                <w:szCs w:val="24"/>
              </w:rPr>
              <w:t xml:space="preserve">inancial outcomes following separation may be </w:t>
            </w:r>
            <w:r w:rsidR="006E02C6">
              <w:rPr>
                <w:i/>
                <w:noProof/>
                <w:sz w:val="24"/>
                <w:szCs w:val="24"/>
              </w:rPr>
              <w:t>different</w:t>
            </w:r>
            <w:r w:rsidR="008901C8" w:rsidRPr="009219A1">
              <w:rPr>
                <w:i/>
                <w:sz w:val="24"/>
                <w:szCs w:val="24"/>
              </w:rPr>
              <w:t xml:space="preserve"> for financially disadvantaged families compared to wealthier families</w:t>
            </w:r>
            <w:r w:rsidRPr="009219A1">
              <w:rPr>
                <w:i/>
                <w:sz w:val="24"/>
                <w:szCs w:val="24"/>
              </w:rPr>
              <w:t>, and</w:t>
            </w:r>
          </w:p>
          <w:p w:rsidR="00AF7E31" w:rsidRPr="009219A1" w:rsidRDefault="00883423" w:rsidP="009219A1">
            <w:pPr>
              <w:pStyle w:val="ListParagraph"/>
              <w:numPr>
                <w:ilvl w:val="0"/>
                <w:numId w:val="56"/>
              </w:numPr>
              <w:spacing w:line="360" w:lineRule="auto"/>
              <w:jc w:val="both"/>
              <w:rPr>
                <w:i/>
                <w:sz w:val="24"/>
                <w:szCs w:val="24"/>
              </w:rPr>
            </w:pPr>
            <w:r w:rsidRPr="009219A1">
              <w:rPr>
                <w:i/>
                <w:sz w:val="24"/>
                <w:szCs w:val="24"/>
              </w:rPr>
              <w:t>The f</w:t>
            </w:r>
            <w:r w:rsidR="008901C8" w:rsidRPr="009219A1">
              <w:rPr>
                <w:i/>
                <w:sz w:val="24"/>
                <w:szCs w:val="24"/>
              </w:rPr>
              <w:t>inancial interests of dependent children</w:t>
            </w:r>
            <w:r w:rsidRPr="009219A1">
              <w:rPr>
                <w:i/>
                <w:sz w:val="24"/>
                <w:szCs w:val="24"/>
              </w:rPr>
              <w:t xml:space="preserve"> have priority,</w:t>
            </w:r>
            <w:r w:rsidR="008901C8" w:rsidRPr="009219A1">
              <w:rPr>
                <w:i/>
                <w:sz w:val="24"/>
                <w:szCs w:val="24"/>
              </w:rPr>
              <w:t xml:space="preserve"> irrespective of any child support paid or payable, having regard to children’s role as future economic and social members of society.</w:t>
            </w:r>
          </w:p>
        </w:tc>
      </w:tr>
      <w:tr w:rsidR="003354AD" w:rsidTr="003354AD">
        <w:tc>
          <w:tcPr>
            <w:tcW w:w="9016" w:type="dxa"/>
            <w:tcBorders>
              <w:left w:val="nil"/>
              <w:right w:val="nil"/>
            </w:tcBorders>
          </w:tcPr>
          <w:p w:rsidR="003354AD" w:rsidRPr="008F1051" w:rsidRDefault="003354AD" w:rsidP="00462142">
            <w:pPr>
              <w:pStyle w:val="Heading3"/>
              <w:spacing w:before="0" w:line="360" w:lineRule="auto"/>
              <w:outlineLvl w:val="2"/>
              <w:rPr>
                <w:i/>
                <w:color w:val="auto"/>
              </w:rPr>
            </w:pPr>
          </w:p>
        </w:tc>
      </w:tr>
      <w:tr w:rsidR="00AF7E31" w:rsidTr="00676DD6">
        <w:tc>
          <w:tcPr>
            <w:tcW w:w="9016" w:type="dxa"/>
          </w:tcPr>
          <w:p w:rsidR="00AF7E31" w:rsidRPr="0022575B" w:rsidRDefault="00AF7E31" w:rsidP="00462142">
            <w:pPr>
              <w:pStyle w:val="Heading3"/>
              <w:spacing w:before="0" w:line="360" w:lineRule="auto"/>
              <w:outlineLvl w:val="2"/>
              <w:rPr>
                <w:i/>
                <w:color w:val="auto"/>
              </w:rPr>
            </w:pPr>
            <w:bookmarkStart w:id="43" w:name="_Toc512895952"/>
            <w:r w:rsidRPr="008F1051">
              <w:rPr>
                <w:i/>
                <w:color w:val="auto"/>
              </w:rPr>
              <w:t xml:space="preserve">Recommendation </w:t>
            </w:r>
            <w:r w:rsidR="00DC3AE3">
              <w:rPr>
                <w:i/>
                <w:color w:val="auto"/>
              </w:rPr>
              <w:t>10</w:t>
            </w:r>
            <w:bookmarkEnd w:id="43"/>
          </w:p>
          <w:p w:rsidR="00DC3AE3" w:rsidRPr="00875BAC" w:rsidRDefault="00DC3AE3" w:rsidP="00462142">
            <w:pPr>
              <w:spacing w:line="360" w:lineRule="auto"/>
              <w:jc w:val="both"/>
              <w:rPr>
                <w:i/>
                <w:sz w:val="24"/>
                <w:szCs w:val="24"/>
              </w:rPr>
            </w:pPr>
            <w:r w:rsidRPr="00980F2E">
              <w:rPr>
                <w:i/>
                <w:noProof/>
                <w:sz w:val="24"/>
                <w:szCs w:val="24"/>
              </w:rPr>
              <w:t xml:space="preserve">That a provision </w:t>
            </w:r>
            <w:r w:rsidR="00F608A0" w:rsidRPr="00980F2E">
              <w:rPr>
                <w:i/>
                <w:noProof/>
                <w:sz w:val="24"/>
                <w:szCs w:val="24"/>
              </w:rPr>
              <w:t>is</w:t>
            </w:r>
            <w:r w:rsidRPr="00980F2E">
              <w:rPr>
                <w:i/>
                <w:noProof/>
                <w:sz w:val="24"/>
                <w:szCs w:val="24"/>
              </w:rPr>
              <w:t xml:space="preserve"> added to section 79(4) of the Act to require a Court to consider</w:t>
            </w:r>
            <w:r w:rsidR="00883423" w:rsidRPr="00980F2E">
              <w:rPr>
                <w:i/>
                <w:noProof/>
                <w:sz w:val="24"/>
                <w:szCs w:val="24"/>
              </w:rPr>
              <w:t xml:space="preserve"> and give weight to</w:t>
            </w:r>
            <w:r w:rsidRPr="00980F2E">
              <w:rPr>
                <w:i/>
                <w:noProof/>
                <w:sz w:val="24"/>
                <w:szCs w:val="24"/>
              </w:rPr>
              <w:t xml:space="preserve"> the objects and principles mentioned above.</w:t>
            </w:r>
          </w:p>
        </w:tc>
      </w:tr>
    </w:tbl>
    <w:p w:rsidR="00AF7E31" w:rsidRDefault="00AF7E31" w:rsidP="00462142">
      <w:pPr>
        <w:spacing w:after="0" w:line="360" w:lineRule="auto"/>
      </w:pPr>
    </w:p>
    <w:p w:rsidR="00DA4ADE" w:rsidRPr="00954E38" w:rsidRDefault="00FA09BE" w:rsidP="00954E38">
      <w:pPr>
        <w:pStyle w:val="Heading4"/>
        <w:spacing w:before="0" w:line="360" w:lineRule="auto"/>
        <w:rPr>
          <w:color w:val="auto"/>
          <w:sz w:val="24"/>
          <w:szCs w:val="24"/>
        </w:rPr>
      </w:pPr>
      <w:r>
        <w:rPr>
          <w:color w:val="auto"/>
          <w:sz w:val="24"/>
          <w:szCs w:val="24"/>
        </w:rPr>
        <w:t xml:space="preserve">Property </w:t>
      </w:r>
      <w:bookmarkEnd w:id="42"/>
      <w:r w:rsidR="00BD5A97">
        <w:rPr>
          <w:color w:val="auto"/>
          <w:sz w:val="24"/>
          <w:szCs w:val="24"/>
        </w:rPr>
        <w:t>for Division</w:t>
      </w:r>
    </w:p>
    <w:p w:rsidR="001602BD" w:rsidRPr="001002F5" w:rsidRDefault="00FA09BE" w:rsidP="00462142">
      <w:pPr>
        <w:pStyle w:val="ListParagraph"/>
        <w:numPr>
          <w:ilvl w:val="0"/>
          <w:numId w:val="52"/>
        </w:numPr>
        <w:spacing w:after="0" w:line="360" w:lineRule="auto"/>
        <w:jc w:val="both"/>
        <w:rPr>
          <w:rFonts w:cstheme="minorHAnsi"/>
          <w:sz w:val="24"/>
          <w:szCs w:val="24"/>
        </w:rPr>
      </w:pPr>
      <w:r w:rsidRPr="00D326B1">
        <w:rPr>
          <w:rFonts w:cstheme="minorHAnsi"/>
          <w:sz w:val="24"/>
          <w:szCs w:val="24"/>
        </w:rPr>
        <w:t>In Australia, there is no delineation between property acquired before, during or after the marriage in consideration of the exercise of discretion.</w:t>
      </w:r>
      <w:r w:rsidRPr="004E3003">
        <w:rPr>
          <w:vertAlign w:val="superscript"/>
        </w:rPr>
        <w:endnoteReference w:id="124"/>
      </w:r>
      <w:r w:rsidRPr="00D326B1">
        <w:rPr>
          <w:rFonts w:cstheme="minorHAnsi"/>
          <w:sz w:val="24"/>
          <w:szCs w:val="24"/>
        </w:rPr>
        <w:t xml:space="preserve"> Property includes property owned jointly by the parties or either of them. An Australian court may also treat a discretionary family trust as if it were </w:t>
      </w:r>
      <w:r w:rsidR="00F608A0" w:rsidRPr="00D326B1">
        <w:rPr>
          <w:rFonts w:cstheme="minorHAnsi"/>
          <w:sz w:val="24"/>
          <w:szCs w:val="24"/>
        </w:rPr>
        <w:t xml:space="preserve">the </w:t>
      </w:r>
      <w:r w:rsidRPr="00D326B1">
        <w:rPr>
          <w:rFonts w:cstheme="minorHAnsi"/>
          <w:noProof/>
          <w:sz w:val="24"/>
          <w:szCs w:val="24"/>
        </w:rPr>
        <w:t>property</w:t>
      </w:r>
      <w:r w:rsidRPr="00D326B1">
        <w:rPr>
          <w:rFonts w:cstheme="minorHAnsi"/>
          <w:sz w:val="24"/>
          <w:szCs w:val="24"/>
        </w:rPr>
        <w:t xml:space="preserve"> </w:t>
      </w:r>
      <w:r w:rsidRPr="00D326B1">
        <w:rPr>
          <w:rFonts w:cstheme="minorHAnsi"/>
          <w:noProof/>
          <w:sz w:val="24"/>
          <w:szCs w:val="24"/>
        </w:rPr>
        <w:t>for</w:t>
      </w:r>
      <w:r w:rsidRPr="00D326B1">
        <w:rPr>
          <w:rFonts w:cstheme="minorHAnsi"/>
          <w:sz w:val="24"/>
          <w:szCs w:val="24"/>
        </w:rPr>
        <w:t xml:space="preserve"> section 79 of the </w:t>
      </w:r>
      <w:r w:rsidRPr="00D326B1">
        <w:rPr>
          <w:rFonts w:cstheme="minorHAnsi"/>
          <w:i/>
          <w:sz w:val="24"/>
          <w:szCs w:val="24"/>
        </w:rPr>
        <w:t>Act</w:t>
      </w:r>
      <w:r w:rsidRPr="00D326B1">
        <w:rPr>
          <w:rFonts w:cstheme="minorHAnsi"/>
          <w:sz w:val="24"/>
          <w:szCs w:val="24"/>
        </w:rPr>
        <w:t>.</w:t>
      </w:r>
      <w:r w:rsidRPr="004E3003">
        <w:rPr>
          <w:vertAlign w:val="superscript"/>
        </w:rPr>
        <w:endnoteReference w:id="125"/>
      </w:r>
      <w:r w:rsidRPr="00D326B1">
        <w:rPr>
          <w:rFonts w:cstheme="minorHAnsi"/>
          <w:sz w:val="24"/>
          <w:szCs w:val="24"/>
        </w:rPr>
        <w:t xml:space="preserve"> </w:t>
      </w:r>
      <w:r w:rsidR="001602BD" w:rsidRPr="00D326B1">
        <w:rPr>
          <w:rFonts w:cstheme="minorHAnsi"/>
          <w:sz w:val="24"/>
          <w:szCs w:val="24"/>
        </w:rPr>
        <w:t>The House of Lords has been clear that, as a starting point, there is no distinction in English law between matrimonial property and any other form of property.</w:t>
      </w:r>
      <w:r w:rsidR="001602BD" w:rsidRPr="004E3003">
        <w:rPr>
          <w:vertAlign w:val="superscript"/>
        </w:rPr>
        <w:endnoteReference w:id="126"/>
      </w:r>
      <w:r w:rsidR="001602BD" w:rsidRPr="00D326B1">
        <w:rPr>
          <w:rFonts w:cstheme="minorHAnsi"/>
          <w:sz w:val="24"/>
          <w:szCs w:val="24"/>
        </w:rPr>
        <w:t xml:space="preserve"> In Alberta, the </w:t>
      </w:r>
      <w:r w:rsidR="002654A9" w:rsidRPr="00D326B1">
        <w:rPr>
          <w:rFonts w:cstheme="minorHAnsi"/>
          <w:noProof/>
          <w:sz w:val="24"/>
          <w:szCs w:val="24"/>
        </w:rPr>
        <w:t xml:space="preserve">legislative </w:t>
      </w:r>
      <w:r w:rsidR="001602BD" w:rsidRPr="00D326B1">
        <w:rPr>
          <w:rFonts w:cstheme="minorHAnsi"/>
          <w:noProof/>
          <w:sz w:val="24"/>
          <w:szCs w:val="24"/>
        </w:rPr>
        <w:t>provision</w:t>
      </w:r>
      <w:r w:rsidR="001602BD" w:rsidRPr="00D326B1">
        <w:rPr>
          <w:rFonts w:cstheme="minorHAnsi"/>
          <w:sz w:val="24"/>
          <w:szCs w:val="24"/>
        </w:rPr>
        <w:t xml:space="preserve"> responsible for </w:t>
      </w:r>
      <w:r w:rsidR="00F608A0" w:rsidRPr="00D326B1">
        <w:rPr>
          <w:rFonts w:cstheme="minorHAnsi"/>
          <w:sz w:val="24"/>
          <w:szCs w:val="24"/>
        </w:rPr>
        <w:t xml:space="preserve">the </w:t>
      </w:r>
      <w:r w:rsidR="001602BD" w:rsidRPr="00D326B1">
        <w:rPr>
          <w:rFonts w:cstheme="minorHAnsi"/>
          <w:noProof/>
          <w:sz w:val="24"/>
          <w:szCs w:val="24"/>
        </w:rPr>
        <w:t>division</w:t>
      </w:r>
      <w:r w:rsidR="001602BD" w:rsidRPr="00D326B1">
        <w:rPr>
          <w:rFonts w:cstheme="minorHAnsi"/>
          <w:sz w:val="24"/>
          <w:szCs w:val="24"/>
        </w:rPr>
        <w:t xml:space="preserve"> of property states that a court may make a distribution of ‘all the property owned by both spouses and by each of them.’</w:t>
      </w:r>
      <w:r w:rsidR="001602BD" w:rsidRPr="004E3003">
        <w:rPr>
          <w:vertAlign w:val="superscript"/>
        </w:rPr>
        <w:endnoteReference w:id="127"/>
      </w:r>
      <w:r w:rsidR="001602BD" w:rsidRPr="00D326B1">
        <w:rPr>
          <w:rFonts w:cstheme="minorHAnsi"/>
          <w:sz w:val="24"/>
          <w:szCs w:val="24"/>
        </w:rPr>
        <w:t xml:space="preserve"> </w:t>
      </w:r>
    </w:p>
    <w:p w:rsidR="001602BD" w:rsidRPr="001002F5" w:rsidRDefault="00E12BAB" w:rsidP="00462142">
      <w:pPr>
        <w:pStyle w:val="ListParagraph"/>
        <w:numPr>
          <w:ilvl w:val="0"/>
          <w:numId w:val="52"/>
        </w:numPr>
        <w:spacing w:after="0" w:line="360" w:lineRule="auto"/>
        <w:jc w:val="both"/>
        <w:rPr>
          <w:rFonts w:cstheme="minorHAnsi"/>
          <w:sz w:val="24"/>
          <w:szCs w:val="24"/>
        </w:rPr>
      </w:pPr>
      <w:r w:rsidRPr="00D326B1">
        <w:rPr>
          <w:rFonts w:cstheme="minorHAnsi"/>
          <w:sz w:val="24"/>
          <w:szCs w:val="24"/>
        </w:rPr>
        <w:t xml:space="preserve">In New </w:t>
      </w:r>
      <w:r w:rsidRPr="00980F2E">
        <w:rPr>
          <w:rFonts w:cstheme="minorHAnsi"/>
          <w:noProof/>
          <w:sz w:val="24"/>
          <w:szCs w:val="24"/>
        </w:rPr>
        <w:t>Zealand</w:t>
      </w:r>
      <w:r w:rsidR="00980F2E">
        <w:rPr>
          <w:rFonts w:cstheme="minorHAnsi"/>
          <w:noProof/>
          <w:sz w:val="24"/>
          <w:szCs w:val="24"/>
        </w:rPr>
        <w:t>,</w:t>
      </w:r>
      <w:r w:rsidR="001002F5">
        <w:rPr>
          <w:rFonts w:cstheme="minorHAnsi"/>
          <w:sz w:val="24"/>
          <w:szCs w:val="24"/>
        </w:rPr>
        <w:t xml:space="preserve"> </w:t>
      </w:r>
      <w:r w:rsidRPr="00D326B1">
        <w:rPr>
          <w:rFonts w:cstheme="minorHAnsi"/>
          <w:sz w:val="24"/>
          <w:szCs w:val="24"/>
        </w:rPr>
        <w:t>an</w:t>
      </w:r>
      <w:r w:rsidR="00FA09BE" w:rsidRPr="00D326B1">
        <w:rPr>
          <w:rFonts w:cstheme="minorHAnsi"/>
          <w:sz w:val="24"/>
          <w:szCs w:val="24"/>
        </w:rPr>
        <w:t xml:space="preserve"> equal sharing rule applie</w:t>
      </w:r>
      <w:r w:rsidRPr="00D326B1">
        <w:rPr>
          <w:rFonts w:cstheme="minorHAnsi"/>
          <w:sz w:val="24"/>
          <w:szCs w:val="24"/>
        </w:rPr>
        <w:t xml:space="preserve">s </w:t>
      </w:r>
      <w:r w:rsidR="00FA09BE" w:rsidRPr="00D326B1">
        <w:rPr>
          <w:rFonts w:cstheme="minorHAnsi"/>
          <w:sz w:val="24"/>
          <w:szCs w:val="24"/>
        </w:rPr>
        <w:t>to all relationship property</w:t>
      </w:r>
      <w:r w:rsidRPr="00D326B1">
        <w:rPr>
          <w:rFonts w:cstheme="minorHAnsi"/>
          <w:sz w:val="24"/>
          <w:szCs w:val="24"/>
        </w:rPr>
        <w:t>.</w:t>
      </w:r>
      <w:r w:rsidR="00FA09BE" w:rsidRPr="00D326B1">
        <w:rPr>
          <w:rFonts w:cstheme="minorHAnsi"/>
          <w:sz w:val="24"/>
          <w:szCs w:val="24"/>
        </w:rPr>
        <w:t xml:space="preserve"> Only if </w:t>
      </w:r>
      <w:r w:rsidR="00FA09BE" w:rsidRPr="00980F2E">
        <w:rPr>
          <w:rFonts w:cstheme="minorHAnsi"/>
          <w:noProof/>
          <w:sz w:val="24"/>
          <w:szCs w:val="24"/>
        </w:rPr>
        <w:t>property</w:t>
      </w:r>
      <w:r w:rsidR="00FA09BE" w:rsidRPr="00D326B1">
        <w:rPr>
          <w:rFonts w:cstheme="minorHAnsi"/>
          <w:sz w:val="24"/>
          <w:szCs w:val="24"/>
        </w:rPr>
        <w:t xml:space="preserve"> f</w:t>
      </w:r>
      <w:r w:rsidR="001002F5">
        <w:rPr>
          <w:rFonts w:cstheme="minorHAnsi"/>
          <w:sz w:val="24"/>
          <w:szCs w:val="24"/>
        </w:rPr>
        <w:t>alls</w:t>
      </w:r>
      <w:r w:rsidR="00FA09BE" w:rsidRPr="00D326B1">
        <w:rPr>
          <w:rFonts w:cstheme="minorHAnsi"/>
          <w:sz w:val="24"/>
          <w:szCs w:val="24"/>
        </w:rPr>
        <w:t xml:space="preserve"> outside of the definition of relationship property </w:t>
      </w:r>
      <w:r w:rsidR="001002F5">
        <w:rPr>
          <w:rFonts w:cstheme="minorHAnsi"/>
          <w:sz w:val="24"/>
          <w:szCs w:val="24"/>
        </w:rPr>
        <w:t>are</w:t>
      </w:r>
      <w:r w:rsidR="00FA09BE" w:rsidRPr="00D326B1">
        <w:rPr>
          <w:rFonts w:cstheme="minorHAnsi"/>
          <w:sz w:val="24"/>
          <w:szCs w:val="24"/>
        </w:rPr>
        <w:t xml:space="preserve"> </w:t>
      </w:r>
      <w:r w:rsidR="00FA09BE" w:rsidRPr="00D326B1">
        <w:rPr>
          <w:rFonts w:cstheme="minorHAnsi"/>
          <w:sz w:val="24"/>
          <w:szCs w:val="24"/>
        </w:rPr>
        <w:lastRenderedPageBreak/>
        <w:t xml:space="preserve">entitlements determined </w:t>
      </w:r>
      <w:r w:rsidR="00F608A0" w:rsidRPr="00D326B1">
        <w:rPr>
          <w:rFonts w:cstheme="minorHAnsi"/>
          <w:noProof/>
          <w:sz w:val="24"/>
          <w:szCs w:val="24"/>
        </w:rPr>
        <w:t>by</w:t>
      </w:r>
      <w:r w:rsidR="00FA09BE" w:rsidRPr="00D326B1">
        <w:rPr>
          <w:rFonts w:cstheme="minorHAnsi"/>
          <w:sz w:val="24"/>
          <w:szCs w:val="24"/>
        </w:rPr>
        <w:t xml:space="preserve"> contributions.</w:t>
      </w:r>
      <w:r w:rsidRPr="00D326B1">
        <w:rPr>
          <w:rFonts w:cstheme="minorHAnsi"/>
          <w:sz w:val="24"/>
          <w:szCs w:val="24"/>
        </w:rPr>
        <w:t xml:space="preserve"> </w:t>
      </w:r>
      <w:r w:rsidR="001602BD" w:rsidRPr="00D326B1">
        <w:rPr>
          <w:rFonts w:cstheme="minorHAnsi"/>
          <w:sz w:val="24"/>
          <w:szCs w:val="24"/>
        </w:rPr>
        <w:t xml:space="preserve">The </w:t>
      </w:r>
      <w:r w:rsidR="00F608A0" w:rsidRPr="00D326B1">
        <w:rPr>
          <w:rFonts w:cstheme="minorHAnsi"/>
          <w:noProof/>
          <w:sz w:val="24"/>
          <w:szCs w:val="24"/>
        </w:rPr>
        <w:t>meaning</w:t>
      </w:r>
      <w:r w:rsidR="001602BD" w:rsidRPr="00D326B1">
        <w:rPr>
          <w:rFonts w:cstheme="minorHAnsi"/>
          <w:sz w:val="24"/>
          <w:szCs w:val="24"/>
        </w:rPr>
        <w:t xml:space="preserve"> of relationship property is broad. Without repeating the entire list, it includes the family home,</w:t>
      </w:r>
      <w:r w:rsidR="001602BD" w:rsidRPr="004E3003">
        <w:rPr>
          <w:vertAlign w:val="superscript"/>
        </w:rPr>
        <w:endnoteReference w:id="128"/>
      </w:r>
      <w:r w:rsidR="001602BD" w:rsidRPr="00D326B1">
        <w:rPr>
          <w:rFonts w:cstheme="minorHAnsi"/>
          <w:sz w:val="24"/>
          <w:szCs w:val="24"/>
        </w:rPr>
        <w:t xml:space="preserve"> family chattels,</w:t>
      </w:r>
      <w:r w:rsidR="001602BD" w:rsidRPr="004E3003">
        <w:rPr>
          <w:vertAlign w:val="superscript"/>
        </w:rPr>
        <w:endnoteReference w:id="129"/>
      </w:r>
      <w:r w:rsidR="001602BD" w:rsidRPr="00D326B1">
        <w:rPr>
          <w:rFonts w:cstheme="minorHAnsi"/>
          <w:sz w:val="24"/>
          <w:szCs w:val="24"/>
        </w:rPr>
        <w:t xml:space="preserve"> all property owned by the parties in joint names whether in equal shares or not,</w:t>
      </w:r>
      <w:r w:rsidR="001602BD" w:rsidRPr="004E3003">
        <w:rPr>
          <w:vertAlign w:val="superscript"/>
        </w:rPr>
        <w:endnoteReference w:id="130"/>
      </w:r>
      <w:r w:rsidR="001602BD" w:rsidRPr="00D326B1">
        <w:rPr>
          <w:rFonts w:cstheme="minorHAnsi"/>
          <w:sz w:val="24"/>
          <w:szCs w:val="24"/>
        </w:rPr>
        <w:t xml:space="preserve"> life insurance policies referable to the relationship,</w:t>
      </w:r>
      <w:r w:rsidR="001602BD" w:rsidRPr="004E3003">
        <w:rPr>
          <w:vertAlign w:val="superscript"/>
        </w:rPr>
        <w:endnoteReference w:id="131"/>
      </w:r>
      <w:r w:rsidR="001602BD" w:rsidRPr="00D326B1">
        <w:rPr>
          <w:rFonts w:cstheme="minorHAnsi"/>
          <w:sz w:val="24"/>
          <w:szCs w:val="24"/>
        </w:rPr>
        <w:t xml:space="preserve"> superannuation referable to the </w:t>
      </w:r>
      <w:r w:rsidR="001602BD" w:rsidRPr="00D326B1">
        <w:rPr>
          <w:rFonts w:cstheme="minorHAnsi"/>
          <w:noProof/>
          <w:sz w:val="24"/>
          <w:szCs w:val="24"/>
        </w:rPr>
        <w:t>relationship</w:t>
      </w:r>
      <w:r w:rsidR="001602BD" w:rsidRPr="00D326B1">
        <w:rPr>
          <w:rFonts w:cstheme="minorHAnsi"/>
          <w:sz w:val="24"/>
          <w:szCs w:val="24"/>
        </w:rPr>
        <w:t>,</w:t>
      </w:r>
      <w:r w:rsidR="001602BD" w:rsidRPr="004E3003">
        <w:rPr>
          <w:vertAlign w:val="superscript"/>
        </w:rPr>
        <w:endnoteReference w:id="132"/>
      </w:r>
      <w:r w:rsidR="001602BD" w:rsidRPr="00D326B1">
        <w:rPr>
          <w:rFonts w:cstheme="minorHAnsi"/>
          <w:sz w:val="24"/>
          <w:szCs w:val="24"/>
        </w:rPr>
        <w:t xml:space="preserve"> and property otherwise deemed by statute to be relationship property.</w:t>
      </w:r>
      <w:r w:rsidR="001602BD" w:rsidRPr="004E3003">
        <w:rPr>
          <w:vertAlign w:val="superscript"/>
        </w:rPr>
        <w:endnoteReference w:id="133"/>
      </w:r>
      <w:r w:rsidR="001602BD" w:rsidRPr="00D326B1">
        <w:rPr>
          <w:rFonts w:cstheme="minorHAnsi"/>
          <w:sz w:val="24"/>
          <w:szCs w:val="24"/>
        </w:rPr>
        <w:t xml:space="preserve"> However, The </w:t>
      </w:r>
      <w:r w:rsidR="001602BD" w:rsidRPr="00D326B1">
        <w:rPr>
          <w:rFonts w:cstheme="minorHAnsi"/>
          <w:i/>
          <w:sz w:val="24"/>
          <w:szCs w:val="24"/>
        </w:rPr>
        <w:t xml:space="preserve">PRA </w:t>
      </w:r>
      <w:r w:rsidR="001602BD" w:rsidRPr="00D326B1">
        <w:rPr>
          <w:rFonts w:cstheme="minorHAnsi"/>
          <w:sz w:val="24"/>
          <w:szCs w:val="24"/>
        </w:rPr>
        <w:t xml:space="preserve">expressly provides for trusts, </w:t>
      </w:r>
      <w:r w:rsidR="00BD5A97" w:rsidRPr="00D326B1">
        <w:rPr>
          <w:rFonts w:cstheme="minorHAnsi"/>
          <w:sz w:val="24"/>
          <w:szCs w:val="24"/>
        </w:rPr>
        <w:t>as far as</w:t>
      </w:r>
      <w:r w:rsidR="001602BD" w:rsidRPr="00D326B1">
        <w:rPr>
          <w:rFonts w:cstheme="minorHAnsi"/>
          <w:sz w:val="24"/>
          <w:szCs w:val="24"/>
        </w:rPr>
        <w:t xml:space="preserve"> capital is concerned, to prevail over relationship property rights.</w:t>
      </w:r>
      <w:r w:rsidR="001602BD" w:rsidRPr="004E3003">
        <w:rPr>
          <w:vertAlign w:val="superscript"/>
        </w:rPr>
        <w:endnoteReference w:id="134"/>
      </w:r>
      <w:r w:rsidR="001602BD" w:rsidRPr="00D326B1">
        <w:rPr>
          <w:rFonts w:cstheme="minorHAnsi"/>
          <w:sz w:val="24"/>
          <w:szCs w:val="24"/>
        </w:rPr>
        <w:t xml:space="preserve"> </w:t>
      </w:r>
    </w:p>
    <w:p w:rsidR="00E12BAB" w:rsidRPr="001002F5" w:rsidRDefault="001602BD" w:rsidP="00462142">
      <w:pPr>
        <w:pStyle w:val="ListParagraph"/>
        <w:numPr>
          <w:ilvl w:val="0"/>
          <w:numId w:val="52"/>
        </w:numPr>
        <w:spacing w:after="0" w:line="360" w:lineRule="auto"/>
        <w:jc w:val="both"/>
        <w:rPr>
          <w:rFonts w:cstheme="minorHAnsi"/>
          <w:sz w:val="24"/>
          <w:szCs w:val="24"/>
        </w:rPr>
      </w:pPr>
      <w:r w:rsidRPr="00D326B1">
        <w:rPr>
          <w:rFonts w:eastAsiaTheme="majorEastAsia" w:cstheme="minorHAnsi"/>
          <w:sz w:val="24"/>
          <w:szCs w:val="24"/>
        </w:rPr>
        <w:t xml:space="preserve">British Columbia has two categories of property: family property and excluded property. Family property is real and personal </w:t>
      </w:r>
      <w:r w:rsidRPr="00D326B1">
        <w:rPr>
          <w:rFonts w:eastAsiaTheme="majorEastAsia" w:cstheme="minorHAnsi"/>
          <w:noProof/>
          <w:sz w:val="24"/>
          <w:szCs w:val="24"/>
        </w:rPr>
        <w:t>property</w:t>
      </w:r>
      <w:r w:rsidRPr="00D326B1">
        <w:rPr>
          <w:rFonts w:eastAsiaTheme="majorEastAsia" w:cstheme="minorHAnsi"/>
          <w:sz w:val="24"/>
          <w:szCs w:val="24"/>
        </w:rPr>
        <w:t xml:space="preserve"> owned by at least one spouse and includes a beneficial interest in </w:t>
      </w:r>
      <w:r w:rsidRPr="00FF42A1">
        <w:rPr>
          <w:rFonts w:eastAsiaTheme="majorEastAsia" w:cstheme="minorHAnsi"/>
          <w:noProof/>
          <w:sz w:val="24"/>
          <w:szCs w:val="24"/>
        </w:rPr>
        <w:t>property</w:t>
      </w:r>
      <w:r w:rsidRPr="00D326B1">
        <w:rPr>
          <w:rFonts w:eastAsiaTheme="majorEastAsia" w:cstheme="minorHAnsi"/>
          <w:sz w:val="24"/>
          <w:szCs w:val="24"/>
        </w:rPr>
        <w:t>.</w:t>
      </w:r>
      <w:r w:rsidRPr="004E3003">
        <w:rPr>
          <w:vertAlign w:val="superscript"/>
        </w:rPr>
        <w:endnoteReference w:id="135"/>
      </w:r>
      <w:r w:rsidRPr="00D326B1">
        <w:rPr>
          <w:rFonts w:eastAsiaTheme="majorEastAsia" w:cstheme="minorHAnsi"/>
          <w:sz w:val="24"/>
          <w:szCs w:val="24"/>
        </w:rPr>
        <w:t xml:space="preserve"> </w:t>
      </w:r>
      <w:r w:rsidRPr="00D326B1">
        <w:rPr>
          <w:rFonts w:eastAsiaTheme="majorEastAsia" w:cstheme="minorHAnsi"/>
          <w:noProof/>
          <w:sz w:val="24"/>
          <w:szCs w:val="24"/>
        </w:rPr>
        <w:t>Excluded</w:t>
      </w:r>
      <w:r w:rsidRPr="00D326B1">
        <w:rPr>
          <w:rFonts w:eastAsiaTheme="majorEastAsia" w:cstheme="minorHAnsi"/>
          <w:sz w:val="24"/>
          <w:szCs w:val="24"/>
        </w:rPr>
        <w:t xml:space="preserve"> property is property acquired before the relationship, inheritances, gifts, and discretionary trusts.</w:t>
      </w:r>
      <w:r w:rsidRPr="004E3003">
        <w:rPr>
          <w:vertAlign w:val="superscript"/>
        </w:rPr>
        <w:endnoteReference w:id="136"/>
      </w:r>
      <w:r w:rsidRPr="00D326B1">
        <w:rPr>
          <w:rFonts w:eastAsiaTheme="majorEastAsia" w:cstheme="minorHAnsi"/>
          <w:sz w:val="24"/>
          <w:szCs w:val="24"/>
        </w:rPr>
        <w:t xml:space="preserve"> Ontario has three categories: the matrimonial home,</w:t>
      </w:r>
      <w:r w:rsidRPr="004E3003">
        <w:rPr>
          <w:vertAlign w:val="superscript"/>
        </w:rPr>
        <w:endnoteReference w:id="137"/>
      </w:r>
      <w:r w:rsidRPr="00D326B1">
        <w:rPr>
          <w:rFonts w:eastAsiaTheme="majorEastAsia" w:cstheme="minorHAnsi"/>
          <w:sz w:val="24"/>
          <w:szCs w:val="24"/>
        </w:rPr>
        <w:t xml:space="preserve"> net family property (everything else owned by the parties or of each of them except for excluded property),</w:t>
      </w:r>
      <w:r w:rsidRPr="004E3003">
        <w:rPr>
          <w:vertAlign w:val="superscript"/>
        </w:rPr>
        <w:endnoteReference w:id="138"/>
      </w:r>
      <w:r w:rsidRPr="00D326B1">
        <w:rPr>
          <w:rFonts w:eastAsiaTheme="majorEastAsia" w:cstheme="minorHAnsi"/>
          <w:sz w:val="24"/>
          <w:szCs w:val="24"/>
        </w:rPr>
        <w:t xml:space="preserve"> and </w:t>
      </w:r>
      <w:r w:rsidRPr="00D326B1">
        <w:rPr>
          <w:rFonts w:eastAsiaTheme="majorEastAsia" w:cstheme="minorHAnsi"/>
          <w:noProof/>
          <w:sz w:val="24"/>
          <w:szCs w:val="24"/>
        </w:rPr>
        <w:t>excluded</w:t>
      </w:r>
      <w:r w:rsidRPr="00D326B1">
        <w:rPr>
          <w:rFonts w:eastAsiaTheme="majorEastAsia" w:cstheme="minorHAnsi"/>
          <w:sz w:val="24"/>
          <w:szCs w:val="24"/>
        </w:rPr>
        <w:t xml:space="preserve"> property (a gift or inheritance, </w:t>
      </w:r>
      <w:r w:rsidRPr="00980F2E">
        <w:rPr>
          <w:rFonts w:eastAsiaTheme="majorEastAsia" w:cstheme="minorHAnsi"/>
          <w:noProof/>
          <w:sz w:val="24"/>
          <w:szCs w:val="24"/>
        </w:rPr>
        <w:t>damag</w:t>
      </w:r>
      <w:r w:rsidRPr="00D326B1">
        <w:rPr>
          <w:rFonts w:eastAsiaTheme="majorEastAsia" w:cstheme="minorHAnsi"/>
          <w:sz w:val="24"/>
          <w:szCs w:val="24"/>
        </w:rPr>
        <w:t xml:space="preserve">es, life </w:t>
      </w:r>
      <w:r w:rsidRPr="00980F2E">
        <w:rPr>
          <w:rFonts w:eastAsiaTheme="majorEastAsia" w:cstheme="minorHAnsi"/>
          <w:noProof/>
          <w:sz w:val="24"/>
          <w:szCs w:val="24"/>
        </w:rPr>
        <w:t>insuranc</w:t>
      </w:r>
      <w:r w:rsidRPr="00D326B1">
        <w:rPr>
          <w:rFonts w:eastAsiaTheme="majorEastAsia" w:cstheme="minorHAnsi"/>
          <w:sz w:val="24"/>
          <w:szCs w:val="24"/>
        </w:rPr>
        <w:t xml:space="preserve">e policies, and </w:t>
      </w:r>
      <w:r w:rsidR="00F608A0" w:rsidRPr="00D326B1">
        <w:rPr>
          <w:rFonts w:eastAsiaTheme="majorEastAsia" w:cstheme="minorHAnsi"/>
          <w:noProof/>
          <w:sz w:val="24"/>
          <w:szCs w:val="24"/>
        </w:rPr>
        <w:t>specific</w:t>
      </w:r>
      <w:r w:rsidRPr="00D326B1">
        <w:rPr>
          <w:rFonts w:eastAsiaTheme="majorEastAsia" w:cstheme="minorHAnsi"/>
          <w:sz w:val="24"/>
          <w:szCs w:val="24"/>
        </w:rPr>
        <w:t xml:space="preserve"> pension entitlements). </w:t>
      </w:r>
    </w:p>
    <w:p w:rsidR="00E12BAB" w:rsidRPr="00D326B1" w:rsidRDefault="009219A1" w:rsidP="009A0126">
      <w:pPr>
        <w:pStyle w:val="ListParagraph"/>
        <w:numPr>
          <w:ilvl w:val="0"/>
          <w:numId w:val="52"/>
        </w:numPr>
        <w:spacing w:after="0" w:line="360" w:lineRule="auto"/>
        <w:jc w:val="both"/>
        <w:rPr>
          <w:rFonts w:cstheme="minorHAnsi"/>
          <w:sz w:val="24"/>
          <w:szCs w:val="24"/>
        </w:rPr>
      </w:pPr>
      <w:r>
        <w:rPr>
          <w:rFonts w:cstheme="minorHAnsi"/>
          <w:sz w:val="24"/>
          <w:szCs w:val="24"/>
        </w:rPr>
        <w:t>T</w:t>
      </w:r>
      <w:r w:rsidR="00E12BAB" w:rsidRPr="00D326B1">
        <w:rPr>
          <w:rFonts w:cstheme="minorHAnsi"/>
          <w:sz w:val="24"/>
          <w:szCs w:val="24"/>
        </w:rPr>
        <w:t xml:space="preserve">he options include: </w:t>
      </w:r>
    </w:p>
    <w:p w:rsidR="00E12BAB" w:rsidRDefault="00E12BAB" w:rsidP="009A0126">
      <w:pPr>
        <w:pStyle w:val="ListParagraph"/>
        <w:numPr>
          <w:ilvl w:val="0"/>
          <w:numId w:val="21"/>
        </w:numPr>
        <w:spacing w:after="0" w:line="360" w:lineRule="auto"/>
        <w:jc w:val="both"/>
        <w:rPr>
          <w:rFonts w:cstheme="minorHAnsi"/>
          <w:sz w:val="24"/>
          <w:szCs w:val="24"/>
        </w:rPr>
      </w:pPr>
      <w:r>
        <w:rPr>
          <w:rFonts w:cstheme="minorHAnsi"/>
          <w:sz w:val="24"/>
          <w:szCs w:val="24"/>
        </w:rPr>
        <w:t>Including all property as a start point (the existing position).</w:t>
      </w:r>
    </w:p>
    <w:p w:rsidR="00E12BAB" w:rsidRDefault="00E12BAB" w:rsidP="009A0126">
      <w:pPr>
        <w:pStyle w:val="ListParagraph"/>
        <w:numPr>
          <w:ilvl w:val="0"/>
          <w:numId w:val="21"/>
        </w:numPr>
        <w:spacing w:after="0" w:line="360" w:lineRule="auto"/>
        <w:jc w:val="both"/>
        <w:rPr>
          <w:rFonts w:cstheme="minorHAnsi"/>
          <w:sz w:val="24"/>
          <w:szCs w:val="24"/>
        </w:rPr>
      </w:pPr>
      <w:r>
        <w:rPr>
          <w:rFonts w:cstheme="minorHAnsi"/>
          <w:sz w:val="24"/>
          <w:szCs w:val="24"/>
        </w:rPr>
        <w:t xml:space="preserve">Defining relationship property very broadly (New Zealand), or </w:t>
      </w:r>
    </w:p>
    <w:p w:rsidR="00E12BAB" w:rsidRPr="009219A1" w:rsidRDefault="00E12BAB" w:rsidP="00462142">
      <w:pPr>
        <w:pStyle w:val="ListParagraph"/>
        <w:numPr>
          <w:ilvl w:val="0"/>
          <w:numId w:val="21"/>
        </w:numPr>
        <w:spacing w:after="0" w:line="360" w:lineRule="auto"/>
        <w:jc w:val="both"/>
        <w:rPr>
          <w:rFonts w:cstheme="minorHAnsi"/>
          <w:sz w:val="24"/>
          <w:szCs w:val="24"/>
        </w:rPr>
      </w:pPr>
      <w:r>
        <w:rPr>
          <w:rFonts w:cstheme="minorHAnsi"/>
          <w:sz w:val="24"/>
          <w:szCs w:val="24"/>
        </w:rPr>
        <w:t>Some other definition of family or marriage or relationship property (e.g. British Columbia).</w:t>
      </w:r>
    </w:p>
    <w:p w:rsidR="00E12BAB" w:rsidRPr="00DA4ADE" w:rsidRDefault="00E12BAB" w:rsidP="00462142">
      <w:pPr>
        <w:pStyle w:val="Heading4"/>
        <w:spacing w:before="0" w:line="360" w:lineRule="auto"/>
        <w:rPr>
          <w:color w:val="auto"/>
          <w:sz w:val="24"/>
          <w:szCs w:val="24"/>
        </w:rPr>
      </w:pPr>
      <w:bookmarkStart w:id="44" w:name="_Hlk510792077"/>
      <w:r>
        <w:rPr>
          <w:color w:val="auto"/>
          <w:sz w:val="24"/>
          <w:szCs w:val="24"/>
        </w:rPr>
        <w:t>Equal Sharing and Non-Discrimination</w:t>
      </w:r>
      <w:bookmarkEnd w:id="44"/>
    </w:p>
    <w:p w:rsidR="00E12BAB" w:rsidRPr="001002F5" w:rsidRDefault="00E12BAB" w:rsidP="00462142">
      <w:pPr>
        <w:pStyle w:val="ListParagraph"/>
        <w:numPr>
          <w:ilvl w:val="0"/>
          <w:numId w:val="52"/>
        </w:numPr>
        <w:spacing w:after="0" w:line="360" w:lineRule="auto"/>
        <w:jc w:val="both"/>
        <w:rPr>
          <w:rFonts w:cstheme="minorHAnsi"/>
          <w:sz w:val="24"/>
          <w:szCs w:val="24"/>
        </w:rPr>
      </w:pPr>
      <w:r w:rsidRPr="00D326B1">
        <w:rPr>
          <w:rFonts w:cstheme="minorHAnsi"/>
          <w:sz w:val="24"/>
          <w:szCs w:val="24"/>
        </w:rPr>
        <w:t>In New Zealand, subject to multiple exceptions, parties share equally in relationship property.</w:t>
      </w:r>
      <w:r w:rsidRPr="00E12BAB">
        <w:rPr>
          <w:vertAlign w:val="superscript"/>
        </w:rPr>
        <w:endnoteReference w:id="139"/>
      </w:r>
      <w:r w:rsidRPr="00D326B1">
        <w:rPr>
          <w:rFonts w:cstheme="minorHAnsi"/>
          <w:sz w:val="24"/>
          <w:szCs w:val="24"/>
        </w:rPr>
        <w:t xml:space="preserve"> British Columbia and Ontario legislation provide that each of the spouses have a right to an equal division of all family property.</w:t>
      </w:r>
      <w:r w:rsidRPr="00E12BAB">
        <w:rPr>
          <w:vertAlign w:val="superscript"/>
        </w:rPr>
        <w:endnoteReference w:id="140"/>
      </w:r>
      <w:r w:rsidRPr="00D326B1">
        <w:rPr>
          <w:rFonts w:cstheme="minorHAnsi"/>
          <w:sz w:val="24"/>
          <w:szCs w:val="24"/>
        </w:rPr>
        <w:t xml:space="preserve">  However, Ontario defines net family property as property after deducting the value of </w:t>
      </w:r>
      <w:r w:rsidR="00FF42A1">
        <w:rPr>
          <w:rFonts w:cstheme="minorHAnsi"/>
          <w:sz w:val="24"/>
          <w:szCs w:val="24"/>
        </w:rPr>
        <w:t xml:space="preserve">the </w:t>
      </w:r>
      <w:r w:rsidRPr="00FF42A1">
        <w:rPr>
          <w:rFonts w:cstheme="minorHAnsi"/>
          <w:noProof/>
          <w:sz w:val="24"/>
          <w:szCs w:val="24"/>
        </w:rPr>
        <w:t>property</w:t>
      </w:r>
      <w:r w:rsidRPr="00D326B1">
        <w:rPr>
          <w:rFonts w:cstheme="minorHAnsi"/>
          <w:sz w:val="24"/>
          <w:szCs w:val="24"/>
        </w:rPr>
        <w:t>, other than a matrimonial home, that a spouse owned at the date of marriage.</w:t>
      </w:r>
      <w:r w:rsidRPr="00E12BAB">
        <w:rPr>
          <w:vertAlign w:val="superscript"/>
        </w:rPr>
        <w:endnoteReference w:id="141"/>
      </w:r>
      <w:r w:rsidRPr="00D326B1">
        <w:rPr>
          <w:rFonts w:cstheme="minorHAnsi"/>
          <w:sz w:val="24"/>
          <w:szCs w:val="24"/>
        </w:rPr>
        <w:t xml:space="preserve"> British Columbia excludes from family property any property acquired before the relationship, inheritances, gifts, damages awards, and </w:t>
      </w:r>
      <w:r w:rsidR="00F608A0" w:rsidRPr="00D326B1">
        <w:rPr>
          <w:rFonts w:cstheme="minorHAnsi"/>
          <w:noProof/>
          <w:sz w:val="24"/>
          <w:szCs w:val="24"/>
        </w:rPr>
        <w:t>specific</w:t>
      </w:r>
      <w:r w:rsidRPr="00D326B1">
        <w:rPr>
          <w:rFonts w:cstheme="minorHAnsi"/>
          <w:sz w:val="24"/>
          <w:szCs w:val="24"/>
        </w:rPr>
        <w:t xml:space="preserve"> categories of discretionary trusts.</w:t>
      </w:r>
      <w:r w:rsidRPr="00E12BAB">
        <w:rPr>
          <w:vertAlign w:val="superscript"/>
        </w:rPr>
        <w:endnoteReference w:id="142"/>
      </w:r>
      <w:r w:rsidRPr="00D326B1">
        <w:rPr>
          <w:rFonts w:cstheme="minorHAnsi"/>
          <w:sz w:val="24"/>
          <w:szCs w:val="24"/>
        </w:rPr>
        <w:t xml:space="preserve"> In Ontario, a court may make an order varying terms </w:t>
      </w:r>
      <w:r w:rsidRPr="00D326B1">
        <w:rPr>
          <w:rFonts w:cstheme="minorHAnsi"/>
          <w:noProof/>
          <w:sz w:val="24"/>
          <w:szCs w:val="24"/>
        </w:rPr>
        <w:t>equali</w:t>
      </w:r>
      <w:r w:rsidR="00F608A0" w:rsidRPr="00D326B1">
        <w:rPr>
          <w:rFonts w:cstheme="minorHAnsi"/>
          <w:noProof/>
          <w:sz w:val="24"/>
          <w:szCs w:val="24"/>
        </w:rPr>
        <w:t>s</w:t>
      </w:r>
      <w:r w:rsidRPr="00D326B1">
        <w:rPr>
          <w:rFonts w:cstheme="minorHAnsi"/>
          <w:noProof/>
          <w:sz w:val="24"/>
          <w:szCs w:val="24"/>
        </w:rPr>
        <w:t>ing</w:t>
      </w:r>
      <w:r w:rsidRPr="00D326B1">
        <w:rPr>
          <w:rFonts w:cstheme="minorHAnsi"/>
          <w:sz w:val="24"/>
          <w:szCs w:val="24"/>
        </w:rPr>
        <w:t xml:space="preserve"> the net family property only if it a net equal division was unconscionable.</w:t>
      </w:r>
      <w:r w:rsidRPr="00E12BAB">
        <w:rPr>
          <w:vertAlign w:val="superscript"/>
        </w:rPr>
        <w:endnoteReference w:id="143"/>
      </w:r>
      <w:r w:rsidRPr="00D326B1">
        <w:rPr>
          <w:rFonts w:cstheme="minorHAnsi"/>
          <w:sz w:val="24"/>
          <w:szCs w:val="24"/>
        </w:rPr>
        <w:t xml:space="preserve"> </w:t>
      </w:r>
    </w:p>
    <w:p w:rsidR="00B41B0A" w:rsidRPr="001002F5" w:rsidRDefault="00E12BAB" w:rsidP="001002F5">
      <w:pPr>
        <w:pStyle w:val="ListParagraph"/>
        <w:numPr>
          <w:ilvl w:val="0"/>
          <w:numId w:val="52"/>
        </w:numPr>
        <w:spacing w:after="0" w:line="360" w:lineRule="auto"/>
        <w:jc w:val="both"/>
        <w:rPr>
          <w:rFonts w:cstheme="minorHAnsi"/>
          <w:i/>
          <w:sz w:val="24"/>
          <w:szCs w:val="24"/>
        </w:rPr>
      </w:pPr>
      <w:r w:rsidRPr="00D326B1">
        <w:rPr>
          <w:rFonts w:cstheme="minorHAnsi"/>
          <w:sz w:val="24"/>
          <w:szCs w:val="24"/>
        </w:rPr>
        <w:lastRenderedPageBreak/>
        <w:t xml:space="preserve">The United Kingdom legislation is silent on non-discrimination between men and women (or between spouses). The property division provisions do not contain any presumption or rule of equality. However, Lord Nicholls wrote in </w:t>
      </w:r>
      <w:r w:rsidRPr="00D326B1">
        <w:rPr>
          <w:rFonts w:cstheme="minorHAnsi"/>
          <w:i/>
          <w:sz w:val="24"/>
          <w:szCs w:val="24"/>
        </w:rPr>
        <w:t>White v White:</w:t>
      </w:r>
    </w:p>
    <w:p w:rsidR="00B41B0A" w:rsidRDefault="00E12BAB" w:rsidP="001002F5">
      <w:pPr>
        <w:spacing w:after="0" w:line="360" w:lineRule="auto"/>
        <w:ind w:left="1440"/>
        <w:jc w:val="both"/>
        <w:rPr>
          <w:rFonts w:cstheme="minorHAnsi"/>
          <w:sz w:val="24"/>
          <w:szCs w:val="24"/>
        </w:rPr>
      </w:pPr>
      <w:r w:rsidRPr="00B41B0A">
        <w:rPr>
          <w:rFonts w:cstheme="minorHAnsi"/>
        </w:rPr>
        <w:t xml:space="preserve">…a judge would always be well advised to check his [sic] tentative views against the yardstick of equality of division. As a general guide, </w:t>
      </w:r>
      <w:r w:rsidRPr="00F608A0">
        <w:rPr>
          <w:rFonts w:cstheme="minorHAnsi"/>
          <w:noProof/>
        </w:rPr>
        <w:t>equality</w:t>
      </w:r>
      <w:r w:rsidRPr="00B41B0A">
        <w:rPr>
          <w:rFonts w:cstheme="minorHAnsi"/>
        </w:rPr>
        <w:t xml:space="preserve"> should </w:t>
      </w:r>
      <w:r w:rsidRPr="00FF42A1">
        <w:rPr>
          <w:rFonts w:cstheme="minorHAnsi"/>
          <w:noProof/>
        </w:rPr>
        <w:t>be departed</w:t>
      </w:r>
      <w:r w:rsidRPr="00B41B0A">
        <w:rPr>
          <w:rFonts w:cstheme="minorHAnsi"/>
        </w:rPr>
        <w:t xml:space="preserve"> from only if, and to the extent that, there is </w:t>
      </w:r>
      <w:r w:rsidRPr="00FF42A1">
        <w:rPr>
          <w:rFonts w:cstheme="minorHAnsi"/>
          <w:noProof/>
        </w:rPr>
        <w:t>good</w:t>
      </w:r>
      <w:r w:rsidRPr="00B41B0A">
        <w:rPr>
          <w:rFonts w:cstheme="minorHAnsi"/>
        </w:rPr>
        <w:t xml:space="preserve"> reason for doing so</w:t>
      </w:r>
      <w:r w:rsidRPr="00E12BAB">
        <w:rPr>
          <w:rFonts w:cstheme="minorHAnsi"/>
          <w:sz w:val="24"/>
          <w:szCs w:val="24"/>
        </w:rPr>
        <w:t>.</w:t>
      </w:r>
      <w:r w:rsidR="00B41B0A" w:rsidRPr="00E12BAB">
        <w:rPr>
          <w:rFonts w:cstheme="minorHAnsi"/>
          <w:sz w:val="24"/>
          <w:szCs w:val="24"/>
          <w:vertAlign w:val="superscript"/>
        </w:rPr>
        <w:endnoteReference w:id="144"/>
      </w:r>
    </w:p>
    <w:p w:rsidR="00B41B0A" w:rsidRPr="001002F5" w:rsidRDefault="00B41B0A" w:rsidP="00462142">
      <w:pPr>
        <w:pStyle w:val="ListParagraph"/>
        <w:numPr>
          <w:ilvl w:val="0"/>
          <w:numId w:val="52"/>
        </w:numPr>
        <w:spacing w:after="0" w:line="360" w:lineRule="auto"/>
        <w:jc w:val="both"/>
        <w:rPr>
          <w:rFonts w:cstheme="minorHAnsi"/>
          <w:sz w:val="24"/>
          <w:szCs w:val="24"/>
        </w:rPr>
      </w:pPr>
      <w:r w:rsidRPr="00D326B1">
        <w:rPr>
          <w:rFonts w:cstheme="minorHAnsi"/>
          <w:sz w:val="24"/>
          <w:szCs w:val="24"/>
        </w:rPr>
        <w:t xml:space="preserve">While equality remains a yardstick, a string of English decisions provides examples of approaches other than equal sharing. A line of </w:t>
      </w:r>
      <w:r w:rsidR="008901C8" w:rsidRPr="00D326B1">
        <w:rPr>
          <w:rFonts w:cstheme="minorHAnsi"/>
          <w:sz w:val="24"/>
          <w:szCs w:val="24"/>
        </w:rPr>
        <w:t>authorities’</w:t>
      </w:r>
      <w:r w:rsidRPr="00D326B1">
        <w:rPr>
          <w:rFonts w:cstheme="minorHAnsi"/>
          <w:sz w:val="24"/>
          <w:szCs w:val="24"/>
        </w:rPr>
        <w:t xml:space="preserve"> label classes of property as non-matrimonial.</w:t>
      </w:r>
      <w:r w:rsidRPr="00E12BAB">
        <w:rPr>
          <w:vertAlign w:val="superscript"/>
        </w:rPr>
        <w:endnoteReference w:id="145"/>
      </w:r>
      <w:r w:rsidRPr="00D326B1">
        <w:rPr>
          <w:rFonts w:cstheme="minorHAnsi"/>
          <w:sz w:val="24"/>
          <w:szCs w:val="24"/>
        </w:rPr>
        <w:t xml:space="preserve"> Another departure from equality arises where there are </w:t>
      </w:r>
      <w:r w:rsidRPr="00D326B1">
        <w:rPr>
          <w:rFonts w:cstheme="minorHAnsi"/>
          <w:noProof/>
          <w:sz w:val="24"/>
          <w:szCs w:val="24"/>
        </w:rPr>
        <w:t>special</w:t>
      </w:r>
      <w:r w:rsidRPr="00D326B1">
        <w:rPr>
          <w:rFonts w:cstheme="minorHAnsi"/>
          <w:sz w:val="24"/>
          <w:szCs w:val="24"/>
        </w:rPr>
        <w:t xml:space="preserve"> or extraordinary contributions.</w:t>
      </w:r>
      <w:r w:rsidRPr="00B41B0A">
        <w:rPr>
          <w:vertAlign w:val="superscript"/>
        </w:rPr>
        <w:endnoteReference w:id="146"/>
      </w:r>
    </w:p>
    <w:p w:rsidR="00B41B0A" w:rsidRPr="003354AD" w:rsidRDefault="00B41B0A" w:rsidP="009A0126">
      <w:pPr>
        <w:pStyle w:val="ListParagraph"/>
        <w:numPr>
          <w:ilvl w:val="0"/>
          <w:numId w:val="52"/>
        </w:numPr>
        <w:spacing w:after="0" w:line="360" w:lineRule="auto"/>
        <w:jc w:val="both"/>
        <w:rPr>
          <w:rFonts w:cstheme="minorHAnsi"/>
          <w:sz w:val="24"/>
          <w:szCs w:val="24"/>
        </w:rPr>
      </w:pPr>
      <w:r w:rsidRPr="003354AD">
        <w:rPr>
          <w:rFonts w:cstheme="minorHAnsi"/>
          <w:sz w:val="24"/>
          <w:szCs w:val="24"/>
        </w:rPr>
        <w:t xml:space="preserve">The </w:t>
      </w:r>
      <w:r w:rsidR="00266985" w:rsidRPr="003354AD">
        <w:rPr>
          <w:rFonts w:cstheme="minorHAnsi"/>
          <w:sz w:val="24"/>
          <w:szCs w:val="24"/>
        </w:rPr>
        <w:t>alternatives</w:t>
      </w:r>
      <w:r w:rsidRPr="003354AD">
        <w:rPr>
          <w:rFonts w:cstheme="minorHAnsi"/>
          <w:sz w:val="24"/>
          <w:szCs w:val="24"/>
        </w:rPr>
        <w:t xml:space="preserve"> therefore include: </w:t>
      </w:r>
    </w:p>
    <w:p w:rsidR="00B41B0A" w:rsidRDefault="00B41B0A" w:rsidP="009A0126">
      <w:pPr>
        <w:pStyle w:val="ListParagraph"/>
        <w:numPr>
          <w:ilvl w:val="0"/>
          <w:numId w:val="22"/>
        </w:numPr>
        <w:spacing w:after="0" w:line="360" w:lineRule="auto"/>
        <w:jc w:val="both"/>
        <w:rPr>
          <w:rFonts w:cstheme="minorHAnsi"/>
          <w:sz w:val="24"/>
          <w:szCs w:val="24"/>
        </w:rPr>
      </w:pPr>
      <w:r>
        <w:rPr>
          <w:rFonts w:cstheme="minorHAnsi"/>
          <w:sz w:val="24"/>
          <w:szCs w:val="24"/>
        </w:rPr>
        <w:t>No equal sharing</w:t>
      </w:r>
      <w:r w:rsidR="003B1420">
        <w:rPr>
          <w:rFonts w:cstheme="minorHAnsi"/>
          <w:sz w:val="24"/>
          <w:szCs w:val="24"/>
        </w:rPr>
        <w:t xml:space="preserve"> of property</w:t>
      </w:r>
      <w:r w:rsidR="00FF42A1">
        <w:rPr>
          <w:rFonts w:cstheme="minorHAnsi"/>
          <w:sz w:val="24"/>
          <w:szCs w:val="24"/>
        </w:rPr>
        <w:t>,</w:t>
      </w:r>
    </w:p>
    <w:p w:rsidR="00B41B0A" w:rsidRDefault="00B41B0A" w:rsidP="009A0126">
      <w:pPr>
        <w:pStyle w:val="ListParagraph"/>
        <w:numPr>
          <w:ilvl w:val="0"/>
          <w:numId w:val="22"/>
        </w:numPr>
        <w:spacing w:after="0" w:line="360" w:lineRule="auto"/>
        <w:jc w:val="both"/>
        <w:rPr>
          <w:rFonts w:cstheme="minorHAnsi"/>
          <w:sz w:val="24"/>
          <w:szCs w:val="24"/>
        </w:rPr>
      </w:pPr>
      <w:r>
        <w:rPr>
          <w:rFonts w:cstheme="minorHAnsi"/>
          <w:sz w:val="24"/>
          <w:szCs w:val="24"/>
        </w:rPr>
        <w:t>Equal sharing of some property</w:t>
      </w:r>
      <w:r w:rsidR="00FF42A1">
        <w:rPr>
          <w:rFonts w:cstheme="minorHAnsi"/>
          <w:sz w:val="24"/>
          <w:szCs w:val="24"/>
        </w:rPr>
        <w:t>,</w:t>
      </w:r>
    </w:p>
    <w:p w:rsidR="00B41B0A" w:rsidRDefault="00FF42A1" w:rsidP="009A0126">
      <w:pPr>
        <w:pStyle w:val="ListParagraph"/>
        <w:numPr>
          <w:ilvl w:val="0"/>
          <w:numId w:val="22"/>
        </w:numPr>
        <w:spacing w:after="0" w:line="360" w:lineRule="auto"/>
        <w:jc w:val="both"/>
        <w:rPr>
          <w:rFonts w:cstheme="minorHAnsi"/>
          <w:sz w:val="24"/>
          <w:szCs w:val="24"/>
        </w:rPr>
      </w:pPr>
      <w:r>
        <w:rPr>
          <w:rFonts w:cstheme="minorHAnsi"/>
          <w:noProof/>
          <w:sz w:val="24"/>
          <w:szCs w:val="24"/>
        </w:rPr>
        <w:t>G</w:t>
      </w:r>
      <w:r w:rsidR="00B41B0A" w:rsidRPr="00FF42A1">
        <w:rPr>
          <w:rFonts w:cstheme="minorHAnsi"/>
          <w:noProof/>
          <w:sz w:val="24"/>
          <w:szCs w:val="24"/>
        </w:rPr>
        <w:t>eneral</w:t>
      </w:r>
      <w:r w:rsidR="00B41B0A" w:rsidRPr="003B1420">
        <w:rPr>
          <w:rFonts w:cstheme="minorHAnsi"/>
          <w:noProof/>
          <w:sz w:val="24"/>
          <w:szCs w:val="24"/>
        </w:rPr>
        <w:t xml:space="preserve"> recognition</w:t>
      </w:r>
      <w:r w:rsidR="00B41B0A">
        <w:rPr>
          <w:rFonts w:cstheme="minorHAnsi"/>
          <w:sz w:val="24"/>
          <w:szCs w:val="24"/>
        </w:rPr>
        <w:t xml:space="preserve"> of non-</w:t>
      </w:r>
      <w:r w:rsidR="00266985">
        <w:rPr>
          <w:rFonts w:cstheme="minorHAnsi"/>
          <w:sz w:val="24"/>
          <w:szCs w:val="24"/>
        </w:rPr>
        <w:t>discrimination</w:t>
      </w:r>
      <w:r w:rsidR="003B1420">
        <w:rPr>
          <w:rFonts w:cstheme="minorHAnsi"/>
          <w:sz w:val="24"/>
          <w:szCs w:val="24"/>
        </w:rPr>
        <w:t xml:space="preserve"> without necessarily applying a rule or principle of </w:t>
      </w:r>
      <w:r w:rsidR="003B1420" w:rsidRPr="00FF42A1">
        <w:rPr>
          <w:rFonts w:cstheme="minorHAnsi"/>
          <w:noProof/>
          <w:sz w:val="24"/>
          <w:szCs w:val="24"/>
        </w:rPr>
        <w:t>equal</w:t>
      </w:r>
      <w:r w:rsidR="003B1420">
        <w:rPr>
          <w:rFonts w:cstheme="minorHAnsi"/>
          <w:sz w:val="24"/>
          <w:szCs w:val="24"/>
        </w:rPr>
        <w:t xml:space="preserve"> </w:t>
      </w:r>
      <w:r w:rsidR="003B1420" w:rsidRPr="00FF42A1">
        <w:rPr>
          <w:rFonts w:cstheme="minorHAnsi"/>
          <w:noProof/>
          <w:sz w:val="24"/>
          <w:szCs w:val="24"/>
        </w:rPr>
        <w:t>d</w:t>
      </w:r>
      <w:r>
        <w:rPr>
          <w:rFonts w:cstheme="minorHAnsi"/>
          <w:noProof/>
          <w:sz w:val="24"/>
          <w:szCs w:val="24"/>
        </w:rPr>
        <w:t>i</w:t>
      </w:r>
      <w:r w:rsidR="003B1420" w:rsidRPr="00FF42A1">
        <w:rPr>
          <w:rFonts w:cstheme="minorHAnsi"/>
          <w:noProof/>
          <w:sz w:val="24"/>
          <w:szCs w:val="24"/>
        </w:rPr>
        <w:t>vision</w:t>
      </w:r>
      <w:r>
        <w:rPr>
          <w:rFonts w:cstheme="minorHAnsi"/>
          <w:sz w:val="24"/>
          <w:szCs w:val="24"/>
        </w:rPr>
        <w:t>,</w:t>
      </w:r>
      <w:r w:rsidR="00B41B0A">
        <w:rPr>
          <w:rFonts w:cstheme="minorHAnsi"/>
          <w:sz w:val="24"/>
          <w:szCs w:val="24"/>
        </w:rPr>
        <w:t xml:space="preserve"> </w:t>
      </w:r>
    </w:p>
    <w:p w:rsidR="003354AD" w:rsidRPr="006E02C6" w:rsidRDefault="003B1420" w:rsidP="00462142">
      <w:pPr>
        <w:pStyle w:val="ListParagraph"/>
        <w:numPr>
          <w:ilvl w:val="0"/>
          <w:numId w:val="22"/>
        </w:numPr>
        <w:spacing w:after="0" w:line="360" w:lineRule="auto"/>
        <w:jc w:val="both"/>
        <w:rPr>
          <w:rFonts w:cstheme="minorHAnsi"/>
          <w:sz w:val="24"/>
          <w:szCs w:val="24"/>
        </w:rPr>
      </w:pPr>
      <w:r w:rsidRPr="003B1420">
        <w:rPr>
          <w:rFonts w:cstheme="minorHAnsi"/>
          <w:noProof/>
          <w:sz w:val="24"/>
          <w:szCs w:val="24"/>
        </w:rPr>
        <w:t>Including a p</w:t>
      </w:r>
      <w:r w:rsidR="00B41B0A" w:rsidRPr="003B1420">
        <w:rPr>
          <w:rFonts w:cstheme="minorHAnsi"/>
          <w:noProof/>
          <w:sz w:val="24"/>
          <w:szCs w:val="24"/>
        </w:rPr>
        <w:t>resumption</w:t>
      </w:r>
      <w:r w:rsidR="00B41B0A">
        <w:rPr>
          <w:rFonts w:cstheme="minorHAnsi"/>
          <w:sz w:val="24"/>
          <w:szCs w:val="24"/>
        </w:rPr>
        <w:t xml:space="preserve"> of equal sharing with exceptions. </w:t>
      </w:r>
    </w:p>
    <w:p w:rsidR="00E12BAB" w:rsidRPr="00B41B0A" w:rsidRDefault="00B41B0A" w:rsidP="00462142">
      <w:pPr>
        <w:pStyle w:val="Heading4"/>
        <w:spacing w:before="0" w:line="360" w:lineRule="auto"/>
        <w:rPr>
          <w:color w:val="auto"/>
        </w:rPr>
      </w:pPr>
      <w:r w:rsidRPr="00B41B0A">
        <w:rPr>
          <w:color w:val="auto"/>
        </w:rPr>
        <w:t>Compensation or Adjustment for Financial Disparity</w:t>
      </w:r>
    </w:p>
    <w:p w:rsidR="00B41B0A" w:rsidRPr="001002F5" w:rsidRDefault="00B41B0A" w:rsidP="00462142">
      <w:pPr>
        <w:pStyle w:val="ListParagraph"/>
        <w:numPr>
          <w:ilvl w:val="0"/>
          <w:numId w:val="52"/>
        </w:numPr>
        <w:spacing w:after="0" w:line="360" w:lineRule="auto"/>
        <w:jc w:val="both"/>
        <w:rPr>
          <w:sz w:val="24"/>
          <w:szCs w:val="24"/>
        </w:rPr>
      </w:pPr>
      <w:r w:rsidRPr="003354AD">
        <w:rPr>
          <w:sz w:val="24"/>
          <w:szCs w:val="24"/>
        </w:rPr>
        <w:t xml:space="preserve">New Zealand provisions provide for </w:t>
      </w:r>
      <w:r w:rsidR="00F608A0" w:rsidRPr="003354AD">
        <w:rPr>
          <w:sz w:val="24"/>
          <w:szCs w:val="24"/>
        </w:rPr>
        <w:t xml:space="preserve">the </w:t>
      </w:r>
      <w:r w:rsidRPr="003354AD">
        <w:rPr>
          <w:noProof/>
          <w:sz w:val="24"/>
          <w:szCs w:val="24"/>
        </w:rPr>
        <w:t>court</w:t>
      </w:r>
      <w:r w:rsidRPr="003354AD">
        <w:rPr>
          <w:sz w:val="24"/>
          <w:szCs w:val="24"/>
        </w:rPr>
        <w:t xml:space="preserve"> to order </w:t>
      </w:r>
      <w:r w:rsidRPr="003354AD">
        <w:rPr>
          <w:noProof/>
          <w:sz w:val="24"/>
          <w:szCs w:val="24"/>
        </w:rPr>
        <w:t>compensation</w:t>
      </w:r>
      <w:r w:rsidRPr="003354AD">
        <w:rPr>
          <w:sz w:val="24"/>
          <w:szCs w:val="24"/>
        </w:rPr>
        <w:t xml:space="preserve"> (out of relationship property) owing to the income and living standards of one spouse </w:t>
      </w:r>
      <w:r w:rsidR="00F608A0" w:rsidRPr="003354AD">
        <w:rPr>
          <w:noProof/>
          <w:sz w:val="24"/>
          <w:szCs w:val="24"/>
        </w:rPr>
        <w:t>is</w:t>
      </w:r>
      <w:r w:rsidRPr="003354AD">
        <w:rPr>
          <w:sz w:val="24"/>
          <w:szCs w:val="24"/>
        </w:rPr>
        <w:t xml:space="preserve"> significantly higher because of the effects of the division of functions within the marriage.</w:t>
      </w:r>
      <w:r w:rsidRPr="00B41B0A">
        <w:rPr>
          <w:vertAlign w:val="superscript"/>
        </w:rPr>
        <w:endnoteReference w:id="147"/>
      </w:r>
      <w:r w:rsidRPr="003354AD">
        <w:rPr>
          <w:sz w:val="24"/>
          <w:szCs w:val="24"/>
        </w:rPr>
        <w:t xml:space="preserve"> </w:t>
      </w:r>
    </w:p>
    <w:p w:rsidR="00470271" w:rsidRPr="003354AD" w:rsidRDefault="00B41B0A" w:rsidP="009A0126">
      <w:pPr>
        <w:pStyle w:val="ListParagraph"/>
        <w:numPr>
          <w:ilvl w:val="0"/>
          <w:numId w:val="52"/>
        </w:numPr>
        <w:spacing w:after="0" w:line="360" w:lineRule="auto"/>
        <w:jc w:val="both"/>
        <w:rPr>
          <w:sz w:val="24"/>
          <w:szCs w:val="24"/>
        </w:rPr>
      </w:pPr>
      <w:r w:rsidRPr="003354AD">
        <w:rPr>
          <w:sz w:val="24"/>
          <w:szCs w:val="24"/>
        </w:rPr>
        <w:t>Two factual scenarios are likely to give rise to a compensatory order because of income and living standards</w:t>
      </w:r>
      <w:r w:rsidR="00470271" w:rsidRPr="003354AD">
        <w:rPr>
          <w:sz w:val="24"/>
          <w:szCs w:val="24"/>
        </w:rPr>
        <w:t>:</w:t>
      </w:r>
    </w:p>
    <w:p w:rsidR="00470271" w:rsidRDefault="00B41B0A" w:rsidP="009A0126">
      <w:pPr>
        <w:pStyle w:val="ListParagraph"/>
        <w:numPr>
          <w:ilvl w:val="0"/>
          <w:numId w:val="23"/>
        </w:numPr>
        <w:spacing w:after="0" w:line="360" w:lineRule="auto"/>
        <w:jc w:val="both"/>
        <w:rPr>
          <w:sz w:val="24"/>
          <w:szCs w:val="24"/>
        </w:rPr>
      </w:pPr>
      <w:r w:rsidRPr="00470271">
        <w:rPr>
          <w:sz w:val="24"/>
          <w:szCs w:val="24"/>
        </w:rPr>
        <w:t xml:space="preserve">The first scenario arises where a person has supported the other to obtain an earning capacity or an increase in earning capacity; and </w:t>
      </w:r>
    </w:p>
    <w:p w:rsidR="003354AD" w:rsidRPr="001002F5" w:rsidRDefault="00470271" w:rsidP="001002F5">
      <w:pPr>
        <w:pStyle w:val="ListParagraph"/>
        <w:numPr>
          <w:ilvl w:val="0"/>
          <w:numId w:val="23"/>
        </w:numPr>
        <w:spacing w:after="0" w:line="360" w:lineRule="auto"/>
        <w:jc w:val="both"/>
        <w:rPr>
          <w:sz w:val="24"/>
          <w:szCs w:val="24"/>
        </w:rPr>
      </w:pPr>
      <w:r>
        <w:rPr>
          <w:sz w:val="24"/>
          <w:szCs w:val="24"/>
        </w:rPr>
        <w:t>T</w:t>
      </w:r>
      <w:r w:rsidR="00B41B0A" w:rsidRPr="00470271">
        <w:rPr>
          <w:sz w:val="24"/>
          <w:szCs w:val="24"/>
        </w:rPr>
        <w:t xml:space="preserve">he second where a person has </w:t>
      </w:r>
      <w:r w:rsidR="00B41B0A" w:rsidRPr="00F608A0">
        <w:rPr>
          <w:noProof/>
          <w:sz w:val="24"/>
          <w:szCs w:val="24"/>
        </w:rPr>
        <w:t>foregone</w:t>
      </w:r>
      <w:r w:rsidR="00B41B0A" w:rsidRPr="00470271">
        <w:rPr>
          <w:sz w:val="24"/>
          <w:szCs w:val="24"/>
        </w:rPr>
        <w:t xml:space="preserve"> career opportunities to undertake </w:t>
      </w:r>
      <w:r w:rsidR="00F608A0">
        <w:rPr>
          <w:sz w:val="24"/>
          <w:szCs w:val="24"/>
        </w:rPr>
        <w:t xml:space="preserve">the </w:t>
      </w:r>
      <w:r w:rsidR="00B41B0A" w:rsidRPr="00F608A0">
        <w:rPr>
          <w:noProof/>
          <w:sz w:val="24"/>
          <w:szCs w:val="24"/>
        </w:rPr>
        <w:t>care</w:t>
      </w:r>
      <w:r w:rsidR="00B41B0A" w:rsidRPr="00470271">
        <w:rPr>
          <w:sz w:val="24"/>
          <w:szCs w:val="24"/>
        </w:rPr>
        <w:t xml:space="preserve"> of children.</w:t>
      </w:r>
      <w:r w:rsidR="00B41B0A" w:rsidRPr="00B41B0A">
        <w:rPr>
          <w:vertAlign w:val="superscript"/>
        </w:rPr>
        <w:endnoteReference w:id="148"/>
      </w:r>
      <w:r w:rsidR="00B41B0A" w:rsidRPr="00470271">
        <w:rPr>
          <w:sz w:val="24"/>
          <w:szCs w:val="24"/>
        </w:rPr>
        <w:t xml:space="preserve"> </w:t>
      </w:r>
    </w:p>
    <w:p w:rsidR="00B41B0A" w:rsidRPr="001002F5" w:rsidRDefault="00B41B0A" w:rsidP="00462142">
      <w:pPr>
        <w:pStyle w:val="ListParagraph"/>
        <w:numPr>
          <w:ilvl w:val="0"/>
          <w:numId w:val="52"/>
        </w:numPr>
        <w:spacing w:after="0" w:line="360" w:lineRule="auto"/>
        <w:jc w:val="both"/>
        <w:rPr>
          <w:sz w:val="24"/>
          <w:szCs w:val="24"/>
        </w:rPr>
      </w:pPr>
      <w:r w:rsidRPr="003354AD">
        <w:rPr>
          <w:sz w:val="24"/>
          <w:szCs w:val="24"/>
        </w:rPr>
        <w:t xml:space="preserve">In determining the amount of a compensatory order, a court may have regard to the likely earning </w:t>
      </w:r>
      <w:r w:rsidRPr="003354AD">
        <w:rPr>
          <w:noProof/>
          <w:sz w:val="24"/>
          <w:szCs w:val="24"/>
        </w:rPr>
        <w:t>capac</w:t>
      </w:r>
      <w:r w:rsidR="00F608A0" w:rsidRPr="003354AD">
        <w:rPr>
          <w:noProof/>
          <w:sz w:val="24"/>
          <w:szCs w:val="24"/>
        </w:rPr>
        <w:t>ity</w:t>
      </w:r>
      <w:r w:rsidRPr="003354AD">
        <w:rPr>
          <w:sz w:val="24"/>
          <w:szCs w:val="24"/>
        </w:rPr>
        <w:t xml:space="preserve"> of each spouse or partner, the responsibilities of each spouse or partner for the ongoing daily care of any minor or dependent children of the relationship, and any other relevant circumstances.</w:t>
      </w:r>
      <w:r w:rsidRPr="00B41B0A">
        <w:rPr>
          <w:vertAlign w:val="superscript"/>
        </w:rPr>
        <w:endnoteReference w:id="149"/>
      </w:r>
    </w:p>
    <w:p w:rsidR="00470271" w:rsidRPr="003354AD" w:rsidRDefault="00B41B0A" w:rsidP="009A0126">
      <w:pPr>
        <w:pStyle w:val="ListParagraph"/>
        <w:numPr>
          <w:ilvl w:val="0"/>
          <w:numId w:val="52"/>
        </w:numPr>
        <w:spacing w:after="0" w:line="360" w:lineRule="auto"/>
        <w:jc w:val="both"/>
        <w:rPr>
          <w:sz w:val="24"/>
          <w:szCs w:val="24"/>
        </w:rPr>
      </w:pPr>
      <w:r w:rsidRPr="003354AD">
        <w:rPr>
          <w:sz w:val="24"/>
          <w:szCs w:val="24"/>
        </w:rPr>
        <w:t>There are four elements to this type of compensatory order. The</w:t>
      </w:r>
      <w:r w:rsidR="00470271" w:rsidRPr="003354AD">
        <w:rPr>
          <w:sz w:val="24"/>
          <w:szCs w:val="24"/>
        </w:rPr>
        <w:t xml:space="preserve">y are: </w:t>
      </w:r>
    </w:p>
    <w:p w:rsidR="00504EEE" w:rsidRDefault="00504EEE" w:rsidP="009A0126">
      <w:pPr>
        <w:pStyle w:val="ListParagraph"/>
        <w:numPr>
          <w:ilvl w:val="0"/>
          <w:numId w:val="24"/>
        </w:numPr>
        <w:spacing w:after="0" w:line="360" w:lineRule="auto"/>
        <w:jc w:val="both"/>
        <w:rPr>
          <w:sz w:val="24"/>
          <w:szCs w:val="24"/>
        </w:rPr>
      </w:pPr>
      <w:r>
        <w:rPr>
          <w:sz w:val="24"/>
          <w:szCs w:val="24"/>
        </w:rPr>
        <w:lastRenderedPageBreak/>
        <w:t>T</w:t>
      </w:r>
      <w:r w:rsidR="00B41B0A" w:rsidRPr="00504EEE">
        <w:rPr>
          <w:sz w:val="24"/>
          <w:szCs w:val="24"/>
        </w:rPr>
        <w:t>he disparity in income and living standards must be significant in comparison to the other party.</w:t>
      </w:r>
      <w:r w:rsidR="00B41B0A" w:rsidRPr="00B41B0A">
        <w:rPr>
          <w:vertAlign w:val="superscript"/>
        </w:rPr>
        <w:endnoteReference w:id="150"/>
      </w:r>
      <w:r w:rsidR="00B41B0A" w:rsidRPr="00504EEE">
        <w:rPr>
          <w:sz w:val="24"/>
          <w:szCs w:val="24"/>
        </w:rPr>
        <w:t xml:space="preserve"> </w:t>
      </w:r>
    </w:p>
    <w:p w:rsidR="00504EEE" w:rsidRDefault="00504EEE" w:rsidP="009A0126">
      <w:pPr>
        <w:pStyle w:val="ListParagraph"/>
        <w:numPr>
          <w:ilvl w:val="0"/>
          <w:numId w:val="24"/>
        </w:numPr>
        <w:spacing w:after="0" w:line="360" w:lineRule="auto"/>
        <w:jc w:val="both"/>
        <w:rPr>
          <w:sz w:val="24"/>
          <w:szCs w:val="24"/>
        </w:rPr>
      </w:pPr>
      <w:r>
        <w:rPr>
          <w:sz w:val="24"/>
          <w:szCs w:val="24"/>
        </w:rPr>
        <w:t>C</w:t>
      </w:r>
      <w:r w:rsidR="00B41B0A" w:rsidRPr="00504EEE">
        <w:rPr>
          <w:sz w:val="24"/>
          <w:szCs w:val="24"/>
        </w:rPr>
        <w:t>ausation.</w:t>
      </w:r>
      <w:r w:rsidR="00B41B0A" w:rsidRPr="00B41B0A">
        <w:rPr>
          <w:vertAlign w:val="superscript"/>
        </w:rPr>
        <w:endnoteReference w:id="151"/>
      </w:r>
      <w:r w:rsidR="00B41B0A" w:rsidRPr="00504EEE">
        <w:rPr>
          <w:sz w:val="24"/>
          <w:szCs w:val="24"/>
        </w:rPr>
        <w:t xml:space="preserve"> Where there are no children of the relationship, </w:t>
      </w:r>
      <w:r w:rsidR="00F608A0">
        <w:rPr>
          <w:sz w:val="24"/>
          <w:szCs w:val="24"/>
        </w:rPr>
        <w:t xml:space="preserve">the </w:t>
      </w:r>
      <w:r w:rsidR="00B41B0A" w:rsidRPr="00F608A0">
        <w:rPr>
          <w:noProof/>
          <w:sz w:val="24"/>
          <w:szCs w:val="24"/>
        </w:rPr>
        <w:t>performance</w:t>
      </w:r>
      <w:r w:rsidR="00B41B0A" w:rsidRPr="00504EEE">
        <w:rPr>
          <w:sz w:val="24"/>
          <w:szCs w:val="24"/>
        </w:rPr>
        <w:t xml:space="preserve"> of household duties is not likely to establish causation.</w:t>
      </w:r>
      <w:r w:rsidR="00B41B0A" w:rsidRPr="00B41B0A">
        <w:rPr>
          <w:vertAlign w:val="superscript"/>
        </w:rPr>
        <w:endnoteReference w:id="152"/>
      </w:r>
      <w:r w:rsidR="00B41B0A" w:rsidRPr="00504EEE">
        <w:rPr>
          <w:sz w:val="24"/>
          <w:szCs w:val="24"/>
        </w:rPr>
        <w:t xml:space="preserve"> Only on </w:t>
      </w:r>
      <w:r w:rsidR="00F608A0">
        <w:rPr>
          <w:sz w:val="24"/>
          <w:szCs w:val="24"/>
        </w:rPr>
        <w:t xml:space="preserve">the </w:t>
      </w:r>
      <w:r w:rsidR="00B41B0A" w:rsidRPr="00F608A0">
        <w:rPr>
          <w:noProof/>
          <w:sz w:val="24"/>
          <w:szCs w:val="24"/>
        </w:rPr>
        <w:t>establishment</w:t>
      </w:r>
      <w:r w:rsidR="00B41B0A" w:rsidRPr="00504EEE">
        <w:rPr>
          <w:sz w:val="24"/>
          <w:szCs w:val="24"/>
        </w:rPr>
        <w:t xml:space="preserve"> of the two elements of disparity and causation on the balance of probabilities can a court turn to matters relevant to the exercise of discretion.</w:t>
      </w:r>
      <w:r w:rsidR="00B41B0A" w:rsidRPr="00B41B0A">
        <w:rPr>
          <w:vertAlign w:val="superscript"/>
        </w:rPr>
        <w:endnoteReference w:id="153"/>
      </w:r>
      <w:r w:rsidR="00B41B0A" w:rsidRPr="00504EEE">
        <w:rPr>
          <w:sz w:val="24"/>
          <w:szCs w:val="24"/>
        </w:rPr>
        <w:t xml:space="preserve">  </w:t>
      </w:r>
    </w:p>
    <w:p w:rsidR="00504EEE" w:rsidRDefault="00504EEE" w:rsidP="009A0126">
      <w:pPr>
        <w:pStyle w:val="ListParagraph"/>
        <w:numPr>
          <w:ilvl w:val="0"/>
          <w:numId w:val="24"/>
        </w:numPr>
        <w:spacing w:after="0" w:line="360" w:lineRule="auto"/>
        <w:jc w:val="both"/>
        <w:rPr>
          <w:sz w:val="24"/>
          <w:szCs w:val="24"/>
        </w:rPr>
      </w:pPr>
      <w:r w:rsidRPr="00F608A0">
        <w:rPr>
          <w:noProof/>
          <w:sz w:val="24"/>
          <w:szCs w:val="24"/>
        </w:rPr>
        <w:t>W</w:t>
      </w:r>
      <w:r w:rsidR="00B41B0A" w:rsidRPr="00F608A0">
        <w:rPr>
          <w:noProof/>
          <w:sz w:val="24"/>
          <w:szCs w:val="24"/>
        </w:rPr>
        <w:t xml:space="preserve">hether </w:t>
      </w:r>
      <w:r w:rsidR="00F608A0" w:rsidRPr="00F608A0">
        <w:rPr>
          <w:noProof/>
          <w:sz w:val="24"/>
          <w:szCs w:val="24"/>
        </w:rPr>
        <w:t xml:space="preserve">or not </w:t>
      </w:r>
      <w:r w:rsidR="00B41B0A" w:rsidRPr="00F608A0">
        <w:rPr>
          <w:noProof/>
          <w:sz w:val="24"/>
          <w:szCs w:val="24"/>
        </w:rPr>
        <w:t>there should be an award.</w:t>
      </w:r>
      <w:r w:rsidR="00B41B0A" w:rsidRPr="00B41B0A">
        <w:rPr>
          <w:vertAlign w:val="superscript"/>
        </w:rPr>
        <w:endnoteReference w:id="154"/>
      </w:r>
      <w:r w:rsidR="00B41B0A" w:rsidRPr="00504EEE">
        <w:rPr>
          <w:sz w:val="24"/>
          <w:szCs w:val="24"/>
        </w:rPr>
        <w:t xml:space="preserve"> </w:t>
      </w:r>
    </w:p>
    <w:p w:rsidR="00954E38" w:rsidRPr="001002F5" w:rsidRDefault="00504EEE" w:rsidP="00462142">
      <w:pPr>
        <w:pStyle w:val="ListParagraph"/>
        <w:numPr>
          <w:ilvl w:val="0"/>
          <w:numId w:val="24"/>
        </w:numPr>
        <w:spacing w:after="0" w:line="360" w:lineRule="auto"/>
        <w:jc w:val="both"/>
        <w:rPr>
          <w:sz w:val="24"/>
          <w:szCs w:val="24"/>
        </w:rPr>
      </w:pPr>
      <w:r>
        <w:rPr>
          <w:sz w:val="24"/>
          <w:szCs w:val="24"/>
        </w:rPr>
        <w:t>I</w:t>
      </w:r>
      <w:r w:rsidR="00B41B0A" w:rsidRPr="00504EEE">
        <w:rPr>
          <w:sz w:val="24"/>
          <w:szCs w:val="24"/>
        </w:rPr>
        <w:t xml:space="preserve">f a court chooses to make </w:t>
      </w:r>
      <w:r w:rsidR="00B41B0A" w:rsidRPr="00F608A0">
        <w:rPr>
          <w:noProof/>
          <w:sz w:val="24"/>
          <w:szCs w:val="24"/>
        </w:rPr>
        <w:t>an award</w:t>
      </w:r>
      <w:r w:rsidR="00B41B0A" w:rsidRPr="00504EEE">
        <w:rPr>
          <w:sz w:val="24"/>
          <w:szCs w:val="24"/>
        </w:rPr>
        <w:t xml:space="preserve">, quantum will be determined. A court may </w:t>
      </w:r>
      <w:r w:rsidR="003B1420">
        <w:rPr>
          <w:sz w:val="24"/>
          <w:szCs w:val="24"/>
        </w:rPr>
        <w:t>use a</w:t>
      </w:r>
      <w:r w:rsidR="00B41B0A" w:rsidRPr="00504EEE">
        <w:rPr>
          <w:sz w:val="24"/>
          <w:szCs w:val="24"/>
        </w:rPr>
        <w:t xml:space="preserve"> broad-brush approach if </w:t>
      </w:r>
      <w:r w:rsidR="008901C8" w:rsidRPr="00504EEE">
        <w:rPr>
          <w:sz w:val="24"/>
          <w:szCs w:val="24"/>
        </w:rPr>
        <w:t>necessary but</w:t>
      </w:r>
      <w:r w:rsidR="00B41B0A" w:rsidRPr="00504EEE">
        <w:rPr>
          <w:sz w:val="24"/>
          <w:szCs w:val="24"/>
        </w:rPr>
        <w:t xml:space="preserve"> will often use a formula. </w:t>
      </w:r>
      <w:r w:rsidR="00B41B0A" w:rsidRPr="00B41B0A">
        <w:rPr>
          <w:vertAlign w:val="superscript"/>
        </w:rPr>
        <w:endnoteReference w:id="155"/>
      </w:r>
      <w:r w:rsidR="00B41B0A" w:rsidRPr="00504EEE">
        <w:rPr>
          <w:sz w:val="24"/>
          <w:szCs w:val="24"/>
        </w:rPr>
        <w:t xml:space="preserve"> The formula uses net present earnings, a time-value discount, and a non-collection contingency.</w:t>
      </w:r>
      <w:r w:rsidR="00B41B0A" w:rsidRPr="00B41B0A">
        <w:rPr>
          <w:vertAlign w:val="superscript"/>
        </w:rPr>
        <w:endnoteReference w:id="156"/>
      </w:r>
      <w:r w:rsidR="00B41B0A" w:rsidRPr="00504EEE">
        <w:rPr>
          <w:sz w:val="24"/>
          <w:szCs w:val="24"/>
        </w:rPr>
        <w:t xml:space="preserve">  It appears to require expert evidence to calculate. </w:t>
      </w:r>
    </w:p>
    <w:p w:rsidR="003354AD" w:rsidRPr="001002F5" w:rsidRDefault="00B41B0A" w:rsidP="001002F5">
      <w:pPr>
        <w:pStyle w:val="ListParagraph"/>
        <w:numPr>
          <w:ilvl w:val="0"/>
          <w:numId w:val="52"/>
        </w:numPr>
        <w:spacing w:after="0" w:line="360" w:lineRule="auto"/>
        <w:jc w:val="both"/>
        <w:rPr>
          <w:sz w:val="24"/>
          <w:szCs w:val="24"/>
        </w:rPr>
      </w:pPr>
      <w:r w:rsidRPr="003354AD">
        <w:rPr>
          <w:sz w:val="24"/>
          <w:szCs w:val="24"/>
        </w:rPr>
        <w:t xml:space="preserve">In British Columbia, the discretion to divide property unequally considers a spouse's contribution to the career or career potential of the other spouse, duration of the marriage, </w:t>
      </w:r>
      <w:r w:rsidR="00F608A0" w:rsidRPr="003354AD">
        <w:rPr>
          <w:sz w:val="24"/>
          <w:szCs w:val="24"/>
        </w:rPr>
        <w:t xml:space="preserve">the </w:t>
      </w:r>
      <w:r w:rsidRPr="003354AD">
        <w:rPr>
          <w:noProof/>
          <w:sz w:val="24"/>
          <w:szCs w:val="24"/>
        </w:rPr>
        <w:t>extent</w:t>
      </w:r>
      <w:r w:rsidRPr="003354AD">
        <w:rPr>
          <w:sz w:val="24"/>
          <w:szCs w:val="24"/>
        </w:rPr>
        <w:t xml:space="preserve"> of spousal support, and the terms of any prior agreement between the parties.</w:t>
      </w:r>
      <w:r w:rsidRPr="00B41B0A">
        <w:rPr>
          <w:vertAlign w:val="superscript"/>
        </w:rPr>
        <w:endnoteReference w:id="157"/>
      </w:r>
      <w:r w:rsidRPr="003354AD">
        <w:rPr>
          <w:sz w:val="24"/>
          <w:szCs w:val="24"/>
        </w:rPr>
        <w:t xml:space="preserve"> For a trial judge to justify an exercise of </w:t>
      </w:r>
      <w:r w:rsidRPr="003354AD">
        <w:rPr>
          <w:noProof/>
          <w:sz w:val="24"/>
          <w:szCs w:val="24"/>
        </w:rPr>
        <w:t>discretion</w:t>
      </w:r>
      <w:r w:rsidR="00F608A0" w:rsidRPr="003354AD">
        <w:rPr>
          <w:noProof/>
          <w:sz w:val="24"/>
          <w:szCs w:val="24"/>
        </w:rPr>
        <w:t>,</w:t>
      </w:r>
      <w:r w:rsidRPr="003354AD">
        <w:rPr>
          <w:sz w:val="24"/>
          <w:szCs w:val="24"/>
        </w:rPr>
        <w:t xml:space="preserve"> there must be real unfairness in an equal outcome.</w:t>
      </w:r>
      <w:r w:rsidRPr="00B41B0A">
        <w:rPr>
          <w:vertAlign w:val="superscript"/>
        </w:rPr>
        <w:endnoteReference w:id="158"/>
      </w:r>
      <w:r w:rsidRPr="003354AD">
        <w:rPr>
          <w:sz w:val="24"/>
          <w:szCs w:val="24"/>
        </w:rPr>
        <w:t xml:space="preserve">  In Ontario, the </w:t>
      </w:r>
      <w:r w:rsidRPr="003354AD">
        <w:rPr>
          <w:noProof/>
          <w:sz w:val="24"/>
          <w:szCs w:val="24"/>
        </w:rPr>
        <w:t>discretion</w:t>
      </w:r>
      <w:r w:rsidRPr="003354AD">
        <w:rPr>
          <w:sz w:val="24"/>
          <w:szCs w:val="24"/>
        </w:rPr>
        <w:t xml:space="preserve"> is limited to unconscionability. Unconscionable is a high bar in this context, interpreted as ‘…repugnant to anyone's sense of justice, or shocking to the conscience of the court.’</w:t>
      </w:r>
      <w:r w:rsidRPr="00B41B0A">
        <w:rPr>
          <w:vertAlign w:val="superscript"/>
        </w:rPr>
        <w:endnoteReference w:id="159"/>
      </w:r>
    </w:p>
    <w:p w:rsidR="00504EEE" w:rsidRPr="003354AD" w:rsidRDefault="00504EEE" w:rsidP="009A0126">
      <w:pPr>
        <w:pStyle w:val="ListParagraph"/>
        <w:numPr>
          <w:ilvl w:val="0"/>
          <w:numId w:val="52"/>
        </w:numPr>
        <w:spacing w:after="0" w:line="360" w:lineRule="auto"/>
        <w:jc w:val="both"/>
        <w:rPr>
          <w:sz w:val="24"/>
          <w:szCs w:val="24"/>
        </w:rPr>
      </w:pPr>
      <w:r w:rsidRPr="003354AD">
        <w:rPr>
          <w:sz w:val="24"/>
          <w:szCs w:val="24"/>
        </w:rPr>
        <w:t xml:space="preserve">Potential structural approaches to </w:t>
      </w:r>
      <w:r w:rsidR="00F608A0" w:rsidRPr="003354AD">
        <w:rPr>
          <w:sz w:val="24"/>
          <w:szCs w:val="24"/>
        </w:rPr>
        <w:t xml:space="preserve">the </w:t>
      </w:r>
      <w:r w:rsidRPr="003354AD">
        <w:rPr>
          <w:noProof/>
          <w:sz w:val="24"/>
          <w:szCs w:val="24"/>
        </w:rPr>
        <w:t>disparity</w:t>
      </w:r>
      <w:r w:rsidRPr="003354AD">
        <w:rPr>
          <w:sz w:val="24"/>
          <w:szCs w:val="24"/>
        </w:rPr>
        <w:t xml:space="preserve"> in earning capacity therefore include: </w:t>
      </w:r>
    </w:p>
    <w:p w:rsidR="006E02C6" w:rsidRDefault="00980F2E" w:rsidP="009A0126">
      <w:pPr>
        <w:pStyle w:val="ListParagraph"/>
        <w:numPr>
          <w:ilvl w:val="0"/>
          <w:numId w:val="25"/>
        </w:numPr>
        <w:spacing w:after="0" w:line="360" w:lineRule="auto"/>
        <w:jc w:val="both"/>
        <w:rPr>
          <w:sz w:val="24"/>
          <w:szCs w:val="24"/>
        </w:rPr>
      </w:pPr>
      <w:r w:rsidRPr="00980F2E">
        <w:rPr>
          <w:noProof/>
          <w:sz w:val="24"/>
          <w:szCs w:val="24"/>
        </w:rPr>
        <w:t>The r</w:t>
      </w:r>
      <w:r w:rsidR="006E02C6" w:rsidRPr="00980F2E">
        <w:rPr>
          <w:noProof/>
          <w:sz w:val="24"/>
          <w:szCs w:val="24"/>
        </w:rPr>
        <w:t>etention</w:t>
      </w:r>
      <w:r w:rsidR="006E02C6">
        <w:rPr>
          <w:sz w:val="24"/>
          <w:szCs w:val="24"/>
        </w:rPr>
        <w:t xml:space="preserve"> of the status quo.</w:t>
      </w:r>
    </w:p>
    <w:p w:rsidR="00504EEE" w:rsidRDefault="00504EEE" w:rsidP="009A0126">
      <w:pPr>
        <w:pStyle w:val="ListParagraph"/>
        <w:numPr>
          <w:ilvl w:val="0"/>
          <w:numId w:val="25"/>
        </w:numPr>
        <w:spacing w:after="0" w:line="360" w:lineRule="auto"/>
        <w:jc w:val="both"/>
        <w:rPr>
          <w:sz w:val="24"/>
          <w:szCs w:val="24"/>
        </w:rPr>
      </w:pPr>
      <w:r>
        <w:rPr>
          <w:sz w:val="24"/>
          <w:szCs w:val="24"/>
        </w:rPr>
        <w:t>Combining factors like section 75(2) into one</w:t>
      </w:r>
      <w:r w:rsidR="006E02C6">
        <w:rPr>
          <w:sz w:val="24"/>
          <w:szCs w:val="24"/>
        </w:rPr>
        <w:t xml:space="preserve"> (new)</w:t>
      </w:r>
      <w:r>
        <w:rPr>
          <w:sz w:val="24"/>
          <w:szCs w:val="24"/>
        </w:rPr>
        <w:t xml:space="preserve"> cause of action</w:t>
      </w:r>
      <w:r w:rsidR="006E02C6">
        <w:rPr>
          <w:sz w:val="24"/>
          <w:szCs w:val="24"/>
        </w:rPr>
        <w:t>.</w:t>
      </w:r>
      <w:r>
        <w:rPr>
          <w:sz w:val="24"/>
          <w:szCs w:val="24"/>
        </w:rPr>
        <w:t xml:space="preserve"> </w:t>
      </w:r>
    </w:p>
    <w:p w:rsidR="00504EEE" w:rsidRDefault="00504EEE" w:rsidP="009A0126">
      <w:pPr>
        <w:pStyle w:val="ListParagraph"/>
        <w:numPr>
          <w:ilvl w:val="0"/>
          <w:numId w:val="25"/>
        </w:numPr>
        <w:spacing w:after="0" w:line="360" w:lineRule="auto"/>
        <w:jc w:val="both"/>
        <w:rPr>
          <w:sz w:val="24"/>
          <w:szCs w:val="24"/>
        </w:rPr>
      </w:pPr>
      <w:r>
        <w:rPr>
          <w:sz w:val="24"/>
          <w:szCs w:val="24"/>
        </w:rPr>
        <w:t>Providing for compensatory factors as an exception to equal sharing</w:t>
      </w:r>
      <w:r w:rsidR="006E02C6">
        <w:rPr>
          <w:sz w:val="24"/>
          <w:szCs w:val="24"/>
        </w:rPr>
        <w:t xml:space="preserve"> or rebutting a presumption of equal sharing</w:t>
      </w:r>
      <w:r>
        <w:rPr>
          <w:sz w:val="24"/>
          <w:szCs w:val="24"/>
        </w:rPr>
        <w:t>, or</w:t>
      </w:r>
    </w:p>
    <w:p w:rsidR="00504EEE" w:rsidRDefault="00504EEE" w:rsidP="009A0126">
      <w:pPr>
        <w:pStyle w:val="ListParagraph"/>
        <w:numPr>
          <w:ilvl w:val="0"/>
          <w:numId w:val="25"/>
        </w:numPr>
        <w:spacing w:after="0" w:line="360" w:lineRule="auto"/>
        <w:jc w:val="both"/>
        <w:rPr>
          <w:sz w:val="24"/>
          <w:szCs w:val="24"/>
        </w:rPr>
      </w:pPr>
      <w:r>
        <w:rPr>
          <w:sz w:val="24"/>
          <w:szCs w:val="24"/>
        </w:rPr>
        <w:t>A separate cause of action for compensation (</w:t>
      </w:r>
      <w:r w:rsidR="006E02C6">
        <w:rPr>
          <w:sz w:val="24"/>
          <w:szCs w:val="24"/>
        </w:rPr>
        <w:t xml:space="preserve">like </w:t>
      </w:r>
      <w:r>
        <w:rPr>
          <w:sz w:val="24"/>
          <w:szCs w:val="24"/>
        </w:rPr>
        <w:t xml:space="preserve">New Zealand). </w:t>
      </w:r>
    </w:p>
    <w:p w:rsidR="00504EEE" w:rsidRDefault="00504EEE" w:rsidP="00462142">
      <w:pPr>
        <w:pStyle w:val="ListParagraph"/>
        <w:spacing w:after="0" w:line="360" w:lineRule="auto"/>
        <w:jc w:val="both"/>
        <w:rPr>
          <w:sz w:val="24"/>
          <w:szCs w:val="24"/>
        </w:rPr>
      </w:pPr>
    </w:p>
    <w:p w:rsidR="00504EEE" w:rsidRDefault="00504EEE" w:rsidP="00462142">
      <w:pPr>
        <w:pStyle w:val="Heading2"/>
        <w:spacing w:before="0" w:line="360" w:lineRule="auto"/>
        <w:rPr>
          <w:color w:val="auto"/>
          <w:sz w:val="28"/>
          <w:szCs w:val="28"/>
        </w:rPr>
      </w:pPr>
      <w:bookmarkStart w:id="45" w:name="_Toc512895953"/>
      <w:r w:rsidRPr="004E3003">
        <w:rPr>
          <w:color w:val="auto"/>
          <w:sz w:val="28"/>
          <w:szCs w:val="28"/>
        </w:rPr>
        <w:t>I</w:t>
      </w:r>
      <w:r w:rsidR="00A645C3">
        <w:rPr>
          <w:color w:val="auto"/>
          <w:sz w:val="28"/>
          <w:szCs w:val="28"/>
        </w:rPr>
        <w:t>V</w:t>
      </w:r>
      <w:r w:rsidRPr="004E3003">
        <w:rPr>
          <w:color w:val="auto"/>
          <w:sz w:val="28"/>
          <w:szCs w:val="28"/>
        </w:rPr>
        <w:t xml:space="preserve"> </w:t>
      </w:r>
      <w:r>
        <w:rPr>
          <w:color w:val="auto"/>
          <w:sz w:val="28"/>
          <w:szCs w:val="28"/>
        </w:rPr>
        <w:t>Contributions: Outdated and Unhelpful</w:t>
      </w:r>
      <w:bookmarkEnd w:id="45"/>
      <w:r>
        <w:rPr>
          <w:color w:val="auto"/>
          <w:sz w:val="28"/>
          <w:szCs w:val="28"/>
        </w:rPr>
        <w:t xml:space="preserve"> </w:t>
      </w:r>
    </w:p>
    <w:p w:rsidR="003354AD" w:rsidRPr="001002F5" w:rsidRDefault="00596AF2" w:rsidP="001002F5">
      <w:pPr>
        <w:pStyle w:val="ListParagraph"/>
        <w:numPr>
          <w:ilvl w:val="0"/>
          <w:numId w:val="52"/>
        </w:numPr>
        <w:spacing w:after="0" w:line="360" w:lineRule="auto"/>
        <w:jc w:val="both"/>
        <w:rPr>
          <w:sz w:val="24"/>
          <w:szCs w:val="24"/>
        </w:rPr>
      </w:pPr>
      <w:r w:rsidRPr="003354AD">
        <w:rPr>
          <w:sz w:val="24"/>
          <w:szCs w:val="24"/>
        </w:rPr>
        <w:t xml:space="preserve">The idea of trying to ‘fix’ the contributions concept </w:t>
      </w:r>
      <w:r w:rsidR="00F608A0" w:rsidRPr="003354AD">
        <w:rPr>
          <w:sz w:val="24"/>
          <w:szCs w:val="24"/>
        </w:rPr>
        <w:t>permeates multiple previous inquiries</w:t>
      </w:r>
      <w:r w:rsidRPr="003354AD">
        <w:rPr>
          <w:sz w:val="24"/>
          <w:szCs w:val="24"/>
        </w:rPr>
        <w:t>.</w:t>
      </w:r>
      <w:r w:rsidR="006E02C6">
        <w:rPr>
          <w:sz w:val="24"/>
          <w:szCs w:val="24"/>
        </w:rPr>
        <w:t xml:space="preserve"> This submission argues in favour of abandoning the concept. </w:t>
      </w:r>
      <w:r w:rsidRPr="003354AD">
        <w:rPr>
          <w:sz w:val="24"/>
          <w:szCs w:val="24"/>
        </w:rPr>
        <w:t xml:space="preserve">  </w:t>
      </w:r>
    </w:p>
    <w:p w:rsidR="003354AD" w:rsidRPr="001002F5" w:rsidRDefault="00596AF2" w:rsidP="001002F5">
      <w:pPr>
        <w:pStyle w:val="ListParagraph"/>
        <w:numPr>
          <w:ilvl w:val="0"/>
          <w:numId w:val="52"/>
        </w:numPr>
        <w:spacing w:after="0" w:line="360" w:lineRule="auto"/>
        <w:jc w:val="both"/>
        <w:rPr>
          <w:sz w:val="24"/>
          <w:szCs w:val="24"/>
        </w:rPr>
      </w:pPr>
      <w:r w:rsidRPr="003354AD">
        <w:rPr>
          <w:sz w:val="24"/>
          <w:szCs w:val="24"/>
        </w:rPr>
        <w:lastRenderedPageBreak/>
        <w:t>The 1980 Joint Select Committee recommended a presumption of joint ownership of the matrimonial home.</w:t>
      </w:r>
      <w:r w:rsidRPr="00596AF2">
        <w:rPr>
          <w:vertAlign w:val="superscript"/>
        </w:rPr>
        <w:endnoteReference w:id="160"/>
      </w:r>
      <w:r w:rsidRPr="003354AD">
        <w:rPr>
          <w:sz w:val="24"/>
          <w:szCs w:val="24"/>
        </w:rPr>
        <w:t xml:space="preserve">  In 1987, the Commission prepared a proposed new part for the </w:t>
      </w:r>
      <w:r w:rsidRPr="003354AD">
        <w:rPr>
          <w:i/>
          <w:sz w:val="24"/>
          <w:szCs w:val="24"/>
        </w:rPr>
        <w:t>Act</w:t>
      </w:r>
      <w:r w:rsidRPr="003354AD">
        <w:rPr>
          <w:sz w:val="24"/>
          <w:szCs w:val="24"/>
        </w:rPr>
        <w:t xml:space="preserve"> with three underpinning principles: the equal status of spouses, the nature of marriage relationship (being one of nurturing of children, management of the household and acquisition of property), and a just distribution.</w:t>
      </w:r>
      <w:r w:rsidRPr="00596AF2">
        <w:rPr>
          <w:vertAlign w:val="superscript"/>
        </w:rPr>
        <w:endnoteReference w:id="161"/>
      </w:r>
      <w:r w:rsidRPr="003354AD">
        <w:rPr>
          <w:sz w:val="24"/>
          <w:szCs w:val="24"/>
        </w:rPr>
        <w:t xml:space="preserve"> The proposed starting point for division of property was equality.</w:t>
      </w:r>
      <w:r w:rsidRPr="00596AF2">
        <w:rPr>
          <w:vertAlign w:val="superscript"/>
        </w:rPr>
        <w:endnoteReference w:id="162"/>
      </w:r>
      <w:r w:rsidRPr="003354AD">
        <w:rPr>
          <w:sz w:val="24"/>
          <w:szCs w:val="24"/>
        </w:rPr>
        <w:t xml:space="preserve"> Adjustment to the starting point of </w:t>
      </w:r>
      <w:r w:rsidRPr="003354AD">
        <w:rPr>
          <w:noProof/>
          <w:sz w:val="24"/>
          <w:szCs w:val="24"/>
        </w:rPr>
        <w:t>equality</w:t>
      </w:r>
      <w:r w:rsidRPr="003354AD">
        <w:rPr>
          <w:sz w:val="24"/>
          <w:szCs w:val="24"/>
        </w:rPr>
        <w:t xml:space="preserve"> </w:t>
      </w:r>
      <w:r w:rsidR="00F608A0" w:rsidRPr="003354AD">
        <w:rPr>
          <w:noProof/>
          <w:sz w:val="24"/>
          <w:szCs w:val="24"/>
        </w:rPr>
        <w:t>came from</w:t>
      </w:r>
      <w:r w:rsidRPr="003354AD">
        <w:rPr>
          <w:sz w:val="24"/>
          <w:szCs w:val="24"/>
        </w:rPr>
        <w:t xml:space="preserve"> substantially greater contributions by one party to the marriage, actions </w:t>
      </w:r>
      <w:r w:rsidR="00F608A0" w:rsidRPr="003354AD">
        <w:rPr>
          <w:noProof/>
          <w:sz w:val="24"/>
          <w:szCs w:val="24"/>
        </w:rPr>
        <w:t>about</w:t>
      </w:r>
      <w:r w:rsidRPr="003354AD">
        <w:rPr>
          <w:sz w:val="24"/>
          <w:szCs w:val="24"/>
        </w:rPr>
        <w:t xml:space="preserve"> property or child care after separation, one party’s financial resources, or that one party brought </w:t>
      </w:r>
      <w:r w:rsidR="003B1420" w:rsidRPr="003B1420">
        <w:rPr>
          <w:noProof/>
          <w:sz w:val="24"/>
          <w:szCs w:val="24"/>
        </w:rPr>
        <w:t xml:space="preserve">some </w:t>
      </w:r>
      <w:r w:rsidRPr="003B1420">
        <w:rPr>
          <w:noProof/>
          <w:sz w:val="24"/>
          <w:szCs w:val="24"/>
        </w:rPr>
        <w:t>property</w:t>
      </w:r>
      <w:r w:rsidRPr="003354AD">
        <w:rPr>
          <w:sz w:val="24"/>
          <w:szCs w:val="24"/>
        </w:rPr>
        <w:t xml:space="preserve"> into the marriage or acquired property by gift or inheritance. </w:t>
      </w:r>
      <w:r w:rsidRPr="00596AF2">
        <w:rPr>
          <w:vertAlign w:val="superscript"/>
        </w:rPr>
        <w:endnoteReference w:id="163"/>
      </w:r>
      <w:r w:rsidRPr="003354AD">
        <w:rPr>
          <w:sz w:val="24"/>
          <w:szCs w:val="24"/>
        </w:rPr>
        <w:t xml:space="preserve"> </w:t>
      </w:r>
    </w:p>
    <w:p w:rsidR="00954E38" w:rsidRPr="001002F5" w:rsidRDefault="00596AF2" w:rsidP="00462142">
      <w:pPr>
        <w:pStyle w:val="ListParagraph"/>
        <w:numPr>
          <w:ilvl w:val="0"/>
          <w:numId w:val="52"/>
        </w:numPr>
        <w:spacing w:after="0" w:line="360" w:lineRule="auto"/>
        <w:jc w:val="both"/>
        <w:rPr>
          <w:sz w:val="24"/>
          <w:szCs w:val="24"/>
        </w:rPr>
      </w:pPr>
      <w:r w:rsidRPr="003354AD">
        <w:rPr>
          <w:sz w:val="24"/>
          <w:szCs w:val="24"/>
        </w:rPr>
        <w:t>A 1992 Joint Select Committee recommended equality of sharing be the starting point or, if there was a financial agreement,</w:t>
      </w:r>
      <w:r w:rsidRPr="003354AD">
        <w:rPr>
          <w:noProof/>
          <w:sz w:val="24"/>
          <w:szCs w:val="24"/>
        </w:rPr>
        <w:t xml:space="preserve"> the</w:t>
      </w:r>
      <w:r w:rsidRPr="003354AD">
        <w:rPr>
          <w:sz w:val="24"/>
          <w:szCs w:val="24"/>
        </w:rPr>
        <w:t xml:space="preserve"> terms of the agreement be the starting point.</w:t>
      </w:r>
      <w:r w:rsidRPr="00596AF2">
        <w:rPr>
          <w:vertAlign w:val="superscript"/>
        </w:rPr>
        <w:endnoteReference w:id="164"/>
      </w:r>
      <w:r w:rsidRPr="003354AD">
        <w:rPr>
          <w:sz w:val="24"/>
          <w:szCs w:val="24"/>
        </w:rPr>
        <w:t xml:space="preserve"> The Commonwealth Government’s response to the 1992 Joint Select Committee report was a 1994 bill and a further exposure draft bill.</w:t>
      </w:r>
      <w:r w:rsidRPr="00596AF2">
        <w:rPr>
          <w:vertAlign w:val="superscript"/>
        </w:rPr>
        <w:endnoteReference w:id="165"/>
      </w:r>
      <w:r w:rsidRPr="003354AD">
        <w:rPr>
          <w:sz w:val="24"/>
          <w:szCs w:val="24"/>
        </w:rPr>
        <w:t xml:space="preserve"> The proposed provisions in the exposure draft bill required a court to assume equal contributions.</w:t>
      </w:r>
      <w:r w:rsidRPr="00596AF2">
        <w:rPr>
          <w:vertAlign w:val="superscript"/>
        </w:rPr>
        <w:endnoteReference w:id="166"/>
      </w:r>
      <w:r w:rsidRPr="003354AD">
        <w:rPr>
          <w:sz w:val="24"/>
          <w:szCs w:val="24"/>
        </w:rPr>
        <w:t xml:space="preserve"> </w:t>
      </w:r>
    </w:p>
    <w:p w:rsidR="00954E38" w:rsidRPr="001002F5" w:rsidRDefault="00596AF2" w:rsidP="00462142">
      <w:pPr>
        <w:pStyle w:val="ListParagraph"/>
        <w:numPr>
          <w:ilvl w:val="0"/>
          <w:numId w:val="52"/>
        </w:numPr>
        <w:spacing w:after="0" w:line="360" w:lineRule="auto"/>
        <w:jc w:val="both"/>
        <w:rPr>
          <w:sz w:val="24"/>
          <w:szCs w:val="24"/>
        </w:rPr>
      </w:pPr>
      <w:r w:rsidRPr="003354AD">
        <w:rPr>
          <w:sz w:val="24"/>
          <w:szCs w:val="24"/>
        </w:rPr>
        <w:t xml:space="preserve">In the 1999 discussion paper, </w:t>
      </w:r>
      <w:r w:rsidRPr="003354AD">
        <w:rPr>
          <w:i/>
          <w:sz w:val="24"/>
          <w:szCs w:val="24"/>
        </w:rPr>
        <w:t xml:space="preserve">Options for Change, </w:t>
      </w:r>
      <w:r w:rsidRPr="003354AD">
        <w:rPr>
          <w:sz w:val="24"/>
          <w:szCs w:val="24"/>
        </w:rPr>
        <w:t>the Commonwealth Attorney-General’s Department offered two options. The first was a change to a statutory presumption of equality of contributions. A court would be able to depart from that assumption if one party was able to demonstrate that contributions were unequal.</w:t>
      </w:r>
      <w:r w:rsidRPr="00596AF2">
        <w:rPr>
          <w:vertAlign w:val="superscript"/>
        </w:rPr>
        <w:endnoteReference w:id="167"/>
      </w:r>
      <w:r w:rsidRPr="003354AD">
        <w:rPr>
          <w:sz w:val="24"/>
          <w:szCs w:val="24"/>
        </w:rPr>
        <w:t xml:space="preserve"> The second option was a deferred community property regime. Any property acquired during the marriage would be </w:t>
      </w:r>
      <w:r w:rsidRPr="003354AD">
        <w:rPr>
          <w:noProof/>
          <w:sz w:val="24"/>
          <w:szCs w:val="24"/>
        </w:rPr>
        <w:t>a communal</w:t>
      </w:r>
      <w:r w:rsidRPr="003354AD">
        <w:rPr>
          <w:sz w:val="24"/>
          <w:szCs w:val="24"/>
        </w:rPr>
        <w:t xml:space="preserve"> asset, as well as the net increase in </w:t>
      </w:r>
      <w:r w:rsidR="00F608A0" w:rsidRPr="003354AD">
        <w:rPr>
          <w:sz w:val="24"/>
          <w:szCs w:val="24"/>
        </w:rPr>
        <w:t xml:space="preserve">the </w:t>
      </w:r>
      <w:r w:rsidRPr="003354AD">
        <w:rPr>
          <w:noProof/>
          <w:sz w:val="24"/>
          <w:szCs w:val="24"/>
        </w:rPr>
        <w:t>value</w:t>
      </w:r>
      <w:r w:rsidRPr="003354AD">
        <w:rPr>
          <w:sz w:val="24"/>
          <w:szCs w:val="24"/>
        </w:rPr>
        <w:t xml:space="preserve"> of pre-cohabitation assets.</w:t>
      </w:r>
      <w:r w:rsidRPr="00596AF2">
        <w:rPr>
          <w:vertAlign w:val="superscript"/>
        </w:rPr>
        <w:endnoteReference w:id="168"/>
      </w:r>
      <w:r w:rsidRPr="003354AD">
        <w:rPr>
          <w:sz w:val="24"/>
          <w:szCs w:val="24"/>
        </w:rPr>
        <w:t xml:space="preserve"> There would be </w:t>
      </w:r>
      <w:r w:rsidR="00F608A0" w:rsidRPr="003354AD">
        <w:rPr>
          <w:sz w:val="24"/>
          <w:szCs w:val="24"/>
        </w:rPr>
        <w:t xml:space="preserve">an </w:t>
      </w:r>
      <w:r w:rsidRPr="003354AD">
        <w:rPr>
          <w:noProof/>
          <w:sz w:val="24"/>
          <w:szCs w:val="24"/>
        </w:rPr>
        <w:t>equal</w:t>
      </w:r>
      <w:r w:rsidRPr="003354AD">
        <w:rPr>
          <w:sz w:val="24"/>
          <w:szCs w:val="24"/>
        </w:rPr>
        <w:t xml:space="preserve"> division of </w:t>
      </w:r>
      <w:r w:rsidRPr="003354AD">
        <w:rPr>
          <w:noProof/>
          <w:sz w:val="24"/>
          <w:szCs w:val="24"/>
        </w:rPr>
        <w:t>communal</w:t>
      </w:r>
      <w:r w:rsidRPr="003354AD">
        <w:rPr>
          <w:sz w:val="24"/>
          <w:szCs w:val="24"/>
        </w:rPr>
        <w:t xml:space="preserve"> assets.</w:t>
      </w:r>
      <w:r w:rsidRPr="00596AF2">
        <w:rPr>
          <w:vertAlign w:val="superscript"/>
        </w:rPr>
        <w:endnoteReference w:id="169"/>
      </w:r>
    </w:p>
    <w:p w:rsidR="00954E38" w:rsidRPr="001002F5" w:rsidRDefault="00596AF2" w:rsidP="00462142">
      <w:pPr>
        <w:pStyle w:val="ListParagraph"/>
        <w:numPr>
          <w:ilvl w:val="0"/>
          <w:numId w:val="52"/>
        </w:numPr>
        <w:spacing w:after="0" w:line="360" w:lineRule="auto"/>
        <w:jc w:val="both"/>
        <w:rPr>
          <w:sz w:val="24"/>
          <w:szCs w:val="24"/>
        </w:rPr>
      </w:pPr>
      <w:r w:rsidRPr="003354AD">
        <w:rPr>
          <w:sz w:val="24"/>
          <w:szCs w:val="24"/>
        </w:rPr>
        <w:t xml:space="preserve">In its response to </w:t>
      </w:r>
      <w:r w:rsidRPr="003354AD">
        <w:rPr>
          <w:i/>
          <w:sz w:val="24"/>
          <w:szCs w:val="24"/>
        </w:rPr>
        <w:t>Options for Change</w:t>
      </w:r>
      <w:r w:rsidRPr="003354AD">
        <w:rPr>
          <w:sz w:val="24"/>
          <w:szCs w:val="24"/>
        </w:rPr>
        <w:t>,</w:t>
      </w:r>
      <w:r w:rsidRPr="003354AD">
        <w:rPr>
          <w:i/>
          <w:sz w:val="24"/>
          <w:szCs w:val="24"/>
        </w:rPr>
        <w:t xml:space="preserve"> </w:t>
      </w:r>
      <w:r w:rsidRPr="003354AD">
        <w:rPr>
          <w:sz w:val="24"/>
          <w:szCs w:val="24"/>
        </w:rPr>
        <w:t>the Family Law Council supported a presumption of equal contributions on the basis it would make the law more transparent.</w:t>
      </w:r>
      <w:r w:rsidRPr="00596AF2">
        <w:rPr>
          <w:vertAlign w:val="superscript"/>
        </w:rPr>
        <w:endnoteReference w:id="170"/>
      </w:r>
      <w:r w:rsidRPr="003354AD">
        <w:rPr>
          <w:sz w:val="24"/>
          <w:szCs w:val="24"/>
        </w:rPr>
        <w:t xml:space="preserve"> The Council strongly opposed the community property option on the </w:t>
      </w:r>
      <w:r w:rsidRPr="003354AD">
        <w:rPr>
          <w:noProof/>
          <w:sz w:val="24"/>
          <w:szCs w:val="24"/>
        </w:rPr>
        <w:t>basis</w:t>
      </w:r>
      <w:r w:rsidRPr="003354AD">
        <w:rPr>
          <w:sz w:val="24"/>
          <w:szCs w:val="24"/>
        </w:rPr>
        <w:t xml:space="preserve"> that a court would need to determine the value of community property from the time of acquisition to separation, which involved detailed factual determinations.</w:t>
      </w:r>
      <w:r w:rsidRPr="00596AF2">
        <w:rPr>
          <w:vertAlign w:val="superscript"/>
        </w:rPr>
        <w:endnoteReference w:id="171"/>
      </w:r>
      <w:r w:rsidRPr="003354AD">
        <w:rPr>
          <w:sz w:val="24"/>
          <w:szCs w:val="24"/>
        </w:rPr>
        <w:t xml:space="preserve"> </w:t>
      </w:r>
    </w:p>
    <w:p w:rsidR="003354AD" w:rsidRPr="00FA5649" w:rsidRDefault="00FA5649" w:rsidP="00FA5649">
      <w:pPr>
        <w:pStyle w:val="ListParagraph"/>
        <w:numPr>
          <w:ilvl w:val="0"/>
          <w:numId w:val="52"/>
        </w:numPr>
        <w:spacing w:after="0" w:line="360" w:lineRule="auto"/>
        <w:jc w:val="both"/>
        <w:rPr>
          <w:sz w:val="24"/>
          <w:szCs w:val="24"/>
        </w:rPr>
      </w:pPr>
      <w:r>
        <w:rPr>
          <w:sz w:val="24"/>
          <w:szCs w:val="24"/>
        </w:rPr>
        <w:t>In examining reform, the Commission should note that t</w:t>
      </w:r>
      <w:r w:rsidR="001561A9" w:rsidRPr="003354AD">
        <w:rPr>
          <w:sz w:val="24"/>
          <w:szCs w:val="24"/>
        </w:rPr>
        <w:t xml:space="preserve">he contributions ‘concept’ in New Zealand is quite different to Australia’s in that it does not require </w:t>
      </w:r>
      <w:r w:rsidR="001561A9" w:rsidRPr="003354AD">
        <w:rPr>
          <w:sz w:val="24"/>
          <w:szCs w:val="24"/>
        </w:rPr>
        <w:lastRenderedPageBreak/>
        <w:t>any connection to property either direct or indirect.</w:t>
      </w:r>
      <w:r w:rsidR="00D73980">
        <w:rPr>
          <w:rStyle w:val="EndnoteReference"/>
          <w:sz w:val="24"/>
          <w:szCs w:val="24"/>
        </w:rPr>
        <w:endnoteReference w:id="172"/>
      </w:r>
      <w:r w:rsidR="001561A9" w:rsidRPr="003354AD">
        <w:rPr>
          <w:sz w:val="24"/>
          <w:szCs w:val="24"/>
        </w:rPr>
        <w:t xml:space="preserve">  </w:t>
      </w:r>
      <w:r w:rsidR="00787AF0">
        <w:rPr>
          <w:sz w:val="24"/>
          <w:szCs w:val="24"/>
        </w:rPr>
        <w:t xml:space="preserve">Insofar as it relates to financial contributions, the concept includes </w:t>
      </w:r>
      <w:r w:rsidR="00787AF0" w:rsidRPr="00787AF0">
        <w:rPr>
          <w:sz w:val="24"/>
          <w:szCs w:val="24"/>
        </w:rPr>
        <w:t>the provision of money,</w:t>
      </w:r>
      <w:r w:rsidR="00787AF0">
        <w:rPr>
          <w:sz w:val="24"/>
          <w:szCs w:val="24"/>
        </w:rPr>
        <w:t xml:space="preserve"> including the earning of income</w:t>
      </w:r>
      <w:r w:rsidR="00787AF0" w:rsidRPr="00787AF0">
        <w:rPr>
          <w:sz w:val="24"/>
          <w:szCs w:val="24"/>
        </w:rPr>
        <w:t xml:space="preserve"> </w:t>
      </w:r>
      <w:r w:rsidR="00787AF0" w:rsidRPr="00980F2E">
        <w:rPr>
          <w:noProof/>
          <w:sz w:val="24"/>
          <w:szCs w:val="24"/>
        </w:rPr>
        <w:t>for the purposes of</w:t>
      </w:r>
      <w:r w:rsidR="00787AF0" w:rsidRPr="00787AF0">
        <w:rPr>
          <w:sz w:val="24"/>
          <w:szCs w:val="24"/>
        </w:rPr>
        <w:t xml:space="preserve"> the </w:t>
      </w:r>
      <w:r w:rsidR="00787AF0">
        <w:rPr>
          <w:sz w:val="24"/>
          <w:szCs w:val="24"/>
        </w:rPr>
        <w:t>marriage, civil union, or de-facto relationship.</w:t>
      </w:r>
      <w:r w:rsidR="00787AF0">
        <w:rPr>
          <w:rStyle w:val="EndnoteReference"/>
          <w:sz w:val="24"/>
          <w:szCs w:val="24"/>
        </w:rPr>
        <w:endnoteReference w:id="173"/>
      </w:r>
    </w:p>
    <w:p w:rsidR="006C63F0" w:rsidRPr="00FA5649" w:rsidRDefault="001561A9" w:rsidP="00462142">
      <w:pPr>
        <w:pStyle w:val="ListParagraph"/>
        <w:numPr>
          <w:ilvl w:val="0"/>
          <w:numId w:val="52"/>
        </w:numPr>
        <w:spacing w:after="0" w:line="360" w:lineRule="auto"/>
        <w:jc w:val="both"/>
        <w:rPr>
          <w:sz w:val="24"/>
          <w:szCs w:val="24"/>
        </w:rPr>
      </w:pPr>
      <w:r w:rsidRPr="003354AD">
        <w:rPr>
          <w:sz w:val="24"/>
          <w:szCs w:val="24"/>
        </w:rPr>
        <w:t xml:space="preserve">The author’s experience in private </w:t>
      </w:r>
      <w:r w:rsidRPr="00980F2E">
        <w:rPr>
          <w:noProof/>
          <w:sz w:val="24"/>
          <w:szCs w:val="24"/>
        </w:rPr>
        <w:t>practise</w:t>
      </w:r>
      <w:r w:rsidRPr="003354AD">
        <w:rPr>
          <w:sz w:val="24"/>
          <w:szCs w:val="24"/>
        </w:rPr>
        <w:t xml:space="preserve"> </w:t>
      </w:r>
      <w:r w:rsidR="003354AD">
        <w:rPr>
          <w:sz w:val="24"/>
          <w:szCs w:val="24"/>
        </w:rPr>
        <w:t>was that l</w:t>
      </w:r>
      <w:r w:rsidRPr="003354AD">
        <w:rPr>
          <w:sz w:val="24"/>
          <w:szCs w:val="24"/>
        </w:rPr>
        <w:t xml:space="preserve">itigation often focused on contributions and the weight attributable to them. The passage of time and the fact of separation often resulted in </w:t>
      </w:r>
      <w:r w:rsidR="00F608A0" w:rsidRPr="003354AD">
        <w:rPr>
          <w:noProof/>
          <w:sz w:val="24"/>
          <w:szCs w:val="24"/>
        </w:rPr>
        <w:t>substantial</w:t>
      </w:r>
      <w:r w:rsidRPr="003354AD">
        <w:rPr>
          <w:sz w:val="24"/>
          <w:szCs w:val="24"/>
        </w:rPr>
        <w:t xml:space="preserve"> differences in </w:t>
      </w:r>
      <w:r w:rsidRPr="003354AD">
        <w:rPr>
          <w:noProof/>
          <w:sz w:val="24"/>
          <w:szCs w:val="24"/>
        </w:rPr>
        <w:t>perspective</w:t>
      </w:r>
      <w:r w:rsidRPr="003354AD">
        <w:rPr>
          <w:sz w:val="24"/>
          <w:szCs w:val="24"/>
        </w:rPr>
        <w:t xml:space="preserve"> and highly emotive evidence. </w:t>
      </w:r>
      <w:r w:rsidRPr="003B1420">
        <w:rPr>
          <w:noProof/>
          <w:sz w:val="24"/>
          <w:szCs w:val="24"/>
        </w:rPr>
        <w:t>Th</w:t>
      </w:r>
      <w:r w:rsidR="003B1420" w:rsidRPr="003B1420">
        <w:rPr>
          <w:noProof/>
          <w:sz w:val="24"/>
          <w:szCs w:val="24"/>
        </w:rPr>
        <w:t>e issue often</w:t>
      </w:r>
      <w:r w:rsidRPr="003354AD">
        <w:rPr>
          <w:sz w:val="24"/>
          <w:szCs w:val="24"/>
        </w:rPr>
        <w:t xml:space="preserve"> descended into a contributions competition, with each party attempting to prove they did more, or what they did was of more value, during their marriage. </w:t>
      </w:r>
      <w:r w:rsidR="00F608A0" w:rsidRPr="003354AD">
        <w:rPr>
          <w:noProof/>
          <w:sz w:val="24"/>
          <w:szCs w:val="24"/>
        </w:rPr>
        <w:t>Spouses, while</w:t>
      </w:r>
      <w:r w:rsidRPr="003354AD">
        <w:rPr>
          <w:sz w:val="24"/>
          <w:szCs w:val="24"/>
        </w:rPr>
        <w:t xml:space="preserve"> maximising their contributions</w:t>
      </w:r>
      <w:r w:rsidR="00F608A0" w:rsidRPr="003354AD">
        <w:rPr>
          <w:sz w:val="24"/>
          <w:szCs w:val="24"/>
        </w:rPr>
        <w:t>,</w:t>
      </w:r>
      <w:r w:rsidRPr="003354AD">
        <w:rPr>
          <w:sz w:val="24"/>
          <w:szCs w:val="24"/>
        </w:rPr>
        <w:t xml:space="preserve"> often slipped into minimising (or denigrating) the other party’s contributions. </w:t>
      </w:r>
      <w:r w:rsidR="002A55D3">
        <w:rPr>
          <w:noProof/>
          <w:sz w:val="24"/>
          <w:szCs w:val="24"/>
        </w:rPr>
        <w:t>Such behaviour occurred more often</w:t>
      </w:r>
      <w:r w:rsidRPr="003354AD">
        <w:rPr>
          <w:sz w:val="24"/>
          <w:szCs w:val="24"/>
        </w:rPr>
        <w:t xml:space="preserve"> when examining homemaker and parenting contributions. Obtaining evidence of the detail of care of children for many years was (understandably) </w:t>
      </w:r>
      <w:r w:rsidRPr="003354AD">
        <w:rPr>
          <w:noProof/>
          <w:sz w:val="24"/>
          <w:szCs w:val="24"/>
        </w:rPr>
        <w:t>difficult</w:t>
      </w:r>
      <w:r w:rsidRPr="003354AD">
        <w:rPr>
          <w:sz w:val="24"/>
          <w:szCs w:val="24"/>
        </w:rPr>
        <w:t>. In marriages with a primary breadwinner, that breadwinner often used the lack of precision in that evidence to attempt to discredit the homemaker.</w:t>
      </w:r>
    </w:p>
    <w:tbl>
      <w:tblPr>
        <w:tblStyle w:val="TableGrid"/>
        <w:tblW w:w="0" w:type="auto"/>
        <w:tblLook w:val="04A0"/>
      </w:tblPr>
      <w:tblGrid>
        <w:gridCol w:w="9016"/>
      </w:tblGrid>
      <w:tr w:rsidR="001561A9" w:rsidTr="00596AF2">
        <w:tc>
          <w:tcPr>
            <w:tcW w:w="9016" w:type="dxa"/>
          </w:tcPr>
          <w:p w:rsidR="001561A9" w:rsidRPr="0022575B" w:rsidRDefault="001561A9" w:rsidP="00462142">
            <w:pPr>
              <w:pStyle w:val="Heading3"/>
              <w:spacing w:before="0" w:line="360" w:lineRule="auto"/>
              <w:outlineLvl w:val="2"/>
              <w:rPr>
                <w:i/>
                <w:color w:val="auto"/>
              </w:rPr>
            </w:pPr>
            <w:bookmarkStart w:id="46" w:name="_Toc512895954"/>
            <w:r w:rsidRPr="008F1051">
              <w:rPr>
                <w:i/>
                <w:color w:val="auto"/>
              </w:rPr>
              <w:t xml:space="preserve">Recommendation </w:t>
            </w:r>
            <w:r w:rsidR="00596AF2">
              <w:rPr>
                <w:i/>
                <w:color w:val="auto"/>
              </w:rPr>
              <w:t>1</w:t>
            </w:r>
            <w:r w:rsidR="00DC3AE3">
              <w:rPr>
                <w:i/>
                <w:color w:val="auto"/>
              </w:rPr>
              <w:t>1</w:t>
            </w:r>
            <w:bookmarkEnd w:id="46"/>
          </w:p>
          <w:p w:rsidR="001561A9" w:rsidRPr="006C63F0" w:rsidRDefault="001561A9" w:rsidP="006C63F0">
            <w:pPr>
              <w:spacing w:line="360" w:lineRule="auto"/>
              <w:jc w:val="both"/>
              <w:rPr>
                <w:i/>
                <w:sz w:val="24"/>
                <w:szCs w:val="24"/>
              </w:rPr>
            </w:pPr>
            <w:r>
              <w:rPr>
                <w:i/>
                <w:sz w:val="24"/>
                <w:szCs w:val="24"/>
              </w:rPr>
              <w:t>That</w:t>
            </w:r>
            <w:r w:rsidR="00DC3AE3">
              <w:rPr>
                <w:i/>
                <w:sz w:val="24"/>
                <w:szCs w:val="24"/>
              </w:rPr>
              <w:t>, in considering fairer outcomes,</w:t>
            </w:r>
            <w:r>
              <w:rPr>
                <w:i/>
                <w:sz w:val="24"/>
                <w:szCs w:val="24"/>
              </w:rPr>
              <w:t xml:space="preserve"> the Commission avoid contributions as a primary conceptual means to determine spouse’s entitlements</w:t>
            </w:r>
            <w:r w:rsidR="00FA5649">
              <w:rPr>
                <w:i/>
                <w:sz w:val="24"/>
                <w:szCs w:val="24"/>
              </w:rPr>
              <w:t xml:space="preserve">, </w:t>
            </w:r>
            <w:r w:rsidR="00FA5649" w:rsidRPr="00980F2E">
              <w:rPr>
                <w:i/>
                <w:noProof/>
                <w:sz w:val="24"/>
                <w:szCs w:val="24"/>
              </w:rPr>
              <w:t>or</w:t>
            </w:r>
            <w:r w:rsidR="00FA5649">
              <w:rPr>
                <w:i/>
                <w:sz w:val="24"/>
                <w:szCs w:val="24"/>
              </w:rPr>
              <w:t xml:space="preserve"> recommend amendments to sections 79(4)(a)-(c) to reflect the New Zealand definition of ‘contributions’.</w:t>
            </w:r>
          </w:p>
        </w:tc>
      </w:tr>
    </w:tbl>
    <w:p w:rsidR="001561A9" w:rsidRDefault="001561A9" w:rsidP="00462142">
      <w:pPr>
        <w:spacing w:after="0" w:line="360" w:lineRule="auto"/>
      </w:pPr>
    </w:p>
    <w:p w:rsidR="000924D6" w:rsidRDefault="000924D6" w:rsidP="00462142">
      <w:pPr>
        <w:pStyle w:val="Heading2"/>
        <w:spacing w:before="0" w:line="360" w:lineRule="auto"/>
        <w:rPr>
          <w:color w:val="auto"/>
          <w:sz w:val="28"/>
          <w:szCs w:val="28"/>
        </w:rPr>
      </w:pPr>
      <w:bookmarkStart w:id="47" w:name="_Toc512895955"/>
      <w:r>
        <w:rPr>
          <w:color w:val="auto"/>
          <w:sz w:val="28"/>
          <w:szCs w:val="28"/>
        </w:rPr>
        <w:t>V</w:t>
      </w:r>
      <w:r w:rsidRPr="004E3003">
        <w:rPr>
          <w:color w:val="auto"/>
          <w:sz w:val="28"/>
          <w:szCs w:val="28"/>
        </w:rPr>
        <w:t xml:space="preserve"> </w:t>
      </w:r>
      <w:r>
        <w:rPr>
          <w:color w:val="auto"/>
          <w:sz w:val="28"/>
          <w:szCs w:val="28"/>
        </w:rPr>
        <w:t xml:space="preserve">Reform Proposal #1: A </w:t>
      </w:r>
      <w:r w:rsidR="00314979">
        <w:rPr>
          <w:color w:val="auto"/>
          <w:sz w:val="28"/>
          <w:szCs w:val="28"/>
        </w:rPr>
        <w:t xml:space="preserve">(Statutory) </w:t>
      </w:r>
      <w:r>
        <w:rPr>
          <w:color w:val="auto"/>
          <w:sz w:val="28"/>
          <w:szCs w:val="28"/>
        </w:rPr>
        <w:t>Guide for Transparency and C</w:t>
      </w:r>
      <w:r w:rsidR="00DC3AE3">
        <w:rPr>
          <w:color w:val="auto"/>
          <w:sz w:val="28"/>
          <w:szCs w:val="28"/>
        </w:rPr>
        <w:t>larity</w:t>
      </w:r>
      <w:bookmarkEnd w:id="47"/>
    </w:p>
    <w:p w:rsidR="003354AD" w:rsidRPr="001002F5" w:rsidRDefault="00DC3AE3" w:rsidP="001002F5">
      <w:pPr>
        <w:pStyle w:val="ListParagraph"/>
        <w:numPr>
          <w:ilvl w:val="0"/>
          <w:numId w:val="52"/>
        </w:numPr>
        <w:spacing w:after="0" w:line="360" w:lineRule="auto"/>
        <w:jc w:val="both"/>
        <w:rPr>
          <w:sz w:val="24"/>
          <w:szCs w:val="24"/>
        </w:rPr>
      </w:pPr>
      <w:r w:rsidRPr="003354AD">
        <w:rPr>
          <w:sz w:val="24"/>
          <w:szCs w:val="24"/>
        </w:rPr>
        <w:t xml:space="preserve">This section assumes </w:t>
      </w:r>
      <w:r w:rsidR="004F79EF" w:rsidRPr="003354AD">
        <w:rPr>
          <w:sz w:val="24"/>
          <w:szCs w:val="24"/>
        </w:rPr>
        <w:t xml:space="preserve">the </w:t>
      </w:r>
      <w:r w:rsidRPr="003354AD">
        <w:rPr>
          <w:noProof/>
          <w:sz w:val="24"/>
          <w:szCs w:val="24"/>
        </w:rPr>
        <w:t>continuation</w:t>
      </w:r>
      <w:r w:rsidRPr="003354AD">
        <w:rPr>
          <w:sz w:val="24"/>
          <w:szCs w:val="24"/>
        </w:rPr>
        <w:t xml:space="preserve"> of the current substantive </w:t>
      </w:r>
      <w:r w:rsidR="00886CBB" w:rsidRPr="003354AD">
        <w:rPr>
          <w:sz w:val="24"/>
          <w:szCs w:val="24"/>
        </w:rPr>
        <w:t>law and</w:t>
      </w:r>
      <w:r w:rsidRPr="003354AD">
        <w:rPr>
          <w:sz w:val="24"/>
          <w:szCs w:val="24"/>
        </w:rPr>
        <w:t xml:space="preserve"> focuses on improving comprehensibility and clarity.</w:t>
      </w:r>
    </w:p>
    <w:p w:rsidR="003354AD" w:rsidRDefault="00314979" w:rsidP="009A0126">
      <w:pPr>
        <w:pStyle w:val="ListParagraph"/>
        <w:numPr>
          <w:ilvl w:val="0"/>
          <w:numId w:val="52"/>
        </w:numPr>
        <w:spacing w:after="0" w:line="360" w:lineRule="auto"/>
        <w:jc w:val="both"/>
        <w:rPr>
          <w:sz w:val="24"/>
          <w:szCs w:val="24"/>
        </w:rPr>
      </w:pPr>
      <w:r w:rsidRPr="003354AD">
        <w:rPr>
          <w:sz w:val="24"/>
          <w:szCs w:val="24"/>
        </w:rPr>
        <w:t>In April 2016, the United Kingdom Family Justice Council issued a guidance document on sorting out finances on divorce. It contains an explanation on how to divide capital assets, dealing with pensions (superannuation) on divorce and includes hypothetical examples.</w:t>
      </w:r>
      <w:r w:rsidRPr="00314979">
        <w:rPr>
          <w:vertAlign w:val="superscript"/>
        </w:rPr>
        <w:endnoteReference w:id="174"/>
      </w:r>
      <w:r w:rsidRPr="003354AD">
        <w:rPr>
          <w:sz w:val="24"/>
          <w:szCs w:val="24"/>
        </w:rPr>
        <w:t xml:space="preserve"> This guide sets out in plain English, principles from the legislation and the case law. These include that the purpose of the law is to be fair to both spouses;</w:t>
      </w:r>
      <w:r w:rsidRPr="00314979">
        <w:rPr>
          <w:vertAlign w:val="superscript"/>
        </w:rPr>
        <w:endnoteReference w:id="175"/>
      </w:r>
      <w:r w:rsidRPr="003354AD">
        <w:rPr>
          <w:sz w:val="24"/>
          <w:szCs w:val="24"/>
        </w:rPr>
        <w:t xml:space="preserve"> first consideration to children of the family,</w:t>
      </w:r>
      <w:r w:rsidRPr="00314979">
        <w:rPr>
          <w:vertAlign w:val="superscript"/>
        </w:rPr>
        <w:endnoteReference w:id="176"/>
      </w:r>
      <w:r w:rsidRPr="003354AD">
        <w:rPr>
          <w:sz w:val="24"/>
          <w:szCs w:val="24"/>
        </w:rPr>
        <w:t xml:space="preserve"> and the meeting of needs.</w:t>
      </w:r>
      <w:r w:rsidRPr="00314979">
        <w:rPr>
          <w:vertAlign w:val="superscript"/>
        </w:rPr>
        <w:endnoteReference w:id="177"/>
      </w:r>
      <w:r w:rsidRPr="003354AD">
        <w:rPr>
          <w:sz w:val="24"/>
          <w:szCs w:val="24"/>
        </w:rPr>
        <w:t xml:space="preserve"> The guide also explains the ability of a court to consider financial </w:t>
      </w:r>
      <w:r w:rsidRPr="003354AD">
        <w:rPr>
          <w:sz w:val="24"/>
          <w:szCs w:val="24"/>
        </w:rPr>
        <w:lastRenderedPageBreak/>
        <w:t>misconduct,</w:t>
      </w:r>
      <w:r w:rsidRPr="00314979">
        <w:rPr>
          <w:vertAlign w:val="superscript"/>
        </w:rPr>
        <w:endnoteReference w:id="178"/>
      </w:r>
      <w:r w:rsidRPr="003354AD">
        <w:rPr>
          <w:sz w:val="24"/>
          <w:szCs w:val="24"/>
        </w:rPr>
        <w:t xml:space="preserve"> the need to include all property, whether in joint names or separate </w:t>
      </w:r>
      <w:r w:rsidRPr="003354AD">
        <w:rPr>
          <w:noProof/>
          <w:sz w:val="24"/>
          <w:szCs w:val="24"/>
        </w:rPr>
        <w:t>names</w:t>
      </w:r>
      <w:r w:rsidRPr="003354AD">
        <w:rPr>
          <w:sz w:val="24"/>
          <w:szCs w:val="24"/>
        </w:rPr>
        <w:t xml:space="preserve"> and the relevance of income earning capacity.</w:t>
      </w:r>
      <w:r w:rsidRPr="00314979">
        <w:rPr>
          <w:vertAlign w:val="superscript"/>
        </w:rPr>
        <w:endnoteReference w:id="179"/>
      </w:r>
    </w:p>
    <w:p w:rsidR="003354AD" w:rsidRPr="003354AD" w:rsidRDefault="003354AD" w:rsidP="003354AD">
      <w:pPr>
        <w:pStyle w:val="ListParagraph"/>
        <w:rPr>
          <w:sz w:val="24"/>
          <w:szCs w:val="24"/>
        </w:rPr>
      </w:pPr>
    </w:p>
    <w:p w:rsidR="003354AD" w:rsidRPr="001002F5" w:rsidRDefault="00314979" w:rsidP="001002F5">
      <w:pPr>
        <w:pStyle w:val="ListParagraph"/>
        <w:numPr>
          <w:ilvl w:val="0"/>
          <w:numId w:val="52"/>
        </w:numPr>
        <w:spacing w:after="0" w:line="360" w:lineRule="auto"/>
        <w:jc w:val="both"/>
        <w:rPr>
          <w:sz w:val="24"/>
          <w:szCs w:val="24"/>
        </w:rPr>
      </w:pPr>
      <w:r w:rsidRPr="003354AD">
        <w:rPr>
          <w:sz w:val="24"/>
          <w:szCs w:val="24"/>
        </w:rPr>
        <w:t xml:space="preserve">This guidance document has a history. The United Kingdom Law Society recommended in 2003 a guidance document for parties and inclusion of it in legislation. The basis for </w:t>
      </w:r>
      <w:r w:rsidR="004F79EF" w:rsidRPr="003354AD">
        <w:rPr>
          <w:noProof/>
          <w:sz w:val="24"/>
          <w:szCs w:val="24"/>
        </w:rPr>
        <w:t>support</w:t>
      </w:r>
      <w:r w:rsidRPr="003354AD">
        <w:rPr>
          <w:noProof/>
          <w:sz w:val="24"/>
          <w:szCs w:val="24"/>
        </w:rPr>
        <w:t>ing</w:t>
      </w:r>
      <w:r w:rsidRPr="003354AD">
        <w:rPr>
          <w:sz w:val="24"/>
          <w:szCs w:val="24"/>
        </w:rPr>
        <w:t xml:space="preserve"> inclusion in the </w:t>
      </w:r>
      <w:r w:rsidRPr="003354AD">
        <w:rPr>
          <w:noProof/>
          <w:sz w:val="24"/>
          <w:szCs w:val="24"/>
        </w:rPr>
        <w:t>legislation</w:t>
      </w:r>
      <w:r w:rsidRPr="003354AD">
        <w:rPr>
          <w:sz w:val="24"/>
          <w:szCs w:val="24"/>
        </w:rPr>
        <w:t xml:space="preserve"> was because of a risk that a non-statutory </w:t>
      </w:r>
      <w:r w:rsidRPr="003354AD">
        <w:rPr>
          <w:noProof/>
          <w:sz w:val="24"/>
          <w:szCs w:val="24"/>
        </w:rPr>
        <w:t>document</w:t>
      </w:r>
      <w:r w:rsidRPr="003354AD">
        <w:rPr>
          <w:sz w:val="24"/>
          <w:szCs w:val="24"/>
        </w:rPr>
        <w:t xml:space="preserve"> would not have sufficient authority.</w:t>
      </w:r>
      <w:r w:rsidRPr="00314979">
        <w:rPr>
          <w:vertAlign w:val="superscript"/>
        </w:rPr>
        <w:endnoteReference w:id="180"/>
      </w:r>
      <w:r w:rsidRPr="003354AD">
        <w:rPr>
          <w:sz w:val="24"/>
          <w:szCs w:val="24"/>
        </w:rPr>
        <w:t xml:space="preserve"> However, a 2014 United Kingdom Law Commission report recommended guidance to parties in plain English from an authoritative source (such as the United Kingdom Family Justice Council – but not a court).</w:t>
      </w:r>
      <w:r w:rsidRPr="00314979">
        <w:rPr>
          <w:vertAlign w:val="superscript"/>
        </w:rPr>
        <w:endnoteReference w:id="181"/>
      </w:r>
      <w:r w:rsidRPr="003354AD">
        <w:rPr>
          <w:sz w:val="24"/>
          <w:szCs w:val="24"/>
        </w:rPr>
        <w:t xml:space="preserve"> It seems that the latter recommendation was the one implemented. It does not appear that the guidance document is compulsory to consider </w:t>
      </w:r>
      <w:r w:rsidR="004F79EF" w:rsidRPr="003354AD">
        <w:rPr>
          <w:noProof/>
          <w:sz w:val="24"/>
          <w:szCs w:val="24"/>
        </w:rPr>
        <w:t>before</w:t>
      </w:r>
      <w:r w:rsidRPr="003354AD">
        <w:rPr>
          <w:sz w:val="24"/>
          <w:szCs w:val="24"/>
        </w:rPr>
        <w:t xml:space="preserve"> filing an application or making orders. The financial statement filed with a </w:t>
      </w:r>
      <w:r w:rsidRPr="00FF42A1">
        <w:rPr>
          <w:noProof/>
          <w:sz w:val="24"/>
          <w:szCs w:val="24"/>
        </w:rPr>
        <w:t>property settlement application</w:t>
      </w:r>
      <w:r w:rsidRPr="003354AD">
        <w:rPr>
          <w:sz w:val="24"/>
          <w:szCs w:val="24"/>
        </w:rPr>
        <w:t xml:space="preserve"> (and the accompanying notes) do not appear to refer to the guidance document.</w:t>
      </w:r>
      <w:r w:rsidRPr="00314979">
        <w:rPr>
          <w:vertAlign w:val="superscript"/>
        </w:rPr>
        <w:endnoteReference w:id="182"/>
      </w:r>
      <w:r w:rsidRPr="003354AD">
        <w:rPr>
          <w:sz w:val="24"/>
          <w:szCs w:val="24"/>
        </w:rPr>
        <w:t xml:space="preserve"> There does not </w:t>
      </w:r>
      <w:r w:rsidR="004F79EF" w:rsidRPr="003354AD">
        <w:rPr>
          <w:noProof/>
          <w:sz w:val="24"/>
          <w:szCs w:val="24"/>
        </w:rPr>
        <w:t>seem</w:t>
      </w:r>
      <w:r w:rsidRPr="003354AD">
        <w:rPr>
          <w:sz w:val="24"/>
          <w:szCs w:val="24"/>
        </w:rPr>
        <w:t xml:space="preserve"> to be any scholarly study on the use of this document. </w:t>
      </w:r>
      <w:r w:rsidR="00D73980">
        <w:rPr>
          <w:sz w:val="24"/>
          <w:szCs w:val="24"/>
        </w:rPr>
        <w:tab/>
      </w:r>
      <w:r w:rsidRPr="003354AD">
        <w:rPr>
          <w:sz w:val="24"/>
          <w:szCs w:val="24"/>
        </w:rPr>
        <w:t xml:space="preserve"> </w:t>
      </w:r>
    </w:p>
    <w:p w:rsidR="003354AD" w:rsidRPr="001002F5" w:rsidRDefault="00314979" w:rsidP="001002F5">
      <w:pPr>
        <w:pStyle w:val="ListParagraph"/>
        <w:numPr>
          <w:ilvl w:val="0"/>
          <w:numId w:val="52"/>
        </w:numPr>
        <w:spacing w:after="0" w:line="360" w:lineRule="auto"/>
        <w:jc w:val="both"/>
        <w:rPr>
          <w:sz w:val="24"/>
          <w:szCs w:val="24"/>
        </w:rPr>
      </w:pPr>
      <w:r w:rsidRPr="003354AD">
        <w:rPr>
          <w:sz w:val="24"/>
          <w:szCs w:val="24"/>
        </w:rPr>
        <w:t xml:space="preserve">The attractions of the guidance document are two-fold. First, it provides a predictable framework for the negotiated resolution of (most) cases. Second, it expressly </w:t>
      </w:r>
      <w:r w:rsidR="004F79EF" w:rsidRPr="003354AD">
        <w:rPr>
          <w:noProof/>
          <w:sz w:val="24"/>
          <w:szCs w:val="24"/>
        </w:rPr>
        <w:t>contain</w:t>
      </w:r>
      <w:r w:rsidRPr="003354AD">
        <w:rPr>
          <w:noProof/>
          <w:sz w:val="24"/>
          <w:szCs w:val="24"/>
        </w:rPr>
        <w:t>s</w:t>
      </w:r>
      <w:r w:rsidRPr="003354AD">
        <w:rPr>
          <w:sz w:val="24"/>
          <w:szCs w:val="24"/>
        </w:rPr>
        <w:t xml:space="preserve"> the details of the purpose and principles of the law to those who wish to avail themselves of it. </w:t>
      </w:r>
    </w:p>
    <w:p w:rsidR="000D5826" w:rsidRDefault="00314979" w:rsidP="000D5826">
      <w:pPr>
        <w:pStyle w:val="ListParagraph"/>
        <w:numPr>
          <w:ilvl w:val="0"/>
          <w:numId w:val="52"/>
        </w:numPr>
        <w:spacing w:after="0" w:line="360" w:lineRule="auto"/>
        <w:jc w:val="both"/>
        <w:rPr>
          <w:sz w:val="24"/>
          <w:szCs w:val="24"/>
        </w:rPr>
      </w:pPr>
      <w:r w:rsidRPr="003354AD">
        <w:rPr>
          <w:sz w:val="24"/>
          <w:szCs w:val="24"/>
        </w:rPr>
        <w:t xml:space="preserve">In October 2016, the Commonwealth Attorney-General’s Department released a guide on legal principles and draft orders in parenting cases. </w:t>
      </w:r>
      <w:r w:rsidRPr="00314979">
        <w:rPr>
          <w:vertAlign w:val="superscript"/>
        </w:rPr>
        <w:endnoteReference w:id="183"/>
      </w:r>
      <w:r w:rsidRPr="003354AD">
        <w:rPr>
          <w:sz w:val="24"/>
          <w:szCs w:val="24"/>
        </w:rPr>
        <w:t xml:space="preserve"> </w:t>
      </w:r>
      <w:r w:rsidRPr="00980F2E">
        <w:rPr>
          <w:noProof/>
          <w:sz w:val="24"/>
          <w:szCs w:val="24"/>
        </w:rPr>
        <w:t>This</w:t>
      </w:r>
      <w:r w:rsidRPr="003354AD">
        <w:rPr>
          <w:sz w:val="24"/>
          <w:szCs w:val="24"/>
        </w:rPr>
        <w:t xml:space="preserve"> provides a useful template.  </w:t>
      </w:r>
      <w:r w:rsidRPr="000D5826">
        <w:rPr>
          <w:sz w:val="24"/>
          <w:szCs w:val="24"/>
        </w:rPr>
        <w:t>The Attorney-General’s</w:t>
      </w:r>
      <w:r w:rsidR="003354AD" w:rsidRPr="000D5826">
        <w:rPr>
          <w:sz w:val="24"/>
          <w:szCs w:val="24"/>
        </w:rPr>
        <w:t xml:space="preserve"> department’s</w:t>
      </w:r>
      <w:r w:rsidRPr="000D5826">
        <w:rPr>
          <w:sz w:val="24"/>
          <w:szCs w:val="24"/>
        </w:rPr>
        <w:t xml:space="preserve"> parenting book is an excellent resource, but it has no statutory basis. If there is to be a guidance document, it is essential to incorporate it into </w:t>
      </w:r>
      <w:r w:rsidR="004F79EF" w:rsidRPr="000D5826">
        <w:rPr>
          <w:noProof/>
          <w:sz w:val="24"/>
          <w:szCs w:val="24"/>
        </w:rPr>
        <w:t xml:space="preserve">Court and negotiation </w:t>
      </w:r>
      <w:r w:rsidRPr="000D5826">
        <w:rPr>
          <w:noProof/>
          <w:sz w:val="24"/>
          <w:szCs w:val="24"/>
        </w:rPr>
        <w:t>procedure</w:t>
      </w:r>
      <w:r w:rsidR="00FA5649" w:rsidRPr="000D5826">
        <w:rPr>
          <w:noProof/>
          <w:sz w:val="24"/>
          <w:szCs w:val="24"/>
        </w:rPr>
        <w:t xml:space="preserve"> and consistently enforce its use</w:t>
      </w:r>
      <w:r w:rsidRPr="000D5826">
        <w:rPr>
          <w:sz w:val="24"/>
          <w:szCs w:val="24"/>
        </w:rPr>
        <w:t xml:space="preserve">. </w:t>
      </w:r>
    </w:p>
    <w:p w:rsidR="003354AD" w:rsidRPr="000D5826" w:rsidRDefault="00314979" w:rsidP="000D5826">
      <w:pPr>
        <w:pStyle w:val="ListParagraph"/>
        <w:numPr>
          <w:ilvl w:val="0"/>
          <w:numId w:val="52"/>
        </w:numPr>
        <w:spacing w:after="0" w:line="360" w:lineRule="auto"/>
        <w:jc w:val="both"/>
        <w:rPr>
          <w:sz w:val="24"/>
          <w:szCs w:val="24"/>
        </w:rPr>
      </w:pPr>
      <w:r w:rsidRPr="000D5826">
        <w:rPr>
          <w:sz w:val="24"/>
          <w:szCs w:val="24"/>
        </w:rPr>
        <w:t>A property guidance document should contain:</w:t>
      </w:r>
    </w:p>
    <w:p w:rsidR="00980F2E" w:rsidRDefault="00FA5649" w:rsidP="009A0126">
      <w:pPr>
        <w:pStyle w:val="ListParagraph"/>
        <w:numPr>
          <w:ilvl w:val="1"/>
          <w:numId w:val="52"/>
        </w:numPr>
        <w:spacing w:after="0" w:line="360" w:lineRule="auto"/>
        <w:jc w:val="both"/>
        <w:rPr>
          <w:sz w:val="24"/>
          <w:szCs w:val="24"/>
        </w:rPr>
      </w:pPr>
      <w:r w:rsidRPr="00980F2E">
        <w:rPr>
          <w:noProof/>
          <w:sz w:val="24"/>
          <w:szCs w:val="24"/>
        </w:rPr>
        <w:t xml:space="preserve">A discussion about the non-legal factors to take into account in reaching </w:t>
      </w:r>
      <w:r w:rsidR="00980F2E">
        <w:rPr>
          <w:noProof/>
          <w:sz w:val="24"/>
          <w:szCs w:val="24"/>
        </w:rPr>
        <w:t xml:space="preserve">an </w:t>
      </w:r>
      <w:r w:rsidRPr="00980F2E">
        <w:rPr>
          <w:noProof/>
          <w:sz w:val="24"/>
          <w:szCs w:val="24"/>
        </w:rPr>
        <w:t>agreement, such as</w:t>
      </w:r>
      <w:r w:rsidR="00980F2E" w:rsidRPr="00980F2E">
        <w:rPr>
          <w:noProof/>
          <w:sz w:val="24"/>
          <w:szCs w:val="24"/>
        </w:rPr>
        <w:t>:</w:t>
      </w:r>
    </w:p>
    <w:p w:rsidR="00980F2E" w:rsidRDefault="00FA5649" w:rsidP="00980F2E">
      <w:pPr>
        <w:pStyle w:val="ListParagraph"/>
        <w:numPr>
          <w:ilvl w:val="2"/>
          <w:numId w:val="52"/>
        </w:numPr>
        <w:spacing w:after="0" w:line="360" w:lineRule="auto"/>
        <w:jc w:val="both"/>
        <w:rPr>
          <w:sz w:val="24"/>
          <w:szCs w:val="24"/>
        </w:rPr>
      </w:pPr>
      <w:r w:rsidRPr="00980F2E">
        <w:rPr>
          <w:noProof/>
          <w:sz w:val="24"/>
          <w:szCs w:val="24"/>
        </w:rPr>
        <w:t xml:space="preserve">the financial costs of litigation, </w:t>
      </w:r>
    </w:p>
    <w:p w:rsidR="00980F2E" w:rsidRDefault="00FA5649" w:rsidP="00980F2E">
      <w:pPr>
        <w:pStyle w:val="ListParagraph"/>
        <w:numPr>
          <w:ilvl w:val="2"/>
          <w:numId w:val="52"/>
        </w:numPr>
        <w:spacing w:after="0" w:line="360" w:lineRule="auto"/>
        <w:jc w:val="both"/>
        <w:rPr>
          <w:sz w:val="24"/>
          <w:szCs w:val="24"/>
        </w:rPr>
      </w:pPr>
      <w:r w:rsidRPr="00980F2E">
        <w:rPr>
          <w:noProof/>
          <w:sz w:val="24"/>
          <w:szCs w:val="24"/>
        </w:rPr>
        <w:t xml:space="preserve">emotional impact on the spouses, children and any other family members, </w:t>
      </w:r>
    </w:p>
    <w:p w:rsidR="00980F2E" w:rsidRDefault="00FA5649" w:rsidP="00980F2E">
      <w:pPr>
        <w:pStyle w:val="ListParagraph"/>
        <w:numPr>
          <w:ilvl w:val="2"/>
          <w:numId w:val="52"/>
        </w:numPr>
        <w:spacing w:after="0" w:line="360" w:lineRule="auto"/>
        <w:jc w:val="both"/>
        <w:rPr>
          <w:sz w:val="24"/>
          <w:szCs w:val="24"/>
        </w:rPr>
      </w:pPr>
      <w:r w:rsidRPr="00980F2E">
        <w:rPr>
          <w:noProof/>
          <w:sz w:val="24"/>
          <w:szCs w:val="24"/>
        </w:rPr>
        <w:t xml:space="preserve">delay, </w:t>
      </w:r>
    </w:p>
    <w:p w:rsidR="00980F2E" w:rsidRDefault="00FA5649" w:rsidP="00980F2E">
      <w:pPr>
        <w:pStyle w:val="ListParagraph"/>
        <w:numPr>
          <w:ilvl w:val="2"/>
          <w:numId w:val="52"/>
        </w:numPr>
        <w:spacing w:after="0" w:line="360" w:lineRule="auto"/>
        <w:jc w:val="both"/>
        <w:rPr>
          <w:sz w:val="24"/>
          <w:szCs w:val="24"/>
        </w:rPr>
      </w:pPr>
      <w:r w:rsidRPr="00980F2E">
        <w:rPr>
          <w:noProof/>
          <w:sz w:val="24"/>
          <w:szCs w:val="24"/>
        </w:rPr>
        <w:lastRenderedPageBreak/>
        <w:t>adverse impact upon an ongoing post-separation parental relationship,</w:t>
      </w:r>
    </w:p>
    <w:p w:rsidR="00980F2E" w:rsidRDefault="00FA5649" w:rsidP="00980F2E">
      <w:pPr>
        <w:pStyle w:val="ListParagraph"/>
        <w:numPr>
          <w:ilvl w:val="2"/>
          <w:numId w:val="52"/>
        </w:numPr>
        <w:spacing w:after="0" w:line="360" w:lineRule="auto"/>
        <w:jc w:val="both"/>
        <w:rPr>
          <w:sz w:val="24"/>
          <w:szCs w:val="24"/>
        </w:rPr>
      </w:pPr>
      <w:r w:rsidRPr="00980F2E">
        <w:rPr>
          <w:noProof/>
          <w:sz w:val="24"/>
          <w:szCs w:val="24"/>
        </w:rPr>
        <w:t xml:space="preserve">diversion of time from paid employment or care of children, and </w:t>
      </w:r>
    </w:p>
    <w:p w:rsidR="00FA5649" w:rsidRDefault="00FA5649" w:rsidP="00980F2E">
      <w:pPr>
        <w:pStyle w:val="ListParagraph"/>
        <w:numPr>
          <w:ilvl w:val="2"/>
          <w:numId w:val="52"/>
        </w:numPr>
        <w:spacing w:after="0" w:line="360" w:lineRule="auto"/>
        <w:jc w:val="both"/>
        <w:rPr>
          <w:sz w:val="24"/>
          <w:szCs w:val="24"/>
        </w:rPr>
      </w:pPr>
      <w:r w:rsidRPr="00980F2E">
        <w:rPr>
          <w:noProof/>
          <w:sz w:val="24"/>
          <w:szCs w:val="24"/>
        </w:rPr>
        <w:t xml:space="preserve">the benefit in </w:t>
      </w:r>
      <w:r w:rsidR="00980F2E">
        <w:rPr>
          <w:noProof/>
          <w:sz w:val="24"/>
          <w:szCs w:val="24"/>
        </w:rPr>
        <w:t>finality</w:t>
      </w:r>
      <w:r w:rsidRPr="00980F2E">
        <w:rPr>
          <w:noProof/>
          <w:sz w:val="24"/>
          <w:szCs w:val="24"/>
        </w:rPr>
        <w:t xml:space="preserve"> of financial arrangements.</w:t>
      </w:r>
    </w:p>
    <w:p w:rsidR="003354AD" w:rsidRDefault="002654A9" w:rsidP="009A0126">
      <w:pPr>
        <w:pStyle w:val="ListParagraph"/>
        <w:numPr>
          <w:ilvl w:val="1"/>
          <w:numId w:val="52"/>
        </w:numPr>
        <w:spacing w:after="0" w:line="360" w:lineRule="auto"/>
        <w:jc w:val="both"/>
        <w:rPr>
          <w:sz w:val="24"/>
          <w:szCs w:val="24"/>
        </w:rPr>
      </w:pPr>
      <w:r w:rsidRPr="003354AD">
        <w:rPr>
          <w:noProof/>
          <w:sz w:val="24"/>
          <w:szCs w:val="24"/>
        </w:rPr>
        <w:t>An e</w:t>
      </w:r>
      <w:r w:rsidR="00314979" w:rsidRPr="003354AD">
        <w:rPr>
          <w:noProof/>
          <w:sz w:val="24"/>
          <w:szCs w:val="24"/>
        </w:rPr>
        <w:t>xplanation of legal principles</w:t>
      </w:r>
      <w:r w:rsidR="00314979" w:rsidRPr="003354AD">
        <w:rPr>
          <w:sz w:val="24"/>
          <w:szCs w:val="24"/>
        </w:rPr>
        <w:t xml:space="preserve">; </w:t>
      </w:r>
    </w:p>
    <w:p w:rsidR="003354AD" w:rsidRDefault="00314979" w:rsidP="009A0126">
      <w:pPr>
        <w:pStyle w:val="ListParagraph"/>
        <w:numPr>
          <w:ilvl w:val="1"/>
          <w:numId w:val="52"/>
        </w:numPr>
        <w:spacing w:after="0" w:line="360" w:lineRule="auto"/>
        <w:jc w:val="both"/>
        <w:rPr>
          <w:sz w:val="24"/>
          <w:szCs w:val="24"/>
        </w:rPr>
      </w:pPr>
      <w:r w:rsidRPr="003354AD">
        <w:rPr>
          <w:sz w:val="24"/>
          <w:szCs w:val="24"/>
        </w:rPr>
        <w:t xml:space="preserve">Workbooks for the process of working out entitlements, and </w:t>
      </w:r>
    </w:p>
    <w:p w:rsidR="00B41B0A" w:rsidRPr="000D5826" w:rsidRDefault="00314979" w:rsidP="00462142">
      <w:pPr>
        <w:pStyle w:val="ListParagraph"/>
        <w:numPr>
          <w:ilvl w:val="1"/>
          <w:numId w:val="52"/>
        </w:numPr>
        <w:spacing w:after="0" w:line="360" w:lineRule="auto"/>
        <w:jc w:val="both"/>
        <w:rPr>
          <w:sz w:val="24"/>
          <w:szCs w:val="24"/>
        </w:rPr>
      </w:pPr>
      <w:r w:rsidRPr="003354AD">
        <w:rPr>
          <w:sz w:val="24"/>
          <w:szCs w:val="24"/>
        </w:rPr>
        <w:t xml:space="preserve">Standardised precedent orders. </w:t>
      </w:r>
    </w:p>
    <w:p w:rsidR="00B41B0A" w:rsidRPr="003354AD" w:rsidRDefault="00314979" w:rsidP="009A0126">
      <w:pPr>
        <w:pStyle w:val="ListParagraph"/>
        <w:numPr>
          <w:ilvl w:val="0"/>
          <w:numId w:val="52"/>
        </w:numPr>
        <w:spacing w:after="0" w:line="360" w:lineRule="auto"/>
        <w:jc w:val="both"/>
        <w:rPr>
          <w:sz w:val="24"/>
          <w:szCs w:val="24"/>
        </w:rPr>
      </w:pPr>
      <w:r w:rsidRPr="003354AD">
        <w:rPr>
          <w:sz w:val="24"/>
          <w:szCs w:val="24"/>
        </w:rPr>
        <w:t xml:space="preserve">Any guide on legal principle will include the existing legislative provisions. Incorporating principles from case law completes the picture. </w:t>
      </w:r>
      <w:r w:rsidR="00B41B0A" w:rsidRPr="003354AD">
        <w:rPr>
          <w:sz w:val="24"/>
          <w:szCs w:val="24"/>
        </w:rPr>
        <w:t xml:space="preserve">The following is not a complete list, but provides examples of </w:t>
      </w:r>
      <w:r w:rsidR="000D5826">
        <w:rPr>
          <w:sz w:val="24"/>
          <w:szCs w:val="24"/>
        </w:rPr>
        <w:t>the type of information</w:t>
      </w:r>
      <w:r w:rsidR="00B41B0A" w:rsidRPr="003354AD">
        <w:rPr>
          <w:sz w:val="24"/>
          <w:szCs w:val="24"/>
        </w:rPr>
        <w:t xml:space="preserve">:  </w:t>
      </w:r>
    </w:p>
    <w:p w:rsidR="00B41B0A" w:rsidRPr="00A2564B" w:rsidRDefault="00B41B0A" w:rsidP="009A0126">
      <w:pPr>
        <w:numPr>
          <w:ilvl w:val="0"/>
          <w:numId w:val="5"/>
        </w:numPr>
        <w:spacing w:after="0" w:line="360" w:lineRule="auto"/>
        <w:jc w:val="both"/>
        <w:rPr>
          <w:sz w:val="24"/>
          <w:szCs w:val="24"/>
        </w:rPr>
      </w:pPr>
      <w:r w:rsidRPr="00A2564B">
        <w:rPr>
          <w:sz w:val="24"/>
          <w:szCs w:val="24"/>
        </w:rPr>
        <w:t>A Court may make any order it considers appropriate altering the property of parties to a marriage.</w:t>
      </w:r>
      <w:r w:rsidRPr="00A2564B">
        <w:rPr>
          <w:sz w:val="24"/>
          <w:szCs w:val="24"/>
          <w:vertAlign w:val="superscript"/>
        </w:rPr>
        <w:endnoteReference w:id="184"/>
      </w:r>
      <w:r w:rsidRPr="00A2564B">
        <w:rPr>
          <w:sz w:val="24"/>
          <w:szCs w:val="24"/>
        </w:rPr>
        <w:t xml:space="preserve"> </w:t>
      </w:r>
    </w:p>
    <w:p w:rsidR="00B41B0A" w:rsidRPr="00A2564B" w:rsidRDefault="00B41B0A" w:rsidP="009A0126">
      <w:pPr>
        <w:numPr>
          <w:ilvl w:val="0"/>
          <w:numId w:val="5"/>
        </w:numPr>
        <w:spacing w:after="0" w:line="360" w:lineRule="auto"/>
        <w:jc w:val="both"/>
        <w:rPr>
          <w:sz w:val="24"/>
          <w:szCs w:val="24"/>
        </w:rPr>
      </w:pPr>
      <w:r w:rsidRPr="00A2564B">
        <w:rPr>
          <w:sz w:val="24"/>
          <w:szCs w:val="24"/>
        </w:rPr>
        <w:t xml:space="preserve">There is no binding rule or </w:t>
      </w:r>
      <w:r w:rsidRPr="004F79EF">
        <w:rPr>
          <w:noProof/>
          <w:sz w:val="24"/>
          <w:szCs w:val="24"/>
        </w:rPr>
        <w:t>principle</w:t>
      </w:r>
      <w:r w:rsidRPr="00A2564B">
        <w:rPr>
          <w:sz w:val="24"/>
          <w:szCs w:val="24"/>
        </w:rPr>
        <w:t xml:space="preserve"> that a court must make </w:t>
      </w:r>
      <w:r w:rsidRPr="004F79EF">
        <w:rPr>
          <w:noProof/>
          <w:sz w:val="24"/>
          <w:szCs w:val="24"/>
        </w:rPr>
        <w:t>an order</w:t>
      </w:r>
      <w:r w:rsidRPr="00A2564B">
        <w:rPr>
          <w:sz w:val="24"/>
          <w:szCs w:val="24"/>
        </w:rPr>
        <w:t xml:space="preserve"> </w:t>
      </w:r>
      <w:r w:rsidRPr="004F79EF">
        <w:rPr>
          <w:noProof/>
          <w:sz w:val="24"/>
          <w:szCs w:val="24"/>
        </w:rPr>
        <w:t>altering</w:t>
      </w:r>
      <w:r w:rsidRPr="00A2564B">
        <w:rPr>
          <w:sz w:val="24"/>
          <w:szCs w:val="24"/>
        </w:rPr>
        <w:t xml:space="preserve"> </w:t>
      </w:r>
      <w:r w:rsidR="004F79EF">
        <w:rPr>
          <w:sz w:val="24"/>
          <w:szCs w:val="24"/>
        </w:rPr>
        <w:t xml:space="preserve">the </w:t>
      </w:r>
      <w:r w:rsidRPr="004F79EF">
        <w:rPr>
          <w:noProof/>
          <w:sz w:val="24"/>
          <w:szCs w:val="24"/>
        </w:rPr>
        <w:t>property</w:t>
      </w:r>
      <w:r w:rsidRPr="00A2564B">
        <w:rPr>
          <w:sz w:val="24"/>
          <w:szCs w:val="24"/>
        </w:rPr>
        <w:t xml:space="preserve"> of spouses. In some circumstances, a court may choose not to make any </w:t>
      </w:r>
      <w:r w:rsidRPr="004F79EF">
        <w:rPr>
          <w:noProof/>
          <w:sz w:val="24"/>
          <w:szCs w:val="24"/>
        </w:rPr>
        <w:t>order</w:t>
      </w:r>
      <w:r w:rsidRPr="00A2564B">
        <w:rPr>
          <w:sz w:val="24"/>
          <w:szCs w:val="24"/>
        </w:rPr>
        <w:t xml:space="preserve"> at all.</w:t>
      </w:r>
      <w:r w:rsidRPr="00A2564B">
        <w:rPr>
          <w:sz w:val="24"/>
          <w:szCs w:val="24"/>
          <w:vertAlign w:val="superscript"/>
        </w:rPr>
        <w:endnoteReference w:id="185"/>
      </w:r>
    </w:p>
    <w:p w:rsidR="00B41B0A" w:rsidRPr="00A2564B" w:rsidRDefault="00B41B0A" w:rsidP="009A0126">
      <w:pPr>
        <w:numPr>
          <w:ilvl w:val="0"/>
          <w:numId w:val="5"/>
        </w:numPr>
        <w:spacing w:after="0" w:line="360" w:lineRule="auto"/>
        <w:jc w:val="both"/>
        <w:rPr>
          <w:sz w:val="24"/>
          <w:szCs w:val="24"/>
        </w:rPr>
      </w:pPr>
      <w:r w:rsidRPr="00A2564B">
        <w:rPr>
          <w:sz w:val="24"/>
          <w:szCs w:val="24"/>
        </w:rPr>
        <w:t xml:space="preserve">An order (if made) must be </w:t>
      </w:r>
      <w:r w:rsidRPr="00980F2E">
        <w:rPr>
          <w:noProof/>
          <w:sz w:val="24"/>
          <w:szCs w:val="24"/>
        </w:rPr>
        <w:t>just</w:t>
      </w:r>
      <w:r w:rsidRPr="00A2564B">
        <w:rPr>
          <w:sz w:val="24"/>
          <w:szCs w:val="24"/>
        </w:rPr>
        <w:t xml:space="preserve"> and equitable.</w:t>
      </w:r>
      <w:r w:rsidRPr="00A2564B">
        <w:rPr>
          <w:sz w:val="24"/>
          <w:szCs w:val="24"/>
          <w:vertAlign w:val="superscript"/>
        </w:rPr>
        <w:endnoteReference w:id="186"/>
      </w:r>
      <w:r w:rsidRPr="00A2564B">
        <w:rPr>
          <w:sz w:val="24"/>
          <w:szCs w:val="24"/>
        </w:rPr>
        <w:t xml:space="preserve"> The requirement for an order to be just and </w:t>
      </w:r>
      <w:r w:rsidRPr="004F79EF">
        <w:rPr>
          <w:noProof/>
          <w:sz w:val="24"/>
          <w:szCs w:val="24"/>
        </w:rPr>
        <w:t>equitable</w:t>
      </w:r>
      <w:r w:rsidRPr="00A2564B">
        <w:rPr>
          <w:sz w:val="24"/>
          <w:szCs w:val="24"/>
        </w:rPr>
        <w:t xml:space="preserve"> is overriding.</w:t>
      </w:r>
      <w:r w:rsidRPr="00A2564B">
        <w:rPr>
          <w:sz w:val="24"/>
          <w:szCs w:val="24"/>
          <w:vertAlign w:val="superscript"/>
        </w:rPr>
        <w:endnoteReference w:id="187"/>
      </w:r>
      <w:r w:rsidRPr="00A2564B">
        <w:rPr>
          <w:sz w:val="24"/>
          <w:szCs w:val="24"/>
        </w:rPr>
        <w:t xml:space="preserve"> The concept of a just and </w:t>
      </w:r>
      <w:r w:rsidRPr="004F79EF">
        <w:rPr>
          <w:noProof/>
          <w:sz w:val="24"/>
          <w:szCs w:val="24"/>
        </w:rPr>
        <w:t>equitable</w:t>
      </w:r>
      <w:r w:rsidRPr="00A2564B">
        <w:rPr>
          <w:sz w:val="24"/>
          <w:szCs w:val="24"/>
        </w:rPr>
        <w:t xml:space="preserve"> </w:t>
      </w:r>
      <w:r w:rsidRPr="004F79EF">
        <w:rPr>
          <w:noProof/>
          <w:sz w:val="24"/>
          <w:szCs w:val="24"/>
        </w:rPr>
        <w:t>order</w:t>
      </w:r>
      <w:r w:rsidRPr="00A2564B">
        <w:rPr>
          <w:sz w:val="24"/>
          <w:szCs w:val="24"/>
        </w:rPr>
        <w:t xml:space="preserve"> is broad. It is not possible to place specific boundaries on the meaning of the expression just and </w:t>
      </w:r>
      <w:r w:rsidRPr="004F79EF">
        <w:rPr>
          <w:noProof/>
          <w:sz w:val="24"/>
          <w:szCs w:val="24"/>
        </w:rPr>
        <w:t>equitable</w:t>
      </w:r>
      <w:r w:rsidRPr="00A2564B">
        <w:rPr>
          <w:sz w:val="24"/>
          <w:szCs w:val="24"/>
        </w:rPr>
        <w:t>.</w:t>
      </w:r>
      <w:r w:rsidRPr="00A2564B">
        <w:rPr>
          <w:sz w:val="24"/>
          <w:szCs w:val="24"/>
          <w:vertAlign w:val="superscript"/>
        </w:rPr>
        <w:endnoteReference w:id="188"/>
      </w:r>
      <w:r w:rsidRPr="00A2564B">
        <w:rPr>
          <w:sz w:val="24"/>
          <w:szCs w:val="24"/>
        </w:rPr>
        <w:t xml:space="preserve"> </w:t>
      </w:r>
    </w:p>
    <w:p w:rsidR="00B41B0A" w:rsidRPr="00A2564B" w:rsidRDefault="00B41B0A" w:rsidP="009A0126">
      <w:pPr>
        <w:numPr>
          <w:ilvl w:val="0"/>
          <w:numId w:val="5"/>
        </w:numPr>
        <w:spacing w:after="0" w:line="360" w:lineRule="auto"/>
        <w:jc w:val="both"/>
        <w:rPr>
          <w:sz w:val="24"/>
          <w:szCs w:val="24"/>
        </w:rPr>
      </w:pPr>
      <w:r w:rsidRPr="00A2564B">
        <w:rPr>
          <w:sz w:val="24"/>
          <w:szCs w:val="24"/>
        </w:rPr>
        <w:t>Before an</w:t>
      </w:r>
      <w:r>
        <w:rPr>
          <w:sz w:val="24"/>
          <w:szCs w:val="24"/>
        </w:rPr>
        <w:t>y</w:t>
      </w:r>
      <w:r w:rsidRPr="00A2564B">
        <w:rPr>
          <w:sz w:val="24"/>
          <w:szCs w:val="24"/>
        </w:rPr>
        <w:t xml:space="preserve"> </w:t>
      </w:r>
      <w:r w:rsidRPr="004F79EF">
        <w:rPr>
          <w:noProof/>
          <w:sz w:val="24"/>
          <w:szCs w:val="24"/>
        </w:rPr>
        <w:t>order</w:t>
      </w:r>
      <w:r w:rsidRPr="00A2564B">
        <w:rPr>
          <w:sz w:val="24"/>
          <w:szCs w:val="24"/>
        </w:rPr>
        <w:t xml:space="preserve"> can be just and </w:t>
      </w:r>
      <w:r w:rsidRPr="004F79EF">
        <w:rPr>
          <w:noProof/>
          <w:sz w:val="24"/>
          <w:szCs w:val="24"/>
        </w:rPr>
        <w:t>equitable</w:t>
      </w:r>
      <w:r w:rsidRPr="00A2564B">
        <w:rPr>
          <w:sz w:val="24"/>
          <w:szCs w:val="24"/>
        </w:rPr>
        <w:t xml:space="preserve"> (and even if the ultimate result includes not altering property at all), the process must include consideration of the following matters (‘the seven factors’):</w:t>
      </w:r>
      <w:r w:rsidRPr="00A2564B">
        <w:rPr>
          <w:sz w:val="24"/>
          <w:szCs w:val="24"/>
          <w:vertAlign w:val="superscript"/>
        </w:rPr>
        <w:endnoteReference w:id="189"/>
      </w:r>
    </w:p>
    <w:p w:rsidR="00B41B0A" w:rsidRPr="00A2564B" w:rsidRDefault="00B41B0A" w:rsidP="009A0126">
      <w:pPr>
        <w:numPr>
          <w:ilvl w:val="0"/>
          <w:numId w:val="6"/>
        </w:numPr>
        <w:spacing w:after="0" w:line="360" w:lineRule="auto"/>
        <w:jc w:val="both"/>
        <w:rPr>
          <w:sz w:val="24"/>
          <w:szCs w:val="24"/>
        </w:rPr>
      </w:pPr>
      <w:r w:rsidRPr="00A2564B">
        <w:rPr>
          <w:sz w:val="24"/>
          <w:szCs w:val="24"/>
        </w:rPr>
        <w:t>Direct and indirect financial contributions to property,</w:t>
      </w:r>
      <w:r w:rsidRPr="00A2564B">
        <w:rPr>
          <w:sz w:val="24"/>
          <w:szCs w:val="24"/>
          <w:vertAlign w:val="superscript"/>
        </w:rPr>
        <w:endnoteReference w:id="190"/>
      </w:r>
    </w:p>
    <w:p w:rsidR="00B41B0A" w:rsidRPr="00A2564B" w:rsidRDefault="00B41B0A" w:rsidP="009A0126">
      <w:pPr>
        <w:numPr>
          <w:ilvl w:val="0"/>
          <w:numId w:val="6"/>
        </w:numPr>
        <w:spacing w:after="0" w:line="360" w:lineRule="auto"/>
        <w:jc w:val="both"/>
        <w:rPr>
          <w:sz w:val="24"/>
          <w:szCs w:val="24"/>
        </w:rPr>
      </w:pPr>
      <w:r w:rsidRPr="00A2564B">
        <w:rPr>
          <w:sz w:val="24"/>
          <w:szCs w:val="24"/>
        </w:rPr>
        <w:t>Direct and indirect non-financial contributions to property,</w:t>
      </w:r>
      <w:r w:rsidRPr="00A2564B">
        <w:rPr>
          <w:sz w:val="24"/>
          <w:szCs w:val="24"/>
          <w:vertAlign w:val="superscript"/>
        </w:rPr>
        <w:endnoteReference w:id="191"/>
      </w:r>
    </w:p>
    <w:p w:rsidR="00B41B0A" w:rsidRPr="00A2564B" w:rsidRDefault="00B41B0A" w:rsidP="009A0126">
      <w:pPr>
        <w:numPr>
          <w:ilvl w:val="0"/>
          <w:numId w:val="6"/>
        </w:numPr>
        <w:spacing w:after="0" w:line="360" w:lineRule="auto"/>
        <w:jc w:val="both"/>
        <w:rPr>
          <w:sz w:val="24"/>
          <w:szCs w:val="24"/>
        </w:rPr>
      </w:pPr>
      <w:r w:rsidRPr="00A2564B">
        <w:rPr>
          <w:sz w:val="24"/>
          <w:szCs w:val="24"/>
        </w:rPr>
        <w:t>Homemaker and parenting contributions,</w:t>
      </w:r>
      <w:r w:rsidRPr="00A2564B">
        <w:rPr>
          <w:sz w:val="24"/>
          <w:szCs w:val="24"/>
          <w:vertAlign w:val="superscript"/>
        </w:rPr>
        <w:endnoteReference w:id="192"/>
      </w:r>
    </w:p>
    <w:p w:rsidR="00B41B0A" w:rsidRPr="00A2564B" w:rsidRDefault="00B41B0A" w:rsidP="009A0126">
      <w:pPr>
        <w:numPr>
          <w:ilvl w:val="0"/>
          <w:numId w:val="6"/>
        </w:numPr>
        <w:spacing w:after="0" w:line="360" w:lineRule="auto"/>
        <w:jc w:val="both"/>
        <w:rPr>
          <w:sz w:val="24"/>
          <w:szCs w:val="24"/>
        </w:rPr>
      </w:pPr>
      <w:r w:rsidRPr="00A2564B">
        <w:rPr>
          <w:sz w:val="24"/>
          <w:szCs w:val="24"/>
        </w:rPr>
        <w:t>Any effect of the proposed order on earning capacity of a spouse (for example sale of a business),</w:t>
      </w:r>
      <w:r w:rsidRPr="00A2564B">
        <w:rPr>
          <w:sz w:val="24"/>
          <w:szCs w:val="24"/>
          <w:vertAlign w:val="superscript"/>
        </w:rPr>
        <w:endnoteReference w:id="193"/>
      </w:r>
    </w:p>
    <w:p w:rsidR="00B41B0A" w:rsidRPr="00A2564B" w:rsidRDefault="00B41B0A" w:rsidP="009A0126">
      <w:pPr>
        <w:numPr>
          <w:ilvl w:val="0"/>
          <w:numId w:val="6"/>
        </w:numPr>
        <w:spacing w:after="0" w:line="360" w:lineRule="auto"/>
        <w:jc w:val="both"/>
        <w:rPr>
          <w:sz w:val="24"/>
          <w:szCs w:val="24"/>
        </w:rPr>
      </w:pPr>
      <w:r w:rsidRPr="00A2564B">
        <w:rPr>
          <w:sz w:val="24"/>
          <w:szCs w:val="24"/>
        </w:rPr>
        <w:t>The ‘section 75(2) factors’ (explained below),</w:t>
      </w:r>
      <w:r w:rsidRPr="00A2564B">
        <w:rPr>
          <w:sz w:val="24"/>
          <w:szCs w:val="24"/>
          <w:vertAlign w:val="superscript"/>
        </w:rPr>
        <w:endnoteReference w:id="194"/>
      </w:r>
    </w:p>
    <w:p w:rsidR="00B41B0A" w:rsidRPr="00A2564B" w:rsidRDefault="00B41B0A" w:rsidP="009A0126">
      <w:pPr>
        <w:numPr>
          <w:ilvl w:val="0"/>
          <w:numId w:val="6"/>
        </w:numPr>
        <w:spacing w:after="0" w:line="360" w:lineRule="auto"/>
        <w:jc w:val="both"/>
        <w:rPr>
          <w:sz w:val="24"/>
          <w:szCs w:val="24"/>
        </w:rPr>
      </w:pPr>
      <w:r w:rsidRPr="00A2564B">
        <w:rPr>
          <w:sz w:val="24"/>
          <w:szCs w:val="24"/>
        </w:rPr>
        <w:t>Any other court orders (such as parenting orders),</w:t>
      </w:r>
      <w:r w:rsidRPr="00A2564B">
        <w:rPr>
          <w:sz w:val="24"/>
          <w:szCs w:val="24"/>
          <w:vertAlign w:val="superscript"/>
        </w:rPr>
        <w:endnoteReference w:id="195"/>
      </w:r>
      <w:r w:rsidRPr="00A2564B">
        <w:rPr>
          <w:sz w:val="24"/>
          <w:szCs w:val="24"/>
        </w:rPr>
        <w:t xml:space="preserve"> and</w:t>
      </w:r>
    </w:p>
    <w:p w:rsidR="00B41B0A" w:rsidRPr="00A2564B" w:rsidRDefault="00B41B0A" w:rsidP="009A0126">
      <w:pPr>
        <w:numPr>
          <w:ilvl w:val="0"/>
          <w:numId w:val="6"/>
        </w:numPr>
        <w:spacing w:after="0" w:line="360" w:lineRule="auto"/>
        <w:jc w:val="both"/>
        <w:rPr>
          <w:sz w:val="24"/>
          <w:szCs w:val="24"/>
        </w:rPr>
      </w:pPr>
      <w:r w:rsidRPr="00A2564B">
        <w:rPr>
          <w:sz w:val="24"/>
          <w:szCs w:val="24"/>
        </w:rPr>
        <w:t>Child support.</w:t>
      </w:r>
      <w:r w:rsidRPr="00A2564B">
        <w:rPr>
          <w:sz w:val="24"/>
          <w:szCs w:val="24"/>
          <w:vertAlign w:val="superscript"/>
        </w:rPr>
        <w:endnoteReference w:id="196"/>
      </w:r>
      <w:r w:rsidRPr="00A2564B">
        <w:rPr>
          <w:sz w:val="24"/>
          <w:szCs w:val="24"/>
        </w:rPr>
        <w:t xml:space="preserve"> </w:t>
      </w:r>
    </w:p>
    <w:p w:rsidR="00B41B0A" w:rsidRPr="00A2564B" w:rsidRDefault="00B41B0A" w:rsidP="009A0126">
      <w:pPr>
        <w:numPr>
          <w:ilvl w:val="0"/>
          <w:numId w:val="5"/>
        </w:numPr>
        <w:spacing w:after="0" w:line="360" w:lineRule="auto"/>
        <w:jc w:val="both"/>
        <w:rPr>
          <w:sz w:val="24"/>
          <w:szCs w:val="24"/>
        </w:rPr>
      </w:pPr>
      <w:r w:rsidRPr="00A2564B">
        <w:rPr>
          <w:sz w:val="24"/>
          <w:szCs w:val="24"/>
        </w:rPr>
        <w:lastRenderedPageBreak/>
        <w:t>While not a binding rule, there is a convenient way to structure a negotiation or a case to achieve a just and equitable result.</w:t>
      </w:r>
      <w:r w:rsidRPr="00A2564B">
        <w:rPr>
          <w:sz w:val="24"/>
          <w:szCs w:val="24"/>
          <w:vertAlign w:val="superscript"/>
        </w:rPr>
        <w:endnoteReference w:id="197"/>
      </w:r>
      <w:r w:rsidRPr="00A2564B">
        <w:rPr>
          <w:sz w:val="24"/>
          <w:szCs w:val="24"/>
        </w:rPr>
        <w:t xml:space="preserve"> </w:t>
      </w:r>
      <w:r w:rsidRPr="002A55D3">
        <w:rPr>
          <w:noProof/>
          <w:sz w:val="24"/>
          <w:szCs w:val="24"/>
        </w:rPr>
        <w:t>T</w:t>
      </w:r>
      <w:r w:rsidR="002A55D3">
        <w:rPr>
          <w:noProof/>
          <w:sz w:val="24"/>
          <w:szCs w:val="24"/>
        </w:rPr>
        <w:t>he structure has four parts</w:t>
      </w:r>
      <w:r w:rsidRPr="00A2564B">
        <w:rPr>
          <w:sz w:val="24"/>
          <w:szCs w:val="24"/>
        </w:rPr>
        <w:t>:</w:t>
      </w:r>
    </w:p>
    <w:p w:rsidR="00B41B0A" w:rsidRPr="00A2564B" w:rsidRDefault="00B41B0A" w:rsidP="00462142">
      <w:pPr>
        <w:spacing w:after="0" w:line="360" w:lineRule="auto"/>
        <w:ind w:left="720" w:firstLine="720"/>
        <w:jc w:val="both"/>
        <w:rPr>
          <w:sz w:val="24"/>
          <w:szCs w:val="24"/>
        </w:rPr>
      </w:pPr>
      <w:r w:rsidRPr="00A2564B">
        <w:rPr>
          <w:sz w:val="24"/>
          <w:szCs w:val="24"/>
        </w:rPr>
        <w:t xml:space="preserve">(1) Identifying and valuing all property at the date of hearing, </w:t>
      </w:r>
    </w:p>
    <w:p w:rsidR="00B41B0A" w:rsidRPr="00A2564B" w:rsidRDefault="00B41B0A" w:rsidP="00462142">
      <w:pPr>
        <w:spacing w:after="0" w:line="360" w:lineRule="auto"/>
        <w:ind w:left="1440"/>
        <w:jc w:val="both"/>
        <w:rPr>
          <w:sz w:val="24"/>
          <w:szCs w:val="24"/>
        </w:rPr>
      </w:pPr>
      <w:r w:rsidRPr="00A2564B">
        <w:rPr>
          <w:sz w:val="24"/>
          <w:szCs w:val="24"/>
        </w:rPr>
        <w:t>(2) Determining contributions and allocating an overall percentage entitlement to each party for those contributions,</w:t>
      </w:r>
    </w:p>
    <w:p w:rsidR="00B41B0A" w:rsidRPr="00A2564B" w:rsidRDefault="00B41B0A" w:rsidP="00462142">
      <w:pPr>
        <w:spacing w:after="0" w:line="360" w:lineRule="auto"/>
        <w:ind w:left="1440"/>
        <w:jc w:val="both"/>
        <w:rPr>
          <w:sz w:val="24"/>
          <w:szCs w:val="24"/>
        </w:rPr>
      </w:pPr>
      <w:r w:rsidRPr="00A2564B">
        <w:rPr>
          <w:sz w:val="24"/>
          <w:szCs w:val="24"/>
        </w:rPr>
        <w:t>(3) Adjusting (if required) that percentage entitlement based on the</w:t>
      </w:r>
      <w:r>
        <w:rPr>
          <w:sz w:val="24"/>
          <w:szCs w:val="24"/>
        </w:rPr>
        <w:t xml:space="preserve"> remaining factors, including the</w:t>
      </w:r>
      <w:r w:rsidRPr="00A2564B">
        <w:rPr>
          <w:sz w:val="24"/>
          <w:szCs w:val="24"/>
        </w:rPr>
        <w:t xml:space="preserve"> ‘section 75(2) factors’.</w:t>
      </w:r>
    </w:p>
    <w:p w:rsidR="00B41B0A" w:rsidRPr="00A2564B" w:rsidRDefault="00B41B0A" w:rsidP="00462142">
      <w:pPr>
        <w:spacing w:after="0" w:line="360" w:lineRule="auto"/>
        <w:ind w:left="1440"/>
        <w:jc w:val="both"/>
        <w:rPr>
          <w:sz w:val="24"/>
          <w:szCs w:val="24"/>
        </w:rPr>
      </w:pPr>
      <w:r w:rsidRPr="00A2564B">
        <w:rPr>
          <w:sz w:val="24"/>
          <w:szCs w:val="24"/>
        </w:rPr>
        <w:t xml:space="preserve">(4) Taking a final step back to ensure that the terms of the proposed order are </w:t>
      </w:r>
      <w:r w:rsidRPr="00980F2E">
        <w:rPr>
          <w:noProof/>
          <w:sz w:val="24"/>
          <w:szCs w:val="24"/>
        </w:rPr>
        <w:t>just</w:t>
      </w:r>
      <w:r w:rsidRPr="00A2564B">
        <w:rPr>
          <w:sz w:val="24"/>
          <w:szCs w:val="24"/>
        </w:rPr>
        <w:t xml:space="preserve"> and equitable.</w:t>
      </w:r>
      <w:r w:rsidRPr="00A2564B">
        <w:rPr>
          <w:sz w:val="24"/>
          <w:szCs w:val="24"/>
          <w:vertAlign w:val="superscript"/>
        </w:rPr>
        <w:endnoteReference w:id="198"/>
      </w:r>
    </w:p>
    <w:p w:rsidR="00B41B0A" w:rsidRPr="00A2564B" w:rsidRDefault="00B41B0A" w:rsidP="009A0126">
      <w:pPr>
        <w:numPr>
          <w:ilvl w:val="0"/>
          <w:numId w:val="5"/>
        </w:numPr>
        <w:spacing w:after="0" w:line="360" w:lineRule="auto"/>
        <w:jc w:val="both"/>
        <w:rPr>
          <w:sz w:val="24"/>
          <w:szCs w:val="24"/>
        </w:rPr>
      </w:pPr>
      <w:r w:rsidRPr="00A2564B">
        <w:rPr>
          <w:sz w:val="24"/>
          <w:szCs w:val="24"/>
        </w:rPr>
        <w:t>It may be appropriate in some circumstances to set out a separate list of superannuation.</w:t>
      </w:r>
      <w:r w:rsidRPr="00A2564B">
        <w:rPr>
          <w:sz w:val="24"/>
          <w:szCs w:val="24"/>
          <w:vertAlign w:val="superscript"/>
        </w:rPr>
        <w:endnoteReference w:id="199"/>
      </w:r>
      <w:r w:rsidRPr="00A2564B">
        <w:rPr>
          <w:sz w:val="24"/>
          <w:szCs w:val="24"/>
        </w:rPr>
        <w:t xml:space="preserve"> However, if both parties consent, one </w:t>
      </w:r>
      <w:r w:rsidRPr="004F79EF">
        <w:rPr>
          <w:noProof/>
          <w:sz w:val="24"/>
          <w:szCs w:val="24"/>
        </w:rPr>
        <w:t>list</w:t>
      </w:r>
      <w:r w:rsidRPr="00A2564B">
        <w:rPr>
          <w:sz w:val="24"/>
          <w:szCs w:val="24"/>
        </w:rPr>
        <w:t xml:space="preserve"> is acceptable.</w:t>
      </w:r>
      <w:r w:rsidRPr="00A2564B">
        <w:rPr>
          <w:sz w:val="24"/>
          <w:szCs w:val="24"/>
          <w:vertAlign w:val="superscript"/>
        </w:rPr>
        <w:endnoteReference w:id="200"/>
      </w:r>
    </w:p>
    <w:p w:rsidR="00B41B0A" w:rsidRPr="00A2564B" w:rsidRDefault="00B41B0A" w:rsidP="009A0126">
      <w:pPr>
        <w:numPr>
          <w:ilvl w:val="0"/>
          <w:numId w:val="5"/>
        </w:numPr>
        <w:spacing w:after="0" w:line="360" w:lineRule="auto"/>
        <w:jc w:val="both"/>
        <w:rPr>
          <w:sz w:val="24"/>
          <w:szCs w:val="24"/>
        </w:rPr>
      </w:pPr>
      <w:r w:rsidRPr="00A2564B">
        <w:rPr>
          <w:sz w:val="24"/>
          <w:szCs w:val="24"/>
        </w:rPr>
        <w:t>The relevant date for determining ownership (and value) for the first step (identifying property) is the date of hearing (or the date of reaching agreement).</w:t>
      </w:r>
      <w:r w:rsidRPr="00A2564B">
        <w:rPr>
          <w:sz w:val="24"/>
          <w:szCs w:val="24"/>
          <w:vertAlign w:val="superscript"/>
        </w:rPr>
        <w:endnoteReference w:id="201"/>
      </w:r>
      <w:r w:rsidRPr="00A2564B">
        <w:rPr>
          <w:sz w:val="24"/>
          <w:szCs w:val="24"/>
        </w:rPr>
        <w:t xml:space="preserve"> </w:t>
      </w:r>
      <w:r w:rsidR="002A55D3">
        <w:rPr>
          <w:noProof/>
          <w:sz w:val="24"/>
          <w:szCs w:val="24"/>
        </w:rPr>
        <w:t>‘Property’</w:t>
      </w:r>
      <w:r w:rsidRPr="00A2564B">
        <w:rPr>
          <w:sz w:val="24"/>
          <w:szCs w:val="24"/>
        </w:rPr>
        <w:t xml:space="preserve"> includes property acquired before, during or after the marriage, whether in the name of both parties or of one party. </w:t>
      </w:r>
    </w:p>
    <w:p w:rsidR="000D5826" w:rsidRDefault="00B41B0A" w:rsidP="002A55D3">
      <w:pPr>
        <w:numPr>
          <w:ilvl w:val="0"/>
          <w:numId w:val="5"/>
        </w:numPr>
        <w:spacing w:after="0" w:line="360" w:lineRule="auto"/>
        <w:jc w:val="both"/>
        <w:rPr>
          <w:sz w:val="24"/>
          <w:szCs w:val="24"/>
        </w:rPr>
      </w:pPr>
      <w:r w:rsidRPr="00A2564B">
        <w:rPr>
          <w:sz w:val="24"/>
          <w:szCs w:val="24"/>
        </w:rPr>
        <w:t xml:space="preserve">Each spouse has </w:t>
      </w:r>
      <w:r w:rsidRPr="004F79EF">
        <w:rPr>
          <w:noProof/>
          <w:sz w:val="24"/>
          <w:szCs w:val="24"/>
        </w:rPr>
        <w:t>a positive</w:t>
      </w:r>
      <w:r w:rsidRPr="00A2564B">
        <w:rPr>
          <w:sz w:val="24"/>
          <w:szCs w:val="24"/>
        </w:rPr>
        <w:t xml:space="preserve"> obligation to make full and frank disclosure of all their financial circumstances (both property and financial resources) up to and including the date of </w:t>
      </w:r>
      <w:r w:rsidR="004F79EF">
        <w:rPr>
          <w:sz w:val="24"/>
          <w:szCs w:val="24"/>
        </w:rPr>
        <w:t xml:space="preserve">the </w:t>
      </w:r>
      <w:r w:rsidRPr="004F79EF">
        <w:rPr>
          <w:noProof/>
          <w:sz w:val="24"/>
          <w:szCs w:val="24"/>
        </w:rPr>
        <w:t>hearing</w:t>
      </w:r>
      <w:r w:rsidRPr="00A2564B">
        <w:rPr>
          <w:sz w:val="24"/>
          <w:szCs w:val="24"/>
        </w:rPr>
        <w:t xml:space="preserve"> or the date of lodgement of an application for a consent order.</w:t>
      </w:r>
      <w:r w:rsidRPr="00A2564B">
        <w:rPr>
          <w:sz w:val="24"/>
          <w:szCs w:val="24"/>
          <w:vertAlign w:val="superscript"/>
        </w:rPr>
        <w:endnoteReference w:id="202"/>
      </w:r>
      <w:r w:rsidR="002A55D3">
        <w:rPr>
          <w:noProof/>
          <w:sz w:val="24"/>
          <w:szCs w:val="24"/>
        </w:rPr>
        <w:t xml:space="preserve"> ‘</w:t>
      </w:r>
      <w:r w:rsidR="000D5826">
        <w:rPr>
          <w:noProof/>
          <w:sz w:val="24"/>
          <w:szCs w:val="24"/>
        </w:rPr>
        <w:t>P</w:t>
      </w:r>
      <w:r w:rsidR="002A55D3">
        <w:rPr>
          <w:noProof/>
          <w:sz w:val="24"/>
          <w:szCs w:val="24"/>
        </w:rPr>
        <w:t>roperty’</w:t>
      </w:r>
      <w:r w:rsidRPr="00A2564B">
        <w:rPr>
          <w:sz w:val="24"/>
          <w:szCs w:val="24"/>
        </w:rPr>
        <w:t xml:space="preserve"> includes any property acquired after separation or after divorce.</w:t>
      </w:r>
      <w:r w:rsidRPr="00A2564B">
        <w:rPr>
          <w:sz w:val="24"/>
          <w:szCs w:val="24"/>
          <w:vertAlign w:val="superscript"/>
        </w:rPr>
        <w:endnoteReference w:id="203"/>
      </w:r>
      <w:r w:rsidRPr="00A2564B">
        <w:rPr>
          <w:sz w:val="24"/>
          <w:szCs w:val="24"/>
        </w:rPr>
        <w:t xml:space="preserve"> </w:t>
      </w:r>
    </w:p>
    <w:p w:rsidR="00B41B0A" w:rsidRPr="00A2564B" w:rsidRDefault="00B41B0A" w:rsidP="002A55D3">
      <w:pPr>
        <w:numPr>
          <w:ilvl w:val="0"/>
          <w:numId w:val="5"/>
        </w:numPr>
        <w:spacing w:after="0" w:line="360" w:lineRule="auto"/>
        <w:jc w:val="both"/>
        <w:rPr>
          <w:sz w:val="24"/>
          <w:szCs w:val="24"/>
        </w:rPr>
      </w:pPr>
      <w:r w:rsidRPr="00A2564B">
        <w:rPr>
          <w:sz w:val="24"/>
          <w:szCs w:val="24"/>
        </w:rPr>
        <w:t xml:space="preserve">The consequences </w:t>
      </w:r>
      <w:r w:rsidR="004F79EF">
        <w:rPr>
          <w:noProof/>
          <w:sz w:val="24"/>
          <w:szCs w:val="24"/>
        </w:rPr>
        <w:t>of</w:t>
      </w:r>
      <w:r w:rsidRPr="00A2564B">
        <w:rPr>
          <w:sz w:val="24"/>
          <w:szCs w:val="24"/>
        </w:rPr>
        <w:t xml:space="preserve"> non-disclosure include that a court may not believe the evidence of the person who has not </w:t>
      </w:r>
      <w:r w:rsidRPr="004F79EF">
        <w:rPr>
          <w:noProof/>
          <w:sz w:val="24"/>
          <w:szCs w:val="24"/>
        </w:rPr>
        <w:t>disclosed</w:t>
      </w:r>
      <w:r w:rsidRPr="00A2564B">
        <w:rPr>
          <w:sz w:val="24"/>
          <w:szCs w:val="24"/>
        </w:rPr>
        <w:t xml:space="preserve"> and may give more property to the other party because of that failure to make full disclosure.</w:t>
      </w:r>
      <w:r w:rsidRPr="00A2564B">
        <w:rPr>
          <w:sz w:val="24"/>
          <w:szCs w:val="24"/>
          <w:vertAlign w:val="superscript"/>
        </w:rPr>
        <w:endnoteReference w:id="204"/>
      </w:r>
      <w:r w:rsidRPr="00A2564B">
        <w:rPr>
          <w:sz w:val="24"/>
          <w:szCs w:val="24"/>
        </w:rPr>
        <w:t xml:space="preserve"> Other consequences </w:t>
      </w:r>
      <w:r w:rsidR="004F79EF">
        <w:rPr>
          <w:noProof/>
          <w:sz w:val="24"/>
          <w:szCs w:val="24"/>
        </w:rPr>
        <w:t>of</w:t>
      </w:r>
      <w:r w:rsidRPr="00A2564B">
        <w:rPr>
          <w:sz w:val="24"/>
          <w:szCs w:val="24"/>
        </w:rPr>
        <w:t xml:space="preserve"> non-disclosure include a costs </w:t>
      </w:r>
      <w:r w:rsidRPr="004F79EF">
        <w:rPr>
          <w:noProof/>
          <w:sz w:val="24"/>
          <w:szCs w:val="24"/>
        </w:rPr>
        <w:t>order</w:t>
      </w:r>
      <w:r w:rsidRPr="00A2564B">
        <w:rPr>
          <w:sz w:val="24"/>
          <w:szCs w:val="24"/>
        </w:rPr>
        <w:t xml:space="preserve"> or contempt of court.</w:t>
      </w:r>
      <w:r w:rsidRPr="00A2564B">
        <w:rPr>
          <w:sz w:val="24"/>
          <w:szCs w:val="24"/>
          <w:vertAlign w:val="superscript"/>
        </w:rPr>
        <w:endnoteReference w:id="205"/>
      </w:r>
      <w:r w:rsidR="002A55D3">
        <w:rPr>
          <w:sz w:val="24"/>
          <w:szCs w:val="24"/>
        </w:rPr>
        <w:t xml:space="preserve"> An order can be set aside or varied if a miscarriage of justice arises and the cause is </w:t>
      </w:r>
      <w:r w:rsidR="00FF42A1">
        <w:rPr>
          <w:sz w:val="24"/>
          <w:szCs w:val="24"/>
        </w:rPr>
        <w:t>a</w:t>
      </w:r>
      <w:r w:rsidR="002A55D3">
        <w:rPr>
          <w:sz w:val="24"/>
          <w:szCs w:val="24"/>
        </w:rPr>
        <w:t xml:space="preserve"> </w:t>
      </w:r>
      <w:r w:rsidR="002A55D3" w:rsidRPr="002A55D3">
        <w:rPr>
          <w:sz w:val="24"/>
          <w:szCs w:val="24"/>
        </w:rPr>
        <w:t>failure to disclose relevant information</w:t>
      </w:r>
      <w:r w:rsidR="002A55D3">
        <w:rPr>
          <w:sz w:val="24"/>
          <w:szCs w:val="24"/>
        </w:rPr>
        <w:t>.</w:t>
      </w:r>
      <w:r w:rsidR="002A55D3">
        <w:rPr>
          <w:rStyle w:val="EndnoteReference"/>
          <w:sz w:val="24"/>
          <w:szCs w:val="24"/>
        </w:rPr>
        <w:endnoteReference w:id="206"/>
      </w:r>
    </w:p>
    <w:p w:rsidR="00B41B0A" w:rsidRPr="00A2564B" w:rsidRDefault="00B41B0A" w:rsidP="009A0126">
      <w:pPr>
        <w:numPr>
          <w:ilvl w:val="0"/>
          <w:numId w:val="5"/>
        </w:numPr>
        <w:spacing w:after="0" w:line="360" w:lineRule="auto"/>
        <w:jc w:val="both"/>
        <w:rPr>
          <w:sz w:val="24"/>
          <w:szCs w:val="24"/>
        </w:rPr>
      </w:pPr>
      <w:r w:rsidRPr="00A2564B">
        <w:rPr>
          <w:sz w:val="24"/>
          <w:szCs w:val="24"/>
        </w:rPr>
        <w:t xml:space="preserve">Deduction of liabilities is the usual approach to determine net property for </w:t>
      </w:r>
      <w:r w:rsidR="00FF42A1">
        <w:rPr>
          <w:sz w:val="24"/>
          <w:szCs w:val="24"/>
        </w:rPr>
        <w:t xml:space="preserve">the </w:t>
      </w:r>
      <w:r w:rsidRPr="00FF42A1">
        <w:rPr>
          <w:noProof/>
          <w:sz w:val="24"/>
          <w:szCs w:val="24"/>
        </w:rPr>
        <w:t>division</w:t>
      </w:r>
      <w:r w:rsidRPr="00A2564B">
        <w:rPr>
          <w:sz w:val="24"/>
          <w:szCs w:val="24"/>
        </w:rPr>
        <w:t xml:space="preserve">. However, if </w:t>
      </w:r>
      <w:r w:rsidRPr="004F79EF">
        <w:rPr>
          <w:noProof/>
          <w:sz w:val="24"/>
          <w:szCs w:val="24"/>
        </w:rPr>
        <w:t>unsecured</w:t>
      </w:r>
      <w:r w:rsidRPr="00A2564B">
        <w:rPr>
          <w:sz w:val="24"/>
          <w:szCs w:val="24"/>
        </w:rPr>
        <w:t xml:space="preserve"> </w:t>
      </w:r>
      <w:r w:rsidR="004F79EF">
        <w:rPr>
          <w:noProof/>
          <w:sz w:val="24"/>
          <w:szCs w:val="24"/>
        </w:rPr>
        <w:t>debt</w:t>
      </w:r>
      <w:r w:rsidRPr="00A2564B">
        <w:rPr>
          <w:sz w:val="24"/>
          <w:szCs w:val="24"/>
        </w:rPr>
        <w:t xml:space="preserve"> is uncertain or unreasonably incurred, a court may not include that liability.</w:t>
      </w:r>
      <w:r w:rsidRPr="00A2564B">
        <w:rPr>
          <w:sz w:val="24"/>
          <w:szCs w:val="24"/>
          <w:vertAlign w:val="superscript"/>
        </w:rPr>
        <w:endnoteReference w:id="207"/>
      </w:r>
    </w:p>
    <w:p w:rsidR="00B41B0A" w:rsidRPr="00A2564B" w:rsidRDefault="00B41B0A" w:rsidP="009A0126">
      <w:pPr>
        <w:numPr>
          <w:ilvl w:val="0"/>
          <w:numId w:val="5"/>
        </w:numPr>
        <w:spacing w:after="0" w:line="360" w:lineRule="auto"/>
        <w:jc w:val="both"/>
        <w:rPr>
          <w:sz w:val="24"/>
          <w:szCs w:val="24"/>
        </w:rPr>
      </w:pPr>
      <w:r w:rsidRPr="00A2564B">
        <w:rPr>
          <w:sz w:val="24"/>
          <w:szCs w:val="24"/>
        </w:rPr>
        <w:t xml:space="preserve">There does not need to be some direct link (such as the payment of mortgage payments) between the contribution and </w:t>
      </w:r>
      <w:r w:rsidR="00F97F6F">
        <w:rPr>
          <w:sz w:val="24"/>
          <w:szCs w:val="24"/>
        </w:rPr>
        <w:t>specific</w:t>
      </w:r>
      <w:r w:rsidRPr="00A2564B">
        <w:rPr>
          <w:sz w:val="24"/>
          <w:szCs w:val="24"/>
        </w:rPr>
        <w:t xml:space="preserve"> property.</w:t>
      </w:r>
      <w:r w:rsidRPr="00A2564B">
        <w:rPr>
          <w:sz w:val="24"/>
          <w:szCs w:val="24"/>
          <w:vertAlign w:val="superscript"/>
        </w:rPr>
        <w:endnoteReference w:id="208"/>
      </w:r>
      <w:r w:rsidRPr="00A2564B">
        <w:rPr>
          <w:sz w:val="24"/>
          <w:szCs w:val="24"/>
        </w:rPr>
        <w:t xml:space="preserve"> Put another way, a </w:t>
      </w:r>
      <w:r w:rsidRPr="00A2564B">
        <w:rPr>
          <w:sz w:val="24"/>
          <w:szCs w:val="24"/>
        </w:rPr>
        <w:lastRenderedPageBreak/>
        <w:t xml:space="preserve">financial and non-financial </w:t>
      </w:r>
      <w:r w:rsidRPr="004F79EF">
        <w:rPr>
          <w:noProof/>
          <w:sz w:val="24"/>
          <w:szCs w:val="24"/>
        </w:rPr>
        <w:t>contribution</w:t>
      </w:r>
      <w:r w:rsidRPr="00A2564B">
        <w:rPr>
          <w:sz w:val="24"/>
          <w:szCs w:val="24"/>
        </w:rPr>
        <w:t xml:space="preserve"> to </w:t>
      </w:r>
      <w:r w:rsidRPr="00290571">
        <w:rPr>
          <w:noProof/>
          <w:sz w:val="24"/>
          <w:szCs w:val="24"/>
        </w:rPr>
        <w:t>property</w:t>
      </w:r>
      <w:r w:rsidRPr="00A2564B">
        <w:rPr>
          <w:sz w:val="24"/>
          <w:szCs w:val="24"/>
        </w:rPr>
        <w:t xml:space="preserve"> is different from paying expenses for a property. It is a broader concept. </w:t>
      </w:r>
    </w:p>
    <w:p w:rsidR="00B41B0A" w:rsidRPr="00A2564B" w:rsidRDefault="00B41B0A" w:rsidP="009A0126">
      <w:pPr>
        <w:numPr>
          <w:ilvl w:val="0"/>
          <w:numId w:val="5"/>
        </w:numPr>
        <w:spacing w:after="0" w:line="360" w:lineRule="auto"/>
        <w:jc w:val="both"/>
        <w:rPr>
          <w:sz w:val="24"/>
          <w:szCs w:val="24"/>
        </w:rPr>
      </w:pPr>
      <w:r w:rsidRPr="00A2564B">
        <w:rPr>
          <w:sz w:val="24"/>
          <w:szCs w:val="24"/>
        </w:rPr>
        <w:t>Homemaker and parenting contributions deserve substantial and not token weight.</w:t>
      </w:r>
      <w:r w:rsidRPr="00A2564B">
        <w:rPr>
          <w:sz w:val="24"/>
          <w:szCs w:val="24"/>
          <w:vertAlign w:val="superscript"/>
        </w:rPr>
        <w:endnoteReference w:id="209"/>
      </w:r>
      <w:r w:rsidRPr="00A2564B">
        <w:rPr>
          <w:sz w:val="24"/>
          <w:szCs w:val="24"/>
        </w:rPr>
        <w:t xml:space="preserve"> There is no requirement for a link between homemaker and parenting contributions and any property.</w:t>
      </w:r>
      <w:r w:rsidRPr="00A2564B">
        <w:rPr>
          <w:sz w:val="24"/>
          <w:szCs w:val="24"/>
          <w:vertAlign w:val="superscript"/>
        </w:rPr>
        <w:endnoteReference w:id="210"/>
      </w:r>
      <w:r w:rsidRPr="00A2564B">
        <w:rPr>
          <w:sz w:val="24"/>
          <w:szCs w:val="24"/>
        </w:rPr>
        <w:t xml:space="preserve"> </w:t>
      </w:r>
    </w:p>
    <w:p w:rsidR="00B41B0A" w:rsidRPr="00A2564B" w:rsidRDefault="00B41B0A" w:rsidP="009A0126">
      <w:pPr>
        <w:numPr>
          <w:ilvl w:val="0"/>
          <w:numId w:val="5"/>
        </w:numPr>
        <w:spacing w:after="0" w:line="360" w:lineRule="auto"/>
        <w:jc w:val="both"/>
        <w:rPr>
          <w:sz w:val="24"/>
          <w:szCs w:val="24"/>
        </w:rPr>
      </w:pPr>
      <w:r w:rsidRPr="00A2564B">
        <w:rPr>
          <w:sz w:val="24"/>
          <w:szCs w:val="24"/>
        </w:rPr>
        <w:t xml:space="preserve">There is no rule or presumption about how a court determines contributions. There is no starting point </w:t>
      </w:r>
      <w:r w:rsidR="00FF42A1">
        <w:rPr>
          <w:noProof/>
          <w:sz w:val="24"/>
          <w:szCs w:val="24"/>
        </w:rPr>
        <w:t>for</w:t>
      </w:r>
      <w:r w:rsidRPr="00A2564B">
        <w:rPr>
          <w:sz w:val="24"/>
          <w:szCs w:val="24"/>
        </w:rPr>
        <w:t xml:space="preserve"> a 50/50 division.</w:t>
      </w:r>
      <w:r w:rsidRPr="00A2564B">
        <w:rPr>
          <w:sz w:val="24"/>
          <w:szCs w:val="24"/>
          <w:vertAlign w:val="superscript"/>
        </w:rPr>
        <w:endnoteReference w:id="211"/>
      </w:r>
      <w:r w:rsidRPr="00A2564B">
        <w:rPr>
          <w:sz w:val="24"/>
          <w:szCs w:val="24"/>
        </w:rPr>
        <w:t xml:space="preserve"> The appropriate course is to assess all </w:t>
      </w:r>
      <w:r w:rsidR="00314979" w:rsidRPr="004F79EF">
        <w:rPr>
          <w:noProof/>
          <w:sz w:val="24"/>
          <w:szCs w:val="24"/>
        </w:rPr>
        <w:t>contributions</w:t>
      </w:r>
      <w:r w:rsidR="00314979" w:rsidRPr="00A2564B">
        <w:rPr>
          <w:sz w:val="24"/>
          <w:szCs w:val="24"/>
        </w:rPr>
        <w:t xml:space="preserve"> and</w:t>
      </w:r>
      <w:r w:rsidRPr="00A2564B">
        <w:rPr>
          <w:sz w:val="24"/>
          <w:szCs w:val="24"/>
        </w:rPr>
        <w:t xml:space="preserve"> give them </w:t>
      </w:r>
      <w:r w:rsidR="004F79EF">
        <w:rPr>
          <w:noProof/>
          <w:sz w:val="24"/>
          <w:szCs w:val="24"/>
        </w:rPr>
        <w:t>proper</w:t>
      </w:r>
      <w:r w:rsidRPr="00A2564B">
        <w:rPr>
          <w:sz w:val="24"/>
          <w:szCs w:val="24"/>
        </w:rPr>
        <w:t xml:space="preserve"> weight in the context of the rest of contributions during the marriage and since.</w:t>
      </w:r>
      <w:r w:rsidRPr="00A2564B">
        <w:rPr>
          <w:sz w:val="24"/>
          <w:szCs w:val="24"/>
          <w:vertAlign w:val="superscript"/>
        </w:rPr>
        <w:endnoteReference w:id="212"/>
      </w:r>
      <w:r w:rsidRPr="00A2564B">
        <w:rPr>
          <w:sz w:val="24"/>
          <w:szCs w:val="24"/>
        </w:rPr>
        <w:t xml:space="preserve"> In some cases, a court might give weight to property brought into the </w:t>
      </w:r>
      <w:r w:rsidRPr="004F79EF">
        <w:rPr>
          <w:noProof/>
          <w:sz w:val="24"/>
          <w:szCs w:val="24"/>
        </w:rPr>
        <w:t>marriage</w:t>
      </w:r>
      <w:r w:rsidRPr="00A2564B">
        <w:rPr>
          <w:sz w:val="24"/>
          <w:szCs w:val="24"/>
        </w:rPr>
        <w:t xml:space="preserve"> and the use of that property.</w:t>
      </w:r>
      <w:r w:rsidRPr="00A2564B">
        <w:rPr>
          <w:sz w:val="24"/>
          <w:szCs w:val="24"/>
          <w:vertAlign w:val="superscript"/>
        </w:rPr>
        <w:endnoteReference w:id="213"/>
      </w:r>
    </w:p>
    <w:p w:rsidR="00B41B0A" w:rsidRPr="00A2564B" w:rsidRDefault="00B41B0A" w:rsidP="009A0126">
      <w:pPr>
        <w:numPr>
          <w:ilvl w:val="0"/>
          <w:numId w:val="5"/>
        </w:numPr>
        <w:spacing w:after="0" w:line="360" w:lineRule="auto"/>
        <w:jc w:val="both"/>
        <w:rPr>
          <w:sz w:val="24"/>
          <w:szCs w:val="24"/>
        </w:rPr>
      </w:pPr>
      <w:r w:rsidRPr="00A2564B">
        <w:rPr>
          <w:sz w:val="24"/>
          <w:szCs w:val="24"/>
        </w:rPr>
        <w:t>A court can give weight to different types of contributions, such as a gift or inheritance (included in the list of property).</w:t>
      </w:r>
      <w:r w:rsidRPr="00A2564B">
        <w:rPr>
          <w:sz w:val="24"/>
          <w:szCs w:val="24"/>
          <w:vertAlign w:val="superscript"/>
        </w:rPr>
        <w:endnoteReference w:id="214"/>
      </w:r>
      <w:r w:rsidRPr="00A2564B">
        <w:rPr>
          <w:sz w:val="24"/>
          <w:szCs w:val="24"/>
        </w:rPr>
        <w:t xml:space="preserve"> However, there is a variety of ways to treat gifts and </w:t>
      </w:r>
      <w:r w:rsidRPr="004F79EF">
        <w:rPr>
          <w:noProof/>
          <w:sz w:val="24"/>
          <w:szCs w:val="24"/>
        </w:rPr>
        <w:t>inheritances</w:t>
      </w:r>
      <w:r w:rsidRPr="00A2564B">
        <w:rPr>
          <w:sz w:val="24"/>
          <w:szCs w:val="24"/>
        </w:rPr>
        <w:t xml:space="preserve">. They might be a contribution </w:t>
      </w:r>
      <w:r w:rsidRPr="004F79EF">
        <w:rPr>
          <w:noProof/>
          <w:sz w:val="24"/>
          <w:szCs w:val="24"/>
        </w:rPr>
        <w:t>o</w:t>
      </w:r>
      <w:r w:rsidR="004F79EF">
        <w:rPr>
          <w:noProof/>
          <w:sz w:val="24"/>
          <w:szCs w:val="24"/>
        </w:rPr>
        <w:t>n</w:t>
      </w:r>
      <w:r w:rsidRPr="00A2564B">
        <w:rPr>
          <w:sz w:val="24"/>
          <w:szCs w:val="24"/>
        </w:rPr>
        <w:t xml:space="preserve"> behalf of the person who inherited the funds,</w:t>
      </w:r>
      <w:r w:rsidRPr="00A2564B">
        <w:rPr>
          <w:sz w:val="24"/>
          <w:szCs w:val="24"/>
          <w:vertAlign w:val="superscript"/>
        </w:rPr>
        <w:endnoteReference w:id="215"/>
      </w:r>
      <w:r w:rsidRPr="00A2564B">
        <w:rPr>
          <w:sz w:val="24"/>
          <w:szCs w:val="24"/>
        </w:rPr>
        <w:t xml:space="preserve"> or they might be relevant as part of an adjustment under section 75(2) of the </w:t>
      </w:r>
      <w:r w:rsidRPr="00A2564B">
        <w:rPr>
          <w:i/>
          <w:sz w:val="24"/>
          <w:szCs w:val="24"/>
        </w:rPr>
        <w:t>Act</w:t>
      </w:r>
      <w:r w:rsidRPr="00A2564B">
        <w:rPr>
          <w:sz w:val="24"/>
          <w:szCs w:val="24"/>
        </w:rPr>
        <w:t>.</w:t>
      </w:r>
      <w:r w:rsidRPr="00A2564B">
        <w:rPr>
          <w:sz w:val="24"/>
          <w:szCs w:val="24"/>
          <w:vertAlign w:val="superscript"/>
        </w:rPr>
        <w:endnoteReference w:id="216"/>
      </w:r>
      <w:r w:rsidRPr="00A2564B">
        <w:rPr>
          <w:sz w:val="24"/>
          <w:szCs w:val="24"/>
        </w:rPr>
        <w:t xml:space="preserve"> The intention of the person who bestowed the funds may be </w:t>
      </w:r>
      <w:r w:rsidRPr="004F79EF">
        <w:rPr>
          <w:noProof/>
          <w:sz w:val="24"/>
          <w:szCs w:val="24"/>
        </w:rPr>
        <w:t>relevant</w:t>
      </w:r>
      <w:r w:rsidRPr="00A2564B">
        <w:rPr>
          <w:sz w:val="24"/>
          <w:szCs w:val="24"/>
        </w:rPr>
        <w:t>.</w:t>
      </w:r>
      <w:r w:rsidRPr="00A2564B">
        <w:rPr>
          <w:sz w:val="24"/>
          <w:szCs w:val="24"/>
          <w:vertAlign w:val="superscript"/>
        </w:rPr>
        <w:endnoteReference w:id="217"/>
      </w:r>
    </w:p>
    <w:p w:rsidR="00B41B0A" w:rsidRPr="00A2564B" w:rsidRDefault="00B41B0A" w:rsidP="009A0126">
      <w:pPr>
        <w:numPr>
          <w:ilvl w:val="0"/>
          <w:numId w:val="5"/>
        </w:numPr>
        <w:spacing w:after="0" w:line="360" w:lineRule="auto"/>
        <w:jc w:val="both"/>
        <w:rPr>
          <w:sz w:val="24"/>
          <w:szCs w:val="24"/>
        </w:rPr>
      </w:pPr>
      <w:r w:rsidRPr="00A2564B">
        <w:rPr>
          <w:sz w:val="24"/>
          <w:szCs w:val="24"/>
        </w:rPr>
        <w:t>Contributions do not stop at separation. A Court may give weight to contributions made post-separation. However, consideration of these contributions is in the context of all the other facts and circumstances of the marriage.</w:t>
      </w:r>
      <w:r w:rsidRPr="00A2564B">
        <w:rPr>
          <w:sz w:val="24"/>
          <w:szCs w:val="24"/>
          <w:vertAlign w:val="superscript"/>
        </w:rPr>
        <w:endnoteReference w:id="218"/>
      </w:r>
    </w:p>
    <w:p w:rsidR="00B41B0A" w:rsidRPr="00A2564B" w:rsidRDefault="00B41B0A" w:rsidP="009A0126">
      <w:pPr>
        <w:numPr>
          <w:ilvl w:val="0"/>
          <w:numId w:val="5"/>
        </w:numPr>
        <w:spacing w:after="0" w:line="360" w:lineRule="auto"/>
        <w:jc w:val="both"/>
        <w:rPr>
          <w:sz w:val="24"/>
          <w:szCs w:val="24"/>
        </w:rPr>
      </w:pPr>
      <w:r w:rsidRPr="00A2564B">
        <w:rPr>
          <w:sz w:val="24"/>
          <w:szCs w:val="24"/>
        </w:rPr>
        <w:t>The ‘section 75(2) factors’ include the income, earning capacity and financial resources of each spouse,</w:t>
      </w:r>
      <w:r w:rsidRPr="00A2564B">
        <w:rPr>
          <w:sz w:val="24"/>
          <w:szCs w:val="24"/>
          <w:vertAlign w:val="superscript"/>
        </w:rPr>
        <w:endnoteReference w:id="219"/>
      </w:r>
      <w:r w:rsidRPr="00A2564B">
        <w:rPr>
          <w:sz w:val="24"/>
          <w:szCs w:val="24"/>
        </w:rPr>
        <w:t xml:space="preserve"> age and health of each spouse,</w:t>
      </w:r>
      <w:r w:rsidRPr="00A2564B">
        <w:rPr>
          <w:sz w:val="24"/>
          <w:szCs w:val="24"/>
          <w:vertAlign w:val="superscript"/>
        </w:rPr>
        <w:endnoteReference w:id="220"/>
      </w:r>
      <w:r w:rsidRPr="00A2564B">
        <w:rPr>
          <w:sz w:val="24"/>
          <w:szCs w:val="24"/>
        </w:rPr>
        <w:t xml:space="preserve"> care of children and desire to retain a role as </w:t>
      </w:r>
      <w:r w:rsidR="004F79EF">
        <w:rPr>
          <w:sz w:val="24"/>
          <w:szCs w:val="24"/>
        </w:rPr>
        <w:t xml:space="preserve">a </w:t>
      </w:r>
      <w:r w:rsidRPr="004F79EF">
        <w:rPr>
          <w:noProof/>
          <w:sz w:val="24"/>
          <w:szCs w:val="24"/>
        </w:rPr>
        <w:t>parent</w:t>
      </w:r>
      <w:r w:rsidRPr="00A2564B">
        <w:rPr>
          <w:sz w:val="24"/>
          <w:szCs w:val="24"/>
        </w:rPr>
        <w:t>,</w:t>
      </w:r>
      <w:r w:rsidRPr="00A2564B">
        <w:rPr>
          <w:sz w:val="24"/>
          <w:szCs w:val="24"/>
          <w:vertAlign w:val="superscript"/>
        </w:rPr>
        <w:endnoteReference w:id="221"/>
      </w:r>
      <w:r w:rsidRPr="00A2564B">
        <w:rPr>
          <w:sz w:val="24"/>
          <w:szCs w:val="24"/>
        </w:rPr>
        <w:t xml:space="preserve"> duration of the marriage,</w:t>
      </w:r>
      <w:r w:rsidRPr="00A2564B">
        <w:rPr>
          <w:sz w:val="24"/>
          <w:szCs w:val="24"/>
          <w:vertAlign w:val="superscript"/>
        </w:rPr>
        <w:endnoteReference w:id="222"/>
      </w:r>
      <w:r w:rsidRPr="00A2564B">
        <w:rPr>
          <w:sz w:val="24"/>
          <w:szCs w:val="24"/>
        </w:rPr>
        <w:t xml:space="preserve"> and a reasonable standard of living in all the circumstances.</w:t>
      </w:r>
      <w:r w:rsidRPr="00A2564B">
        <w:rPr>
          <w:sz w:val="24"/>
          <w:szCs w:val="24"/>
          <w:vertAlign w:val="superscript"/>
        </w:rPr>
        <w:endnoteReference w:id="223"/>
      </w:r>
      <w:r w:rsidRPr="00A2564B">
        <w:rPr>
          <w:sz w:val="24"/>
          <w:szCs w:val="24"/>
        </w:rPr>
        <w:t xml:space="preserve"> There is no specific rule about how much any adjustment should be. There is no ‘standard’ adjustment of </w:t>
      </w:r>
      <w:r w:rsidR="002654A9">
        <w:rPr>
          <w:sz w:val="24"/>
          <w:szCs w:val="24"/>
        </w:rPr>
        <w:t>10</w:t>
      </w:r>
      <w:r>
        <w:rPr>
          <w:sz w:val="24"/>
          <w:szCs w:val="24"/>
        </w:rPr>
        <w:t>%</w:t>
      </w:r>
      <w:r w:rsidRPr="00A2564B">
        <w:rPr>
          <w:sz w:val="24"/>
          <w:szCs w:val="24"/>
        </w:rPr>
        <w:t xml:space="preserve"> to 20 </w:t>
      </w:r>
      <w:r>
        <w:rPr>
          <w:sz w:val="24"/>
          <w:szCs w:val="24"/>
        </w:rPr>
        <w:t>%</w:t>
      </w:r>
      <w:r w:rsidRPr="00A2564B">
        <w:rPr>
          <w:sz w:val="24"/>
          <w:szCs w:val="24"/>
        </w:rPr>
        <w:t>.</w:t>
      </w:r>
      <w:r w:rsidRPr="00A2564B">
        <w:rPr>
          <w:sz w:val="24"/>
          <w:szCs w:val="24"/>
          <w:vertAlign w:val="superscript"/>
        </w:rPr>
        <w:endnoteReference w:id="224"/>
      </w:r>
      <w:r w:rsidRPr="00A2564B">
        <w:rPr>
          <w:sz w:val="24"/>
          <w:szCs w:val="24"/>
        </w:rPr>
        <w:t xml:space="preserve"> It is </w:t>
      </w:r>
      <w:r w:rsidR="004F79EF">
        <w:rPr>
          <w:noProof/>
          <w:sz w:val="24"/>
          <w:szCs w:val="24"/>
        </w:rPr>
        <w:t>essential</w:t>
      </w:r>
      <w:r w:rsidRPr="00A2564B">
        <w:rPr>
          <w:sz w:val="24"/>
          <w:szCs w:val="24"/>
        </w:rPr>
        <w:t xml:space="preserve"> to calculate the actual dollar amount of any </w:t>
      </w:r>
      <w:r w:rsidRPr="004F79EF">
        <w:rPr>
          <w:noProof/>
          <w:sz w:val="24"/>
          <w:szCs w:val="24"/>
        </w:rPr>
        <w:t>adjustment</w:t>
      </w:r>
      <w:r w:rsidRPr="00A2564B">
        <w:rPr>
          <w:sz w:val="24"/>
          <w:szCs w:val="24"/>
        </w:rPr>
        <w:t xml:space="preserve"> for the section 75(2) factors,</w:t>
      </w:r>
      <w:r w:rsidRPr="00A2564B">
        <w:rPr>
          <w:sz w:val="24"/>
          <w:szCs w:val="24"/>
          <w:vertAlign w:val="superscript"/>
        </w:rPr>
        <w:t xml:space="preserve"> </w:t>
      </w:r>
      <w:r w:rsidRPr="00A2564B">
        <w:rPr>
          <w:sz w:val="24"/>
          <w:szCs w:val="24"/>
          <w:vertAlign w:val="superscript"/>
        </w:rPr>
        <w:endnoteReference w:id="225"/>
      </w:r>
      <w:r w:rsidRPr="00A2564B">
        <w:rPr>
          <w:sz w:val="24"/>
          <w:szCs w:val="24"/>
        </w:rPr>
        <w:t xml:space="preserve"> as well as the effect of that adjustment on the overall proposed result.</w:t>
      </w:r>
      <w:r w:rsidRPr="00A2564B">
        <w:rPr>
          <w:sz w:val="24"/>
          <w:szCs w:val="24"/>
          <w:vertAlign w:val="superscript"/>
        </w:rPr>
        <w:endnoteReference w:id="226"/>
      </w:r>
      <w:r w:rsidRPr="00A2564B">
        <w:rPr>
          <w:sz w:val="24"/>
          <w:szCs w:val="24"/>
        </w:rPr>
        <w:t xml:space="preserve"> </w:t>
      </w:r>
    </w:p>
    <w:p w:rsidR="00B41B0A" w:rsidRPr="00A2564B" w:rsidRDefault="00B41B0A" w:rsidP="009A0126">
      <w:pPr>
        <w:numPr>
          <w:ilvl w:val="0"/>
          <w:numId w:val="5"/>
        </w:numPr>
        <w:spacing w:after="0" w:line="360" w:lineRule="auto"/>
        <w:jc w:val="both"/>
        <w:rPr>
          <w:sz w:val="24"/>
          <w:szCs w:val="24"/>
        </w:rPr>
      </w:pPr>
      <w:r w:rsidRPr="00A2564B">
        <w:rPr>
          <w:sz w:val="24"/>
          <w:szCs w:val="24"/>
        </w:rPr>
        <w:t xml:space="preserve">Once a court determines an entitlement using the seven </w:t>
      </w:r>
      <w:r w:rsidRPr="004F79EF">
        <w:rPr>
          <w:noProof/>
          <w:sz w:val="24"/>
          <w:szCs w:val="24"/>
        </w:rPr>
        <w:t>factors</w:t>
      </w:r>
      <w:r w:rsidRPr="00A2564B">
        <w:rPr>
          <w:sz w:val="24"/>
          <w:szCs w:val="24"/>
        </w:rPr>
        <w:t xml:space="preserve">, a court may go further and change the amount received by each party based on a fact or </w:t>
      </w:r>
      <w:r w:rsidRPr="00A2564B">
        <w:rPr>
          <w:sz w:val="24"/>
          <w:szCs w:val="24"/>
        </w:rPr>
        <w:lastRenderedPageBreak/>
        <w:t xml:space="preserve">circumstance not mentioned in the </w:t>
      </w:r>
      <w:r w:rsidRPr="00A2564B">
        <w:rPr>
          <w:i/>
          <w:sz w:val="24"/>
          <w:szCs w:val="24"/>
        </w:rPr>
        <w:t>Act</w:t>
      </w:r>
      <w:r w:rsidRPr="00A2564B">
        <w:rPr>
          <w:sz w:val="24"/>
          <w:szCs w:val="24"/>
        </w:rPr>
        <w:t xml:space="preserve">, conditional upon </w:t>
      </w:r>
      <w:r w:rsidR="004F79EF">
        <w:rPr>
          <w:sz w:val="24"/>
          <w:szCs w:val="24"/>
        </w:rPr>
        <w:t xml:space="preserve">the </w:t>
      </w:r>
      <w:r w:rsidRPr="004F79EF">
        <w:rPr>
          <w:noProof/>
          <w:sz w:val="24"/>
          <w:szCs w:val="24"/>
        </w:rPr>
        <w:t>specification</w:t>
      </w:r>
      <w:r w:rsidRPr="00A2564B">
        <w:rPr>
          <w:sz w:val="24"/>
          <w:szCs w:val="24"/>
        </w:rPr>
        <w:t xml:space="preserve"> of the </w:t>
      </w:r>
      <w:r w:rsidRPr="004F79EF">
        <w:rPr>
          <w:noProof/>
          <w:sz w:val="24"/>
          <w:szCs w:val="24"/>
        </w:rPr>
        <w:t>circumstance</w:t>
      </w:r>
      <w:r w:rsidRPr="00A2564B">
        <w:rPr>
          <w:sz w:val="24"/>
          <w:szCs w:val="24"/>
        </w:rPr>
        <w:t xml:space="preserve"> and </w:t>
      </w:r>
      <w:r w:rsidR="004F79EF" w:rsidRPr="004F79EF">
        <w:rPr>
          <w:noProof/>
          <w:sz w:val="24"/>
          <w:szCs w:val="24"/>
        </w:rPr>
        <w:t>transparent</w:t>
      </w:r>
      <w:r w:rsidRPr="00A2564B">
        <w:rPr>
          <w:sz w:val="24"/>
          <w:szCs w:val="24"/>
        </w:rPr>
        <w:t xml:space="preserve"> reasons.</w:t>
      </w:r>
      <w:r w:rsidRPr="00A2564B">
        <w:rPr>
          <w:sz w:val="24"/>
          <w:szCs w:val="24"/>
          <w:vertAlign w:val="superscript"/>
        </w:rPr>
        <w:endnoteReference w:id="227"/>
      </w:r>
    </w:p>
    <w:p w:rsidR="00B41B0A" w:rsidRPr="00A2564B" w:rsidRDefault="00B41B0A" w:rsidP="009A0126">
      <w:pPr>
        <w:numPr>
          <w:ilvl w:val="0"/>
          <w:numId w:val="5"/>
        </w:numPr>
        <w:spacing w:after="0" w:line="360" w:lineRule="auto"/>
        <w:jc w:val="both"/>
        <w:rPr>
          <w:sz w:val="24"/>
          <w:szCs w:val="24"/>
        </w:rPr>
      </w:pPr>
      <w:r w:rsidRPr="00A2564B">
        <w:rPr>
          <w:sz w:val="24"/>
          <w:szCs w:val="24"/>
        </w:rPr>
        <w:t xml:space="preserve">Factors that might be relevant, not mentioned in the seven </w:t>
      </w:r>
      <w:r w:rsidRPr="004F79EF">
        <w:rPr>
          <w:noProof/>
          <w:sz w:val="24"/>
          <w:szCs w:val="24"/>
        </w:rPr>
        <w:t>factors</w:t>
      </w:r>
      <w:r w:rsidRPr="00A2564B">
        <w:rPr>
          <w:sz w:val="24"/>
          <w:szCs w:val="24"/>
        </w:rPr>
        <w:t xml:space="preserve">, </w:t>
      </w:r>
      <w:r w:rsidRPr="00FF42A1">
        <w:rPr>
          <w:noProof/>
          <w:sz w:val="24"/>
          <w:szCs w:val="24"/>
        </w:rPr>
        <w:t>includ</w:t>
      </w:r>
      <w:r w:rsidR="00FF42A1">
        <w:rPr>
          <w:noProof/>
          <w:sz w:val="24"/>
          <w:szCs w:val="24"/>
        </w:rPr>
        <w:t>ing</w:t>
      </w:r>
      <w:r w:rsidRPr="00A2564B">
        <w:rPr>
          <w:sz w:val="24"/>
          <w:szCs w:val="24"/>
        </w:rPr>
        <w:t xml:space="preserve"> a desire for a person to retain a home for the benefit of children,</w:t>
      </w:r>
      <w:r w:rsidRPr="00A2564B">
        <w:rPr>
          <w:sz w:val="24"/>
          <w:szCs w:val="24"/>
          <w:vertAlign w:val="superscript"/>
        </w:rPr>
        <w:endnoteReference w:id="228"/>
      </w:r>
      <w:r w:rsidRPr="00A2564B">
        <w:rPr>
          <w:sz w:val="24"/>
          <w:szCs w:val="24"/>
        </w:rPr>
        <w:t xml:space="preserve"> the emotional impact on a person of having to sell their </w:t>
      </w:r>
      <w:r w:rsidRPr="004F79EF">
        <w:rPr>
          <w:noProof/>
          <w:sz w:val="24"/>
          <w:szCs w:val="24"/>
        </w:rPr>
        <w:t>home</w:t>
      </w:r>
      <w:r w:rsidRPr="00A2564B">
        <w:rPr>
          <w:sz w:val="24"/>
          <w:szCs w:val="24"/>
        </w:rPr>
        <w:t xml:space="preserve"> or the way in which parties have conducted their finances.</w:t>
      </w:r>
      <w:r w:rsidRPr="00A2564B">
        <w:rPr>
          <w:sz w:val="24"/>
          <w:szCs w:val="24"/>
          <w:vertAlign w:val="superscript"/>
        </w:rPr>
        <w:endnoteReference w:id="229"/>
      </w:r>
    </w:p>
    <w:p w:rsidR="00B41B0A" w:rsidRPr="00A2564B" w:rsidRDefault="00B41B0A" w:rsidP="009A0126">
      <w:pPr>
        <w:numPr>
          <w:ilvl w:val="0"/>
          <w:numId w:val="5"/>
        </w:numPr>
        <w:spacing w:after="0" w:line="360" w:lineRule="auto"/>
        <w:jc w:val="both"/>
        <w:rPr>
          <w:sz w:val="24"/>
          <w:szCs w:val="24"/>
        </w:rPr>
      </w:pPr>
      <w:r w:rsidRPr="00A2564B">
        <w:rPr>
          <w:sz w:val="24"/>
          <w:szCs w:val="24"/>
        </w:rPr>
        <w:t xml:space="preserve">Independent </w:t>
      </w:r>
      <w:r w:rsidR="00980F2E">
        <w:rPr>
          <w:noProof/>
          <w:sz w:val="24"/>
          <w:szCs w:val="24"/>
        </w:rPr>
        <w:t>of</w:t>
      </w:r>
      <w:r w:rsidRPr="00A2564B">
        <w:rPr>
          <w:sz w:val="24"/>
          <w:szCs w:val="24"/>
        </w:rPr>
        <w:t xml:space="preserve"> deciding the financial result for each party, a court has the power to determine the mix of property received. For example, a court may </w:t>
      </w:r>
      <w:r w:rsidRPr="004F79EF">
        <w:rPr>
          <w:noProof/>
          <w:sz w:val="24"/>
          <w:szCs w:val="24"/>
        </w:rPr>
        <w:t>de</w:t>
      </w:r>
      <w:r w:rsidR="004F79EF">
        <w:rPr>
          <w:noProof/>
          <w:sz w:val="24"/>
          <w:szCs w:val="24"/>
        </w:rPr>
        <w:t>termin</w:t>
      </w:r>
      <w:r w:rsidRPr="004F79EF">
        <w:rPr>
          <w:noProof/>
          <w:sz w:val="24"/>
          <w:szCs w:val="24"/>
        </w:rPr>
        <w:t>e</w:t>
      </w:r>
      <w:r w:rsidRPr="00A2564B">
        <w:rPr>
          <w:sz w:val="24"/>
          <w:szCs w:val="24"/>
        </w:rPr>
        <w:t xml:space="preserve"> that one party or the other should </w:t>
      </w:r>
      <w:r w:rsidRPr="004F79EF">
        <w:rPr>
          <w:noProof/>
          <w:sz w:val="24"/>
          <w:szCs w:val="24"/>
        </w:rPr>
        <w:t>receive</w:t>
      </w:r>
      <w:r w:rsidRPr="00A2564B">
        <w:rPr>
          <w:sz w:val="24"/>
          <w:szCs w:val="24"/>
        </w:rPr>
        <w:t xml:space="preserve"> their entitlement entirely as superannuation, or a combination of </w:t>
      </w:r>
      <w:r w:rsidRPr="004F79EF">
        <w:rPr>
          <w:noProof/>
          <w:sz w:val="24"/>
          <w:szCs w:val="24"/>
        </w:rPr>
        <w:t>superannuation</w:t>
      </w:r>
      <w:r w:rsidRPr="00A2564B">
        <w:rPr>
          <w:sz w:val="24"/>
          <w:szCs w:val="24"/>
        </w:rPr>
        <w:t xml:space="preserve"> and non-superannuation property, or </w:t>
      </w:r>
      <w:r w:rsidR="004F79EF">
        <w:rPr>
          <w:noProof/>
          <w:sz w:val="24"/>
          <w:szCs w:val="24"/>
        </w:rPr>
        <w:t>sol</w:t>
      </w:r>
      <w:r w:rsidRPr="004F79EF">
        <w:rPr>
          <w:noProof/>
          <w:sz w:val="24"/>
          <w:szCs w:val="24"/>
        </w:rPr>
        <w:t>ely</w:t>
      </w:r>
      <w:r w:rsidRPr="00A2564B">
        <w:rPr>
          <w:sz w:val="24"/>
          <w:szCs w:val="24"/>
        </w:rPr>
        <w:t xml:space="preserve"> as non-superannuation property.</w:t>
      </w:r>
      <w:r w:rsidRPr="00A2564B">
        <w:rPr>
          <w:sz w:val="24"/>
          <w:szCs w:val="24"/>
          <w:vertAlign w:val="superscript"/>
        </w:rPr>
        <w:endnoteReference w:id="230"/>
      </w:r>
    </w:p>
    <w:p w:rsidR="00954E38" w:rsidRPr="000D5826" w:rsidRDefault="00B41B0A" w:rsidP="00462142">
      <w:pPr>
        <w:numPr>
          <w:ilvl w:val="0"/>
          <w:numId w:val="5"/>
        </w:numPr>
        <w:spacing w:after="0" w:line="360" w:lineRule="auto"/>
        <w:jc w:val="both"/>
        <w:rPr>
          <w:sz w:val="24"/>
          <w:szCs w:val="24"/>
        </w:rPr>
      </w:pPr>
      <w:r w:rsidRPr="00A2564B">
        <w:rPr>
          <w:sz w:val="24"/>
          <w:szCs w:val="24"/>
        </w:rPr>
        <w:t xml:space="preserve">Other cases may have similar results or different results. There is no requirement for a court to match, in dollar terms, one </w:t>
      </w:r>
      <w:r w:rsidRPr="004F79EF">
        <w:rPr>
          <w:noProof/>
          <w:sz w:val="24"/>
          <w:szCs w:val="24"/>
        </w:rPr>
        <w:t>case</w:t>
      </w:r>
      <w:r w:rsidRPr="00A2564B">
        <w:rPr>
          <w:sz w:val="24"/>
          <w:szCs w:val="24"/>
        </w:rPr>
        <w:t xml:space="preserve"> with another. However, a court should strive for consistency</w:t>
      </w:r>
      <w:r w:rsidR="004F79EF">
        <w:rPr>
          <w:sz w:val="24"/>
          <w:szCs w:val="24"/>
        </w:rPr>
        <w:t>,</w:t>
      </w:r>
      <w:r w:rsidRPr="00A2564B">
        <w:rPr>
          <w:sz w:val="24"/>
          <w:szCs w:val="24"/>
        </w:rPr>
        <w:t xml:space="preserve"> </w:t>
      </w:r>
      <w:r w:rsidRPr="004F79EF">
        <w:rPr>
          <w:noProof/>
          <w:sz w:val="24"/>
          <w:szCs w:val="24"/>
        </w:rPr>
        <w:t>and</w:t>
      </w:r>
      <w:r w:rsidRPr="00A2564B">
        <w:rPr>
          <w:sz w:val="24"/>
          <w:szCs w:val="24"/>
        </w:rPr>
        <w:t xml:space="preserve"> other </w:t>
      </w:r>
      <w:r w:rsidRPr="004F79EF">
        <w:rPr>
          <w:noProof/>
          <w:sz w:val="24"/>
          <w:szCs w:val="24"/>
        </w:rPr>
        <w:t>cases</w:t>
      </w:r>
      <w:r w:rsidRPr="00A2564B">
        <w:rPr>
          <w:sz w:val="24"/>
          <w:szCs w:val="24"/>
        </w:rPr>
        <w:t xml:space="preserve"> can help inform a court to achieve this.</w:t>
      </w:r>
      <w:r w:rsidRPr="00A2564B">
        <w:rPr>
          <w:sz w:val="24"/>
          <w:szCs w:val="24"/>
          <w:vertAlign w:val="superscript"/>
        </w:rPr>
        <w:endnoteReference w:id="231"/>
      </w:r>
    </w:p>
    <w:p w:rsidR="003354AD" w:rsidRPr="000D5826" w:rsidRDefault="00596AF2" w:rsidP="000D5826">
      <w:pPr>
        <w:pStyle w:val="ListParagraph"/>
        <w:numPr>
          <w:ilvl w:val="0"/>
          <w:numId w:val="52"/>
        </w:numPr>
        <w:spacing w:after="0" w:line="360" w:lineRule="auto"/>
        <w:jc w:val="both"/>
        <w:rPr>
          <w:sz w:val="24"/>
          <w:szCs w:val="24"/>
        </w:rPr>
      </w:pPr>
      <w:r w:rsidRPr="003354AD">
        <w:rPr>
          <w:sz w:val="24"/>
          <w:szCs w:val="24"/>
        </w:rPr>
        <w:t xml:space="preserve">The </w:t>
      </w:r>
      <w:r w:rsidR="000D5826">
        <w:rPr>
          <w:sz w:val="24"/>
          <w:szCs w:val="24"/>
        </w:rPr>
        <w:t>next</w:t>
      </w:r>
      <w:r w:rsidRPr="003354AD">
        <w:rPr>
          <w:sz w:val="24"/>
          <w:szCs w:val="24"/>
        </w:rPr>
        <w:t xml:space="preserve"> part of this proposed guide contains (physically or electronic) worksheets. The start point is a schedule of the parties’ current assets, liabilities, and superannuation. </w:t>
      </w:r>
      <w:r w:rsidR="00600552" w:rsidRPr="003354AD">
        <w:rPr>
          <w:sz w:val="24"/>
          <w:szCs w:val="24"/>
        </w:rPr>
        <w:t>Next</w:t>
      </w:r>
      <w:r w:rsidRPr="003354AD">
        <w:rPr>
          <w:sz w:val="24"/>
          <w:szCs w:val="24"/>
        </w:rPr>
        <w:t xml:space="preserve"> is a </w:t>
      </w:r>
      <w:r w:rsidRPr="003354AD">
        <w:rPr>
          <w:noProof/>
          <w:sz w:val="24"/>
          <w:szCs w:val="24"/>
        </w:rPr>
        <w:t>percentage</w:t>
      </w:r>
      <w:r w:rsidR="004F79EF" w:rsidRPr="003354AD">
        <w:rPr>
          <w:noProof/>
          <w:sz w:val="24"/>
          <w:szCs w:val="24"/>
        </w:rPr>
        <w:t>/</w:t>
      </w:r>
      <w:r w:rsidRPr="003354AD">
        <w:rPr>
          <w:noProof/>
          <w:sz w:val="24"/>
          <w:szCs w:val="24"/>
        </w:rPr>
        <w:t>dollar</w:t>
      </w:r>
      <w:r w:rsidRPr="003354AD">
        <w:rPr>
          <w:sz w:val="24"/>
          <w:szCs w:val="24"/>
        </w:rPr>
        <w:t xml:space="preserve"> entitlement component</w:t>
      </w:r>
      <w:r w:rsidR="00600552" w:rsidRPr="003354AD">
        <w:rPr>
          <w:sz w:val="24"/>
          <w:szCs w:val="24"/>
        </w:rPr>
        <w:t xml:space="preserve"> worksheet</w:t>
      </w:r>
      <w:r w:rsidRPr="003354AD">
        <w:rPr>
          <w:sz w:val="24"/>
          <w:szCs w:val="24"/>
        </w:rPr>
        <w:t xml:space="preserve"> using the relevant components of section 79(4) and 75(2). Last is a composition worksheet showing </w:t>
      </w:r>
      <w:r w:rsidR="00600552" w:rsidRPr="003354AD">
        <w:rPr>
          <w:sz w:val="24"/>
          <w:szCs w:val="24"/>
        </w:rPr>
        <w:t xml:space="preserve">which property </w:t>
      </w:r>
      <w:r w:rsidR="00600552" w:rsidRPr="003354AD">
        <w:rPr>
          <w:noProof/>
          <w:sz w:val="24"/>
          <w:szCs w:val="24"/>
        </w:rPr>
        <w:t>and</w:t>
      </w:r>
      <w:r w:rsidR="00600552" w:rsidRPr="003354AD">
        <w:rPr>
          <w:sz w:val="24"/>
          <w:szCs w:val="24"/>
        </w:rPr>
        <w:t xml:space="preserve"> adjustment required, showing </w:t>
      </w:r>
      <w:r w:rsidRPr="003354AD">
        <w:rPr>
          <w:sz w:val="24"/>
          <w:szCs w:val="24"/>
        </w:rPr>
        <w:t xml:space="preserve">the effect of the </w:t>
      </w:r>
      <w:r w:rsidRPr="003354AD">
        <w:rPr>
          <w:noProof/>
          <w:sz w:val="24"/>
          <w:szCs w:val="24"/>
        </w:rPr>
        <w:t>outcome</w:t>
      </w:r>
      <w:r w:rsidRPr="003354AD">
        <w:rPr>
          <w:sz w:val="24"/>
          <w:szCs w:val="24"/>
        </w:rPr>
        <w:t xml:space="preserve">. </w:t>
      </w:r>
    </w:p>
    <w:p w:rsidR="003354AD" w:rsidRPr="001002F5" w:rsidRDefault="00596AF2" w:rsidP="001002F5">
      <w:pPr>
        <w:pStyle w:val="ListParagraph"/>
        <w:numPr>
          <w:ilvl w:val="0"/>
          <w:numId w:val="52"/>
        </w:numPr>
        <w:spacing w:after="0" w:line="360" w:lineRule="auto"/>
        <w:jc w:val="both"/>
        <w:rPr>
          <w:sz w:val="24"/>
          <w:szCs w:val="24"/>
        </w:rPr>
      </w:pPr>
      <w:r w:rsidRPr="003354AD">
        <w:rPr>
          <w:sz w:val="24"/>
          <w:szCs w:val="24"/>
        </w:rPr>
        <w:t xml:space="preserve">The last part reflects the Attorney-General’s parenting document containing example </w:t>
      </w:r>
      <w:r w:rsidRPr="003354AD">
        <w:rPr>
          <w:noProof/>
          <w:sz w:val="24"/>
          <w:szCs w:val="24"/>
        </w:rPr>
        <w:t>plain</w:t>
      </w:r>
      <w:r w:rsidRPr="003354AD">
        <w:rPr>
          <w:sz w:val="24"/>
          <w:szCs w:val="24"/>
        </w:rPr>
        <w:t xml:space="preserve"> English parenting order. </w:t>
      </w:r>
      <w:bookmarkStart w:id="49" w:name="_Hlk510882899"/>
      <w:r w:rsidRPr="003354AD">
        <w:rPr>
          <w:sz w:val="24"/>
          <w:szCs w:val="24"/>
        </w:rPr>
        <w:t xml:space="preserve">Getting consistency of use is achievable by: </w:t>
      </w:r>
    </w:p>
    <w:p w:rsidR="003354AD" w:rsidRDefault="00596AF2" w:rsidP="009A0126">
      <w:pPr>
        <w:pStyle w:val="ListParagraph"/>
        <w:numPr>
          <w:ilvl w:val="1"/>
          <w:numId w:val="52"/>
        </w:numPr>
        <w:spacing w:after="0" w:line="360" w:lineRule="auto"/>
        <w:jc w:val="both"/>
        <w:rPr>
          <w:sz w:val="24"/>
          <w:szCs w:val="24"/>
        </w:rPr>
      </w:pPr>
      <w:r w:rsidRPr="003354AD">
        <w:rPr>
          <w:sz w:val="24"/>
          <w:szCs w:val="24"/>
        </w:rPr>
        <w:t xml:space="preserve">Incorporating into the </w:t>
      </w:r>
      <w:r w:rsidRPr="003354AD">
        <w:rPr>
          <w:i/>
          <w:sz w:val="24"/>
          <w:szCs w:val="24"/>
        </w:rPr>
        <w:t>Act</w:t>
      </w:r>
      <w:r w:rsidRPr="003354AD">
        <w:rPr>
          <w:sz w:val="24"/>
          <w:szCs w:val="24"/>
        </w:rPr>
        <w:t xml:space="preserve"> and </w:t>
      </w:r>
      <w:r w:rsidRPr="003354AD">
        <w:rPr>
          <w:i/>
          <w:sz w:val="24"/>
          <w:szCs w:val="24"/>
        </w:rPr>
        <w:t>rules</w:t>
      </w:r>
      <w:r w:rsidRPr="003354AD">
        <w:rPr>
          <w:sz w:val="24"/>
          <w:szCs w:val="24"/>
        </w:rPr>
        <w:t xml:space="preserve">, and </w:t>
      </w:r>
    </w:p>
    <w:p w:rsidR="00954E38" w:rsidRPr="000D5826" w:rsidRDefault="00596AF2" w:rsidP="00462142">
      <w:pPr>
        <w:pStyle w:val="ListParagraph"/>
        <w:numPr>
          <w:ilvl w:val="1"/>
          <w:numId w:val="52"/>
        </w:numPr>
        <w:spacing w:after="0" w:line="360" w:lineRule="auto"/>
        <w:jc w:val="both"/>
        <w:rPr>
          <w:sz w:val="24"/>
          <w:szCs w:val="24"/>
        </w:rPr>
      </w:pPr>
      <w:r w:rsidRPr="003354AD">
        <w:rPr>
          <w:sz w:val="24"/>
          <w:szCs w:val="24"/>
        </w:rPr>
        <w:t xml:space="preserve">Widespread education. </w:t>
      </w:r>
      <w:bookmarkEnd w:id="49"/>
    </w:p>
    <w:p w:rsidR="00596AF2" w:rsidRPr="003354AD" w:rsidRDefault="00886CBB" w:rsidP="009A0126">
      <w:pPr>
        <w:pStyle w:val="ListParagraph"/>
        <w:numPr>
          <w:ilvl w:val="0"/>
          <w:numId w:val="52"/>
        </w:numPr>
        <w:spacing w:after="0" w:line="360" w:lineRule="auto"/>
        <w:jc w:val="both"/>
        <w:rPr>
          <w:sz w:val="24"/>
          <w:szCs w:val="24"/>
        </w:rPr>
      </w:pPr>
      <w:r w:rsidRPr="003354AD">
        <w:rPr>
          <w:sz w:val="24"/>
          <w:szCs w:val="24"/>
        </w:rPr>
        <w:t>Key amendments</w:t>
      </w:r>
      <w:r w:rsidR="000D5826">
        <w:rPr>
          <w:sz w:val="24"/>
          <w:szCs w:val="24"/>
        </w:rPr>
        <w:t xml:space="preserve"> to implement a guide</w:t>
      </w:r>
      <w:r w:rsidRPr="003354AD">
        <w:rPr>
          <w:sz w:val="24"/>
          <w:szCs w:val="24"/>
        </w:rPr>
        <w:t xml:space="preserve"> include the following: </w:t>
      </w:r>
    </w:p>
    <w:p w:rsidR="003354AD" w:rsidRPr="001002F5" w:rsidRDefault="00886CBB" w:rsidP="001002F5">
      <w:pPr>
        <w:pStyle w:val="ListParagraph"/>
        <w:numPr>
          <w:ilvl w:val="0"/>
          <w:numId w:val="28"/>
        </w:numPr>
        <w:spacing w:after="0" w:line="360" w:lineRule="auto"/>
        <w:jc w:val="both"/>
        <w:rPr>
          <w:sz w:val="24"/>
          <w:szCs w:val="24"/>
        </w:rPr>
      </w:pPr>
      <w:r>
        <w:rPr>
          <w:sz w:val="24"/>
          <w:szCs w:val="24"/>
        </w:rPr>
        <w:t xml:space="preserve">Incorporating into section 79 of the </w:t>
      </w:r>
      <w:r>
        <w:rPr>
          <w:i/>
          <w:sz w:val="24"/>
          <w:szCs w:val="24"/>
        </w:rPr>
        <w:t>Act</w:t>
      </w:r>
      <w:r>
        <w:rPr>
          <w:sz w:val="24"/>
          <w:szCs w:val="24"/>
        </w:rPr>
        <w:t xml:space="preserve"> a provision requiring parties to </w:t>
      </w:r>
      <w:r w:rsidR="00307729">
        <w:rPr>
          <w:sz w:val="24"/>
          <w:szCs w:val="24"/>
        </w:rPr>
        <w:t>consider and</w:t>
      </w:r>
      <w:r>
        <w:rPr>
          <w:sz w:val="24"/>
          <w:szCs w:val="24"/>
        </w:rPr>
        <w:t xml:space="preserve"> use their best endeavours to complete the worksheet components of, </w:t>
      </w:r>
      <w:r w:rsidRPr="004F79EF">
        <w:rPr>
          <w:noProof/>
          <w:sz w:val="24"/>
          <w:szCs w:val="24"/>
        </w:rPr>
        <w:t>a statutory</w:t>
      </w:r>
      <w:r>
        <w:rPr>
          <w:sz w:val="24"/>
          <w:szCs w:val="24"/>
        </w:rPr>
        <w:t xml:space="preserve"> guidance document.</w:t>
      </w:r>
    </w:p>
    <w:p w:rsidR="003354AD" w:rsidRPr="000D5826" w:rsidRDefault="00F73D41" w:rsidP="000D5826">
      <w:pPr>
        <w:pStyle w:val="ListParagraph"/>
        <w:numPr>
          <w:ilvl w:val="0"/>
          <w:numId w:val="28"/>
        </w:numPr>
        <w:spacing w:after="0" w:line="360" w:lineRule="auto"/>
        <w:jc w:val="both"/>
        <w:rPr>
          <w:sz w:val="24"/>
          <w:szCs w:val="24"/>
        </w:rPr>
      </w:pPr>
      <w:r>
        <w:rPr>
          <w:sz w:val="24"/>
          <w:szCs w:val="24"/>
        </w:rPr>
        <w:lastRenderedPageBreak/>
        <w:t xml:space="preserve">Adding an obligation in section 79 of the </w:t>
      </w:r>
      <w:r>
        <w:rPr>
          <w:i/>
          <w:sz w:val="24"/>
          <w:szCs w:val="24"/>
        </w:rPr>
        <w:t>Act</w:t>
      </w:r>
      <w:r>
        <w:rPr>
          <w:sz w:val="24"/>
          <w:szCs w:val="24"/>
        </w:rPr>
        <w:t xml:space="preserve"> for legal practitioners to provide a client with a copy of the statutory guidance document, and to complete the relevant worksheets (and hold on file and update) as soon as practicable. </w:t>
      </w:r>
      <w:r w:rsidR="00886CBB">
        <w:rPr>
          <w:sz w:val="24"/>
          <w:szCs w:val="24"/>
        </w:rPr>
        <w:t xml:space="preserve"> </w:t>
      </w:r>
    </w:p>
    <w:p w:rsidR="003354AD" w:rsidRPr="008901C8" w:rsidRDefault="00886CBB" w:rsidP="008901C8">
      <w:pPr>
        <w:pStyle w:val="ListParagraph"/>
        <w:numPr>
          <w:ilvl w:val="0"/>
          <w:numId w:val="28"/>
        </w:numPr>
        <w:spacing w:after="0" w:line="360" w:lineRule="auto"/>
        <w:jc w:val="both"/>
        <w:rPr>
          <w:sz w:val="24"/>
          <w:szCs w:val="24"/>
        </w:rPr>
      </w:pPr>
      <w:r w:rsidRPr="008901C8">
        <w:rPr>
          <w:sz w:val="24"/>
          <w:szCs w:val="24"/>
        </w:rPr>
        <w:t xml:space="preserve">Amending Part 10.4 of the </w:t>
      </w:r>
      <w:r w:rsidRPr="008901C8">
        <w:rPr>
          <w:i/>
          <w:sz w:val="24"/>
          <w:szCs w:val="24"/>
        </w:rPr>
        <w:t>Family Law Rules 2004</w:t>
      </w:r>
      <w:r w:rsidRPr="008901C8">
        <w:rPr>
          <w:sz w:val="24"/>
          <w:szCs w:val="24"/>
        </w:rPr>
        <w:t xml:space="preserve"> (Cth) </w:t>
      </w:r>
      <w:r w:rsidR="00F73D41" w:rsidRPr="008901C8">
        <w:rPr>
          <w:sz w:val="24"/>
          <w:szCs w:val="24"/>
        </w:rPr>
        <w:t>and the ‘Application for consent orders’ form to incorporate worksheets.</w:t>
      </w:r>
    </w:p>
    <w:p w:rsidR="00F73D41" w:rsidRPr="008901C8" w:rsidRDefault="00F73D41" w:rsidP="009A0126">
      <w:pPr>
        <w:pStyle w:val="ListParagraph"/>
        <w:numPr>
          <w:ilvl w:val="0"/>
          <w:numId w:val="28"/>
        </w:numPr>
        <w:spacing w:after="0" w:line="360" w:lineRule="auto"/>
        <w:jc w:val="both"/>
        <w:rPr>
          <w:sz w:val="24"/>
          <w:szCs w:val="24"/>
        </w:rPr>
      </w:pPr>
      <w:r w:rsidRPr="008901C8">
        <w:rPr>
          <w:sz w:val="24"/>
          <w:szCs w:val="24"/>
        </w:rPr>
        <w:t xml:space="preserve">Amending rules 2.02 and 13.05 of the </w:t>
      </w:r>
      <w:r w:rsidRPr="008901C8">
        <w:rPr>
          <w:i/>
          <w:sz w:val="24"/>
          <w:szCs w:val="24"/>
        </w:rPr>
        <w:t xml:space="preserve">Family Law Rules 2004, </w:t>
      </w:r>
      <w:r w:rsidRPr="008901C8">
        <w:rPr>
          <w:noProof/>
          <w:sz w:val="24"/>
          <w:szCs w:val="24"/>
        </w:rPr>
        <w:t>rule</w:t>
      </w:r>
      <w:r w:rsidRPr="008901C8">
        <w:rPr>
          <w:sz w:val="24"/>
          <w:szCs w:val="24"/>
        </w:rPr>
        <w:t xml:space="preserve"> 24.02 of the </w:t>
      </w:r>
      <w:r w:rsidRPr="008901C8">
        <w:rPr>
          <w:i/>
          <w:sz w:val="24"/>
          <w:szCs w:val="24"/>
        </w:rPr>
        <w:t>Federal Circuit Court Rules 2001</w:t>
      </w:r>
      <w:r w:rsidRPr="008901C8">
        <w:rPr>
          <w:sz w:val="24"/>
          <w:szCs w:val="24"/>
        </w:rPr>
        <w:t xml:space="preserve"> (Cth) and the ‘Financial Statement’ document </w:t>
      </w:r>
      <w:r w:rsidR="004F79EF" w:rsidRPr="008901C8">
        <w:rPr>
          <w:sz w:val="24"/>
          <w:szCs w:val="24"/>
        </w:rPr>
        <w:t>to enable annexure of</w:t>
      </w:r>
      <w:r w:rsidRPr="008901C8">
        <w:rPr>
          <w:sz w:val="24"/>
          <w:szCs w:val="24"/>
        </w:rPr>
        <w:t xml:space="preserve"> each party’s calculation of their entitlements to their financial statement. </w:t>
      </w:r>
    </w:p>
    <w:p w:rsidR="00F73D41" w:rsidRPr="008901C8" w:rsidRDefault="00F73D41" w:rsidP="009A0126">
      <w:pPr>
        <w:pStyle w:val="ListParagraph"/>
        <w:numPr>
          <w:ilvl w:val="0"/>
          <w:numId w:val="28"/>
        </w:numPr>
        <w:spacing w:after="0" w:line="360" w:lineRule="auto"/>
        <w:jc w:val="both"/>
        <w:rPr>
          <w:sz w:val="24"/>
          <w:szCs w:val="24"/>
        </w:rPr>
      </w:pPr>
      <w:r w:rsidRPr="008901C8">
        <w:rPr>
          <w:sz w:val="24"/>
          <w:szCs w:val="24"/>
        </w:rPr>
        <w:t xml:space="preserve">Adding to regulation 28 of the </w:t>
      </w:r>
      <w:r w:rsidRPr="008901C8">
        <w:rPr>
          <w:i/>
          <w:sz w:val="24"/>
          <w:szCs w:val="24"/>
        </w:rPr>
        <w:t>Family Law (Family Dispute Regulations) 2008</w:t>
      </w:r>
      <w:r w:rsidRPr="008901C8">
        <w:rPr>
          <w:sz w:val="24"/>
          <w:szCs w:val="24"/>
        </w:rPr>
        <w:t xml:space="preserve"> an obligation for FDR practitioners to provide the </w:t>
      </w:r>
      <w:r w:rsidRPr="008901C8">
        <w:rPr>
          <w:noProof/>
          <w:sz w:val="24"/>
          <w:szCs w:val="24"/>
        </w:rPr>
        <w:t>statutory</w:t>
      </w:r>
      <w:r w:rsidRPr="008901C8">
        <w:rPr>
          <w:sz w:val="24"/>
          <w:szCs w:val="24"/>
        </w:rPr>
        <w:t xml:space="preserve"> guidance document to parties before family dispute resolution.</w:t>
      </w:r>
    </w:p>
    <w:p w:rsidR="008901C8" w:rsidRPr="000D5826" w:rsidRDefault="00F73D41" w:rsidP="000D5826">
      <w:pPr>
        <w:pStyle w:val="ListParagraph"/>
        <w:numPr>
          <w:ilvl w:val="0"/>
          <w:numId w:val="28"/>
        </w:numPr>
        <w:spacing w:after="0" w:line="360" w:lineRule="auto"/>
        <w:jc w:val="both"/>
        <w:rPr>
          <w:sz w:val="24"/>
          <w:szCs w:val="24"/>
        </w:rPr>
      </w:pPr>
      <w:r w:rsidRPr="008901C8">
        <w:rPr>
          <w:sz w:val="24"/>
          <w:szCs w:val="24"/>
        </w:rPr>
        <w:t>Adding to the National Mediator Accreditation System – Practice Standards a requirement for Nationally Accredited Mediators to provide the information to parties</w:t>
      </w:r>
      <w:r w:rsidR="008901C8">
        <w:rPr>
          <w:sz w:val="24"/>
          <w:szCs w:val="24"/>
        </w:rPr>
        <w:t>.</w:t>
      </w:r>
      <w:r w:rsidRPr="008901C8">
        <w:rPr>
          <w:sz w:val="24"/>
          <w:szCs w:val="24"/>
        </w:rPr>
        <w:t xml:space="preserve"> </w:t>
      </w:r>
    </w:p>
    <w:p w:rsidR="00B41B0A" w:rsidRPr="003354AD" w:rsidRDefault="00F73D41" w:rsidP="000D5826">
      <w:pPr>
        <w:pStyle w:val="ListParagraph"/>
        <w:numPr>
          <w:ilvl w:val="0"/>
          <w:numId w:val="52"/>
        </w:numPr>
        <w:spacing w:after="0" w:line="360" w:lineRule="auto"/>
        <w:jc w:val="both"/>
        <w:rPr>
          <w:sz w:val="24"/>
          <w:szCs w:val="24"/>
        </w:rPr>
      </w:pPr>
      <w:r w:rsidRPr="003354AD">
        <w:rPr>
          <w:sz w:val="24"/>
          <w:szCs w:val="24"/>
        </w:rPr>
        <w:t>Achieving consistency requires</w:t>
      </w:r>
      <w:r w:rsidR="000D5826">
        <w:rPr>
          <w:sz w:val="24"/>
          <w:szCs w:val="24"/>
        </w:rPr>
        <w:t xml:space="preserve"> substantial and ongoing</w:t>
      </w:r>
      <w:r w:rsidRPr="003354AD">
        <w:rPr>
          <w:sz w:val="24"/>
          <w:szCs w:val="24"/>
        </w:rPr>
        <w:t xml:space="preserve"> education</w:t>
      </w:r>
      <w:r w:rsidR="00676DD6" w:rsidRPr="003354AD">
        <w:rPr>
          <w:sz w:val="24"/>
          <w:szCs w:val="24"/>
        </w:rPr>
        <w:t xml:space="preserve"> to (at the minimum) the suggested following stakeholders:</w:t>
      </w:r>
    </w:p>
    <w:p w:rsidR="00307729" w:rsidRDefault="00F73D41" w:rsidP="000D5826">
      <w:pPr>
        <w:spacing w:after="0" w:line="360" w:lineRule="auto"/>
      </w:pPr>
      <w:r>
        <w:rPr>
          <w:noProof/>
          <w:lang w:eastAsia="en-AU"/>
        </w:rPr>
        <w:lastRenderedPageBreak/>
        <w:drawing>
          <wp:inline distT="0" distB="0" distL="0" distR="0">
            <wp:extent cx="5638800" cy="4236720"/>
            <wp:effectExtent l="0" t="0" r="0" b="0"/>
            <wp:docPr id="19" name="Diagram 19"/>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596AF2" w:rsidRPr="00676DD6" w:rsidRDefault="00676DD6" w:rsidP="00307729">
      <w:r w:rsidRPr="00676DD6">
        <w:t>The recommendations therefore are:</w:t>
      </w:r>
    </w:p>
    <w:tbl>
      <w:tblPr>
        <w:tblStyle w:val="TableGrid"/>
        <w:tblW w:w="0" w:type="auto"/>
        <w:tblLook w:val="04A0"/>
      </w:tblPr>
      <w:tblGrid>
        <w:gridCol w:w="9016"/>
      </w:tblGrid>
      <w:tr w:rsidR="00596AF2" w:rsidTr="00596AF2">
        <w:tc>
          <w:tcPr>
            <w:tcW w:w="9016" w:type="dxa"/>
          </w:tcPr>
          <w:p w:rsidR="00596AF2" w:rsidRPr="0022575B" w:rsidRDefault="00596AF2" w:rsidP="00462142">
            <w:pPr>
              <w:pStyle w:val="Heading3"/>
              <w:spacing w:before="0" w:line="360" w:lineRule="auto"/>
              <w:outlineLvl w:val="2"/>
              <w:rPr>
                <w:i/>
                <w:color w:val="auto"/>
              </w:rPr>
            </w:pPr>
            <w:bookmarkStart w:id="50" w:name="_Toc512895956"/>
            <w:r w:rsidRPr="008F1051">
              <w:rPr>
                <w:i/>
                <w:color w:val="auto"/>
              </w:rPr>
              <w:t xml:space="preserve">Recommendation </w:t>
            </w:r>
            <w:r>
              <w:rPr>
                <w:i/>
                <w:color w:val="auto"/>
              </w:rPr>
              <w:t>1</w:t>
            </w:r>
            <w:r w:rsidR="00886CBB">
              <w:rPr>
                <w:i/>
                <w:color w:val="auto"/>
              </w:rPr>
              <w:t>2</w:t>
            </w:r>
            <w:bookmarkEnd w:id="50"/>
          </w:p>
          <w:p w:rsidR="00596AF2" w:rsidRPr="00954E38" w:rsidRDefault="00596AF2" w:rsidP="00954E38">
            <w:pPr>
              <w:spacing w:line="360" w:lineRule="auto"/>
              <w:jc w:val="both"/>
              <w:rPr>
                <w:i/>
                <w:sz w:val="24"/>
                <w:szCs w:val="24"/>
              </w:rPr>
            </w:pPr>
            <w:r>
              <w:rPr>
                <w:i/>
                <w:sz w:val="24"/>
                <w:szCs w:val="24"/>
              </w:rPr>
              <w:t xml:space="preserve">That the Commission recommend insertion into the Act and the Rules provisions </w:t>
            </w:r>
            <w:r w:rsidR="00DC3AE3">
              <w:rPr>
                <w:i/>
                <w:sz w:val="24"/>
                <w:szCs w:val="24"/>
              </w:rPr>
              <w:t xml:space="preserve">enabling a property settlement guidance document, then mandating </w:t>
            </w:r>
            <w:r w:rsidR="002654A9">
              <w:rPr>
                <w:i/>
                <w:sz w:val="24"/>
                <w:szCs w:val="24"/>
              </w:rPr>
              <w:t xml:space="preserve">the </w:t>
            </w:r>
            <w:r w:rsidR="00DC3AE3" w:rsidRPr="002654A9">
              <w:rPr>
                <w:i/>
                <w:noProof/>
                <w:sz w:val="24"/>
                <w:szCs w:val="24"/>
              </w:rPr>
              <w:t>use</w:t>
            </w:r>
            <w:r w:rsidR="00DC3AE3">
              <w:rPr>
                <w:i/>
                <w:sz w:val="24"/>
                <w:szCs w:val="24"/>
              </w:rPr>
              <w:t xml:space="preserve"> of that guidance in consent and contested property applications.</w:t>
            </w:r>
            <w:r>
              <w:rPr>
                <w:i/>
                <w:sz w:val="24"/>
                <w:szCs w:val="24"/>
              </w:rPr>
              <w:t xml:space="preserve"> </w:t>
            </w:r>
          </w:p>
        </w:tc>
      </w:tr>
    </w:tbl>
    <w:p w:rsidR="00596AF2" w:rsidRDefault="00596AF2" w:rsidP="00462142">
      <w:pPr>
        <w:spacing w:after="0" w:line="360" w:lineRule="auto"/>
      </w:pPr>
      <w:bookmarkStart w:id="51" w:name="_Hlk510883265"/>
    </w:p>
    <w:tbl>
      <w:tblPr>
        <w:tblStyle w:val="TableGrid"/>
        <w:tblW w:w="0" w:type="auto"/>
        <w:tblLook w:val="04A0"/>
      </w:tblPr>
      <w:tblGrid>
        <w:gridCol w:w="9016"/>
      </w:tblGrid>
      <w:tr w:rsidR="00DC3AE3" w:rsidTr="00676DD6">
        <w:tc>
          <w:tcPr>
            <w:tcW w:w="9016" w:type="dxa"/>
          </w:tcPr>
          <w:p w:rsidR="00DC3AE3" w:rsidRPr="0022575B" w:rsidRDefault="00DC3AE3" w:rsidP="00462142">
            <w:pPr>
              <w:pStyle w:val="Heading3"/>
              <w:spacing w:before="0" w:line="360" w:lineRule="auto"/>
              <w:outlineLvl w:val="2"/>
              <w:rPr>
                <w:i/>
                <w:color w:val="auto"/>
              </w:rPr>
            </w:pPr>
            <w:bookmarkStart w:id="52" w:name="_Toc512895957"/>
            <w:r w:rsidRPr="008F1051">
              <w:rPr>
                <w:i/>
                <w:color w:val="auto"/>
              </w:rPr>
              <w:t xml:space="preserve">Recommendation </w:t>
            </w:r>
            <w:r>
              <w:rPr>
                <w:i/>
                <w:color w:val="auto"/>
              </w:rPr>
              <w:t>1</w:t>
            </w:r>
            <w:r w:rsidR="00886CBB">
              <w:rPr>
                <w:i/>
                <w:color w:val="auto"/>
              </w:rPr>
              <w:t>3</w:t>
            </w:r>
            <w:bookmarkEnd w:id="52"/>
          </w:p>
          <w:p w:rsidR="00DC3AE3" w:rsidRPr="00954E38" w:rsidRDefault="00DC3AE3" w:rsidP="00954E38">
            <w:pPr>
              <w:spacing w:line="360" w:lineRule="auto"/>
              <w:jc w:val="both"/>
              <w:rPr>
                <w:i/>
                <w:sz w:val="24"/>
                <w:szCs w:val="24"/>
              </w:rPr>
            </w:pPr>
            <w:r w:rsidRPr="00980F2E">
              <w:rPr>
                <w:i/>
                <w:noProof/>
                <w:sz w:val="24"/>
                <w:szCs w:val="24"/>
              </w:rPr>
              <w:t xml:space="preserve">That the Commission recommend </w:t>
            </w:r>
            <w:r w:rsidR="00886CBB" w:rsidRPr="00980F2E">
              <w:rPr>
                <w:i/>
                <w:noProof/>
                <w:sz w:val="24"/>
                <w:szCs w:val="24"/>
              </w:rPr>
              <w:t>widespread</w:t>
            </w:r>
            <w:r w:rsidR="00D73980" w:rsidRPr="00980F2E">
              <w:rPr>
                <w:i/>
                <w:noProof/>
                <w:sz w:val="24"/>
                <w:szCs w:val="24"/>
              </w:rPr>
              <w:t>, and continuing,</w:t>
            </w:r>
            <w:r w:rsidR="00886CBB" w:rsidRPr="00980F2E">
              <w:rPr>
                <w:i/>
                <w:noProof/>
                <w:sz w:val="24"/>
                <w:szCs w:val="24"/>
              </w:rPr>
              <w:t xml:space="preserve"> education</w:t>
            </w:r>
            <w:r w:rsidR="00D73980" w:rsidRPr="00980F2E">
              <w:rPr>
                <w:i/>
                <w:noProof/>
                <w:sz w:val="24"/>
                <w:szCs w:val="24"/>
              </w:rPr>
              <w:t xml:space="preserve"> (to all of the identified stakeholders)</w:t>
            </w:r>
            <w:r w:rsidR="00886CBB" w:rsidRPr="00980F2E">
              <w:rPr>
                <w:i/>
                <w:noProof/>
                <w:sz w:val="24"/>
                <w:szCs w:val="24"/>
              </w:rPr>
              <w:t xml:space="preserve"> on the use of the statutory</w:t>
            </w:r>
            <w:r w:rsidR="00D73980" w:rsidRPr="00980F2E">
              <w:rPr>
                <w:i/>
                <w:noProof/>
                <w:sz w:val="24"/>
                <w:szCs w:val="24"/>
              </w:rPr>
              <w:t xml:space="preserve"> property settlement</w:t>
            </w:r>
            <w:r w:rsidR="00886CBB" w:rsidRPr="00980F2E">
              <w:rPr>
                <w:i/>
                <w:noProof/>
                <w:sz w:val="24"/>
                <w:szCs w:val="24"/>
              </w:rPr>
              <w:t xml:space="preserve"> guidance document.</w:t>
            </w:r>
          </w:p>
        </w:tc>
      </w:tr>
    </w:tbl>
    <w:p w:rsidR="004F79EF" w:rsidRDefault="004F79EF" w:rsidP="00462142">
      <w:pPr>
        <w:spacing w:after="0" w:line="360" w:lineRule="auto"/>
      </w:pPr>
    </w:p>
    <w:p w:rsidR="00980F2E" w:rsidRDefault="00980F2E" w:rsidP="00462142">
      <w:pPr>
        <w:spacing w:after="0" w:line="360" w:lineRule="auto"/>
      </w:pPr>
    </w:p>
    <w:p w:rsidR="003354AD" w:rsidRPr="001002F5" w:rsidRDefault="00596AF2" w:rsidP="001002F5">
      <w:pPr>
        <w:pStyle w:val="Heading2"/>
        <w:spacing w:before="0" w:line="360" w:lineRule="auto"/>
        <w:rPr>
          <w:color w:val="auto"/>
          <w:sz w:val="28"/>
          <w:szCs w:val="28"/>
        </w:rPr>
      </w:pPr>
      <w:bookmarkStart w:id="53" w:name="_Toc512895958"/>
      <w:bookmarkEnd w:id="51"/>
      <w:r>
        <w:rPr>
          <w:color w:val="auto"/>
          <w:sz w:val="28"/>
          <w:szCs w:val="28"/>
        </w:rPr>
        <w:t>V</w:t>
      </w:r>
      <w:r w:rsidR="00A645C3">
        <w:rPr>
          <w:color w:val="auto"/>
          <w:sz w:val="28"/>
          <w:szCs w:val="28"/>
        </w:rPr>
        <w:t>I</w:t>
      </w:r>
      <w:r w:rsidRPr="004E3003">
        <w:rPr>
          <w:color w:val="auto"/>
          <w:sz w:val="28"/>
          <w:szCs w:val="28"/>
        </w:rPr>
        <w:t xml:space="preserve"> </w:t>
      </w:r>
      <w:r>
        <w:rPr>
          <w:color w:val="auto"/>
          <w:sz w:val="28"/>
          <w:szCs w:val="28"/>
        </w:rPr>
        <w:t>Reform Proposal #2: Radical Chang</w:t>
      </w:r>
      <w:r w:rsidR="00676DD6">
        <w:rPr>
          <w:color w:val="auto"/>
          <w:sz w:val="28"/>
          <w:szCs w:val="28"/>
        </w:rPr>
        <w:t>e</w:t>
      </w:r>
      <w:bookmarkEnd w:id="53"/>
      <w:r>
        <w:rPr>
          <w:color w:val="auto"/>
          <w:sz w:val="28"/>
          <w:szCs w:val="28"/>
        </w:rPr>
        <w:t xml:space="preserve"> </w:t>
      </w:r>
    </w:p>
    <w:p w:rsidR="00E86E4B" w:rsidRPr="003354AD" w:rsidRDefault="00E86E4B" w:rsidP="009A0126">
      <w:pPr>
        <w:pStyle w:val="ListParagraph"/>
        <w:numPr>
          <w:ilvl w:val="0"/>
          <w:numId w:val="52"/>
        </w:numPr>
        <w:spacing w:after="0" w:line="360" w:lineRule="auto"/>
        <w:jc w:val="both"/>
        <w:rPr>
          <w:rFonts w:cstheme="minorHAnsi"/>
          <w:sz w:val="24"/>
          <w:szCs w:val="24"/>
        </w:rPr>
      </w:pPr>
      <w:r w:rsidRPr="003354AD">
        <w:rPr>
          <w:rFonts w:cstheme="minorHAnsi"/>
          <w:sz w:val="24"/>
          <w:szCs w:val="24"/>
        </w:rPr>
        <w:t xml:space="preserve">This section sets out the following: </w:t>
      </w:r>
    </w:p>
    <w:p w:rsidR="00E86E4B" w:rsidRPr="00F256A3" w:rsidRDefault="00E86E4B" w:rsidP="009A0126">
      <w:pPr>
        <w:pStyle w:val="ListParagraph"/>
        <w:numPr>
          <w:ilvl w:val="0"/>
          <w:numId w:val="30"/>
        </w:numPr>
        <w:spacing w:after="0" w:line="360" w:lineRule="auto"/>
        <w:jc w:val="both"/>
        <w:rPr>
          <w:rFonts w:cstheme="minorHAnsi"/>
          <w:sz w:val="24"/>
          <w:szCs w:val="24"/>
        </w:rPr>
      </w:pPr>
      <w:r w:rsidRPr="00F256A3">
        <w:rPr>
          <w:rFonts w:cstheme="minorHAnsi"/>
          <w:sz w:val="24"/>
          <w:szCs w:val="24"/>
        </w:rPr>
        <w:t xml:space="preserve">Evidence continues to point to </w:t>
      </w:r>
      <w:r w:rsidR="00D73980">
        <w:rPr>
          <w:rFonts w:cstheme="minorHAnsi"/>
          <w:sz w:val="24"/>
          <w:szCs w:val="24"/>
        </w:rPr>
        <w:t xml:space="preserve">the </w:t>
      </w:r>
      <w:r w:rsidR="00F256A3" w:rsidRPr="00D73980">
        <w:rPr>
          <w:rFonts w:cstheme="minorHAnsi"/>
          <w:noProof/>
          <w:sz w:val="24"/>
          <w:szCs w:val="24"/>
        </w:rPr>
        <w:t>financial</w:t>
      </w:r>
      <w:r w:rsidR="00F256A3" w:rsidRPr="00F256A3">
        <w:rPr>
          <w:rFonts w:cstheme="minorHAnsi"/>
          <w:sz w:val="24"/>
          <w:szCs w:val="24"/>
        </w:rPr>
        <w:t xml:space="preserve"> disadvantage to Mothers with primary care of children. </w:t>
      </w:r>
    </w:p>
    <w:p w:rsidR="00F256A3" w:rsidRPr="00F256A3" w:rsidRDefault="00F256A3" w:rsidP="009A0126">
      <w:pPr>
        <w:pStyle w:val="ListParagraph"/>
        <w:numPr>
          <w:ilvl w:val="0"/>
          <w:numId w:val="30"/>
        </w:numPr>
        <w:spacing w:after="0" w:line="360" w:lineRule="auto"/>
        <w:jc w:val="both"/>
        <w:rPr>
          <w:rFonts w:cstheme="minorHAnsi"/>
          <w:sz w:val="24"/>
          <w:szCs w:val="24"/>
        </w:rPr>
      </w:pPr>
      <w:r w:rsidRPr="00F256A3">
        <w:rPr>
          <w:rFonts w:cstheme="minorHAnsi"/>
          <w:sz w:val="24"/>
          <w:szCs w:val="24"/>
        </w:rPr>
        <w:lastRenderedPageBreak/>
        <w:t xml:space="preserve">The New Zealand model has been the subject of some criticism, even with </w:t>
      </w:r>
      <w:r>
        <w:rPr>
          <w:rFonts w:cstheme="minorHAnsi"/>
          <w:sz w:val="24"/>
          <w:szCs w:val="24"/>
        </w:rPr>
        <w:t>the</w:t>
      </w:r>
      <w:r w:rsidRPr="00F256A3">
        <w:rPr>
          <w:rFonts w:cstheme="minorHAnsi"/>
          <w:sz w:val="24"/>
          <w:szCs w:val="24"/>
        </w:rPr>
        <w:t xml:space="preserve"> compensation regime. </w:t>
      </w:r>
    </w:p>
    <w:p w:rsidR="00F256A3" w:rsidRDefault="00F256A3" w:rsidP="009A0126">
      <w:pPr>
        <w:pStyle w:val="ListParagraph"/>
        <w:numPr>
          <w:ilvl w:val="0"/>
          <w:numId w:val="30"/>
        </w:numPr>
        <w:spacing w:after="0" w:line="360" w:lineRule="auto"/>
        <w:jc w:val="both"/>
        <w:rPr>
          <w:rFonts w:cstheme="minorHAnsi"/>
          <w:sz w:val="24"/>
          <w:szCs w:val="24"/>
        </w:rPr>
      </w:pPr>
      <w:r>
        <w:rPr>
          <w:rFonts w:cstheme="minorHAnsi"/>
          <w:sz w:val="24"/>
          <w:szCs w:val="24"/>
        </w:rPr>
        <w:t>If the Commission is contemplating radical change, then there is one property settlement model that:</w:t>
      </w:r>
    </w:p>
    <w:p w:rsidR="00F256A3" w:rsidRDefault="00F256A3" w:rsidP="009A0126">
      <w:pPr>
        <w:pStyle w:val="ListParagraph"/>
        <w:numPr>
          <w:ilvl w:val="1"/>
          <w:numId w:val="30"/>
        </w:numPr>
        <w:spacing w:after="0" w:line="360" w:lineRule="auto"/>
        <w:jc w:val="both"/>
        <w:rPr>
          <w:rFonts w:cstheme="minorHAnsi"/>
          <w:sz w:val="24"/>
          <w:szCs w:val="24"/>
        </w:rPr>
      </w:pPr>
      <w:r>
        <w:rPr>
          <w:rFonts w:cstheme="minorHAnsi"/>
          <w:sz w:val="24"/>
          <w:szCs w:val="24"/>
        </w:rPr>
        <w:t xml:space="preserve">Takes away the style of the relationship as a sole pre-condition, </w:t>
      </w:r>
    </w:p>
    <w:p w:rsidR="00F256A3" w:rsidRDefault="00F256A3" w:rsidP="009A0126">
      <w:pPr>
        <w:pStyle w:val="ListParagraph"/>
        <w:numPr>
          <w:ilvl w:val="1"/>
          <w:numId w:val="30"/>
        </w:numPr>
        <w:spacing w:after="0" w:line="360" w:lineRule="auto"/>
        <w:jc w:val="both"/>
        <w:rPr>
          <w:rFonts w:cstheme="minorHAnsi"/>
          <w:sz w:val="24"/>
          <w:szCs w:val="24"/>
        </w:rPr>
      </w:pPr>
      <w:r w:rsidRPr="004F79EF">
        <w:rPr>
          <w:rFonts w:cstheme="minorHAnsi"/>
          <w:noProof/>
          <w:sz w:val="24"/>
          <w:szCs w:val="24"/>
        </w:rPr>
        <w:t xml:space="preserve">Includes the values appropriate to contemporary property settlements explained in answer to </w:t>
      </w:r>
      <w:r w:rsidRPr="004F79EF">
        <w:rPr>
          <w:rFonts w:cstheme="minorHAnsi"/>
          <w:b/>
          <w:noProof/>
          <w:sz w:val="24"/>
          <w:szCs w:val="24"/>
        </w:rPr>
        <w:t>Question 2</w:t>
      </w:r>
      <w:r w:rsidRPr="004F79EF">
        <w:rPr>
          <w:rFonts w:cstheme="minorHAnsi"/>
          <w:noProof/>
          <w:sz w:val="24"/>
          <w:szCs w:val="24"/>
        </w:rPr>
        <w:t>.</w:t>
      </w:r>
      <w:r>
        <w:rPr>
          <w:rFonts w:cstheme="minorHAnsi"/>
          <w:sz w:val="24"/>
          <w:szCs w:val="24"/>
        </w:rPr>
        <w:t xml:space="preserve"> </w:t>
      </w:r>
    </w:p>
    <w:p w:rsidR="00F256A3" w:rsidRDefault="00F256A3" w:rsidP="009A0126">
      <w:pPr>
        <w:pStyle w:val="ListParagraph"/>
        <w:numPr>
          <w:ilvl w:val="1"/>
          <w:numId w:val="30"/>
        </w:numPr>
        <w:spacing w:after="0" w:line="360" w:lineRule="auto"/>
        <w:jc w:val="both"/>
        <w:rPr>
          <w:rFonts w:cstheme="minorHAnsi"/>
          <w:sz w:val="24"/>
          <w:szCs w:val="24"/>
        </w:rPr>
      </w:pPr>
      <w:r>
        <w:rPr>
          <w:rFonts w:cstheme="minorHAnsi"/>
          <w:sz w:val="24"/>
          <w:szCs w:val="24"/>
        </w:rPr>
        <w:t>Provides a scheme for equal sharing of property, but</w:t>
      </w:r>
    </w:p>
    <w:p w:rsidR="00E86E4B" w:rsidRPr="001002F5" w:rsidRDefault="00F256A3" w:rsidP="00462142">
      <w:pPr>
        <w:pStyle w:val="ListParagraph"/>
        <w:numPr>
          <w:ilvl w:val="1"/>
          <w:numId w:val="30"/>
        </w:numPr>
        <w:spacing w:after="0" w:line="360" w:lineRule="auto"/>
        <w:jc w:val="both"/>
        <w:rPr>
          <w:rFonts w:cstheme="minorHAnsi"/>
          <w:sz w:val="24"/>
          <w:szCs w:val="24"/>
        </w:rPr>
      </w:pPr>
      <w:r>
        <w:rPr>
          <w:rFonts w:cstheme="minorHAnsi"/>
          <w:sz w:val="24"/>
          <w:szCs w:val="24"/>
        </w:rPr>
        <w:t xml:space="preserve">Also includes a mechanism for adjustment, like the compensation regime in New Zealand, but with less onerous requirements.   </w:t>
      </w:r>
    </w:p>
    <w:p w:rsidR="003354AD" w:rsidRPr="001002F5" w:rsidRDefault="00F256A3" w:rsidP="001002F5">
      <w:pPr>
        <w:pStyle w:val="ListParagraph"/>
        <w:numPr>
          <w:ilvl w:val="0"/>
          <w:numId w:val="52"/>
        </w:numPr>
        <w:spacing w:after="0" w:line="360" w:lineRule="auto"/>
        <w:jc w:val="both"/>
        <w:rPr>
          <w:rFonts w:eastAsia="Times New Roman" w:cstheme="minorHAnsi"/>
          <w:kern w:val="28"/>
          <w:sz w:val="24"/>
          <w:szCs w:val="24"/>
        </w:rPr>
      </w:pPr>
      <w:r w:rsidRPr="003354AD">
        <w:rPr>
          <w:rFonts w:eastAsia="Times New Roman" w:cstheme="minorHAnsi"/>
          <w:kern w:val="28"/>
          <w:sz w:val="24"/>
          <w:szCs w:val="24"/>
        </w:rPr>
        <w:t xml:space="preserve">Over the long term, primary carers of children remain substantially worse off financially. Several scholarly studies on litigated and consent outcomes support this position. </w:t>
      </w:r>
      <w:r w:rsidRPr="00F256A3">
        <w:rPr>
          <w:vertAlign w:val="superscript"/>
        </w:rPr>
        <w:endnoteReference w:id="232"/>
      </w:r>
      <w:r w:rsidRPr="003354AD">
        <w:rPr>
          <w:rFonts w:eastAsia="Times New Roman" w:cstheme="minorHAnsi"/>
          <w:kern w:val="28"/>
          <w:sz w:val="24"/>
          <w:szCs w:val="24"/>
        </w:rPr>
        <w:t xml:space="preserve"> Potential inferences arise from the research</w:t>
      </w:r>
      <w:r w:rsidR="004F79EF" w:rsidRPr="003354AD">
        <w:rPr>
          <w:rFonts w:eastAsia="Times New Roman" w:cstheme="minorHAnsi"/>
          <w:noProof/>
          <w:kern w:val="28"/>
          <w:sz w:val="24"/>
          <w:szCs w:val="24"/>
        </w:rPr>
        <w:t>. H</w:t>
      </w:r>
      <w:r w:rsidRPr="003354AD">
        <w:rPr>
          <w:rFonts w:eastAsia="Times New Roman" w:cstheme="minorHAnsi"/>
          <w:noProof/>
          <w:kern w:val="28"/>
          <w:sz w:val="24"/>
          <w:szCs w:val="24"/>
        </w:rPr>
        <w:t>owever</w:t>
      </w:r>
      <w:r w:rsidRPr="003354AD">
        <w:rPr>
          <w:rFonts w:eastAsia="Times New Roman" w:cstheme="minorHAnsi"/>
          <w:kern w:val="28"/>
          <w:sz w:val="24"/>
          <w:szCs w:val="24"/>
        </w:rPr>
        <w:t xml:space="preserve">, there is insufficient evidence to conclude that the financial consequences of separation directly reflect, or </w:t>
      </w:r>
      <w:r w:rsidR="004F79EF" w:rsidRPr="003354AD">
        <w:rPr>
          <w:rFonts w:eastAsia="Times New Roman" w:cstheme="minorHAnsi"/>
          <w:noProof/>
          <w:kern w:val="28"/>
          <w:sz w:val="24"/>
          <w:szCs w:val="24"/>
        </w:rPr>
        <w:t>result</w:t>
      </w:r>
      <w:r w:rsidRPr="003354AD">
        <w:rPr>
          <w:rFonts w:eastAsia="Times New Roman" w:cstheme="minorHAnsi"/>
          <w:kern w:val="28"/>
          <w:sz w:val="24"/>
          <w:szCs w:val="24"/>
        </w:rPr>
        <w:t xml:space="preserve"> from, the impact of the law. </w:t>
      </w:r>
    </w:p>
    <w:p w:rsidR="00F256A3" w:rsidRPr="000D5826" w:rsidRDefault="00F256A3" w:rsidP="00462142">
      <w:pPr>
        <w:pStyle w:val="ListParagraph"/>
        <w:numPr>
          <w:ilvl w:val="0"/>
          <w:numId w:val="52"/>
        </w:numPr>
        <w:spacing w:after="0" w:line="360" w:lineRule="auto"/>
        <w:jc w:val="both"/>
        <w:rPr>
          <w:rFonts w:eastAsia="Times New Roman" w:cstheme="minorHAnsi"/>
          <w:kern w:val="28"/>
          <w:sz w:val="24"/>
          <w:szCs w:val="24"/>
        </w:rPr>
      </w:pPr>
      <w:r w:rsidRPr="003354AD">
        <w:rPr>
          <w:rFonts w:eastAsia="Times New Roman" w:cstheme="minorHAnsi"/>
          <w:kern w:val="28"/>
          <w:sz w:val="24"/>
          <w:szCs w:val="24"/>
        </w:rPr>
        <w:t xml:space="preserve">Because we do not know the family law system’s outcomes in property settlement </w:t>
      </w:r>
      <w:r w:rsidRPr="003354AD">
        <w:rPr>
          <w:rFonts w:eastAsia="Times New Roman" w:cstheme="minorHAnsi"/>
          <w:noProof/>
          <w:kern w:val="28"/>
          <w:sz w:val="24"/>
          <w:szCs w:val="24"/>
        </w:rPr>
        <w:t>cases</w:t>
      </w:r>
      <w:r w:rsidR="000D5826">
        <w:rPr>
          <w:rFonts w:eastAsia="Times New Roman" w:cstheme="minorHAnsi"/>
          <w:noProof/>
          <w:kern w:val="28"/>
          <w:sz w:val="24"/>
          <w:szCs w:val="24"/>
        </w:rPr>
        <w:t xml:space="preserve"> (consent or otherwise)</w:t>
      </w:r>
      <w:r w:rsidR="004F79EF" w:rsidRPr="003354AD">
        <w:rPr>
          <w:rFonts w:eastAsia="Times New Roman" w:cstheme="minorHAnsi"/>
          <w:noProof/>
          <w:kern w:val="28"/>
          <w:sz w:val="24"/>
          <w:szCs w:val="24"/>
        </w:rPr>
        <w:t>,</w:t>
      </w:r>
      <w:r w:rsidRPr="003354AD">
        <w:rPr>
          <w:rFonts w:eastAsia="Times New Roman" w:cstheme="minorHAnsi"/>
          <w:kern w:val="28"/>
          <w:sz w:val="24"/>
          <w:szCs w:val="24"/>
        </w:rPr>
        <w:t xml:space="preserve"> we cannot</w:t>
      </w:r>
      <w:r w:rsidR="000D5826">
        <w:rPr>
          <w:rFonts w:eastAsia="Times New Roman" w:cstheme="minorHAnsi"/>
          <w:kern w:val="28"/>
          <w:sz w:val="24"/>
          <w:szCs w:val="24"/>
        </w:rPr>
        <w:t xml:space="preserve"> definitively</w:t>
      </w:r>
      <w:r w:rsidRPr="003354AD">
        <w:rPr>
          <w:rFonts w:eastAsia="Times New Roman" w:cstheme="minorHAnsi"/>
          <w:kern w:val="28"/>
          <w:sz w:val="24"/>
          <w:szCs w:val="24"/>
        </w:rPr>
        <w:t xml:space="preserve"> </w:t>
      </w:r>
      <w:r w:rsidR="000D5826">
        <w:rPr>
          <w:rFonts w:eastAsia="Times New Roman" w:cstheme="minorHAnsi"/>
          <w:kern w:val="28"/>
          <w:sz w:val="24"/>
          <w:szCs w:val="24"/>
        </w:rPr>
        <w:t xml:space="preserve">conclude </w:t>
      </w:r>
      <w:r w:rsidRPr="003354AD">
        <w:rPr>
          <w:rFonts w:eastAsia="Times New Roman" w:cstheme="minorHAnsi"/>
          <w:kern w:val="28"/>
          <w:sz w:val="24"/>
          <w:szCs w:val="24"/>
        </w:rPr>
        <w:t xml:space="preserve">that the </w:t>
      </w:r>
      <w:r w:rsidR="000D5826">
        <w:rPr>
          <w:rFonts w:eastAsia="Times New Roman" w:cstheme="minorHAnsi"/>
          <w:kern w:val="28"/>
          <w:sz w:val="24"/>
          <w:szCs w:val="24"/>
        </w:rPr>
        <w:t xml:space="preserve">family law </w:t>
      </w:r>
      <w:r w:rsidRPr="003354AD">
        <w:rPr>
          <w:rFonts w:eastAsia="Times New Roman" w:cstheme="minorHAnsi"/>
          <w:kern w:val="28"/>
          <w:sz w:val="24"/>
          <w:szCs w:val="24"/>
        </w:rPr>
        <w:t>system is the problem. Put another way</w:t>
      </w:r>
      <w:r w:rsidR="00980F2E">
        <w:rPr>
          <w:rFonts w:eastAsia="Times New Roman" w:cstheme="minorHAnsi"/>
          <w:noProof/>
          <w:kern w:val="28"/>
          <w:sz w:val="24"/>
          <w:szCs w:val="24"/>
        </w:rPr>
        <w:t>;</w:t>
      </w:r>
      <w:r w:rsidRPr="00980F2E">
        <w:rPr>
          <w:rFonts w:eastAsia="Times New Roman" w:cstheme="minorHAnsi"/>
          <w:noProof/>
          <w:kern w:val="28"/>
          <w:sz w:val="24"/>
          <w:szCs w:val="24"/>
        </w:rPr>
        <w:t xml:space="preserve"> the</w:t>
      </w:r>
      <w:r w:rsidRPr="003354AD">
        <w:rPr>
          <w:rFonts w:eastAsia="Times New Roman" w:cstheme="minorHAnsi"/>
          <w:kern w:val="28"/>
          <w:sz w:val="24"/>
          <w:szCs w:val="24"/>
        </w:rPr>
        <w:t xml:space="preserve"> </w:t>
      </w:r>
      <w:r w:rsidR="00B1563C" w:rsidRPr="003354AD">
        <w:rPr>
          <w:rFonts w:eastAsia="Times New Roman" w:cstheme="minorHAnsi"/>
          <w:kern w:val="28"/>
          <w:sz w:val="24"/>
          <w:szCs w:val="24"/>
        </w:rPr>
        <w:t>causes</w:t>
      </w:r>
      <w:r w:rsidRPr="003354AD">
        <w:rPr>
          <w:rFonts w:eastAsia="Times New Roman" w:cstheme="minorHAnsi"/>
          <w:kern w:val="28"/>
          <w:sz w:val="24"/>
          <w:szCs w:val="24"/>
        </w:rPr>
        <w:t xml:space="preserve"> </w:t>
      </w:r>
      <w:r w:rsidRPr="003354AD">
        <w:rPr>
          <w:rFonts w:eastAsia="Times New Roman" w:cstheme="minorHAnsi"/>
          <w:i/>
          <w:kern w:val="28"/>
          <w:sz w:val="24"/>
          <w:szCs w:val="24"/>
        </w:rPr>
        <w:t>could</w:t>
      </w:r>
      <w:r w:rsidRPr="003354AD">
        <w:rPr>
          <w:rFonts w:eastAsia="Times New Roman" w:cstheme="minorHAnsi"/>
          <w:kern w:val="28"/>
          <w:sz w:val="24"/>
          <w:szCs w:val="24"/>
        </w:rPr>
        <w:t xml:space="preserve"> be as follows: </w:t>
      </w:r>
    </w:p>
    <w:p w:rsidR="00F256A3" w:rsidRPr="00F256A3" w:rsidRDefault="00F256A3" w:rsidP="00462142">
      <w:pPr>
        <w:spacing w:after="0" w:line="360" w:lineRule="auto"/>
        <w:jc w:val="both"/>
        <w:rPr>
          <w:rFonts w:cstheme="minorHAnsi"/>
          <w:b/>
          <w:sz w:val="24"/>
          <w:szCs w:val="24"/>
        </w:rPr>
      </w:pPr>
      <w:r>
        <w:rPr>
          <w:rFonts w:cstheme="minorHAnsi"/>
          <w:b/>
          <w:noProof/>
          <w:sz w:val="24"/>
          <w:szCs w:val="24"/>
          <w:lang w:eastAsia="en-AU"/>
        </w:rPr>
        <w:drawing>
          <wp:inline distT="0" distB="0" distL="0" distR="0">
            <wp:extent cx="5500048" cy="2401570"/>
            <wp:effectExtent l="19050" t="0" r="24452" b="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B55C77" w:rsidRDefault="003A26A5" w:rsidP="009A0126">
      <w:pPr>
        <w:pStyle w:val="ListParagraph"/>
        <w:numPr>
          <w:ilvl w:val="0"/>
          <w:numId w:val="52"/>
        </w:numPr>
        <w:spacing w:after="0" w:line="360" w:lineRule="auto"/>
        <w:jc w:val="both"/>
        <w:rPr>
          <w:rFonts w:cstheme="minorHAnsi"/>
          <w:sz w:val="24"/>
          <w:szCs w:val="24"/>
        </w:rPr>
      </w:pPr>
      <w:r>
        <w:rPr>
          <w:rFonts w:cstheme="minorHAnsi"/>
          <w:sz w:val="24"/>
          <w:szCs w:val="24"/>
        </w:rPr>
        <w:t>Even without causation evidence of the effect of the family law system</w:t>
      </w:r>
      <w:r w:rsidR="000D5826">
        <w:rPr>
          <w:rFonts w:cstheme="minorHAnsi"/>
          <w:sz w:val="24"/>
          <w:szCs w:val="24"/>
        </w:rPr>
        <w:t>, t</w:t>
      </w:r>
      <w:r w:rsidR="006635E1" w:rsidRPr="00B55C77">
        <w:rPr>
          <w:rFonts w:cstheme="minorHAnsi"/>
          <w:sz w:val="24"/>
          <w:szCs w:val="24"/>
        </w:rPr>
        <w:t>he Commission should c</w:t>
      </w:r>
      <w:r w:rsidR="008D121F" w:rsidRPr="00B55C77">
        <w:rPr>
          <w:rFonts w:cstheme="minorHAnsi"/>
          <w:sz w:val="24"/>
          <w:szCs w:val="24"/>
        </w:rPr>
        <w:t xml:space="preserve">onsider New Zealand’s model, which remains under review. </w:t>
      </w:r>
      <w:r w:rsidR="00E86E4B" w:rsidRPr="00B55C77">
        <w:rPr>
          <w:rFonts w:cstheme="minorHAnsi"/>
          <w:sz w:val="24"/>
          <w:szCs w:val="24"/>
        </w:rPr>
        <w:t>The New Zealand Law Commission’s</w:t>
      </w:r>
      <w:r w:rsidR="000D5826">
        <w:rPr>
          <w:rFonts w:cstheme="minorHAnsi"/>
          <w:sz w:val="24"/>
          <w:szCs w:val="24"/>
        </w:rPr>
        <w:t xml:space="preserve"> issues</w:t>
      </w:r>
      <w:r w:rsidR="00E86E4B" w:rsidRPr="00B55C77">
        <w:rPr>
          <w:rFonts w:cstheme="minorHAnsi"/>
          <w:sz w:val="24"/>
          <w:szCs w:val="24"/>
        </w:rPr>
        <w:t xml:space="preserve"> paper is comprehensive, but</w:t>
      </w:r>
      <w:r>
        <w:rPr>
          <w:rFonts w:cstheme="minorHAnsi"/>
          <w:sz w:val="24"/>
          <w:szCs w:val="24"/>
        </w:rPr>
        <w:t xml:space="preserve"> a few issues stand out as directly relevant</w:t>
      </w:r>
      <w:r w:rsidR="00E86E4B" w:rsidRPr="00B55C77">
        <w:rPr>
          <w:rFonts w:cstheme="minorHAnsi"/>
          <w:sz w:val="24"/>
          <w:szCs w:val="24"/>
        </w:rPr>
        <w:t xml:space="preserve">. They are: </w:t>
      </w:r>
    </w:p>
    <w:p w:rsidR="003A26A5" w:rsidRDefault="003A26A5" w:rsidP="003A26A5">
      <w:pPr>
        <w:pStyle w:val="ListParagraph"/>
        <w:numPr>
          <w:ilvl w:val="1"/>
          <w:numId w:val="52"/>
        </w:numPr>
        <w:spacing w:after="0" w:line="360" w:lineRule="auto"/>
        <w:jc w:val="both"/>
        <w:rPr>
          <w:rFonts w:cstheme="minorHAnsi"/>
          <w:sz w:val="24"/>
          <w:szCs w:val="24"/>
        </w:rPr>
      </w:pPr>
      <w:r>
        <w:rPr>
          <w:rFonts w:cstheme="minorHAnsi"/>
          <w:sz w:val="24"/>
          <w:szCs w:val="24"/>
        </w:rPr>
        <w:t>T</w:t>
      </w:r>
      <w:r w:rsidR="00E86E4B" w:rsidRPr="00B55C77">
        <w:rPr>
          <w:rFonts w:cstheme="minorHAnsi"/>
          <w:sz w:val="24"/>
          <w:szCs w:val="24"/>
        </w:rPr>
        <w:t>he minimum period of duration of the relationship for equal sharing</w:t>
      </w:r>
      <w:r>
        <w:rPr>
          <w:rFonts w:cstheme="minorHAnsi"/>
          <w:sz w:val="24"/>
          <w:szCs w:val="24"/>
        </w:rPr>
        <w:t>,</w:t>
      </w:r>
      <w:r w:rsidR="00E86E4B" w:rsidRPr="00F256A3">
        <w:rPr>
          <w:rStyle w:val="EndnoteReference"/>
          <w:rFonts w:cstheme="minorHAnsi"/>
          <w:sz w:val="24"/>
          <w:szCs w:val="24"/>
        </w:rPr>
        <w:endnoteReference w:id="233"/>
      </w:r>
    </w:p>
    <w:p w:rsidR="00B55C77" w:rsidRPr="003A26A5" w:rsidRDefault="003A26A5" w:rsidP="003A26A5">
      <w:pPr>
        <w:pStyle w:val="ListParagraph"/>
        <w:numPr>
          <w:ilvl w:val="1"/>
          <w:numId w:val="52"/>
        </w:numPr>
        <w:spacing w:after="0" w:line="360" w:lineRule="auto"/>
        <w:jc w:val="both"/>
        <w:rPr>
          <w:rFonts w:cstheme="minorHAnsi"/>
          <w:sz w:val="24"/>
          <w:szCs w:val="24"/>
        </w:rPr>
      </w:pPr>
      <w:r w:rsidRPr="003A26A5">
        <w:rPr>
          <w:rFonts w:cstheme="minorHAnsi"/>
          <w:sz w:val="24"/>
          <w:szCs w:val="24"/>
        </w:rPr>
        <w:lastRenderedPageBreak/>
        <w:t>D</w:t>
      </w:r>
      <w:r w:rsidR="00E86E4B" w:rsidRPr="003A26A5">
        <w:rPr>
          <w:rFonts w:cstheme="minorHAnsi"/>
          <w:sz w:val="24"/>
          <w:szCs w:val="24"/>
        </w:rPr>
        <w:t xml:space="preserve">ifferent </w:t>
      </w:r>
      <w:r w:rsidR="00E86E4B" w:rsidRPr="003A26A5">
        <w:rPr>
          <w:rFonts w:cstheme="minorHAnsi"/>
          <w:noProof/>
          <w:sz w:val="24"/>
          <w:szCs w:val="24"/>
        </w:rPr>
        <w:t>rules</w:t>
      </w:r>
      <w:r w:rsidR="00E86E4B" w:rsidRPr="003A26A5">
        <w:rPr>
          <w:rFonts w:cstheme="minorHAnsi"/>
          <w:sz w:val="24"/>
          <w:szCs w:val="24"/>
        </w:rPr>
        <w:t xml:space="preserve"> of </w:t>
      </w:r>
      <w:r w:rsidR="00D73980" w:rsidRPr="003A26A5">
        <w:rPr>
          <w:rFonts w:cstheme="minorHAnsi"/>
          <w:sz w:val="24"/>
          <w:szCs w:val="24"/>
        </w:rPr>
        <w:t xml:space="preserve">the </w:t>
      </w:r>
      <w:r w:rsidR="00E86E4B" w:rsidRPr="003A26A5">
        <w:rPr>
          <w:rFonts w:cstheme="minorHAnsi"/>
          <w:noProof/>
          <w:sz w:val="24"/>
          <w:szCs w:val="24"/>
        </w:rPr>
        <w:t>division</w:t>
      </w:r>
      <w:r w:rsidR="00E86E4B" w:rsidRPr="003A26A5">
        <w:rPr>
          <w:rFonts w:cstheme="minorHAnsi"/>
          <w:sz w:val="24"/>
          <w:szCs w:val="24"/>
        </w:rPr>
        <w:t xml:space="preserve"> for relationships shorter than three years</w:t>
      </w:r>
      <w:r>
        <w:rPr>
          <w:rFonts w:cstheme="minorHAnsi"/>
          <w:sz w:val="24"/>
          <w:szCs w:val="24"/>
        </w:rPr>
        <w:t>,</w:t>
      </w:r>
      <w:r w:rsidR="00E86E4B" w:rsidRPr="00F256A3">
        <w:rPr>
          <w:rStyle w:val="EndnoteReference"/>
          <w:rFonts w:cstheme="minorHAnsi"/>
          <w:sz w:val="24"/>
          <w:szCs w:val="24"/>
        </w:rPr>
        <w:endnoteReference w:id="234"/>
      </w:r>
    </w:p>
    <w:p w:rsidR="00E86E4B" w:rsidRPr="000D5826" w:rsidRDefault="003A26A5" w:rsidP="00462142">
      <w:pPr>
        <w:pStyle w:val="ListParagraph"/>
        <w:numPr>
          <w:ilvl w:val="1"/>
          <w:numId w:val="52"/>
        </w:numPr>
        <w:spacing w:after="0" w:line="360" w:lineRule="auto"/>
        <w:jc w:val="both"/>
        <w:rPr>
          <w:rFonts w:cstheme="minorHAnsi"/>
          <w:sz w:val="24"/>
          <w:szCs w:val="24"/>
        </w:rPr>
      </w:pPr>
      <w:r>
        <w:rPr>
          <w:rFonts w:cstheme="minorHAnsi"/>
          <w:sz w:val="24"/>
          <w:szCs w:val="24"/>
        </w:rPr>
        <w:t>W</w:t>
      </w:r>
      <w:r w:rsidR="00E86E4B" w:rsidRPr="00B55C77">
        <w:rPr>
          <w:rFonts w:cstheme="minorHAnsi"/>
          <w:sz w:val="24"/>
          <w:szCs w:val="24"/>
        </w:rPr>
        <w:t>hat should happen if equal sharing does not lead to equality?</w:t>
      </w:r>
      <w:r w:rsidR="00E86E4B" w:rsidRPr="00F256A3">
        <w:rPr>
          <w:rStyle w:val="EndnoteReference"/>
          <w:rFonts w:cstheme="minorHAnsi"/>
          <w:sz w:val="24"/>
          <w:szCs w:val="24"/>
        </w:rPr>
        <w:endnoteReference w:id="235"/>
      </w:r>
    </w:p>
    <w:p w:rsidR="00B55C77" w:rsidRPr="003A26A5" w:rsidRDefault="00B1563C" w:rsidP="003A26A5">
      <w:pPr>
        <w:pStyle w:val="ListParagraph"/>
        <w:numPr>
          <w:ilvl w:val="0"/>
          <w:numId w:val="52"/>
        </w:numPr>
        <w:spacing w:after="0" w:line="360" w:lineRule="auto"/>
        <w:jc w:val="both"/>
        <w:rPr>
          <w:sz w:val="24"/>
          <w:szCs w:val="24"/>
        </w:rPr>
      </w:pPr>
      <w:r w:rsidRPr="00B55C77">
        <w:rPr>
          <w:sz w:val="24"/>
          <w:szCs w:val="24"/>
        </w:rPr>
        <w:t xml:space="preserve">There is some scholarly criticism of the compensation model. These include that compensation blurs the distinction between capital and income, is highly speculative, operated dependent on the amount of property available, and does not achieve the goal of overcoming economic disparity. </w:t>
      </w:r>
      <w:r w:rsidRPr="008D121F">
        <w:rPr>
          <w:vertAlign w:val="superscript"/>
        </w:rPr>
        <w:endnoteReference w:id="236"/>
      </w:r>
      <w:r w:rsidR="003A26A5">
        <w:rPr>
          <w:sz w:val="24"/>
          <w:szCs w:val="24"/>
        </w:rPr>
        <w:t xml:space="preserve"> </w:t>
      </w:r>
      <w:r w:rsidR="008D121F" w:rsidRPr="003A26A5">
        <w:rPr>
          <w:sz w:val="24"/>
          <w:szCs w:val="24"/>
        </w:rPr>
        <w:t>If there is to be a new Australian family property settlement law, then it should try to avoid the</w:t>
      </w:r>
      <w:r w:rsidR="000D5826" w:rsidRPr="003A26A5">
        <w:rPr>
          <w:sz w:val="24"/>
          <w:szCs w:val="24"/>
        </w:rPr>
        <w:t xml:space="preserve"> stated</w:t>
      </w:r>
      <w:r w:rsidR="008D121F" w:rsidRPr="003A26A5">
        <w:rPr>
          <w:sz w:val="24"/>
          <w:szCs w:val="24"/>
        </w:rPr>
        <w:t xml:space="preserve"> problems from New Zealand. </w:t>
      </w:r>
    </w:p>
    <w:p w:rsidR="000D5826" w:rsidRDefault="000D5826" w:rsidP="000D5826">
      <w:pPr>
        <w:spacing w:after="0" w:line="360" w:lineRule="auto"/>
        <w:ind w:left="360"/>
        <w:jc w:val="both"/>
        <w:rPr>
          <w:i/>
          <w:sz w:val="24"/>
          <w:szCs w:val="24"/>
        </w:rPr>
      </w:pPr>
    </w:p>
    <w:p w:rsidR="000D5826" w:rsidRPr="000D5826" w:rsidRDefault="000D5826" w:rsidP="000D5826">
      <w:pPr>
        <w:spacing w:after="0" w:line="360" w:lineRule="auto"/>
        <w:ind w:left="360"/>
        <w:jc w:val="both"/>
        <w:rPr>
          <w:i/>
          <w:sz w:val="24"/>
          <w:szCs w:val="24"/>
        </w:rPr>
      </w:pPr>
      <w:r>
        <w:rPr>
          <w:i/>
          <w:sz w:val="24"/>
          <w:szCs w:val="24"/>
        </w:rPr>
        <w:t>A Unique Australian Model</w:t>
      </w:r>
    </w:p>
    <w:p w:rsidR="00B55C77" w:rsidRPr="001002F5" w:rsidRDefault="000D5826" w:rsidP="001002F5">
      <w:pPr>
        <w:pStyle w:val="ListParagraph"/>
        <w:numPr>
          <w:ilvl w:val="0"/>
          <w:numId w:val="52"/>
        </w:numPr>
        <w:spacing w:after="0" w:line="360" w:lineRule="auto"/>
        <w:jc w:val="both"/>
        <w:rPr>
          <w:sz w:val="24"/>
          <w:szCs w:val="24"/>
        </w:rPr>
      </w:pPr>
      <w:r>
        <w:rPr>
          <w:sz w:val="24"/>
          <w:szCs w:val="24"/>
        </w:rPr>
        <w:t>This submission offers</w:t>
      </w:r>
      <w:r w:rsidR="00B1563C" w:rsidRPr="00B55C77">
        <w:rPr>
          <w:sz w:val="24"/>
          <w:szCs w:val="24"/>
        </w:rPr>
        <w:t xml:space="preserve"> a partial solution.</w:t>
      </w:r>
      <w:r w:rsidR="008D121F" w:rsidRPr="00B55C77">
        <w:rPr>
          <w:sz w:val="24"/>
          <w:szCs w:val="24"/>
        </w:rPr>
        <w:t xml:space="preserve"> It provides for sharing of property but avoids the New Zealand problems of examining relationships and providing adequate adjustment for economic disparity.</w:t>
      </w:r>
    </w:p>
    <w:p w:rsidR="008D121F" w:rsidRPr="00B55C77" w:rsidRDefault="008D121F" w:rsidP="009A0126">
      <w:pPr>
        <w:pStyle w:val="ListParagraph"/>
        <w:numPr>
          <w:ilvl w:val="0"/>
          <w:numId w:val="52"/>
        </w:numPr>
        <w:spacing w:after="0" w:line="360" w:lineRule="auto"/>
        <w:jc w:val="both"/>
        <w:rPr>
          <w:sz w:val="24"/>
          <w:szCs w:val="24"/>
        </w:rPr>
      </w:pPr>
      <w:r w:rsidRPr="00B55C77">
        <w:rPr>
          <w:sz w:val="24"/>
          <w:szCs w:val="24"/>
        </w:rPr>
        <w:t>The concept rests on the meeting of three preconditions:</w:t>
      </w:r>
    </w:p>
    <w:p w:rsidR="008D121F" w:rsidRDefault="008D121F" w:rsidP="009A0126">
      <w:pPr>
        <w:pStyle w:val="ListParagraph"/>
        <w:numPr>
          <w:ilvl w:val="0"/>
          <w:numId w:val="31"/>
        </w:numPr>
        <w:spacing w:after="0" w:line="360" w:lineRule="auto"/>
        <w:jc w:val="both"/>
        <w:rPr>
          <w:sz w:val="24"/>
          <w:szCs w:val="24"/>
        </w:rPr>
      </w:pPr>
      <w:r>
        <w:rPr>
          <w:sz w:val="24"/>
          <w:szCs w:val="24"/>
        </w:rPr>
        <w:t>T</w:t>
      </w:r>
      <w:r w:rsidRPr="008D121F">
        <w:rPr>
          <w:sz w:val="24"/>
          <w:szCs w:val="24"/>
        </w:rPr>
        <w:t>he existence of a marriage or de-facto relationship</w:t>
      </w:r>
      <w:r w:rsidR="00B003DA">
        <w:rPr>
          <w:sz w:val="24"/>
          <w:szCs w:val="24"/>
        </w:rPr>
        <w:t xml:space="preserve"> (subject to the existing length of time requirements), and </w:t>
      </w:r>
      <w:r w:rsidRPr="008D121F">
        <w:rPr>
          <w:sz w:val="24"/>
          <w:szCs w:val="24"/>
        </w:rPr>
        <w:t xml:space="preserve"> </w:t>
      </w:r>
    </w:p>
    <w:p w:rsidR="008D121F" w:rsidRDefault="008D121F" w:rsidP="009A0126">
      <w:pPr>
        <w:pStyle w:val="ListParagraph"/>
        <w:numPr>
          <w:ilvl w:val="0"/>
          <w:numId w:val="31"/>
        </w:numPr>
        <w:spacing w:after="0" w:line="360" w:lineRule="auto"/>
        <w:jc w:val="both"/>
        <w:rPr>
          <w:sz w:val="24"/>
          <w:szCs w:val="24"/>
        </w:rPr>
      </w:pPr>
      <w:r>
        <w:rPr>
          <w:sz w:val="24"/>
          <w:szCs w:val="24"/>
        </w:rPr>
        <w:t xml:space="preserve">A </w:t>
      </w:r>
      <w:r w:rsidRPr="008D121F">
        <w:rPr>
          <w:sz w:val="24"/>
          <w:szCs w:val="24"/>
        </w:rPr>
        <w:t>child of that marriage or de-facto relationship</w:t>
      </w:r>
      <w:r w:rsidR="00B003DA">
        <w:rPr>
          <w:sz w:val="24"/>
          <w:szCs w:val="24"/>
        </w:rPr>
        <w:t xml:space="preserve">, and </w:t>
      </w:r>
      <w:r w:rsidRPr="008D121F">
        <w:rPr>
          <w:sz w:val="24"/>
          <w:szCs w:val="24"/>
        </w:rPr>
        <w:t xml:space="preserve"> </w:t>
      </w:r>
    </w:p>
    <w:p w:rsidR="00954E38" w:rsidRPr="001002F5" w:rsidRDefault="008D121F" w:rsidP="00462142">
      <w:pPr>
        <w:pStyle w:val="ListParagraph"/>
        <w:numPr>
          <w:ilvl w:val="0"/>
          <w:numId w:val="31"/>
        </w:numPr>
        <w:spacing w:after="0" w:line="360" w:lineRule="auto"/>
        <w:jc w:val="both"/>
        <w:rPr>
          <w:sz w:val="24"/>
          <w:szCs w:val="24"/>
        </w:rPr>
      </w:pPr>
      <w:r>
        <w:rPr>
          <w:sz w:val="24"/>
          <w:szCs w:val="24"/>
        </w:rPr>
        <w:t>T</w:t>
      </w:r>
      <w:r w:rsidRPr="008D121F">
        <w:rPr>
          <w:sz w:val="24"/>
          <w:szCs w:val="24"/>
        </w:rPr>
        <w:t xml:space="preserve">he absence of a financial agreement covering some, or all, of the parties’ financial matters. </w:t>
      </w:r>
    </w:p>
    <w:p w:rsidR="00B55C77" w:rsidRPr="001002F5" w:rsidRDefault="008D121F" w:rsidP="001002F5">
      <w:pPr>
        <w:pStyle w:val="ListParagraph"/>
        <w:numPr>
          <w:ilvl w:val="0"/>
          <w:numId w:val="52"/>
        </w:numPr>
        <w:spacing w:after="0" w:line="360" w:lineRule="auto"/>
        <w:jc w:val="both"/>
        <w:rPr>
          <w:sz w:val="24"/>
          <w:szCs w:val="24"/>
        </w:rPr>
      </w:pPr>
      <w:r w:rsidRPr="00B55C77">
        <w:rPr>
          <w:sz w:val="24"/>
          <w:szCs w:val="24"/>
        </w:rPr>
        <w:t xml:space="preserve">The third precondition reflects the observation of the plurality in </w:t>
      </w:r>
      <w:r w:rsidRPr="00B55C77">
        <w:rPr>
          <w:i/>
          <w:sz w:val="24"/>
          <w:szCs w:val="24"/>
        </w:rPr>
        <w:t>Stanford v Stanford</w:t>
      </w:r>
      <w:r w:rsidRPr="00B55C77">
        <w:rPr>
          <w:sz w:val="24"/>
          <w:szCs w:val="24"/>
        </w:rPr>
        <w:t xml:space="preserve">; if two spouses expressly consider, but elect not to contract out of the </w:t>
      </w:r>
      <w:r w:rsidRPr="00B55C77">
        <w:rPr>
          <w:i/>
          <w:sz w:val="24"/>
          <w:szCs w:val="24"/>
        </w:rPr>
        <w:t>Act</w:t>
      </w:r>
      <w:r w:rsidRPr="00B55C77">
        <w:rPr>
          <w:sz w:val="24"/>
          <w:szCs w:val="24"/>
        </w:rPr>
        <w:t>,</w:t>
      </w:r>
      <w:r w:rsidRPr="008D121F">
        <w:rPr>
          <w:vertAlign w:val="superscript"/>
        </w:rPr>
        <w:endnoteReference w:id="237"/>
      </w:r>
      <w:r w:rsidRPr="00B55C77">
        <w:rPr>
          <w:sz w:val="24"/>
          <w:szCs w:val="24"/>
        </w:rPr>
        <w:t xml:space="preserve"> then there is an acceptance that the law will intervene in the financial matters of these spouses in the event of relationship breakdown</w:t>
      </w:r>
      <w:r w:rsidR="00B003DA" w:rsidRPr="00B55C77">
        <w:rPr>
          <w:sz w:val="24"/>
          <w:szCs w:val="24"/>
        </w:rPr>
        <w:t>.</w:t>
      </w:r>
    </w:p>
    <w:p w:rsidR="00B55C77" w:rsidRPr="001002F5" w:rsidRDefault="00B1563C" w:rsidP="001002F5">
      <w:pPr>
        <w:pStyle w:val="ListParagraph"/>
        <w:numPr>
          <w:ilvl w:val="0"/>
          <w:numId w:val="52"/>
        </w:numPr>
        <w:spacing w:after="0" w:line="360" w:lineRule="auto"/>
        <w:jc w:val="both"/>
        <w:rPr>
          <w:sz w:val="24"/>
          <w:szCs w:val="24"/>
        </w:rPr>
      </w:pPr>
      <w:r w:rsidRPr="00B55C77">
        <w:rPr>
          <w:sz w:val="24"/>
          <w:szCs w:val="24"/>
        </w:rPr>
        <w:t xml:space="preserve">The start point is a new division in Part VIII of the </w:t>
      </w:r>
      <w:r w:rsidRPr="00B55C77">
        <w:rPr>
          <w:i/>
          <w:sz w:val="24"/>
          <w:szCs w:val="24"/>
        </w:rPr>
        <w:t>Act</w:t>
      </w:r>
      <w:r w:rsidR="008D121F" w:rsidRPr="00B55C77">
        <w:rPr>
          <w:sz w:val="24"/>
          <w:szCs w:val="24"/>
        </w:rPr>
        <w:t xml:space="preserve">, which would only apply </w:t>
      </w:r>
      <w:r w:rsidR="00B003DA" w:rsidRPr="00B55C77">
        <w:rPr>
          <w:noProof/>
          <w:sz w:val="24"/>
          <w:szCs w:val="24"/>
        </w:rPr>
        <w:t>on</w:t>
      </w:r>
      <w:r w:rsidR="00B003DA" w:rsidRPr="00B55C77">
        <w:rPr>
          <w:sz w:val="24"/>
          <w:szCs w:val="24"/>
        </w:rPr>
        <w:t xml:space="preserve"> </w:t>
      </w:r>
      <w:r w:rsidR="00B003DA" w:rsidRPr="00B55C77">
        <w:rPr>
          <w:noProof/>
          <w:sz w:val="24"/>
          <w:szCs w:val="24"/>
        </w:rPr>
        <w:t>a</w:t>
      </w:r>
      <w:r w:rsidR="00427BCD" w:rsidRPr="00B55C77">
        <w:rPr>
          <w:noProof/>
          <w:sz w:val="24"/>
          <w:szCs w:val="24"/>
        </w:rPr>
        <w:t>n affirma</w:t>
      </w:r>
      <w:r w:rsidR="00B003DA" w:rsidRPr="00B55C77">
        <w:rPr>
          <w:noProof/>
          <w:sz w:val="24"/>
          <w:szCs w:val="24"/>
        </w:rPr>
        <w:t>tive</w:t>
      </w:r>
      <w:r w:rsidR="00B003DA" w:rsidRPr="00B55C77">
        <w:rPr>
          <w:sz w:val="24"/>
          <w:szCs w:val="24"/>
        </w:rPr>
        <w:t xml:space="preserve"> finding of each </w:t>
      </w:r>
      <w:r w:rsidR="00427BCD" w:rsidRPr="00B55C77">
        <w:rPr>
          <w:sz w:val="24"/>
          <w:szCs w:val="24"/>
        </w:rPr>
        <w:t xml:space="preserve">of the </w:t>
      </w:r>
      <w:r w:rsidR="00B003DA" w:rsidRPr="00B55C77">
        <w:rPr>
          <w:sz w:val="24"/>
          <w:szCs w:val="24"/>
        </w:rPr>
        <w:t>pre-condition</w:t>
      </w:r>
      <w:r w:rsidR="00427BCD" w:rsidRPr="00B55C77">
        <w:rPr>
          <w:sz w:val="24"/>
          <w:szCs w:val="24"/>
        </w:rPr>
        <w:t>s</w:t>
      </w:r>
      <w:r w:rsidR="00B003DA" w:rsidRPr="00B55C77">
        <w:rPr>
          <w:sz w:val="24"/>
          <w:szCs w:val="24"/>
        </w:rPr>
        <w:t xml:space="preserve">. The existing provisions of section 79 of the </w:t>
      </w:r>
      <w:r w:rsidR="00B003DA" w:rsidRPr="00B55C77">
        <w:rPr>
          <w:i/>
          <w:sz w:val="24"/>
          <w:szCs w:val="24"/>
        </w:rPr>
        <w:t>Act</w:t>
      </w:r>
      <w:r w:rsidR="00B003DA" w:rsidRPr="00B55C77">
        <w:rPr>
          <w:sz w:val="24"/>
          <w:szCs w:val="24"/>
        </w:rPr>
        <w:t xml:space="preserve"> remain as a fall back for other types of families. </w:t>
      </w:r>
      <w:r w:rsidR="008D121F" w:rsidRPr="00B55C77">
        <w:rPr>
          <w:sz w:val="24"/>
          <w:szCs w:val="24"/>
        </w:rPr>
        <w:t xml:space="preserve"> </w:t>
      </w:r>
    </w:p>
    <w:p w:rsidR="00954E38" w:rsidRPr="001002F5" w:rsidRDefault="00B003DA" w:rsidP="00462142">
      <w:pPr>
        <w:pStyle w:val="ListParagraph"/>
        <w:numPr>
          <w:ilvl w:val="0"/>
          <w:numId w:val="52"/>
        </w:numPr>
        <w:spacing w:after="0" w:line="360" w:lineRule="auto"/>
        <w:jc w:val="both"/>
        <w:rPr>
          <w:sz w:val="24"/>
          <w:szCs w:val="24"/>
        </w:rPr>
      </w:pPr>
      <w:r w:rsidRPr="00B55C77">
        <w:rPr>
          <w:noProof/>
          <w:sz w:val="24"/>
          <w:szCs w:val="24"/>
        </w:rPr>
        <w:t xml:space="preserve">In this proposed </w:t>
      </w:r>
      <w:r w:rsidR="00427BCD" w:rsidRPr="00B55C77">
        <w:rPr>
          <w:noProof/>
          <w:sz w:val="24"/>
          <w:szCs w:val="24"/>
        </w:rPr>
        <w:t xml:space="preserve">reform </w:t>
      </w:r>
      <w:r w:rsidR="00954E38" w:rsidRPr="00B55C77">
        <w:rPr>
          <w:noProof/>
          <w:sz w:val="24"/>
          <w:szCs w:val="24"/>
        </w:rPr>
        <w:t>model</w:t>
      </w:r>
      <w:r w:rsidR="00427BCD" w:rsidRPr="00B55C77">
        <w:rPr>
          <w:noProof/>
          <w:sz w:val="24"/>
          <w:szCs w:val="24"/>
        </w:rPr>
        <w:t>,</w:t>
      </w:r>
      <w:r w:rsidRPr="00B55C77">
        <w:rPr>
          <w:noProof/>
          <w:sz w:val="24"/>
          <w:szCs w:val="24"/>
        </w:rPr>
        <w:t xml:space="preserve"> defining</w:t>
      </w:r>
      <w:r w:rsidR="00B1563C" w:rsidRPr="00B55C77">
        <w:rPr>
          <w:noProof/>
          <w:sz w:val="24"/>
          <w:szCs w:val="24"/>
        </w:rPr>
        <w:t xml:space="preserve"> property is essential.</w:t>
      </w:r>
      <w:r w:rsidR="00B1563C" w:rsidRPr="00B55C77">
        <w:rPr>
          <w:sz w:val="24"/>
          <w:szCs w:val="24"/>
        </w:rPr>
        <w:t xml:space="preserve"> Achieving this is by way of a simple statement that property has the same meaning as in section 4 of the </w:t>
      </w:r>
      <w:r w:rsidR="00B1563C" w:rsidRPr="00B55C77">
        <w:rPr>
          <w:i/>
          <w:sz w:val="24"/>
          <w:szCs w:val="24"/>
        </w:rPr>
        <w:t>Act</w:t>
      </w:r>
      <w:r w:rsidR="00B1563C" w:rsidRPr="00B55C77">
        <w:rPr>
          <w:sz w:val="24"/>
          <w:szCs w:val="24"/>
        </w:rPr>
        <w:t>, being ‘property of the parties to the marriage or either of them.’</w:t>
      </w:r>
      <w:r w:rsidR="00B1563C" w:rsidRPr="00B1563C">
        <w:rPr>
          <w:vertAlign w:val="superscript"/>
        </w:rPr>
        <w:endnoteReference w:id="238"/>
      </w:r>
      <w:r w:rsidR="00B1563C" w:rsidRPr="00B55C77">
        <w:rPr>
          <w:sz w:val="24"/>
          <w:szCs w:val="24"/>
        </w:rPr>
        <w:t xml:space="preserve"> Avoiding any doubt requires a statement that property includes any property owned by the parents jointly, or separately, acquired before, during or after the marriage, at its value at the date of hearing.</w:t>
      </w:r>
      <w:r w:rsidR="00B1563C" w:rsidRPr="00B1563C">
        <w:rPr>
          <w:vertAlign w:val="superscript"/>
        </w:rPr>
        <w:endnoteReference w:id="239"/>
      </w:r>
      <w:r w:rsidR="00B1563C" w:rsidRPr="00B55C77">
        <w:rPr>
          <w:sz w:val="24"/>
          <w:szCs w:val="24"/>
        </w:rPr>
        <w:t xml:space="preserve"> </w:t>
      </w:r>
      <w:r w:rsidR="008D121F" w:rsidRPr="00B55C77">
        <w:rPr>
          <w:sz w:val="24"/>
          <w:szCs w:val="24"/>
        </w:rPr>
        <w:t xml:space="preserve"> </w:t>
      </w:r>
      <w:r w:rsidR="00B1563C" w:rsidRPr="00B55C77">
        <w:rPr>
          <w:sz w:val="24"/>
          <w:szCs w:val="24"/>
        </w:rPr>
        <w:t xml:space="preserve">Deduction of liabilities then occurs unless they are </w:t>
      </w:r>
      <w:r w:rsidR="00B1563C" w:rsidRPr="00B55C77">
        <w:rPr>
          <w:sz w:val="24"/>
          <w:szCs w:val="24"/>
        </w:rPr>
        <w:lastRenderedPageBreak/>
        <w:t>uncertain or unreasonable.</w:t>
      </w:r>
      <w:r w:rsidR="00B1563C" w:rsidRPr="00B1563C">
        <w:rPr>
          <w:vertAlign w:val="superscript"/>
        </w:rPr>
        <w:endnoteReference w:id="240"/>
      </w:r>
      <w:r w:rsidR="00B1563C" w:rsidRPr="00B55C77">
        <w:rPr>
          <w:sz w:val="24"/>
          <w:szCs w:val="24"/>
        </w:rPr>
        <w:t xml:space="preserve"> As is the present case, excluded property is that covered by a financial agreement.</w:t>
      </w:r>
      <w:r w:rsidR="00B1563C" w:rsidRPr="00B1563C">
        <w:rPr>
          <w:vertAlign w:val="superscript"/>
        </w:rPr>
        <w:endnoteReference w:id="241"/>
      </w:r>
    </w:p>
    <w:p w:rsidR="00954E38" w:rsidRPr="001002F5" w:rsidRDefault="00B1563C" w:rsidP="00462142">
      <w:pPr>
        <w:pStyle w:val="ListParagraph"/>
        <w:numPr>
          <w:ilvl w:val="0"/>
          <w:numId w:val="52"/>
        </w:numPr>
        <w:spacing w:after="0" w:line="360" w:lineRule="auto"/>
        <w:jc w:val="both"/>
        <w:rPr>
          <w:sz w:val="24"/>
          <w:szCs w:val="24"/>
        </w:rPr>
      </w:pPr>
      <w:r w:rsidRPr="00B55C77">
        <w:rPr>
          <w:sz w:val="24"/>
          <w:szCs w:val="24"/>
        </w:rPr>
        <w:t xml:space="preserve">Creation of a rule of equal division of property comes from only slight word changes to the equivalent New Zealand provision, such that division of property under this division (and subject to the rest of the division) each spouse shares equally in the value all </w:t>
      </w:r>
      <w:r w:rsidRPr="00B55C77">
        <w:rPr>
          <w:noProof/>
          <w:sz w:val="24"/>
          <w:szCs w:val="24"/>
        </w:rPr>
        <w:t>property</w:t>
      </w:r>
      <w:r w:rsidRPr="00B55C77">
        <w:rPr>
          <w:sz w:val="24"/>
          <w:szCs w:val="24"/>
        </w:rPr>
        <w:t>.</w:t>
      </w:r>
      <w:r w:rsidRPr="00B1563C">
        <w:rPr>
          <w:vertAlign w:val="superscript"/>
        </w:rPr>
        <w:endnoteReference w:id="242"/>
      </w:r>
      <w:r w:rsidRPr="00B55C77">
        <w:rPr>
          <w:sz w:val="24"/>
          <w:szCs w:val="24"/>
        </w:rPr>
        <w:t xml:space="preserve"> Like New Zealand’s provision, this mandates an equal division. Unlike New Zealand, it applies to all property not just relationship property. </w:t>
      </w:r>
    </w:p>
    <w:p w:rsidR="00B55C77" w:rsidRPr="003A26A5" w:rsidRDefault="00B1563C" w:rsidP="003A26A5">
      <w:pPr>
        <w:pStyle w:val="ListParagraph"/>
        <w:numPr>
          <w:ilvl w:val="0"/>
          <w:numId w:val="52"/>
        </w:numPr>
        <w:spacing w:after="0" w:line="360" w:lineRule="auto"/>
        <w:jc w:val="both"/>
        <w:rPr>
          <w:sz w:val="24"/>
          <w:szCs w:val="24"/>
        </w:rPr>
      </w:pPr>
      <w:r w:rsidRPr="00B55C77">
        <w:rPr>
          <w:sz w:val="24"/>
          <w:szCs w:val="24"/>
        </w:rPr>
        <w:t xml:space="preserve">Next is a provision for dividing property unequally. If a person applies to the court for an equal property division, a court may make an order distributing the </w:t>
      </w:r>
      <w:r w:rsidRPr="00B55C77">
        <w:rPr>
          <w:noProof/>
          <w:sz w:val="24"/>
          <w:szCs w:val="24"/>
        </w:rPr>
        <w:t>property</w:t>
      </w:r>
      <w:r w:rsidRPr="00B55C77">
        <w:rPr>
          <w:sz w:val="24"/>
          <w:szCs w:val="24"/>
        </w:rPr>
        <w:t xml:space="preserve"> of the parties </w:t>
      </w:r>
      <w:r w:rsidRPr="00B55C77">
        <w:rPr>
          <w:noProof/>
          <w:sz w:val="24"/>
          <w:szCs w:val="24"/>
        </w:rPr>
        <w:t>unequally</w:t>
      </w:r>
      <w:r w:rsidRPr="00B55C77">
        <w:rPr>
          <w:sz w:val="24"/>
          <w:szCs w:val="24"/>
        </w:rPr>
        <w:t xml:space="preserve">. </w:t>
      </w:r>
      <w:r w:rsidR="003A26A5">
        <w:rPr>
          <w:sz w:val="24"/>
          <w:szCs w:val="24"/>
        </w:rPr>
        <w:t xml:space="preserve"> </w:t>
      </w:r>
      <w:r w:rsidRPr="003A26A5">
        <w:rPr>
          <w:sz w:val="24"/>
          <w:szCs w:val="24"/>
        </w:rPr>
        <w:t xml:space="preserve">The purpose of </w:t>
      </w:r>
      <w:r w:rsidRPr="003A26A5">
        <w:rPr>
          <w:noProof/>
          <w:sz w:val="24"/>
          <w:szCs w:val="24"/>
        </w:rPr>
        <w:t>an unequal</w:t>
      </w:r>
      <w:r w:rsidRPr="003A26A5">
        <w:rPr>
          <w:sz w:val="24"/>
          <w:szCs w:val="24"/>
        </w:rPr>
        <w:t xml:space="preserve"> property order is to adjust, to the most significant extent possible, the financial circumstances of a separated family, including disparity of economic conditions resulting from separation.  </w:t>
      </w:r>
    </w:p>
    <w:p w:rsidR="008D121F" w:rsidRPr="00B55C77" w:rsidRDefault="00B1563C" w:rsidP="009A0126">
      <w:pPr>
        <w:pStyle w:val="ListParagraph"/>
        <w:numPr>
          <w:ilvl w:val="0"/>
          <w:numId w:val="52"/>
        </w:numPr>
        <w:spacing w:after="0" w:line="360" w:lineRule="auto"/>
        <w:jc w:val="both"/>
        <w:rPr>
          <w:sz w:val="24"/>
          <w:szCs w:val="24"/>
        </w:rPr>
      </w:pPr>
      <w:r w:rsidRPr="00B55C77">
        <w:rPr>
          <w:sz w:val="24"/>
          <w:szCs w:val="24"/>
        </w:rPr>
        <w:t>Two subsets of factors apply</w:t>
      </w:r>
      <w:r w:rsidR="008D121F" w:rsidRPr="00B55C77">
        <w:rPr>
          <w:sz w:val="24"/>
          <w:szCs w:val="24"/>
        </w:rPr>
        <w:t>:</w:t>
      </w:r>
      <w:r w:rsidRPr="00B55C77">
        <w:rPr>
          <w:sz w:val="24"/>
          <w:szCs w:val="24"/>
        </w:rPr>
        <w:t xml:space="preserve"> </w:t>
      </w:r>
    </w:p>
    <w:p w:rsidR="008D121F" w:rsidRDefault="008D121F" w:rsidP="009A0126">
      <w:pPr>
        <w:pStyle w:val="ListParagraph"/>
        <w:numPr>
          <w:ilvl w:val="0"/>
          <w:numId w:val="32"/>
        </w:numPr>
        <w:spacing w:after="0" w:line="360" w:lineRule="auto"/>
        <w:jc w:val="both"/>
        <w:rPr>
          <w:sz w:val="24"/>
          <w:szCs w:val="24"/>
        </w:rPr>
      </w:pPr>
      <w:r>
        <w:rPr>
          <w:sz w:val="24"/>
          <w:szCs w:val="24"/>
        </w:rPr>
        <w:t>W</w:t>
      </w:r>
      <w:r w:rsidR="00B1563C" w:rsidRPr="008D121F">
        <w:rPr>
          <w:sz w:val="24"/>
          <w:szCs w:val="24"/>
        </w:rPr>
        <w:t xml:space="preserve">here there are dependent children, the court shall give the most weight to maximising the accommodation, health, education, social, sporting and family connection opportunities of those children so that they are approximately equal in each parent’s household. Relevant evidence includes the actual costs incurred for the children (irrespective of child support) in each home. </w:t>
      </w:r>
    </w:p>
    <w:p w:rsidR="00954E38" w:rsidRPr="001002F5" w:rsidRDefault="008D121F" w:rsidP="00462142">
      <w:pPr>
        <w:pStyle w:val="ListParagraph"/>
        <w:numPr>
          <w:ilvl w:val="0"/>
          <w:numId w:val="32"/>
        </w:numPr>
        <w:spacing w:after="0" w:line="360" w:lineRule="auto"/>
        <w:jc w:val="both"/>
        <w:rPr>
          <w:sz w:val="24"/>
          <w:szCs w:val="24"/>
        </w:rPr>
      </w:pPr>
      <w:r>
        <w:rPr>
          <w:sz w:val="24"/>
          <w:szCs w:val="24"/>
        </w:rPr>
        <w:t>W</w:t>
      </w:r>
      <w:r w:rsidR="00B1563C" w:rsidRPr="008D121F">
        <w:rPr>
          <w:sz w:val="24"/>
          <w:szCs w:val="24"/>
        </w:rPr>
        <w:t xml:space="preserve">here there are no longer dependent children; the court shall give the highest weight to ensuring an approximately equal standard of living for each parent, to ensure that each retires with similar dignity. </w:t>
      </w:r>
    </w:p>
    <w:p w:rsidR="00B55C77" w:rsidRPr="001002F5" w:rsidRDefault="00B1563C" w:rsidP="001002F5">
      <w:pPr>
        <w:pStyle w:val="ListParagraph"/>
        <w:numPr>
          <w:ilvl w:val="0"/>
          <w:numId w:val="52"/>
        </w:numPr>
        <w:spacing w:after="0" w:line="360" w:lineRule="auto"/>
        <w:jc w:val="both"/>
        <w:rPr>
          <w:sz w:val="24"/>
          <w:szCs w:val="24"/>
        </w:rPr>
      </w:pPr>
      <w:r w:rsidRPr="00B55C77">
        <w:rPr>
          <w:sz w:val="24"/>
          <w:szCs w:val="24"/>
        </w:rPr>
        <w:t xml:space="preserve">All in cases, the court shall also give weight to the disparity of property (if one party is retaining property under a financial agreement), financial resources, health, and respective earning capacities of the parents at the date of hearing. </w:t>
      </w:r>
    </w:p>
    <w:p w:rsidR="008D121F" w:rsidRPr="00B55C77" w:rsidRDefault="00B1563C" w:rsidP="009A0126">
      <w:pPr>
        <w:pStyle w:val="ListParagraph"/>
        <w:numPr>
          <w:ilvl w:val="0"/>
          <w:numId w:val="52"/>
        </w:numPr>
        <w:spacing w:after="0" w:line="360" w:lineRule="auto"/>
        <w:jc w:val="both"/>
        <w:rPr>
          <w:sz w:val="24"/>
          <w:szCs w:val="24"/>
        </w:rPr>
      </w:pPr>
      <w:r w:rsidRPr="00B55C77">
        <w:rPr>
          <w:sz w:val="24"/>
          <w:szCs w:val="24"/>
        </w:rPr>
        <w:t>However, an equal division of all property, together with an unequal discretion, still leaves three areas of uncertainty and unpredictability. They are</w:t>
      </w:r>
      <w:r w:rsidR="008D121F" w:rsidRPr="00B55C77">
        <w:rPr>
          <w:sz w:val="24"/>
          <w:szCs w:val="24"/>
        </w:rPr>
        <w:t>:</w:t>
      </w:r>
    </w:p>
    <w:p w:rsidR="008D121F" w:rsidRDefault="00B1563C" w:rsidP="009A0126">
      <w:pPr>
        <w:pStyle w:val="ListParagraph"/>
        <w:numPr>
          <w:ilvl w:val="0"/>
          <w:numId w:val="33"/>
        </w:numPr>
        <w:spacing w:after="0" w:line="360" w:lineRule="auto"/>
        <w:jc w:val="both"/>
        <w:rPr>
          <w:sz w:val="24"/>
          <w:szCs w:val="24"/>
        </w:rPr>
      </w:pPr>
      <w:r w:rsidRPr="008D121F">
        <w:rPr>
          <w:sz w:val="24"/>
          <w:szCs w:val="24"/>
        </w:rPr>
        <w:t xml:space="preserve">the amount of the unequal division; </w:t>
      </w:r>
    </w:p>
    <w:p w:rsidR="008D121F" w:rsidRDefault="00B1563C" w:rsidP="009A0126">
      <w:pPr>
        <w:pStyle w:val="ListParagraph"/>
        <w:numPr>
          <w:ilvl w:val="0"/>
          <w:numId w:val="33"/>
        </w:numPr>
        <w:spacing w:after="0" w:line="360" w:lineRule="auto"/>
        <w:jc w:val="both"/>
        <w:rPr>
          <w:sz w:val="24"/>
          <w:szCs w:val="24"/>
        </w:rPr>
      </w:pPr>
      <w:r w:rsidRPr="008D121F">
        <w:rPr>
          <w:sz w:val="24"/>
          <w:szCs w:val="24"/>
        </w:rPr>
        <w:t xml:space="preserve">construction of the order, and </w:t>
      </w:r>
    </w:p>
    <w:p w:rsidR="00B1563C" w:rsidRPr="001002F5" w:rsidRDefault="00B1563C" w:rsidP="00462142">
      <w:pPr>
        <w:pStyle w:val="ListParagraph"/>
        <w:numPr>
          <w:ilvl w:val="0"/>
          <w:numId w:val="33"/>
        </w:numPr>
        <w:spacing w:after="0" w:line="360" w:lineRule="auto"/>
        <w:jc w:val="both"/>
        <w:rPr>
          <w:sz w:val="24"/>
          <w:szCs w:val="24"/>
        </w:rPr>
      </w:pPr>
      <w:r w:rsidRPr="008D121F">
        <w:rPr>
          <w:sz w:val="24"/>
          <w:szCs w:val="24"/>
        </w:rPr>
        <w:lastRenderedPageBreak/>
        <w:t xml:space="preserve">judicial process for determining applications. </w:t>
      </w:r>
    </w:p>
    <w:p w:rsidR="00B55C77" w:rsidRPr="001002F5" w:rsidRDefault="00B1563C" w:rsidP="001002F5">
      <w:pPr>
        <w:pStyle w:val="ListParagraph"/>
        <w:numPr>
          <w:ilvl w:val="0"/>
          <w:numId w:val="52"/>
        </w:numPr>
        <w:spacing w:after="0" w:line="360" w:lineRule="auto"/>
        <w:jc w:val="both"/>
        <w:rPr>
          <w:sz w:val="24"/>
          <w:szCs w:val="24"/>
        </w:rPr>
      </w:pPr>
      <w:r w:rsidRPr="00B55C77">
        <w:rPr>
          <w:sz w:val="24"/>
          <w:szCs w:val="24"/>
        </w:rPr>
        <w:t xml:space="preserve">If there are no confines around the unequal division, then the model law is no more specific than the existing section 79 of the </w:t>
      </w:r>
      <w:r w:rsidRPr="00B55C77">
        <w:rPr>
          <w:i/>
          <w:sz w:val="24"/>
          <w:szCs w:val="24"/>
        </w:rPr>
        <w:t>Act</w:t>
      </w:r>
      <w:r w:rsidRPr="00B55C77">
        <w:rPr>
          <w:sz w:val="24"/>
          <w:szCs w:val="24"/>
        </w:rPr>
        <w:t xml:space="preserve">, save that the range is 50% to 100%. However, unlike section 79 of the </w:t>
      </w:r>
      <w:r w:rsidRPr="00B55C77">
        <w:rPr>
          <w:i/>
          <w:sz w:val="24"/>
          <w:szCs w:val="24"/>
        </w:rPr>
        <w:t>Act</w:t>
      </w:r>
      <w:r w:rsidRPr="00B55C77">
        <w:rPr>
          <w:sz w:val="24"/>
          <w:szCs w:val="24"/>
        </w:rPr>
        <w:t>, a spouse (in this model law) already has an equal share in the property.</w:t>
      </w:r>
      <w:r w:rsidRPr="00B1563C">
        <w:rPr>
          <w:vertAlign w:val="superscript"/>
        </w:rPr>
        <w:endnoteReference w:id="243"/>
      </w:r>
      <w:r w:rsidRPr="00B55C77">
        <w:rPr>
          <w:sz w:val="24"/>
          <w:szCs w:val="24"/>
        </w:rPr>
        <w:t xml:space="preserve"> </w:t>
      </w:r>
    </w:p>
    <w:p w:rsidR="00B55C77" w:rsidRPr="001002F5" w:rsidRDefault="00B1563C" w:rsidP="001002F5">
      <w:pPr>
        <w:pStyle w:val="ListParagraph"/>
        <w:numPr>
          <w:ilvl w:val="0"/>
          <w:numId w:val="52"/>
        </w:numPr>
        <w:spacing w:after="0" w:line="360" w:lineRule="auto"/>
        <w:jc w:val="both"/>
        <w:rPr>
          <w:sz w:val="24"/>
          <w:szCs w:val="24"/>
        </w:rPr>
      </w:pPr>
      <w:r w:rsidRPr="00B55C77">
        <w:rPr>
          <w:sz w:val="24"/>
          <w:szCs w:val="24"/>
        </w:rPr>
        <w:t xml:space="preserve">One option to manage the quantum of judicial discretion comes from New Zealand. Henaghan wrote of a limitation on judicial </w:t>
      </w:r>
      <w:r w:rsidRPr="00B55C77">
        <w:rPr>
          <w:noProof/>
          <w:sz w:val="24"/>
          <w:szCs w:val="24"/>
        </w:rPr>
        <w:t>discretion</w:t>
      </w:r>
      <w:r w:rsidRPr="00B55C77">
        <w:rPr>
          <w:sz w:val="24"/>
          <w:szCs w:val="24"/>
        </w:rPr>
        <w:t xml:space="preserve"> with a maximum of 15 % deviation from an equal division: that is a 65 % /35 % result.</w:t>
      </w:r>
      <w:r w:rsidRPr="00B1563C">
        <w:rPr>
          <w:vertAlign w:val="superscript"/>
        </w:rPr>
        <w:endnoteReference w:id="244"/>
      </w:r>
      <w:r w:rsidRPr="00B55C77">
        <w:rPr>
          <w:sz w:val="24"/>
          <w:szCs w:val="24"/>
        </w:rPr>
        <w:t xml:space="preserve"> He argued that this provided a means for parties to plan and understand defined expectations’.</w:t>
      </w:r>
      <w:r w:rsidRPr="00B1563C">
        <w:rPr>
          <w:vertAlign w:val="superscript"/>
        </w:rPr>
        <w:endnoteReference w:id="245"/>
      </w:r>
      <w:r w:rsidRPr="00B55C77">
        <w:rPr>
          <w:sz w:val="24"/>
          <w:szCs w:val="24"/>
        </w:rPr>
        <w:t xml:space="preserve"> However, a concern is that the cap of a 65% assumes that this result will be sufficient to compensate for economic disparity, when it may not (if there is only modest property). </w:t>
      </w:r>
    </w:p>
    <w:p w:rsidR="00B55C77" w:rsidRPr="001002F5" w:rsidRDefault="00B1563C" w:rsidP="001002F5">
      <w:pPr>
        <w:pStyle w:val="ListParagraph"/>
        <w:numPr>
          <w:ilvl w:val="0"/>
          <w:numId w:val="52"/>
        </w:numPr>
        <w:spacing w:after="0" w:line="360" w:lineRule="auto"/>
        <w:jc w:val="both"/>
        <w:rPr>
          <w:sz w:val="24"/>
          <w:szCs w:val="24"/>
        </w:rPr>
      </w:pPr>
      <w:r w:rsidRPr="00B55C77">
        <w:rPr>
          <w:sz w:val="24"/>
          <w:szCs w:val="24"/>
        </w:rPr>
        <w:t>A way of addressing the issue is a staggered cap to the adjustment. For example</w:t>
      </w:r>
      <w:r w:rsidR="00B003DA" w:rsidRPr="00B55C77">
        <w:rPr>
          <w:sz w:val="24"/>
          <w:szCs w:val="24"/>
        </w:rPr>
        <w:t>:</w:t>
      </w:r>
    </w:p>
    <w:p w:rsidR="00B55C77" w:rsidRDefault="00B1563C" w:rsidP="009A0126">
      <w:pPr>
        <w:pStyle w:val="ListParagraph"/>
        <w:numPr>
          <w:ilvl w:val="1"/>
          <w:numId w:val="52"/>
        </w:numPr>
        <w:spacing w:after="0" w:line="360" w:lineRule="auto"/>
        <w:jc w:val="both"/>
        <w:rPr>
          <w:sz w:val="24"/>
          <w:szCs w:val="24"/>
        </w:rPr>
      </w:pPr>
      <w:r w:rsidRPr="00B55C77">
        <w:rPr>
          <w:sz w:val="24"/>
          <w:szCs w:val="24"/>
        </w:rPr>
        <w:t xml:space="preserve">the maximum </w:t>
      </w:r>
      <w:r w:rsidRPr="00B55C77">
        <w:rPr>
          <w:noProof/>
          <w:sz w:val="24"/>
          <w:szCs w:val="24"/>
        </w:rPr>
        <w:t>adjustment</w:t>
      </w:r>
      <w:r w:rsidRPr="00B55C77">
        <w:rPr>
          <w:sz w:val="24"/>
          <w:szCs w:val="24"/>
        </w:rPr>
        <w:t xml:space="preserve"> is 30% (80/20 division) when the value of the property is at or less 150% of the applicable social security test.</w:t>
      </w:r>
    </w:p>
    <w:p w:rsidR="00954E38" w:rsidRPr="001002F5" w:rsidRDefault="00B1563C" w:rsidP="00462142">
      <w:pPr>
        <w:pStyle w:val="ListParagraph"/>
        <w:numPr>
          <w:ilvl w:val="1"/>
          <w:numId w:val="52"/>
        </w:numPr>
        <w:spacing w:after="0" w:line="360" w:lineRule="auto"/>
        <w:jc w:val="both"/>
        <w:rPr>
          <w:sz w:val="24"/>
          <w:szCs w:val="24"/>
        </w:rPr>
      </w:pPr>
      <w:r w:rsidRPr="00B55C77">
        <w:rPr>
          <w:sz w:val="24"/>
          <w:szCs w:val="24"/>
        </w:rPr>
        <w:t>For disadvantaged families, the award is up to 50% (100/0 division) when the net property is at or below the appropriate social security test.  As at 29 June 2017, this (full pension) asset test was for a couple (combined) is $575,000.</w:t>
      </w:r>
      <w:r w:rsidRPr="00B1563C">
        <w:rPr>
          <w:vertAlign w:val="superscript"/>
        </w:rPr>
        <w:endnoteReference w:id="246"/>
      </w:r>
      <w:r w:rsidRPr="00B55C77">
        <w:rPr>
          <w:sz w:val="24"/>
          <w:szCs w:val="24"/>
        </w:rPr>
        <w:t xml:space="preserve"> On this basis, the cap of an 80/20 division would presently only apply to cases where the net property exceeds $862 500. </w:t>
      </w:r>
    </w:p>
    <w:p w:rsidR="00954E38" w:rsidRPr="001002F5" w:rsidRDefault="00B1563C" w:rsidP="00462142">
      <w:pPr>
        <w:pStyle w:val="ListParagraph"/>
        <w:numPr>
          <w:ilvl w:val="0"/>
          <w:numId w:val="52"/>
        </w:numPr>
        <w:spacing w:after="0" w:line="360" w:lineRule="auto"/>
        <w:jc w:val="both"/>
        <w:rPr>
          <w:sz w:val="24"/>
          <w:szCs w:val="24"/>
        </w:rPr>
      </w:pPr>
      <w:r w:rsidRPr="00B55C77">
        <w:rPr>
          <w:sz w:val="24"/>
          <w:szCs w:val="24"/>
        </w:rPr>
        <w:t xml:space="preserve">If the social security test is an inappropriate measure, then a comparator might be average couple wealth using Australian Bureau of Statistics data. </w:t>
      </w:r>
    </w:p>
    <w:p w:rsidR="00954E38" w:rsidRPr="001002F5" w:rsidRDefault="00B1563C" w:rsidP="00462142">
      <w:pPr>
        <w:pStyle w:val="ListParagraph"/>
        <w:numPr>
          <w:ilvl w:val="0"/>
          <w:numId w:val="52"/>
        </w:numPr>
        <w:spacing w:after="0" w:line="360" w:lineRule="auto"/>
        <w:jc w:val="both"/>
        <w:rPr>
          <w:sz w:val="24"/>
          <w:szCs w:val="24"/>
        </w:rPr>
      </w:pPr>
      <w:r w:rsidRPr="00B55C77">
        <w:rPr>
          <w:sz w:val="24"/>
          <w:szCs w:val="24"/>
        </w:rPr>
        <w:t>Separating the relevant factors for the quantum of the order from composition improves transparency. If spouses seek an equal division but remain in dispute about what property each is to retain, then the disagreement is narrower.</w:t>
      </w:r>
    </w:p>
    <w:p w:rsidR="00B003DA" w:rsidRPr="00B55C77" w:rsidRDefault="00B1563C" w:rsidP="009A0126">
      <w:pPr>
        <w:pStyle w:val="ListParagraph"/>
        <w:numPr>
          <w:ilvl w:val="0"/>
          <w:numId w:val="52"/>
        </w:numPr>
        <w:spacing w:after="0" w:line="360" w:lineRule="auto"/>
        <w:jc w:val="both"/>
        <w:rPr>
          <w:sz w:val="24"/>
          <w:szCs w:val="24"/>
        </w:rPr>
      </w:pPr>
      <w:r w:rsidRPr="00B55C77">
        <w:rPr>
          <w:sz w:val="24"/>
          <w:szCs w:val="24"/>
        </w:rPr>
        <w:t xml:space="preserve">Existing factors from cases under section 79 of the </w:t>
      </w:r>
      <w:r w:rsidRPr="00B55C77">
        <w:rPr>
          <w:i/>
          <w:sz w:val="24"/>
          <w:szCs w:val="24"/>
        </w:rPr>
        <w:t xml:space="preserve">Act </w:t>
      </w:r>
      <w:r w:rsidRPr="00B55C77">
        <w:rPr>
          <w:sz w:val="24"/>
          <w:szCs w:val="24"/>
        </w:rPr>
        <w:t xml:space="preserve">readily lend themselves to inclusion in a statutory discretion. </w:t>
      </w:r>
      <w:r w:rsidRPr="00B55C77">
        <w:rPr>
          <w:noProof/>
          <w:sz w:val="24"/>
          <w:szCs w:val="24"/>
        </w:rPr>
        <w:t>Factors</w:t>
      </w:r>
      <w:r w:rsidRPr="00B55C77">
        <w:rPr>
          <w:sz w:val="24"/>
          <w:szCs w:val="24"/>
        </w:rPr>
        <w:t xml:space="preserve"> include</w:t>
      </w:r>
      <w:r w:rsidR="00B003DA" w:rsidRPr="00B55C77">
        <w:rPr>
          <w:sz w:val="24"/>
          <w:szCs w:val="24"/>
        </w:rPr>
        <w:t>:</w:t>
      </w:r>
    </w:p>
    <w:p w:rsidR="00B003DA" w:rsidRDefault="00980F2E" w:rsidP="009A0126">
      <w:pPr>
        <w:pStyle w:val="ListParagraph"/>
        <w:numPr>
          <w:ilvl w:val="0"/>
          <w:numId w:val="34"/>
        </w:numPr>
        <w:spacing w:after="0" w:line="360" w:lineRule="auto"/>
        <w:jc w:val="both"/>
        <w:rPr>
          <w:sz w:val="24"/>
          <w:szCs w:val="24"/>
        </w:rPr>
      </w:pPr>
      <w:r>
        <w:rPr>
          <w:noProof/>
          <w:sz w:val="24"/>
          <w:szCs w:val="24"/>
        </w:rPr>
        <w:t>T</w:t>
      </w:r>
      <w:r w:rsidR="00B1563C" w:rsidRPr="00980F2E">
        <w:rPr>
          <w:noProof/>
          <w:sz w:val="24"/>
          <w:szCs w:val="24"/>
        </w:rPr>
        <w:t>he nature</w:t>
      </w:r>
      <w:r w:rsidR="00B1563C" w:rsidRPr="00B003DA">
        <w:rPr>
          <w:sz w:val="24"/>
          <w:szCs w:val="24"/>
        </w:rPr>
        <w:t xml:space="preserve"> of the property (for example, </w:t>
      </w:r>
      <w:r w:rsidR="00B1563C" w:rsidRPr="00427BCD">
        <w:rPr>
          <w:noProof/>
          <w:sz w:val="24"/>
          <w:szCs w:val="24"/>
        </w:rPr>
        <w:t>superannuation</w:t>
      </w:r>
      <w:r w:rsidR="00B1563C" w:rsidRPr="00B003DA">
        <w:rPr>
          <w:sz w:val="24"/>
          <w:szCs w:val="24"/>
        </w:rPr>
        <w:t xml:space="preserve"> or</w:t>
      </w:r>
      <w:r>
        <w:rPr>
          <w:sz w:val="24"/>
          <w:szCs w:val="24"/>
        </w:rPr>
        <w:t xml:space="preserve"> </w:t>
      </w:r>
      <w:r w:rsidR="00B1563C" w:rsidRPr="00980F2E">
        <w:rPr>
          <w:noProof/>
          <w:sz w:val="24"/>
          <w:szCs w:val="24"/>
        </w:rPr>
        <w:t>business</w:t>
      </w:r>
      <w:r w:rsidR="00B1563C" w:rsidRPr="00B003DA">
        <w:rPr>
          <w:sz w:val="24"/>
          <w:szCs w:val="24"/>
        </w:rPr>
        <w:t xml:space="preserve"> interest), </w:t>
      </w:r>
    </w:p>
    <w:p w:rsidR="00B003DA" w:rsidRDefault="00B1563C" w:rsidP="009A0126">
      <w:pPr>
        <w:pStyle w:val="ListParagraph"/>
        <w:numPr>
          <w:ilvl w:val="0"/>
          <w:numId w:val="34"/>
        </w:numPr>
        <w:spacing w:after="0" w:line="360" w:lineRule="auto"/>
        <w:jc w:val="both"/>
        <w:rPr>
          <w:sz w:val="24"/>
          <w:szCs w:val="24"/>
        </w:rPr>
      </w:pPr>
      <w:r w:rsidRPr="00B003DA">
        <w:rPr>
          <w:sz w:val="24"/>
          <w:szCs w:val="24"/>
        </w:rPr>
        <w:t xml:space="preserve">a party’s desire to retain specific property, </w:t>
      </w:r>
    </w:p>
    <w:p w:rsidR="00B003DA" w:rsidRDefault="00B1563C" w:rsidP="009A0126">
      <w:pPr>
        <w:pStyle w:val="ListParagraph"/>
        <w:numPr>
          <w:ilvl w:val="0"/>
          <w:numId w:val="34"/>
        </w:numPr>
        <w:spacing w:after="0" w:line="360" w:lineRule="auto"/>
        <w:jc w:val="both"/>
        <w:rPr>
          <w:sz w:val="24"/>
          <w:szCs w:val="24"/>
        </w:rPr>
      </w:pPr>
      <w:r w:rsidRPr="00B003DA">
        <w:rPr>
          <w:sz w:val="24"/>
          <w:szCs w:val="24"/>
        </w:rPr>
        <w:lastRenderedPageBreak/>
        <w:t xml:space="preserve">the intrinsic value </w:t>
      </w:r>
      <w:r w:rsidR="00427BCD">
        <w:rPr>
          <w:noProof/>
          <w:sz w:val="24"/>
          <w:szCs w:val="24"/>
        </w:rPr>
        <w:t>of</w:t>
      </w:r>
      <w:r w:rsidRPr="00B003DA">
        <w:rPr>
          <w:sz w:val="24"/>
          <w:szCs w:val="24"/>
        </w:rPr>
        <w:t xml:space="preserve"> keeping a home because of the proximity to favoured schools</w:t>
      </w:r>
      <w:r w:rsidRPr="00B1563C">
        <w:rPr>
          <w:vertAlign w:val="superscript"/>
        </w:rPr>
        <w:endnoteReference w:id="247"/>
      </w:r>
      <w:r w:rsidRPr="00B003DA">
        <w:rPr>
          <w:sz w:val="24"/>
          <w:szCs w:val="24"/>
        </w:rPr>
        <w:t xml:space="preserve"> and</w:t>
      </w:r>
      <w:r w:rsidR="00B003DA">
        <w:rPr>
          <w:sz w:val="24"/>
          <w:szCs w:val="24"/>
        </w:rPr>
        <w:t>,</w:t>
      </w:r>
    </w:p>
    <w:p w:rsidR="00954E38" w:rsidRPr="001002F5" w:rsidRDefault="00B1563C" w:rsidP="00462142">
      <w:pPr>
        <w:pStyle w:val="ListParagraph"/>
        <w:numPr>
          <w:ilvl w:val="0"/>
          <w:numId w:val="34"/>
        </w:numPr>
        <w:spacing w:after="0" w:line="360" w:lineRule="auto"/>
        <w:jc w:val="both"/>
        <w:rPr>
          <w:sz w:val="24"/>
          <w:szCs w:val="24"/>
        </w:rPr>
      </w:pPr>
      <w:r w:rsidRPr="00B003DA">
        <w:rPr>
          <w:sz w:val="24"/>
          <w:szCs w:val="24"/>
        </w:rPr>
        <w:t>the emotional effect on a person of having to sell their home.</w:t>
      </w:r>
      <w:r w:rsidRPr="00B1563C">
        <w:rPr>
          <w:vertAlign w:val="superscript"/>
        </w:rPr>
        <w:endnoteReference w:id="248"/>
      </w:r>
    </w:p>
    <w:p w:rsidR="00B55C77" w:rsidRPr="001002F5" w:rsidRDefault="00B1563C" w:rsidP="001002F5">
      <w:pPr>
        <w:pStyle w:val="ListParagraph"/>
        <w:numPr>
          <w:ilvl w:val="0"/>
          <w:numId w:val="52"/>
        </w:numPr>
        <w:spacing w:after="0" w:line="360" w:lineRule="auto"/>
        <w:jc w:val="both"/>
        <w:rPr>
          <w:sz w:val="24"/>
          <w:szCs w:val="24"/>
        </w:rPr>
      </w:pPr>
      <w:r w:rsidRPr="00B55C77">
        <w:rPr>
          <w:sz w:val="24"/>
          <w:szCs w:val="24"/>
        </w:rPr>
        <w:t>The difference between this recommended provision and the existing law is</w:t>
      </w:r>
      <w:r w:rsidR="00A17297">
        <w:rPr>
          <w:sz w:val="24"/>
          <w:szCs w:val="24"/>
        </w:rPr>
        <w:t xml:space="preserve"> a limitation of use of</w:t>
      </w:r>
      <w:r w:rsidRPr="00B55C77">
        <w:rPr>
          <w:sz w:val="24"/>
          <w:szCs w:val="24"/>
        </w:rPr>
        <w:t xml:space="preserve"> these factors to work out the form of the </w:t>
      </w:r>
      <w:r w:rsidR="005679FC" w:rsidRPr="00B55C77">
        <w:rPr>
          <w:sz w:val="24"/>
          <w:szCs w:val="24"/>
        </w:rPr>
        <w:t>order and</w:t>
      </w:r>
      <w:r w:rsidRPr="00B55C77">
        <w:rPr>
          <w:sz w:val="24"/>
          <w:szCs w:val="24"/>
        </w:rPr>
        <w:t xml:space="preserve"> </w:t>
      </w:r>
      <w:r w:rsidR="00A17297">
        <w:rPr>
          <w:sz w:val="24"/>
          <w:szCs w:val="24"/>
        </w:rPr>
        <w:t>not for changing</w:t>
      </w:r>
      <w:r w:rsidRPr="00B55C77">
        <w:rPr>
          <w:sz w:val="24"/>
          <w:szCs w:val="24"/>
        </w:rPr>
        <w:t xml:space="preserve"> the value each party receives. </w:t>
      </w:r>
    </w:p>
    <w:p w:rsidR="00B55C77" w:rsidRPr="001002F5" w:rsidRDefault="00B1563C" w:rsidP="001002F5">
      <w:pPr>
        <w:pStyle w:val="ListParagraph"/>
        <w:numPr>
          <w:ilvl w:val="0"/>
          <w:numId w:val="52"/>
        </w:numPr>
        <w:spacing w:after="0" w:line="360" w:lineRule="auto"/>
        <w:jc w:val="both"/>
        <w:rPr>
          <w:sz w:val="24"/>
          <w:szCs w:val="24"/>
        </w:rPr>
      </w:pPr>
      <w:r w:rsidRPr="00B55C77">
        <w:rPr>
          <w:sz w:val="24"/>
          <w:szCs w:val="24"/>
        </w:rPr>
        <w:t xml:space="preserve">The final matter is the reasoning process. While Part VII of the </w:t>
      </w:r>
      <w:r w:rsidRPr="00B55C77">
        <w:rPr>
          <w:i/>
          <w:sz w:val="24"/>
          <w:szCs w:val="24"/>
        </w:rPr>
        <w:t>Act</w:t>
      </w:r>
      <w:r w:rsidRPr="00B55C77">
        <w:rPr>
          <w:sz w:val="24"/>
          <w:szCs w:val="24"/>
        </w:rPr>
        <w:t xml:space="preserve"> (parenting) sets out steps in the exercise of discretion, it does not specify their order. Avoiding lengthy appellate discussion of the appropriate </w:t>
      </w:r>
      <w:r w:rsidR="00A17297">
        <w:rPr>
          <w:sz w:val="24"/>
          <w:szCs w:val="24"/>
        </w:rPr>
        <w:t xml:space="preserve">discretionary </w:t>
      </w:r>
      <w:r w:rsidRPr="00B55C77">
        <w:rPr>
          <w:sz w:val="24"/>
          <w:szCs w:val="24"/>
        </w:rPr>
        <w:t xml:space="preserve">process comes from defining the sequence of decision-making. </w:t>
      </w:r>
    </w:p>
    <w:p w:rsidR="00B003DA" w:rsidRPr="00B55C77" w:rsidRDefault="00B003DA" w:rsidP="009A0126">
      <w:pPr>
        <w:pStyle w:val="ListParagraph"/>
        <w:numPr>
          <w:ilvl w:val="0"/>
          <w:numId w:val="52"/>
        </w:numPr>
        <w:spacing w:after="0" w:line="360" w:lineRule="auto"/>
        <w:jc w:val="both"/>
        <w:rPr>
          <w:sz w:val="24"/>
          <w:szCs w:val="24"/>
        </w:rPr>
      </w:pPr>
      <w:r w:rsidRPr="00B55C77">
        <w:rPr>
          <w:sz w:val="24"/>
          <w:szCs w:val="24"/>
        </w:rPr>
        <w:t>In this proposal, the statutory sequence is:</w:t>
      </w:r>
    </w:p>
    <w:p w:rsidR="00B003DA" w:rsidRPr="003A26A5" w:rsidRDefault="00B003DA" w:rsidP="003A26A5">
      <w:pPr>
        <w:pStyle w:val="ListParagraph"/>
        <w:numPr>
          <w:ilvl w:val="0"/>
          <w:numId w:val="35"/>
        </w:numPr>
        <w:spacing w:after="0" w:line="360" w:lineRule="auto"/>
        <w:jc w:val="both"/>
        <w:rPr>
          <w:sz w:val="24"/>
          <w:szCs w:val="24"/>
        </w:rPr>
      </w:pPr>
      <w:r w:rsidRPr="003A26A5">
        <w:rPr>
          <w:sz w:val="24"/>
          <w:szCs w:val="24"/>
        </w:rPr>
        <w:t>D</w:t>
      </w:r>
      <w:r w:rsidR="00B1563C" w:rsidRPr="003A26A5">
        <w:rPr>
          <w:sz w:val="24"/>
          <w:szCs w:val="24"/>
        </w:rPr>
        <w:t xml:space="preserve">etermining in dollar terms the net property amount as a single table (including superannuation) (‘the net property amount’), then </w:t>
      </w:r>
    </w:p>
    <w:p w:rsidR="00B003DA" w:rsidRDefault="00B003DA" w:rsidP="009A0126">
      <w:pPr>
        <w:pStyle w:val="ListParagraph"/>
        <w:numPr>
          <w:ilvl w:val="0"/>
          <w:numId w:val="35"/>
        </w:numPr>
        <w:spacing w:after="0" w:line="360" w:lineRule="auto"/>
        <w:jc w:val="both"/>
        <w:rPr>
          <w:sz w:val="24"/>
          <w:szCs w:val="24"/>
        </w:rPr>
      </w:pPr>
      <w:r>
        <w:rPr>
          <w:sz w:val="24"/>
          <w:szCs w:val="24"/>
        </w:rPr>
        <w:t>D</w:t>
      </w:r>
      <w:r w:rsidR="00B1563C" w:rsidRPr="00B003DA">
        <w:rPr>
          <w:sz w:val="24"/>
          <w:szCs w:val="24"/>
        </w:rPr>
        <w:t>ividing the net property amount in half (‘the equal entitlement’</w:t>
      </w:r>
      <w:r w:rsidR="00B55C77" w:rsidRPr="00B003DA">
        <w:rPr>
          <w:sz w:val="24"/>
          <w:szCs w:val="24"/>
        </w:rPr>
        <w:t>) and</w:t>
      </w:r>
      <w:r w:rsidR="00B1563C" w:rsidRPr="00B003DA">
        <w:rPr>
          <w:sz w:val="24"/>
          <w:szCs w:val="24"/>
        </w:rPr>
        <w:t xml:space="preserve"> express</w:t>
      </w:r>
      <w:r w:rsidR="00B55C77">
        <w:rPr>
          <w:sz w:val="24"/>
          <w:szCs w:val="24"/>
        </w:rPr>
        <w:t>ing</w:t>
      </w:r>
      <w:r w:rsidR="00B1563C" w:rsidRPr="00B003DA">
        <w:rPr>
          <w:sz w:val="24"/>
          <w:szCs w:val="24"/>
        </w:rPr>
        <w:t xml:space="preserve"> that result in dollar terms to each party.  </w:t>
      </w:r>
    </w:p>
    <w:p w:rsidR="00B003DA" w:rsidRDefault="00B1563C" w:rsidP="009A0126">
      <w:pPr>
        <w:pStyle w:val="ListParagraph"/>
        <w:numPr>
          <w:ilvl w:val="0"/>
          <w:numId w:val="35"/>
        </w:numPr>
        <w:spacing w:after="0" w:line="360" w:lineRule="auto"/>
        <w:jc w:val="both"/>
        <w:rPr>
          <w:sz w:val="24"/>
          <w:szCs w:val="24"/>
        </w:rPr>
      </w:pPr>
      <w:r w:rsidRPr="00B003DA">
        <w:rPr>
          <w:sz w:val="24"/>
          <w:szCs w:val="24"/>
        </w:rPr>
        <w:t xml:space="preserve">If there is an application for an unequal division, then determining the entitlement of each party, expressed in percentage and dollar terms, (‘the unequal entitlement’) and, finally, only after </w:t>
      </w:r>
      <w:r w:rsidRPr="00427BCD">
        <w:rPr>
          <w:noProof/>
          <w:sz w:val="24"/>
          <w:szCs w:val="24"/>
        </w:rPr>
        <w:t>de</w:t>
      </w:r>
      <w:r w:rsidR="00427BCD">
        <w:rPr>
          <w:noProof/>
          <w:sz w:val="24"/>
          <w:szCs w:val="24"/>
        </w:rPr>
        <w:t>cid</w:t>
      </w:r>
      <w:r w:rsidRPr="00427BCD">
        <w:rPr>
          <w:noProof/>
          <w:sz w:val="24"/>
          <w:szCs w:val="24"/>
        </w:rPr>
        <w:t>ing</w:t>
      </w:r>
      <w:r w:rsidRPr="00B003DA">
        <w:rPr>
          <w:sz w:val="24"/>
          <w:szCs w:val="24"/>
        </w:rPr>
        <w:t xml:space="preserve"> the equal </w:t>
      </w:r>
      <w:r w:rsidRPr="00427BCD">
        <w:rPr>
          <w:noProof/>
          <w:sz w:val="24"/>
          <w:szCs w:val="24"/>
        </w:rPr>
        <w:t>entitlement</w:t>
      </w:r>
      <w:r w:rsidRPr="00B003DA">
        <w:rPr>
          <w:sz w:val="24"/>
          <w:szCs w:val="24"/>
        </w:rPr>
        <w:t xml:space="preserve"> or the unequal entitlement,</w:t>
      </w:r>
      <w:r w:rsidR="00B003DA">
        <w:rPr>
          <w:sz w:val="24"/>
          <w:szCs w:val="24"/>
        </w:rPr>
        <w:t xml:space="preserve"> then,</w:t>
      </w:r>
    </w:p>
    <w:p w:rsidR="00227348" w:rsidRPr="001002F5" w:rsidRDefault="00B003DA" w:rsidP="00462142">
      <w:pPr>
        <w:pStyle w:val="ListParagraph"/>
        <w:numPr>
          <w:ilvl w:val="0"/>
          <w:numId w:val="35"/>
        </w:numPr>
        <w:spacing w:after="0" w:line="360" w:lineRule="auto"/>
        <w:jc w:val="both"/>
        <w:rPr>
          <w:sz w:val="24"/>
          <w:szCs w:val="24"/>
        </w:rPr>
      </w:pPr>
      <w:r w:rsidRPr="00980F2E">
        <w:rPr>
          <w:noProof/>
          <w:sz w:val="24"/>
          <w:szCs w:val="24"/>
        </w:rPr>
        <w:t>D</w:t>
      </w:r>
      <w:r w:rsidR="00B1563C" w:rsidRPr="00980F2E">
        <w:rPr>
          <w:noProof/>
          <w:sz w:val="24"/>
          <w:szCs w:val="24"/>
        </w:rPr>
        <w:t>ecid</w:t>
      </w:r>
      <w:r w:rsidR="003A26A5" w:rsidRPr="00980F2E">
        <w:rPr>
          <w:noProof/>
          <w:sz w:val="24"/>
          <w:szCs w:val="24"/>
        </w:rPr>
        <w:t>ing</w:t>
      </w:r>
      <w:r w:rsidR="00B1563C" w:rsidRPr="00980F2E">
        <w:rPr>
          <w:noProof/>
          <w:sz w:val="24"/>
          <w:szCs w:val="24"/>
        </w:rPr>
        <w:t xml:space="preserve"> the composition of the order.</w:t>
      </w:r>
      <w:r w:rsidR="00B1563C" w:rsidRPr="00B003DA">
        <w:rPr>
          <w:sz w:val="24"/>
          <w:szCs w:val="24"/>
        </w:rPr>
        <w:t xml:space="preserve"> </w:t>
      </w:r>
    </w:p>
    <w:p w:rsidR="00B003DA" w:rsidRPr="00B55C77" w:rsidRDefault="00B003DA" w:rsidP="009A0126">
      <w:pPr>
        <w:pStyle w:val="ListParagraph"/>
        <w:numPr>
          <w:ilvl w:val="0"/>
          <w:numId w:val="52"/>
        </w:numPr>
        <w:spacing w:after="0" w:line="360" w:lineRule="auto"/>
        <w:jc w:val="both"/>
        <w:rPr>
          <w:sz w:val="24"/>
          <w:szCs w:val="24"/>
        </w:rPr>
      </w:pPr>
      <w:r w:rsidRPr="00B55C77">
        <w:rPr>
          <w:sz w:val="24"/>
          <w:szCs w:val="24"/>
        </w:rPr>
        <w:t>This concept</w:t>
      </w:r>
      <w:r w:rsidR="003A26A5">
        <w:rPr>
          <w:sz w:val="24"/>
          <w:szCs w:val="24"/>
        </w:rPr>
        <w:t xml:space="preserve"> of division of property</w:t>
      </w:r>
      <w:r w:rsidRPr="00B55C77">
        <w:rPr>
          <w:sz w:val="24"/>
          <w:szCs w:val="24"/>
        </w:rPr>
        <w:t xml:space="preserve"> for separated families does the following: </w:t>
      </w:r>
    </w:p>
    <w:p w:rsidR="00B003DA" w:rsidRPr="00B003DA" w:rsidRDefault="00B003DA" w:rsidP="009A0126">
      <w:pPr>
        <w:numPr>
          <w:ilvl w:val="0"/>
          <w:numId w:val="36"/>
        </w:numPr>
        <w:spacing w:after="0" w:line="360" w:lineRule="auto"/>
        <w:jc w:val="both"/>
        <w:rPr>
          <w:sz w:val="24"/>
          <w:szCs w:val="24"/>
        </w:rPr>
      </w:pPr>
      <w:r w:rsidRPr="00B003DA">
        <w:rPr>
          <w:sz w:val="24"/>
          <w:szCs w:val="24"/>
        </w:rPr>
        <w:t xml:space="preserve">It provides for a separate cause of action to divide </w:t>
      </w:r>
      <w:r w:rsidR="00427BCD">
        <w:rPr>
          <w:sz w:val="24"/>
          <w:szCs w:val="24"/>
        </w:rPr>
        <w:t xml:space="preserve">the </w:t>
      </w:r>
      <w:r w:rsidRPr="00427BCD">
        <w:rPr>
          <w:noProof/>
          <w:sz w:val="24"/>
          <w:szCs w:val="24"/>
        </w:rPr>
        <w:t>property</w:t>
      </w:r>
      <w:r w:rsidRPr="00B003DA">
        <w:rPr>
          <w:sz w:val="24"/>
          <w:szCs w:val="24"/>
        </w:rPr>
        <w:t xml:space="preserve"> of spouses in separated families when their relationship ends, treating these cases differently from other families. </w:t>
      </w:r>
    </w:p>
    <w:p w:rsidR="00B003DA" w:rsidRPr="00B003DA" w:rsidRDefault="00B003DA" w:rsidP="009A0126">
      <w:pPr>
        <w:numPr>
          <w:ilvl w:val="0"/>
          <w:numId w:val="36"/>
        </w:numPr>
        <w:spacing w:after="0" w:line="360" w:lineRule="auto"/>
        <w:jc w:val="both"/>
        <w:rPr>
          <w:sz w:val="24"/>
          <w:szCs w:val="24"/>
        </w:rPr>
      </w:pPr>
      <w:r w:rsidRPr="00B003DA">
        <w:rPr>
          <w:sz w:val="24"/>
          <w:szCs w:val="24"/>
        </w:rPr>
        <w:t xml:space="preserve">It contains </w:t>
      </w:r>
      <w:r w:rsidR="00427BCD">
        <w:rPr>
          <w:noProof/>
          <w:sz w:val="24"/>
          <w:szCs w:val="24"/>
        </w:rPr>
        <w:t>specific</w:t>
      </w:r>
      <w:r w:rsidRPr="00B003DA">
        <w:rPr>
          <w:sz w:val="24"/>
          <w:szCs w:val="24"/>
        </w:rPr>
        <w:t xml:space="preserve"> objects and principles, including a statement of non-discrimination between parents, </w:t>
      </w:r>
      <w:r w:rsidR="00427BCD">
        <w:rPr>
          <w:sz w:val="24"/>
          <w:szCs w:val="24"/>
        </w:rPr>
        <w:t xml:space="preserve">a </w:t>
      </w:r>
      <w:r w:rsidRPr="00427BCD">
        <w:rPr>
          <w:noProof/>
          <w:sz w:val="24"/>
          <w:szCs w:val="24"/>
        </w:rPr>
        <w:t>continuation</w:t>
      </w:r>
      <w:r w:rsidRPr="00B003DA">
        <w:rPr>
          <w:sz w:val="24"/>
          <w:szCs w:val="24"/>
        </w:rPr>
        <w:t xml:space="preserve"> of equality, and consistency of decision-making. </w:t>
      </w:r>
    </w:p>
    <w:p w:rsidR="00B003DA" w:rsidRPr="00B003DA" w:rsidRDefault="00B003DA" w:rsidP="009A0126">
      <w:pPr>
        <w:numPr>
          <w:ilvl w:val="0"/>
          <w:numId w:val="36"/>
        </w:numPr>
        <w:spacing w:after="0" w:line="360" w:lineRule="auto"/>
        <w:jc w:val="both"/>
        <w:rPr>
          <w:sz w:val="24"/>
          <w:szCs w:val="24"/>
        </w:rPr>
      </w:pPr>
      <w:r w:rsidRPr="00427BCD">
        <w:rPr>
          <w:noProof/>
          <w:sz w:val="24"/>
          <w:szCs w:val="24"/>
        </w:rPr>
        <w:t xml:space="preserve">It is more predictable then section 79 of the </w:t>
      </w:r>
      <w:r w:rsidRPr="00427BCD">
        <w:rPr>
          <w:i/>
          <w:noProof/>
          <w:sz w:val="24"/>
          <w:szCs w:val="24"/>
        </w:rPr>
        <w:t>Act</w:t>
      </w:r>
      <w:r w:rsidR="00427BCD" w:rsidRPr="00427BCD">
        <w:rPr>
          <w:i/>
          <w:noProof/>
          <w:sz w:val="24"/>
          <w:szCs w:val="24"/>
        </w:rPr>
        <w:t xml:space="preserve">. </w:t>
      </w:r>
      <w:r w:rsidRPr="00427BCD">
        <w:rPr>
          <w:noProof/>
          <w:sz w:val="24"/>
          <w:szCs w:val="24"/>
        </w:rPr>
        <w:t xml:space="preserve"> </w:t>
      </w:r>
      <w:r w:rsidR="00427BCD" w:rsidRPr="00427BCD">
        <w:rPr>
          <w:noProof/>
          <w:sz w:val="24"/>
          <w:szCs w:val="24"/>
        </w:rPr>
        <w:t>It achieves this</w:t>
      </w:r>
      <w:r w:rsidRPr="00427BCD">
        <w:rPr>
          <w:noProof/>
          <w:sz w:val="24"/>
          <w:szCs w:val="24"/>
        </w:rPr>
        <w:t xml:space="preserve"> setting out a process of sequential steps for determining </w:t>
      </w:r>
      <w:r w:rsidR="005679FC" w:rsidRPr="00427BCD">
        <w:rPr>
          <w:noProof/>
          <w:sz w:val="24"/>
          <w:szCs w:val="24"/>
        </w:rPr>
        <w:t>applications and</w:t>
      </w:r>
      <w:r w:rsidRPr="00427BCD">
        <w:rPr>
          <w:noProof/>
          <w:sz w:val="24"/>
          <w:szCs w:val="24"/>
        </w:rPr>
        <w:t xml:space="preserve"> providing a cap to unequal divisions of property.</w:t>
      </w:r>
    </w:p>
    <w:p w:rsidR="00B003DA" w:rsidRPr="00B003DA" w:rsidRDefault="00B003DA" w:rsidP="009A0126">
      <w:pPr>
        <w:numPr>
          <w:ilvl w:val="0"/>
          <w:numId w:val="36"/>
        </w:numPr>
        <w:spacing w:after="0" w:line="360" w:lineRule="auto"/>
        <w:jc w:val="both"/>
        <w:rPr>
          <w:sz w:val="24"/>
          <w:szCs w:val="24"/>
        </w:rPr>
      </w:pPr>
      <w:r w:rsidRPr="00B003DA">
        <w:rPr>
          <w:sz w:val="24"/>
          <w:szCs w:val="24"/>
        </w:rPr>
        <w:t xml:space="preserve">It implements a principle of non-discrimination between spouses in separated families by identifying their </w:t>
      </w:r>
      <w:r w:rsidRPr="00427BCD">
        <w:rPr>
          <w:noProof/>
          <w:sz w:val="24"/>
          <w:szCs w:val="24"/>
        </w:rPr>
        <w:t>net</w:t>
      </w:r>
      <w:r w:rsidRPr="00B003DA">
        <w:rPr>
          <w:sz w:val="24"/>
          <w:szCs w:val="24"/>
        </w:rPr>
        <w:t xml:space="preserve"> property (including superannuation</w:t>
      </w:r>
      <w:r w:rsidRPr="00427BCD">
        <w:rPr>
          <w:noProof/>
          <w:sz w:val="24"/>
          <w:szCs w:val="24"/>
        </w:rPr>
        <w:t>)</w:t>
      </w:r>
      <w:r w:rsidRPr="00B003DA">
        <w:rPr>
          <w:sz w:val="24"/>
          <w:szCs w:val="24"/>
        </w:rPr>
        <w:t xml:space="preserve"> and dividing it equally, irrespective of the circumstances of acquisition, maintenance, or improvement of that property. </w:t>
      </w:r>
    </w:p>
    <w:p w:rsidR="00B003DA" w:rsidRPr="00B003DA" w:rsidRDefault="00B003DA" w:rsidP="009A0126">
      <w:pPr>
        <w:numPr>
          <w:ilvl w:val="0"/>
          <w:numId w:val="36"/>
        </w:numPr>
        <w:spacing w:after="0" w:line="360" w:lineRule="auto"/>
        <w:jc w:val="both"/>
        <w:rPr>
          <w:sz w:val="24"/>
          <w:szCs w:val="24"/>
        </w:rPr>
      </w:pPr>
      <w:r w:rsidRPr="00B003DA">
        <w:rPr>
          <w:sz w:val="24"/>
          <w:szCs w:val="24"/>
        </w:rPr>
        <w:t xml:space="preserve">It directs a court to give weight to the financial consequences of separation, recognising </w:t>
      </w:r>
      <w:r w:rsidRPr="00427BCD">
        <w:rPr>
          <w:noProof/>
          <w:sz w:val="24"/>
          <w:szCs w:val="24"/>
        </w:rPr>
        <w:t>financial</w:t>
      </w:r>
      <w:r w:rsidRPr="00B003DA">
        <w:rPr>
          <w:sz w:val="24"/>
          <w:szCs w:val="24"/>
        </w:rPr>
        <w:t xml:space="preserve"> disadvantage as between spouses in separated families. </w:t>
      </w:r>
    </w:p>
    <w:p w:rsidR="00B003DA" w:rsidRPr="00B003DA" w:rsidRDefault="00B003DA" w:rsidP="009A0126">
      <w:pPr>
        <w:numPr>
          <w:ilvl w:val="0"/>
          <w:numId w:val="36"/>
        </w:numPr>
        <w:spacing w:after="0" w:line="360" w:lineRule="auto"/>
        <w:jc w:val="both"/>
        <w:rPr>
          <w:sz w:val="24"/>
          <w:szCs w:val="24"/>
        </w:rPr>
      </w:pPr>
      <w:r w:rsidRPr="00B003DA">
        <w:rPr>
          <w:sz w:val="24"/>
          <w:szCs w:val="24"/>
        </w:rPr>
        <w:t xml:space="preserve">It recognises </w:t>
      </w:r>
      <w:r w:rsidR="005679FC">
        <w:rPr>
          <w:sz w:val="24"/>
          <w:szCs w:val="24"/>
        </w:rPr>
        <w:t xml:space="preserve">financial disadvantage to </w:t>
      </w:r>
      <w:r w:rsidR="00427BCD">
        <w:rPr>
          <w:noProof/>
          <w:sz w:val="24"/>
          <w:szCs w:val="24"/>
        </w:rPr>
        <w:t>more impoverished</w:t>
      </w:r>
      <w:r w:rsidR="005679FC">
        <w:rPr>
          <w:sz w:val="24"/>
          <w:szCs w:val="24"/>
        </w:rPr>
        <w:t xml:space="preserve"> families</w:t>
      </w:r>
      <w:r w:rsidRPr="00B003DA">
        <w:rPr>
          <w:sz w:val="24"/>
          <w:szCs w:val="24"/>
        </w:rPr>
        <w:t xml:space="preserve"> by increasing the unequal division of property when there is less property to divide. </w:t>
      </w:r>
    </w:p>
    <w:p w:rsidR="00B003DA" w:rsidRPr="00B003DA" w:rsidRDefault="00B003DA" w:rsidP="009A0126">
      <w:pPr>
        <w:numPr>
          <w:ilvl w:val="0"/>
          <w:numId w:val="36"/>
        </w:numPr>
        <w:spacing w:after="0" w:line="360" w:lineRule="auto"/>
        <w:jc w:val="both"/>
        <w:rPr>
          <w:sz w:val="24"/>
          <w:szCs w:val="24"/>
        </w:rPr>
      </w:pPr>
      <w:r w:rsidRPr="00B003DA">
        <w:rPr>
          <w:sz w:val="24"/>
          <w:szCs w:val="24"/>
        </w:rPr>
        <w:t xml:space="preserve">It provides a specific mechanism to implement priority to the financial interests of children, rather than just a statement of principle. </w:t>
      </w:r>
    </w:p>
    <w:p w:rsidR="00B003DA" w:rsidRPr="005679FC" w:rsidRDefault="00B003DA" w:rsidP="009A0126">
      <w:pPr>
        <w:numPr>
          <w:ilvl w:val="0"/>
          <w:numId w:val="36"/>
        </w:numPr>
        <w:spacing w:after="0" w:line="360" w:lineRule="auto"/>
        <w:jc w:val="both"/>
        <w:rPr>
          <w:sz w:val="24"/>
          <w:szCs w:val="24"/>
        </w:rPr>
      </w:pPr>
      <w:r w:rsidRPr="00427BCD">
        <w:rPr>
          <w:noProof/>
          <w:sz w:val="24"/>
          <w:szCs w:val="24"/>
        </w:rPr>
        <w:t>It is more transparent</w:t>
      </w:r>
      <w:r w:rsidR="00427BCD" w:rsidRPr="00427BCD">
        <w:rPr>
          <w:noProof/>
          <w:sz w:val="24"/>
          <w:szCs w:val="24"/>
        </w:rPr>
        <w:t>.</w:t>
      </w:r>
      <w:r w:rsidRPr="00427BCD">
        <w:rPr>
          <w:noProof/>
          <w:sz w:val="24"/>
          <w:szCs w:val="24"/>
        </w:rPr>
        <w:t xml:space="preserve"> </w:t>
      </w:r>
      <w:r w:rsidR="00427BCD" w:rsidRPr="00427BCD">
        <w:rPr>
          <w:noProof/>
          <w:sz w:val="24"/>
          <w:szCs w:val="24"/>
        </w:rPr>
        <w:t>It separates</w:t>
      </w:r>
      <w:r w:rsidRPr="00427BCD">
        <w:rPr>
          <w:noProof/>
          <w:sz w:val="24"/>
          <w:szCs w:val="24"/>
        </w:rPr>
        <w:t xml:space="preserve"> the discretion for the composition of the order from the amount each spouse receives.</w:t>
      </w:r>
      <w:r w:rsidRPr="005679FC">
        <w:rPr>
          <w:sz w:val="24"/>
          <w:szCs w:val="24"/>
        </w:rPr>
        <w:t xml:space="preserve"> </w:t>
      </w:r>
    </w:p>
    <w:p w:rsidR="00B55C77" w:rsidRPr="001002F5" w:rsidRDefault="00B003DA" w:rsidP="001002F5">
      <w:pPr>
        <w:pStyle w:val="ListParagraph"/>
        <w:numPr>
          <w:ilvl w:val="0"/>
          <w:numId w:val="52"/>
        </w:numPr>
        <w:spacing w:after="0" w:line="360" w:lineRule="auto"/>
        <w:jc w:val="both"/>
        <w:rPr>
          <w:sz w:val="24"/>
          <w:szCs w:val="24"/>
        </w:rPr>
      </w:pPr>
      <w:r w:rsidRPr="00B55C77">
        <w:rPr>
          <w:sz w:val="24"/>
          <w:szCs w:val="24"/>
        </w:rPr>
        <w:t xml:space="preserve">This model does not address all family types (e.g. families without children, families with children from previous relationships only). It adds another layer of complexity to an already lengthy </w:t>
      </w:r>
      <w:r w:rsidRPr="00B55C77">
        <w:rPr>
          <w:i/>
          <w:sz w:val="24"/>
          <w:szCs w:val="24"/>
        </w:rPr>
        <w:t>Act</w:t>
      </w:r>
      <w:r w:rsidRPr="00B55C77">
        <w:rPr>
          <w:sz w:val="24"/>
          <w:szCs w:val="24"/>
        </w:rPr>
        <w:t xml:space="preserve">. It is not a complete solution. Conversely, having a different cause of action for these types of families recognises their difference, where a one-size-fits-all statutory scheme cannot sufficiently </w:t>
      </w:r>
      <w:r w:rsidR="00427BCD" w:rsidRPr="00B55C77">
        <w:rPr>
          <w:noProof/>
          <w:sz w:val="24"/>
          <w:szCs w:val="24"/>
        </w:rPr>
        <w:t>provide negotiation guidan</w:t>
      </w:r>
      <w:r w:rsidRPr="00B55C77">
        <w:rPr>
          <w:noProof/>
          <w:sz w:val="24"/>
          <w:szCs w:val="24"/>
        </w:rPr>
        <w:t>ce</w:t>
      </w:r>
      <w:r w:rsidRPr="00B55C77">
        <w:rPr>
          <w:sz w:val="24"/>
          <w:szCs w:val="24"/>
        </w:rPr>
        <w:t xml:space="preserve">. </w:t>
      </w:r>
    </w:p>
    <w:p w:rsidR="00B55C77" w:rsidRPr="003A26A5" w:rsidRDefault="00427BCD" w:rsidP="003A26A5">
      <w:pPr>
        <w:pStyle w:val="ListParagraph"/>
        <w:numPr>
          <w:ilvl w:val="0"/>
          <w:numId w:val="52"/>
        </w:numPr>
        <w:spacing w:after="0" w:line="360" w:lineRule="auto"/>
        <w:jc w:val="both"/>
        <w:rPr>
          <w:sz w:val="24"/>
          <w:szCs w:val="24"/>
        </w:rPr>
      </w:pPr>
      <w:r w:rsidRPr="00B55C77">
        <w:rPr>
          <w:sz w:val="24"/>
          <w:szCs w:val="24"/>
        </w:rPr>
        <w:t xml:space="preserve">On implementation of </w:t>
      </w:r>
      <w:r w:rsidR="00B003DA" w:rsidRPr="00B55C77">
        <w:rPr>
          <w:sz w:val="24"/>
          <w:szCs w:val="24"/>
        </w:rPr>
        <w:t xml:space="preserve">this </w:t>
      </w:r>
      <w:r w:rsidR="005679FC" w:rsidRPr="00B55C77">
        <w:rPr>
          <w:sz w:val="24"/>
          <w:szCs w:val="24"/>
        </w:rPr>
        <w:t xml:space="preserve">cause of action, consistency of use is achievable by a very similar model proposed for the existing law, which is; </w:t>
      </w:r>
    </w:p>
    <w:p w:rsidR="00B55C77" w:rsidRDefault="005679FC" w:rsidP="009A0126">
      <w:pPr>
        <w:pStyle w:val="ListParagraph"/>
        <w:numPr>
          <w:ilvl w:val="1"/>
          <w:numId w:val="52"/>
        </w:numPr>
        <w:spacing w:after="0" w:line="360" w:lineRule="auto"/>
        <w:jc w:val="both"/>
        <w:rPr>
          <w:sz w:val="24"/>
          <w:szCs w:val="24"/>
        </w:rPr>
      </w:pPr>
      <w:r w:rsidRPr="00B55C77">
        <w:rPr>
          <w:sz w:val="24"/>
          <w:szCs w:val="24"/>
        </w:rPr>
        <w:t xml:space="preserve">Coupling with the amendments a specific statutory guidance document, and </w:t>
      </w:r>
    </w:p>
    <w:p w:rsidR="00B55C77" w:rsidRDefault="005679FC" w:rsidP="009A0126">
      <w:pPr>
        <w:pStyle w:val="ListParagraph"/>
        <w:numPr>
          <w:ilvl w:val="1"/>
          <w:numId w:val="52"/>
        </w:numPr>
        <w:spacing w:after="0" w:line="360" w:lineRule="auto"/>
        <w:jc w:val="both"/>
        <w:rPr>
          <w:sz w:val="24"/>
          <w:szCs w:val="24"/>
        </w:rPr>
      </w:pPr>
      <w:r w:rsidRPr="00B55C77">
        <w:rPr>
          <w:sz w:val="24"/>
          <w:szCs w:val="24"/>
        </w:rPr>
        <w:t>Incorporating the</w:t>
      </w:r>
      <w:r w:rsidR="00B55C77">
        <w:rPr>
          <w:sz w:val="24"/>
          <w:szCs w:val="24"/>
        </w:rPr>
        <w:t xml:space="preserve"> guidance</w:t>
      </w:r>
      <w:r w:rsidRPr="00B55C77">
        <w:rPr>
          <w:sz w:val="24"/>
          <w:szCs w:val="24"/>
        </w:rPr>
        <w:t xml:space="preserve"> </w:t>
      </w:r>
      <w:r w:rsidR="00427BCD" w:rsidRPr="00B55C77">
        <w:rPr>
          <w:noProof/>
          <w:sz w:val="24"/>
          <w:szCs w:val="24"/>
        </w:rPr>
        <w:t>material</w:t>
      </w:r>
      <w:r w:rsidRPr="00B55C77">
        <w:rPr>
          <w:sz w:val="24"/>
          <w:szCs w:val="24"/>
        </w:rPr>
        <w:t xml:space="preserve"> into the </w:t>
      </w:r>
      <w:r w:rsidRPr="00B55C77">
        <w:rPr>
          <w:i/>
          <w:sz w:val="24"/>
          <w:szCs w:val="24"/>
        </w:rPr>
        <w:t>Act</w:t>
      </w:r>
      <w:r w:rsidRPr="00B55C77">
        <w:rPr>
          <w:sz w:val="24"/>
          <w:szCs w:val="24"/>
        </w:rPr>
        <w:t xml:space="preserve"> and </w:t>
      </w:r>
      <w:r w:rsidRPr="00B55C77">
        <w:rPr>
          <w:i/>
          <w:sz w:val="24"/>
          <w:szCs w:val="24"/>
        </w:rPr>
        <w:t>rule</w:t>
      </w:r>
      <w:r w:rsidRPr="00B55C77">
        <w:rPr>
          <w:sz w:val="24"/>
          <w:szCs w:val="24"/>
        </w:rPr>
        <w:t xml:space="preserve">s, and </w:t>
      </w:r>
    </w:p>
    <w:p w:rsidR="00B55C77" w:rsidRPr="001002F5" w:rsidRDefault="005679FC" w:rsidP="001002F5">
      <w:pPr>
        <w:pStyle w:val="ListParagraph"/>
        <w:numPr>
          <w:ilvl w:val="1"/>
          <w:numId w:val="52"/>
        </w:numPr>
        <w:spacing w:after="0" w:line="360" w:lineRule="auto"/>
        <w:jc w:val="both"/>
        <w:rPr>
          <w:sz w:val="24"/>
          <w:szCs w:val="24"/>
        </w:rPr>
      </w:pPr>
      <w:r w:rsidRPr="00B55C77">
        <w:rPr>
          <w:sz w:val="24"/>
          <w:szCs w:val="24"/>
        </w:rPr>
        <w:t>Widespread education.</w:t>
      </w:r>
    </w:p>
    <w:p w:rsidR="00B55C77" w:rsidRPr="00B55C77" w:rsidRDefault="00B55C77" w:rsidP="009A0126">
      <w:pPr>
        <w:pStyle w:val="ListParagraph"/>
        <w:numPr>
          <w:ilvl w:val="0"/>
          <w:numId w:val="52"/>
        </w:numPr>
        <w:spacing w:after="0" w:line="360" w:lineRule="auto"/>
        <w:jc w:val="both"/>
        <w:rPr>
          <w:sz w:val="24"/>
          <w:szCs w:val="24"/>
        </w:rPr>
      </w:pPr>
      <w:r>
        <w:rPr>
          <w:sz w:val="24"/>
          <w:szCs w:val="24"/>
        </w:rPr>
        <w:t>Accordingly, my recommendations are:</w:t>
      </w:r>
    </w:p>
    <w:tbl>
      <w:tblPr>
        <w:tblStyle w:val="TableGrid"/>
        <w:tblW w:w="0" w:type="auto"/>
        <w:tblLook w:val="04A0"/>
      </w:tblPr>
      <w:tblGrid>
        <w:gridCol w:w="9016"/>
      </w:tblGrid>
      <w:tr w:rsidR="005679FC" w:rsidTr="00EA101F">
        <w:tc>
          <w:tcPr>
            <w:tcW w:w="9016" w:type="dxa"/>
          </w:tcPr>
          <w:p w:rsidR="005679FC" w:rsidRPr="0022575B" w:rsidRDefault="005679FC" w:rsidP="00462142">
            <w:pPr>
              <w:pStyle w:val="Heading3"/>
              <w:spacing w:before="0" w:line="360" w:lineRule="auto"/>
              <w:outlineLvl w:val="2"/>
              <w:rPr>
                <w:i/>
                <w:color w:val="auto"/>
              </w:rPr>
            </w:pPr>
            <w:bookmarkStart w:id="54" w:name="_Toc512895959"/>
            <w:r w:rsidRPr="008F1051">
              <w:rPr>
                <w:i/>
                <w:color w:val="auto"/>
              </w:rPr>
              <w:t xml:space="preserve">Recommendation </w:t>
            </w:r>
            <w:r>
              <w:rPr>
                <w:i/>
                <w:color w:val="auto"/>
              </w:rPr>
              <w:t>14</w:t>
            </w:r>
            <w:bookmarkEnd w:id="54"/>
          </w:p>
          <w:p w:rsidR="005679FC" w:rsidRDefault="005679FC" w:rsidP="00462142">
            <w:pPr>
              <w:spacing w:line="360" w:lineRule="auto"/>
              <w:jc w:val="both"/>
              <w:rPr>
                <w:i/>
                <w:sz w:val="24"/>
                <w:szCs w:val="24"/>
              </w:rPr>
            </w:pPr>
            <w:r>
              <w:rPr>
                <w:i/>
                <w:sz w:val="24"/>
                <w:szCs w:val="24"/>
              </w:rPr>
              <w:t xml:space="preserve">That if the Commission is satisfied that the family law system produces unfair property settlement outcomes, then </w:t>
            </w:r>
            <w:r w:rsidR="00EA101F">
              <w:rPr>
                <w:i/>
                <w:sz w:val="24"/>
                <w:szCs w:val="24"/>
              </w:rPr>
              <w:t xml:space="preserve">the Commission consider </w:t>
            </w:r>
            <w:r w:rsidR="00462142">
              <w:rPr>
                <w:i/>
                <w:sz w:val="24"/>
                <w:szCs w:val="24"/>
              </w:rPr>
              <w:t xml:space="preserve">a new cause of action for alteration of property interests in Part VII of the Act (and </w:t>
            </w:r>
            <w:r w:rsidR="00A17297">
              <w:rPr>
                <w:i/>
                <w:sz w:val="24"/>
                <w:szCs w:val="24"/>
              </w:rPr>
              <w:t>the</w:t>
            </w:r>
            <w:r w:rsidR="00462142">
              <w:rPr>
                <w:i/>
                <w:sz w:val="24"/>
                <w:szCs w:val="24"/>
              </w:rPr>
              <w:t xml:space="preserve"> equivalent) containing the following elements: </w:t>
            </w:r>
          </w:p>
          <w:p w:rsidR="00462142" w:rsidRDefault="00613971" w:rsidP="009A0126">
            <w:pPr>
              <w:pStyle w:val="ListParagraph"/>
              <w:numPr>
                <w:ilvl w:val="0"/>
                <w:numId w:val="38"/>
              </w:numPr>
              <w:spacing w:line="360" w:lineRule="auto"/>
              <w:jc w:val="both"/>
              <w:rPr>
                <w:i/>
                <w:sz w:val="24"/>
                <w:szCs w:val="24"/>
              </w:rPr>
            </w:pPr>
            <w:r>
              <w:rPr>
                <w:i/>
                <w:sz w:val="24"/>
                <w:szCs w:val="24"/>
              </w:rPr>
              <w:t>A separate cause of action applying to families where:</w:t>
            </w:r>
          </w:p>
          <w:p w:rsidR="00613971" w:rsidRDefault="00613971" w:rsidP="009A0126">
            <w:pPr>
              <w:pStyle w:val="ListParagraph"/>
              <w:numPr>
                <w:ilvl w:val="0"/>
                <w:numId w:val="40"/>
              </w:numPr>
              <w:spacing w:line="360" w:lineRule="auto"/>
              <w:jc w:val="both"/>
              <w:rPr>
                <w:i/>
                <w:sz w:val="24"/>
                <w:szCs w:val="24"/>
              </w:rPr>
            </w:pPr>
            <w:r>
              <w:rPr>
                <w:i/>
                <w:sz w:val="24"/>
                <w:szCs w:val="24"/>
              </w:rPr>
              <w:t xml:space="preserve">The spouses are in a marriage or de-facto relationship (using the </w:t>
            </w:r>
            <w:r w:rsidR="00227348">
              <w:rPr>
                <w:i/>
                <w:sz w:val="24"/>
                <w:szCs w:val="24"/>
              </w:rPr>
              <w:t xml:space="preserve">existing requirements), and </w:t>
            </w:r>
          </w:p>
          <w:p w:rsidR="00227348" w:rsidRDefault="00227348" w:rsidP="009A0126">
            <w:pPr>
              <w:pStyle w:val="ListParagraph"/>
              <w:numPr>
                <w:ilvl w:val="0"/>
                <w:numId w:val="40"/>
              </w:numPr>
              <w:spacing w:line="360" w:lineRule="auto"/>
              <w:jc w:val="both"/>
              <w:rPr>
                <w:i/>
                <w:sz w:val="24"/>
                <w:szCs w:val="24"/>
              </w:rPr>
            </w:pPr>
            <w:r>
              <w:rPr>
                <w:i/>
                <w:sz w:val="24"/>
                <w:szCs w:val="24"/>
              </w:rPr>
              <w:t xml:space="preserve">There is a child of the relationship, and </w:t>
            </w:r>
          </w:p>
          <w:p w:rsidR="00227348" w:rsidRDefault="00227348" w:rsidP="009A0126">
            <w:pPr>
              <w:pStyle w:val="ListParagraph"/>
              <w:numPr>
                <w:ilvl w:val="0"/>
                <w:numId w:val="40"/>
              </w:numPr>
              <w:spacing w:line="360" w:lineRule="auto"/>
              <w:jc w:val="both"/>
              <w:rPr>
                <w:i/>
                <w:sz w:val="24"/>
                <w:szCs w:val="24"/>
              </w:rPr>
            </w:pPr>
            <w:r>
              <w:rPr>
                <w:i/>
                <w:sz w:val="24"/>
                <w:szCs w:val="24"/>
              </w:rPr>
              <w:t>The parties have not otherwise sought to regulate their arrangements through a financial agreement covering some or all their property, then,</w:t>
            </w:r>
          </w:p>
          <w:p w:rsidR="00227348" w:rsidRDefault="00227348" w:rsidP="009A0126">
            <w:pPr>
              <w:pStyle w:val="ListParagraph"/>
              <w:numPr>
                <w:ilvl w:val="0"/>
                <w:numId w:val="38"/>
              </w:numPr>
              <w:spacing w:line="360" w:lineRule="auto"/>
              <w:jc w:val="both"/>
              <w:rPr>
                <w:i/>
                <w:sz w:val="24"/>
                <w:szCs w:val="24"/>
              </w:rPr>
            </w:pPr>
            <w:r>
              <w:rPr>
                <w:i/>
                <w:sz w:val="24"/>
                <w:szCs w:val="24"/>
              </w:rPr>
              <w:t xml:space="preserve">Property </w:t>
            </w:r>
            <w:r w:rsidR="002654A9">
              <w:rPr>
                <w:i/>
                <w:noProof/>
                <w:sz w:val="24"/>
                <w:szCs w:val="24"/>
              </w:rPr>
              <w:t>is</w:t>
            </w:r>
            <w:r>
              <w:rPr>
                <w:i/>
                <w:sz w:val="24"/>
                <w:szCs w:val="24"/>
              </w:rPr>
              <w:t xml:space="preserve"> all property acquired before during or after the marriage or de-facto relationship. </w:t>
            </w:r>
          </w:p>
          <w:p w:rsidR="00227348" w:rsidRDefault="00227348" w:rsidP="009A0126">
            <w:pPr>
              <w:pStyle w:val="ListParagraph"/>
              <w:numPr>
                <w:ilvl w:val="0"/>
                <w:numId w:val="38"/>
              </w:numPr>
              <w:spacing w:line="360" w:lineRule="auto"/>
              <w:jc w:val="both"/>
              <w:rPr>
                <w:i/>
                <w:sz w:val="24"/>
                <w:szCs w:val="24"/>
              </w:rPr>
            </w:pPr>
            <w:r>
              <w:rPr>
                <w:i/>
                <w:sz w:val="24"/>
                <w:szCs w:val="24"/>
              </w:rPr>
              <w:t xml:space="preserve">Property is divided equally as a rule. </w:t>
            </w:r>
          </w:p>
          <w:p w:rsidR="00227348" w:rsidRDefault="00227348" w:rsidP="009A0126">
            <w:pPr>
              <w:pStyle w:val="ListParagraph"/>
              <w:numPr>
                <w:ilvl w:val="0"/>
                <w:numId w:val="38"/>
              </w:numPr>
              <w:spacing w:line="360" w:lineRule="auto"/>
              <w:jc w:val="both"/>
              <w:rPr>
                <w:i/>
                <w:sz w:val="24"/>
                <w:szCs w:val="24"/>
              </w:rPr>
            </w:pPr>
            <w:r>
              <w:rPr>
                <w:i/>
                <w:sz w:val="24"/>
                <w:szCs w:val="24"/>
              </w:rPr>
              <w:t xml:space="preserve">Only if a person applies for an unequal division does a Court have discretion and then the </w:t>
            </w:r>
            <w:r w:rsidRPr="00427BCD">
              <w:rPr>
                <w:i/>
                <w:noProof/>
                <w:sz w:val="24"/>
                <w:szCs w:val="24"/>
              </w:rPr>
              <w:t>discretion</w:t>
            </w:r>
            <w:r>
              <w:rPr>
                <w:i/>
                <w:sz w:val="24"/>
                <w:szCs w:val="24"/>
              </w:rPr>
              <w:t xml:space="preserve"> is governed by:</w:t>
            </w:r>
          </w:p>
          <w:p w:rsidR="00227348" w:rsidRDefault="00227348" w:rsidP="009A0126">
            <w:pPr>
              <w:pStyle w:val="ListParagraph"/>
              <w:numPr>
                <w:ilvl w:val="0"/>
                <w:numId w:val="41"/>
              </w:numPr>
              <w:spacing w:line="360" w:lineRule="auto"/>
              <w:jc w:val="both"/>
              <w:rPr>
                <w:i/>
                <w:sz w:val="24"/>
                <w:szCs w:val="24"/>
              </w:rPr>
            </w:pPr>
            <w:r>
              <w:rPr>
                <w:i/>
                <w:sz w:val="24"/>
                <w:szCs w:val="24"/>
              </w:rPr>
              <w:t xml:space="preserve">Objects and Principles, including redressing economic disadvantage, and giving weight to the economic interests of dependent children. </w:t>
            </w:r>
          </w:p>
          <w:p w:rsidR="00227348" w:rsidRDefault="00980F2E" w:rsidP="009A0126">
            <w:pPr>
              <w:pStyle w:val="ListParagraph"/>
              <w:numPr>
                <w:ilvl w:val="0"/>
                <w:numId w:val="41"/>
              </w:numPr>
              <w:spacing w:line="360" w:lineRule="auto"/>
              <w:jc w:val="both"/>
              <w:rPr>
                <w:i/>
                <w:sz w:val="24"/>
                <w:szCs w:val="24"/>
              </w:rPr>
            </w:pPr>
            <w:r w:rsidRPr="00980F2E">
              <w:rPr>
                <w:i/>
                <w:noProof/>
                <w:sz w:val="24"/>
                <w:szCs w:val="24"/>
              </w:rPr>
              <w:t>The a</w:t>
            </w:r>
            <w:r w:rsidR="00D73980" w:rsidRPr="00980F2E">
              <w:rPr>
                <w:i/>
                <w:noProof/>
                <w:sz w:val="24"/>
                <w:szCs w:val="24"/>
              </w:rPr>
              <w:t>ctual c</w:t>
            </w:r>
            <w:r w:rsidR="00227348" w:rsidRPr="00980F2E">
              <w:rPr>
                <w:i/>
                <w:noProof/>
                <w:sz w:val="24"/>
                <w:szCs w:val="24"/>
              </w:rPr>
              <w:t>osts</w:t>
            </w:r>
            <w:r w:rsidR="00227348">
              <w:rPr>
                <w:i/>
                <w:sz w:val="24"/>
                <w:szCs w:val="24"/>
              </w:rPr>
              <w:t xml:space="preserve"> of dependent children in each household.</w:t>
            </w:r>
          </w:p>
          <w:p w:rsidR="00227348" w:rsidRDefault="00427BCD" w:rsidP="009A0126">
            <w:pPr>
              <w:pStyle w:val="ListParagraph"/>
              <w:numPr>
                <w:ilvl w:val="0"/>
                <w:numId w:val="41"/>
              </w:numPr>
              <w:spacing w:line="360" w:lineRule="auto"/>
              <w:jc w:val="both"/>
              <w:rPr>
                <w:i/>
                <w:sz w:val="24"/>
                <w:szCs w:val="24"/>
              </w:rPr>
            </w:pPr>
            <w:r>
              <w:rPr>
                <w:i/>
                <w:noProof/>
                <w:sz w:val="24"/>
                <w:szCs w:val="24"/>
              </w:rPr>
              <w:t>The d</w:t>
            </w:r>
            <w:r w:rsidR="00227348" w:rsidRPr="00427BCD">
              <w:rPr>
                <w:i/>
                <w:noProof/>
                <w:sz w:val="24"/>
                <w:szCs w:val="24"/>
              </w:rPr>
              <w:t>isparity</w:t>
            </w:r>
            <w:r w:rsidR="00227348">
              <w:rPr>
                <w:i/>
                <w:sz w:val="24"/>
                <w:szCs w:val="24"/>
              </w:rPr>
              <w:t xml:space="preserve"> in income and earning capacity of the spouses.</w:t>
            </w:r>
          </w:p>
          <w:p w:rsidR="00227348" w:rsidRDefault="00427BCD" w:rsidP="009A0126">
            <w:pPr>
              <w:pStyle w:val="ListParagraph"/>
              <w:numPr>
                <w:ilvl w:val="0"/>
                <w:numId w:val="41"/>
              </w:numPr>
              <w:spacing w:line="360" w:lineRule="auto"/>
              <w:jc w:val="both"/>
              <w:rPr>
                <w:i/>
                <w:sz w:val="24"/>
                <w:szCs w:val="24"/>
              </w:rPr>
            </w:pPr>
            <w:r>
              <w:rPr>
                <w:i/>
                <w:noProof/>
                <w:sz w:val="24"/>
                <w:szCs w:val="24"/>
              </w:rPr>
              <w:t>The h</w:t>
            </w:r>
            <w:r w:rsidR="00227348" w:rsidRPr="00427BCD">
              <w:rPr>
                <w:i/>
                <w:noProof/>
                <w:sz w:val="24"/>
                <w:szCs w:val="24"/>
              </w:rPr>
              <w:t>ealth</w:t>
            </w:r>
            <w:r w:rsidR="00227348">
              <w:rPr>
                <w:i/>
                <w:sz w:val="24"/>
                <w:szCs w:val="24"/>
              </w:rPr>
              <w:t xml:space="preserve"> of the </w:t>
            </w:r>
            <w:r w:rsidR="002654A9">
              <w:rPr>
                <w:i/>
                <w:sz w:val="24"/>
                <w:szCs w:val="24"/>
              </w:rPr>
              <w:t>s</w:t>
            </w:r>
            <w:r w:rsidR="00227348">
              <w:rPr>
                <w:i/>
                <w:sz w:val="24"/>
                <w:szCs w:val="24"/>
              </w:rPr>
              <w:t>pouses.</w:t>
            </w:r>
          </w:p>
          <w:p w:rsidR="00227348" w:rsidRDefault="00227348" w:rsidP="009A0126">
            <w:pPr>
              <w:pStyle w:val="ListParagraph"/>
              <w:numPr>
                <w:ilvl w:val="0"/>
                <w:numId w:val="41"/>
              </w:numPr>
              <w:spacing w:line="360" w:lineRule="auto"/>
              <w:jc w:val="both"/>
              <w:rPr>
                <w:i/>
                <w:sz w:val="24"/>
                <w:szCs w:val="24"/>
              </w:rPr>
            </w:pPr>
            <w:r w:rsidRPr="002654A9">
              <w:rPr>
                <w:i/>
                <w:noProof/>
                <w:sz w:val="24"/>
                <w:szCs w:val="24"/>
              </w:rPr>
              <w:t xml:space="preserve">Financial </w:t>
            </w:r>
            <w:r w:rsidR="002654A9" w:rsidRPr="002654A9">
              <w:rPr>
                <w:i/>
                <w:noProof/>
                <w:sz w:val="24"/>
                <w:szCs w:val="24"/>
              </w:rPr>
              <w:t>r</w:t>
            </w:r>
            <w:r w:rsidRPr="002654A9">
              <w:rPr>
                <w:i/>
                <w:noProof/>
                <w:sz w:val="24"/>
                <w:szCs w:val="24"/>
              </w:rPr>
              <w:t>esources</w:t>
            </w:r>
            <w:r>
              <w:rPr>
                <w:i/>
                <w:sz w:val="24"/>
                <w:szCs w:val="24"/>
              </w:rPr>
              <w:t xml:space="preserve"> of the </w:t>
            </w:r>
            <w:r w:rsidR="002654A9">
              <w:rPr>
                <w:i/>
                <w:sz w:val="24"/>
                <w:szCs w:val="24"/>
              </w:rPr>
              <w:t>s</w:t>
            </w:r>
            <w:r>
              <w:rPr>
                <w:i/>
                <w:sz w:val="24"/>
                <w:szCs w:val="24"/>
              </w:rPr>
              <w:t>pouses.</w:t>
            </w:r>
          </w:p>
          <w:p w:rsidR="00227348" w:rsidRDefault="00227348" w:rsidP="009A0126">
            <w:pPr>
              <w:pStyle w:val="ListParagraph"/>
              <w:numPr>
                <w:ilvl w:val="0"/>
                <w:numId w:val="41"/>
              </w:numPr>
              <w:spacing w:line="360" w:lineRule="auto"/>
              <w:jc w:val="both"/>
              <w:rPr>
                <w:i/>
                <w:sz w:val="24"/>
                <w:szCs w:val="24"/>
              </w:rPr>
            </w:pPr>
            <w:r>
              <w:rPr>
                <w:i/>
                <w:sz w:val="24"/>
                <w:szCs w:val="24"/>
              </w:rPr>
              <w:t xml:space="preserve">The ability to live with dignity in retirement. </w:t>
            </w:r>
          </w:p>
          <w:p w:rsidR="00227348" w:rsidRDefault="00427BCD" w:rsidP="009A0126">
            <w:pPr>
              <w:pStyle w:val="ListParagraph"/>
              <w:numPr>
                <w:ilvl w:val="0"/>
                <w:numId w:val="42"/>
              </w:numPr>
              <w:spacing w:line="360" w:lineRule="auto"/>
              <w:jc w:val="both"/>
              <w:rPr>
                <w:i/>
                <w:sz w:val="24"/>
                <w:szCs w:val="24"/>
              </w:rPr>
            </w:pPr>
            <w:r>
              <w:rPr>
                <w:i/>
                <w:sz w:val="24"/>
                <w:szCs w:val="24"/>
              </w:rPr>
              <w:t>Capping t</w:t>
            </w:r>
            <w:r w:rsidR="00227348">
              <w:rPr>
                <w:i/>
                <w:sz w:val="24"/>
                <w:szCs w:val="24"/>
              </w:rPr>
              <w:t>he percentage division at 80%/20% for wealthier families, but</w:t>
            </w:r>
          </w:p>
          <w:p w:rsidR="00227348" w:rsidRDefault="00227348" w:rsidP="009A0126">
            <w:pPr>
              <w:pStyle w:val="ListParagraph"/>
              <w:numPr>
                <w:ilvl w:val="0"/>
                <w:numId w:val="42"/>
              </w:numPr>
              <w:spacing w:line="360" w:lineRule="auto"/>
              <w:jc w:val="both"/>
              <w:rPr>
                <w:i/>
                <w:sz w:val="24"/>
                <w:szCs w:val="24"/>
              </w:rPr>
            </w:pPr>
            <w:r>
              <w:rPr>
                <w:i/>
                <w:sz w:val="24"/>
                <w:szCs w:val="24"/>
              </w:rPr>
              <w:t xml:space="preserve">For less </w:t>
            </w:r>
            <w:r w:rsidR="00427BCD">
              <w:rPr>
                <w:i/>
                <w:noProof/>
                <w:sz w:val="24"/>
                <w:szCs w:val="24"/>
              </w:rPr>
              <w:t>affluent</w:t>
            </w:r>
            <w:r>
              <w:rPr>
                <w:i/>
                <w:sz w:val="24"/>
                <w:szCs w:val="24"/>
              </w:rPr>
              <w:t xml:space="preserve"> families the percentage division extends to 100%/0%. </w:t>
            </w:r>
          </w:p>
          <w:p w:rsidR="00227348" w:rsidRDefault="00227348" w:rsidP="009A0126">
            <w:pPr>
              <w:pStyle w:val="ListParagraph"/>
              <w:numPr>
                <w:ilvl w:val="0"/>
                <w:numId w:val="42"/>
              </w:numPr>
              <w:spacing w:line="360" w:lineRule="auto"/>
              <w:jc w:val="both"/>
              <w:rPr>
                <w:i/>
                <w:sz w:val="24"/>
                <w:szCs w:val="24"/>
              </w:rPr>
            </w:pPr>
            <w:r>
              <w:rPr>
                <w:i/>
                <w:sz w:val="24"/>
                <w:szCs w:val="24"/>
              </w:rPr>
              <w:t xml:space="preserve">The Court retains a discretion concerning the composition of an award (within the scope of the % entitlement), </w:t>
            </w:r>
            <w:r w:rsidR="00A17297">
              <w:rPr>
                <w:i/>
                <w:sz w:val="24"/>
                <w:szCs w:val="24"/>
              </w:rPr>
              <w:t>using</w:t>
            </w:r>
            <w:r>
              <w:rPr>
                <w:i/>
                <w:sz w:val="24"/>
                <w:szCs w:val="24"/>
              </w:rPr>
              <w:t xml:space="preserve"> the following: </w:t>
            </w:r>
          </w:p>
          <w:p w:rsidR="00227348" w:rsidRDefault="00227348" w:rsidP="009A0126">
            <w:pPr>
              <w:pStyle w:val="ListParagraph"/>
              <w:numPr>
                <w:ilvl w:val="0"/>
                <w:numId w:val="43"/>
              </w:numPr>
              <w:spacing w:line="360" w:lineRule="auto"/>
              <w:jc w:val="both"/>
              <w:rPr>
                <w:i/>
                <w:sz w:val="24"/>
                <w:szCs w:val="24"/>
              </w:rPr>
            </w:pPr>
            <w:r>
              <w:rPr>
                <w:i/>
                <w:sz w:val="24"/>
                <w:szCs w:val="24"/>
              </w:rPr>
              <w:t>The Nature of Property.</w:t>
            </w:r>
          </w:p>
          <w:p w:rsidR="00227348" w:rsidRDefault="00427BCD" w:rsidP="009A0126">
            <w:pPr>
              <w:pStyle w:val="ListParagraph"/>
              <w:numPr>
                <w:ilvl w:val="0"/>
                <w:numId w:val="43"/>
              </w:numPr>
              <w:spacing w:line="360" w:lineRule="auto"/>
              <w:jc w:val="both"/>
              <w:rPr>
                <w:i/>
                <w:sz w:val="24"/>
                <w:szCs w:val="24"/>
              </w:rPr>
            </w:pPr>
            <w:r>
              <w:rPr>
                <w:i/>
                <w:noProof/>
                <w:sz w:val="24"/>
                <w:szCs w:val="24"/>
              </w:rPr>
              <w:t>The d</w:t>
            </w:r>
            <w:r w:rsidR="00227348" w:rsidRPr="00427BCD">
              <w:rPr>
                <w:i/>
                <w:noProof/>
                <w:sz w:val="24"/>
                <w:szCs w:val="24"/>
              </w:rPr>
              <w:t>esire</w:t>
            </w:r>
            <w:r w:rsidR="00227348">
              <w:rPr>
                <w:i/>
                <w:sz w:val="24"/>
                <w:szCs w:val="24"/>
              </w:rPr>
              <w:t xml:space="preserve"> to retain </w:t>
            </w:r>
            <w:r>
              <w:rPr>
                <w:i/>
                <w:noProof/>
                <w:sz w:val="24"/>
                <w:szCs w:val="24"/>
              </w:rPr>
              <w:t>specific</w:t>
            </w:r>
            <w:r w:rsidR="00227348">
              <w:rPr>
                <w:i/>
                <w:sz w:val="24"/>
                <w:szCs w:val="24"/>
              </w:rPr>
              <w:t xml:space="preserve"> property.</w:t>
            </w:r>
          </w:p>
          <w:p w:rsidR="00227348" w:rsidRDefault="00227348" w:rsidP="009A0126">
            <w:pPr>
              <w:pStyle w:val="ListParagraph"/>
              <w:numPr>
                <w:ilvl w:val="0"/>
                <w:numId w:val="43"/>
              </w:numPr>
              <w:spacing w:line="360" w:lineRule="auto"/>
              <w:jc w:val="both"/>
              <w:rPr>
                <w:i/>
                <w:sz w:val="24"/>
                <w:szCs w:val="24"/>
              </w:rPr>
            </w:pPr>
            <w:r>
              <w:rPr>
                <w:i/>
                <w:sz w:val="24"/>
                <w:szCs w:val="24"/>
              </w:rPr>
              <w:t>Proximity (of real property) to children’s schools and family members.</w:t>
            </w:r>
          </w:p>
          <w:p w:rsidR="00227348" w:rsidRDefault="00227348" w:rsidP="009A0126">
            <w:pPr>
              <w:pStyle w:val="ListParagraph"/>
              <w:numPr>
                <w:ilvl w:val="0"/>
                <w:numId w:val="43"/>
              </w:numPr>
              <w:spacing w:line="360" w:lineRule="auto"/>
              <w:jc w:val="both"/>
              <w:rPr>
                <w:i/>
                <w:sz w:val="24"/>
                <w:szCs w:val="24"/>
              </w:rPr>
            </w:pPr>
            <w:r>
              <w:rPr>
                <w:i/>
                <w:sz w:val="24"/>
                <w:szCs w:val="24"/>
              </w:rPr>
              <w:t xml:space="preserve">The emotional impact of selling </w:t>
            </w:r>
            <w:r w:rsidR="00A17297">
              <w:rPr>
                <w:i/>
                <w:sz w:val="24"/>
                <w:szCs w:val="24"/>
              </w:rPr>
              <w:t xml:space="preserve">real </w:t>
            </w:r>
            <w:r>
              <w:rPr>
                <w:i/>
                <w:sz w:val="24"/>
                <w:szCs w:val="24"/>
              </w:rPr>
              <w:t xml:space="preserve">property. </w:t>
            </w:r>
          </w:p>
          <w:p w:rsidR="00227348" w:rsidRDefault="00227348" w:rsidP="009A0126">
            <w:pPr>
              <w:pStyle w:val="ListParagraph"/>
              <w:numPr>
                <w:ilvl w:val="0"/>
                <w:numId w:val="44"/>
              </w:numPr>
              <w:spacing w:line="360" w:lineRule="auto"/>
              <w:jc w:val="both"/>
              <w:rPr>
                <w:i/>
                <w:sz w:val="24"/>
                <w:szCs w:val="24"/>
              </w:rPr>
            </w:pPr>
            <w:r>
              <w:rPr>
                <w:i/>
                <w:sz w:val="24"/>
                <w:szCs w:val="24"/>
              </w:rPr>
              <w:t xml:space="preserve">In conjunction with this additional cause of action a statutory guidance document (as recommended for the existing regime) issue, with procedural amendments to put it into effect, and extensive education take place (as </w:t>
            </w:r>
            <w:r w:rsidR="00427BCD">
              <w:rPr>
                <w:i/>
                <w:noProof/>
                <w:sz w:val="24"/>
                <w:szCs w:val="24"/>
              </w:rPr>
              <w:t>suggest</w:t>
            </w:r>
            <w:r w:rsidRPr="00427BCD">
              <w:rPr>
                <w:i/>
                <w:noProof/>
                <w:sz w:val="24"/>
                <w:szCs w:val="24"/>
              </w:rPr>
              <w:t>ed</w:t>
            </w:r>
            <w:r>
              <w:rPr>
                <w:i/>
                <w:sz w:val="24"/>
                <w:szCs w:val="24"/>
              </w:rPr>
              <w:t xml:space="preserve"> earlier), and </w:t>
            </w:r>
          </w:p>
          <w:p w:rsidR="005679FC" w:rsidRPr="00227348" w:rsidRDefault="00227348" w:rsidP="009A0126">
            <w:pPr>
              <w:pStyle w:val="ListParagraph"/>
              <w:numPr>
                <w:ilvl w:val="0"/>
                <w:numId w:val="44"/>
              </w:numPr>
              <w:spacing w:line="360" w:lineRule="auto"/>
              <w:jc w:val="both"/>
              <w:rPr>
                <w:i/>
                <w:sz w:val="24"/>
                <w:szCs w:val="24"/>
              </w:rPr>
            </w:pPr>
            <w:r>
              <w:rPr>
                <w:i/>
                <w:sz w:val="24"/>
                <w:szCs w:val="24"/>
              </w:rPr>
              <w:t xml:space="preserve">The </w:t>
            </w:r>
            <w:r w:rsidR="00427BCD">
              <w:rPr>
                <w:i/>
                <w:noProof/>
                <w:sz w:val="24"/>
                <w:szCs w:val="24"/>
              </w:rPr>
              <w:t>current</w:t>
            </w:r>
            <w:r>
              <w:rPr>
                <w:i/>
                <w:sz w:val="24"/>
                <w:szCs w:val="24"/>
              </w:rPr>
              <w:t xml:space="preserve"> provisions of section 79 of the Act (and equivalents) remain as a fall-back provision for other types of families. </w:t>
            </w:r>
          </w:p>
        </w:tc>
      </w:tr>
    </w:tbl>
    <w:p w:rsidR="005679FC" w:rsidRDefault="005679FC" w:rsidP="00462142">
      <w:pPr>
        <w:pStyle w:val="ListParagraph"/>
        <w:spacing w:after="0" w:line="360" w:lineRule="auto"/>
        <w:ind w:left="1080"/>
      </w:pPr>
    </w:p>
    <w:p w:rsidR="005679FC" w:rsidRPr="00B003DA" w:rsidRDefault="005679FC" w:rsidP="00462142">
      <w:pPr>
        <w:spacing w:after="0" w:line="360" w:lineRule="auto"/>
        <w:jc w:val="both"/>
      </w:pPr>
    </w:p>
    <w:p w:rsidR="00DC7DC2" w:rsidRDefault="00DC7DC2" w:rsidP="00462142">
      <w:pPr>
        <w:spacing w:after="0" w:line="360" w:lineRule="auto"/>
      </w:pPr>
      <w:r>
        <w:br w:type="page"/>
      </w:r>
    </w:p>
    <w:p w:rsidR="00DC7DC2" w:rsidRPr="0031221F" w:rsidRDefault="00DC7DC2" w:rsidP="00462142">
      <w:pPr>
        <w:pStyle w:val="Heading1"/>
        <w:pBdr>
          <w:bottom w:val="single" w:sz="4" w:space="1" w:color="auto"/>
        </w:pBdr>
        <w:spacing w:before="0" w:line="360" w:lineRule="auto"/>
        <w:jc w:val="both"/>
        <w:rPr>
          <w:b/>
          <w:color w:val="auto"/>
          <w:sz w:val="36"/>
          <w:szCs w:val="36"/>
        </w:rPr>
      </w:pPr>
      <w:bookmarkStart w:id="55" w:name="_Toc512895960"/>
      <w:r w:rsidRPr="0031221F">
        <w:rPr>
          <w:b/>
          <w:color w:val="auto"/>
          <w:sz w:val="36"/>
          <w:szCs w:val="36"/>
        </w:rPr>
        <w:t>Question 1</w:t>
      </w:r>
      <w:r>
        <w:rPr>
          <w:b/>
          <w:color w:val="auto"/>
          <w:sz w:val="36"/>
          <w:szCs w:val="36"/>
        </w:rPr>
        <w:t>9</w:t>
      </w:r>
      <w:r w:rsidRPr="0031221F">
        <w:rPr>
          <w:b/>
          <w:color w:val="auto"/>
          <w:sz w:val="36"/>
          <w:szCs w:val="36"/>
        </w:rPr>
        <w:t xml:space="preserve">: </w:t>
      </w:r>
      <w:r w:rsidR="004E3C7C" w:rsidRPr="004E3C7C">
        <w:rPr>
          <w:b/>
          <w:color w:val="auto"/>
          <w:sz w:val="36"/>
          <w:szCs w:val="36"/>
        </w:rPr>
        <w:t xml:space="preserve">What changes could be made to the provisions </w:t>
      </w:r>
      <w:r w:rsidR="004E3C7C" w:rsidRPr="00980F2E">
        <w:rPr>
          <w:b/>
          <w:noProof/>
          <w:color w:val="auto"/>
          <w:sz w:val="36"/>
          <w:szCs w:val="36"/>
        </w:rPr>
        <w:t>in</w:t>
      </w:r>
      <w:r w:rsidR="004E3C7C" w:rsidRPr="004E3C7C">
        <w:rPr>
          <w:b/>
          <w:color w:val="auto"/>
          <w:sz w:val="36"/>
          <w:szCs w:val="36"/>
        </w:rPr>
        <w:t xml:space="preserve"> the </w:t>
      </w:r>
      <w:r w:rsidR="004E3C7C" w:rsidRPr="004E3C7C">
        <w:rPr>
          <w:b/>
          <w:i/>
          <w:iCs/>
          <w:color w:val="auto"/>
          <w:sz w:val="36"/>
          <w:szCs w:val="36"/>
        </w:rPr>
        <w:t>Family Law</w:t>
      </w:r>
      <w:r w:rsidR="00314979">
        <w:rPr>
          <w:b/>
          <w:i/>
          <w:iCs/>
          <w:color w:val="auto"/>
          <w:sz w:val="36"/>
          <w:szCs w:val="36"/>
        </w:rPr>
        <w:t xml:space="preserve"> </w:t>
      </w:r>
      <w:r w:rsidR="004E3C7C" w:rsidRPr="004E3C7C">
        <w:rPr>
          <w:b/>
          <w:i/>
          <w:iCs/>
          <w:color w:val="auto"/>
          <w:sz w:val="36"/>
          <w:szCs w:val="36"/>
        </w:rPr>
        <w:t xml:space="preserve">Act </w:t>
      </w:r>
      <w:r w:rsidR="004E3C7C" w:rsidRPr="004E3C7C">
        <w:rPr>
          <w:b/>
          <w:color w:val="auto"/>
          <w:sz w:val="36"/>
          <w:szCs w:val="36"/>
        </w:rPr>
        <w:t>governing binding financial agreements to improve the clarity and</w:t>
      </w:r>
      <w:r w:rsidR="004E3C7C">
        <w:rPr>
          <w:b/>
          <w:color w:val="auto"/>
          <w:sz w:val="36"/>
          <w:szCs w:val="36"/>
        </w:rPr>
        <w:t xml:space="preserve"> </w:t>
      </w:r>
      <w:r w:rsidR="004E3C7C" w:rsidRPr="004E3C7C">
        <w:rPr>
          <w:b/>
          <w:color w:val="auto"/>
          <w:sz w:val="36"/>
          <w:szCs w:val="36"/>
        </w:rPr>
        <w:t>comprehensibility of the law for parties and to promote fair outcomes?</w:t>
      </w:r>
      <w:bookmarkEnd w:id="55"/>
    </w:p>
    <w:p w:rsidR="00352FB9" w:rsidRDefault="00352FB9" w:rsidP="00462142">
      <w:pPr>
        <w:spacing w:after="0" w:line="360" w:lineRule="auto"/>
      </w:pPr>
    </w:p>
    <w:p w:rsidR="00B55C77" w:rsidRPr="00D37EE0" w:rsidRDefault="006635E1" w:rsidP="00D37EE0">
      <w:pPr>
        <w:pStyle w:val="Heading2"/>
        <w:spacing w:before="0" w:line="360" w:lineRule="auto"/>
        <w:rPr>
          <w:color w:val="auto"/>
          <w:sz w:val="28"/>
          <w:szCs w:val="28"/>
        </w:rPr>
      </w:pPr>
      <w:bookmarkStart w:id="56" w:name="_Toc512895961"/>
      <w:r>
        <w:rPr>
          <w:color w:val="auto"/>
          <w:sz w:val="28"/>
          <w:szCs w:val="28"/>
        </w:rPr>
        <w:t>I</w:t>
      </w:r>
      <w:r w:rsidRPr="004E3003">
        <w:rPr>
          <w:color w:val="auto"/>
          <w:sz w:val="28"/>
          <w:szCs w:val="28"/>
        </w:rPr>
        <w:t xml:space="preserve"> </w:t>
      </w:r>
      <w:r>
        <w:rPr>
          <w:color w:val="auto"/>
          <w:sz w:val="28"/>
          <w:szCs w:val="28"/>
        </w:rPr>
        <w:t xml:space="preserve">New Question </w:t>
      </w:r>
      <w:r w:rsidR="00D37EE0">
        <w:rPr>
          <w:color w:val="auto"/>
          <w:sz w:val="28"/>
          <w:szCs w:val="28"/>
        </w:rPr>
        <w:t xml:space="preserve">- </w:t>
      </w:r>
      <w:r>
        <w:rPr>
          <w:color w:val="auto"/>
          <w:sz w:val="28"/>
          <w:szCs w:val="28"/>
        </w:rPr>
        <w:t>Similar Issues</w:t>
      </w:r>
      <w:bookmarkEnd w:id="56"/>
      <w:r>
        <w:rPr>
          <w:color w:val="auto"/>
          <w:sz w:val="28"/>
          <w:szCs w:val="28"/>
        </w:rPr>
        <w:t xml:space="preserve"> </w:t>
      </w:r>
    </w:p>
    <w:p w:rsidR="00B55C77" w:rsidRPr="00D37EE0" w:rsidRDefault="00A54EDE" w:rsidP="00D37EE0">
      <w:pPr>
        <w:pStyle w:val="ListParagraph"/>
        <w:numPr>
          <w:ilvl w:val="0"/>
          <w:numId w:val="52"/>
        </w:numPr>
        <w:spacing w:after="0" w:line="360" w:lineRule="auto"/>
        <w:jc w:val="both"/>
        <w:rPr>
          <w:sz w:val="24"/>
          <w:szCs w:val="24"/>
        </w:rPr>
      </w:pPr>
      <w:r w:rsidRPr="00B55C77">
        <w:rPr>
          <w:sz w:val="24"/>
          <w:szCs w:val="24"/>
        </w:rPr>
        <w:t xml:space="preserve">In 2015 and 2016, the Commonwealth engaged in an extensive consultation exercise for the </w:t>
      </w:r>
      <w:r w:rsidRPr="00B55C77">
        <w:rPr>
          <w:i/>
          <w:sz w:val="24"/>
          <w:szCs w:val="24"/>
        </w:rPr>
        <w:t>Civil Law and Justice Legislation Amendment Bill 2015</w:t>
      </w:r>
      <w:r w:rsidRPr="00B55C77">
        <w:rPr>
          <w:sz w:val="24"/>
          <w:szCs w:val="24"/>
        </w:rPr>
        <w:t xml:space="preserve">. </w:t>
      </w:r>
      <w:r w:rsidRPr="00B55C77">
        <w:rPr>
          <w:noProof/>
          <w:sz w:val="24"/>
          <w:szCs w:val="24"/>
        </w:rPr>
        <w:t>This</w:t>
      </w:r>
      <w:r w:rsidRPr="00B55C77">
        <w:rPr>
          <w:sz w:val="24"/>
          <w:szCs w:val="24"/>
        </w:rPr>
        <w:t xml:space="preserve"> involved the Attorney-General’s department and then the Senate.  The stated intention of the bill was to ‘improve the operation of the financial agreements regime.’</w:t>
      </w:r>
      <w:r w:rsidRPr="00AD77D9">
        <w:rPr>
          <w:rStyle w:val="EndnoteReference"/>
          <w:sz w:val="24"/>
          <w:szCs w:val="24"/>
        </w:rPr>
        <w:endnoteReference w:id="249"/>
      </w:r>
      <w:r w:rsidRPr="00B55C77">
        <w:rPr>
          <w:sz w:val="24"/>
          <w:szCs w:val="24"/>
        </w:rPr>
        <w:t xml:space="preserve"> While the Issues Paper notes the evidence of the inquiry,</w:t>
      </w:r>
      <w:r w:rsidRPr="00AD77D9">
        <w:rPr>
          <w:rStyle w:val="EndnoteReference"/>
          <w:sz w:val="24"/>
          <w:szCs w:val="24"/>
        </w:rPr>
        <w:endnoteReference w:id="250"/>
      </w:r>
      <w:r w:rsidRPr="00B55C77">
        <w:rPr>
          <w:sz w:val="24"/>
          <w:szCs w:val="24"/>
        </w:rPr>
        <w:t xml:space="preserve"> </w:t>
      </w:r>
      <w:r w:rsidR="00F67B12" w:rsidRPr="00B55C77">
        <w:rPr>
          <w:sz w:val="24"/>
          <w:szCs w:val="24"/>
        </w:rPr>
        <w:t xml:space="preserve">there is a great deal of material submitted to that inquiry that covers this question. </w:t>
      </w:r>
    </w:p>
    <w:p w:rsidR="00954E38" w:rsidRPr="00B55C77" w:rsidRDefault="00F67B12" w:rsidP="009A0126">
      <w:pPr>
        <w:pStyle w:val="ListParagraph"/>
        <w:numPr>
          <w:ilvl w:val="0"/>
          <w:numId w:val="52"/>
        </w:numPr>
        <w:spacing w:after="0" w:line="360" w:lineRule="auto"/>
        <w:jc w:val="both"/>
        <w:rPr>
          <w:sz w:val="24"/>
          <w:szCs w:val="24"/>
        </w:rPr>
      </w:pPr>
      <w:r w:rsidRPr="00B55C77">
        <w:rPr>
          <w:sz w:val="24"/>
          <w:szCs w:val="24"/>
        </w:rPr>
        <w:t xml:space="preserve">That material includes: </w:t>
      </w:r>
    </w:p>
    <w:p w:rsidR="00676DD6" w:rsidRPr="00AD77D9" w:rsidRDefault="00462142" w:rsidP="009A0126">
      <w:pPr>
        <w:pStyle w:val="ListParagraph"/>
        <w:numPr>
          <w:ilvl w:val="0"/>
          <w:numId w:val="45"/>
        </w:numPr>
        <w:spacing w:after="0" w:line="360" w:lineRule="auto"/>
        <w:jc w:val="both"/>
        <w:rPr>
          <w:sz w:val="24"/>
          <w:szCs w:val="24"/>
        </w:rPr>
      </w:pPr>
      <w:r w:rsidRPr="00AD77D9">
        <w:rPr>
          <w:sz w:val="24"/>
          <w:szCs w:val="24"/>
        </w:rPr>
        <w:t>Binding Financial Agreements Amendments – Civil Law and Justice Legislation Amendment Bill 2015 (Cth) (“The Consultation Draft”)</w:t>
      </w:r>
    </w:p>
    <w:p w:rsidR="00F67B12" w:rsidRPr="00AD77D9" w:rsidRDefault="00F67B12" w:rsidP="009A0126">
      <w:pPr>
        <w:pStyle w:val="ListParagraph"/>
        <w:numPr>
          <w:ilvl w:val="0"/>
          <w:numId w:val="45"/>
        </w:numPr>
        <w:spacing w:after="0" w:line="360" w:lineRule="auto"/>
        <w:jc w:val="both"/>
        <w:rPr>
          <w:sz w:val="24"/>
          <w:szCs w:val="24"/>
        </w:rPr>
      </w:pPr>
      <w:r w:rsidRPr="00AD77D9">
        <w:rPr>
          <w:sz w:val="24"/>
          <w:szCs w:val="24"/>
        </w:rPr>
        <w:t>Commonwealth of Australia, Legal and Constitutional Affairs Legislation Committee Report</w:t>
      </w:r>
      <w:r w:rsidRPr="00AD77D9">
        <w:rPr>
          <w:i/>
          <w:sz w:val="24"/>
          <w:szCs w:val="24"/>
        </w:rPr>
        <w:t>, Family Law Amendment (Financial Agreements and Other Measures) Bill 2015</w:t>
      </w:r>
      <w:r w:rsidRPr="00AD77D9">
        <w:rPr>
          <w:sz w:val="24"/>
          <w:szCs w:val="24"/>
        </w:rPr>
        <w:t>, February 2016</w:t>
      </w:r>
    </w:p>
    <w:p w:rsidR="00F67B12" w:rsidRPr="00AD77D9" w:rsidRDefault="00F67B12" w:rsidP="009A0126">
      <w:pPr>
        <w:pStyle w:val="ListParagraph"/>
        <w:numPr>
          <w:ilvl w:val="0"/>
          <w:numId w:val="45"/>
        </w:numPr>
        <w:spacing w:after="0" w:line="360" w:lineRule="auto"/>
        <w:jc w:val="both"/>
        <w:rPr>
          <w:sz w:val="24"/>
          <w:szCs w:val="24"/>
        </w:rPr>
      </w:pPr>
      <w:r w:rsidRPr="00AD77D9">
        <w:rPr>
          <w:sz w:val="24"/>
          <w:szCs w:val="24"/>
        </w:rPr>
        <w:t xml:space="preserve">The 20 public submissions made to the inquiry concerning financial agreements many of them substantial. </w:t>
      </w:r>
    </w:p>
    <w:p w:rsidR="00F67B12" w:rsidRPr="00AD77D9" w:rsidRDefault="00F67B12" w:rsidP="009A0126">
      <w:pPr>
        <w:pStyle w:val="ListParagraph"/>
        <w:numPr>
          <w:ilvl w:val="0"/>
          <w:numId w:val="45"/>
        </w:numPr>
        <w:spacing w:after="0" w:line="360" w:lineRule="auto"/>
        <w:jc w:val="both"/>
        <w:rPr>
          <w:sz w:val="24"/>
          <w:szCs w:val="24"/>
        </w:rPr>
      </w:pPr>
      <w:r w:rsidRPr="00AD77D9">
        <w:rPr>
          <w:sz w:val="24"/>
          <w:szCs w:val="24"/>
        </w:rPr>
        <w:t xml:space="preserve">The public submissions made to the Attorney-General’s department in response to the exposure draft, being: </w:t>
      </w:r>
    </w:p>
    <w:p w:rsidR="00F67B12" w:rsidRDefault="00F67B12" w:rsidP="007F165F">
      <w:pPr>
        <w:pStyle w:val="ListParagraph"/>
        <w:spacing w:after="0" w:line="360" w:lineRule="auto"/>
        <w:ind w:left="1440"/>
        <w:jc w:val="right"/>
      </w:pPr>
      <w:r>
        <w:rPr>
          <w:noProof/>
          <w:lang w:eastAsia="en-AU"/>
        </w:rPr>
        <w:drawing>
          <wp:inline distT="0" distB="0" distL="0" distR="0">
            <wp:extent cx="3571875" cy="1789430"/>
            <wp:effectExtent l="0" t="0" r="9525"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cstate="print"/>
                    <a:srcRect l="16785" t="12971" r="20895"/>
                    <a:stretch/>
                  </pic:blipFill>
                  <pic:spPr bwMode="auto">
                    <a:xfrm>
                      <a:off x="0" y="0"/>
                      <a:ext cx="3571875" cy="178943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B55C77" w:rsidRDefault="00B55C77" w:rsidP="00F67B12">
      <w:pPr>
        <w:pStyle w:val="ListParagraph"/>
        <w:spacing w:after="0" w:line="360" w:lineRule="auto"/>
        <w:ind w:left="1440"/>
      </w:pPr>
    </w:p>
    <w:p w:rsidR="00F67B12" w:rsidRPr="00B55C77" w:rsidRDefault="00F67B12" w:rsidP="009A0126">
      <w:pPr>
        <w:pStyle w:val="ListParagraph"/>
        <w:numPr>
          <w:ilvl w:val="0"/>
          <w:numId w:val="52"/>
        </w:numPr>
        <w:spacing w:after="0" w:line="360" w:lineRule="auto"/>
        <w:jc w:val="both"/>
        <w:rPr>
          <w:sz w:val="24"/>
          <w:szCs w:val="24"/>
        </w:rPr>
      </w:pPr>
      <w:r w:rsidRPr="00B55C77">
        <w:rPr>
          <w:sz w:val="24"/>
          <w:szCs w:val="24"/>
        </w:rPr>
        <w:t xml:space="preserve">Because I made a substantial </w:t>
      </w:r>
      <w:r w:rsidRPr="00B55C77">
        <w:rPr>
          <w:noProof/>
          <w:sz w:val="24"/>
          <w:szCs w:val="24"/>
        </w:rPr>
        <w:t>submission</w:t>
      </w:r>
      <w:r w:rsidRPr="00B55C77">
        <w:rPr>
          <w:sz w:val="24"/>
          <w:szCs w:val="24"/>
        </w:rPr>
        <w:t xml:space="preserve"> in response to that exposure draft, I do not propose to repeat it. I make the following recommendation</w:t>
      </w:r>
      <w:r w:rsidR="00AD77D9" w:rsidRPr="00B55C77">
        <w:rPr>
          <w:sz w:val="24"/>
          <w:szCs w:val="24"/>
        </w:rPr>
        <w:t>s</w:t>
      </w:r>
      <w:r w:rsidRPr="00B55C77">
        <w:rPr>
          <w:sz w:val="24"/>
          <w:szCs w:val="24"/>
        </w:rPr>
        <w:t xml:space="preserve">: </w:t>
      </w:r>
    </w:p>
    <w:p w:rsidR="00F67B12" w:rsidRDefault="00F67B12" w:rsidP="00427BCD">
      <w:pPr>
        <w:spacing w:after="0" w:line="360" w:lineRule="auto"/>
      </w:pPr>
    </w:p>
    <w:tbl>
      <w:tblPr>
        <w:tblStyle w:val="TableGrid"/>
        <w:tblW w:w="0" w:type="auto"/>
        <w:tblLook w:val="04A0"/>
      </w:tblPr>
      <w:tblGrid>
        <w:gridCol w:w="9016"/>
      </w:tblGrid>
      <w:tr w:rsidR="00F67B12" w:rsidTr="00E014B4">
        <w:tc>
          <w:tcPr>
            <w:tcW w:w="9016" w:type="dxa"/>
          </w:tcPr>
          <w:p w:rsidR="00F67B12" w:rsidRPr="0022575B" w:rsidRDefault="00F67B12" w:rsidP="00427BCD">
            <w:pPr>
              <w:pStyle w:val="Heading3"/>
              <w:spacing w:before="0" w:line="360" w:lineRule="auto"/>
              <w:outlineLvl w:val="2"/>
              <w:rPr>
                <w:i/>
                <w:color w:val="auto"/>
              </w:rPr>
            </w:pPr>
            <w:bookmarkStart w:id="57" w:name="_Toc512895962"/>
            <w:r w:rsidRPr="008F1051">
              <w:rPr>
                <w:i/>
                <w:color w:val="auto"/>
              </w:rPr>
              <w:t xml:space="preserve">Recommendation </w:t>
            </w:r>
            <w:r>
              <w:rPr>
                <w:i/>
                <w:color w:val="auto"/>
              </w:rPr>
              <w:t>15</w:t>
            </w:r>
            <w:bookmarkEnd w:id="57"/>
          </w:p>
          <w:p w:rsidR="00F67B12" w:rsidRPr="00954E38" w:rsidRDefault="00F67B12" w:rsidP="00427BCD">
            <w:pPr>
              <w:spacing w:line="360" w:lineRule="auto"/>
              <w:rPr>
                <w:i/>
                <w:sz w:val="24"/>
                <w:szCs w:val="24"/>
              </w:rPr>
            </w:pPr>
            <w:r>
              <w:rPr>
                <w:i/>
                <w:sz w:val="24"/>
                <w:szCs w:val="24"/>
              </w:rPr>
              <w:t xml:space="preserve">That the Commission </w:t>
            </w:r>
            <w:r w:rsidR="00AD77D9" w:rsidRPr="00427BCD">
              <w:rPr>
                <w:i/>
                <w:noProof/>
                <w:sz w:val="24"/>
                <w:szCs w:val="24"/>
              </w:rPr>
              <w:t>consider</w:t>
            </w:r>
            <w:r w:rsidR="00427BCD">
              <w:rPr>
                <w:i/>
                <w:noProof/>
                <w:sz w:val="24"/>
                <w:szCs w:val="24"/>
              </w:rPr>
              <w:t>s</w:t>
            </w:r>
            <w:r w:rsidR="00AD77D9">
              <w:rPr>
                <w:i/>
                <w:sz w:val="24"/>
                <w:szCs w:val="24"/>
              </w:rPr>
              <w:t xml:space="preserve"> the </w:t>
            </w:r>
            <w:r w:rsidR="00AD77D9" w:rsidRPr="00AD77D9">
              <w:rPr>
                <w:i/>
                <w:sz w:val="24"/>
                <w:szCs w:val="24"/>
              </w:rPr>
              <w:t>Commonwealth of Australia, Legal and Constitutional Affairs Legislation Committee Report, Family Law Amendment (Financial Agreements and Other Measures) Bill 2015, February 2016</w:t>
            </w:r>
            <w:r w:rsidR="00AD77D9">
              <w:rPr>
                <w:i/>
                <w:sz w:val="24"/>
                <w:szCs w:val="24"/>
              </w:rPr>
              <w:t>, and the public submissions available.</w:t>
            </w:r>
          </w:p>
        </w:tc>
      </w:tr>
    </w:tbl>
    <w:p w:rsidR="00F67B12" w:rsidRDefault="00F67B12" w:rsidP="00427BCD">
      <w:pPr>
        <w:spacing w:after="0" w:line="360" w:lineRule="auto"/>
      </w:pPr>
    </w:p>
    <w:tbl>
      <w:tblPr>
        <w:tblStyle w:val="TableGrid"/>
        <w:tblW w:w="0" w:type="auto"/>
        <w:tblLook w:val="04A0"/>
      </w:tblPr>
      <w:tblGrid>
        <w:gridCol w:w="9016"/>
      </w:tblGrid>
      <w:tr w:rsidR="00AD77D9" w:rsidTr="00E014B4">
        <w:tc>
          <w:tcPr>
            <w:tcW w:w="9016" w:type="dxa"/>
          </w:tcPr>
          <w:p w:rsidR="00AD77D9" w:rsidRPr="0022575B" w:rsidRDefault="00AD77D9" w:rsidP="00427BCD">
            <w:pPr>
              <w:pStyle w:val="Heading3"/>
              <w:spacing w:before="0" w:line="360" w:lineRule="auto"/>
              <w:outlineLvl w:val="2"/>
              <w:rPr>
                <w:i/>
                <w:color w:val="auto"/>
              </w:rPr>
            </w:pPr>
            <w:bookmarkStart w:id="58" w:name="_Toc512895963"/>
            <w:r w:rsidRPr="008F1051">
              <w:rPr>
                <w:i/>
                <w:color w:val="auto"/>
              </w:rPr>
              <w:t xml:space="preserve">Recommendation </w:t>
            </w:r>
            <w:r>
              <w:rPr>
                <w:i/>
                <w:color w:val="auto"/>
              </w:rPr>
              <w:t>16</w:t>
            </w:r>
            <w:bookmarkEnd w:id="58"/>
          </w:p>
          <w:p w:rsidR="00AD77D9" w:rsidRDefault="00AD77D9" w:rsidP="00427BCD">
            <w:pPr>
              <w:spacing w:line="360" w:lineRule="auto"/>
              <w:rPr>
                <w:i/>
                <w:sz w:val="24"/>
                <w:szCs w:val="24"/>
              </w:rPr>
            </w:pPr>
            <w:r>
              <w:rPr>
                <w:i/>
                <w:sz w:val="24"/>
                <w:szCs w:val="24"/>
              </w:rPr>
              <w:t xml:space="preserve">That the Commission </w:t>
            </w:r>
            <w:r w:rsidRPr="00427BCD">
              <w:rPr>
                <w:i/>
                <w:noProof/>
                <w:sz w:val="24"/>
                <w:szCs w:val="24"/>
              </w:rPr>
              <w:t>call</w:t>
            </w:r>
            <w:r w:rsidR="00427BCD">
              <w:rPr>
                <w:i/>
                <w:noProof/>
                <w:sz w:val="24"/>
                <w:szCs w:val="24"/>
              </w:rPr>
              <w:t>s</w:t>
            </w:r>
            <w:r>
              <w:rPr>
                <w:i/>
                <w:sz w:val="24"/>
                <w:szCs w:val="24"/>
              </w:rPr>
              <w:t xml:space="preserve"> upon the Department of Justice and Attorney-General to Produce:</w:t>
            </w:r>
          </w:p>
          <w:p w:rsidR="00AD77D9" w:rsidRPr="00AD77D9" w:rsidRDefault="00AD77D9" w:rsidP="009A0126">
            <w:pPr>
              <w:pStyle w:val="ListParagraph"/>
              <w:numPr>
                <w:ilvl w:val="0"/>
                <w:numId w:val="46"/>
              </w:numPr>
              <w:spacing w:line="360" w:lineRule="auto"/>
              <w:rPr>
                <w:i/>
                <w:sz w:val="24"/>
                <w:szCs w:val="24"/>
              </w:rPr>
            </w:pPr>
            <w:r w:rsidRPr="00AD77D9">
              <w:rPr>
                <w:i/>
                <w:sz w:val="24"/>
                <w:szCs w:val="24"/>
              </w:rPr>
              <w:t>Binding Financial Agreements Amendments – Civil Law and Justice Legislation Amendment Bill 2015 (Cth) (“The Consultation Draft”)</w:t>
            </w:r>
            <w:r>
              <w:rPr>
                <w:i/>
                <w:sz w:val="24"/>
                <w:szCs w:val="24"/>
              </w:rPr>
              <w:t xml:space="preserve">, and </w:t>
            </w:r>
          </w:p>
          <w:p w:rsidR="00AD77D9" w:rsidRPr="00427BCD" w:rsidRDefault="00AD77D9" w:rsidP="009A0126">
            <w:pPr>
              <w:pStyle w:val="ListParagraph"/>
              <w:numPr>
                <w:ilvl w:val="0"/>
                <w:numId w:val="46"/>
              </w:numPr>
              <w:spacing w:line="360" w:lineRule="auto"/>
              <w:rPr>
                <w:i/>
                <w:sz w:val="24"/>
                <w:szCs w:val="24"/>
              </w:rPr>
            </w:pPr>
            <w:r>
              <w:rPr>
                <w:i/>
                <w:sz w:val="24"/>
                <w:szCs w:val="24"/>
              </w:rPr>
              <w:t xml:space="preserve">The public submissions made in response to the exposure draft. </w:t>
            </w:r>
          </w:p>
        </w:tc>
      </w:tr>
    </w:tbl>
    <w:p w:rsidR="00AD77D9" w:rsidRDefault="00AD77D9" w:rsidP="00427BCD">
      <w:pPr>
        <w:spacing w:after="0" w:line="360" w:lineRule="auto"/>
      </w:pPr>
    </w:p>
    <w:p w:rsidR="00AD77D9" w:rsidRDefault="00AD77D9" w:rsidP="00AD77D9">
      <w:pPr>
        <w:pStyle w:val="Heading2"/>
        <w:spacing w:before="0" w:line="360" w:lineRule="auto"/>
        <w:rPr>
          <w:color w:val="auto"/>
          <w:sz w:val="28"/>
          <w:szCs w:val="28"/>
        </w:rPr>
      </w:pPr>
      <w:bookmarkStart w:id="59" w:name="_Toc512895964"/>
      <w:r>
        <w:rPr>
          <w:color w:val="auto"/>
          <w:sz w:val="28"/>
          <w:szCs w:val="28"/>
        </w:rPr>
        <w:t>II</w:t>
      </w:r>
      <w:r w:rsidRPr="004E3003">
        <w:rPr>
          <w:color w:val="auto"/>
          <w:sz w:val="28"/>
          <w:szCs w:val="28"/>
        </w:rPr>
        <w:t xml:space="preserve"> </w:t>
      </w:r>
      <w:r>
        <w:rPr>
          <w:color w:val="auto"/>
          <w:sz w:val="28"/>
          <w:szCs w:val="28"/>
        </w:rPr>
        <w:t>No Substantive Changes: A Summary</w:t>
      </w:r>
      <w:bookmarkEnd w:id="59"/>
      <w:r>
        <w:rPr>
          <w:color w:val="auto"/>
          <w:sz w:val="28"/>
          <w:szCs w:val="28"/>
        </w:rPr>
        <w:t xml:space="preserve"> </w:t>
      </w:r>
    </w:p>
    <w:p w:rsidR="00B55C77" w:rsidRDefault="00AD77D9" w:rsidP="009A0126">
      <w:pPr>
        <w:pStyle w:val="ListParagraph"/>
        <w:numPr>
          <w:ilvl w:val="0"/>
          <w:numId w:val="52"/>
        </w:numPr>
        <w:spacing w:after="0" w:line="360" w:lineRule="auto"/>
        <w:jc w:val="both"/>
        <w:rPr>
          <w:sz w:val="24"/>
          <w:szCs w:val="24"/>
        </w:rPr>
      </w:pPr>
      <w:r w:rsidRPr="00B55C77">
        <w:rPr>
          <w:sz w:val="24"/>
          <w:szCs w:val="24"/>
        </w:rPr>
        <w:t xml:space="preserve">This part sets out, in </w:t>
      </w:r>
      <w:r w:rsidRPr="00B55C77">
        <w:rPr>
          <w:noProof/>
          <w:sz w:val="24"/>
          <w:szCs w:val="24"/>
        </w:rPr>
        <w:t>summary</w:t>
      </w:r>
      <w:r w:rsidR="00427BCD" w:rsidRPr="00B55C77">
        <w:rPr>
          <w:noProof/>
          <w:sz w:val="24"/>
          <w:szCs w:val="24"/>
        </w:rPr>
        <w:t>,</w:t>
      </w:r>
      <w:r w:rsidRPr="00B55C77">
        <w:rPr>
          <w:sz w:val="24"/>
          <w:szCs w:val="24"/>
        </w:rPr>
        <w:t xml:space="preserve"> the bases (drawn from my 2015 submission) on which I recommend that there is no change to the existing statutory regime.</w:t>
      </w:r>
    </w:p>
    <w:p w:rsidR="00AD77D9" w:rsidRPr="00B55C77" w:rsidRDefault="00AD77D9" w:rsidP="009A0126">
      <w:pPr>
        <w:pStyle w:val="ListParagraph"/>
        <w:numPr>
          <w:ilvl w:val="0"/>
          <w:numId w:val="52"/>
        </w:numPr>
        <w:spacing w:after="0" w:line="360" w:lineRule="auto"/>
        <w:jc w:val="both"/>
        <w:rPr>
          <w:sz w:val="24"/>
          <w:szCs w:val="24"/>
        </w:rPr>
      </w:pPr>
      <w:r w:rsidRPr="00B55C77">
        <w:rPr>
          <w:sz w:val="24"/>
          <w:szCs w:val="24"/>
          <w:lang w:val="en-US"/>
        </w:rPr>
        <w:t xml:space="preserve">The chronological sequence that ultimately led to the </w:t>
      </w:r>
      <w:r w:rsidR="00B55C77">
        <w:rPr>
          <w:sz w:val="24"/>
          <w:szCs w:val="24"/>
          <w:lang w:val="en-US"/>
        </w:rPr>
        <w:t xml:space="preserve">2015 </w:t>
      </w:r>
      <w:r w:rsidRPr="00B55C77">
        <w:rPr>
          <w:sz w:val="24"/>
          <w:szCs w:val="24"/>
          <w:lang w:val="en-US"/>
        </w:rPr>
        <w:t xml:space="preserve">exposure draft </w:t>
      </w:r>
      <w:r w:rsidR="00B55C77">
        <w:rPr>
          <w:sz w:val="24"/>
          <w:szCs w:val="24"/>
          <w:lang w:val="en-US"/>
        </w:rPr>
        <w:t>wa</w:t>
      </w:r>
      <w:r w:rsidRPr="00B55C77">
        <w:rPr>
          <w:sz w:val="24"/>
          <w:szCs w:val="24"/>
          <w:lang w:val="en-US"/>
        </w:rPr>
        <w:t xml:space="preserve">s as follows: </w:t>
      </w:r>
    </w:p>
    <w:p w:rsidR="00AD77D9" w:rsidRPr="00AD77D9" w:rsidRDefault="00AD77D9" w:rsidP="009A0126">
      <w:pPr>
        <w:numPr>
          <w:ilvl w:val="0"/>
          <w:numId w:val="47"/>
        </w:numPr>
        <w:spacing w:after="0" w:line="360" w:lineRule="auto"/>
        <w:jc w:val="both"/>
        <w:rPr>
          <w:sz w:val="24"/>
          <w:szCs w:val="24"/>
          <w:lang w:val="en-US"/>
        </w:rPr>
      </w:pPr>
      <w:r w:rsidRPr="00AD77D9">
        <w:rPr>
          <w:sz w:val="24"/>
          <w:szCs w:val="24"/>
          <w:lang w:val="en-US"/>
        </w:rPr>
        <w:t xml:space="preserve">The amendments to the </w:t>
      </w:r>
      <w:r w:rsidRPr="00AD77D9">
        <w:rPr>
          <w:i/>
          <w:sz w:val="24"/>
          <w:szCs w:val="24"/>
          <w:lang w:val="en-US"/>
        </w:rPr>
        <w:t>Act</w:t>
      </w:r>
      <w:r w:rsidRPr="00AD77D9">
        <w:rPr>
          <w:sz w:val="24"/>
          <w:szCs w:val="24"/>
          <w:lang w:val="en-US"/>
        </w:rPr>
        <w:t xml:space="preserve"> which came into effect in the year 2000 provided, for the first time (</w:t>
      </w:r>
      <w:r w:rsidRPr="004E3344">
        <w:rPr>
          <w:noProof/>
          <w:sz w:val="24"/>
          <w:szCs w:val="24"/>
          <w:lang w:val="en-US"/>
        </w:rPr>
        <w:t>post</w:t>
      </w:r>
      <w:r w:rsidR="004E3344">
        <w:rPr>
          <w:noProof/>
          <w:sz w:val="24"/>
          <w:szCs w:val="24"/>
          <w:lang w:val="en-US"/>
        </w:rPr>
        <w:t>-</w:t>
      </w:r>
      <w:r w:rsidRPr="004E3344">
        <w:rPr>
          <w:noProof/>
          <w:sz w:val="24"/>
          <w:szCs w:val="24"/>
          <w:lang w:val="en-US"/>
        </w:rPr>
        <w:t>1975</w:t>
      </w:r>
      <w:r w:rsidRPr="00AD77D9">
        <w:rPr>
          <w:sz w:val="24"/>
          <w:szCs w:val="24"/>
          <w:lang w:val="en-US"/>
        </w:rPr>
        <w:t>), the liberty to persons intending to be married, who were married, or who were divorced, to enter into binding agreements without the approval of a court.</w:t>
      </w:r>
      <w:r w:rsidRPr="00AD77D9">
        <w:rPr>
          <w:sz w:val="24"/>
          <w:szCs w:val="24"/>
          <w:vertAlign w:val="superscript"/>
          <w:lang w:val="en-US"/>
        </w:rPr>
        <w:endnoteReference w:id="251"/>
      </w:r>
    </w:p>
    <w:p w:rsidR="00AD77D9" w:rsidRPr="00AD77D9" w:rsidRDefault="00AD77D9" w:rsidP="009A0126">
      <w:pPr>
        <w:numPr>
          <w:ilvl w:val="0"/>
          <w:numId w:val="47"/>
        </w:numPr>
        <w:spacing w:after="0" w:line="360" w:lineRule="auto"/>
        <w:jc w:val="both"/>
        <w:rPr>
          <w:sz w:val="24"/>
          <w:szCs w:val="24"/>
          <w:lang w:val="en-US"/>
        </w:rPr>
      </w:pPr>
      <w:r w:rsidRPr="00AD77D9">
        <w:rPr>
          <w:sz w:val="24"/>
          <w:szCs w:val="24"/>
          <w:lang w:val="en-US"/>
        </w:rPr>
        <w:t xml:space="preserve">In the early years following the introduction of financial </w:t>
      </w:r>
      <w:r w:rsidRPr="00290571">
        <w:rPr>
          <w:noProof/>
          <w:sz w:val="24"/>
          <w:szCs w:val="24"/>
          <w:lang w:val="en-US"/>
        </w:rPr>
        <w:t>agreements</w:t>
      </w:r>
      <w:r w:rsidR="00290571">
        <w:rPr>
          <w:noProof/>
          <w:sz w:val="24"/>
          <w:szCs w:val="24"/>
          <w:lang w:val="en-US"/>
        </w:rPr>
        <w:t>,</w:t>
      </w:r>
      <w:r w:rsidRPr="00AD77D9">
        <w:rPr>
          <w:sz w:val="24"/>
          <w:szCs w:val="24"/>
          <w:lang w:val="en-US"/>
        </w:rPr>
        <w:t xml:space="preserve"> their use was limited, </w:t>
      </w:r>
      <w:r w:rsidR="004E3344">
        <w:rPr>
          <w:noProof/>
          <w:sz w:val="24"/>
          <w:szCs w:val="24"/>
          <w:lang w:val="en-US"/>
        </w:rPr>
        <w:t>main</w:t>
      </w:r>
      <w:r w:rsidRPr="004E3344">
        <w:rPr>
          <w:noProof/>
          <w:sz w:val="24"/>
          <w:szCs w:val="24"/>
          <w:lang w:val="en-US"/>
        </w:rPr>
        <w:t>ly</w:t>
      </w:r>
      <w:r w:rsidRPr="00AD77D9">
        <w:rPr>
          <w:sz w:val="24"/>
          <w:szCs w:val="24"/>
          <w:lang w:val="en-US"/>
        </w:rPr>
        <w:t xml:space="preserve"> as the requirements to make them binding were perceived to be too stringent.</w:t>
      </w:r>
      <w:r w:rsidRPr="00AD77D9">
        <w:rPr>
          <w:sz w:val="24"/>
          <w:szCs w:val="24"/>
          <w:vertAlign w:val="superscript"/>
          <w:lang w:val="en-US"/>
        </w:rPr>
        <w:endnoteReference w:id="252"/>
      </w:r>
    </w:p>
    <w:p w:rsidR="00AD77D9" w:rsidRPr="00AD77D9" w:rsidRDefault="00AD77D9" w:rsidP="009A0126">
      <w:pPr>
        <w:numPr>
          <w:ilvl w:val="0"/>
          <w:numId w:val="47"/>
        </w:numPr>
        <w:spacing w:after="0" w:line="360" w:lineRule="auto"/>
        <w:jc w:val="both"/>
        <w:rPr>
          <w:sz w:val="24"/>
          <w:szCs w:val="24"/>
          <w:lang w:val="en-US"/>
        </w:rPr>
      </w:pPr>
      <w:r w:rsidRPr="00AD77D9">
        <w:rPr>
          <w:sz w:val="24"/>
          <w:szCs w:val="24"/>
          <w:lang w:val="en-US"/>
        </w:rPr>
        <w:t>Amendments were made to the Act to ease the compliance requirements, directly addressing concerns raised by the legal profession.</w:t>
      </w:r>
      <w:r w:rsidRPr="00AD77D9">
        <w:rPr>
          <w:sz w:val="24"/>
          <w:szCs w:val="24"/>
          <w:vertAlign w:val="superscript"/>
          <w:lang w:val="en-US"/>
        </w:rPr>
        <w:endnoteReference w:id="253"/>
      </w:r>
    </w:p>
    <w:p w:rsidR="00AD77D9" w:rsidRPr="00AD77D9" w:rsidRDefault="00AD77D9" w:rsidP="009A0126">
      <w:pPr>
        <w:numPr>
          <w:ilvl w:val="0"/>
          <w:numId w:val="47"/>
        </w:numPr>
        <w:spacing w:after="0" w:line="360" w:lineRule="auto"/>
        <w:jc w:val="both"/>
        <w:rPr>
          <w:rFonts w:cstheme="minorHAnsi"/>
          <w:sz w:val="24"/>
          <w:szCs w:val="24"/>
          <w:lang w:val="en-US"/>
        </w:rPr>
      </w:pPr>
      <w:r w:rsidRPr="00AD77D9">
        <w:rPr>
          <w:rFonts w:cstheme="minorHAnsi"/>
          <w:sz w:val="24"/>
          <w:szCs w:val="24"/>
          <w:lang w:val="en-US"/>
        </w:rPr>
        <w:t xml:space="preserve">The effect of the decision of the Full Court of the Family Court of Australia in </w:t>
      </w:r>
      <w:r w:rsidRPr="00AD77D9">
        <w:rPr>
          <w:rFonts w:cstheme="minorHAnsi"/>
          <w:i/>
          <w:sz w:val="24"/>
          <w:szCs w:val="24"/>
          <w:lang w:val="en-US"/>
        </w:rPr>
        <w:t>Black v Black</w:t>
      </w:r>
      <w:r w:rsidRPr="00AD77D9">
        <w:rPr>
          <w:rFonts w:cstheme="minorHAnsi"/>
          <w:i/>
          <w:sz w:val="24"/>
          <w:szCs w:val="24"/>
          <w:vertAlign w:val="superscript"/>
          <w:lang w:val="en-US"/>
        </w:rPr>
        <w:endnoteReference w:id="254"/>
      </w:r>
      <w:r w:rsidRPr="00AD77D9">
        <w:rPr>
          <w:rFonts w:cstheme="minorHAnsi"/>
          <w:sz w:val="24"/>
          <w:szCs w:val="24"/>
          <w:lang w:val="en-US"/>
        </w:rPr>
        <w:t xml:space="preserve"> was that financial agreements were seen to be highly vulnerable to attack </w:t>
      </w:r>
      <w:r w:rsidR="00A17297">
        <w:rPr>
          <w:rFonts w:cstheme="minorHAnsi"/>
          <w:sz w:val="24"/>
          <w:szCs w:val="24"/>
          <w:lang w:val="en-US"/>
        </w:rPr>
        <w:t>arising from</w:t>
      </w:r>
      <w:r w:rsidRPr="00AD77D9">
        <w:rPr>
          <w:rFonts w:cstheme="minorHAnsi"/>
          <w:sz w:val="24"/>
          <w:szCs w:val="24"/>
          <w:lang w:val="en-US"/>
        </w:rPr>
        <w:t xml:space="preserve"> technical </w:t>
      </w:r>
      <w:r w:rsidRPr="004E3344">
        <w:rPr>
          <w:rFonts w:cstheme="minorHAnsi"/>
          <w:noProof/>
          <w:sz w:val="24"/>
          <w:szCs w:val="24"/>
          <w:lang w:val="en-US"/>
        </w:rPr>
        <w:t>and</w:t>
      </w:r>
      <w:r w:rsidRPr="00AD77D9">
        <w:rPr>
          <w:rFonts w:cstheme="minorHAnsi"/>
          <w:sz w:val="24"/>
          <w:szCs w:val="24"/>
          <w:lang w:val="en-US"/>
        </w:rPr>
        <w:t xml:space="preserve"> drafting errors.</w:t>
      </w:r>
    </w:p>
    <w:p w:rsidR="00AD77D9" w:rsidRPr="00AD77D9" w:rsidRDefault="00AD77D9" w:rsidP="009A0126">
      <w:pPr>
        <w:pStyle w:val="ListParagraph"/>
        <w:numPr>
          <w:ilvl w:val="0"/>
          <w:numId w:val="47"/>
        </w:numPr>
        <w:spacing w:after="0" w:line="360" w:lineRule="auto"/>
        <w:jc w:val="both"/>
        <w:rPr>
          <w:rFonts w:cstheme="minorHAnsi"/>
          <w:sz w:val="24"/>
          <w:szCs w:val="24"/>
        </w:rPr>
      </w:pPr>
      <w:r w:rsidRPr="00AD77D9">
        <w:rPr>
          <w:rFonts w:cstheme="minorHAnsi"/>
          <w:sz w:val="24"/>
          <w:szCs w:val="24"/>
        </w:rPr>
        <w:t xml:space="preserve">Further amendments, </w:t>
      </w:r>
      <w:r w:rsidR="004E3344" w:rsidRPr="004E3344">
        <w:rPr>
          <w:rFonts w:cstheme="minorHAnsi"/>
          <w:noProof/>
          <w:sz w:val="24"/>
          <w:szCs w:val="24"/>
        </w:rPr>
        <w:t>co</w:t>
      </w:r>
      <w:r w:rsidR="004E3344">
        <w:rPr>
          <w:rFonts w:cstheme="minorHAnsi"/>
          <w:noProof/>
          <w:sz w:val="24"/>
          <w:szCs w:val="24"/>
        </w:rPr>
        <w:t xml:space="preserve">mmencing </w:t>
      </w:r>
      <w:r w:rsidRPr="004E3344">
        <w:rPr>
          <w:rFonts w:cstheme="minorHAnsi"/>
          <w:noProof/>
          <w:sz w:val="24"/>
          <w:szCs w:val="24"/>
        </w:rPr>
        <w:t>into effect in 2010,</w:t>
      </w:r>
      <w:r w:rsidR="004E3344">
        <w:rPr>
          <w:rFonts w:cstheme="minorHAnsi"/>
          <w:noProof/>
          <w:sz w:val="24"/>
          <w:szCs w:val="24"/>
        </w:rPr>
        <w:t xml:space="preserve"> intended</w:t>
      </w:r>
      <w:r w:rsidRPr="004E3344">
        <w:rPr>
          <w:rFonts w:cstheme="minorHAnsi"/>
          <w:noProof/>
          <w:sz w:val="24"/>
          <w:szCs w:val="24"/>
        </w:rPr>
        <w:t xml:space="preserve"> </w:t>
      </w:r>
      <w:r w:rsidR="004E3344" w:rsidRPr="004E3344">
        <w:rPr>
          <w:rFonts w:cstheme="minorHAnsi"/>
          <w:noProof/>
          <w:sz w:val="24"/>
          <w:szCs w:val="24"/>
        </w:rPr>
        <w:t>to deal</w:t>
      </w:r>
      <w:r w:rsidRPr="00AD77D9">
        <w:rPr>
          <w:rFonts w:cstheme="minorHAnsi"/>
          <w:sz w:val="24"/>
          <w:szCs w:val="24"/>
        </w:rPr>
        <w:t xml:space="preserve"> with the problem of financial agreements not being strictly compliant.</w:t>
      </w:r>
      <w:r w:rsidRPr="00AD77D9">
        <w:rPr>
          <w:rStyle w:val="EndnoteReference"/>
          <w:rFonts w:cstheme="minorHAnsi"/>
          <w:sz w:val="24"/>
          <w:szCs w:val="24"/>
        </w:rPr>
        <w:endnoteReference w:id="255"/>
      </w:r>
    </w:p>
    <w:p w:rsidR="00AD77D9" w:rsidRPr="00D37EE0" w:rsidRDefault="00AD77D9" w:rsidP="00D37EE0">
      <w:pPr>
        <w:pStyle w:val="ListParagraph"/>
        <w:numPr>
          <w:ilvl w:val="0"/>
          <w:numId w:val="47"/>
        </w:numPr>
        <w:spacing w:after="0" w:line="360" w:lineRule="auto"/>
        <w:jc w:val="both"/>
        <w:rPr>
          <w:rFonts w:cstheme="minorHAnsi"/>
          <w:sz w:val="24"/>
          <w:szCs w:val="24"/>
        </w:rPr>
      </w:pPr>
      <w:r w:rsidRPr="00AD77D9">
        <w:rPr>
          <w:rFonts w:cstheme="minorHAnsi"/>
          <w:sz w:val="24"/>
          <w:szCs w:val="24"/>
        </w:rPr>
        <w:t xml:space="preserve">Those amendments resulted in more litigation, and </w:t>
      </w:r>
      <w:r w:rsidRPr="004E3344">
        <w:rPr>
          <w:rFonts w:cstheme="minorHAnsi"/>
          <w:noProof/>
          <w:sz w:val="24"/>
          <w:szCs w:val="24"/>
        </w:rPr>
        <w:t>financial</w:t>
      </w:r>
      <w:r w:rsidRPr="00AD77D9">
        <w:rPr>
          <w:rFonts w:cstheme="minorHAnsi"/>
          <w:sz w:val="24"/>
          <w:szCs w:val="24"/>
        </w:rPr>
        <w:t xml:space="preserve"> </w:t>
      </w:r>
      <w:r w:rsidRPr="004E3344">
        <w:rPr>
          <w:rFonts w:cstheme="minorHAnsi"/>
          <w:noProof/>
          <w:sz w:val="24"/>
          <w:szCs w:val="24"/>
        </w:rPr>
        <w:t>agreements</w:t>
      </w:r>
      <w:r w:rsidRPr="00AD77D9">
        <w:rPr>
          <w:rFonts w:cstheme="minorHAnsi"/>
          <w:sz w:val="24"/>
          <w:szCs w:val="24"/>
        </w:rPr>
        <w:t xml:space="preserve"> </w:t>
      </w:r>
      <w:r w:rsidRPr="00980F2E">
        <w:rPr>
          <w:rFonts w:cstheme="minorHAnsi"/>
          <w:noProof/>
          <w:sz w:val="24"/>
          <w:szCs w:val="24"/>
        </w:rPr>
        <w:t>were still set</w:t>
      </w:r>
      <w:r w:rsidRPr="00AD77D9">
        <w:rPr>
          <w:rFonts w:cstheme="minorHAnsi"/>
          <w:sz w:val="24"/>
          <w:szCs w:val="24"/>
        </w:rPr>
        <w:t xml:space="preserve"> aside.</w:t>
      </w:r>
      <w:r w:rsidRPr="00AD77D9">
        <w:rPr>
          <w:rStyle w:val="EndnoteReference"/>
          <w:rFonts w:cstheme="minorHAnsi"/>
          <w:sz w:val="24"/>
          <w:szCs w:val="24"/>
        </w:rPr>
        <w:endnoteReference w:id="256"/>
      </w:r>
    </w:p>
    <w:p w:rsidR="00AD77D9" w:rsidRPr="00D37EE0" w:rsidRDefault="00AD77D9" w:rsidP="00AD77D9">
      <w:pPr>
        <w:pStyle w:val="ListParagraph"/>
        <w:numPr>
          <w:ilvl w:val="0"/>
          <w:numId w:val="52"/>
        </w:numPr>
        <w:spacing w:after="0" w:line="360" w:lineRule="auto"/>
        <w:jc w:val="both"/>
        <w:rPr>
          <w:bCs/>
          <w:sz w:val="24"/>
          <w:szCs w:val="24"/>
        </w:rPr>
      </w:pPr>
      <w:r w:rsidRPr="00B55C77">
        <w:rPr>
          <w:sz w:val="24"/>
          <w:szCs w:val="24"/>
          <w:lang w:val="en-US"/>
        </w:rPr>
        <w:t xml:space="preserve">Sections 90B, 90C, 90D, 90G, 90K and 90KA of the Act operate together in Part </w:t>
      </w:r>
      <w:r w:rsidRPr="00980F2E">
        <w:rPr>
          <w:noProof/>
          <w:sz w:val="24"/>
          <w:szCs w:val="24"/>
          <w:lang w:val="en-US"/>
        </w:rPr>
        <w:t>VIIIA</w:t>
      </w:r>
      <w:r w:rsidRPr="00B55C77">
        <w:rPr>
          <w:sz w:val="24"/>
          <w:szCs w:val="24"/>
          <w:lang w:val="en-US"/>
        </w:rPr>
        <w:t>.</w:t>
      </w:r>
      <w:r w:rsidRPr="00AD77D9">
        <w:rPr>
          <w:vertAlign w:val="superscript"/>
          <w:lang w:val="en-US"/>
        </w:rPr>
        <w:endnoteReference w:id="257"/>
      </w:r>
      <w:r w:rsidRPr="00B55C77">
        <w:rPr>
          <w:sz w:val="24"/>
          <w:szCs w:val="24"/>
          <w:lang w:val="en-US"/>
        </w:rPr>
        <w:t xml:space="preserve"> </w:t>
      </w:r>
      <w:r w:rsidR="00D73980">
        <w:rPr>
          <w:sz w:val="24"/>
          <w:szCs w:val="24"/>
          <w:lang w:val="en-US"/>
        </w:rPr>
        <w:t>A summary of t</w:t>
      </w:r>
      <w:r w:rsidRPr="00B55C77">
        <w:rPr>
          <w:sz w:val="24"/>
          <w:szCs w:val="24"/>
          <w:lang w:val="en-US"/>
        </w:rPr>
        <w:t xml:space="preserve">he structural relationship of the sections </w:t>
      </w:r>
      <w:r w:rsidR="00D73980">
        <w:rPr>
          <w:noProof/>
          <w:sz w:val="24"/>
          <w:szCs w:val="24"/>
          <w:lang w:val="en-US"/>
        </w:rPr>
        <w:t>comes from</w:t>
      </w:r>
      <w:r w:rsidRPr="00B55C77">
        <w:rPr>
          <w:sz w:val="24"/>
          <w:szCs w:val="24"/>
          <w:lang w:val="en-US"/>
        </w:rPr>
        <w:t xml:space="preserve"> the Full Court decision of </w:t>
      </w:r>
      <w:r w:rsidRPr="00B55C77">
        <w:rPr>
          <w:i/>
          <w:sz w:val="24"/>
          <w:szCs w:val="24"/>
          <w:lang w:val="en-US"/>
        </w:rPr>
        <w:t>Senior &amp; Anderson</w:t>
      </w:r>
      <w:r w:rsidRPr="00AD77D9">
        <w:rPr>
          <w:vertAlign w:val="superscript"/>
          <w:lang w:val="en-US"/>
        </w:rPr>
        <w:endnoteReference w:id="258"/>
      </w:r>
      <w:r w:rsidRPr="00B55C77">
        <w:rPr>
          <w:i/>
          <w:sz w:val="24"/>
          <w:szCs w:val="24"/>
          <w:lang w:val="en-US"/>
        </w:rPr>
        <w:t>,</w:t>
      </w:r>
      <w:r w:rsidRPr="00B55C77">
        <w:rPr>
          <w:sz w:val="24"/>
          <w:szCs w:val="24"/>
          <w:lang w:val="en-US"/>
        </w:rPr>
        <w:t xml:space="preserve"> </w:t>
      </w:r>
      <w:r w:rsidRPr="00B55C77">
        <w:rPr>
          <w:bCs/>
          <w:sz w:val="24"/>
          <w:szCs w:val="24"/>
        </w:rPr>
        <w:t>where Strickland J wrote:</w:t>
      </w:r>
    </w:p>
    <w:p w:rsidR="00AD77D9" w:rsidRPr="00D37EE0" w:rsidRDefault="00AD77D9" w:rsidP="00D37EE0">
      <w:pPr>
        <w:spacing w:after="0" w:line="360" w:lineRule="auto"/>
        <w:ind w:left="1440"/>
        <w:jc w:val="both"/>
        <w:rPr>
          <w:bCs/>
          <w:sz w:val="24"/>
          <w:szCs w:val="24"/>
        </w:rPr>
      </w:pPr>
      <w:r w:rsidRPr="004E3344">
        <w:rPr>
          <w:bCs/>
        </w:rPr>
        <w:t xml:space="preserve">The Act in effect </w:t>
      </w:r>
      <w:r w:rsidRPr="00980F2E">
        <w:rPr>
          <w:bCs/>
          <w:noProof/>
        </w:rPr>
        <w:t>draws a distinction between</w:t>
      </w:r>
      <w:r w:rsidRPr="004E3344">
        <w:rPr>
          <w:bCs/>
        </w:rPr>
        <w:t xml:space="preserve"> agreements which are financial agreements (s 4, s 90B, s 90C, s 90D) and those </w:t>
      </w:r>
      <w:r w:rsidRPr="004E3344">
        <w:rPr>
          <w:bCs/>
          <w:noProof/>
        </w:rPr>
        <w:t>financial</w:t>
      </w:r>
      <w:r w:rsidRPr="004E3344">
        <w:rPr>
          <w:bCs/>
        </w:rPr>
        <w:t xml:space="preserve"> agreements which are binding (s 90G). Financial </w:t>
      </w:r>
      <w:r w:rsidRPr="004E3344">
        <w:rPr>
          <w:bCs/>
          <w:noProof/>
        </w:rPr>
        <w:t>agreements</w:t>
      </w:r>
      <w:r w:rsidRPr="004E3344">
        <w:rPr>
          <w:bCs/>
        </w:rPr>
        <w:t xml:space="preserve"> can, like any other agreement, govern the actions of the parties to them and bind the parties to obligations, but do not oust the jurisdiction of the court. </w:t>
      </w:r>
      <w:r w:rsidRPr="00980F2E">
        <w:rPr>
          <w:bCs/>
          <w:noProof/>
        </w:rPr>
        <w:t xml:space="preserve">Parties to an agreement that satisfies the definition of “financial agreement” are bound by its terms (or not bound as the case may be), just as they would be bound (or not bound) by any other agreement (s 90KA) (see generally </w:t>
      </w:r>
      <w:r w:rsidRPr="00980F2E">
        <w:rPr>
          <w:bCs/>
          <w:i/>
          <w:iCs/>
          <w:noProof/>
        </w:rPr>
        <w:t>Australian Securities and Investment Corporation and Rich &amp; Anor</w:t>
      </w:r>
      <w:bookmarkStart w:id="60" w:name="io1869475sl293552227"/>
      <w:bookmarkEnd w:id="60"/>
      <w:r w:rsidRPr="00980F2E">
        <w:rPr>
          <w:bCs/>
          <w:noProof/>
          <w:sz w:val="24"/>
          <w:szCs w:val="24"/>
        </w:rPr>
        <w:t>).</w:t>
      </w:r>
      <w:r w:rsidRPr="00AD77D9">
        <w:rPr>
          <w:bCs/>
          <w:sz w:val="24"/>
          <w:szCs w:val="24"/>
          <w:vertAlign w:val="superscript"/>
        </w:rPr>
        <w:endnoteReference w:id="259"/>
      </w:r>
    </w:p>
    <w:p w:rsidR="00AD77D9" w:rsidRPr="00D37EE0" w:rsidRDefault="00AD77D9" w:rsidP="00AD77D9">
      <w:pPr>
        <w:pStyle w:val="ListParagraph"/>
        <w:numPr>
          <w:ilvl w:val="0"/>
          <w:numId w:val="52"/>
        </w:numPr>
        <w:spacing w:after="0" w:line="360" w:lineRule="auto"/>
        <w:jc w:val="both"/>
        <w:rPr>
          <w:sz w:val="24"/>
          <w:szCs w:val="24"/>
          <w:lang w:val="en-US"/>
        </w:rPr>
      </w:pPr>
      <w:r w:rsidRPr="00B55C77">
        <w:rPr>
          <w:sz w:val="24"/>
          <w:szCs w:val="24"/>
          <w:lang w:val="en-US"/>
        </w:rPr>
        <w:t>Th</w:t>
      </w:r>
      <w:r w:rsidR="00D37EE0">
        <w:rPr>
          <w:sz w:val="24"/>
          <w:szCs w:val="24"/>
          <w:lang w:val="en-US"/>
        </w:rPr>
        <w:t xml:space="preserve">is </w:t>
      </w:r>
      <w:r w:rsidRPr="00B55C77">
        <w:rPr>
          <w:sz w:val="24"/>
          <w:szCs w:val="24"/>
          <w:lang w:val="en-US"/>
        </w:rPr>
        <w:t>decision</w:t>
      </w:r>
      <w:r w:rsidR="00D37EE0">
        <w:rPr>
          <w:sz w:val="24"/>
          <w:szCs w:val="24"/>
          <w:lang w:val="en-US"/>
        </w:rPr>
        <w:t xml:space="preserve"> demonstrates</w:t>
      </w:r>
      <w:r w:rsidRPr="00B55C77">
        <w:rPr>
          <w:sz w:val="24"/>
          <w:szCs w:val="24"/>
          <w:lang w:val="en-US"/>
        </w:rPr>
        <w:t xml:space="preserve"> that in determining the validity of a financial </w:t>
      </w:r>
      <w:r w:rsidRPr="00B55C77">
        <w:rPr>
          <w:noProof/>
          <w:sz w:val="24"/>
          <w:szCs w:val="24"/>
          <w:lang w:val="en-US"/>
        </w:rPr>
        <w:t>agreement</w:t>
      </w:r>
      <w:r w:rsidR="004E3344" w:rsidRPr="00B55C77">
        <w:rPr>
          <w:noProof/>
          <w:sz w:val="24"/>
          <w:szCs w:val="24"/>
          <w:lang w:val="en-US"/>
        </w:rPr>
        <w:t>,</w:t>
      </w:r>
      <w:r w:rsidRPr="00B55C77">
        <w:rPr>
          <w:sz w:val="24"/>
          <w:szCs w:val="24"/>
          <w:lang w:val="en-US"/>
        </w:rPr>
        <w:t xml:space="preserve"> a sequence of steps must </w:t>
      </w:r>
      <w:r w:rsidRPr="00980F2E">
        <w:rPr>
          <w:noProof/>
          <w:sz w:val="24"/>
          <w:szCs w:val="24"/>
          <w:lang w:val="en-US"/>
        </w:rPr>
        <w:t>be undertaken</w:t>
      </w:r>
      <w:r w:rsidRPr="00B55C77">
        <w:rPr>
          <w:sz w:val="24"/>
          <w:szCs w:val="24"/>
          <w:lang w:val="en-US"/>
        </w:rPr>
        <w:t>.</w:t>
      </w:r>
      <w:r w:rsidRPr="00AD77D9">
        <w:rPr>
          <w:vertAlign w:val="superscript"/>
          <w:lang w:val="en-US"/>
        </w:rPr>
        <w:endnoteReference w:id="260"/>
      </w:r>
      <w:r w:rsidRPr="00B55C77">
        <w:rPr>
          <w:sz w:val="24"/>
          <w:szCs w:val="24"/>
          <w:lang w:val="en-US"/>
        </w:rPr>
        <w:t xml:space="preserve"> The first step is to examine </w:t>
      </w:r>
      <w:r w:rsidRPr="00B55C77">
        <w:rPr>
          <w:noProof/>
          <w:sz w:val="24"/>
          <w:szCs w:val="24"/>
          <w:lang w:val="en-US"/>
        </w:rPr>
        <w:t>an agreement</w:t>
      </w:r>
      <w:r w:rsidRPr="00B55C77">
        <w:rPr>
          <w:sz w:val="24"/>
          <w:szCs w:val="24"/>
          <w:lang w:val="en-US"/>
        </w:rPr>
        <w:t xml:space="preserve"> to see whether it deals with how the property of the parties is to </w:t>
      </w:r>
      <w:r w:rsidRPr="00980F2E">
        <w:rPr>
          <w:noProof/>
          <w:sz w:val="24"/>
          <w:szCs w:val="24"/>
          <w:lang w:val="en-US"/>
        </w:rPr>
        <w:t>be dealt</w:t>
      </w:r>
      <w:r w:rsidRPr="00B55C77">
        <w:rPr>
          <w:sz w:val="24"/>
          <w:szCs w:val="24"/>
          <w:lang w:val="en-US"/>
        </w:rPr>
        <w:t xml:space="preserve"> with in the event of </w:t>
      </w:r>
      <w:r w:rsidR="004E3344" w:rsidRPr="00B55C77">
        <w:rPr>
          <w:sz w:val="24"/>
          <w:szCs w:val="24"/>
          <w:lang w:val="en-US"/>
        </w:rPr>
        <w:t xml:space="preserve">a </w:t>
      </w:r>
      <w:r w:rsidRPr="00B55C77">
        <w:rPr>
          <w:noProof/>
          <w:sz w:val="24"/>
          <w:szCs w:val="24"/>
          <w:lang w:val="en-US"/>
        </w:rPr>
        <w:t>breakdown</w:t>
      </w:r>
      <w:r w:rsidRPr="00B55C77">
        <w:rPr>
          <w:sz w:val="24"/>
          <w:szCs w:val="24"/>
          <w:lang w:val="en-US"/>
        </w:rPr>
        <w:t xml:space="preserve"> of the </w:t>
      </w:r>
      <w:r w:rsidRPr="00B55C77">
        <w:rPr>
          <w:noProof/>
          <w:sz w:val="24"/>
          <w:szCs w:val="24"/>
          <w:lang w:val="en-US"/>
        </w:rPr>
        <w:t>marriage</w:t>
      </w:r>
      <w:r w:rsidRPr="00B55C77">
        <w:rPr>
          <w:sz w:val="24"/>
          <w:szCs w:val="24"/>
          <w:lang w:val="en-US"/>
        </w:rPr>
        <w:t xml:space="preserve"> and that the agreement </w:t>
      </w:r>
      <w:r w:rsidRPr="00B55C77">
        <w:rPr>
          <w:i/>
          <w:sz w:val="24"/>
          <w:szCs w:val="24"/>
          <w:lang w:val="en-US"/>
        </w:rPr>
        <w:t xml:space="preserve">is expressed to </w:t>
      </w:r>
      <w:r w:rsidRPr="00980F2E">
        <w:rPr>
          <w:i/>
          <w:noProof/>
          <w:sz w:val="24"/>
          <w:szCs w:val="24"/>
          <w:lang w:val="en-US"/>
        </w:rPr>
        <w:t>be made</w:t>
      </w:r>
      <w:r w:rsidRPr="00B55C77">
        <w:rPr>
          <w:sz w:val="24"/>
          <w:szCs w:val="24"/>
          <w:lang w:val="en-US"/>
        </w:rPr>
        <w:t xml:space="preserve"> under the relevant section.</w:t>
      </w:r>
      <w:r w:rsidRPr="00AD77D9">
        <w:rPr>
          <w:vertAlign w:val="superscript"/>
          <w:lang w:val="en-US"/>
        </w:rPr>
        <w:endnoteReference w:id="261"/>
      </w:r>
      <w:r w:rsidRPr="00B55C77">
        <w:rPr>
          <w:sz w:val="24"/>
          <w:szCs w:val="24"/>
          <w:lang w:val="en-US"/>
        </w:rPr>
        <w:t xml:space="preserve"> </w:t>
      </w:r>
    </w:p>
    <w:p w:rsidR="00B55C77" w:rsidRPr="00D37EE0" w:rsidRDefault="00AD77D9" w:rsidP="00D37EE0">
      <w:pPr>
        <w:pStyle w:val="ListParagraph"/>
        <w:numPr>
          <w:ilvl w:val="0"/>
          <w:numId w:val="52"/>
        </w:numPr>
        <w:spacing w:after="0" w:line="360" w:lineRule="auto"/>
        <w:jc w:val="both"/>
        <w:rPr>
          <w:sz w:val="24"/>
          <w:szCs w:val="24"/>
          <w:lang w:val="en-US"/>
        </w:rPr>
      </w:pPr>
      <w:r w:rsidRPr="00B55C77">
        <w:rPr>
          <w:sz w:val="24"/>
          <w:szCs w:val="24"/>
          <w:lang w:val="en-US"/>
        </w:rPr>
        <w:t xml:space="preserve">The second step is to examine the financial agreement like any other contract, to determine whether it is valid and enforceable in law and equity. Within this </w:t>
      </w:r>
      <w:r w:rsidRPr="00B55C77">
        <w:rPr>
          <w:noProof/>
          <w:sz w:val="24"/>
          <w:szCs w:val="24"/>
          <w:lang w:val="en-US"/>
        </w:rPr>
        <w:t>process</w:t>
      </w:r>
      <w:r w:rsidR="004E3344" w:rsidRPr="00B55C77">
        <w:rPr>
          <w:noProof/>
          <w:sz w:val="24"/>
          <w:szCs w:val="24"/>
          <w:lang w:val="en-US"/>
        </w:rPr>
        <w:t>,</w:t>
      </w:r>
      <w:r w:rsidRPr="00B55C77">
        <w:rPr>
          <w:sz w:val="24"/>
          <w:szCs w:val="24"/>
          <w:lang w:val="en-US"/>
        </w:rPr>
        <w:t xml:space="preserve"> a court may also consider using any powers or remedies available in contract and equity.</w:t>
      </w:r>
      <w:r w:rsidRPr="00AD77D9">
        <w:rPr>
          <w:vertAlign w:val="superscript"/>
          <w:lang w:val="en-US"/>
        </w:rPr>
        <w:endnoteReference w:id="262"/>
      </w:r>
      <w:r w:rsidRPr="00B55C77">
        <w:rPr>
          <w:sz w:val="24"/>
          <w:szCs w:val="24"/>
          <w:lang w:val="en-US"/>
        </w:rPr>
        <w:t xml:space="preserve"> </w:t>
      </w:r>
    </w:p>
    <w:p w:rsidR="00B55C77" w:rsidRDefault="00AD77D9" w:rsidP="009A0126">
      <w:pPr>
        <w:pStyle w:val="ListParagraph"/>
        <w:numPr>
          <w:ilvl w:val="0"/>
          <w:numId w:val="52"/>
        </w:numPr>
        <w:spacing w:after="0" w:line="360" w:lineRule="auto"/>
        <w:jc w:val="both"/>
        <w:rPr>
          <w:sz w:val="24"/>
          <w:szCs w:val="24"/>
          <w:lang w:val="en-US"/>
        </w:rPr>
      </w:pPr>
      <w:r w:rsidRPr="00B55C77">
        <w:rPr>
          <w:sz w:val="24"/>
          <w:szCs w:val="24"/>
          <w:lang w:val="en-US"/>
        </w:rPr>
        <w:t xml:space="preserve">Only after a court has completed </w:t>
      </w:r>
      <w:r w:rsidR="00B55C77" w:rsidRPr="00B55C77">
        <w:rPr>
          <w:i/>
          <w:sz w:val="24"/>
          <w:szCs w:val="24"/>
          <w:lang w:val="en-US"/>
        </w:rPr>
        <w:t>all</w:t>
      </w:r>
      <w:r w:rsidRPr="00B55C77">
        <w:rPr>
          <w:sz w:val="24"/>
          <w:szCs w:val="24"/>
          <w:lang w:val="en-US"/>
        </w:rPr>
        <w:t xml:space="preserve"> the above steps can a court then consider the requirements of section 90G of the </w:t>
      </w:r>
      <w:r w:rsidRPr="00B55C77">
        <w:rPr>
          <w:i/>
          <w:sz w:val="24"/>
          <w:szCs w:val="24"/>
          <w:lang w:val="en-US"/>
        </w:rPr>
        <w:t>Act</w:t>
      </w:r>
      <w:r w:rsidRPr="00B55C77">
        <w:rPr>
          <w:sz w:val="24"/>
          <w:szCs w:val="24"/>
          <w:lang w:val="en-US"/>
        </w:rPr>
        <w:t>. Within this third and final step there are two components: determining whether the financial agreement meets the strict requirements of section 90</w:t>
      </w:r>
      <w:r w:rsidR="00A17297" w:rsidRPr="00B55C77">
        <w:rPr>
          <w:sz w:val="24"/>
          <w:szCs w:val="24"/>
          <w:lang w:val="en-US"/>
        </w:rPr>
        <w:t>G (</w:t>
      </w:r>
      <w:r w:rsidRPr="00B55C77">
        <w:rPr>
          <w:sz w:val="24"/>
          <w:szCs w:val="24"/>
          <w:lang w:val="en-US"/>
        </w:rPr>
        <w:t xml:space="preserve">1) of the Act; </w:t>
      </w:r>
      <w:r w:rsidRPr="00AD77D9">
        <w:rPr>
          <w:vertAlign w:val="superscript"/>
          <w:lang w:val="en-US"/>
        </w:rPr>
        <w:endnoteReference w:id="263"/>
      </w:r>
      <w:r w:rsidRPr="00B55C77">
        <w:rPr>
          <w:sz w:val="24"/>
          <w:szCs w:val="24"/>
          <w:lang w:val="en-US"/>
        </w:rPr>
        <w:t xml:space="preserve"> and in the event of failure to meet those requirements, a court has </w:t>
      </w:r>
      <w:r w:rsidR="004E3344" w:rsidRPr="00B55C77">
        <w:rPr>
          <w:sz w:val="24"/>
          <w:szCs w:val="24"/>
          <w:lang w:val="en-US"/>
        </w:rPr>
        <w:t xml:space="preserve">the </w:t>
      </w:r>
      <w:r w:rsidRPr="00B55C77">
        <w:rPr>
          <w:noProof/>
          <w:sz w:val="24"/>
          <w:szCs w:val="24"/>
          <w:lang w:val="en-US"/>
        </w:rPr>
        <w:t>discretion</w:t>
      </w:r>
      <w:r w:rsidRPr="00B55C77">
        <w:rPr>
          <w:sz w:val="24"/>
          <w:szCs w:val="24"/>
          <w:lang w:val="en-US"/>
        </w:rPr>
        <w:t xml:space="preserve"> to declare that the agreement is binding.</w:t>
      </w:r>
      <w:r w:rsidRPr="00AD77D9">
        <w:rPr>
          <w:vertAlign w:val="superscript"/>
          <w:lang w:val="en-US"/>
        </w:rPr>
        <w:endnoteReference w:id="264"/>
      </w:r>
    </w:p>
    <w:p w:rsidR="00B55C77" w:rsidRPr="00B55C77" w:rsidRDefault="00B55C77" w:rsidP="00B55C77">
      <w:pPr>
        <w:pStyle w:val="ListParagraph"/>
        <w:rPr>
          <w:sz w:val="24"/>
          <w:szCs w:val="24"/>
          <w:lang w:val="en-US"/>
        </w:rPr>
      </w:pPr>
    </w:p>
    <w:p w:rsidR="00B55C77" w:rsidRPr="00D37EE0" w:rsidRDefault="00AD77D9" w:rsidP="00D37EE0">
      <w:pPr>
        <w:pStyle w:val="ListParagraph"/>
        <w:numPr>
          <w:ilvl w:val="0"/>
          <w:numId w:val="52"/>
        </w:numPr>
        <w:spacing w:after="0" w:line="360" w:lineRule="auto"/>
        <w:jc w:val="both"/>
        <w:rPr>
          <w:sz w:val="24"/>
          <w:szCs w:val="24"/>
          <w:lang w:val="en-US"/>
        </w:rPr>
      </w:pPr>
      <w:r w:rsidRPr="00B55C77">
        <w:rPr>
          <w:sz w:val="24"/>
          <w:szCs w:val="24"/>
          <w:lang w:val="en-US"/>
        </w:rPr>
        <w:t xml:space="preserve">Therefore, it is </w:t>
      </w:r>
      <w:r w:rsidR="004E3344" w:rsidRPr="00B55C77">
        <w:rPr>
          <w:noProof/>
          <w:sz w:val="24"/>
          <w:szCs w:val="24"/>
          <w:lang w:val="en-US"/>
        </w:rPr>
        <w:t>essential</w:t>
      </w:r>
      <w:r w:rsidRPr="00B55C77">
        <w:rPr>
          <w:sz w:val="24"/>
          <w:szCs w:val="24"/>
          <w:lang w:val="en-US"/>
        </w:rPr>
        <w:t xml:space="preserve"> to </w:t>
      </w:r>
      <w:r w:rsidRPr="00B55C77">
        <w:rPr>
          <w:noProof/>
          <w:sz w:val="24"/>
          <w:szCs w:val="24"/>
          <w:lang w:val="en-US"/>
        </w:rPr>
        <w:t>recogni</w:t>
      </w:r>
      <w:r w:rsidR="004E3344" w:rsidRPr="00B55C77">
        <w:rPr>
          <w:noProof/>
          <w:sz w:val="24"/>
          <w:szCs w:val="24"/>
          <w:lang w:val="en-US"/>
        </w:rPr>
        <w:t>s</w:t>
      </w:r>
      <w:r w:rsidRPr="00B55C77">
        <w:rPr>
          <w:noProof/>
          <w:sz w:val="24"/>
          <w:szCs w:val="24"/>
          <w:lang w:val="en-US"/>
        </w:rPr>
        <w:t>e</w:t>
      </w:r>
      <w:r w:rsidRPr="00B55C77">
        <w:rPr>
          <w:sz w:val="24"/>
          <w:szCs w:val="24"/>
          <w:lang w:val="en-US"/>
        </w:rPr>
        <w:t xml:space="preserve"> that the operation of section 90G of the Act is subject to </w:t>
      </w:r>
      <w:r w:rsidR="00CF3B39" w:rsidRPr="00B55C77">
        <w:rPr>
          <w:sz w:val="24"/>
          <w:szCs w:val="24"/>
          <w:lang w:val="en-US"/>
        </w:rPr>
        <w:t>pre-conditions</w:t>
      </w:r>
      <w:r w:rsidRPr="00B55C77">
        <w:rPr>
          <w:sz w:val="24"/>
          <w:szCs w:val="24"/>
          <w:lang w:val="en-US"/>
        </w:rPr>
        <w:t xml:space="preserve"> contained in the rest of Part </w:t>
      </w:r>
      <w:r w:rsidRPr="00980F2E">
        <w:rPr>
          <w:noProof/>
          <w:sz w:val="24"/>
          <w:szCs w:val="24"/>
          <w:lang w:val="en-US"/>
        </w:rPr>
        <w:t>VIIIA</w:t>
      </w:r>
      <w:r w:rsidRPr="00B55C77">
        <w:rPr>
          <w:sz w:val="24"/>
          <w:szCs w:val="24"/>
          <w:lang w:val="en-US"/>
        </w:rPr>
        <w:t xml:space="preserve"> of the Act. If an agreement is void, voidable or unenforceable because of a matter in sections 90B, 90C, 90D, 90K or 90KA of the Act, it cannot be perfected </w:t>
      </w:r>
      <w:r w:rsidRPr="00B55C77">
        <w:rPr>
          <w:noProof/>
          <w:sz w:val="24"/>
          <w:szCs w:val="24"/>
          <w:lang w:val="en-US"/>
        </w:rPr>
        <w:t>afterward</w:t>
      </w:r>
      <w:r w:rsidR="004E3344" w:rsidRPr="00B55C77">
        <w:rPr>
          <w:noProof/>
          <w:sz w:val="24"/>
          <w:szCs w:val="24"/>
          <w:lang w:val="en-US"/>
        </w:rPr>
        <w:t>s</w:t>
      </w:r>
      <w:r w:rsidRPr="00B55C77">
        <w:rPr>
          <w:sz w:val="24"/>
          <w:szCs w:val="24"/>
          <w:lang w:val="en-US"/>
        </w:rPr>
        <w:t xml:space="preserve"> or made binding by the operation of section 90G or its sub-sections.</w:t>
      </w:r>
    </w:p>
    <w:p w:rsidR="004E3344" w:rsidRPr="00D37EE0" w:rsidRDefault="00410BAC" w:rsidP="00CF3B39">
      <w:pPr>
        <w:pStyle w:val="ListParagraph"/>
        <w:numPr>
          <w:ilvl w:val="0"/>
          <w:numId w:val="52"/>
        </w:numPr>
        <w:spacing w:after="0" w:line="360" w:lineRule="auto"/>
        <w:jc w:val="both"/>
        <w:rPr>
          <w:sz w:val="24"/>
          <w:szCs w:val="24"/>
          <w:lang w:val="en-US"/>
        </w:rPr>
      </w:pPr>
      <w:r w:rsidRPr="00B55C77">
        <w:rPr>
          <w:sz w:val="24"/>
          <w:szCs w:val="24"/>
        </w:rPr>
        <w:t xml:space="preserve">Any further amendments to the </w:t>
      </w:r>
      <w:r w:rsidRPr="00B55C77">
        <w:rPr>
          <w:i/>
          <w:sz w:val="24"/>
          <w:szCs w:val="24"/>
        </w:rPr>
        <w:t>Act</w:t>
      </w:r>
      <w:r w:rsidRPr="00B55C77">
        <w:rPr>
          <w:sz w:val="24"/>
          <w:szCs w:val="24"/>
        </w:rPr>
        <w:t xml:space="preserve"> will have to be prospective. Amendments</w:t>
      </w:r>
      <w:r w:rsidR="00676027" w:rsidRPr="00B55C77">
        <w:rPr>
          <w:sz w:val="24"/>
          <w:szCs w:val="24"/>
        </w:rPr>
        <w:t xml:space="preserve"> to an already complex regime (irrespective of the good intention and merit of</w:t>
      </w:r>
      <w:r w:rsidRPr="00B55C77">
        <w:rPr>
          <w:sz w:val="24"/>
          <w:szCs w:val="24"/>
        </w:rPr>
        <w:t xml:space="preserve"> those changes) make a difficult situation worse</w:t>
      </w:r>
      <w:r w:rsidR="00AD77D9" w:rsidRPr="00B55C77">
        <w:rPr>
          <w:sz w:val="24"/>
          <w:szCs w:val="24"/>
        </w:rPr>
        <w:t xml:space="preserve">. Consider how confusing the three existing compliance regimes are, using the following table: </w:t>
      </w:r>
    </w:p>
    <w:p w:rsidR="004E3344" w:rsidRPr="00B55C77" w:rsidRDefault="00B55C77" w:rsidP="00B55C77">
      <w:pPr>
        <w:spacing w:after="0" w:line="360" w:lineRule="auto"/>
        <w:jc w:val="center"/>
        <w:rPr>
          <w:b/>
          <w:sz w:val="24"/>
          <w:szCs w:val="24"/>
          <w:lang w:val="en-US"/>
        </w:rPr>
      </w:pPr>
      <w:r>
        <w:rPr>
          <w:b/>
          <w:sz w:val="24"/>
          <w:szCs w:val="24"/>
          <w:lang w:val="en-US"/>
        </w:rPr>
        <w:t>Table: Existing Compliance Regimes s 90G</w:t>
      </w:r>
    </w:p>
    <w:p w:rsidR="004E3344" w:rsidRDefault="00B55C77" w:rsidP="00CF3B39">
      <w:pPr>
        <w:spacing w:after="0" w:line="360" w:lineRule="auto"/>
        <w:jc w:val="both"/>
        <w:rPr>
          <w:b/>
          <w:sz w:val="24"/>
          <w:szCs w:val="24"/>
          <w:lang w:val="en-US"/>
        </w:rPr>
      </w:pPr>
      <w:r>
        <w:rPr>
          <w:noProof/>
          <w:lang w:eastAsia="en-AU"/>
        </w:rPr>
        <w:drawing>
          <wp:inline distT="0" distB="0" distL="0" distR="0">
            <wp:extent cx="5731510" cy="4566285"/>
            <wp:effectExtent l="0" t="0" r="254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stretch>
                      <a:fillRect/>
                    </a:stretch>
                  </pic:blipFill>
                  <pic:spPr>
                    <a:xfrm>
                      <a:off x="0" y="0"/>
                      <a:ext cx="5731510" cy="4566285"/>
                    </a:xfrm>
                    <a:prstGeom prst="rect">
                      <a:avLst/>
                    </a:prstGeom>
                  </pic:spPr>
                </pic:pic>
              </a:graphicData>
            </a:graphic>
          </wp:inline>
        </w:drawing>
      </w:r>
    </w:p>
    <w:p w:rsidR="001002F5" w:rsidRDefault="001002F5" w:rsidP="00CF3B39">
      <w:pPr>
        <w:spacing w:after="0" w:line="360" w:lineRule="auto"/>
        <w:jc w:val="both"/>
        <w:rPr>
          <w:b/>
          <w:sz w:val="24"/>
          <w:szCs w:val="24"/>
          <w:lang w:val="en-US"/>
        </w:rPr>
      </w:pPr>
    </w:p>
    <w:p w:rsidR="001002F5" w:rsidRDefault="001002F5" w:rsidP="00CF3B39">
      <w:pPr>
        <w:spacing w:after="0" w:line="360" w:lineRule="auto"/>
        <w:jc w:val="both"/>
        <w:rPr>
          <w:b/>
          <w:sz w:val="24"/>
          <w:szCs w:val="24"/>
          <w:lang w:val="en-US"/>
        </w:rPr>
      </w:pPr>
    </w:p>
    <w:p w:rsidR="001002F5" w:rsidRDefault="001002F5" w:rsidP="00CF3B39">
      <w:pPr>
        <w:spacing w:after="0" w:line="360" w:lineRule="auto"/>
        <w:jc w:val="both"/>
        <w:rPr>
          <w:b/>
          <w:sz w:val="24"/>
          <w:szCs w:val="24"/>
          <w:lang w:val="en-US"/>
        </w:rPr>
      </w:pPr>
    </w:p>
    <w:p w:rsidR="001002F5" w:rsidRDefault="001002F5" w:rsidP="00CF3B39">
      <w:pPr>
        <w:spacing w:after="0" w:line="360" w:lineRule="auto"/>
        <w:jc w:val="both"/>
        <w:rPr>
          <w:b/>
          <w:sz w:val="24"/>
          <w:szCs w:val="24"/>
          <w:lang w:val="en-US"/>
        </w:rPr>
      </w:pPr>
    </w:p>
    <w:p w:rsidR="004E3344" w:rsidRPr="00B55C77" w:rsidRDefault="00410BAC" w:rsidP="009A0126">
      <w:pPr>
        <w:pStyle w:val="ListParagraph"/>
        <w:numPr>
          <w:ilvl w:val="0"/>
          <w:numId w:val="52"/>
        </w:numPr>
        <w:spacing w:after="0" w:line="360" w:lineRule="auto"/>
        <w:jc w:val="both"/>
        <w:rPr>
          <w:sz w:val="24"/>
          <w:szCs w:val="24"/>
          <w:lang w:val="en-US"/>
        </w:rPr>
      </w:pPr>
      <w:r w:rsidRPr="00B55C77">
        <w:rPr>
          <w:sz w:val="24"/>
          <w:szCs w:val="24"/>
          <w:lang w:val="en-US"/>
        </w:rPr>
        <w:t xml:space="preserve">My recommendation therefore is: </w:t>
      </w:r>
    </w:p>
    <w:p w:rsidR="00CF3B39" w:rsidRDefault="00CF3B39" w:rsidP="00CF3B39">
      <w:pPr>
        <w:spacing w:after="0" w:line="360" w:lineRule="auto"/>
      </w:pPr>
    </w:p>
    <w:tbl>
      <w:tblPr>
        <w:tblStyle w:val="TableGrid"/>
        <w:tblW w:w="0" w:type="auto"/>
        <w:tblLook w:val="04A0"/>
      </w:tblPr>
      <w:tblGrid>
        <w:gridCol w:w="9016"/>
      </w:tblGrid>
      <w:tr w:rsidR="00CF3B39" w:rsidTr="00E014B4">
        <w:tc>
          <w:tcPr>
            <w:tcW w:w="9016" w:type="dxa"/>
          </w:tcPr>
          <w:p w:rsidR="00CF3B39" w:rsidRPr="0022575B" w:rsidRDefault="00CF3B39" w:rsidP="00E014B4">
            <w:pPr>
              <w:pStyle w:val="Heading3"/>
              <w:spacing w:before="0" w:line="360" w:lineRule="auto"/>
              <w:outlineLvl w:val="2"/>
              <w:rPr>
                <w:i/>
                <w:color w:val="auto"/>
              </w:rPr>
            </w:pPr>
            <w:bookmarkStart w:id="61" w:name="_Toc512895965"/>
            <w:r w:rsidRPr="008F1051">
              <w:rPr>
                <w:i/>
                <w:color w:val="auto"/>
              </w:rPr>
              <w:t xml:space="preserve">Recommendation </w:t>
            </w:r>
            <w:r>
              <w:rPr>
                <w:i/>
                <w:color w:val="auto"/>
              </w:rPr>
              <w:t>17</w:t>
            </w:r>
            <w:bookmarkEnd w:id="61"/>
          </w:p>
          <w:p w:rsidR="00CF3B39" w:rsidRDefault="00CF3B39" w:rsidP="00CF3B39">
            <w:pPr>
              <w:rPr>
                <w:i/>
                <w:sz w:val="24"/>
                <w:szCs w:val="24"/>
              </w:rPr>
            </w:pPr>
            <w:r w:rsidRPr="00980F2E">
              <w:rPr>
                <w:i/>
                <w:noProof/>
                <w:sz w:val="24"/>
                <w:szCs w:val="24"/>
              </w:rPr>
              <w:t>That there be no change to the legislative provisions governing financial agreements.</w:t>
            </w:r>
            <w:r>
              <w:rPr>
                <w:i/>
                <w:sz w:val="24"/>
                <w:szCs w:val="24"/>
              </w:rPr>
              <w:t xml:space="preserve"> </w:t>
            </w:r>
          </w:p>
          <w:p w:rsidR="00CF3B39" w:rsidRPr="00954E38" w:rsidRDefault="00CF3B39" w:rsidP="00CF3B39">
            <w:pPr>
              <w:rPr>
                <w:i/>
                <w:sz w:val="24"/>
                <w:szCs w:val="24"/>
              </w:rPr>
            </w:pPr>
          </w:p>
        </w:tc>
      </w:tr>
    </w:tbl>
    <w:p w:rsidR="00CF3B39" w:rsidRDefault="00CF3B39" w:rsidP="00CF3B39">
      <w:pPr>
        <w:spacing w:after="0" w:line="360" w:lineRule="auto"/>
      </w:pPr>
    </w:p>
    <w:p w:rsidR="00CF3B39" w:rsidRDefault="00CF3B39">
      <w:pPr>
        <w:rPr>
          <w:rFonts w:asciiTheme="majorHAnsi" w:eastAsiaTheme="majorEastAsia" w:hAnsiTheme="majorHAnsi" w:cstheme="majorBidi"/>
          <w:sz w:val="32"/>
          <w:szCs w:val="32"/>
        </w:rPr>
      </w:pPr>
      <w:r>
        <w:br w:type="page"/>
      </w:r>
    </w:p>
    <w:p w:rsidR="00DC7DC2" w:rsidRPr="00DC7DC2" w:rsidRDefault="00DC7DC2" w:rsidP="00462142">
      <w:pPr>
        <w:pStyle w:val="Heading1"/>
        <w:pBdr>
          <w:bottom w:val="single" w:sz="4" w:space="1" w:color="auto"/>
        </w:pBdr>
        <w:spacing w:before="0" w:line="360" w:lineRule="auto"/>
        <w:jc w:val="both"/>
        <w:rPr>
          <w:color w:val="auto"/>
        </w:rPr>
      </w:pPr>
      <w:bookmarkStart w:id="62" w:name="_Toc512895966"/>
      <w:r w:rsidRPr="00DC7DC2">
        <w:rPr>
          <w:color w:val="auto"/>
        </w:rPr>
        <w:t>Other Publications</w:t>
      </w:r>
      <w:bookmarkEnd w:id="62"/>
    </w:p>
    <w:p w:rsidR="00DC7DC2" w:rsidRDefault="00DC7DC2" w:rsidP="00462142">
      <w:pPr>
        <w:spacing w:after="0" w:line="360" w:lineRule="auto"/>
      </w:pPr>
    </w:p>
    <w:p w:rsidR="00DC7DC2" w:rsidRPr="00DC7DC2" w:rsidRDefault="00DC7DC2" w:rsidP="00462142">
      <w:pPr>
        <w:spacing w:after="0" w:line="360" w:lineRule="auto"/>
        <w:jc w:val="both"/>
        <w:rPr>
          <w:rFonts w:cstheme="minorHAnsi"/>
          <w:sz w:val="24"/>
          <w:szCs w:val="24"/>
        </w:rPr>
      </w:pPr>
      <w:r w:rsidRPr="00DC7DC2">
        <w:rPr>
          <w:rFonts w:cstheme="minorHAnsi"/>
          <w:sz w:val="24"/>
          <w:szCs w:val="24"/>
        </w:rPr>
        <w:t xml:space="preserve">Portions of this submission have previously been published (or are to be </w:t>
      </w:r>
      <w:r w:rsidRPr="004E3344">
        <w:rPr>
          <w:rFonts w:cstheme="minorHAnsi"/>
          <w:noProof/>
          <w:sz w:val="24"/>
          <w:szCs w:val="24"/>
        </w:rPr>
        <w:t>published</w:t>
      </w:r>
      <w:r w:rsidRPr="00DC7DC2">
        <w:rPr>
          <w:rFonts w:cstheme="minorHAnsi"/>
          <w:sz w:val="24"/>
          <w:szCs w:val="24"/>
        </w:rPr>
        <w:t>) as follows:</w:t>
      </w:r>
    </w:p>
    <w:p w:rsidR="00DC7DC2" w:rsidRPr="00CF3B39" w:rsidRDefault="00DC7DC2" w:rsidP="009A0126">
      <w:pPr>
        <w:pStyle w:val="ListParagraph"/>
        <w:numPr>
          <w:ilvl w:val="0"/>
          <w:numId w:val="14"/>
        </w:numPr>
        <w:spacing w:after="0" w:line="360" w:lineRule="auto"/>
        <w:jc w:val="both"/>
        <w:rPr>
          <w:rFonts w:cstheme="minorHAnsi"/>
          <w:sz w:val="24"/>
          <w:szCs w:val="24"/>
        </w:rPr>
      </w:pPr>
      <w:r w:rsidRPr="00DC7DC2">
        <w:rPr>
          <w:rFonts w:cstheme="minorHAnsi"/>
          <w:sz w:val="24"/>
          <w:szCs w:val="24"/>
        </w:rPr>
        <w:t xml:space="preserve">Turnbull, Christopher J. (2017) </w:t>
      </w:r>
      <w:r w:rsidRPr="00DC7DC2">
        <w:rPr>
          <w:rFonts w:cstheme="minorHAnsi"/>
          <w:i/>
          <w:iCs/>
          <w:sz w:val="24"/>
          <w:szCs w:val="24"/>
        </w:rPr>
        <w:t>Family law property settlements: Principled law reform for separated families.</w:t>
      </w:r>
      <w:r w:rsidRPr="00DC7DC2">
        <w:rPr>
          <w:rFonts w:cstheme="minorHAnsi"/>
          <w:sz w:val="24"/>
          <w:szCs w:val="24"/>
        </w:rPr>
        <w:t xml:space="preserve"> PhD thesis, Queensland University of Technology (21 November 2017) </w:t>
      </w:r>
      <w:hyperlink r:id="rId33" w:history="1">
        <w:r w:rsidRPr="00DC7DC2">
          <w:rPr>
            <w:rStyle w:val="Hyperlink"/>
            <w:rFonts w:cstheme="minorHAnsi"/>
            <w:sz w:val="24"/>
            <w:szCs w:val="24"/>
          </w:rPr>
          <w:t>https://eprints.qut.edu.au/113831/</w:t>
        </w:r>
      </w:hyperlink>
    </w:p>
    <w:p w:rsidR="00DC7DC2" w:rsidRPr="00CF3B39" w:rsidRDefault="00DC7DC2" w:rsidP="009A0126">
      <w:pPr>
        <w:pStyle w:val="ListParagraph"/>
        <w:numPr>
          <w:ilvl w:val="0"/>
          <w:numId w:val="14"/>
        </w:numPr>
        <w:spacing w:after="0" w:line="360" w:lineRule="auto"/>
        <w:jc w:val="both"/>
        <w:rPr>
          <w:rFonts w:cstheme="minorHAnsi"/>
          <w:sz w:val="24"/>
          <w:szCs w:val="24"/>
        </w:rPr>
      </w:pPr>
      <w:r w:rsidRPr="00DC7DC2">
        <w:rPr>
          <w:rFonts w:cstheme="minorHAnsi"/>
          <w:sz w:val="24"/>
          <w:szCs w:val="24"/>
        </w:rPr>
        <w:t>Christopher Turnbull, ‘Evaluating Judicial Discretion in Family Property Settlements: Developing a Quantitative Analysis Methodology’ (Paper Presented at Australian Institute of Family Studies Conference, Melbourne, 8 July 2016).</w:t>
      </w:r>
    </w:p>
    <w:p w:rsidR="00DC7DC2" w:rsidRPr="00CF3B39" w:rsidRDefault="00DC7DC2" w:rsidP="009A0126">
      <w:pPr>
        <w:pStyle w:val="ListParagraph"/>
        <w:numPr>
          <w:ilvl w:val="0"/>
          <w:numId w:val="14"/>
        </w:numPr>
        <w:spacing w:after="0" w:line="360" w:lineRule="auto"/>
        <w:jc w:val="both"/>
        <w:rPr>
          <w:rFonts w:cstheme="minorHAnsi"/>
          <w:sz w:val="24"/>
          <w:szCs w:val="24"/>
        </w:rPr>
      </w:pPr>
      <w:r w:rsidRPr="00DC7DC2">
        <w:rPr>
          <w:rFonts w:cstheme="minorHAnsi"/>
          <w:sz w:val="24"/>
          <w:szCs w:val="24"/>
        </w:rPr>
        <w:t>Christopher Turnbull, ‘A Quantitative Report on Judicial Discretion in Family Property Settlements: Results and Implications for Practitioners’ (Paper Presented at Northern Territory Law Society ‘Start at the Top’ Family Law Conference 2017, Darwin, 19 January 2017).</w:t>
      </w:r>
    </w:p>
    <w:p w:rsidR="00DC7DC2" w:rsidRPr="00CF3B39" w:rsidRDefault="00DC7DC2" w:rsidP="009A0126">
      <w:pPr>
        <w:pStyle w:val="NormalWeb"/>
        <w:numPr>
          <w:ilvl w:val="0"/>
          <w:numId w:val="14"/>
        </w:numPr>
        <w:spacing w:before="0" w:beforeAutospacing="0" w:after="0" w:afterAutospacing="0" w:line="360" w:lineRule="auto"/>
        <w:jc w:val="both"/>
        <w:rPr>
          <w:rStyle w:val="xfontstyle0"/>
          <w:rFonts w:asciiTheme="minorHAnsi" w:hAnsiTheme="minorHAnsi" w:cstheme="minorHAnsi"/>
        </w:rPr>
      </w:pPr>
      <w:r w:rsidRPr="00DC7DC2">
        <w:rPr>
          <w:rFonts w:asciiTheme="minorHAnsi" w:hAnsiTheme="minorHAnsi" w:cstheme="minorHAnsi"/>
        </w:rPr>
        <w:t>Christopher Turnbull, '</w:t>
      </w:r>
      <w:r w:rsidRPr="00DC7DC2">
        <w:rPr>
          <w:rStyle w:val="xfontstyle0"/>
          <w:rFonts w:asciiTheme="minorHAnsi" w:eastAsiaTheme="majorEastAsia" w:hAnsiTheme="minorHAnsi" w:cstheme="minorHAnsi"/>
        </w:rPr>
        <w:t xml:space="preserve">Family Law Property </w:t>
      </w:r>
      <w:r w:rsidR="00676DD6" w:rsidRPr="00DC7DC2">
        <w:rPr>
          <w:rStyle w:val="xfontstyle0"/>
          <w:rFonts w:asciiTheme="minorHAnsi" w:eastAsiaTheme="majorEastAsia" w:hAnsiTheme="minorHAnsi" w:cstheme="minorHAnsi"/>
        </w:rPr>
        <w:t>Settlements: An</w:t>
      </w:r>
      <w:r w:rsidRPr="00DC7DC2">
        <w:rPr>
          <w:rStyle w:val="xfontstyle0"/>
          <w:rFonts w:asciiTheme="minorHAnsi" w:eastAsiaTheme="majorEastAsia" w:hAnsiTheme="minorHAnsi" w:cstheme="minorHAnsi"/>
        </w:rPr>
        <w:t xml:space="preserve"> Exploratory Quantitative </w:t>
      </w:r>
      <w:r w:rsidR="00994BEC">
        <w:rPr>
          <w:rStyle w:val="xfontstyle0"/>
          <w:rFonts w:asciiTheme="minorHAnsi" w:eastAsiaTheme="majorEastAsia" w:hAnsiTheme="minorHAnsi" w:cstheme="minorHAnsi"/>
        </w:rPr>
        <w:t>A</w:t>
      </w:r>
      <w:r w:rsidRPr="00DC7DC2">
        <w:rPr>
          <w:rStyle w:val="xfontstyle0"/>
          <w:rFonts w:asciiTheme="minorHAnsi" w:eastAsiaTheme="majorEastAsia" w:hAnsiTheme="minorHAnsi" w:cstheme="minorHAnsi"/>
        </w:rPr>
        <w:t xml:space="preserve">nalysis' (2018) </w:t>
      </w:r>
      <w:r w:rsidR="00EE4B15">
        <w:rPr>
          <w:rStyle w:val="xfontstyle0"/>
          <w:rFonts w:asciiTheme="minorHAnsi" w:eastAsiaTheme="majorEastAsia" w:hAnsiTheme="minorHAnsi" w:cstheme="minorHAnsi"/>
        </w:rPr>
        <w:t>7</w:t>
      </w:r>
      <w:r w:rsidRPr="00DC7DC2">
        <w:rPr>
          <w:rStyle w:val="xfontstyle0"/>
          <w:rFonts w:asciiTheme="minorHAnsi" w:eastAsiaTheme="majorEastAsia" w:hAnsiTheme="minorHAnsi" w:cstheme="minorHAnsi"/>
        </w:rPr>
        <w:t>(</w:t>
      </w:r>
      <w:r w:rsidR="00EE4B15">
        <w:rPr>
          <w:rStyle w:val="xfontstyle0"/>
          <w:rFonts w:asciiTheme="minorHAnsi" w:eastAsiaTheme="majorEastAsia" w:hAnsiTheme="minorHAnsi" w:cstheme="minorHAnsi"/>
        </w:rPr>
        <w:t>3</w:t>
      </w:r>
      <w:r w:rsidRPr="00DC7DC2">
        <w:rPr>
          <w:rStyle w:val="xfontstyle0"/>
          <w:rFonts w:asciiTheme="minorHAnsi" w:eastAsiaTheme="majorEastAsia" w:hAnsiTheme="minorHAnsi" w:cstheme="minorHAnsi"/>
        </w:rPr>
        <w:t xml:space="preserve">) </w:t>
      </w:r>
      <w:r w:rsidRPr="00DC7DC2">
        <w:rPr>
          <w:rStyle w:val="xfontstyle0"/>
          <w:rFonts w:asciiTheme="minorHAnsi" w:eastAsiaTheme="majorEastAsia" w:hAnsiTheme="minorHAnsi" w:cstheme="minorHAnsi"/>
          <w:i/>
          <w:iCs/>
        </w:rPr>
        <w:t xml:space="preserve">Family Law </w:t>
      </w:r>
      <w:r w:rsidR="00676DD6" w:rsidRPr="00DC7DC2">
        <w:rPr>
          <w:rStyle w:val="xfontstyle0"/>
          <w:rFonts w:asciiTheme="minorHAnsi" w:eastAsiaTheme="majorEastAsia" w:hAnsiTheme="minorHAnsi" w:cstheme="minorHAnsi"/>
          <w:i/>
          <w:iCs/>
        </w:rPr>
        <w:t>Review</w:t>
      </w:r>
      <w:r w:rsidR="00EE4B15">
        <w:rPr>
          <w:rStyle w:val="xfontstyle0"/>
          <w:rFonts w:asciiTheme="minorHAnsi" w:eastAsiaTheme="majorEastAsia" w:hAnsiTheme="minorHAnsi" w:cstheme="minorHAnsi"/>
        </w:rPr>
        <w:t xml:space="preserve"> 215. </w:t>
      </w:r>
    </w:p>
    <w:p w:rsidR="00DC7DC2" w:rsidRPr="00DC7DC2" w:rsidRDefault="00DC7DC2" w:rsidP="009A0126">
      <w:pPr>
        <w:pStyle w:val="NormalWeb"/>
        <w:numPr>
          <w:ilvl w:val="0"/>
          <w:numId w:val="14"/>
        </w:numPr>
        <w:spacing w:before="0" w:beforeAutospacing="0" w:after="0" w:afterAutospacing="0" w:line="360" w:lineRule="auto"/>
        <w:jc w:val="both"/>
        <w:rPr>
          <w:rFonts w:asciiTheme="minorHAnsi" w:hAnsiTheme="minorHAnsi" w:cstheme="minorHAnsi"/>
        </w:rPr>
      </w:pPr>
      <w:r w:rsidRPr="00DC7DC2">
        <w:rPr>
          <w:rFonts w:asciiTheme="minorHAnsi" w:hAnsiTheme="minorHAnsi" w:cstheme="minorHAnsi"/>
          <w:b/>
          <w:i/>
        </w:rPr>
        <w:t>[Forthcoming]</w:t>
      </w:r>
      <w:r w:rsidRPr="00DC7DC2">
        <w:rPr>
          <w:rStyle w:val="xfontstyle0"/>
          <w:rFonts w:asciiTheme="minorHAnsi" w:eastAsiaTheme="majorEastAsia" w:hAnsiTheme="minorHAnsi" w:cstheme="minorHAnsi"/>
        </w:rPr>
        <w:t xml:space="preserve"> Christopher Turnbull, 'In metes and bounds:  Revisiting the just and equitable requirement in family law property settlements' (2018) 31 </w:t>
      </w:r>
      <w:r w:rsidRPr="00DC7DC2">
        <w:rPr>
          <w:rStyle w:val="xfontstyle0"/>
          <w:rFonts w:asciiTheme="minorHAnsi" w:eastAsiaTheme="majorEastAsia" w:hAnsiTheme="minorHAnsi" w:cstheme="minorHAnsi"/>
          <w:i/>
          <w:iCs/>
        </w:rPr>
        <w:t>Australian Journal of Family Law</w:t>
      </w:r>
      <w:r>
        <w:rPr>
          <w:rStyle w:val="xfontstyle0"/>
          <w:rFonts w:asciiTheme="minorHAnsi" w:eastAsiaTheme="majorEastAsia" w:hAnsiTheme="minorHAnsi" w:cstheme="minorHAnsi"/>
          <w:i/>
          <w:iCs/>
        </w:rPr>
        <w:t>.</w:t>
      </w:r>
    </w:p>
    <w:p w:rsidR="00DC7DC2" w:rsidRPr="00DC7DC2" w:rsidRDefault="00DC7DC2" w:rsidP="00462142">
      <w:pPr>
        <w:pStyle w:val="ListParagraph"/>
        <w:spacing w:after="0" w:line="360" w:lineRule="auto"/>
        <w:ind w:left="765"/>
        <w:jc w:val="both"/>
        <w:rPr>
          <w:sz w:val="24"/>
          <w:szCs w:val="24"/>
        </w:rPr>
      </w:pPr>
    </w:p>
    <w:p w:rsidR="00DC7DC2" w:rsidRDefault="00DC7DC2" w:rsidP="00462142">
      <w:pPr>
        <w:spacing w:after="0" w:line="360" w:lineRule="auto"/>
      </w:pPr>
    </w:p>
    <w:p w:rsidR="00DC7DC2" w:rsidRDefault="00DC7DC2" w:rsidP="00462142">
      <w:pPr>
        <w:spacing w:after="0" w:line="360" w:lineRule="auto"/>
      </w:pPr>
      <w:r>
        <w:br w:type="page"/>
      </w:r>
    </w:p>
    <w:p w:rsidR="00352FB9" w:rsidRPr="0031221F" w:rsidRDefault="00352FB9" w:rsidP="00462142">
      <w:pPr>
        <w:pStyle w:val="Heading1"/>
        <w:spacing w:before="0" w:line="360" w:lineRule="auto"/>
        <w:rPr>
          <w:color w:val="auto"/>
        </w:rPr>
      </w:pPr>
      <w:bookmarkStart w:id="63" w:name="_Toc512895967"/>
      <w:r w:rsidRPr="0031221F">
        <w:rPr>
          <w:color w:val="auto"/>
        </w:rPr>
        <w:t>Endnotes</w:t>
      </w:r>
      <w:bookmarkEnd w:id="63"/>
    </w:p>
    <w:sectPr w:rsidR="00352FB9" w:rsidRPr="0031221F" w:rsidSect="00E73A71">
      <w:footerReference w:type="default" r:id="rId34"/>
      <w:endnotePr>
        <w:numFmt w:val="decimal"/>
      </w:endnotePr>
      <w:pgSz w:w="11906" w:h="16838"/>
      <w:pgMar w:top="1440" w:right="1440" w:bottom="1440" w:left="144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559" w:rsidRDefault="008F6559" w:rsidP="009B66A5">
      <w:pPr>
        <w:spacing w:after="0" w:line="240" w:lineRule="auto"/>
      </w:pPr>
      <w:r>
        <w:separator/>
      </w:r>
    </w:p>
  </w:endnote>
  <w:endnote w:type="continuationSeparator" w:id="0">
    <w:p w:rsidR="008F6559" w:rsidRDefault="008F6559" w:rsidP="009B66A5">
      <w:pPr>
        <w:spacing w:after="0" w:line="240" w:lineRule="auto"/>
      </w:pPr>
      <w:r>
        <w:continuationSeparator/>
      </w:r>
    </w:p>
  </w:endnote>
  <w:endnote w:id="1">
    <w:p w:rsidR="0007012D" w:rsidRPr="00B1563C" w:rsidRDefault="0007012D">
      <w:pPr>
        <w:pStyle w:val="EndnoteText"/>
        <w:rPr>
          <w:rFonts w:cstheme="minorHAnsi"/>
        </w:rPr>
      </w:pPr>
      <w:r w:rsidRPr="00B1563C">
        <w:rPr>
          <w:rStyle w:val="EndnoteReference"/>
          <w:rFonts w:cstheme="minorHAnsi"/>
        </w:rPr>
        <w:endnoteRef/>
      </w:r>
      <w:r w:rsidRPr="00B1563C">
        <w:rPr>
          <w:rFonts w:cstheme="minorHAnsi"/>
        </w:rPr>
        <w:t xml:space="preserve"> Turnbull, Christopher J. (2017) </w:t>
      </w:r>
      <w:r w:rsidRPr="00B1563C">
        <w:rPr>
          <w:rFonts w:cstheme="minorHAnsi"/>
          <w:i/>
          <w:iCs/>
        </w:rPr>
        <w:t>Family law property settlements: Principled law reform for separated families.</w:t>
      </w:r>
      <w:r w:rsidRPr="00B1563C">
        <w:rPr>
          <w:rFonts w:cstheme="minorHAnsi"/>
        </w:rPr>
        <w:t xml:space="preserve"> PhD thesis, Queensland University of Technology (21 November 2017) </w:t>
      </w:r>
      <w:hyperlink r:id="rId1" w:history="1">
        <w:r w:rsidRPr="00B1563C">
          <w:rPr>
            <w:rStyle w:val="Hyperlink"/>
            <w:rFonts w:cstheme="minorHAnsi"/>
          </w:rPr>
          <w:t>https://eprints.qut.edu.au/113831/</w:t>
        </w:r>
      </w:hyperlink>
      <w:r w:rsidRPr="00B1563C">
        <w:rPr>
          <w:rFonts w:cstheme="minorHAnsi"/>
        </w:rPr>
        <w:t xml:space="preserve"> .</w:t>
      </w:r>
    </w:p>
  </w:endnote>
  <w:endnote w:id="2">
    <w:p w:rsidR="0007012D" w:rsidRPr="00B1563C" w:rsidRDefault="0007012D" w:rsidP="00C12655">
      <w:pPr>
        <w:pStyle w:val="EndnoteText"/>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 xml:space="preserve">Public Service Act 1999 </w:t>
      </w:r>
      <w:r w:rsidRPr="00B1563C">
        <w:rPr>
          <w:rFonts w:cstheme="minorHAnsi"/>
        </w:rPr>
        <w:t xml:space="preserve">(Cth) s13. </w:t>
      </w:r>
    </w:p>
  </w:endnote>
  <w:endnote w:id="3">
    <w:p w:rsidR="0007012D" w:rsidRPr="00B1563C" w:rsidRDefault="0007012D">
      <w:pPr>
        <w:pStyle w:val="EndnoteText"/>
        <w:rPr>
          <w:rFonts w:cstheme="minorHAnsi"/>
        </w:rPr>
      </w:pPr>
      <w:r w:rsidRPr="00B1563C">
        <w:rPr>
          <w:rStyle w:val="EndnoteReference"/>
          <w:rFonts w:cstheme="minorHAnsi"/>
        </w:rPr>
        <w:endnoteRef/>
      </w:r>
      <w:r w:rsidRPr="00B1563C">
        <w:rPr>
          <w:rFonts w:cstheme="minorHAnsi"/>
        </w:rPr>
        <w:t xml:space="preserve"> Issues Paper Page 15.</w:t>
      </w:r>
    </w:p>
  </w:endnote>
  <w:endnote w:id="4">
    <w:p w:rsidR="0007012D" w:rsidRPr="00B1563C" w:rsidRDefault="0007012D">
      <w:pPr>
        <w:pStyle w:val="EndnoteText"/>
        <w:rPr>
          <w:rFonts w:cstheme="minorHAnsi"/>
        </w:rPr>
      </w:pPr>
      <w:r w:rsidRPr="00B1563C">
        <w:rPr>
          <w:rStyle w:val="EndnoteReference"/>
          <w:rFonts w:cstheme="minorHAnsi"/>
        </w:rPr>
        <w:endnoteRef/>
      </w:r>
      <w:r w:rsidRPr="00B1563C">
        <w:rPr>
          <w:rFonts w:cstheme="minorHAnsi"/>
        </w:rPr>
        <w:t xml:space="preserve"> Issues Paper Page 17. </w:t>
      </w:r>
    </w:p>
  </w:endnote>
  <w:endnote w:id="5">
    <w:p w:rsidR="0007012D" w:rsidRPr="00B1563C" w:rsidRDefault="0007012D" w:rsidP="008868F4">
      <w:pPr>
        <w:pStyle w:val="EndnoteText"/>
        <w:rPr>
          <w:rFonts w:cstheme="minorHAnsi"/>
        </w:rPr>
      </w:pPr>
      <w:r w:rsidRPr="00B1563C">
        <w:rPr>
          <w:rStyle w:val="EndnoteReference"/>
          <w:rFonts w:cstheme="minorHAnsi"/>
        </w:rPr>
        <w:endnoteRef/>
      </w:r>
      <w:r w:rsidRPr="00B1563C">
        <w:rPr>
          <w:rFonts w:cstheme="minorHAnsi"/>
        </w:rPr>
        <w:t xml:space="preserve"> Department of Human Services, Australian Government, </w:t>
      </w:r>
      <w:r w:rsidRPr="00B1563C">
        <w:rPr>
          <w:rFonts w:cstheme="minorHAnsi"/>
          <w:i/>
        </w:rPr>
        <w:t>Annual Report 2012-2013,</w:t>
      </w:r>
      <w:r w:rsidRPr="00B1563C">
        <w:rPr>
          <w:rFonts w:cstheme="minorHAnsi"/>
        </w:rPr>
        <w:t xml:space="preserve"> 74.</w:t>
      </w:r>
    </w:p>
  </w:endnote>
  <w:endnote w:id="6">
    <w:p w:rsidR="0007012D" w:rsidRPr="00B1563C" w:rsidRDefault="0007012D">
      <w:pPr>
        <w:pStyle w:val="EndnoteText"/>
        <w:rPr>
          <w:rFonts w:cstheme="minorHAnsi"/>
        </w:rPr>
      </w:pPr>
      <w:r w:rsidRPr="00B1563C">
        <w:rPr>
          <w:rStyle w:val="EndnoteReference"/>
          <w:rFonts w:cstheme="minorHAnsi"/>
        </w:rPr>
        <w:endnoteRef/>
      </w:r>
      <w:r w:rsidRPr="00B1563C">
        <w:rPr>
          <w:rFonts w:cstheme="minorHAnsi"/>
        </w:rPr>
        <w:t xml:space="preserve"> Ibid 41.</w:t>
      </w:r>
    </w:p>
  </w:endnote>
  <w:endnote w:id="7">
    <w:p w:rsidR="0007012D" w:rsidRPr="00B1563C" w:rsidRDefault="0007012D">
      <w:pPr>
        <w:pStyle w:val="EndnoteText"/>
        <w:rPr>
          <w:rFonts w:cstheme="minorHAnsi"/>
        </w:rPr>
      </w:pPr>
      <w:r w:rsidRPr="00B1563C">
        <w:rPr>
          <w:rStyle w:val="EndnoteReference"/>
          <w:rFonts w:cstheme="minorHAnsi"/>
        </w:rPr>
        <w:endnoteRef/>
      </w:r>
      <w:r w:rsidRPr="00B1563C">
        <w:rPr>
          <w:rFonts w:cstheme="minorHAnsi"/>
        </w:rPr>
        <w:t xml:space="preserve"> Australian Bureau of Statistics. (2015). Family Characteristics and Transitions Australia, Data Cube - Table 5: All Children, Family type by age of child 2012-2013, 2009-2010, 2006-2007 (4442.0) Retrieved from </w:t>
      </w:r>
      <w:hyperlink r:id="rId2" w:history="1">
        <w:r w:rsidRPr="00B1563C">
          <w:rPr>
            <w:rStyle w:val="Hyperlink"/>
            <w:rFonts w:cstheme="minorHAnsi"/>
          </w:rPr>
          <w:t>http://www.abs.gov.au/AUSSTATS/abs@.nsf/DetailsPage/4442.02012-13?OpenDocument</w:t>
        </w:r>
      </w:hyperlink>
    </w:p>
  </w:endnote>
  <w:endnote w:id="8">
    <w:p w:rsidR="0007012D" w:rsidRPr="00B1563C" w:rsidRDefault="0007012D">
      <w:pPr>
        <w:pStyle w:val="EndnoteText"/>
        <w:rPr>
          <w:rFonts w:cstheme="minorHAnsi"/>
        </w:rPr>
      </w:pPr>
      <w:r w:rsidRPr="00B1563C">
        <w:rPr>
          <w:rStyle w:val="EndnoteReference"/>
          <w:rFonts w:cstheme="minorHAnsi"/>
        </w:rPr>
        <w:endnoteRef/>
      </w:r>
      <w:r w:rsidRPr="00B1563C">
        <w:rPr>
          <w:rFonts w:cstheme="minorHAnsi"/>
        </w:rPr>
        <w:t xml:space="preserve"> Ibid. </w:t>
      </w:r>
    </w:p>
  </w:endnote>
  <w:endnote w:id="9">
    <w:p w:rsidR="0007012D" w:rsidRPr="00B1563C" w:rsidRDefault="0007012D">
      <w:pPr>
        <w:pStyle w:val="EndnoteText"/>
        <w:rPr>
          <w:rFonts w:cstheme="minorHAnsi"/>
        </w:rPr>
      </w:pPr>
      <w:r w:rsidRPr="00B1563C">
        <w:rPr>
          <w:rStyle w:val="EndnoteReference"/>
          <w:rFonts w:cstheme="minorHAnsi"/>
        </w:rPr>
        <w:endnoteRef/>
      </w:r>
      <w:r w:rsidRPr="00B1563C">
        <w:rPr>
          <w:rFonts w:cstheme="minorHAnsi"/>
        </w:rPr>
        <w:t xml:space="preserve"> Federal Circuit Court of Australia,</w:t>
      </w:r>
      <w:r w:rsidRPr="00B1563C">
        <w:rPr>
          <w:rFonts w:cstheme="minorHAnsi"/>
          <w:i/>
        </w:rPr>
        <w:t xml:space="preserve"> Annual Report 2012-2013</w:t>
      </w:r>
      <w:r w:rsidRPr="00B1563C">
        <w:rPr>
          <w:rFonts w:cstheme="minorHAnsi"/>
        </w:rPr>
        <w:t xml:space="preserve"> (2013) 40.</w:t>
      </w:r>
    </w:p>
  </w:endnote>
  <w:endnote w:id="10">
    <w:p w:rsidR="0007012D" w:rsidRPr="00B1563C" w:rsidRDefault="0007012D">
      <w:pPr>
        <w:pStyle w:val="EndnoteText"/>
        <w:rPr>
          <w:rFonts w:cstheme="minorHAnsi"/>
        </w:rPr>
      </w:pPr>
      <w:r w:rsidRPr="00B1563C">
        <w:rPr>
          <w:rStyle w:val="EndnoteReference"/>
          <w:rFonts w:cstheme="minorHAnsi"/>
        </w:rPr>
        <w:endnoteRef/>
      </w:r>
      <w:r w:rsidRPr="00B1563C">
        <w:rPr>
          <w:rFonts w:cstheme="minorHAnsi"/>
        </w:rPr>
        <w:t xml:space="preserve"> Ibid, 42.</w:t>
      </w:r>
    </w:p>
  </w:endnote>
  <w:endnote w:id="11">
    <w:p w:rsidR="0007012D" w:rsidRPr="00B1563C" w:rsidRDefault="0007012D">
      <w:pPr>
        <w:pStyle w:val="EndnoteText"/>
        <w:rPr>
          <w:rFonts w:cstheme="minorHAnsi"/>
        </w:rPr>
      </w:pPr>
      <w:r w:rsidRPr="00B1563C">
        <w:rPr>
          <w:rStyle w:val="EndnoteReference"/>
          <w:rFonts w:cstheme="minorHAnsi"/>
        </w:rPr>
        <w:endnoteRef/>
      </w:r>
      <w:r w:rsidRPr="00B1563C">
        <w:rPr>
          <w:rFonts w:cstheme="minorHAnsi"/>
        </w:rPr>
        <w:t xml:space="preserve"> Family Court of Australia, </w:t>
      </w:r>
      <w:r w:rsidRPr="00B1563C">
        <w:rPr>
          <w:rFonts w:cstheme="minorHAnsi"/>
          <w:i/>
        </w:rPr>
        <w:t>Annual Report 2012-2013</w:t>
      </w:r>
      <w:r w:rsidRPr="00B1563C">
        <w:rPr>
          <w:rFonts w:cstheme="minorHAnsi"/>
        </w:rPr>
        <w:t xml:space="preserve"> (2013) 42.</w:t>
      </w:r>
    </w:p>
  </w:endnote>
  <w:endnote w:id="12">
    <w:p w:rsidR="0007012D" w:rsidRPr="00B1563C" w:rsidRDefault="0007012D">
      <w:pPr>
        <w:pStyle w:val="EndnoteText"/>
        <w:rPr>
          <w:rFonts w:cstheme="minorHAnsi"/>
        </w:rPr>
      </w:pPr>
      <w:r w:rsidRPr="00B1563C">
        <w:rPr>
          <w:rStyle w:val="EndnoteReference"/>
          <w:rFonts w:cstheme="minorHAnsi"/>
        </w:rPr>
        <w:endnoteRef/>
      </w:r>
      <w:r w:rsidRPr="00B1563C">
        <w:rPr>
          <w:rFonts w:cstheme="minorHAnsi"/>
        </w:rPr>
        <w:t xml:space="preserve"> Ibid </w:t>
      </w:r>
      <w:r w:rsidR="00980F2E">
        <w:rPr>
          <w:rFonts w:cstheme="minorHAnsi"/>
        </w:rPr>
        <w:t>.</w:t>
      </w:r>
    </w:p>
  </w:endnote>
  <w:endnote w:id="13">
    <w:p w:rsidR="0007012D" w:rsidRPr="00B1563C" w:rsidRDefault="0007012D">
      <w:pPr>
        <w:pStyle w:val="EndnoteText"/>
        <w:rPr>
          <w:rFonts w:cstheme="minorHAnsi"/>
        </w:rPr>
      </w:pPr>
      <w:r w:rsidRPr="00B1563C">
        <w:rPr>
          <w:rStyle w:val="EndnoteReference"/>
          <w:rFonts w:cstheme="minorHAnsi"/>
        </w:rPr>
        <w:endnoteRef/>
      </w:r>
      <w:r w:rsidRPr="00B1563C">
        <w:rPr>
          <w:rFonts w:cstheme="minorHAnsi"/>
        </w:rPr>
        <w:t xml:space="preserve"> Rae Kaspiew, Lawrie Moloney, Jessie Dunstan and John de Maio, ‘Family Law Court filings 2004-05 to 2012-13’ (Research Report No 30, Australian Institute of Family Studies, 2015). </w:t>
      </w:r>
    </w:p>
  </w:endnote>
  <w:endnote w:id="14">
    <w:p w:rsidR="0007012D" w:rsidRPr="00B1563C" w:rsidRDefault="0007012D">
      <w:pPr>
        <w:pStyle w:val="EndnoteText"/>
        <w:rPr>
          <w:rFonts w:cstheme="minorHAnsi"/>
        </w:rPr>
      </w:pPr>
      <w:r w:rsidRPr="00B1563C">
        <w:rPr>
          <w:rStyle w:val="EndnoteReference"/>
          <w:rFonts w:cstheme="minorHAnsi"/>
        </w:rPr>
        <w:endnoteRef/>
      </w:r>
      <w:r w:rsidRPr="00B1563C">
        <w:rPr>
          <w:rFonts w:cstheme="minorHAnsi"/>
        </w:rPr>
        <w:t xml:space="preserve"> Ibid 16. </w:t>
      </w:r>
    </w:p>
  </w:endnote>
  <w:endnote w:id="15">
    <w:p w:rsidR="0007012D" w:rsidRPr="00B1563C" w:rsidRDefault="0007012D">
      <w:pPr>
        <w:pStyle w:val="EndnoteText"/>
        <w:rPr>
          <w:rFonts w:cstheme="minorHAnsi"/>
        </w:rPr>
      </w:pPr>
      <w:r w:rsidRPr="00B1563C">
        <w:rPr>
          <w:rStyle w:val="EndnoteReference"/>
          <w:rFonts w:cstheme="minorHAnsi"/>
        </w:rPr>
        <w:endnoteRef/>
      </w:r>
      <w:r w:rsidRPr="00B1563C">
        <w:rPr>
          <w:rFonts w:cstheme="minorHAnsi"/>
        </w:rPr>
        <w:t xml:space="preserve"> Australian Bureau of Statistics. (2016). 2016 Census Quickstats (22 February 2018) </w:t>
      </w:r>
      <w:r>
        <w:rPr>
          <w:rFonts w:cstheme="minorHAnsi"/>
        </w:rPr>
        <w:t>.</w:t>
      </w:r>
      <w:hyperlink r:id="rId3" w:history="1">
        <w:r w:rsidRPr="004F144D">
          <w:rPr>
            <w:rStyle w:val="Hyperlink"/>
            <w:rFonts w:cstheme="minorHAnsi"/>
          </w:rPr>
          <w:t>http://www.censusdata.abs.gov.au/census_services/getproduct/census/2016/quickstat/036</w:t>
        </w:r>
      </w:hyperlink>
      <w:r w:rsidRPr="00B1563C">
        <w:rPr>
          <w:rFonts w:cstheme="minorHAnsi"/>
        </w:rPr>
        <w:t xml:space="preserve"> .</w:t>
      </w:r>
    </w:p>
  </w:endnote>
  <w:endnote w:id="16">
    <w:p w:rsidR="0007012D" w:rsidRPr="0076498E" w:rsidRDefault="0007012D" w:rsidP="0076498E">
      <w:pPr>
        <w:pStyle w:val="EndnoteText"/>
        <w:rPr>
          <w:b/>
        </w:rPr>
      </w:pPr>
      <w:r>
        <w:rPr>
          <w:rStyle w:val="EndnoteReference"/>
        </w:rPr>
        <w:endnoteRef/>
      </w:r>
      <w:r>
        <w:t xml:space="preserve"> Lixia Qu &amp; Ruth Weston, </w:t>
      </w:r>
      <w:r w:rsidRPr="0076498E">
        <w:rPr>
          <w:i/>
        </w:rPr>
        <w:t>Parenting dynamics after separation: A follow-up study of parents who separated after the 2006 family law reforms</w:t>
      </w:r>
      <w:r>
        <w:t xml:space="preserve"> (2010) Australian Institute of Family Studies, 40 </w:t>
      </w:r>
      <w:hyperlink r:id="rId4" w:history="1">
        <w:r w:rsidRPr="004F144D">
          <w:rPr>
            <w:rStyle w:val="Hyperlink"/>
          </w:rPr>
          <w:t>https://www.ag.gov.au/Publications/Pages/FamiliesProject-SeparatedParentsFinalReports.aspx</w:t>
        </w:r>
      </w:hyperlink>
      <w:r>
        <w:t xml:space="preserve"> .</w:t>
      </w:r>
    </w:p>
  </w:endnote>
  <w:endnote w:id="17">
    <w:p w:rsidR="0007012D" w:rsidRPr="00B1563C" w:rsidRDefault="0007012D" w:rsidP="00DB0CF8">
      <w:pPr>
        <w:pStyle w:val="EndnoteText"/>
        <w:jc w:val="both"/>
        <w:rPr>
          <w:rFonts w:cstheme="minorHAnsi"/>
        </w:rPr>
      </w:pPr>
      <w:r w:rsidRPr="00B1563C">
        <w:rPr>
          <w:rStyle w:val="EndnoteReference"/>
          <w:rFonts w:cstheme="minorHAnsi"/>
        </w:rPr>
        <w:endnoteRef/>
      </w:r>
      <w:r w:rsidRPr="00B1563C">
        <w:rPr>
          <w:rFonts w:cstheme="minorHAnsi"/>
        </w:rPr>
        <w:t xml:space="preserve"> Child Support Agency </w:t>
      </w:r>
      <w:r w:rsidRPr="00B1563C">
        <w:rPr>
          <w:rFonts w:cstheme="minorHAnsi"/>
          <w:i/>
        </w:rPr>
        <w:t>Facts and Figures 2000-2001</w:t>
      </w:r>
      <w:r w:rsidRPr="00B1563C">
        <w:rPr>
          <w:rFonts w:cstheme="minorHAnsi"/>
        </w:rPr>
        <w:t xml:space="preserve"> (2001) Australian Government, 16; Child Support Agency </w:t>
      </w:r>
      <w:r w:rsidRPr="00B1563C">
        <w:rPr>
          <w:rFonts w:cstheme="minorHAnsi"/>
          <w:i/>
        </w:rPr>
        <w:t>Facts and Figures 2001-2002</w:t>
      </w:r>
      <w:r w:rsidRPr="00B1563C">
        <w:rPr>
          <w:rFonts w:cstheme="minorHAnsi"/>
        </w:rPr>
        <w:t xml:space="preserve"> (2002) Australian Government, 16; Child Support Agency </w:t>
      </w:r>
      <w:r w:rsidRPr="00B1563C">
        <w:rPr>
          <w:rFonts w:cstheme="minorHAnsi"/>
          <w:i/>
        </w:rPr>
        <w:t>Facts and Figures 2002-2003</w:t>
      </w:r>
      <w:r w:rsidRPr="00B1563C">
        <w:rPr>
          <w:rFonts w:cstheme="minorHAnsi"/>
        </w:rPr>
        <w:t xml:space="preserve"> (2003) Australian Government, 16; Child Support Agency </w:t>
      </w:r>
      <w:r w:rsidRPr="00B1563C">
        <w:rPr>
          <w:rFonts w:cstheme="minorHAnsi"/>
          <w:i/>
        </w:rPr>
        <w:t>Facts and Figures 2003-2004</w:t>
      </w:r>
      <w:r w:rsidRPr="00B1563C">
        <w:rPr>
          <w:rFonts w:cstheme="minorHAnsi"/>
        </w:rPr>
        <w:t xml:space="preserve"> (2004) Australian Government, 17; Child Support Agency </w:t>
      </w:r>
      <w:r w:rsidRPr="00B1563C">
        <w:rPr>
          <w:rFonts w:cstheme="minorHAnsi"/>
          <w:i/>
        </w:rPr>
        <w:t>Facts and Figures 2004-2005</w:t>
      </w:r>
      <w:r w:rsidRPr="00B1563C">
        <w:rPr>
          <w:rFonts w:cstheme="minorHAnsi"/>
        </w:rPr>
        <w:t xml:space="preserve"> (2005) Australian Government, 22; Child Support Agency </w:t>
      </w:r>
      <w:r w:rsidRPr="00B1563C">
        <w:rPr>
          <w:rFonts w:cstheme="minorHAnsi"/>
          <w:i/>
        </w:rPr>
        <w:t>Facts and Figures 2005-2006</w:t>
      </w:r>
      <w:r w:rsidRPr="00B1563C">
        <w:rPr>
          <w:rFonts w:cstheme="minorHAnsi"/>
        </w:rPr>
        <w:t xml:space="preserve"> (2006) Australian Government, 21;  Child Support Agency </w:t>
      </w:r>
      <w:r w:rsidRPr="00B1563C">
        <w:rPr>
          <w:rFonts w:cstheme="minorHAnsi"/>
          <w:i/>
        </w:rPr>
        <w:t>Facts and Figures 2006-2007</w:t>
      </w:r>
      <w:r w:rsidRPr="00B1563C">
        <w:rPr>
          <w:rFonts w:cstheme="minorHAnsi"/>
        </w:rPr>
        <w:t xml:space="preserve"> (2007) Australian Government, 21;  Child Support Agency </w:t>
      </w:r>
      <w:r w:rsidRPr="00B1563C">
        <w:rPr>
          <w:rFonts w:cstheme="minorHAnsi"/>
          <w:i/>
        </w:rPr>
        <w:t>Facts and Figures 2007-2008</w:t>
      </w:r>
      <w:r w:rsidRPr="00B1563C">
        <w:rPr>
          <w:rFonts w:cstheme="minorHAnsi"/>
        </w:rPr>
        <w:t xml:space="preserve"> (2008) Australian Government, 25; Child Support Agency </w:t>
      </w:r>
      <w:r w:rsidRPr="00B1563C">
        <w:rPr>
          <w:rFonts w:cstheme="minorHAnsi"/>
          <w:i/>
        </w:rPr>
        <w:t>Facts and Figures 2008-2009</w:t>
      </w:r>
      <w:r w:rsidRPr="00B1563C">
        <w:rPr>
          <w:rFonts w:cstheme="minorHAnsi"/>
        </w:rPr>
        <w:t xml:space="preserve"> (2009) Australian Government, 22.</w:t>
      </w:r>
    </w:p>
  </w:endnote>
  <w:endnote w:id="18">
    <w:p w:rsidR="0007012D" w:rsidRPr="00B1563C" w:rsidRDefault="0007012D" w:rsidP="00DB0CF8">
      <w:pPr>
        <w:pStyle w:val="EndnoteText"/>
        <w:jc w:val="both"/>
        <w:rPr>
          <w:rFonts w:cstheme="minorHAnsi"/>
        </w:rPr>
      </w:pPr>
      <w:r w:rsidRPr="00B1563C">
        <w:rPr>
          <w:rStyle w:val="EndnoteReference"/>
          <w:rFonts w:cstheme="minorHAnsi"/>
        </w:rPr>
        <w:endnoteRef/>
      </w:r>
      <w:r w:rsidR="00980F2E">
        <w:rPr>
          <w:rFonts w:cstheme="minorHAnsi"/>
        </w:rPr>
        <w:t xml:space="preserve"> Ibid. </w:t>
      </w:r>
    </w:p>
  </w:endnote>
  <w:endnote w:id="19">
    <w:p w:rsidR="0007012D" w:rsidRPr="00B1563C" w:rsidRDefault="0007012D">
      <w:pPr>
        <w:pStyle w:val="EndnoteText"/>
        <w:rPr>
          <w:rFonts w:cstheme="minorHAnsi"/>
        </w:rPr>
      </w:pPr>
      <w:r w:rsidRPr="00B1563C">
        <w:rPr>
          <w:rStyle w:val="EndnoteReference"/>
          <w:rFonts w:cstheme="minorHAnsi"/>
        </w:rPr>
        <w:endnoteRef/>
      </w:r>
      <w:r w:rsidRPr="00B1563C">
        <w:rPr>
          <w:rFonts w:cstheme="minorHAnsi"/>
        </w:rPr>
        <w:t xml:space="preserve"> See generally </w:t>
      </w:r>
      <w:r w:rsidRPr="00B1563C">
        <w:rPr>
          <w:rFonts w:cstheme="minorHAnsi"/>
          <w:i/>
        </w:rPr>
        <w:t>Child Support Legislation Amendment (Reform of the Child Support Scheme – Initial Measures) Act 2006</w:t>
      </w:r>
      <w:r w:rsidRPr="00B1563C">
        <w:rPr>
          <w:rFonts w:cstheme="minorHAnsi"/>
        </w:rPr>
        <w:t xml:space="preserve"> (Cth); </w:t>
      </w:r>
      <w:r w:rsidRPr="00B1563C">
        <w:rPr>
          <w:rFonts w:cstheme="minorHAnsi"/>
          <w:i/>
        </w:rPr>
        <w:t>Child Support Legislation Amendment (Reform of the Child Support Scheme – New Formula and Other Measures) Act 2006</w:t>
      </w:r>
      <w:r w:rsidRPr="00B1563C">
        <w:rPr>
          <w:rFonts w:cstheme="minorHAnsi"/>
        </w:rPr>
        <w:t xml:space="preserve"> (Cth).</w:t>
      </w:r>
    </w:p>
  </w:endnote>
  <w:endnote w:id="20">
    <w:p w:rsidR="0007012D" w:rsidRPr="00B1563C" w:rsidRDefault="0007012D" w:rsidP="0051315F">
      <w:pPr>
        <w:pStyle w:val="EndnoteText"/>
        <w:jc w:val="both"/>
        <w:rPr>
          <w:rFonts w:cstheme="minorHAnsi"/>
        </w:rPr>
      </w:pPr>
      <w:r w:rsidRPr="00B1563C">
        <w:rPr>
          <w:rStyle w:val="EndnoteReference"/>
          <w:rFonts w:cstheme="minorHAnsi"/>
        </w:rPr>
        <w:endnoteRef/>
      </w:r>
      <w:r w:rsidRPr="00B1563C">
        <w:rPr>
          <w:rFonts w:cstheme="minorHAnsi"/>
        </w:rPr>
        <w:t xml:space="preserve"> Child Support Agency, Department of Human Service</w:t>
      </w:r>
      <w:r w:rsidR="00980F2E">
        <w:rPr>
          <w:rFonts w:cstheme="minorHAnsi"/>
        </w:rPr>
        <w:t>s</w:t>
      </w:r>
      <w:r w:rsidRPr="00B1563C">
        <w:rPr>
          <w:rFonts w:cstheme="minorHAnsi"/>
        </w:rPr>
        <w:t>, Australian Government, Decision on Freedom of Information Application No. LEX 8570, 17 June 2014 [12] (copy available on request).</w:t>
      </w:r>
    </w:p>
  </w:endnote>
  <w:endnote w:id="21">
    <w:p w:rsidR="0007012D" w:rsidRPr="00B1563C" w:rsidRDefault="0007012D" w:rsidP="0051315F">
      <w:pPr>
        <w:pStyle w:val="EndnoteText"/>
        <w:jc w:val="both"/>
        <w:rPr>
          <w:rFonts w:cstheme="minorHAnsi"/>
        </w:rPr>
      </w:pPr>
      <w:r w:rsidRPr="00B1563C">
        <w:rPr>
          <w:rStyle w:val="EndnoteReference"/>
          <w:rFonts w:cstheme="minorHAnsi"/>
        </w:rPr>
        <w:endnoteRef/>
      </w:r>
      <w:r w:rsidRPr="00B1563C">
        <w:rPr>
          <w:rFonts w:cstheme="minorHAnsi"/>
        </w:rPr>
        <w:t xml:space="preserve">  </w:t>
      </w:r>
      <w:r w:rsidR="00980F2E">
        <w:rPr>
          <w:rFonts w:cstheme="minorHAnsi"/>
        </w:rPr>
        <w:t xml:space="preserve">Ibid </w:t>
      </w:r>
      <w:r w:rsidRPr="00B1563C">
        <w:rPr>
          <w:rFonts w:cstheme="minorHAnsi"/>
        </w:rPr>
        <w:t>[13].</w:t>
      </w:r>
    </w:p>
  </w:endnote>
  <w:endnote w:id="22">
    <w:p w:rsidR="0007012D" w:rsidRPr="00B1563C" w:rsidRDefault="0007012D">
      <w:pPr>
        <w:pStyle w:val="EndnoteText"/>
        <w:rPr>
          <w:rFonts w:cstheme="minorHAnsi"/>
        </w:rPr>
      </w:pPr>
      <w:r w:rsidRPr="00B1563C">
        <w:rPr>
          <w:rStyle w:val="EndnoteReference"/>
          <w:rFonts w:cstheme="minorHAnsi"/>
        </w:rPr>
        <w:endnoteRef/>
      </w:r>
      <w:r w:rsidRPr="00B1563C">
        <w:rPr>
          <w:rFonts w:cstheme="minorHAnsi"/>
        </w:rPr>
        <w:t xml:space="preserve"> Australian Government, Department of Human Service</w:t>
      </w:r>
      <w:r w:rsidR="00980F2E">
        <w:rPr>
          <w:rFonts w:cstheme="minorHAnsi"/>
        </w:rPr>
        <w:t>s</w:t>
      </w:r>
      <w:r w:rsidRPr="00B1563C">
        <w:rPr>
          <w:rFonts w:cstheme="minorHAnsi"/>
        </w:rPr>
        <w:t xml:space="preserve">, </w:t>
      </w:r>
      <w:r w:rsidRPr="00B1563C">
        <w:rPr>
          <w:rFonts w:cstheme="minorHAnsi"/>
          <w:i/>
        </w:rPr>
        <w:t>Statistical Information and Data</w:t>
      </w:r>
      <w:r w:rsidRPr="00B1563C">
        <w:rPr>
          <w:rFonts w:cstheme="minorHAnsi"/>
        </w:rPr>
        <w:t xml:space="preserve"> Department of Human Services (11 December 2017) </w:t>
      </w:r>
      <w:hyperlink r:id="rId5" w:anchor="request" w:history="1">
        <w:r w:rsidRPr="00B1563C">
          <w:rPr>
            <w:rStyle w:val="Hyperlink"/>
            <w:rFonts w:cstheme="minorHAnsi"/>
          </w:rPr>
          <w:t>https://www.humanservices.gov.au/organisations/about-us/statistical-information-and-data#request</w:t>
        </w:r>
      </w:hyperlink>
      <w:r w:rsidRPr="00B1563C">
        <w:rPr>
          <w:rFonts w:cstheme="minorHAnsi"/>
        </w:rPr>
        <w:t xml:space="preserve"> </w:t>
      </w:r>
    </w:p>
  </w:endnote>
  <w:endnote w:id="23">
    <w:p w:rsidR="0007012D" w:rsidRPr="00B1563C" w:rsidRDefault="0007012D">
      <w:pPr>
        <w:pStyle w:val="EndnoteText"/>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Child Support (Assessment) Act 1989</w:t>
      </w:r>
      <w:r w:rsidRPr="00B1563C">
        <w:rPr>
          <w:rFonts w:cstheme="minorHAnsi"/>
        </w:rPr>
        <w:t xml:space="preserve"> (Cth) s 55C. </w:t>
      </w:r>
    </w:p>
  </w:endnote>
  <w:endnote w:id="24">
    <w:p w:rsidR="0007012D" w:rsidRPr="00B1563C" w:rsidRDefault="0007012D" w:rsidP="008F1051">
      <w:pPr>
        <w:pStyle w:val="EndnoteText"/>
        <w:rPr>
          <w:rFonts w:cstheme="minorHAnsi"/>
        </w:rPr>
      </w:pPr>
      <w:r w:rsidRPr="00B1563C">
        <w:rPr>
          <w:rStyle w:val="EndnoteReference"/>
          <w:rFonts w:cstheme="minorHAnsi"/>
        </w:rPr>
        <w:endnoteRef/>
      </w:r>
      <w:r w:rsidRPr="00B1563C">
        <w:rPr>
          <w:rFonts w:cstheme="minorHAnsi"/>
        </w:rPr>
        <w:t xml:space="preserve"> Australia Government, </w:t>
      </w:r>
      <w:r w:rsidRPr="00B1563C">
        <w:rPr>
          <w:rFonts w:cstheme="minorHAnsi"/>
          <w:i/>
        </w:rPr>
        <w:t>Child Support Guide Version 4.30 – Care Costs &amp; Child Support Percentages</w:t>
      </w:r>
      <w:r w:rsidRPr="00B1563C">
        <w:rPr>
          <w:rFonts w:cstheme="minorHAnsi"/>
        </w:rPr>
        <w:t xml:space="preserve">, Department of Social Security (21 March 2016) </w:t>
      </w:r>
      <w:hyperlink r:id="rId6" w:history="1">
        <w:r w:rsidRPr="00B1563C">
          <w:rPr>
            <w:rStyle w:val="Hyperlink"/>
            <w:rFonts w:cstheme="minorHAnsi"/>
          </w:rPr>
          <w:t>http://guides.dss.gov.au/child-support-guide/2/4/5</w:t>
        </w:r>
      </w:hyperlink>
      <w:r w:rsidRPr="00B1563C">
        <w:rPr>
          <w:rFonts w:cstheme="minorHAnsi"/>
        </w:rPr>
        <w:t xml:space="preserve"> .</w:t>
      </w:r>
    </w:p>
  </w:endnote>
  <w:endnote w:id="25">
    <w:p w:rsidR="0007012D" w:rsidRPr="00B1563C" w:rsidRDefault="0007012D">
      <w:pPr>
        <w:pStyle w:val="EndnoteText"/>
        <w:rPr>
          <w:rFonts w:cstheme="minorHAnsi"/>
        </w:rPr>
      </w:pPr>
      <w:r w:rsidRPr="00B1563C">
        <w:rPr>
          <w:rStyle w:val="EndnoteReference"/>
          <w:rFonts w:cstheme="minorHAnsi"/>
        </w:rPr>
        <w:endnoteRef/>
      </w:r>
      <w:r w:rsidRPr="00B1563C">
        <w:rPr>
          <w:rFonts w:cstheme="minorHAnsi"/>
        </w:rPr>
        <w:t xml:space="preserve"> Family Court of Australia</w:t>
      </w:r>
      <w:r w:rsidRPr="00B1563C">
        <w:rPr>
          <w:rFonts w:cstheme="minorHAnsi"/>
          <w:i/>
        </w:rPr>
        <w:t xml:space="preserve">, Annual Report 2016-2017 </w:t>
      </w:r>
      <w:r w:rsidRPr="00B1563C">
        <w:rPr>
          <w:rFonts w:cstheme="minorHAnsi"/>
        </w:rPr>
        <w:t xml:space="preserve">(2017) 29. </w:t>
      </w:r>
    </w:p>
  </w:endnote>
  <w:endnote w:id="26">
    <w:p w:rsidR="0007012D" w:rsidRPr="00B1563C" w:rsidRDefault="0007012D">
      <w:pPr>
        <w:pStyle w:val="EndnoteText"/>
        <w:rPr>
          <w:rFonts w:cstheme="minorHAnsi"/>
        </w:rPr>
      </w:pPr>
      <w:r w:rsidRPr="00B1563C">
        <w:rPr>
          <w:rStyle w:val="EndnoteReference"/>
          <w:rFonts w:cstheme="minorHAnsi"/>
        </w:rPr>
        <w:endnoteRef/>
      </w:r>
      <w:r w:rsidRPr="00B1563C">
        <w:rPr>
          <w:rFonts w:cstheme="minorHAnsi"/>
        </w:rPr>
        <w:t xml:space="preserve"> Federal Circuit Court of Australia, </w:t>
      </w:r>
      <w:r w:rsidRPr="00B1563C">
        <w:rPr>
          <w:rFonts w:cstheme="minorHAnsi"/>
          <w:i/>
        </w:rPr>
        <w:t>Protocol for the Division of Work between the Family Court of Australia and the Federal Circuit Court</w:t>
      </w:r>
      <w:r w:rsidRPr="00B1563C">
        <w:rPr>
          <w:rFonts w:cstheme="minorHAnsi"/>
        </w:rPr>
        <w:t xml:space="preserve">, Federal Circuit Court of Australia (12 April 2013) </w:t>
      </w:r>
      <w:hyperlink r:id="rId7" w:history="1">
        <w:r w:rsidRPr="00B1563C">
          <w:rPr>
            <w:rStyle w:val="Hyperlink"/>
            <w:rFonts w:cstheme="minorHAnsi"/>
          </w:rPr>
          <w:t>http://www.federalcircuitcourt.gov.au/wps/wcm/connect/fccweb/about/corporate-information/protocol-for-division-of-work-fcoa-fcc</w:t>
        </w:r>
      </w:hyperlink>
      <w:r w:rsidRPr="00B1563C">
        <w:rPr>
          <w:rFonts w:cstheme="minorHAnsi"/>
        </w:rPr>
        <w:t xml:space="preserve"> </w:t>
      </w:r>
      <w:r w:rsidR="00980F2E">
        <w:rPr>
          <w:rFonts w:cstheme="minorHAnsi"/>
        </w:rPr>
        <w:t>.</w:t>
      </w:r>
    </w:p>
  </w:endnote>
  <w:endnote w:id="27">
    <w:p w:rsidR="0007012D" w:rsidRPr="00B1563C" w:rsidRDefault="0007012D" w:rsidP="001708AA">
      <w:pPr>
        <w:pStyle w:val="EndnoteText"/>
        <w:rPr>
          <w:rFonts w:cstheme="minorHAnsi"/>
        </w:rPr>
      </w:pPr>
      <w:r w:rsidRPr="00B1563C">
        <w:rPr>
          <w:rStyle w:val="EndnoteReference"/>
          <w:rFonts w:cstheme="minorHAnsi"/>
        </w:rPr>
        <w:endnoteRef/>
      </w:r>
      <w:r w:rsidRPr="00B1563C">
        <w:rPr>
          <w:rFonts w:cstheme="minorHAnsi"/>
        </w:rPr>
        <w:t xml:space="preserve"> Family Court of Australia, </w:t>
      </w:r>
      <w:r w:rsidRPr="00B1563C">
        <w:rPr>
          <w:rFonts w:cstheme="minorHAnsi"/>
          <w:i/>
        </w:rPr>
        <w:t>Annual Report 2012-2013</w:t>
      </w:r>
      <w:r w:rsidRPr="00B1563C">
        <w:rPr>
          <w:rFonts w:cstheme="minorHAnsi"/>
        </w:rPr>
        <w:t xml:space="preserve"> (2013) 44.</w:t>
      </w:r>
    </w:p>
  </w:endnote>
  <w:endnote w:id="28">
    <w:p w:rsidR="0007012D" w:rsidRPr="00B1563C" w:rsidRDefault="0007012D" w:rsidP="001708AA">
      <w:pPr>
        <w:pStyle w:val="EndnoteText"/>
        <w:jc w:val="both"/>
        <w:rPr>
          <w:rFonts w:cstheme="minorHAnsi"/>
        </w:rPr>
      </w:pPr>
      <w:r w:rsidRPr="00B1563C">
        <w:rPr>
          <w:rStyle w:val="EndnoteReference"/>
          <w:rFonts w:cstheme="minorHAnsi"/>
        </w:rPr>
        <w:endnoteRef/>
      </w:r>
      <w:r w:rsidRPr="00B1563C">
        <w:rPr>
          <w:rFonts w:cstheme="minorHAnsi"/>
        </w:rPr>
        <w:t xml:space="preserve"> Family Court of Australia, </w:t>
      </w:r>
      <w:r w:rsidRPr="00B1563C">
        <w:rPr>
          <w:rFonts w:cstheme="minorHAnsi"/>
          <w:i/>
        </w:rPr>
        <w:t>Annual Report 2013-2014</w:t>
      </w:r>
      <w:r w:rsidRPr="00B1563C">
        <w:rPr>
          <w:rFonts w:cstheme="minorHAnsi"/>
        </w:rPr>
        <w:t xml:space="preserve"> (2014) 61.</w:t>
      </w:r>
    </w:p>
  </w:endnote>
  <w:endnote w:id="29">
    <w:p w:rsidR="0007012D" w:rsidRPr="00B1563C" w:rsidRDefault="0007012D" w:rsidP="001708AA">
      <w:pPr>
        <w:pStyle w:val="EndnoteText"/>
        <w:rPr>
          <w:rFonts w:cstheme="minorHAnsi"/>
        </w:rPr>
      </w:pPr>
      <w:r w:rsidRPr="00B1563C">
        <w:rPr>
          <w:rStyle w:val="EndnoteReference"/>
          <w:rFonts w:cstheme="minorHAnsi"/>
        </w:rPr>
        <w:endnoteRef/>
      </w:r>
      <w:r w:rsidRPr="00B1563C">
        <w:rPr>
          <w:rFonts w:cstheme="minorHAnsi"/>
        </w:rPr>
        <w:t xml:space="preserve"> Family Court of Australia, </w:t>
      </w:r>
      <w:r w:rsidRPr="00B1563C">
        <w:rPr>
          <w:rFonts w:cstheme="minorHAnsi"/>
          <w:i/>
        </w:rPr>
        <w:t>Annual Report 2014-2015</w:t>
      </w:r>
      <w:r w:rsidRPr="00B1563C">
        <w:rPr>
          <w:rFonts w:cstheme="minorHAnsi"/>
        </w:rPr>
        <w:t xml:space="preserve"> (2015) 55.</w:t>
      </w:r>
    </w:p>
  </w:endnote>
  <w:endnote w:id="30">
    <w:p w:rsidR="0007012D" w:rsidRPr="00B1563C" w:rsidRDefault="0007012D" w:rsidP="001708AA">
      <w:pPr>
        <w:pStyle w:val="EndnoteText"/>
        <w:rPr>
          <w:rFonts w:cstheme="minorHAnsi"/>
        </w:rPr>
      </w:pPr>
      <w:r w:rsidRPr="00B1563C">
        <w:rPr>
          <w:rStyle w:val="EndnoteReference"/>
          <w:rFonts w:cstheme="minorHAnsi"/>
        </w:rPr>
        <w:endnoteRef/>
      </w:r>
      <w:r w:rsidRPr="00B1563C">
        <w:rPr>
          <w:rFonts w:cstheme="minorHAnsi"/>
        </w:rPr>
        <w:t xml:space="preserve"> Federal Circuit Court of Australia,</w:t>
      </w:r>
      <w:r w:rsidRPr="00B1563C">
        <w:rPr>
          <w:rFonts w:cstheme="minorHAnsi"/>
          <w:i/>
        </w:rPr>
        <w:t xml:space="preserve"> Annual Report 2012-2013</w:t>
      </w:r>
      <w:r w:rsidRPr="00B1563C">
        <w:rPr>
          <w:rFonts w:cstheme="minorHAnsi"/>
        </w:rPr>
        <w:t xml:space="preserve"> (2013) 55. </w:t>
      </w:r>
    </w:p>
  </w:endnote>
  <w:endnote w:id="31">
    <w:p w:rsidR="0007012D" w:rsidRPr="00B1563C" w:rsidRDefault="0007012D" w:rsidP="001708AA">
      <w:pPr>
        <w:pStyle w:val="EndnoteText"/>
        <w:rPr>
          <w:rFonts w:cstheme="minorHAnsi"/>
        </w:rPr>
      </w:pPr>
      <w:r w:rsidRPr="00B1563C">
        <w:rPr>
          <w:rStyle w:val="EndnoteReference"/>
          <w:rFonts w:cstheme="minorHAnsi"/>
        </w:rPr>
        <w:endnoteRef/>
      </w:r>
      <w:r w:rsidRPr="00B1563C">
        <w:rPr>
          <w:rFonts w:cstheme="minorHAnsi"/>
        </w:rPr>
        <w:t xml:space="preserve"> Federal Circuit Court of Australia,</w:t>
      </w:r>
      <w:r w:rsidRPr="00B1563C">
        <w:rPr>
          <w:rFonts w:cstheme="minorHAnsi"/>
          <w:i/>
        </w:rPr>
        <w:t xml:space="preserve"> Annual Report 2013-2014</w:t>
      </w:r>
      <w:r w:rsidRPr="00B1563C">
        <w:rPr>
          <w:rFonts w:cstheme="minorHAnsi"/>
        </w:rPr>
        <w:t xml:space="preserve"> (2014) 61.</w:t>
      </w:r>
    </w:p>
  </w:endnote>
  <w:endnote w:id="32">
    <w:p w:rsidR="0007012D" w:rsidRPr="00B1563C" w:rsidRDefault="0007012D" w:rsidP="001708AA">
      <w:pPr>
        <w:pStyle w:val="EndnoteText"/>
        <w:rPr>
          <w:rFonts w:cstheme="minorHAnsi"/>
        </w:rPr>
      </w:pPr>
      <w:r w:rsidRPr="00B1563C">
        <w:rPr>
          <w:rStyle w:val="EndnoteReference"/>
          <w:rFonts w:cstheme="minorHAnsi"/>
        </w:rPr>
        <w:endnoteRef/>
      </w:r>
      <w:r w:rsidRPr="00B1563C">
        <w:rPr>
          <w:rFonts w:cstheme="minorHAnsi"/>
        </w:rPr>
        <w:t xml:space="preserve"> Federal Circuit Court of Australia,</w:t>
      </w:r>
      <w:r w:rsidRPr="00B1563C">
        <w:rPr>
          <w:rFonts w:cstheme="minorHAnsi"/>
          <w:i/>
        </w:rPr>
        <w:t xml:space="preserve"> Annual Report 2014-2015</w:t>
      </w:r>
      <w:r w:rsidRPr="00B1563C">
        <w:rPr>
          <w:rFonts w:cstheme="minorHAnsi"/>
        </w:rPr>
        <w:t xml:space="preserve"> (2015) 68.</w:t>
      </w:r>
    </w:p>
  </w:endnote>
  <w:endnote w:id="33">
    <w:p w:rsidR="0007012D" w:rsidRPr="00B1563C" w:rsidRDefault="0007012D" w:rsidP="00D00292">
      <w:pPr>
        <w:pStyle w:val="EndnoteText"/>
        <w:jc w:val="both"/>
        <w:rPr>
          <w:rFonts w:cstheme="minorHAnsi"/>
        </w:rPr>
      </w:pPr>
      <w:r w:rsidRPr="00B1563C">
        <w:rPr>
          <w:rStyle w:val="EndnoteReference"/>
          <w:rFonts w:cstheme="minorHAnsi"/>
        </w:rPr>
        <w:endnoteRef/>
      </w:r>
      <w:r w:rsidRPr="00B1563C">
        <w:rPr>
          <w:rFonts w:cstheme="minorHAnsi"/>
        </w:rPr>
        <w:t xml:space="preserve"> Federal Circuit Court of Australia,</w:t>
      </w:r>
      <w:r w:rsidRPr="00B1563C">
        <w:rPr>
          <w:rFonts w:cstheme="minorHAnsi"/>
          <w:i/>
        </w:rPr>
        <w:t xml:space="preserve"> Annual Report 2015-2016</w:t>
      </w:r>
      <w:r w:rsidRPr="00B1563C">
        <w:rPr>
          <w:rFonts w:cstheme="minorHAnsi"/>
        </w:rPr>
        <w:t xml:space="preserve"> (2016) 71-72.</w:t>
      </w:r>
    </w:p>
  </w:endnote>
  <w:endnote w:id="34">
    <w:p w:rsidR="0007012D" w:rsidRPr="00B1563C" w:rsidRDefault="0007012D" w:rsidP="00D00292">
      <w:pPr>
        <w:pStyle w:val="EndnoteText"/>
        <w:jc w:val="both"/>
        <w:rPr>
          <w:rFonts w:cstheme="minorHAnsi"/>
        </w:rPr>
      </w:pPr>
      <w:r w:rsidRPr="00B1563C">
        <w:rPr>
          <w:rStyle w:val="EndnoteReference"/>
          <w:rFonts w:cstheme="minorHAnsi"/>
        </w:rPr>
        <w:endnoteRef/>
      </w:r>
      <w:r w:rsidRPr="00B1563C">
        <w:rPr>
          <w:rFonts w:cstheme="minorHAnsi"/>
        </w:rPr>
        <w:t xml:space="preserve"> Family Court of Australia, </w:t>
      </w:r>
      <w:r w:rsidRPr="00B1563C">
        <w:rPr>
          <w:rFonts w:cstheme="minorHAnsi"/>
          <w:i/>
        </w:rPr>
        <w:t>Annual Report 2015-2016</w:t>
      </w:r>
      <w:r w:rsidRPr="00B1563C">
        <w:rPr>
          <w:rFonts w:cstheme="minorHAnsi"/>
        </w:rPr>
        <w:t xml:space="preserve"> (2016) 46.</w:t>
      </w:r>
    </w:p>
  </w:endnote>
  <w:endnote w:id="35">
    <w:p w:rsidR="0007012D" w:rsidRDefault="0007012D">
      <w:pPr>
        <w:pStyle w:val="EndnoteText"/>
      </w:pPr>
      <w:r>
        <w:rPr>
          <w:rStyle w:val="EndnoteReference"/>
        </w:rPr>
        <w:endnoteRef/>
      </w:r>
      <w:r>
        <w:t xml:space="preserve"> </w:t>
      </w:r>
      <w:r w:rsidRPr="00B1563C">
        <w:rPr>
          <w:rFonts w:cstheme="minorHAnsi"/>
        </w:rPr>
        <w:t>Federal Circuit Court of Australia,</w:t>
      </w:r>
      <w:r w:rsidRPr="00B1563C">
        <w:rPr>
          <w:rFonts w:cstheme="minorHAnsi"/>
          <w:i/>
        </w:rPr>
        <w:t xml:space="preserve"> Annual Report 201</w:t>
      </w:r>
      <w:r>
        <w:rPr>
          <w:rFonts w:cstheme="minorHAnsi"/>
          <w:i/>
        </w:rPr>
        <w:t>6</w:t>
      </w:r>
      <w:r w:rsidRPr="00B1563C">
        <w:rPr>
          <w:rFonts w:cstheme="minorHAnsi"/>
          <w:i/>
        </w:rPr>
        <w:t>-201</w:t>
      </w:r>
      <w:r>
        <w:rPr>
          <w:rFonts w:cstheme="minorHAnsi"/>
          <w:i/>
        </w:rPr>
        <w:t>7</w:t>
      </w:r>
      <w:r w:rsidRPr="00B1563C">
        <w:rPr>
          <w:rFonts w:cstheme="minorHAnsi"/>
        </w:rPr>
        <w:t xml:space="preserve"> (201</w:t>
      </w:r>
      <w:r>
        <w:rPr>
          <w:rFonts w:cstheme="minorHAnsi"/>
        </w:rPr>
        <w:t>7</w:t>
      </w:r>
      <w:r w:rsidRPr="00B1563C">
        <w:rPr>
          <w:rFonts w:cstheme="minorHAnsi"/>
        </w:rPr>
        <w:t xml:space="preserve">) </w:t>
      </w:r>
      <w:r>
        <w:t>79.</w:t>
      </w:r>
    </w:p>
  </w:endnote>
  <w:endnote w:id="36">
    <w:p w:rsidR="0007012D" w:rsidRDefault="0007012D">
      <w:pPr>
        <w:pStyle w:val="EndnoteText"/>
      </w:pPr>
      <w:r>
        <w:rPr>
          <w:rStyle w:val="EndnoteReference"/>
        </w:rPr>
        <w:endnoteRef/>
      </w:r>
      <w:r>
        <w:t xml:space="preserve"> </w:t>
      </w:r>
      <w:r w:rsidRPr="00B1563C">
        <w:rPr>
          <w:rFonts w:cstheme="minorHAnsi"/>
        </w:rPr>
        <w:t xml:space="preserve">Family Court of Australia, </w:t>
      </w:r>
      <w:r w:rsidRPr="00B1563C">
        <w:rPr>
          <w:rFonts w:cstheme="minorHAnsi"/>
          <w:i/>
        </w:rPr>
        <w:t>Annual Report 201</w:t>
      </w:r>
      <w:r>
        <w:rPr>
          <w:rFonts w:cstheme="minorHAnsi"/>
          <w:i/>
        </w:rPr>
        <w:t>6</w:t>
      </w:r>
      <w:r w:rsidRPr="00B1563C">
        <w:rPr>
          <w:rFonts w:cstheme="minorHAnsi"/>
          <w:i/>
        </w:rPr>
        <w:t>-201</w:t>
      </w:r>
      <w:r>
        <w:rPr>
          <w:rFonts w:cstheme="minorHAnsi"/>
          <w:i/>
        </w:rPr>
        <w:t>7</w:t>
      </w:r>
      <w:r w:rsidRPr="00B1563C">
        <w:rPr>
          <w:rFonts w:cstheme="minorHAnsi"/>
        </w:rPr>
        <w:t xml:space="preserve"> (201</w:t>
      </w:r>
      <w:r>
        <w:rPr>
          <w:rFonts w:cstheme="minorHAnsi"/>
        </w:rPr>
        <w:t>7</w:t>
      </w:r>
      <w:r w:rsidRPr="00B1563C">
        <w:rPr>
          <w:rFonts w:cstheme="minorHAnsi"/>
        </w:rPr>
        <w:t xml:space="preserve">) </w:t>
      </w:r>
      <w:r>
        <w:t>30.</w:t>
      </w:r>
    </w:p>
  </w:endnote>
  <w:endnote w:id="37">
    <w:p w:rsidR="0007012D" w:rsidRPr="00B1563C" w:rsidRDefault="0007012D" w:rsidP="001708AA">
      <w:pPr>
        <w:pStyle w:val="EndnoteText"/>
        <w:rPr>
          <w:rFonts w:cstheme="minorHAnsi"/>
        </w:rPr>
      </w:pPr>
      <w:r w:rsidRPr="00B1563C">
        <w:rPr>
          <w:rStyle w:val="EndnoteReference"/>
          <w:rFonts w:cstheme="minorHAnsi"/>
        </w:rPr>
        <w:endnoteRef/>
      </w:r>
      <w:r w:rsidRPr="00B1563C">
        <w:rPr>
          <w:rFonts w:cstheme="minorHAnsi"/>
        </w:rPr>
        <w:t xml:space="preserve"> Federal Circuit Court of Australia,</w:t>
      </w:r>
      <w:r w:rsidRPr="00B1563C">
        <w:rPr>
          <w:rFonts w:cstheme="minorHAnsi"/>
          <w:i/>
        </w:rPr>
        <w:t xml:space="preserve"> Annual Report 2015-2016</w:t>
      </w:r>
      <w:r w:rsidRPr="00B1563C">
        <w:rPr>
          <w:rFonts w:cstheme="minorHAnsi"/>
        </w:rPr>
        <w:t xml:space="preserve"> (2016) 54</w:t>
      </w:r>
      <w:r>
        <w:rPr>
          <w:rFonts w:cstheme="minorHAnsi"/>
        </w:rPr>
        <w:t>.</w:t>
      </w:r>
    </w:p>
  </w:endnote>
  <w:endnote w:id="38">
    <w:p w:rsidR="0007012D" w:rsidRPr="00B1563C" w:rsidRDefault="0007012D" w:rsidP="001708AA">
      <w:pPr>
        <w:pStyle w:val="EndnoteText"/>
        <w:rPr>
          <w:rFonts w:cstheme="minorHAnsi"/>
        </w:rPr>
      </w:pPr>
      <w:r w:rsidRPr="00B1563C">
        <w:rPr>
          <w:rStyle w:val="EndnoteReference"/>
          <w:rFonts w:cstheme="minorHAnsi"/>
        </w:rPr>
        <w:endnoteRef/>
      </w:r>
      <w:r w:rsidRPr="00B1563C">
        <w:rPr>
          <w:rFonts w:cstheme="minorHAnsi"/>
        </w:rPr>
        <w:t xml:space="preserve"> Family Court of Australia, </w:t>
      </w:r>
      <w:r w:rsidRPr="00B1563C">
        <w:rPr>
          <w:rFonts w:cstheme="minorHAnsi"/>
          <w:i/>
        </w:rPr>
        <w:t>Annual Report 2015-2016</w:t>
      </w:r>
      <w:r w:rsidRPr="00B1563C">
        <w:rPr>
          <w:rFonts w:cstheme="minorHAnsi"/>
        </w:rPr>
        <w:t xml:space="preserve"> (2016) 44.</w:t>
      </w:r>
    </w:p>
  </w:endnote>
  <w:endnote w:id="39">
    <w:p w:rsidR="0007012D" w:rsidRPr="00B1563C" w:rsidRDefault="0007012D" w:rsidP="002F4778">
      <w:pPr>
        <w:pStyle w:val="EndnoteText"/>
        <w:jc w:val="both"/>
        <w:rPr>
          <w:rFonts w:cstheme="minorHAnsi"/>
        </w:rPr>
      </w:pPr>
      <w:r w:rsidRPr="00B1563C">
        <w:rPr>
          <w:rStyle w:val="EndnoteReference"/>
          <w:rFonts w:cstheme="minorHAnsi"/>
        </w:rPr>
        <w:endnoteRef/>
      </w:r>
      <w:r w:rsidRPr="00B1563C">
        <w:rPr>
          <w:rFonts w:cstheme="minorHAnsi"/>
        </w:rPr>
        <w:t xml:space="preserve"> Family Court of Australia, </w:t>
      </w:r>
      <w:r w:rsidRPr="00B1563C">
        <w:rPr>
          <w:rFonts w:cstheme="minorHAnsi"/>
          <w:i/>
        </w:rPr>
        <w:t>Annual Report 2015-2016</w:t>
      </w:r>
      <w:r w:rsidRPr="00B1563C">
        <w:rPr>
          <w:rFonts w:cstheme="minorHAnsi"/>
        </w:rPr>
        <w:t xml:space="preserve"> (2016) 43.</w:t>
      </w:r>
    </w:p>
  </w:endnote>
  <w:endnote w:id="40">
    <w:p w:rsidR="0007012D" w:rsidRPr="00B1563C" w:rsidRDefault="0007012D" w:rsidP="002F4778">
      <w:pPr>
        <w:pStyle w:val="EndnoteText"/>
        <w:jc w:val="both"/>
        <w:rPr>
          <w:rFonts w:cstheme="minorHAnsi"/>
        </w:rPr>
      </w:pPr>
      <w:r w:rsidRPr="00B1563C">
        <w:rPr>
          <w:rStyle w:val="EndnoteReference"/>
          <w:rFonts w:cstheme="minorHAnsi"/>
        </w:rPr>
        <w:endnoteRef/>
      </w:r>
      <w:r w:rsidRPr="00B1563C">
        <w:rPr>
          <w:rFonts w:cstheme="minorHAnsi"/>
        </w:rPr>
        <w:t xml:space="preserve"> Family Court of Australia, </w:t>
      </w:r>
      <w:r w:rsidRPr="00B1563C">
        <w:rPr>
          <w:rFonts w:cstheme="minorHAnsi"/>
          <w:i/>
        </w:rPr>
        <w:t>Annual Report 2015-2016</w:t>
      </w:r>
      <w:r w:rsidRPr="00B1563C">
        <w:rPr>
          <w:rFonts w:cstheme="minorHAnsi"/>
        </w:rPr>
        <w:t xml:space="preserve"> (2016) 43-44.</w:t>
      </w:r>
    </w:p>
  </w:endnote>
  <w:endnote w:id="41">
    <w:p w:rsidR="0007012D" w:rsidRPr="00B1563C" w:rsidRDefault="0007012D" w:rsidP="002F4778">
      <w:pPr>
        <w:pStyle w:val="EndnoteText"/>
        <w:jc w:val="both"/>
        <w:rPr>
          <w:rFonts w:cstheme="minorHAnsi"/>
        </w:rPr>
      </w:pPr>
      <w:r w:rsidRPr="00B1563C">
        <w:rPr>
          <w:rStyle w:val="EndnoteReference"/>
          <w:rFonts w:cstheme="minorHAnsi"/>
        </w:rPr>
        <w:endnoteRef/>
      </w:r>
      <w:r w:rsidRPr="00B1563C">
        <w:rPr>
          <w:rFonts w:cstheme="minorHAnsi"/>
        </w:rPr>
        <w:t xml:space="preserve"> Federal Circuit Court of Australia,</w:t>
      </w:r>
      <w:r w:rsidRPr="00B1563C">
        <w:rPr>
          <w:rFonts w:cstheme="minorHAnsi"/>
          <w:i/>
        </w:rPr>
        <w:t xml:space="preserve"> Annual Report 2015-2016</w:t>
      </w:r>
      <w:r w:rsidRPr="00B1563C">
        <w:rPr>
          <w:rFonts w:cstheme="minorHAnsi"/>
        </w:rPr>
        <w:t xml:space="preserve"> (2016) 53-54.</w:t>
      </w:r>
    </w:p>
  </w:endnote>
  <w:endnote w:id="42">
    <w:p w:rsidR="0007012D" w:rsidRPr="00B1563C" w:rsidRDefault="0007012D" w:rsidP="002F4778">
      <w:pPr>
        <w:pStyle w:val="EndnoteText"/>
        <w:jc w:val="both"/>
        <w:rPr>
          <w:rFonts w:cstheme="minorHAnsi"/>
        </w:rPr>
      </w:pPr>
      <w:r w:rsidRPr="00B1563C">
        <w:rPr>
          <w:rStyle w:val="EndnoteReference"/>
          <w:rFonts w:cstheme="minorHAnsi"/>
        </w:rPr>
        <w:endnoteRef/>
      </w:r>
      <w:r w:rsidRPr="00B1563C">
        <w:rPr>
          <w:rFonts w:cstheme="minorHAnsi"/>
        </w:rPr>
        <w:t xml:space="preserve"> Ibid.</w:t>
      </w:r>
    </w:p>
  </w:endnote>
  <w:endnote w:id="43">
    <w:p w:rsidR="0007012D" w:rsidRPr="00B1563C" w:rsidRDefault="0007012D" w:rsidP="002F4778">
      <w:pPr>
        <w:pStyle w:val="EndnoteText"/>
        <w:jc w:val="both"/>
        <w:rPr>
          <w:rFonts w:cstheme="minorHAnsi"/>
        </w:rPr>
      </w:pPr>
      <w:r w:rsidRPr="00B1563C">
        <w:rPr>
          <w:rStyle w:val="EndnoteReference"/>
          <w:rFonts w:cstheme="minorHAnsi"/>
        </w:rPr>
        <w:endnoteRef/>
      </w:r>
      <w:r w:rsidRPr="00B1563C">
        <w:rPr>
          <w:rFonts w:cstheme="minorHAnsi"/>
        </w:rPr>
        <w:t xml:space="preserve"> Family Court of Australia, </w:t>
      </w:r>
      <w:r w:rsidRPr="00B1563C">
        <w:rPr>
          <w:rFonts w:cstheme="minorHAnsi"/>
          <w:i/>
        </w:rPr>
        <w:t>Annual Report 2015-2016</w:t>
      </w:r>
      <w:r w:rsidRPr="00B1563C">
        <w:rPr>
          <w:rFonts w:cstheme="minorHAnsi"/>
        </w:rPr>
        <w:t xml:space="preserve"> (2016) 43-44.</w:t>
      </w:r>
    </w:p>
  </w:endnote>
  <w:endnote w:id="44">
    <w:p w:rsidR="0007012D" w:rsidRPr="00B1563C" w:rsidRDefault="0007012D" w:rsidP="00FE11B1">
      <w:pPr>
        <w:pStyle w:val="EndnoteText"/>
        <w:jc w:val="both"/>
        <w:rPr>
          <w:rFonts w:cstheme="minorHAnsi"/>
        </w:rPr>
      </w:pPr>
      <w:r w:rsidRPr="00B1563C">
        <w:rPr>
          <w:rStyle w:val="EndnoteReference"/>
          <w:rFonts w:cstheme="minorHAnsi"/>
        </w:rPr>
        <w:endnoteRef/>
      </w:r>
      <w:r w:rsidRPr="00B1563C">
        <w:rPr>
          <w:rFonts w:cstheme="minorHAnsi"/>
        </w:rPr>
        <w:t xml:space="preserve"> See generally </w:t>
      </w:r>
      <w:r w:rsidRPr="00B1563C">
        <w:rPr>
          <w:rFonts w:cstheme="minorHAnsi"/>
          <w:i/>
        </w:rPr>
        <w:t>Family Law Act 1975</w:t>
      </w:r>
      <w:r w:rsidRPr="00B1563C">
        <w:rPr>
          <w:rFonts w:cstheme="minorHAnsi"/>
        </w:rPr>
        <w:t xml:space="preserve"> (Cth) ss 60H,60HA, 60HB.</w:t>
      </w:r>
    </w:p>
  </w:endnote>
  <w:endnote w:id="45">
    <w:p w:rsidR="0007012D" w:rsidRPr="00B1563C" w:rsidRDefault="0007012D" w:rsidP="00FE11B1">
      <w:pPr>
        <w:pStyle w:val="EndnoteText"/>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Family Law Act 1975</w:t>
      </w:r>
      <w:r w:rsidRPr="00B1563C">
        <w:rPr>
          <w:rFonts w:cstheme="minorHAnsi"/>
        </w:rPr>
        <w:t xml:space="preserve"> (Cth) s 60B(1)(a). </w:t>
      </w:r>
    </w:p>
  </w:endnote>
  <w:endnote w:id="46">
    <w:p w:rsidR="0007012D" w:rsidRPr="00B1563C" w:rsidRDefault="0007012D" w:rsidP="00FE11B1">
      <w:pPr>
        <w:pStyle w:val="EndnoteText"/>
        <w:jc w:val="both"/>
        <w:rPr>
          <w:rFonts w:cstheme="minorHAnsi"/>
        </w:rPr>
      </w:pPr>
      <w:r w:rsidRPr="00B1563C">
        <w:rPr>
          <w:rStyle w:val="EndnoteReference"/>
          <w:rFonts w:cstheme="minorHAnsi"/>
        </w:rPr>
        <w:endnoteRef/>
      </w:r>
      <w:r w:rsidRPr="00B1563C">
        <w:rPr>
          <w:rFonts w:cstheme="minorHAnsi"/>
        </w:rPr>
        <w:t xml:space="preserve"> Marygold Melli</w:t>
      </w:r>
      <w:r w:rsidR="00980F2E">
        <w:rPr>
          <w:rFonts w:cstheme="minorHAnsi"/>
        </w:rPr>
        <w:t>,</w:t>
      </w:r>
      <w:r w:rsidRPr="00B1563C">
        <w:rPr>
          <w:rFonts w:cstheme="minorHAnsi"/>
        </w:rPr>
        <w:t xml:space="preserve"> ‘Whatever Happened to Divorce?’ (2000) </w:t>
      </w:r>
      <w:r w:rsidRPr="00B1563C">
        <w:rPr>
          <w:rFonts w:cstheme="minorHAnsi"/>
          <w:i/>
        </w:rPr>
        <w:t xml:space="preserve">Wisconsin Law Review </w:t>
      </w:r>
      <w:r w:rsidRPr="00B1563C">
        <w:rPr>
          <w:rFonts w:cstheme="minorHAnsi"/>
        </w:rPr>
        <w:t xml:space="preserve">637, 638; see also Patrick Parkinson, </w:t>
      </w:r>
      <w:r w:rsidRPr="00B1563C">
        <w:rPr>
          <w:rFonts w:cstheme="minorHAnsi"/>
          <w:i/>
        </w:rPr>
        <w:t>Family Law and the Indissolubility of Parenthood</w:t>
      </w:r>
      <w:r w:rsidRPr="00B1563C">
        <w:rPr>
          <w:rFonts w:cstheme="minorHAnsi"/>
        </w:rPr>
        <w:t xml:space="preserve"> (Cambridge, 2011) 277</w:t>
      </w:r>
      <w:r w:rsidR="00980F2E">
        <w:rPr>
          <w:rFonts w:cstheme="minorHAnsi"/>
        </w:rPr>
        <w:t>.</w:t>
      </w:r>
    </w:p>
  </w:endnote>
  <w:endnote w:id="47">
    <w:p w:rsidR="0007012D" w:rsidRPr="00B1563C" w:rsidRDefault="0007012D" w:rsidP="00FE11B1">
      <w:pPr>
        <w:pStyle w:val="EndnoteText"/>
        <w:rPr>
          <w:rFonts w:cstheme="minorHAnsi"/>
          <w:i/>
        </w:rPr>
      </w:pPr>
      <w:r w:rsidRPr="00B1563C">
        <w:rPr>
          <w:rStyle w:val="EndnoteReference"/>
          <w:rFonts w:cstheme="minorHAnsi"/>
        </w:rPr>
        <w:endnoteRef/>
      </w:r>
      <w:r w:rsidRPr="00B1563C">
        <w:rPr>
          <w:rFonts w:cstheme="minorHAnsi"/>
        </w:rPr>
        <w:t xml:space="preserve"> </w:t>
      </w:r>
      <w:r w:rsidRPr="00B1563C">
        <w:rPr>
          <w:rFonts w:cstheme="minorHAnsi"/>
          <w:i/>
        </w:rPr>
        <w:t>Child Support (Assessment) Act</w:t>
      </w:r>
      <w:r w:rsidRPr="00B1563C">
        <w:rPr>
          <w:rFonts w:cstheme="minorHAnsi"/>
        </w:rPr>
        <w:t xml:space="preserve"> </w:t>
      </w:r>
      <w:r w:rsidRPr="00B1563C">
        <w:rPr>
          <w:rFonts w:cstheme="minorHAnsi"/>
          <w:i/>
        </w:rPr>
        <w:t>1989</w:t>
      </w:r>
      <w:r w:rsidRPr="00B1563C">
        <w:rPr>
          <w:rFonts w:cstheme="minorHAnsi"/>
        </w:rPr>
        <w:t xml:space="preserve"> (Cth) s 12(1)(c).</w:t>
      </w:r>
    </w:p>
  </w:endnote>
  <w:endnote w:id="48">
    <w:p w:rsidR="0007012D" w:rsidRPr="00B1563C" w:rsidRDefault="0007012D" w:rsidP="00FE11B1">
      <w:pPr>
        <w:pStyle w:val="EndnoteText"/>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Family Law Act 1975</w:t>
      </w:r>
      <w:r w:rsidRPr="00B1563C">
        <w:rPr>
          <w:rFonts w:cstheme="minorHAnsi"/>
        </w:rPr>
        <w:t xml:space="preserve"> (Cth) s 66L.</w:t>
      </w:r>
    </w:p>
  </w:endnote>
  <w:endnote w:id="49">
    <w:p w:rsidR="0007012D" w:rsidRPr="00B1563C" w:rsidRDefault="0007012D" w:rsidP="00FE11B1">
      <w:pPr>
        <w:pStyle w:val="EndnoteText"/>
        <w:jc w:val="both"/>
        <w:rPr>
          <w:rFonts w:cstheme="minorHAnsi"/>
        </w:rPr>
      </w:pPr>
      <w:r w:rsidRPr="00B1563C">
        <w:rPr>
          <w:rStyle w:val="EndnoteReference"/>
          <w:rFonts w:cstheme="minorHAnsi"/>
        </w:rPr>
        <w:endnoteRef/>
      </w:r>
      <w:r w:rsidRPr="00B1563C">
        <w:rPr>
          <w:rFonts w:cstheme="minorHAnsi"/>
        </w:rPr>
        <w:t xml:space="preserve"> See, eg, Law Reform Commission,</w:t>
      </w:r>
      <w:r w:rsidRPr="00B1563C">
        <w:rPr>
          <w:rFonts w:cstheme="minorHAnsi"/>
          <w:i/>
        </w:rPr>
        <w:t xml:space="preserve"> Matrimonial</w:t>
      </w:r>
      <w:r w:rsidRPr="00B1563C">
        <w:rPr>
          <w:rFonts w:cstheme="minorHAnsi"/>
        </w:rPr>
        <w:t xml:space="preserve"> </w:t>
      </w:r>
      <w:r w:rsidRPr="00B1563C">
        <w:rPr>
          <w:rFonts w:cstheme="minorHAnsi"/>
          <w:i/>
        </w:rPr>
        <w:t>Property,</w:t>
      </w:r>
      <w:r w:rsidRPr="00B1563C">
        <w:rPr>
          <w:rFonts w:cstheme="minorHAnsi"/>
        </w:rPr>
        <w:t xml:space="preserve"> Report No 39 (1987) [350].</w:t>
      </w:r>
    </w:p>
  </w:endnote>
  <w:endnote w:id="50">
    <w:p w:rsidR="0007012D" w:rsidRPr="00B1563C" w:rsidRDefault="0007012D" w:rsidP="00FE11B1">
      <w:pPr>
        <w:pStyle w:val="EndnoteText"/>
        <w:jc w:val="both"/>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Family Law Amendment (De Facto Financial Matters and Other Measures) Act 2008</w:t>
      </w:r>
      <w:r w:rsidRPr="00B1563C">
        <w:rPr>
          <w:rFonts w:cstheme="minorHAnsi"/>
        </w:rPr>
        <w:t xml:space="preserve"> (Cth).</w:t>
      </w:r>
    </w:p>
  </w:endnote>
  <w:endnote w:id="51">
    <w:p w:rsidR="0007012D" w:rsidRPr="00B1563C" w:rsidRDefault="0007012D" w:rsidP="0093477B">
      <w:pPr>
        <w:pStyle w:val="EndnoteText"/>
        <w:rPr>
          <w:rFonts w:cstheme="minorHAnsi"/>
        </w:rPr>
      </w:pPr>
      <w:r w:rsidRPr="00B1563C">
        <w:rPr>
          <w:rStyle w:val="EndnoteReference"/>
          <w:rFonts w:cstheme="minorHAnsi"/>
        </w:rPr>
        <w:endnoteRef/>
      </w:r>
      <w:r w:rsidRPr="00B1563C">
        <w:rPr>
          <w:rFonts w:cstheme="minorHAnsi"/>
        </w:rPr>
        <w:t xml:space="preserve"> Australian Bureau of Statistics. (2012). Australian Social Trends, Data Cube - Family and Community: Table 1 - Family and community, National Summary 1998–2012 (4102.0). Retrieved from </w:t>
      </w:r>
      <w:hyperlink r:id="rId8" w:anchor="Data" w:history="1">
        <w:r w:rsidRPr="00B1563C">
          <w:rPr>
            <w:rFonts w:cstheme="minorHAnsi"/>
            <w:u w:val="single"/>
          </w:rPr>
          <w:t>http://www.abs.gov.au/AUSSTATS/abs@.nsf/DetailsPage/4102.0Dec%202012?OpenDocument#Data</w:t>
        </w:r>
      </w:hyperlink>
      <w:r w:rsidRPr="00B1563C">
        <w:rPr>
          <w:rFonts w:cstheme="minorHAnsi"/>
        </w:rPr>
        <w:t xml:space="preserve">. </w:t>
      </w:r>
    </w:p>
  </w:endnote>
  <w:endnote w:id="52">
    <w:p w:rsidR="0007012D" w:rsidRPr="00B1563C" w:rsidRDefault="0007012D" w:rsidP="00FE11B1">
      <w:pPr>
        <w:pStyle w:val="EndnoteText"/>
        <w:rPr>
          <w:rFonts w:cstheme="minorHAnsi"/>
        </w:rPr>
      </w:pPr>
      <w:r w:rsidRPr="00B1563C">
        <w:rPr>
          <w:rStyle w:val="EndnoteReference"/>
          <w:rFonts w:cstheme="minorHAnsi"/>
        </w:rPr>
        <w:endnoteRef/>
      </w:r>
      <w:r w:rsidRPr="00B1563C">
        <w:rPr>
          <w:rFonts w:cstheme="minorHAnsi"/>
        </w:rPr>
        <w:t xml:space="preserve"> Australian Institute of Family Studies, </w:t>
      </w:r>
      <w:r w:rsidRPr="00B1563C">
        <w:rPr>
          <w:rFonts w:cstheme="minorHAnsi"/>
          <w:i/>
        </w:rPr>
        <w:t xml:space="preserve">Births in Australia Source Data </w:t>
      </w:r>
      <w:r w:rsidRPr="00B1563C">
        <w:rPr>
          <w:rFonts w:cstheme="minorHAnsi"/>
        </w:rPr>
        <w:t xml:space="preserve">(2016) Australian Institute of Family Studies </w:t>
      </w:r>
      <w:hyperlink r:id="rId9" w:anchor="exnuptial" w:history="1">
        <w:r w:rsidRPr="0093477B">
          <w:rPr>
            <w:rFonts w:cstheme="minorHAnsi"/>
            <w:u w:val="single"/>
          </w:rPr>
          <w:t>https://aifs.gov.au/facts-and-figures/births-australia/births-australia-source-data#exnuptial</w:t>
        </w:r>
      </w:hyperlink>
      <w:r w:rsidR="0093477B">
        <w:rPr>
          <w:rFonts w:cstheme="minorHAnsi"/>
        </w:rPr>
        <w:t xml:space="preserve"> </w:t>
      </w:r>
      <w:r w:rsidRPr="00B1563C">
        <w:rPr>
          <w:rFonts w:cstheme="minorHAnsi"/>
        </w:rPr>
        <w:t>.</w:t>
      </w:r>
    </w:p>
  </w:endnote>
  <w:endnote w:id="53">
    <w:p w:rsidR="0007012D" w:rsidRPr="00B1563C" w:rsidRDefault="0007012D" w:rsidP="00FE11B1">
      <w:pPr>
        <w:pStyle w:val="EndnoteText"/>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Family Law Act 1975</w:t>
      </w:r>
      <w:r w:rsidRPr="00B1563C">
        <w:rPr>
          <w:rFonts w:cstheme="minorHAnsi"/>
        </w:rPr>
        <w:t xml:space="preserve"> (Cth) s 4AA; cf </w:t>
      </w:r>
      <w:r w:rsidRPr="00B1563C">
        <w:rPr>
          <w:rFonts w:cstheme="minorHAnsi"/>
          <w:i/>
        </w:rPr>
        <w:t>Marriage Act 1961</w:t>
      </w:r>
      <w:r w:rsidRPr="00B1563C">
        <w:rPr>
          <w:rFonts w:cstheme="minorHAnsi"/>
        </w:rPr>
        <w:t xml:space="preserve">(Cth) s 5 definition ‘marriage’. </w:t>
      </w:r>
    </w:p>
  </w:endnote>
  <w:endnote w:id="54">
    <w:p w:rsidR="0007012D" w:rsidRPr="003E296A" w:rsidRDefault="0007012D">
      <w:pPr>
        <w:pStyle w:val="EndnoteText"/>
      </w:pPr>
      <w:r>
        <w:rPr>
          <w:rStyle w:val="EndnoteReference"/>
        </w:rPr>
        <w:endnoteRef/>
      </w:r>
      <w:r>
        <w:t xml:space="preserve"> Ibid s 90SB. </w:t>
      </w:r>
    </w:p>
  </w:endnote>
  <w:endnote w:id="55">
    <w:p w:rsidR="0007012D" w:rsidRPr="00B1563C" w:rsidRDefault="0007012D" w:rsidP="00FE11B1">
      <w:pPr>
        <w:pStyle w:val="EndnoteText"/>
        <w:jc w:val="both"/>
        <w:rPr>
          <w:rFonts w:cstheme="minorHAnsi"/>
        </w:rPr>
      </w:pPr>
      <w:r w:rsidRPr="00B1563C">
        <w:rPr>
          <w:rStyle w:val="EndnoteReference"/>
          <w:rFonts w:cstheme="minorHAnsi"/>
        </w:rPr>
        <w:endnoteRef/>
      </w:r>
      <w:r w:rsidRPr="00B1563C">
        <w:rPr>
          <w:rFonts w:cstheme="minorHAnsi"/>
        </w:rPr>
        <w:t xml:space="preserve"> Genevieve Heard and Dharmalingam Arunachalam (eds), </w:t>
      </w:r>
      <w:r w:rsidRPr="00B1563C">
        <w:rPr>
          <w:rFonts w:cstheme="minorHAnsi"/>
          <w:i/>
        </w:rPr>
        <w:t>Family Formation in 21</w:t>
      </w:r>
      <w:r w:rsidRPr="00B1563C">
        <w:rPr>
          <w:rFonts w:cstheme="minorHAnsi"/>
          <w:i/>
          <w:vertAlign w:val="superscript"/>
        </w:rPr>
        <w:t>st</w:t>
      </w:r>
      <w:r w:rsidRPr="00B1563C">
        <w:rPr>
          <w:rFonts w:cstheme="minorHAnsi"/>
          <w:i/>
        </w:rPr>
        <w:t xml:space="preserve"> Century Australia</w:t>
      </w:r>
      <w:r w:rsidRPr="00B1563C">
        <w:rPr>
          <w:rFonts w:cstheme="minorHAnsi"/>
        </w:rPr>
        <w:t xml:space="preserve"> (Springer, 2015). </w:t>
      </w:r>
    </w:p>
  </w:endnote>
  <w:endnote w:id="56">
    <w:p w:rsidR="0007012D" w:rsidRPr="00B1563C" w:rsidRDefault="0007012D" w:rsidP="00FE11B1">
      <w:pPr>
        <w:pStyle w:val="EndnoteText"/>
        <w:jc w:val="both"/>
        <w:rPr>
          <w:rFonts w:cstheme="minorHAnsi"/>
        </w:rPr>
      </w:pPr>
      <w:r w:rsidRPr="00B1563C">
        <w:rPr>
          <w:rStyle w:val="EndnoteReference"/>
          <w:rFonts w:cstheme="minorHAnsi"/>
        </w:rPr>
        <w:endnoteRef/>
      </w:r>
      <w:r w:rsidRPr="00B1563C">
        <w:rPr>
          <w:rFonts w:cstheme="minorHAnsi"/>
        </w:rPr>
        <w:t xml:space="preserve"> Belinda Hewitt and Janeen Baxter, ‘Relationship Dissolution’ in Genevieve Heard and Dharmalingam Arunachalam (eds), </w:t>
      </w:r>
      <w:r w:rsidRPr="00B1563C">
        <w:rPr>
          <w:rFonts w:cstheme="minorHAnsi"/>
          <w:i/>
        </w:rPr>
        <w:t>Family Formation in 21</w:t>
      </w:r>
      <w:r w:rsidRPr="00B1563C">
        <w:rPr>
          <w:rFonts w:cstheme="minorHAnsi"/>
          <w:i/>
          <w:vertAlign w:val="superscript"/>
        </w:rPr>
        <w:t>st</w:t>
      </w:r>
      <w:r w:rsidRPr="00B1563C">
        <w:rPr>
          <w:rFonts w:cstheme="minorHAnsi"/>
          <w:i/>
        </w:rPr>
        <w:t xml:space="preserve"> Century Australia</w:t>
      </w:r>
      <w:r w:rsidRPr="00B1563C">
        <w:rPr>
          <w:rFonts w:cstheme="minorHAnsi"/>
        </w:rPr>
        <w:t xml:space="preserve"> (Springer, 2015) 85.</w:t>
      </w:r>
    </w:p>
  </w:endnote>
  <w:endnote w:id="57">
    <w:p w:rsidR="0007012D" w:rsidRPr="00B1563C" w:rsidRDefault="0007012D">
      <w:pPr>
        <w:pStyle w:val="EndnoteText"/>
        <w:rPr>
          <w:rFonts w:cstheme="minorHAnsi"/>
        </w:rPr>
      </w:pPr>
      <w:r w:rsidRPr="00B1563C">
        <w:rPr>
          <w:rStyle w:val="EndnoteReference"/>
          <w:rFonts w:cstheme="minorHAnsi"/>
        </w:rPr>
        <w:endnoteRef/>
      </w:r>
      <w:r w:rsidRPr="00B1563C">
        <w:rPr>
          <w:rFonts w:cstheme="minorHAnsi"/>
        </w:rPr>
        <w:t xml:space="preserve"> Issues Paper Page 20. </w:t>
      </w:r>
    </w:p>
  </w:endnote>
  <w:endnote w:id="58">
    <w:p w:rsidR="0007012D" w:rsidRPr="00B1563C" w:rsidRDefault="0007012D" w:rsidP="00323F11">
      <w:pPr>
        <w:pStyle w:val="EndnoteText"/>
        <w:jc w:val="both"/>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Family Law Act 1975</w:t>
      </w:r>
      <w:r w:rsidRPr="00B1563C">
        <w:rPr>
          <w:rFonts w:cstheme="minorHAnsi"/>
        </w:rPr>
        <w:t xml:space="preserve"> (Cth) s 60B(4); See also </w:t>
      </w:r>
      <w:r w:rsidRPr="00B1563C">
        <w:rPr>
          <w:rFonts w:cstheme="minorHAnsi"/>
          <w:i/>
        </w:rPr>
        <w:t>Family Law Legislation Amendment (Family Violence and Other Measures) Act 2011</w:t>
      </w:r>
      <w:r w:rsidRPr="00B1563C">
        <w:rPr>
          <w:rFonts w:cstheme="minorHAnsi"/>
        </w:rPr>
        <w:t xml:space="preserve"> (Cth) sch. 1.</w:t>
      </w:r>
    </w:p>
  </w:endnote>
  <w:endnote w:id="59">
    <w:p w:rsidR="0007012D" w:rsidRPr="00B1563C" w:rsidRDefault="0007012D" w:rsidP="00DA077A">
      <w:pPr>
        <w:pStyle w:val="EndnoteText"/>
        <w:jc w:val="both"/>
        <w:rPr>
          <w:rFonts w:cstheme="minorHAnsi"/>
        </w:rPr>
      </w:pPr>
      <w:r w:rsidRPr="00B1563C">
        <w:rPr>
          <w:rStyle w:val="EndnoteReference"/>
          <w:rFonts w:cstheme="minorHAnsi"/>
        </w:rPr>
        <w:endnoteRef/>
      </w:r>
      <w:r w:rsidRPr="00B1563C">
        <w:rPr>
          <w:rFonts w:cstheme="minorHAnsi"/>
        </w:rPr>
        <w:t xml:space="preserve"> See, eg, Anthony Dickey, ‘The Moral Justification for Alteration of Property Interests Under the Family Law Act’ (1988) 11 </w:t>
      </w:r>
      <w:r w:rsidRPr="00B1563C">
        <w:rPr>
          <w:rFonts w:cstheme="minorHAnsi"/>
          <w:i/>
        </w:rPr>
        <w:t>University of New South Wales Law Journal</w:t>
      </w:r>
      <w:r w:rsidRPr="00B1563C">
        <w:rPr>
          <w:rFonts w:cstheme="minorHAnsi"/>
        </w:rPr>
        <w:t xml:space="preserve"> 158, Stephen Parker and Peter Drahos, ‘Closer to a Critical Theory of Family Law’ (1990) </w:t>
      </w:r>
      <w:r w:rsidRPr="00B1563C">
        <w:rPr>
          <w:rFonts w:cstheme="minorHAnsi"/>
          <w:i/>
        </w:rPr>
        <w:t>Australian Journal of Family Law</w:t>
      </w:r>
      <w:r w:rsidRPr="00B1563C">
        <w:rPr>
          <w:rFonts w:cstheme="minorHAnsi"/>
        </w:rPr>
        <w:t xml:space="preserve"> 159, Stephen Parker, ‘Rights and utility in Anglo-Australian Family Law’ (1992) 55 </w:t>
      </w:r>
      <w:r w:rsidRPr="00B1563C">
        <w:rPr>
          <w:rFonts w:cstheme="minorHAnsi"/>
          <w:i/>
        </w:rPr>
        <w:t>Modern Law Review</w:t>
      </w:r>
      <w:r w:rsidRPr="00B1563C">
        <w:rPr>
          <w:rFonts w:cstheme="minorHAnsi"/>
        </w:rPr>
        <w:t xml:space="preserve"> 311, John Dewar, ‘The Normal Chaos of Family Law’’ (1998) 61(4) </w:t>
      </w:r>
      <w:r w:rsidRPr="00B1563C">
        <w:rPr>
          <w:rFonts w:cstheme="minorHAnsi"/>
          <w:i/>
        </w:rPr>
        <w:t>Modern Law Review</w:t>
      </w:r>
      <w:r w:rsidRPr="00B1563C">
        <w:rPr>
          <w:rFonts w:cstheme="minorHAnsi"/>
        </w:rPr>
        <w:t xml:space="preserve"> 467, John Dewar, ‘Family Law and its Discontents’ (2000) 14 </w:t>
      </w:r>
      <w:r w:rsidRPr="00B1563C">
        <w:rPr>
          <w:rFonts w:cstheme="minorHAnsi"/>
          <w:i/>
        </w:rPr>
        <w:t xml:space="preserve">International Journal of Law, Policy and the Family </w:t>
      </w:r>
      <w:r w:rsidRPr="00B1563C">
        <w:rPr>
          <w:rFonts w:cstheme="minorHAnsi"/>
        </w:rPr>
        <w:t>59.</w:t>
      </w:r>
    </w:p>
  </w:endnote>
  <w:endnote w:id="60">
    <w:p w:rsidR="0007012D" w:rsidRPr="00B1563C" w:rsidRDefault="0007012D" w:rsidP="00DA077A">
      <w:pPr>
        <w:spacing w:after="0" w:line="240" w:lineRule="auto"/>
        <w:jc w:val="both"/>
        <w:rPr>
          <w:rFonts w:cstheme="minorHAnsi"/>
          <w:sz w:val="20"/>
          <w:szCs w:val="20"/>
        </w:rPr>
      </w:pPr>
      <w:r w:rsidRPr="00B1563C">
        <w:rPr>
          <w:rStyle w:val="EndnoteReference"/>
          <w:rFonts w:cstheme="minorHAnsi"/>
          <w:sz w:val="20"/>
          <w:szCs w:val="20"/>
        </w:rPr>
        <w:endnoteRef/>
      </w:r>
      <w:r w:rsidRPr="00B1563C">
        <w:rPr>
          <w:rFonts w:cstheme="minorHAnsi"/>
          <w:sz w:val="20"/>
          <w:szCs w:val="20"/>
        </w:rPr>
        <w:t xml:space="preserve"> Pamela Symes, ‘Indissolubility and the Clean Break’ (1985) 48 </w:t>
      </w:r>
      <w:r w:rsidRPr="00B1563C">
        <w:rPr>
          <w:rFonts w:cstheme="minorHAnsi"/>
          <w:i/>
          <w:sz w:val="20"/>
          <w:szCs w:val="20"/>
        </w:rPr>
        <w:t>Modern Law Review</w:t>
      </w:r>
      <w:r w:rsidRPr="00B1563C">
        <w:rPr>
          <w:rFonts w:cstheme="minorHAnsi"/>
          <w:sz w:val="20"/>
          <w:szCs w:val="20"/>
        </w:rPr>
        <w:t xml:space="preserve"> 44, 57.</w:t>
      </w:r>
    </w:p>
  </w:endnote>
  <w:endnote w:id="61">
    <w:p w:rsidR="0007012D" w:rsidRPr="00B1563C" w:rsidRDefault="0007012D" w:rsidP="00DA077A">
      <w:pPr>
        <w:pStyle w:val="EndnoteText"/>
        <w:jc w:val="both"/>
        <w:rPr>
          <w:rFonts w:cstheme="minorHAnsi"/>
        </w:rPr>
      </w:pPr>
      <w:r w:rsidRPr="00B1563C">
        <w:rPr>
          <w:rStyle w:val="EndnoteReference"/>
          <w:rFonts w:cstheme="minorHAnsi"/>
        </w:rPr>
        <w:endnoteRef/>
      </w:r>
      <w:r w:rsidRPr="00B1563C">
        <w:rPr>
          <w:rFonts w:cstheme="minorHAnsi"/>
        </w:rPr>
        <w:t xml:space="preserve"> Anthony Dickey, ‘The Moral Justification for Alteration of Property Interests Under the Family Law Act’ (1988) 11 </w:t>
      </w:r>
      <w:r w:rsidRPr="00B1563C">
        <w:rPr>
          <w:rFonts w:cstheme="minorHAnsi"/>
          <w:i/>
        </w:rPr>
        <w:t>University of New South Wales Law Journal</w:t>
      </w:r>
      <w:r w:rsidRPr="00B1563C">
        <w:rPr>
          <w:rFonts w:cstheme="minorHAnsi"/>
        </w:rPr>
        <w:t xml:space="preserve"> 158, 162.</w:t>
      </w:r>
    </w:p>
  </w:endnote>
  <w:endnote w:id="62">
    <w:p w:rsidR="0007012D" w:rsidRPr="00B1563C" w:rsidRDefault="0007012D" w:rsidP="00DA077A">
      <w:pPr>
        <w:pStyle w:val="EndnoteText"/>
        <w:jc w:val="both"/>
        <w:rPr>
          <w:rFonts w:cstheme="minorHAnsi"/>
        </w:rPr>
      </w:pPr>
      <w:r w:rsidRPr="00B1563C">
        <w:rPr>
          <w:rStyle w:val="EndnoteReference"/>
          <w:rFonts w:cstheme="minorHAnsi"/>
        </w:rPr>
        <w:endnoteRef/>
      </w:r>
      <w:r w:rsidRPr="00B1563C">
        <w:rPr>
          <w:rFonts w:cstheme="minorHAnsi"/>
        </w:rPr>
        <w:t xml:space="preserve"> John Dewar, ‘Reducing Discretion in Family Law’ (1997) </w:t>
      </w:r>
      <w:r w:rsidRPr="00B1563C">
        <w:rPr>
          <w:rFonts w:cstheme="minorHAnsi"/>
          <w:i/>
        </w:rPr>
        <w:t xml:space="preserve">Australian Journal of Family Law </w:t>
      </w:r>
      <w:r w:rsidRPr="00B1563C">
        <w:rPr>
          <w:rFonts w:cstheme="minorHAnsi"/>
        </w:rPr>
        <w:t>309, 316.</w:t>
      </w:r>
    </w:p>
  </w:endnote>
  <w:endnote w:id="63">
    <w:p w:rsidR="0007012D" w:rsidRPr="00B1563C" w:rsidRDefault="0007012D" w:rsidP="00DA077A">
      <w:pPr>
        <w:pStyle w:val="EndnoteText"/>
        <w:jc w:val="both"/>
        <w:rPr>
          <w:rFonts w:cstheme="minorHAnsi"/>
        </w:rPr>
      </w:pPr>
      <w:r w:rsidRPr="00B1563C">
        <w:rPr>
          <w:rStyle w:val="EndnoteReference"/>
          <w:rFonts w:cstheme="minorHAnsi"/>
        </w:rPr>
        <w:endnoteRef/>
      </w:r>
      <w:r w:rsidRPr="00B1563C">
        <w:rPr>
          <w:rFonts w:cstheme="minorHAnsi"/>
        </w:rPr>
        <w:t xml:space="preserve"> Patrick Parkinson, ‘The Diminishing Significance of Initial Contributions to Property’ (1999) 13(1) </w:t>
      </w:r>
      <w:r w:rsidRPr="00B1563C">
        <w:rPr>
          <w:rFonts w:cstheme="minorHAnsi"/>
          <w:i/>
        </w:rPr>
        <w:t>Australian Journal of Family Law</w:t>
      </w:r>
      <w:r w:rsidRPr="00B1563C">
        <w:rPr>
          <w:rFonts w:cstheme="minorHAnsi"/>
        </w:rPr>
        <w:t xml:space="preserve"> 52, 57; See generally Patrick Parkinson, ‘Reforming the Law of Family Property’ (1999) 13 </w:t>
      </w:r>
      <w:r w:rsidRPr="00B1563C">
        <w:rPr>
          <w:rFonts w:cstheme="minorHAnsi"/>
          <w:i/>
        </w:rPr>
        <w:t>Australian Journal of Family Law</w:t>
      </w:r>
      <w:r w:rsidRPr="00B1563C">
        <w:rPr>
          <w:rFonts w:cstheme="minorHAnsi"/>
        </w:rPr>
        <w:t xml:space="preserve"> 117, 139; See also Patrick Parkinson, ‘Quantifying the Homemaker contribution in Family Property Law’ (2003) 31 (1) </w:t>
      </w:r>
      <w:r w:rsidRPr="00B1563C">
        <w:rPr>
          <w:rFonts w:cstheme="minorHAnsi"/>
          <w:i/>
        </w:rPr>
        <w:t>Federal Law Review</w:t>
      </w:r>
      <w:r w:rsidRPr="00B1563C">
        <w:rPr>
          <w:rFonts w:cstheme="minorHAnsi"/>
        </w:rPr>
        <w:t xml:space="preserve"> 1; Patrick Parkinson, ‘The Yardstick of Equality: Assessing Contributions in Australia and England’ (2005) 19 </w:t>
      </w:r>
      <w:r w:rsidRPr="00B1563C">
        <w:rPr>
          <w:rFonts w:cstheme="minorHAnsi"/>
          <w:i/>
        </w:rPr>
        <w:t>International Journal of Law Policy and the Family</w:t>
      </w:r>
      <w:r w:rsidRPr="00B1563C">
        <w:rPr>
          <w:rFonts w:cstheme="minorHAnsi"/>
        </w:rPr>
        <w:t xml:space="preserve"> 163; See also Patrick Parkinson, ‘Constitutional Law and the Limits of Discretion in Family Property Law’ (Paper Presented at 15</w:t>
      </w:r>
      <w:r w:rsidRPr="00B1563C">
        <w:rPr>
          <w:rFonts w:cstheme="minorHAnsi"/>
          <w:vertAlign w:val="superscript"/>
        </w:rPr>
        <w:t>th</w:t>
      </w:r>
      <w:r w:rsidRPr="00B1563C">
        <w:rPr>
          <w:rFonts w:cstheme="minorHAnsi"/>
        </w:rPr>
        <w:t xml:space="preserve"> Australian Family Lawyers’ Conference, Noumea, June 2015).</w:t>
      </w:r>
    </w:p>
  </w:endnote>
  <w:endnote w:id="64">
    <w:p w:rsidR="0007012D" w:rsidRPr="00B1563C" w:rsidRDefault="0007012D" w:rsidP="002C6AC2">
      <w:pPr>
        <w:pStyle w:val="EndnoteText"/>
        <w:jc w:val="both"/>
        <w:rPr>
          <w:rFonts w:cstheme="minorHAnsi"/>
        </w:rPr>
      </w:pPr>
      <w:r w:rsidRPr="00B1563C">
        <w:rPr>
          <w:rStyle w:val="EndnoteReference"/>
          <w:rFonts w:cstheme="minorHAnsi"/>
        </w:rPr>
        <w:endnoteRef/>
      </w:r>
      <w:r w:rsidRPr="00B1563C">
        <w:rPr>
          <w:rFonts w:cstheme="minorHAnsi"/>
        </w:rPr>
        <w:t xml:space="preserve"> Patrick Parkinson, ‘Family Property Law and the Three Fundamental Propositions in Stanford v Stanford’ (2013) 3 </w:t>
      </w:r>
      <w:r w:rsidRPr="00B1563C">
        <w:rPr>
          <w:rFonts w:cstheme="minorHAnsi"/>
          <w:i/>
        </w:rPr>
        <w:t>Family Law Review</w:t>
      </w:r>
      <w:r w:rsidRPr="00B1563C">
        <w:rPr>
          <w:rFonts w:cstheme="minorHAnsi"/>
        </w:rPr>
        <w:t xml:space="preserve"> 80, 91-92.</w:t>
      </w:r>
    </w:p>
  </w:endnote>
  <w:endnote w:id="65">
    <w:p w:rsidR="0007012D" w:rsidRPr="00B1563C" w:rsidRDefault="0007012D" w:rsidP="00DA077A">
      <w:pPr>
        <w:pStyle w:val="EndnoteText"/>
        <w:jc w:val="both"/>
        <w:rPr>
          <w:rFonts w:cstheme="minorHAnsi"/>
        </w:rPr>
      </w:pPr>
      <w:r w:rsidRPr="00B1563C">
        <w:rPr>
          <w:rStyle w:val="EndnoteReference"/>
          <w:rFonts w:cstheme="minorHAnsi"/>
        </w:rPr>
        <w:endnoteRef/>
      </w:r>
      <w:r w:rsidRPr="00B1563C">
        <w:rPr>
          <w:rFonts w:cstheme="minorHAnsi"/>
        </w:rPr>
        <w:t xml:space="preserve"> </w:t>
      </w:r>
      <w:r w:rsidR="0093477B">
        <w:rPr>
          <w:rFonts w:cstheme="minorHAnsi"/>
        </w:rPr>
        <w:t xml:space="preserve"> Belinda </w:t>
      </w:r>
      <w:r w:rsidRPr="00B1563C">
        <w:rPr>
          <w:rFonts w:cstheme="minorHAnsi"/>
        </w:rPr>
        <w:t xml:space="preserve">Fehlberg, ‘With All My Worldly Goods I Thee Endow?” The Partnership Theme in Australian Matrimonial Property Law’ (2005) 19 </w:t>
      </w:r>
      <w:r w:rsidRPr="00B1563C">
        <w:rPr>
          <w:rFonts w:cstheme="minorHAnsi"/>
          <w:i/>
        </w:rPr>
        <w:t>International Journal of Law, Policy and the Family</w:t>
      </w:r>
      <w:r w:rsidRPr="00B1563C">
        <w:rPr>
          <w:rFonts w:cstheme="minorHAnsi"/>
        </w:rPr>
        <w:t xml:space="preserve"> 176, 180. </w:t>
      </w:r>
    </w:p>
  </w:endnote>
  <w:endnote w:id="66">
    <w:p w:rsidR="0007012D" w:rsidRPr="00B1563C" w:rsidRDefault="0007012D" w:rsidP="00FB16EA">
      <w:pPr>
        <w:pStyle w:val="EndnoteText"/>
        <w:rPr>
          <w:rFonts w:cstheme="minorHAnsi"/>
        </w:rPr>
      </w:pPr>
      <w:r w:rsidRPr="00B1563C">
        <w:rPr>
          <w:rStyle w:val="EndnoteReference"/>
          <w:rFonts w:cstheme="minorHAnsi"/>
        </w:rPr>
        <w:endnoteRef/>
      </w:r>
      <w:r w:rsidRPr="00B1563C">
        <w:rPr>
          <w:rFonts w:cstheme="minorHAnsi"/>
        </w:rPr>
        <w:t xml:space="preserve"> Any reference to section 79 of the </w:t>
      </w:r>
      <w:r w:rsidRPr="00B1563C">
        <w:rPr>
          <w:rFonts w:cstheme="minorHAnsi"/>
          <w:i/>
        </w:rPr>
        <w:t>Act</w:t>
      </w:r>
      <w:r w:rsidRPr="00B1563C">
        <w:rPr>
          <w:rFonts w:cstheme="minorHAnsi"/>
        </w:rPr>
        <w:t xml:space="preserve"> is also a reference to its equivalent section 90SM. Equally, references to section 75(2) and its sub-sections are references to the equivalent in section 90SF. </w:t>
      </w:r>
    </w:p>
  </w:endnote>
  <w:endnote w:id="67">
    <w:p w:rsidR="0007012D" w:rsidRPr="00B1563C" w:rsidRDefault="0007012D">
      <w:pPr>
        <w:pStyle w:val="EndnoteText"/>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 xml:space="preserve">Family Law Act 1975 </w:t>
      </w:r>
      <w:r w:rsidRPr="00B1563C">
        <w:rPr>
          <w:rFonts w:cstheme="minorHAnsi"/>
        </w:rPr>
        <w:t xml:space="preserve">(Cth) ss 90B,90C,90D,90G (and de-facto relationship equivalents). </w:t>
      </w:r>
    </w:p>
  </w:endnote>
  <w:endnote w:id="68">
    <w:p w:rsidR="0007012D" w:rsidRPr="00B1563C" w:rsidRDefault="0007012D" w:rsidP="006D3580">
      <w:pPr>
        <w:pStyle w:val="EndnoteText"/>
        <w:jc w:val="both"/>
        <w:rPr>
          <w:rFonts w:cstheme="minorHAnsi"/>
        </w:rPr>
      </w:pPr>
      <w:r w:rsidRPr="00B1563C">
        <w:rPr>
          <w:rStyle w:val="EndnoteReference"/>
          <w:rFonts w:cstheme="minorHAnsi"/>
        </w:rPr>
        <w:endnoteRef/>
      </w:r>
      <w:r w:rsidRPr="00B1563C">
        <w:rPr>
          <w:rFonts w:cstheme="minorHAnsi"/>
        </w:rPr>
        <w:t xml:space="preserve"> Ibid s 90K(1)(d).</w:t>
      </w:r>
    </w:p>
  </w:endnote>
  <w:endnote w:id="69">
    <w:p w:rsidR="0007012D" w:rsidRPr="00B1563C" w:rsidRDefault="0007012D" w:rsidP="006D3580">
      <w:pPr>
        <w:pStyle w:val="EndnoteText"/>
        <w:jc w:val="both"/>
        <w:rPr>
          <w:rFonts w:cstheme="minorHAnsi"/>
        </w:rPr>
      </w:pPr>
      <w:r w:rsidRPr="00B1563C">
        <w:rPr>
          <w:rStyle w:val="EndnoteReference"/>
          <w:rFonts w:cstheme="minorHAnsi"/>
        </w:rPr>
        <w:endnoteRef/>
      </w:r>
      <w:r w:rsidRPr="00B1563C">
        <w:rPr>
          <w:rFonts w:cstheme="minorHAnsi"/>
        </w:rPr>
        <w:t xml:space="preserve"> Ibid s 90K(1)(c). </w:t>
      </w:r>
    </w:p>
  </w:endnote>
  <w:endnote w:id="70">
    <w:p w:rsidR="0007012D" w:rsidRPr="00B1563C" w:rsidRDefault="0007012D" w:rsidP="006D3580">
      <w:pPr>
        <w:pStyle w:val="EndnoteText"/>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Senior &amp; Anderson</w:t>
      </w:r>
      <w:r w:rsidRPr="00B1563C">
        <w:rPr>
          <w:rFonts w:cstheme="minorHAnsi"/>
        </w:rPr>
        <w:t xml:space="preserve"> (2011) FLC ¶93-470.</w:t>
      </w:r>
    </w:p>
  </w:endnote>
  <w:endnote w:id="71">
    <w:p w:rsidR="0007012D" w:rsidRPr="00B1563C" w:rsidRDefault="0007012D" w:rsidP="006D3580">
      <w:pPr>
        <w:pStyle w:val="EndnoteText"/>
        <w:jc w:val="both"/>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Family Law Act 1975</w:t>
      </w:r>
      <w:r w:rsidRPr="00B1563C">
        <w:rPr>
          <w:rFonts w:cstheme="minorHAnsi"/>
        </w:rPr>
        <w:t xml:space="preserve"> (Cth) 90KA(a).</w:t>
      </w:r>
    </w:p>
  </w:endnote>
  <w:endnote w:id="72">
    <w:p w:rsidR="0007012D" w:rsidRPr="00B1563C" w:rsidRDefault="0007012D" w:rsidP="006D3580">
      <w:pPr>
        <w:pStyle w:val="EndnoteText"/>
        <w:jc w:val="both"/>
        <w:rPr>
          <w:rFonts w:cstheme="minorHAnsi"/>
        </w:rPr>
      </w:pPr>
      <w:r w:rsidRPr="00B1563C">
        <w:rPr>
          <w:rStyle w:val="EndnoteReference"/>
          <w:rFonts w:cstheme="minorHAnsi"/>
        </w:rPr>
        <w:endnoteRef/>
      </w:r>
      <w:r w:rsidRPr="00B1563C">
        <w:rPr>
          <w:rFonts w:cstheme="minorHAnsi"/>
        </w:rPr>
        <w:t xml:space="preserve"> Ibid s 71A.</w:t>
      </w:r>
    </w:p>
  </w:endnote>
  <w:endnote w:id="73">
    <w:p w:rsidR="0007012D" w:rsidRPr="00B1563C" w:rsidRDefault="0007012D" w:rsidP="006D3580">
      <w:pPr>
        <w:pStyle w:val="EndnoteText"/>
        <w:jc w:val="both"/>
        <w:rPr>
          <w:rFonts w:cstheme="minorHAnsi"/>
        </w:rPr>
      </w:pPr>
      <w:r w:rsidRPr="00B1563C">
        <w:rPr>
          <w:rStyle w:val="EndnoteReference"/>
          <w:rFonts w:cstheme="minorHAnsi"/>
        </w:rPr>
        <w:endnoteRef/>
      </w:r>
      <w:r w:rsidRPr="00B1563C">
        <w:rPr>
          <w:rFonts w:cstheme="minorHAnsi"/>
        </w:rPr>
        <w:t xml:space="preserve"> See generally John Stuart Mill, </w:t>
      </w:r>
      <w:r w:rsidRPr="00B1563C">
        <w:rPr>
          <w:rFonts w:cstheme="minorHAnsi"/>
          <w:i/>
        </w:rPr>
        <w:t>On Liberty</w:t>
      </w:r>
      <w:r w:rsidRPr="00B1563C">
        <w:rPr>
          <w:rFonts w:cstheme="minorHAnsi"/>
        </w:rPr>
        <w:t xml:space="preserve"> (Harmondsworth: Penguin Classics 1974 [1859]) 71-72, Wayne Morrison, </w:t>
      </w:r>
      <w:r w:rsidRPr="00B1563C">
        <w:rPr>
          <w:rFonts w:cstheme="minorHAnsi"/>
          <w:i/>
        </w:rPr>
        <w:t>Jurisprudence: From the Greeks to the Post-Modern</w:t>
      </w:r>
      <w:r w:rsidRPr="00B1563C">
        <w:rPr>
          <w:rFonts w:cstheme="minorHAnsi"/>
        </w:rPr>
        <w:t xml:space="preserve"> (Routledge, 2016) 201-203; Jeremy Bentham, </w:t>
      </w:r>
      <w:r w:rsidRPr="00B1563C">
        <w:rPr>
          <w:rFonts w:cstheme="minorHAnsi"/>
          <w:i/>
        </w:rPr>
        <w:t>Principles of the Civil Code</w:t>
      </w:r>
      <w:r w:rsidRPr="00B1563C">
        <w:rPr>
          <w:rFonts w:cstheme="minorHAnsi"/>
        </w:rPr>
        <w:t xml:space="preserve">, quoted in Paul Kelly, </w:t>
      </w:r>
      <w:r w:rsidRPr="00B1563C">
        <w:rPr>
          <w:rFonts w:cstheme="minorHAnsi"/>
          <w:i/>
        </w:rPr>
        <w:t xml:space="preserve">Utilitarianism and Distributive Justice, Jeremy Bentham and the Civil Law </w:t>
      </w:r>
      <w:r w:rsidRPr="00B1563C">
        <w:rPr>
          <w:rFonts w:cstheme="minorHAnsi"/>
        </w:rPr>
        <w:t xml:space="preserve">(Oxford, 1990) 87-88; Richard Craswell, ‘Contract Law, Default Rules, and the Philosophy of Promising’ (1989) 88 </w:t>
      </w:r>
      <w:r w:rsidRPr="00B1563C">
        <w:rPr>
          <w:rFonts w:cstheme="minorHAnsi"/>
          <w:i/>
        </w:rPr>
        <w:t>Michigan Law Review</w:t>
      </w:r>
      <w:r w:rsidRPr="00B1563C">
        <w:rPr>
          <w:rFonts w:cstheme="minorHAnsi"/>
        </w:rPr>
        <w:t xml:space="preserve"> 489, 496, citing Neil MacCormack and Joseph Raz, ‘Voluntary Obligations and Normative Powers’ (1972) 46 </w:t>
      </w:r>
      <w:r w:rsidRPr="00B1563C">
        <w:rPr>
          <w:rFonts w:cstheme="minorHAnsi"/>
          <w:i/>
        </w:rPr>
        <w:t>Proceedings of the Aristotelian Society, Supplementary Volumes</w:t>
      </w:r>
      <w:r w:rsidRPr="00B1563C">
        <w:rPr>
          <w:rFonts w:cstheme="minorHAnsi"/>
        </w:rPr>
        <w:t xml:space="preserve"> 59. Joseph Raz, </w:t>
      </w:r>
      <w:r w:rsidRPr="00B1563C">
        <w:rPr>
          <w:rFonts w:cstheme="minorHAnsi"/>
          <w:i/>
        </w:rPr>
        <w:t>The Morality of Freedom</w:t>
      </w:r>
      <w:r w:rsidRPr="00B1563C">
        <w:rPr>
          <w:rFonts w:cstheme="minorHAnsi"/>
        </w:rPr>
        <w:t xml:space="preserve"> (Clarendon Press, 1986) 369; Charles Fried, </w:t>
      </w:r>
      <w:r w:rsidRPr="00B1563C">
        <w:rPr>
          <w:rFonts w:cstheme="minorHAnsi"/>
          <w:i/>
        </w:rPr>
        <w:t>Contract as a Promise: A Theory of Contractual Obligation</w:t>
      </w:r>
      <w:r w:rsidRPr="00B1563C">
        <w:rPr>
          <w:rFonts w:cstheme="minorHAnsi"/>
        </w:rPr>
        <w:t xml:space="preserve"> (Harvard University Press, 1981) 16. </w:t>
      </w:r>
    </w:p>
  </w:endnote>
  <w:endnote w:id="74">
    <w:p w:rsidR="0007012D" w:rsidRPr="00B1563C" w:rsidRDefault="0007012D" w:rsidP="000D38F9">
      <w:pPr>
        <w:pStyle w:val="EndnoteText"/>
        <w:jc w:val="both"/>
        <w:rPr>
          <w:rFonts w:cstheme="minorHAnsi"/>
        </w:rPr>
      </w:pPr>
      <w:r w:rsidRPr="00B1563C">
        <w:rPr>
          <w:rStyle w:val="EndnoteReference"/>
          <w:rFonts w:cstheme="minorHAnsi"/>
        </w:rPr>
        <w:endnoteRef/>
      </w:r>
      <w:r w:rsidRPr="00B1563C">
        <w:rPr>
          <w:rFonts w:cstheme="minorHAnsi"/>
        </w:rPr>
        <w:t xml:space="preserve"> John Rawls, </w:t>
      </w:r>
      <w:r w:rsidRPr="00B1563C">
        <w:rPr>
          <w:rFonts w:cstheme="minorHAnsi"/>
          <w:i/>
        </w:rPr>
        <w:t>A Theory of Justice</w:t>
      </w:r>
      <w:r w:rsidRPr="00B1563C">
        <w:rPr>
          <w:rFonts w:cstheme="minorHAnsi"/>
        </w:rPr>
        <w:t xml:space="preserve"> (Harvard University Press, 1971); John Rawls, </w:t>
      </w:r>
      <w:r w:rsidRPr="00B1563C">
        <w:rPr>
          <w:rFonts w:cstheme="minorHAnsi"/>
          <w:i/>
        </w:rPr>
        <w:t>A Theory of Justice Revised Edition</w:t>
      </w:r>
      <w:r w:rsidRPr="00B1563C">
        <w:rPr>
          <w:rFonts w:cstheme="minorHAnsi"/>
        </w:rPr>
        <w:t xml:space="preserve"> (Harvard University Press 1999); John Rawls, </w:t>
      </w:r>
      <w:r w:rsidRPr="00B1563C">
        <w:rPr>
          <w:rFonts w:cstheme="minorHAnsi"/>
          <w:i/>
        </w:rPr>
        <w:t>Political Liberalism</w:t>
      </w:r>
      <w:r w:rsidRPr="00B1563C">
        <w:rPr>
          <w:rFonts w:cstheme="minorHAnsi"/>
        </w:rPr>
        <w:t xml:space="preserve"> (Columbia University Press, 1993); John Rawls, </w:t>
      </w:r>
      <w:r w:rsidRPr="00B1563C">
        <w:rPr>
          <w:rFonts w:cstheme="minorHAnsi"/>
          <w:i/>
        </w:rPr>
        <w:t>Political Liberalism</w:t>
      </w:r>
      <w:r w:rsidRPr="00B1563C">
        <w:rPr>
          <w:rFonts w:cstheme="minorHAnsi"/>
        </w:rPr>
        <w:t xml:space="preserve"> </w:t>
      </w:r>
      <w:r w:rsidRPr="00B1563C">
        <w:rPr>
          <w:rFonts w:cstheme="minorHAnsi"/>
          <w:i/>
        </w:rPr>
        <w:t xml:space="preserve">(Expanded Edition) </w:t>
      </w:r>
      <w:r w:rsidRPr="00B1563C">
        <w:rPr>
          <w:rFonts w:cstheme="minorHAnsi"/>
        </w:rPr>
        <w:t xml:space="preserve">(Columbia University Press, 2005); John Rawls, </w:t>
      </w:r>
      <w:r w:rsidRPr="00B1563C">
        <w:rPr>
          <w:rFonts w:cstheme="minorHAnsi"/>
          <w:i/>
        </w:rPr>
        <w:t>The Law of Peoples</w:t>
      </w:r>
      <w:r w:rsidRPr="00B1563C">
        <w:rPr>
          <w:rFonts w:cstheme="minorHAnsi"/>
        </w:rPr>
        <w:t xml:space="preserve"> (Harvard University Press, 1999); John Rawls, </w:t>
      </w:r>
      <w:r w:rsidRPr="00B1563C">
        <w:rPr>
          <w:rFonts w:cstheme="minorHAnsi"/>
          <w:i/>
        </w:rPr>
        <w:t>Collected Papers</w:t>
      </w:r>
      <w:r w:rsidRPr="00B1563C">
        <w:rPr>
          <w:rFonts w:cstheme="minorHAnsi"/>
        </w:rPr>
        <w:t xml:space="preserve"> (Harvard University Press, 1999); John Rawls, </w:t>
      </w:r>
      <w:r w:rsidRPr="00B1563C">
        <w:rPr>
          <w:rFonts w:cstheme="minorHAnsi"/>
          <w:i/>
        </w:rPr>
        <w:t>Lectures on the History of Moral Philosophy</w:t>
      </w:r>
      <w:r w:rsidRPr="00B1563C">
        <w:rPr>
          <w:rFonts w:cstheme="minorHAnsi"/>
        </w:rPr>
        <w:t xml:space="preserve"> (Harvard University Press, 2000);  John Rawls, </w:t>
      </w:r>
      <w:r w:rsidRPr="00B1563C">
        <w:rPr>
          <w:rFonts w:cstheme="minorHAnsi"/>
          <w:i/>
        </w:rPr>
        <w:t>Justice as Fairness: A Restatement</w:t>
      </w:r>
      <w:r w:rsidRPr="00B1563C">
        <w:rPr>
          <w:rFonts w:cstheme="minorHAnsi"/>
        </w:rPr>
        <w:t xml:space="preserve"> (Belknap Press 2001); John Rawls, </w:t>
      </w:r>
      <w:r w:rsidRPr="00B1563C">
        <w:rPr>
          <w:rFonts w:cstheme="minorHAnsi"/>
          <w:i/>
        </w:rPr>
        <w:t>Lectures on the History of Moral Philosophy</w:t>
      </w:r>
      <w:r w:rsidRPr="00B1563C">
        <w:rPr>
          <w:rFonts w:cstheme="minorHAnsi"/>
        </w:rPr>
        <w:t xml:space="preserve"> (Harvard University Press, 2007); John Rawls, ‘Justice as Fairness: Political not Metaphysical’ (1985) 14 </w:t>
      </w:r>
      <w:r w:rsidRPr="00B1563C">
        <w:rPr>
          <w:rFonts w:cstheme="minorHAnsi"/>
          <w:i/>
        </w:rPr>
        <w:t>Philosophy and Public Affairs</w:t>
      </w:r>
      <w:r w:rsidRPr="00B1563C">
        <w:rPr>
          <w:rFonts w:cstheme="minorHAnsi"/>
        </w:rPr>
        <w:t xml:space="preserve"> 223; John Rawls, </w:t>
      </w:r>
      <w:r w:rsidRPr="00B1563C">
        <w:rPr>
          <w:rFonts w:cstheme="minorHAnsi"/>
          <w:i/>
        </w:rPr>
        <w:t>Political Liberalism</w:t>
      </w:r>
      <w:r w:rsidRPr="00B1563C">
        <w:rPr>
          <w:rFonts w:cstheme="minorHAnsi"/>
        </w:rPr>
        <w:t xml:space="preserve"> </w:t>
      </w:r>
      <w:r w:rsidRPr="00B1563C">
        <w:rPr>
          <w:rFonts w:cstheme="minorHAnsi"/>
          <w:i/>
        </w:rPr>
        <w:t xml:space="preserve">(Expanded Edition) </w:t>
      </w:r>
      <w:r w:rsidRPr="00B1563C">
        <w:rPr>
          <w:rFonts w:cstheme="minorHAnsi"/>
        </w:rPr>
        <w:t>(Columbia University Press, 2011).</w:t>
      </w:r>
    </w:p>
  </w:endnote>
  <w:endnote w:id="75">
    <w:p w:rsidR="0007012D" w:rsidRPr="00B1563C" w:rsidRDefault="0007012D" w:rsidP="000D38F9">
      <w:pPr>
        <w:pStyle w:val="EndnoteText"/>
        <w:rPr>
          <w:rFonts w:cstheme="minorHAnsi"/>
        </w:rPr>
      </w:pPr>
      <w:r w:rsidRPr="00B1563C">
        <w:rPr>
          <w:rStyle w:val="EndnoteReference"/>
          <w:rFonts w:cstheme="minorHAnsi"/>
        </w:rPr>
        <w:endnoteRef/>
      </w:r>
      <w:r w:rsidRPr="00B1563C">
        <w:rPr>
          <w:rFonts w:cstheme="minorHAnsi"/>
        </w:rPr>
        <w:t xml:space="preserve"> Peter Saunders, ‘What is a Fair Divorce Settlement?’ (1999) 53 </w:t>
      </w:r>
      <w:r w:rsidRPr="00B1563C">
        <w:rPr>
          <w:rFonts w:cstheme="minorHAnsi"/>
          <w:i/>
        </w:rPr>
        <w:t>Family Matters</w:t>
      </w:r>
      <w:r w:rsidRPr="00B1563C">
        <w:rPr>
          <w:rFonts w:cstheme="minorHAnsi"/>
        </w:rPr>
        <w:t xml:space="preserve"> 48.</w:t>
      </w:r>
    </w:p>
  </w:endnote>
  <w:endnote w:id="76">
    <w:p w:rsidR="0007012D" w:rsidRPr="00B1563C" w:rsidRDefault="0007012D" w:rsidP="000D38F9">
      <w:pPr>
        <w:pStyle w:val="EndnoteText"/>
        <w:jc w:val="both"/>
        <w:rPr>
          <w:rFonts w:cstheme="minorHAnsi"/>
        </w:rPr>
      </w:pPr>
      <w:r w:rsidRPr="00B1563C">
        <w:rPr>
          <w:rStyle w:val="EndnoteReference"/>
          <w:rFonts w:cstheme="minorHAnsi"/>
        </w:rPr>
        <w:endnoteRef/>
      </w:r>
      <w:r w:rsidRPr="00B1563C">
        <w:rPr>
          <w:rFonts w:cstheme="minorHAnsi"/>
        </w:rPr>
        <w:t xml:space="preserve"> Rob George, </w:t>
      </w:r>
      <w:r w:rsidRPr="00B1563C">
        <w:rPr>
          <w:rFonts w:cstheme="minorHAnsi"/>
          <w:i/>
        </w:rPr>
        <w:t>Ideas and Debates in Family Law</w:t>
      </w:r>
      <w:r w:rsidRPr="00B1563C">
        <w:rPr>
          <w:rFonts w:cstheme="minorHAnsi"/>
        </w:rPr>
        <w:t xml:space="preserve"> (Hart Press, 2012).</w:t>
      </w:r>
    </w:p>
  </w:endnote>
  <w:endnote w:id="77">
    <w:p w:rsidR="0007012D" w:rsidRPr="00B1563C" w:rsidRDefault="0007012D" w:rsidP="00B11AA3">
      <w:pPr>
        <w:pStyle w:val="EndnoteText"/>
        <w:jc w:val="both"/>
        <w:rPr>
          <w:rFonts w:cstheme="minorHAnsi"/>
        </w:rPr>
      </w:pPr>
      <w:r w:rsidRPr="00B1563C">
        <w:rPr>
          <w:rStyle w:val="EndnoteReference"/>
          <w:rFonts w:cstheme="minorHAnsi"/>
        </w:rPr>
        <w:endnoteRef/>
      </w:r>
      <w:r w:rsidRPr="00B1563C">
        <w:rPr>
          <w:rFonts w:cstheme="minorHAnsi"/>
        </w:rPr>
        <w:t xml:space="preserve"> John Rawls, </w:t>
      </w:r>
      <w:r w:rsidRPr="00B1563C">
        <w:rPr>
          <w:rFonts w:cstheme="minorHAnsi"/>
          <w:i/>
        </w:rPr>
        <w:t xml:space="preserve">A Theory of Justice </w:t>
      </w:r>
      <w:r w:rsidRPr="00B1563C">
        <w:rPr>
          <w:rFonts w:cstheme="minorHAnsi"/>
        </w:rPr>
        <w:t xml:space="preserve">(Harvard University Press, 1971) 6; See also John Rawls, </w:t>
      </w:r>
      <w:r w:rsidRPr="00B1563C">
        <w:rPr>
          <w:rFonts w:cstheme="minorHAnsi"/>
          <w:i/>
        </w:rPr>
        <w:t>A Theory of Justice Revised Edition</w:t>
      </w:r>
      <w:r w:rsidRPr="00B1563C">
        <w:rPr>
          <w:rFonts w:cstheme="minorHAnsi"/>
        </w:rPr>
        <w:t xml:space="preserve"> (Harvard University Press, 1999) 79.</w:t>
      </w:r>
    </w:p>
  </w:endnote>
  <w:endnote w:id="78">
    <w:p w:rsidR="0007012D" w:rsidRPr="00B1563C" w:rsidRDefault="0007012D" w:rsidP="00B11AA3">
      <w:pPr>
        <w:pStyle w:val="EndnoteText"/>
        <w:jc w:val="both"/>
        <w:rPr>
          <w:rFonts w:cstheme="minorHAnsi"/>
        </w:rPr>
      </w:pPr>
      <w:r w:rsidRPr="00B1563C">
        <w:rPr>
          <w:rStyle w:val="EndnoteReference"/>
          <w:rFonts w:cstheme="minorHAnsi"/>
        </w:rPr>
        <w:endnoteRef/>
      </w:r>
      <w:r w:rsidRPr="00B1563C">
        <w:rPr>
          <w:rFonts w:cstheme="minorHAnsi"/>
        </w:rPr>
        <w:t xml:space="preserve"> John Rawls, </w:t>
      </w:r>
      <w:r w:rsidRPr="00B1563C">
        <w:rPr>
          <w:rFonts w:cstheme="minorHAnsi"/>
          <w:i/>
        </w:rPr>
        <w:t xml:space="preserve">Political Liberalism (Expanded Edition) </w:t>
      </w:r>
      <w:r w:rsidRPr="00B1563C">
        <w:rPr>
          <w:rFonts w:cstheme="minorHAnsi"/>
        </w:rPr>
        <w:t xml:space="preserve">(Columbia University Press, 2005) 5. </w:t>
      </w:r>
    </w:p>
  </w:endnote>
  <w:endnote w:id="79">
    <w:p w:rsidR="0007012D" w:rsidRPr="00B1563C" w:rsidRDefault="0007012D" w:rsidP="00B11AA3">
      <w:pPr>
        <w:pStyle w:val="EndnoteText"/>
        <w:jc w:val="both"/>
        <w:rPr>
          <w:rFonts w:cstheme="minorHAnsi"/>
        </w:rPr>
      </w:pPr>
      <w:r w:rsidRPr="00B1563C">
        <w:rPr>
          <w:rStyle w:val="EndnoteReference"/>
          <w:rFonts w:cstheme="minorHAnsi"/>
        </w:rPr>
        <w:endnoteRef/>
      </w:r>
      <w:r w:rsidRPr="00B1563C">
        <w:rPr>
          <w:rFonts w:cstheme="minorHAnsi"/>
        </w:rPr>
        <w:t xml:space="preserve"> John Rawls, </w:t>
      </w:r>
      <w:r w:rsidRPr="00B1563C">
        <w:rPr>
          <w:rFonts w:cstheme="minorHAnsi"/>
          <w:i/>
        </w:rPr>
        <w:t>A Theory of Justice Revised Edition</w:t>
      </w:r>
      <w:r w:rsidRPr="00B1563C">
        <w:rPr>
          <w:rFonts w:cstheme="minorHAnsi"/>
        </w:rPr>
        <w:t xml:space="preserve"> </w:t>
      </w:r>
      <w:bookmarkStart w:id="26" w:name="_Hlk507874422"/>
      <w:r w:rsidRPr="00B1563C">
        <w:rPr>
          <w:rFonts w:cstheme="minorHAnsi"/>
        </w:rPr>
        <w:t>(Harvard University Press, 1999)</w:t>
      </w:r>
      <w:bookmarkEnd w:id="26"/>
      <w:r w:rsidRPr="00B1563C">
        <w:rPr>
          <w:rFonts w:cstheme="minorHAnsi"/>
        </w:rPr>
        <w:t xml:space="preserve"> 72. </w:t>
      </w:r>
    </w:p>
  </w:endnote>
  <w:endnote w:id="80">
    <w:p w:rsidR="0007012D" w:rsidRPr="00B1563C" w:rsidRDefault="0007012D" w:rsidP="005C3A98">
      <w:pPr>
        <w:pStyle w:val="EndnoteText"/>
        <w:jc w:val="both"/>
        <w:rPr>
          <w:rFonts w:cstheme="minorHAnsi"/>
          <w:bCs/>
          <w:iCs/>
        </w:rPr>
      </w:pPr>
      <w:r w:rsidRPr="00B1563C">
        <w:rPr>
          <w:rStyle w:val="EndnoteReference"/>
          <w:rFonts w:cstheme="minorHAnsi"/>
        </w:rPr>
        <w:endnoteRef/>
      </w:r>
      <w:r w:rsidRPr="00B1563C">
        <w:rPr>
          <w:rFonts w:cstheme="minorHAnsi"/>
        </w:rPr>
        <w:t xml:space="preserve"> Murray </w:t>
      </w:r>
      <w:r w:rsidRPr="00B1563C">
        <w:rPr>
          <w:rFonts w:cstheme="minorHAnsi"/>
          <w:bCs/>
          <w:iCs/>
        </w:rPr>
        <w:t xml:space="preserve">Gleeson, ‘Individualised Justice – The Holy Grail’ (1995) 69 </w:t>
      </w:r>
      <w:r w:rsidRPr="00B1563C">
        <w:rPr>
          <w:rFonts w:cstheme="minorHAnsi"/>
          <w:bCs/>
          <w:i/>
          <w:iCs/>
        </w:rPr>
        <w:t>Australian Law Journal</w:t>
      </w:r>
      <w:r w:rsidRPr="00B1563C">
        <w:rPr>
          <w:rFonts w:cstheme="minorHAnsi"/>
          <w:bCs/>
          <w:iCs/>
        </w:rPr>
        <w:t xml:space="preserve"> 421, 431-432.</w:t>
      </w:r>
    </w:p>
  </w:endnote>
  <w:endnote w:id="81">
    <w:p w:rsidR="0007012D" w:rsidRPr="00B1563C" w:rsidRDefault="0007012D" w:rsidP="00DB2105">
      <w:pPr>
        <w:pStyle w:val="EndnoteText"/>
        <w:jc w:val="both"/>
        <w:rPr>
          <w:rFonts w:cstheme="minorHAnsi"/>
        </w:rPr>
      </w:pPr>
      <w:r w:rsidRPr="00B1563C">
        <w:rPr>
          <w:rStyle w:val="EndnoteReference"/>
          <w:rFonts w:cstheme="minorHAnsi"/>
        </w:rPr>
        <w:endnoteRef/>
      </w:r>
      <w:r w:rsidRPr="00B1563C">
        <w:rPr>
          <w:rFonts w:cstheme="minorHAnsi"/>
        </w:rPr>
        <w:t xml:space="preserve"> Law Commission (New Zealand), </w:t>
      </w:r>
      <w:r w:rsidRPr="00B1563C">
        <w:rPr>
          <w:rFonts w:cstheme="minorHAnsi"/>
          <w:i/>
        </w:rPr>
        <w:t>Review of the Property (Relationships) Act 1976</w:t>
      </w:r>
      <w:r w:rsidRPr="00B1563C">
        <w:rPr>
          <w:rFonts w:cstheme="minorHAnsi"/>
        </w:rPr>
        <w:t xml:space="preserve"> (16 October 2017) New Zealand Government </w:t>
      </w:r>
      <w:hyperlink r:id="rId10" w:history="1">
        <w:r w:rsidRPr="00B1563C">
          <w:rPr>
            <w:rStyle w:val="Hyperlink"/>
            <w:rFonts w:cstheme="minorHAnsi"/>
          </w:rPr>
          <w:t>http://www.lawcom.govt.nz/our-projects/review-property-relationships-act-1976</w:t>
        </w:r>
      </w:hyperlink>
      <w:r w:rsidRPr="00B1563C">
        <w:rPr>
          <w:rFonts w:cstheme="minorHAnsi"/>
        </w:rPr>
        <w:t xml:space="preserve">. </w:t>
      </w:r>
    </w:p>
  </w:endnote>
  <w:endnote w:id="82">
    <w:p w:rsidR="0007012D" w:rsidRPr="00B1563C" w:rsidRDefault="0007012D" w:rsidP="00DB2105">
      <w:pPr>
        <w:pStyle w:val="EndnoteText"/>
        <w:jc w:val="both"/>
        <w:rPr>
          <w:rFonts w:cstheme="minorHAnsi"/>
        </w:rPr>
      </w:pPr>
      <w:r w:rsidRPr="00B1563C">
        <w:rPr>
          <w:rStyle w:val="EndnoteReference"/>
          <w:rFonts w:cstheme="minorHAnsi"/>
        </w:rPr>
        <w:endnoteRef/>
      </w:r>
      <w:r w:rsidRPr="00B1563C">
        <w:rPr>
          <w:rFonts w:cstheme="minorHAnsi"/>
        </w:rPr>
        <w:t xml:space="preserve"> Ibid. </w:t>
      </w:r>
    </w:p>
  </w:endnote>
  <w:endnote w:id="83">
    <w:p w:rsidR="0007012D" w:rsidRPr="00B1563C" w:rsidRDefault="0007012D" w:rsidP="00AB17D8">
      <w:pPr>
        <w:pStyle w:val="EndnoteText"/>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Harris v Caladine</w:t>
      </w:r>
      <w:r w:rsidRPr="00B1563C">
        <w:rPr>
          <w:rFonts w:cstheme="minorHAnsi"/>
        </w:rPr>
        <w:t xml:space="preserve"> (1991) 172 CLR 84.</w:t>
      </w:r>
    </w:p>
  </w:endnote>
  <w:endnote w:id="84">
    <w:p w:rsidR="0007012D" w:rsidRPr="00B1563C" w:rsidRDefault="0007012D" w:rsidP="009E50C1">
      <w:pPr>
        <w:pStyle w:val="EndnoteText"/>
        <w:jc w:val="both"/>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 xml:space="preserve">Family Law Rules 2004 </w:t>
      </w:r>
      <w:r w:rsidRPr="00B1563C">
        <w:rPr>
          <w:rFonts w:cstheme="minorHAnsi"/>
        </w:rPr>
        <w:t>(Cth) r 24.13(1) (d), 24.13 (2A).</w:t>
      </w:r>
    </w:p>
  </w:endnote>
  <w:endnote w:id="85">
    <w:p w:rsidR="0007012D" w:rsidRDefault="0007012D">
      <w:pPr>
        <w:pStyle w:val="EndnoteText"/>
      </w:pPr>
      <w:r>
        <w:rPr>
          <w:rStyle w:val="EndnoteReference"/>
        </w:rPr>
        <w:endnoteRef/>
      </w:r>
      <w:r>
        <w:t xml:space="preserve"> These results are discussed in more detail in a recent article: </w:t>
      </w:r>
      <w:r w:rsidRPr="00D37EE0">
        <w:t xml:space="preserve">Christopher Turnbull, 'Family Law Property Settlements: An Exploratory Quantitative Analysis' (2018) 7(3) </w:t>
      </w:r>
      <w:r w:rsidRPr="00D37EE0">
        <w:rPr>
          <w:i/>
        </w:rPr>
        <w:t xml:space="preserve">Family Law Review </w:t>
      </w:r>
      <w:r w:rsidRPr="00D37EE0">
        <w:t>215</w:t>
      </w:r>
      <w:r>
        <w:t>.</w:t>
      </w:r>
    </w:p>
  </w:endnote>
  <w:endnote w:id="86">
    <w:p w:rsidR="0007012D" w:rsidRPr="00B1563C" w:rsidRDefault="0007012D" w:rsidP="00D45D94">
      <w:pPr>
        <w:pStyle w:val="EndnoteText"/>
        <w:jc w:val="both"/>
        <w:rPr>
          <w:rFonts w:cstheme="minorHAnsi"/>
        </w:rPr>
      </w:pPr>
      <w:r w:rsidRPr="00B1563C">
        <w:rPr>
          <w:rStyle w:val="EndnoteReference"/>
          <w:rFonts w:cstheme="minorHAnsi"/>
        </w:rPr>
        <w:endnoteRef/>
      </w:r>
      <w:r w:rsidRPr="00B1563C">
        <w:rPr>
          <w:rFonts w:cstheme="minorHAnsi"/>
        </w:rPr>
        <w:t xml:space="preserve"> See, eg, Rosemary Hunter, Ann Genovese, Angela Melville and April Chrzanowski, </w:t>
      </w:r>
      <w:r w:rsidRPr="00B1563C">
        <w:rPr>
          <w:rFonts w:cstheme="minorHAnsi"/>
          <w:i/>
        </w:rPr>
        <w:t>Legal Services in Family Law</w:t>
      </w:r>
      <w:r w:rsidRPr="00B1563C">
        <w:rPr>
          <w:rFonts w:cstheme="minorHAnsi"/>
        </w:rPr>
        <w:t xml:space="preserve"> (Justice Research Centre, Law Foundation of New South Wales, 2000); Grania Sheehan and Jody Hughes, </w:t>
      </w:r>
      <w:r w:rsidRPr="00B1563C">
        <w:rPr>
          <w:rFonts w:cstheme="minorHAnsi"/>
          <w:i/>
        </w:rPr>
        <w:t>Division of Matrimonial property in Australia: Research Paper No. 25</w:t>
      </w:r>
      <w:r w:rsidRPr="00B1563C">
        <w:rPr>
          <w:rFonts w:cstheme="minorHAnsi"/>
        </w:rPr>
        <w:t xml:space="preserve"> (Australian Institute of Family Studies, 2001); Nareeda Lewers, Helen Rhoades and Shurlee Swain, ‘Judicial and Couple approaches to Contributions and Property: The Dominance and Difficulties of a Reciprocity Model’ (2007) 21 </w:t>
      </w:r>
      <w:r w:rsidRPr="00B1563C">
        <w:rPr>
          <w:rFonts w:cstheme="minorHAnsi"/>
          <w:i/>
        </w:rPr>
        <w:t xml:space="preserve">Australian Journal of Family Law </w:t>
      </w:r>
      <w:r w:rsidRPr="00B1563C">
        <w:rPr>
          <w:rFonts w:cstheme="minorHAnsi"/>
        </w:rPr>
        <w:t xml:space="preserve">123; Grania Sheehan, April Chrzanowski and John Dewar, ‘Superannuation and Divorce in Australia: An Evaluation of Post-Reform Practice and Settlement Outcomes’ (2008) 22 </w:t>
      </w:r>
      <w:r w:rsidRPr="00B1563C">
        <w:rPr>
          <w:rFonts w:cstheme="minorHAnsi"/>
          <w:i/>
        </w:rPr>
        <w:t>International Journal of Law, Policy and the Family</w:t>
      </w:r>
      <w:r w:rsidRPr="00B1563C">
        <w:rPr>
          <w:rFonts w:cstheme="minorHAnsi"/>
        </w:rPr>
        <w:t xml:space="preserve"> 206; Rae Kaspiew and Lixia Qu, ‘Property Division after Separation: Recent Research Evidence’ (2016) 30 </w:t>
      </w:r>
      <w:r w:rsidRPr="00B1563C">
        <w:rPr>
          <w:rFonts w:cstheme="minorHAnsi"/>
          <w:i/>
        </w:rPr>
        <w:t>Australian Journal of Family Law</w:t>
      </w:r>
      <w:r w:rsidRPr="00B1563C">
        <w:rPr>
          <w:rFonts w:cstheme="minorHAnsi"/>
        </w:rPr>
        <w:t xml:space="preserve"> 1.</w:t>
      </w:r>
    </w:p>
  </w:endnote>
  <w:endnote w:id="87">
    <w:p w:rsidR="0007012D" w:rsidRPr="00B1563C" w:rsidRDefault="0007012D" w:rsidP="0093477B">
      <w:pPr>
        <w:pStyle w:val="EndnoteText"/>
        <w:jc w:val="both"/>
        <w:rPr>
          <w:rFonts w:cstheme="minorHAnsi"/>
        </w:rPr>
      </w:pPr>
      <w:r w:rsidRPr="00B1563C">
        <w:rPr>
          <w:rStyle w:val="EndnoteReference"/>
          <w:rFonts w:cstheme="minorHAnsi"/>
        </w:rPr>
        <w:endnoteRef/>
      </w:r>
      <w:r w:rsidRPr="00B1563C">
        <w:rPr>
          <w:rFonts w:cstheme="minorHAnsi"/>
        </w:rPr>
        <w:t xml:space="preserve"> Sophy Bordow and Margaret Harrison ‘Outcomes of Matrimonial Property Litigation: An Analysis of Family Court Cases’ (1994) 8 (3) </w:t>
      </w:r>
      <w:r w:rsidRPr="00B1563C">
        <w:rPr>
          <w:rFonts w:cstheme="minorHAnsi"/>
          <w:i/>
        </w:rPr>
        <w:t xml:space="preserve">Australian Journal of Family Law </w:t>
      </w:r>
      <w:r w:rsidRPr="00B1563C">
        <w:rPr>
          <w:rFonts w:cstheme="minorHAnsi"/>
        </w:rPr>
        <w:t>264.</w:t>
      </w:r>
    </w:p>
  </w:endnote>
  <w:endnote w:id="88">
    <w:p w:rsidR="0007012D" w:rsidRPr="00B1563C" w:rsidRDefault="0007012D" w:rsidP="0093477B">
      <w:pPr>
        <w:pStyle w:val="EndnoteText"/>
        <w:jc w:val="both"/>
        <w:rPr>
          <w:rFonts w:cstheme="minorHAnsi"/>
        </w:rPr>
      </w:pPr>
      <w:r w:rsidRPr="00B1563C">
        <w:rPr>
          <w:rStyle w:val="EndnoteReference"/>
          <w:rFonts w:cstheme="minorHAnsi"/>
        </w:rPr>
        <w:endnoteRef/>
      </w:r>
      <w:r w:rsidRPr="00B1563C">
        <w:rPr>
          <w:rFonts w:cstheme="minorHAnsi"/>
        </w:rPr>
        <w:t xml:space="preserve"> Rae Kaspiew and Lixia Qu, ‘Property Division After Separation: Recent Research Evidence’ (2016) 30 </w:t>
      </w:r>
      <w:r w:rsidRPr="00B1563C">
        <w:rPr>
          <w:rFonts w:cstheme="minorHAnsi"/>
          <w:i/>
        </w:rPr>
        <w:t>Australian Journal of Family Law</w:t>
      </w:r>
      <w:r w:rsidRPr="00B1563C">
        <w:rPr>
          <w:rFonts w:cstheme="minorHAnsi"/>
        </w:rPr>
        <w:t xml:space="preserve"> 1, 19. </w:t>
      </w:r>
    </w:p>
  </w:endnote>
  <w:endnote w:id="89">
    <w:p w:rsidR="0007012D" w:rsidRPr="00B1563C" w:rsidRDefault="0007012D" w:rsidP="0093477B">
      <w:pPr>
        <w:pStyle w:val="EndnoteText"/>
        <w:jc w:val="both"/>
        <w:rPr>
          <w:rFonts w:cstheme="minorHAnsi"/>
        </w:rPr>
      </w:pPr>
      <w:r w:rsidRPr="00B1563C">
        <w:rPr>
          <w:rStyle w:val="EndnoteReference"/>
          <w:rFonts w:cstheme="minorHAnsi"/>
        </w:rPr>
        <w:endnoteRef/>
      </w:r>
      <w:r w:rsidRPr="00B1563C">
        <w:rPr>
          <w:rFonts w:cstheme="minorHAnsi"/>
        </w:rPr>
        <w:t xml:space="preserve"> Law Reform Commission, </w:t>
      </w:r>
      <w:r w:rsidRPr="00B1563C">
        <w:rPr>
          <w:rFonts w:cstheme="minorHAnsi"/>
          <w:i/>
        </w:rPr>
        <w:t>A Survey of Family Court Property Cases in Australia</w:t>
      </w:r>
      <w:r w:rsidRPr="00B1563C">
        <w:rPr>
          <w:rFonts w:cstheme="minorHAnsi"/>
        </w:rPr>
        <w:t>, Research Paper No 1 (1985), 101; Law Reform Commission,</w:t>
      </w:r>
      <w:r w:rsidRPr="00B1563C">
        <w:rPr>
          <w:rFonts w:cstheme="minorHAnsi"/>
          <w:i/>
        </w:rPr>
        <w:t xml:space="preserve"> Matrimonial</w:t>
      </w:r>
      <w:r w:rsidRPr="00B1563C">
        <w:rPr>
          <w:rFonts w:cstheme="minorHAnsi"/>
        </w:rPr>
        <w:t xml:space="preserve"> </w:t>
      </w:r>
      <w:r w:rsidRPr="00B1563C">
        <w:rPr>
          <w:rFonts w:cstheme="minorHAnsi"/>
          <w:i/>
        </w:rPr>
        <w:t>Property,</w:t>
      </w:r>
      <w:r w:rsidRPr="00B1563C">
        <w:rPr>
          <w:rFonts w:cstheme="minorHAnsi"/>
        </w:rPr>
        <w:t xml:space="preserve"> Report No 39 (1987) [118].</w:t>
      </w:r>
    </w:p>
  </w:endnote>
  <w:endnote w:id="90">
    <w:p w:rsidR="0007012D" w:rsidRPr="00B1563C" w:rsidRDefault="0007012D" w:rsidP="002C0923">
      <w:pPr>
        <w:pStyle w:val="EndnoteText"/>
        <w:jc w:val="both"/>
        <w:rPr>
          <w:rFonts w:cstheme="minorHAnsi"/>
        </w:rPr>
      </w:pPr>
      <w:r w:rsidRPr="00B1563C">
        <w:rPr>
          <w:rStyle w:val="EndnoteReference"/>
          <w:rFonts w:cstheme="minorHAnsi"/>
        </w:rPr>
        <w:endnoteRef/>
      </w:r>
      <w:r w:rsidRPr="00B1563C">
        <w:rPr>
          <w:rFonts w:cstheme="minorHAnsi"/>
        </w:rPr>
        <w:t xml:space="preserve"> Peter McDonald ‘Property Distribution: The shares of each partner and their determinants’ in Peter McDonald (ed) </w:t>
      </w:r>
      <w:r w:rsidRPr="00B1563C">
        <w:rPr>
          <w:rFonts w:cstheme="minorHAnsi"/>
          <w:i/>
        </w:rPr>
        <w:t>Settling Up: Property and Income Distribution on Divorce in Australia</w:t>
      </w:r>
      <w:r w:rsidRPr="00B1563C">
        <w:rPr>
          <w:rFonts w:cstheme="minorHAnsi"/>
        </w:rPr>
        <w:t xml:space="preserve"> (Australian Institute of Family Studies, Prentice-Hall, 1986) 183.</w:t>
      </w:r>
    </w:p>
  </w:endnote>
  <w:endnote w:id="91">
    <w:p w:rsidR="0007012D" w:rsidRPr="00B1563C" w:rsidRDefault="0007012D" w:rsidP="002C0923">
      <w:pPr>
        <w:pStyle w:val="EndnoteText"/>
        <w:jc w:val="both"/>
        <w:rPr>
          <w:rFonts w:cstheme="minorHAnsi"/>
        </w:rPr>
      </w:pPr>
      <w:r w:rsidRPr="00B1563C">
        <w:rPr>
          <w:rStyle w:val="EndnoteReference"/>
          <w:rFonts w:cstheme="minorHAnsi"/>
        </w:rPr>
        <w:endnoteRef/>
      </w:r>
      <w:r w:rsidRPr="00B1563C">
        <w:rPr>
          <w:rFonts w:cstheme="minorHAnsi"/>
        </w:rPr>
        <w:t xml:space="preserve"> Peter McDonald ‘Property Distribution: The shares of each partner and their determinants’ in Peter McDonald (ed) </w:t>
      </w:r>
      <w:r w:rsidRPr="00B1563C">
        <w:rPr>
          <w:rFonts w:cstheme="minorHAnsi"/>
          <w:i/>
        </w:rPr>
        <w:t>Settling Up: Property and Income Distribution on Divorce in Australia</w:t>
      </w:r>
      <w:r w:rsidRPr="00B1563C">
        <w:rPr>
          <w:rFonts w:cstheme="minorHAnsi"/>
        </w:rPr>
        <w:t xml:space="preserve"> (Australian Institute of Family Studies, Prentice-Hall, 1986) 183.</w:t>
      </w:r>
    </w:p>
  </w:endnote>
  <w:endnote w:id="92">
    <w:p w:rsidR="0007012D" w:rsidRPr="00B1563C" w:rsidRDefault="0007012D" w:rsidP="002C0923">
      <w:pPr>
        <w:pStyle w:val="EndnoteText"/>
        <w:jc w:val="both"/>
        <w:rPr>
          <w:rFonts w:cstheme="minorHAnsi"/>
        </w:rPr>
      </w:pPr>
      <w:r w:rsidRPr="00B1563C">
        <w:rPr>
          <w:rStyle w:val="EndnoteReference"/>
          <w:rFonts w:cstheme="minorHAnsi"/>
        </w:rPr>
        <w:endnoteRef/>
      </w:r>
      <w:r w:rsidRPr="00B1563C">
        <w:rPr>
          <w:rFonts w:cstheme="minorHAnsi"/>
        </w:rPr>
        <w:t xml:space="preserve"> Grania Sheehan and Jody Hughes, </w:t>
      </w:r>
      <w:r w:rsidRPr="00B1563C">
        <w:rPr>
          <w:rFonts w:cstheme="minorHAnsi"/>
          <w:i/>
        </w:rPr>
        <w:t>Division of Matrimonial Property in Australia: Research Paper No. 25</w:t>
      </w:r>
      <w:r w:rsidRPr="00B1563C">
        <w:rPr>
          <w:rFonts w:cstheme="minorHAnsi"/>
        </w:rPr>
        <w:t xml:space="preserve"> (Australian Institute of Family Studies, 2001) 18.</w:t>
      </w:r>
    </w:p>
  </w:endnote>
  <w:endnote w:id="93">
    <w:p w:rsidR="0007012D" w:rsidRPr="00B1563C" w:rsidRDefault="0007012D" w:rsidP="002C0923">
      <w:pPr>
        <w:pStyle w:val="EndnoteText"/>
        <w:jc w:val="both"/>
        <w:rPr>
          <w:rFonts w:cstheme="minorHAnsi"/>
        </w:rPr>
      </w:pPr>
      <w:r w:rsidRPr="00B1563C">
        <w:rPr>
          <w:rStyle w:val="EndnoteReference"/>
          <w:rFonts w:cstheme="minorHAnsi"/>
        </w:rPr>
        <w:endnoteRef/>
      </w:r>
      <w:r w:rsidRPr="00B1563C">
        <w:rPr>
          <w:rFonts w:cstheme="minorHAnsi"/>
        </w:rPr>
        <w:t xml:space="preserve"> </w:t>
      </w:r>
      <w:r w:rsidR="0093477B">
        <w:rPr>
          <w:rFonts w:cstheme="minorHAnsi"/>
        </w:rPr>
        <w:t>Ibid</w:t>
      </w:r>
      <w:r w:rsidRPr="00B1563C">
        <w:rPr>
          <w:rFonts w:cstheme="minorHAnsi"/>
        </w:rPr>
        <w:t>.</w:t>
      </w:r>
    </w:p>
  </w:endnote>
  <w:endnote w:id="94">
    <w:p w:rsidR="0007012D" w:rsidRPr="00B1563C" w:rsidRDefault="0007012D" w:rsidP="002C0923">
      <w:pPr>
        <w:pStyle w:val="EndnoteText"/>
        <w:jc w:val="both"/>
        <w:rPr>
          <w:rFonts w:cstheme="minorHAnsi"/>
        </w:rPr>
      </w:pPr>
      <w:r w:rsidRPr="00B1563C">
        <w:rPr>
          <w:rStyle w:val="EndnoteReference"/>
          <w:rFonts w:cstheme="minorHAnsi"/>
        </w:rPr>
        <w:endnoteRef/>
      </w:r>
      <w:r w:rsidRPr="00B1563C">
        <w:rPr>
          <w:rFonts w:cstheme="minorHAnsi"/>
        </w:rPr>
        <w:t xml:space="preserve"> Peter McDonald ‘Property Distribution: The shares of each partner and their determinants’ in Peter McDonald (ed) </w:t>
      </w:r>
      <w:r w:rsidRPr="00B1563C">
        <w:rPr>
          <w:rFonts w:cstheme="minorHAnsi"/>
          <w:i/>
        </w:rPr>
        <w:t>Settling Up: Property and Income Distribution on Divorce in Australia</w:t>
      </w:r>
      <w:r w:rsidRPr="00B1563C">
        <w:rPr>
          <w:rFonts w:cstheme="minorHAnsi"/>
        </w:rPr>
        <w:t xml:space="preserve"> (Australian Institute of Family Studies, Prentice-Hall, 1986), 183.</w:t>
      </w:r>
    </w:p>
  </w:endnote>
  <w:endnote w:id="95">
    <w:p w:rsidR="0007012D" w:rsidRPr="00B1563C" w:rsidRDefault="0007012D" w:rsidP="002C0923">
      <w:pPr>
        <w:pStyle w:val="EndnoteText"/>
        <w:jc w:val="both"/>
        <w:rPr>
          <w:rFonts w:cstheme="minorHAnsi"/>
        </w:rPr>
      </w:pPr>
      <w:r w:rsidRPr="00B1563C">
        <w:rPr>
          <w:rStyle w:val="EndnoteReference"/>
          <w:rFonts w:cstheme="minorHAnsi"/>
        </w:rPr>
        <w:endnoteRef/>
      </w:r>
      <w:r w:rsidRPr="00B1563C">
        <w:rPr>
          <w:rFonts w:cstheme="minorHAnsi"/>
        </w:rPr>
        <w:t xml:space="preserve"> </w:t>
      </w:r>
      <w:r w:rsidR="0093477B">
        <w:rPr>
          <w:rFonts w:cstheme="minorHAnsi"/>
        </w:rPr>
        <w:t>Ibid</w:t>
      </w:r>
      <w:r w:rsidRPr="00B1563C">
        <w:rPr>
          <w:rFonts w:cstheme="minorHAnsi"/>
        </w:rPr>
        <w:t>.</w:t>
      </w:r>
    </w:p>
  </w:endnote>
  <w:endnote w:id="96">
    <w:p w:rsidR="0007012D" w:rsidRPr="00B1563C" w:rsidRDefault="0007012D" w:rsidP="002C0923">
      <w:pPr>
        <w:pStyle w:val="EndnoteText"/>
        <w:jc w:val="both"/>
        <w:rPr>
          <w:rFonts w:cstheme="minorHAnsi"/>
        </w:rPr>
      </w:pPr>
      <w:r w:rsidRPr="00B1563C">
        <w:rPr>
          <w:rStyle w:val="EndnoteReference"/>
          <w:rFonts w:cstheme="minorHAnsi"/>
        </w:rPr>
        <w:endnoteRef/>
      </w:r>
      <w:r w:rsidRPr="00B1563C">
        <w:rPr>
          <w:rFonts w:cstheme="minorHAnsi"/>
        </w:rPr>
        <w:t xml:space="preserve"> Grania Sheehan, April Chrzanowski and John Dewar, ‘Superannuation and Divorce in Australia: An Evaluation of Post-Reform Practice and Settlement Outcomes’ (2008) 22 </w:t>
      </w:r>
      <w:r w:rsidRPr="00B1563C">
        <w:rPr>
          <w:rFonts w:cstheme="minorHAnsi"/>
          <w:i/>
        </w:rPr>
        <w:t>International Journal of Law, Policy and the Family</w:t>
      </w:r>
      <w:r w:rsidRPr="00B1563C">
        <w:rPr>
          <w:rFonts w:cstheme="minorHAnsi"/>
        </w:rPr>
        <w:t xml:space="preserve"> 206, 221.</w:t>
      </w:r>
    </w:p>
  </w:endnote>
  <w:endnote w:id="97">
    <w:p w:rsidR="0007012D" w:rsidRPr="00B1563C" w:rsidRDefault="0007012D" w:rsidP="0093477B">
      <w:pPr>
        <w:pStyle w:val="EndnoteText"/>
        <w:jc w:val="both"/>
        <w:rPr>
          <w:rFonts w:cstheme="minorHAnsi"/>
        </w:rPr>
      </w:pPr>
      <w:r w:rsidRPr="00B1563C">
        <w:rPr>
          <w:rStyle w:val="EndnoteReference"/>
          <w:rFonts w:cstheme="minorHAnsi"/>
        </w:rPr>
        <w:endnoteRef/>
      </w:r>
      <w:r w:rsidRPr="00B1563C">
        <w:rPr>
          <w:rFonts w:cstheme="minorHAnsi"/>
        </w:rPr>
        <w:t xml:space="preserve"> Rae Kaspiew and Lixia Qu, ‘Property Division After Separation: Recent Research Evidence’ (2016) 30 </w:t>
      </w:r>
      <w:r w:rsidRPr="00B1563C">
        <w:rPr>
          <w:rFonts w:cstheme="minorHAnsi"/>
          <w:i/>
        </w:rPr>
        <w:t>Australian Journal of Family Law</w:t>
      </w:r>
      <w:r w:rsidRPr="00B1563C">
        <w:rPr>
          <w:rFonts w:cstheme="minorHAnsi"/>
        </w:rPr>
        <w:t xml:space="preserve"> 1, 19. </w:t>
      </w:r>
    </w:p>
  </w:endnote>
  <w:endnote w:id="98">
    <w:p w:rsidR="0007012D" w:rsidRPr="00B1563C" w:rsidRDefault="0007012D" w:rsidP="00D7730B">
      <w:pPr>
        <w:pStyle w:val="EndnoteText"/>
        <w:jc w:val="both"/>
        <w:rPr>
          <w:rFonts w:cstheme="minorHAnsi"/>
        </w:rPr>
      </w:pPr>
      <w:r w:rsidRPr="00B1563C">
        <w:rPr>
          <w:rStyle w:val="EndnoteReference"/>
          <w:rFonts w:cstheme="minorHAnsi"/>
        </w:rPr>
        <w:endnoteRef/>
      </w:r>
      <w:r w:rsidRPr="00B1563C">
        <w:rPr>
          <w:rFonts w:cstheme="minorHAnsi"/>
        </w:rPr>
        <w:t xml:space="preserve"> McDonald, </w:t>
      </w:r>
      <w:r w:rsidRPr="00B1563C">
        <w:rPr>
          <w:rFonts w:cstheme="minorHAnsi"/>
          <w:i/>
        </w:rPr>
        <w:t>Settling Up</w:t>
      </w:r>
      <w:r w:rsidRPr="00B1563C">
        <w:rPr>
          <w:rFonts w:cstheme="minorHAnsi"/>
        </w:rPr>
        <w:t>,</w:t>
      </w:r>
      <w:r w:rsidRPr="00B1563C">
        <w:rPr>
          <w:rFonts w:cstheme="minorHAnsi"/>
          <w:i/>
        </w:rPr>
        <w:t xml:space="preserve"> </w:t>
      </w:r>
      <w:r w:rsidRPr="00B1563C">
        <w:rPr>
          <w:rFonts w:cstheme="minorHAnsi"/>
        </w:rPr>
        <w:t xml:space="preserve">183; Sheehan, </w:t>
      </w:r>
      <w:r w:rsidRPr="00B1563C">
        <w:rPr>
          <w:rFonts w:cstheme="minorHAnsi"/>
          <w:i/>
        </w:rPr>
        <w:t>Division of Matrimonial Property in Australia</w:t>
      </w:r>
      <w:r w:rsidRPr="00B1563C">
        <w:rPr>
          <w:rFonts w:cstheme="minorHAnsi"/>
        </w:rPr>
        <w:t xml:space="preserve">, 14; Qu, </w:t>
      </w:r>
      <w:r w:rsidRPr="00B1563C">
        <w:rPr>
          <w:rFonts w:cstheme="minorHAnsi"/>
          <w:i/>
        </w:rPr>
        <w:t>Post-Separation Parenting, Property and Relationship Dynamics after Five Years</w:t>
      </w:r>
      <w:r w:rsidRPr="00B1563C">
        <w:rPr>
          <w:rFonts w:cstheme="minorHAnsi"/>
        </w:rPr>
        <w:t xml:space="preserve">, 102; Kaspiew, </w:t>
      </w:r>
      <w:r w:rsidRPr="00B1563C">
        <w:rPr>
          <w:rFonts w:cstheme="minorHAnsi"/>
          <w:i/>
        </w:rPr>
        <w:t>Property Division After Separation: Recent Research Evidence</w:t>
      </w:r>
      <w:r w:rsidRPr="00B1563C">
        <w:rPr>
          <w:rFonts w:cstheme="minorHAnsi"/>
        </w:rPr>
        <w:t>, 20.</w:t>
      </w:r>
    </w:p>
  </w:endnote>
  <w:endnote w:id="99">
    <w:p w:rsidR="0007012D" w:rsidRPr="00B1563C" w:rsidRDefault="0007012D" w:rsidP="00D973FF">
      <w:pPr>
        <w:pStyle w:val="EndnoteText"/>
        <w:jc w:val="both"/>
        <w:rPr>
          <w:rFonts w:cstheme="minorHAnsi"/>
        </w:rPr>
      </w:pPr>
      <w:r w:rsidRPr="00B1563C">
        <w:rPr>
          <w:rStyle w:val="EndnoteReference"/>
          <w:rFonts w:cstheme="minorHAnsi"/>
        </w:rPr>
        <w:endnoteRef/>
      </w:r>
      <w:r w:rsidRPr="00B1563C">
        <w:rPr>
          <w:rFonts w:cstheme="minorHAnsi"/>
        </w:rPr>
        <w:t xml:space="preserve"> Law Reform Commission, Matrimonial Property, Report No 39 (1987) [243] - [293].</w:t>
      </w:r>
    </w:p>
  </w:endnote>
  <w:endnote w:id="100">
    <w:p w:rsidR="0007012D" w:rsidRPr="00B1563C" w:rsidRDefault="0007012D" w:rsidP="00D973FF">
      <w:pPr>
        <w:pStyle w:val="EndnoteText"/>
        <w:jc w:val="both"/>
        <w:rPr>
          <w:rFonts w:cstheme="minorHAnsi"/>
        </w:rPr>
      </w:pPr>
      <w:r w:rsidRPr="00B1563C">
        <w:rPr>
          <w:rStyle w:val="EndnoteReference"/>
          <w:rFonts w:cstheme="minorHAnsi"/>
        </w:rPr>
        <w:endnoteRef/>
      </w:r>
      <w:r w:rsidRPr="00B1563C">
        <w:rPr>
          <w:rFonts w:cstheme="minorHAnsi"/>
        </w:rPr>
        <w:t xml:space="preserve"> Attorney-General’s Department, Commonwealth of Australia, </w:t>
      </w:r>
      <w:r w:rsidRPr="00B1563C">
        <w:rPr>
          <w:rFonts w:cstheme="minorHAnsi"/>
          <w:i/>
        </w:rPr>
        <w:t>Property and Family Law-Options for Change</w:t>
      </w:r>
      <w:r w:rsidRPr="00B1563C">
        <w:rPr>
          <w:rFonts w:cstheme="minorHAnsi"/>
        </w:rPr>
        <w:t xml:space="preserve"> (Discussion Paper, 1999) 18-28. </w:t>
      </w:r>
    </w:p>
  </w:endnote>
  <w:endnote w:id="101">
    <w:p w:rsidR="0007012D" w:rsidRPr="00B1563C" w:rsidRDefault="0007012D" w:rsidP="00D973FF">
      <w:pPr>
        <w:pStyle w:val="EndnoteText"/>
        <w:jc w:val="both"/>
        <w:rPr>
          <w:rFonts w:cstheme="minorHAnsi"/>
        </w:rPr>
      </w:pPr>
      <w:r w:rsidRPr="00B1563C">
        <w:rPr>
          <w:rStyle w:val="EndnoteReference"/>
          <w:rFonts w:cstheme="minorHAnsi"/>
        </w:rPr>
        <w:endnoteRef/>
      </w:r>
      <w:r w:rsidRPr="00B1563C">
        <w:rPr>
          <w:rFonts w:cstheme="minorHAnsi"/>
        </w:rPr>
        <w:t xml:space="preserve"> Warren Mundy and Angela MacRae, ‘Access to Justice Arrangements’ (Productivity Commission Inquiry Report No. 72, Australian Government Productivity Commission, 5 September 2014) 874.</w:t>
      </w:r>
    </w:p>
  </w:endnote>
  <w:endnote w:id="102">
    <w:p w:rsidR="0007012D" w:rsidRPr="00B1563C" w:rsidRDefault="0007012D" w:rsidP="00FA09BE">
      <w:pPr>
        <w:pStyle w:val="EndnoteText"/>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Federal Circuit Court Act 1999</w:t>
      </w:r>
      <w:r w:rsidRPr="00B1563C">
        <w:rPr>
          <w:rFonts w:cstheme="minorHAnsi"/>
        </w:rPr>
        <w:t xml:space="preserve"> (Cth) s 3; </w:t>
      </w:r>
      <w:r w:rsidRPr="00B1563C">
        <w:rPr>
          <w:rFonts w:cstheme="minorHAnsi"/>
          <w:i/>
        </w:rPr>
        <w:t>Family Law Act 1975</w:t>
      </w:r>
      <w:r w:rsidRPr="00B1563C">
        <w:rPr>
          <w:rFonts w:cstheme="minorHAnsi"/>
        </w:rPr>
        <w:t xml:space="preserve"> (Cth) s 97.</w:t>
      </w:r>
    </w:p>
  </w:endnote>
  <w:endnote w:id="103">
    <w:p w:rsidR="0007012D" w:rsidRPr="00B1563C" w:rsidRDefault="0007012D" w:rsidP="001602BD">
      <w:pPr>
        <w:pStyle w:val="EndnoteText"/>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Matrimonial Property Act 1976 (NZ)</w:t>
      </w:r>
      <w:r w:rsidRPr="00B1563C">
        <w:rPr>
          <w:rFonts w:cstheme="minorHAnsi"/>
        </w:rPr>
        <w:t xml:space="preserve"> (No. 166 of 1976), Long Title. </w:t>
      </w:r>
      <w:r w:rsidRPr="00B1563C">
        <w:rPr>
          <w:rFonts w:cstheme="minorHAnsi"/>
          <w:i/>
        </w:rPr>
        <w:t>Martin v Martin</w:t>
      </w:r>
      <w:r w:rsidRPr="00B1563C">
        <w:rPr>
          <w:rFonts w:cstheme="minorHAnsi"/>
        </w:rPr>
        <w:t xml:space="preserve"> [1979] 1 NZLR 97, 108; See generally</w:t>
      </w:r>
      <w:r w:rsidRPr="00B1563C">
        <w:rPr>
          <w:rFonts w:cstheme="minorHAnsi"/>
          <w:i/>
        </w:rPr>
        <w:t xml:space="preserve"> Haldane v Haldane</w:t>
      </w:r>
      <w:r w:rsidRPr="00B1563C">
        <w:rPr>
          <w:rFonts w:cstheme="minorHAnsi"/>
        </w:rPr>
        <w:t xml:space="preserve"> [1976] 2 NZLR 715; cf Matrimonial</w:t>
      </w:r>
      <w:r w:rsidRPr="00B1563C">
        <w:rPr>
          <w:rFonts w:cstheme="minorHAnsi"/>
          <w:i/>
        </w:rPr>
        <w:t xml:space="preserve"> Property Act 1963</w:t>
      </w:r>
      <w:r w:rsidRPr="00B1563C">
        <w:rPr>
          <w:rFonts w:cstheme="minorHAnsi"/>
        </w:rPr>
        <w:t xml:space="preserve"> (NZ) ss 5(3), 6(1)</w:t>
      </w:r>
      <w:r w:rsidRPr="00B1563C">
        <w:rPr>
          <w:rFonts w:cstheme="minorHAnsi"/>
          <w:i/>
        </w:rPr>
        <w:t>.</w:t>
      </w:r>
    </w:p>
  </w:endnote>
  <w:endnote w:id="104">
    <w:p w:rsidR="0007012D" w:rsidRPr="00B1563C" w:rsidRDefault="0007012D" w:rsidP="001602BD">
      <w:pPr>
        <w:pStyle w:val="EndnoteText"/>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 xml:space="preserve">Property (Relationships) Act 1976 </w:t>
      </w:r>
      <w:r w:rsidRPr="00B1563C">
        <w:rPr>
          <w:rFonts w:cstheme="minorHAnsi"/>
        </w:rPr>
        <w:t>(NZ) s 1N(a).</w:t>
      </w:r>
    </w:p>
  </w:endnote>
  <w:endnote w:id="105">
    <w:p w:rsidR="0007012D" w:rsidRPr="00B1563C" w:rsidRDefault="0007012D" w:rsidP="001602BD">
      <w:pPr>
        <w:pStyle w:val="EndnoteText"/>
        <w:rPr>
          <w:rFonts w:cstheme="minorHAnsi"/>
        </w:rPr>
      </w:pPr>
      <w:r w:rsidRPr="00B1563C">
        <w:rPr>
          <w:rStyle w:val="EndnoteReference"/>
          <w:rFonts w:cstheme="minorHAnsi"/>
        </w:rPr>
        <w:endnoteRef/>
      </w:r>
      <w:r w:rsidRPr="00B1563C">
        <w:rPr>
          <w:rFonts w:cstheme="minorHAnsi"/>
        </w:rPr>
        <w:t xml:space="preserve"> Ibid s 1N(b).</w:t>
      </w:r>
    </w:p>
  </w:endnote>
  <w:endnote w:id="106">
    <w:p w:rsidR="0007012D" w:rsidRPr="00B1563C" w:rsidRDefault="0007012D" w:rsidP="001602BD">
      <w:pPr>
        <w:pStyle w:val="EndnoteText"/>
        <w:rPr>
          <w:rFonts w:cstheme="minorHAnsi"/>
        </w:rPr>
      </w:pPr>
      <w:r w:rsidRPr="00B1563C">
        <w:rPr>
          <w:rStyle w:val="EndnoteReference"/>
          <w:rFonts w:cstheme="minorHAnsi"/>
        </w:rPr>
        <w:endnoteRef/>
      </w:r>
      <w:r w:rsidRPr="00B1563C">
        <w:rPr>
          <w:rFonts w:cstheme="minorHAnsi"/>
        </w:rPr>
        <w:t xml:space="preserve"> Ibid s 1N(c). </w:t>
      </w:r>
    </w:p>
  </w:endnote>
  <w:endnote w:id="107">
    <w:p w:rsidR="0007012D" w:rsidRPr="00B1563C" w:rsidRDefault="0007012D" w:rsidP="001602BD">
      <w:pPr>
        <w:pStyle w:val="EndnoteText"/>
        <w:rPr>
          <w:rFonts w:cstheme="minorHAnsi"/>
        </w:rPr>
      </w:pPr>
      <w:r w:rsidRPr="00B1563C">
        <w:rPr>
          <w:rStyle w:val="EndnoteReference"/>
          <w:rFonts w:cstheme="minorHAnsi"/>
        </w:rPr>
        <w:endnoteRef/>
      </w:r>
      <w:r w:rsidRPr="00B1563C">
        <w:rPr>
          <w:rFonts w:cstheme="minorHAnsi"/>
        </w:rPr>
        <w:t xml:space="preserve"> Ibid s 1N(d).</w:t>
      </w:r>
    </w:p>
  </w:endnote>
  <w:endnote w:id="108">
    <w:p w:rsidR="0007012D" w:rsidRPr="00B1563C" w:rsidRDefault="0007012D" w:rsidP="001602BD">
      <w:pPr>
        <w:pStyle w:val="EndnoteText"/>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Family Law Act</w:t>
      </w:r>
      <w:r w:rsidRPr="00B1563C">
        <w:rPr>
          <w:rFonts w:cstheme="minorHAnsi"/>
        </w:rPr>
        <w:t xml:space="preserve">, RSO 1990, c F-3, Preamble; See also </w:t>
      </w:r>
      <w:r w:rsidRPr="00B1563C">
        <w:rPr>
          <w:rFonts w:cstheme="minorHAnsi"/>
          <w:i/>
        </w:rPr>
        <w:t>Serra v Serra</w:t>
      </w:r>
      <w:r w:rsidRPr="00B1563C">
        <w:rPr>
          <w:rFonts w:cstheme="minorHAnsi"/>
        </w:rPr>
        <w:t xml:space="preserve"> (2009) ONCA 105 [39].</w:t>
      </w:r>
    </w:p>
  </w:endnote>
  <w:endnote w:id="109">
    <w:p w:rsidR="0007012D" w:rsidRPr="00B1563C" w:rsidRDefault="0007012D" w:rsidP="001602BD">
      <w:pPr>
        <w:pStyle w:val="EndnoteText"/>
        <w:jc w:val="both"/>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Mazurenko v Mazurenko</w:t>
      </w:r>
      <w:r w:rsidRPr="00B1563C">
        <w:rPr>
          <w:rFonts w:cstheme="minorHAnsi"/>
        </w:rPr>
        <w:t xml:space="preserve"> (1981) ABCA 104, 15 Alta. L.R. (2d) 357 [20], citing Alberta Law Reform Institute, </w:t>
      </w:r>
      <w:r w:rsidRPr="00B1563C">
        <w:rPr>
          <w:rFonts w:cstheme="minorHAnsi"/>
          <w:i/>
        </w:rPr>
        <w:t>Reform Report of the Institute of Law Research and Reform</w:t>
      </w:r>
      <w:r w:rsidRPr="00B1563C">
        <w:rPr>
          <w:rFonts w:cstheme="minorHAnsi"/>
        </w:rPr>
        <w:t xml:space="preserve"> (Report No. 18, August 1975).</w:t>
      </w:r>
    </w:p>
  </w:endnote>
  <w:endnote w:id="110">
    <w:p w:rsidR="0007012D" w:rsidRPr="00B1563C" w:rsidRDefault="0007012D" w:rsidP="001602BD">
      <w:pPr>
        <w:pStyle w:val="EndnoteText"/>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Matrimonial Causes Act 1973</w:t>
      </w:r>
      <w:r w:rsidRPr="00B1563C">
        <w:rPr>
          <w:rFonts w:cstheme="minorHAnsi"/>
        </w:rPr>
        <w:t xml:space="preserve"> (UK) c 18, s 25(1).</w:t>
      </w:r>
    </w:p>
  </w:endnote>
  <w:endnote w:id="111">
    <w:p w:rsidR="0007012D" w:rsidRPr="00B1563C" w:rsidRDefault="0007012D" w:rsidP="001602BD">
      <w:pPr>
        <w:pStyle w:val="EndnoteText"/>
        <w:rPr>
          <w:rFonts w:cstheme="minorHAnsi"/>
        </w:rPr>
      </w:pPr>
      <w:r w:rsidRPr="00B1563C">
        <w:rPr>
          <w:rStyle w:val="EndnoteReference"/>
          <w:rFonts w:cstheme="minorHAnsi"/>
        </w:rPr>
        <w:endnoteRef/>
      </w:r>
      <w:r w:rsidRPr="00B1563C">
        <w:rPr>
          <w:rFonts w:cstheme="minorHAnsi"/>
        </w:rPr>
        <w:t xml:space="preserve"> Ibid s 25A.</w:t>
      </w:r>
    </w:p>
  </w:endnote>
  <w:endnote w:id="112">
    <w:p w:rsidR="0007012D" w:rsidRPr="00B1563C" w:rsidRDefault="0007012D" w:rsidP="001602BD">
      <w:pPr>
        <w:pStyle w:val="EndnoteText"/>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White v White</w:t>
      </w:r>
      <w:r w:rsidRPr="00B1563C">
        <w:rPr>
          <w:rFonts w:cstheme="minorHAnsi"/>
        </w:rPr>
        <w:t xml:space="preserve"> [2001] 1 All ER 1, [2001] 1 AC 596.</w:t>
      </w:r>
    </w:p>
  </w:endnote>
  <w:endnote w:id="113">
    <w:p w:rsidR="0007012D" w:rsidRPr="00B1563C" w:rsidRDefault="0007012D" w:rsidP="001602BD">
      <w:pPr>
        <w:pStyle w:val="EndnoteText"/>
        <w:jc w:val="both"/>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Matrimonial Proceedings and Property Act 1970</w:t>
      </w:r>
      <w:r w:rsidRPr="00B1563C">
        <w:rPr>
          <w:rFonts w:cstheme="minorHAnsi"/>
        </w:rPr>
        <w:t xml:space="preserve"> (UK) c 45, s 5(1). </w:t>
      </w:r>
    </w:p>
  </w:endnote>
  <w:endnote w:id="114">
    <w:p w:rsidR="0007012D" w:rsidRPr="00B1563C" w:rsidRDefault="0007012D" w:rsidP="001602BD">
      <w:pPr>
        <w:pStyle w:val="EndnoteText"/>
        <w:jc w:val="both"/>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White v White</w:t>
      </w:r>
      <w:r w:rsidRPr="00B1563C">
        <w:rPr>
          <w:rFonts w:cstheme="minorHAnsi"/>
        </w:rPr>
        <w:t xml:space="preserve"> [2001] 1 All ER 1, [2001] 1 AC 596, [23].</w:t>
      </w:r>
    </w:p>
  </w:endnote>
  <w:endnote w:id="115">
    <w:p w:rsidR="0007012D" w:rsidRPr="00B1563C" w:rsidRDefault="0007012D" w:rsidP="001602BD">
      <w:pPr>
        <w:pStyle w:val="EndnoteText"/>
        <w:jc w:val="both"/>
        <w:rPr>
          <w:rFonts w:cstheme="minorHAnsi"/>
        </w:rPr>
      </w:pPr>
      <w:r w:rsidRPr="00B1563C">
        <w:rPr>
          <w:rStyle w:val="EndnoteReference"/>
          <w:rFonts w:cstheme="minorHAnsi"/>
        </w:rPr>
        <w:endnoteRef/>
      </w:r>
      <w:r w:rsidRPr="00B1563C">
        <w:rPr>
          <w:rFonts w:cstheme="minorHAnsi"/>
        </w:rPr>
        <w:t xml:space="preserve"> Ibid.</w:t>
      </w:r>
    </w:p>
  </w:endnote>
  <w:endnote w:id="116">
    <w:p w:rsidR="0007012D" w:rsidRPr="00B1563C" w:rsidRDefault="0007012D" w:rsidP="001602BD">
      <w:pPr>
        <w:pStyle w:val="EndnoteText"/>
        <w:jc w:val="both"/>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Miller v Miller; McFarlane v McFarlane</w:t>
      </w:r>
      <w:r w:rsidRPr="00B1563C">
        <w:rPr>
          <w:rFonts w:cstheme="minorHAnsi"/>
        </w:rPr>
        <w:t xml:space="preserve"> [2006] 3 All ER 1, [2006] UKHL 24. </w:t>
      </w:r>
    </w:p>
  </w:endnote>
  <w:endnote w:id="117">
    <w:p w:rsidR="0007012D" w:rsidRPr="00B1563C" w:rsidRDefault="0007012D" w:rsidP="001602BD">
      <w:pPr>
        <w:pStyle w:val="EndnoteText"/>
        <w:rPr>
          <w:rFonts w:cstheme="minorHAnsi"/>
        </w:rPr>
      </w:pPr>
      <w:r w:rsidRPr="00B1563C">
        <w:rPr>
          <w:rStyle w:val="EndnoteReference"/>
          <w:rFonts w:cstheme="minorHAnsi"/>
        </w:rPr>
        <w:endnoteRef/>
      </w:r>
      <w:r w:rsidRPr="00B1563C">
        <w:rPr>
          <w:rFonts w:cstheme="minorHAnsi"/>
        </w:rPr>
        <w:t xml:space="preserve"> Ibid [11].</w:t>
      </w:r>
    </w:p>
  </w:endnote>
  <w:endnote w:id="118">
    <w:p w:rsidR="0007012D" w:rsidRPr="00B1563C" w:rsidRDefault="0007012D" w:rsidP="001602BD">
      <w:pPr>
        <w:pStyle w:val="EndnoteText"/>
        <w:rPr>
          <w:rFonts w:cstheme="minorHAnsi"/>
        </w:rPr>
      </w:pPr>
      <w:r w:rsidRPr="00B1563C">
        <w:rPr>
          <w:rStyle w:val="EndnoteReference"/>
          <w:rFonts w:cstheme="minorHAnsi"/>
        </w:rPr>
        <w:endnoteRef/>
      </w:r>
      <w:r w:rsidRPr="00B1563C">
        <w:rPr>
          <w:rFonts w:cstheme="minorHAnsi"/>
        </w:rPr>
        <w:t xml:space="preserve"> Ibid [13].</w:t>
      </w:r>
    </w:p>
  </w:endnote>
  <w:endnote w:id="119">
    <w:p w:rsidR="0007012D" w:rsidRPr="00B1563C" w:rsidRDefault="0007012D" w:rsidP="001602BD">
      <w:pPr>
        <w:pStyle w:val="EndnoteText"/>
        <w:rPr>
          <w:rFonts w:cstheme="minorHAnsi"/>
        </w:rPr>
      </w:pPr>
      <w:r w:rsidRPr="00B1563C">
        <w:rPr>
          <w:rStyle w:val="EndnoteReference"/>
          <w:rFonts w:cstheme="minorHAnsi"/>
        </w:rPr>
        <w:endnoteRef/>
      </w:r>
      <w:r w:rsidRPr="00B1563C">
        <w:rPr>
          <w:rFonts w:cstheme="minorHAnsi"/>
        </w:rPr>
        <w:t xml:space="preserve"> Ibid [16] - [17].</w:t>
      </w:r>
    </w:p>
  </w:endnote>
  <w:endnote w:id="120">
    <w:p w:rsidR="0007012D" w:rsidRPr="00B1563C" w:rsidRDefault="0007012D" w:rsidP="001602BD">
      <w:pPr>
        <w:pStyle w:val="EndnoteText"/>
        <w:rPr>
          <w:rFonts w:cstheme="minorHAnsi"/>
        </w:rPr>
      </w:pPr>
      <w:r w:rsidRPr="00B1563C">
        <w:rPr>
          <w:rStyle w:val="EndnoteReference"/>
          <w:rFonts w:cstheme="minorHAnsi"/>
        </w:rPr>
        <w:endnoteRef/>
      </w:r>
      <w:r w:rsidRPr="00B1563C">
        <w:rPr>
          <w:rFonts w:cstheme="minorHAnsi"/>
        </w:rPr>
        <w:t xml:space="preserve"> Ibid [137].</w:t>
      </w:r>
    </w:p>
  </w:endnote>
  <w:endnote w:id="121">
    <w:p w:rsidR="0007012D" w:rsidRPr="00B1563C" w:rsidRDefault="0007012D" w:rsidP="001602BD">
      <w:pPr>
        <w:pStyle w:val="EndnoteText"/>
        <w:rPr>
          <w:rFonts w:cstheme="minorHAnsi"/>
        </w:rPr>
      </w:pPr>
      <w:r w:rsidRPr="00B1563C">
        <w:rPr>
          <w:rStyle w:val="EndnoteReference"/>
          <w:rFonts w:cstheme="minorHAnsi"/>
        </w:rPr>
        <w:endnoteRef/>
      </w:r>
      <w:r w:rsidRPr="00B1563C">
        <w:rPr>
          <w:rFonts w:cstheme="minorHAnsi"/>
        </w:rPr>
        <w:t xml:space="preserve"> Ibid [138].</w:t>
      </w:r>
    </w:p>
  </w:endnote>
  <w:endnote w:id="122">
    <w:p w:rsidR="0007012D" w:rsidRPr="00B1563C" w:rsidRDefault="0007012D" w:rsidP="001602BD">
      <w:pPr>
        <w:pStyle w:val="EndnoteText"/>
        <w:rPr>
          <w:rFonts w:cstheme="minorHAnsi"/>
        </w:rPr>
      </w:pPr>
      <w:r w:rsidRPr="00B1563C">
        <w:rPr>
          <w:rStyle w:val="EndnoteReference"/>
          <w:rFonts w:cstheme="minorHAnsi"/>
        </w:rPr>
        <w:endnoteRef/>
      </w:r>
      <w:r w:rsidRPr="00B1563C">
        <w:rPr>
          <w:rFonts w:cstheme="minorHAnsi"/>
        </w:rPr>
        <w:t xml:space="preserve"> Ibid [140].</w:t>
      </w:r>
    </w:p>
  </w:endnote>
  <w:endnote w:id="123">
    <w:p w:rsidR="0007012D" w:rsidRPr="00B1563C" w:rsidRDefault="0007012D" w:rsidP="001602BD">
      <w:pPr>
        <w:pStyle w:val="EndnoteText"/>
        <w:rPr>
          <w:rFonts w:cstheme="minorHAnsi"/>
        </w:rPr>
      </w:pPr>
      <w:r w:rsidRPr="00B1563C">
        <w:rPr>
          <w:rStyle w:val="EndnoteReference"/>
          <w:rFonts w:cstheme="minorHAnsi"/>
        </w:rPr>
        <w:endnoteRef/>
      </w:r>
      <w:r w:rsidRPr="00B1563C">
        <w:rPr>
          <w:rFonts w:cstheme="minorHAnsi"/>
        </w:rPr>
        <w:t xml:space="preserve"> Ibid [141].</w:t>
      </w:r>
    </w:p>
  </w:endnote>
  <w:endnote w:id="124">
    <w:p w:rsidR="0007012D" w:rsidRPr="00B1563C" w:rsidRDefault="0007012D" w:rsidP="00FA09BE">
      <w:pPr>
        <w:pStyle w:val="EndnoteText"/>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 xml:space="preserve">Stanford v Stanford </w:t>
      </w:r>
      <w:r w:rsidRPr="00B1563C">
        <w:rPr>
          <w:rFonts w:cstheme="minorHAnsi"/>
        </w:rPr>
        <w:t>(2012)</w:t>
      </w:r>
      <w:r w:rsidRPr="00B1563C">
        <w:rPr>
          <w:rFonts w:cstheme="minorHAnsi"/>
          <w:i/>
        </w:rPr>
        <w:t xml:space="preserve"> </w:t>
      </w:r>
      <w:r w:rsidRPr="00B1563C">
        <w:rPr>
          <w:rFonts w:cstheme="minorHAnsi"/>
        </w:rPr>
        <w:t>247 CLR 108, 120-121.</w:t>
      </w:r>
    </w:p>
  </w:endnote>
  <w:endnote w:id="125">
    <w:p w:rsidR="0007012D" w:rsidRPr="00B1563C" w:rsidRDefault="0007012D" w:rsidP="00FA09BE">
      <w:pPr>
        <w:pStyle w:val="EndnoteText"/>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 xml:space="preserve">Spry v Kennon; Kennon v Spry </w:t>
      </w:r>
      <w:r w:rsidRPr="00B1563C">
        <w:rPr>
          <w:rFonts w:cstheme="minorHAnsi"/>
        </w:rPr>
        <w:t>(2008) 238 CLR 366.</w:t>
      </w:r>
    </w:p>
  </w:endnote>
  <w:endnote w:id="126">
    <w:p w:rsidR="0007012D" w:rsidRPr="00B1563C" w:rsidRDefault="0007012D" w:rsidP="001602BD">
      <w:pPr>
        <w:pStyle w:val="EndnoteText"/>
        <w:rPr>
          <w:rFonts w:cstheme="minorHAnsi"/>
          <w:lang w:val="en-US"/>
        </w:rPr>
      </w:pPr>
      <w:r w:rsidRPr="00B1563C">
        <w:rPr>
          <w:rStyle w:val="EndnoteReference"/>
          <w:rFonts w:cstheme="minorHAnsi"/>
        </w:rPr>
        <w:endnoteRef/>
      </w:r>
      <w:r w:rsidRPr="00B1563C">
        <w:rPr>
          <w:rFonts w:cstheme="minorHAnsi"/>
        </w:rPr>
        <w:t xml:space="preserve"> </w:t>
      </w:r>
      <w:r w:rsidRPr="00B1563C">
        <w:rPr>
          <w:rFonts w:cstheme="minorHAnsi"/>
          <w:i/>
        </w:rPr>
        <w:t>Miller v Miller; McFarlane v McFarlane</w:t>
      </w:r>
      <w:r w:rsidRPr="00B1563C">
        <w:rPr>
          <w:rFonts w:cstheme="minorHAnsi"/>
        </w:rPr>
        <w:t xml:space="preserve"> [2006] 3 All ER 1, [2006] UKHL 24 [21], See generally </w:t>
      </w:r>
      <w:r w:rsidRPr="00B1563C">
        <w:rPr>
          <w:rFonts w:cstheme="minorHAnsi"/>
          <w:i/>
          <w:lang w:val="en-US"/>
        </w:rPr>
        <w:t>White v White</w:t>
      </w:r>
      <w:r w:rsidRPr="00B1563C">
        <w:rPr>
          <w:rFonts w:cstheme="minorHAnsi"/>
          <w:lang w:val="en-US"/>
        </w:rPr>
        <w:t xml:space="preserve"> [2001] 1 All ER 1, [2001] 1 AC 596.</w:t>
      </w:r>
    </w:p>
  </w:endnote>
  <w:endnote w:id="127">
    <w:p w:rsidR="0007012D" w:rsidRPr="00B1563C" w:rsidRDefault="0007012D" w:rsidP="001602BD">
      <w:pPr>
        <w:pStyle w:val="EndnoteText"/>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 xml:space="preserve">Matrimonial Property Act, </w:t>
      </w:r>
      <w:r w:rsidRPr="00B1563C">
        <w:rPr>
          <w:rFonts w:cstheme="minorHAnsi"/>
        </w:rPr>
        <w:t xml:space="preserve">RSA 2000, c M-8, s 7(1). </w:t>
      </w:r>
    </w:p>
  </w:endnote>
  <w:endnote w:id="128">
    <w:p w:rsidR="0007012D" w:rsidRPr="00B1563C" w:rsidRDefault="0007012D" w:rsidP="001602BD">
      <w:pPr>
        <w:pStyle w:val="EndnoteText"/>
        <w:jc w:val="both"/>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 xml:space="preserve">Property (Relationships) Act 1976 </w:t>
      </w:r>
      <w:r w:rsidRPr="00B1563C">
        <w:rPr>
          <w:rFonts w:cstheme="minorHAnsi"/>
        </w:rPr>
        <w:t>(NZ) s 8(1)(a).</w:t>
      </w:r>
    </w:p>
  </w:endnote>
  <w:endnote w:id="129">
    <w:p w:rsidR="0007012D" w:rsidRPr="00B1563C" w:rsidRDefault="0007012D" w:rsidP="001602BD">
      <w:pPr>
        <w:pStyle w:val="EndnoteText"/>
        <w:jc w:val="both"/>
        <w:rPr>
          <w:rFonts w:cstheme="minorHAnsi"/>
        </w:rPr>
      </w:pPr>
      <w:r w:rsidRPr="00B1563C">
        <w:rPr>
          <w:rStyle w:val="EndnoteReference"/>
          <w:rFonts w:cstheme="minorHAnsi"/>
        </w:rPr>
        <w:endnoteRef/>
      </w:r>
      <w:r w:rsidRPr="00B1563C">
        <w:rPr>
          <w:rFonts w:cstheme="minorHAnsi"/>
        </w:rPr>
        <w:t xml:space="preserve"> Ibid s 8(1)(b).</w:t>
      </w:r>
    </w:p>
  </w:endnote>
  <w:endnote w:id="130">
    <w:p w:rsidR="0007012D" w:rsidRPr="00B1563C" w:rsidRDefault="0007012D" w:rsidP="001602BD">
      <w:pPr>
        <w:pStyle w:val="EndnoteText"/>
        <w:jc w:val="both"/>
        <w:rPr>
          <w:rFonts w:cstheme="minorHAnsi"/>
        </w:rPr>
      </w:pPr>
      <w:r w:rsidRPr="00B1563C">
        <w:rPr>
          <w:rStyle w:val="EndnoteReference"/>
          <w:rFonts w:cstheme="minorHAnsi"/>
        </w:rPr>
        <w:endnoteRef/>
      </w:r>
      <w:r w:rsidRPr="00B1563C">
        <w:rPr>
          <w:rFonts w:cstheme="minorHAnsi"/>
        </w:rPr>
        <w:t xml:space="preserve"> Ibid s 8(1)(c).</w:t>
      </w:r>
    </w:p>
  </w:endnote>
  <w:endnote w:id="131">
    <w:p w:rsidR="0007012D" w:rsidRPr="00B1563C" w:rsidRDefault="0007012D" w:rsidP="001602BD">
      <w:pPr>
        <w:pStyle w:val="EndnoteText"/>
        <w:jc w:val="both"/>
        <w:rPr>
          <w:rFonts w:cstheme="minorHAnsi"/>
        </w:rPr>
      </w:pPr>
      <w:r w:rsidRPr="00B1563C">
        <w:rPr>
          <w:rStyle w:val="EndnoteReference"/>
          <w:rFonts w:cstheme="minorHAnsi"/>
        </w:rPr>
        <w:endnoteRef/>
      </w:r>
      <w:r w:rsidRPr="00B1563C">
        <w:rPr>
          <w:rFonts w:cstheme="minorHAnsi"/>
        </w:rPr>
        <w:t xml:space="preserve"> Ibid ss 8(1)(g), 8(1)(h).</w:t>
      </w:r>
    </w:p>
  </w:endnote>
  <w:endnote w:id="132">
    <w:p w:rsidR="0007012D" w:rsidRPr="00B1563C" w:rsidRDefault="0007012D" w:rsidP="001602BD">
      <w:pPr>
        <w:pStyle w:val="EndnoteText"/>
        <w:jc w:val="both"/>
        <w:rPr>
          <w:rFonts w:cstheme="minorHAnsi"/>
        </w:rPr>
      </w:pPr>
      <w:r w:rsidRPr="00B1563C">
        <w:rPr>
          <w:rStyle w:val="EndnoteReference"/>
          <w:rFonts w:cstheme="minorHAnsi"/>
        </w:rPr>
        <w:endnoteRef/>
      </w:r>
      <w:r w:rsidRPr="00B1563C">
        <w:rPr>
          <w:rFonts w:cstheme="minorHAnsi"/>
        </w:rPr>
        <w:t xml:space="preserve"> Ibid s 8(1)(i).</w:t>
      </w:r>
    </w:p>
  </w:endnote>
  <w:endnote w:id="133">
    <w:p w:rsidR="0007012D" w:rsidRPr="00B1563C" w:rsidRDefault="0007012D" w:rsidP="001602BD">
      <w:pPr>
        <w:pStyle w:val="EndnoteText"/>
        <w:jc w:val="both"/>
        <w:rPr>
          <w:rFonts w:cstheme="minorHAnsi"/>
        </w:rPr>
      </w:pPr>
      <w:r w:rsidRPr="00B1563C">
        <w:rPr>
          <w:rStyle w:val="EndnoteReference"/>
          <w:rFonts w:cstheme="minorHAnsi"/>
        </w:rPr>
        <w:endnoteRef/>
      </w:r>
      <w:r w:rsidRPr="00B1563C">
        <w:rPr>
          <w:rFonts w:cstheme="minorHAnsi"/>
        </w:rPr>
        <w:t xml:space="preserve"> Ibid s 8(1)(k).</w:t>
      </w:r>
    </w:p>
  </w:endnote>
  <w:endnote w:id="134">
    <w:p w:rsidR="0007012D" w:rsidRPr="00B1563C" w:rsidRDefault="0007012D" w:rsidP="001602BD">
      <w:pPr>
        <w:pStyle w:val="EndnoteText"/>
        <w:jc w:val="both"/>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Ward v Ward</w:t>
      </w:r>
      <w:r w:rsidRPr="00B1563C">
        <w:rPr>
          <w:rFonts w:cstheme="minorHAnsi"/>
        </w:rPr>
        <w:t xml:space="preserve"> [2010] 2 NZLR 31 [18].</w:t>
      </w:r>
    </w:p>
  </w:endnote>
  <w:endnote w:id="135">
    <w:p w:rsidR="0007012D" w:rsidRPr="00B1563C" w:rsidRDefault="0007012D" w:rsidP="001602BD">
      <w:pPr>
        <w:pStyle w:val="EndnoteText"/>
        <w:jc w:val="both"/>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Family Law Act</w:t>
      </w:r>
      <w:r w:rsidRPr="00B1563C">
        <w:rPr>
          <w:rFonts w:cstheme="minorHAnsi"/>
        </w:rPr>
        <w:t>, SBC 2011, c 25, s 84.</w:t>
      </w:r>
    </w:p>
  </w:endnote>
  <w:endnote w:id="136">
    <w:p w:rsidR="0007012D" w:rsidRPr="00B1563C" w:rsidRDefault="0007012D" w:rsidP="001602BD">
      <w:pPr>
        <w:pStyle w:val="EndnoteText"/>
        <w:jc w:val="both"/>
        <w:rPr>
          <w:rFonts w:cstheme="minorHAnsi"/>
        </w:rPr>
      </w:pPr>
      <w:r w:rsidRPr="00B1563C">
        <w:rPr>
          <w:rStyle w:val="EndnoteReference"/>
          <w:rFonts w:cstheme="minorHAnsi"/>
        </w:rPr>
        <w:endnoteRef/>
      </w:r>
      <w:r w:rsidRPr="00B1563C">
        <w:rPr>
          <w:rFonts w:cstheme="minorHAnsi"/>
        </w:rPr>
        <w:t xml:space="preserve"> Ibid s 85.</w:t>
      </w:r>
    </w:p>
  </w:endnote>
  <w:endnote w:id="137">
    <w:p w:rsidR="0007012D" w:rsidRPr="00B1563C" w:rsidRDefault="0007012D" w:rsidP="001602BD">
      <w:pPr>
        <w:pStyle w:val="EndnoteText"/>
        <w:jc w:val="both"/>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Family Law Act</w:t>
      </w:r>
      <w:r w:rsidRPr="00B1563C">
        <w:rPr>
          <w:rFonts w:cstheme="minorHAnsi"/>
        </w:rPr>
        <w:t>, RSO 1990, c F-3, s 4(1).</w:t>
      </w:r>
    </w:p>
  </w:endnote>
  <w:endnote w:id="138">
    <w:p w:rsidR="0007012D" w:rsidRPr="00B1563C" w:rsidRDefault="0007012D" w:rsidP="001602BD">
      <w:pPr>
        <w:pStyle w:val="EndnoteText"/>
        <w:jc w:val="both"/>
        <w:rPr>
          <w:rFonts w:cstheme="minorHAnsi"/>
        </w:rPr>
      </w:pPr>
      <w:r w:rsidRPr="00B1563C">
        <w:rPr>
          <w:rStyle w:val="EndnoteReference"/>
          <w:rFonts w:cstheme="minorHAnsi"/>
        </w:rPr>
        <w:endnoteRef/>
      </w:r>
      <w:r w:rsidRPr="00B1563C">
        <w:rPr>
          <w:rFonts w:cstheme="minorHAnsi"/>
        </w:rPr>
        <w:t xml:space="preserve"> Ibid.</w:t>
      </w:r>
    </w:p>
  </w:endnote>
  <w:endnote w:id="139">
    <w:p w:rsidR="0007012D" w:rsidRPr="00B1563C" w:rsidRDefault="0007012D" w:rsidP="00E12BAB">
      <w:pPr>
        <w:pStyle w:val="EndnoteText"/>
        <w:jc w:val="both"/>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 xml:space="preserve">Property (Relationships) Act 1976 </w:t>
      </w:r>
      <w:r w:rsidRPr="00B1563C">
        <w:rPr>
          <w:rFonts w:cstheme="minorHAnsi"/>
        </w:rPr>
        <w:t xml:space="preserve">(NZ) s 11(1); see also </w:t>
      </w:r>
      <w:r w:rsidRPr="00B1563C">
        <w:rPr>
          <w:rFonts w:cstheme="minorHAnsi"/>
          <w:i/>
        </w:rPr>
        <w:t>Property (Relationships) Amendment Act 2001</w:t>
      </w:r>
      <w:r w:rsidRPr="00B1563C">
        <w:rPr>
          <w:rFonts w:cstheme="minorHAnsi"/>
        </w:rPr>
        <w:t xml:space="preserve"> (NZ).</w:t>
      </w:r>
    </w:p>
  </w:endnote>
  <w:endnote w:id="140">
    <w:p w:rsidR="0007012D" w:rsidRPr="00B1563C" w:rsidRDefault="0007012D" w:rsidP="00E12BAB">
      <w:pPr>
        <w:pStyle w:val="EndnoteText"/>
        <w:jc w:val="both"/>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 xml:space="preserve">Family Law Act, </w:t>
      </w:r>
      <w:r w:rsidRPr="00B1563C">
        <w:rPr>
          <w:rFonts w:cstheme="minorHAnsi"/>
        </w:rPr>
        <w:t>SBC 2011, c 25, s 81;</w:t>
      </w:r>
      <w:r w:rsidRPr="00B1563C">
        <w:rPr>
          <w:rFonts w:cstheme="minorHAnsi"/>
          <w:i/>
        </w:rPr>
        <w:t xml:space="preserve"> Family Law Act</w:t>
      </w:r>
      <w:r w:rsidRPr="00B1563C">
        <w:rPr>
          <w:rFonts w:cstheme="minorHAnsi"/>
        </w:rPr>
        <w:t>, RSO 1990, c F.3, s 5(1).</w:t>
      </w:r>
    </w:p>
  </w:endnote>
  <w:endnote w:id="141">
    <w:p w:rsidR="0007012D" w:rsidRPr="00B1563C" w:rsidRDefault="0007012D" w:rsidP="00E12BAB">
      <w:pPr>
        <w:pStyle w:val="EndnoteText"/>
        <w:jc w:val="both"/>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Family Law Act</w:t>
      </w:r>
      <w:r w:rsidRPr="00B1563C">
        <w:rPr>
          <w:rFonts w:cstheme="minorHAnsi"/>
        </w:rPr>
        <w:t>, RSO 1990, c F.3, s 4(1) (definition ‘net family property’).</w:t>
      </w:r>
    </w:p>
  </w:endnote>
  <w:endnote w:id="142">
    <w:p w:rsidR="0007012D" w:rsidRPr="00B1563C" w:rsidRDefault="0007012D" w:rsidP="00E12BAB">
      <w:pPr>
        <w:pStyle w:val="EndnoteText"/>
        <w:jc w:val="both"/>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 xml:space="preserve">Family Law Act, </w:t>
      </w:r>
      <w:r w:rsidRPr="00B1563C">
        <w:rPr>
          <w:rFonts w:cstheme="minorHAnsi"/>
        </w:rPr>
        <w:t xml:space="preserve">SBC 2011, c 25, s 85(1). </w:t>
      </w:r>
    </w:p>
  </w:endnote>
  <w:endnote w:id="143">
    <w:p w:rsidR="0007012D" w:rsidRPr="00B1563C" w:rsidRDefault="0007012D" w:rsidP="00E12BAB">
      <w:pPr>
        <w:pStyle w:val="EndnoteText"/>
        <w:jc w:val="both"/>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Family Law Act</w:t>
      </w:r>
      <w:r w:rsidRPr="00B1563C">
        <w:rPr>
          <w:rFonts w:cstheme="minorHAnsi"/>
        </w:rPr>
        <w:t xml:space="preserve">, RSO 1990, c F.3, s 5(6); See generally </w:t>
      </w:r>
      <w:r w:rsidRPr="00B1563C">
        <w:rPr>
          <w:rFonts w:cstheme="minorHAnsi"/>
          <w:i/>
        </w:rPr>
        <w:t>Czieslik v Ayuso</w:t>
      </w:r>
      <w:r w:rsidRPr="00B1563C">
        <w:rPr>
          <w:rFonts w:cstheme="minorHAnsi"/>
        </w:rPr>
        <w:t xml:space="preserve"> [2007] ONCA 305; </w:t>
      </w:r>
      <w:r w:rsidRPr="00B1563C">
        <w:rPr>
          <w:rFonts w:cstheme="minorHAnsi"/>
          <w:i/>
        </w:rPr>
        <w:t>Brett v Brett</w:t>
      </w:r>
      <w:r w:rsidRPr="00B1563C">
        <w:rPr>
          <w:rFonts w:cstheme="minorHAnsi"/>
        </w:rPr>
        <w:t xml:space="preserve"> (1999) 44 OR (3d) 61, [1999] OJ 1384; </w:t>
      </w:r>
      <w:r w:rsidRPr="00B1563C">
        <w:rPr>
          <w:rFonts w:cstheme="minorHAnsi"/>
          <w:i/>
        </w:rPr>
        <w:t xml:space="preserve">Kuzmanovic v Kuzmanovic </w:t>
      </w:r>
      <w:r w:rsidRPr="00B1563C">
        <w:rPr>
          <w:rFonts w:cstheme="minorHAnsi"/>
        </w:rPr>
        <w:t>[2001] OJ 1450, 16 RFL. (5th) 300.</w:t>
      </w:r>
    </w:p>
  </w:endnote>
  <w:endnote w:id="144">
    <w:p w:rsidR="0007012D" w:rsidRPr="00B1563C" w:rsidRDefault="0007012D" w:rsidP="00E12BAB">
      <w:pPr>
        <w:pStyle w:val="EndnoteText"/>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White v White</w:t>
      </w:r>
      <w:r w:rsidRPr="00B1563C">
        <w:rPr>
          <w:rFonts w:cstheme="minorHAnsi"/>
        </w:rPr>
        <w:t xml:space="preserve"> [2001] 1 All ER 1, [2001] 1 AC 596, [25].</w:t>
      </w:r>
    </w:p>
  </w:endnote>
  <w:endnote w:id="145">
    <w:p w:rsidR="0007012D" w:rsidRPr="00B1563C" w:rsidRDefault="0007012D" w:rsidP="00E12BAB">
      <w:pPr>
        <w:pStyle w:val="EndnoteText"/>
        <w:jc w:val="both"/>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Charman v Charman (No 4)</w:t>
      </w:r>
      <w:r w:rsidRPr="00B1563C">
        <w:rPr>
          <w:rFonts w:cstheme="minorHAnsi"/>
        </w:rPr>
        <w:t xml:space="preserve"> [2007] EWCA Civ 503, [66], [83]-[86]; See also </w:t>
      </w:r>
      <w:r w:rsidRPr="00B1563C">
        <w:rPr>
          <w:rFonts w:cstheme="minorHAnsi"/>
          <w:i/>
        </w:rPr>
        <w:t>Miller v Miller; McFarlane v McFarlane</w:t>
      </w:r>
      <w:r w:rsidRPr="00B1563C">
        <w:rPr>
          <w:rFonts w:cstheme="minorHAnsi"/>
        </w:rPr>
        <w:t xml:space="preserve"> [2006] 3 All ER 1, [2006] UKHL 24.</w:t>
      </w:r>
    </w:p>
  </w:endnote>
  <w:endnote w:id="146">
    <w:p w:rsidR="0007012D" w:rsidRPr="00B1563C" w:rsidRDefault="0007012D" w:rsidP="00B41B0A">
      <w:pPr>
        <w:pStyle w:val="EndnoteText"/>
        <w:jc w:val="both"/>
        <w:rPr>
          <w:rFonts w:cstheme="minorHAnsi"/>
        </w:rPr>
      </w:pPr>
      <w:r w:rsidRPr="00B1563C">
        <w:rPr>
          <w:rStyle w:val="EndnoteReference"/>
          <w:rFonts w:cstheme="minorHAnsi"/>
        </w:rPr>
        <w:endnoteRef/>
      </w:r>
      <w:r w:rsidRPr="00B1563C">
        <w:rPr>
          <w:rFonts w:cstheme="minorHAnsi"/>
        </w:rPr>
        <w:t xml:space="preserve"> See, eg, </w:t>
      </w:r>
      <w:r w:rsidRPr="00B1563C">
        <w:rPr>
          <w:rFonts w:cstheme="minorHAnsi"/>
          <w:i/>
        </w:rPr>
        <w:t xml:space="preserve">K &amp; L </w:t>
      </w:r>
      <w:r w:rsidRPr="00B1563C">
        <w:rPr>
          <w:rFonts w:cstheme="minorHAnsi"/>
        </w:rPr>
        <w:t xml:space="preserve">[2011] EWCA Civ 550; </w:t>
      </w:r>
      <w:r w:rsidRPr="00B1563C">
        <w:rPr>
          <w:rFonts w:cstheme="minorHAnsi"/>
          <w:i/>
        </w:rPr>
        <w:t>Cowan v Cowan</w:t>
      </w:r>
      <w:r w:rsidRPr="00B1563C">
        <w:rPr>
          <w:rFonts w:cstheme="minorHAnsi"/>
        </w:rPr>
        <w:t xml:space="preserve"> </w:t>
      </w:r>
      <w:r w:rsidRPr="00B1563C">
        <w:rPr>
          <w:rFonts w:cstheme="minorHAnsi"/>
          <w:bCs/>
        </w:rPr>
        <w:t>[2001] EWCA Civ</w:t>
      </w:r>
      <w:r w:rsidRPr="00B1563C">
        <w:rPr>
          <w:rFonts w:cstheme="minorHAnsi"/>
          <w:b/>
          <w:bCs/>
        </w:rPr>
        <w:t xml:space="preserve"> </w:t>
      </w:r>
      <w:r w:rsidRPr="00B1563C">
        <w:rPr>
          <w:rFonts w:cstheme="minorHAnsi"/>
          <w:bCs/>
        </w:rPr>
        <w:t xml:space="preserve">679; </w:t>
      </w:r>
      <w:r w:rsidRPr="00B1563C">
        <w:rPr>
          <w:rFonts w:cstheme="minorHAnsi"/>
          <w:i/>
        </w:rPr>
        <w:t xml:space="preserve">Lambert v Lambert </w:t>
      </w:r>
      <w:r w:rsidRPr="00B1563C">
        <w:rPr>
          <w:rFonts w:cstheme="minorHAnsi"/>
        </w:rPr>
        <w:t>[</w:t>
      </w:r>
      <w:r w:rsidRPr="00B1563C">
        <w:rPr>
          <w:rFonts w:cstheme="minorHAnsi"/>
          <w:bCs/>
        </w:rPr>
        <w:t xml:space="preserve">2002] EWCA Civ 1685; </w:t>
      </w:r>
      <w:r w:rsidRPr="00B1563C">
        <w:rPr>
          <w:rFonts w:cstheme="minorHAnsi"/>
          <w:bCs/>
          <w:i/>
        </w:rPr>
        <w:t>SK v TK</w:t>
      </w:r>
      <w:r w:rsidRPr="00B1563C">
        <w:rPr>
          <w:rFonts w:cstheme="minorHAnsi"/>
          <w:bCs/>
        </w:rPr>
        <w:t xml:space="preserve"> [2013] EWHC 834 (Fam); </w:t>
      </w:r>
      <w:r w:rsidRPr="00B1563C">
        <w:rPr>
          <w:rFonts w:cstheme="minorHAnsi"/>
          <w:bCs/>
          <w:i/>
        </w:rPr>
        <w:t xml:space="preserve">Cooper-Hohn v Hohn </w:t>
      </w:r>
      <w:r w:rsidRPr="00B1563C">
        <w:rPr>
          <w:rFonts w:cstheme="minorHAnsi"/>
          <w:bCs/>
        </w:rPr>
        <w:t>[2014] EWHC 4122 (Fam).</w:t>
      </w:r>
    </w:p>
  </w:endnote>
  <w:endnote w:id="147">
    <w:p w:rsidR="0007012D" w:rsidRPr="00B1563C" w:rsidRDefault="0007012D" w:rsidP="00B41B0A">
      <w:pPr>
        <w:pStyle w:val="EndnoteText"/>
        <w:jc w:val="both"/>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 xml:space="preserve">Property (Relationships) Act 1976 </w:t>
      </w:r>
      <w:r w:rsidRPr="00B1563C">
        <w:rPr>
          <w:rFonts w:cstheme="minorHAnsi"/>
        </w:rPr>
        <w:t>(NZ) s 15(1).</w:t>
      </w:r>
    </w:p>
  </w:endnote>
  <w:endnote w:id="148">
    <w:p w:rsidR="0007012D" w:rsidRPr="00B1563C" w:rsidRDefault="0007012D" w:rsidP="00B41B0A">
      <w:pPr>
        <w:pStyle w:val="EndnoteText"/>
        <w:jc w:val="both"/>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X v X [Economic Disparity]</w:t>
      </w:r>
      <w:r w:rsidRPr="00B1563C">
        <w:rPr>
          <w:rFonts w:cstheme="minorHAnsi"/>
        </w:rPr>
        <w:t xml:space="preserve"> [2009] NZFLR 985 [50].</w:t>
      </w:r>
    </w:p>
  </w:endnote>
  <w:endnote w:id="149">
    <w:p w:rsidR="0007012D" w:rsidRPr="00B1563C" w:rsidRDefault="0007012D" w:rsidP="00B41B0A">
      <w:pPr>
        <w:pStyle w:val="EndnoteText"/>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 xml:space="preserve">Property (Relationships) Act 1976 </w:t>
      </w:r>
      <w:r w:rsidRPr="00B1563C">
        <w:rPr>
          <w:rFonts w:cstheme="minorHAnsi"/>
        </w:rPr>
        <w:t>(NZ) s 15(2).</w:t>
      </w:r>
    </w:p>
  </w:endnote>
  <w:endnote w:id="150">
    <w:p w:rsidR="0007012D" w:rsidRPr="00B1563C" w:rsidRDefault="0007012D" w:rsidP="00B41B0A">
      <w:pPr>
        <w:pStyle w:val="EndnoteText"/>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 xml:space="preserve">S &amp; W </w:t>
      </w:r>
      <w:r w:rsidRPr="00B1563C">
        <w:rPr>
          <w:rFonts w:cstheme="minorHAnsi"/>
        </w:rPr>
        <w:t>[2016] NZCA 356 [82].</w:t>
      </w:r>
    </w:p>
  </w:endnote>
  <w:endnote w:id="151">
    <w:p w:rsidR="0007012D" w:rsidRPr="00B1563C" w:rsidRDefault="0007012D" w:rsidP="00B41B0A">
      <w:pPr>
        <w:pStyle w:val="EndnoteText"/>
        <w:jc w:val="both"/>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X v X [Economic Disparity]</w:t>
      </w:r>
      <w:r w:rsidRPr="00B1563C">
        <w:rPr>
          <w:rFonts w:cstheme="minorHAnsi"/>
        </w:rPr>
        <w:t xml:space="preserve"> [2009] NZFLR 985 [77]; see also </w:t>
      </w:r>
      <w:r w:rsidRPr="00B1563C">
        <w:rPr>
          <w:rFonts w:cstheme="minorHAnsi"/>
          <w:i/>
        </w:rPr>
        <w:t>M v B</w:t>
      </w:r>
      <w:r w:rsidRPr="00B1563C">
        <w:rPr>
          <w:rFonts w:cstheme="minorHAnsi"/>
        </w:rPr>
        <w:t xml:space="preserve"> [2006] 3 NZLR 660 [140]; </w:t>
      </w:r>
      <w:r w:rsidRPr="00B1563C">
        <w:rPr>
          <w:rFonts w:cstheme="minorHAnsi"/>
          <w:i/>
        </w:rPr>
        <w:t xml:space="preserve">Nation v Nation </w:t>
      </w:r>
      <w:r w:rsidRPr="00B1563C">
        <w:rPr>
          <w:rFonts w:cstheme="minorHAnsi"/>
        </w:rPr>
        <w:t>[2005] 3 NZLR 46 [162].</w:t>
      </w:r>
    </w:p>
  </w:endnote>
  <w:endnote w:id="152">
    <w:p w:rsidR="0007012D" w:rsidRPr="00B1563C" w:rsidRDefault="0007012D" w:rsidP="00B41B0A">
      <w:pPr>
        <w:pStyle w:val="EndnoteText"/>
        <w:jc w:val="both"/>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 xml:space="preserve">B v B </w:t>
      </w:r>
      <w:r w:rsidRPr="00B1563C">
        <w:rPr>
          <w:rFonts w:cstheme="minorHAnsi"/>
        </w:rPr>
        <w:t>[2004] NZFLR 127 [53].</w:t>
      </w:r>
    </w:p>
  </w:endnote>
  <w:endnote w:id="153">
    <w:p w:rsidR="0007012D" w:rsidRPr="00B1563C" w:rsidRDefault="0007012D" w:rsidP="00B41B0A">
      <w:pPr>
        <w:pStyle w:val="EndnoteText"/>
        <w:jc w:val="both"/>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bCs/>
          <w:i/>
        </w:rPr>
        <w:t>De Malmanche v De Malmanche</w:t>
      </w:r>
      <w:r w:rsidRPr="00B1563C">
        <w:rPr>
          <w:rFonts w:cstheme="minorHAnsi"/>
          <w:bCs/>
        </w:rPr>
        <w:t xml:space="preserve"> [2002] 2 NZLR 838 </w:t>
      </w:r>
      <w:r w:rsidRPr="00B1563C">
        <w:rPr>
          <w:rFonts w:cstheme="minorHAnsi"/>
          <w:b/>
          <w:bCs/>
        </w:rPr>
        <w:t>[</w:t>
      </w:r>
      <w:r w:rsidRPr="00B1563C">
        <w:rPr>
          <w:rFonts w:cstheme="minorHAnsi"/>
        </w:rPr>
        <w:t>151].</w:t>
      </w:r>
    </w:p>
  </w:endnote>
  <w:endnote w:id="154">
    <w:p w:rsidR="0007012D" w:rsidRPr="00B1563C" w:rsidRDefault="0007012D" w:rsidP="00B41B0A">
      <w:pPr>
        <w:pStyle w:val="EndnoteText"/>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 xml:space="preserve">S &amp; W </w:t>
      </w:r>
      <w:r w:rsidRPr="00B1563C">
        <w:rPr>
          <w:rFonts w:cstheme="minorHAnsi"/>
        </w:rPr>
        <w:t>[2016] NZCA 356 [82].</w:t>
      </w:r>
    </w:p>
  </w:endnote>
  <w:endnote w:id="155">
    <w:p w:rsidR="0007012D" w:rsidRPr="00B1563C" w:rsidRDefault="0007012D" w:rsidP="00B41B0A">
      <w:pPr>
        <w:pStyle w:val="EndnoteText"/>
        <w:rPr>
          <w:rFonts w:cstheme="minorHAnsi"/>
        </w:rPr>
      </w:pPr>
      <w:r w:rsidRPr="00B1563C">
        <w:rPr>
          <w:rStyle w:val="EndnoteReference"/>
          <w:rFonts w:cstheme="minorHAnsi"/>
        </w:rPr>
        <w:endnoteRef/>
      </w:r>
      <w:r w:rsidRPr="00B1563C">
        <w:rPr>
          <w:rFonts w:cstheme="minorHAnsi"/>
        </w:rPr>
        <w:t xml:space="preserve"> Ibid [91]; cf </w:t>
      </w:r>
      <w:r w:rsidRPr="00B1563C">
        <w:rPr>
          <w:rFonts w:cstheme="minorHAnsi"/>
          <w:i/>
        </w:rPr>
        <w:t xml:space="preserve">C v C </w:t>
      </w:r>
      <w:r w:rsidRPr="00B1563C">
        <w:rPr>
          <w:rFonts w:cstheme="minorHAnsi"/>
        </w:rPr>
        <w:t>[2014] NZFLR 9 [133] - [141].</w:t>
      </w:r>
    </w:p>
  </w:endnote>
  <w:endnote w:id="156">
    <w:p w:rsidR="0007012D" w:rsidRPr="00B1563C" w:rsidRDefault="0007012D" w:rsidP="00B41B0A">
      <w:pPr>
        <w:pStyle w:val="EndnoteText"/>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 xml:space="preserve">S &amp; W </w:t>
      </w:r>
      <w:r w:rsidRPr="00B1563C">
        <w:rPr>
          <w:rFonts w:cstheme="minorHAnsi"/>
        </w:rPr>
        <w:t>[2016] NZCA 356 [86].</w:t>
      </w:r>
    </w:p>
  </w:endnote>
  <w:endnote w:id="157">
    <w:p w:rsidR="0007012D" w:rsidRPr="00B1563C" w:rsidRDefault="0007012D" w:rsidP="00B41B0A">
      <w:pPr>
        <w:pStyle w:val="EndnoteText"/>
        <w:jc w:val="both"/>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 xml:space="preserve">Family Law Act, </w:t>
      </w:r>
      <w:r w:rsidRPr="00B1563C">
        <w:rPr>
          <w:rFonts w:cstheme="minorHAnsi"/>
        </w:rPr>
        <w:t xml:space="preserve">SBC 2011, c 25, ss 95(1), 95(2); see also </w:t>
      </w:r>
      <w:r w:rsidRPr="00B1563C">
        <w:rPr>
          <w:rFonts w:cstheme="minorHAnsi"/>
          <w:i/>
        </w:rPr>
        <w:t xml:space="preserve">Family Law Act, </w:t>
      </w:r>
      <w:r w:rsidRPr="00B1563C">
        <w:rPr>
          <w:rFonts w:cstheme="minorHAnsi"/>
        </w:rPr>
        <w:t>SBC 2011, c 25, s 95(3).</w:t>
      </w:r>
    </w:p>
  </w:endnote>
  <w:endnote w:id="158">
    <w:p w:rsidR="0007012D" w:rsidRPr="00B1563C" w:rsidRDefault="0007012D" w:rsidP="00B41B0A">
      <w:pPr>
        <w:pStyle w:val="EndnoteText"/>
        <w:jc w:val="both"/>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Murchie v Murchie</w:t>
      </w:r>
      <w:r w:rsidRPr="00B1563C">
        <w:rPr>
          <w:rFonts w:cstheme="minorHAnsi"/>
        </w:rPr>
        <w:t xml:space="preserve"> (1984) 53 BCLR 157, 39 RFL. (2d) 385; See also </w:t>
      </w:r>
      <w:r w:rsidRPr="00B1563C">
        <w:rPr>
          <w:rFonts w:cstheme="minorHAnsi"/>
          <w:i/>
        </w:rPr>
        <w:t>Devine v Devine</w:t>
      </w:r>
      <w:r w:rsidRPr="00B1563C">
        <w:rPr>
          <w:rFonts w:cstheme="minorHAnsi"/>
        </w:rPr>
        <w:t xml:space="preserve"> 2012 BCCA 509.</w:t>
      </w:r>
    </w:p>
  </w:endnote>
  <w:endnote w:id="159">
    <w:p w:rsidR="0007012D" w:rsidRPr="00B1563C" w:rsidRDefault="0007012D" w:rsidP="00B41B0A">
      <w:pPr>
        <w:pStyle w:val="EndnoteText"/>
        <w:jc w:val="both"/>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Merklinger v. Merklinger</w:t>
      </w:r>
      <w:r w:rsidRPr="00B1563C">
        <w:rPr>
          <w:rFonts w:cstheme="minorHAnsi"/>
        </w:rPr>
        <w:t xml:space="preserve"> (1992) ONCA 642 [258], cited in </w:t>
      </w:r>
      <w:r w:rsidRPr="00B1563C">
        <w:rPr>
          <w:rFonts w:cstheme="minorHAnsi"/>
          <w:i/>
        </w:rPr>
        <w:t>Serra v Serra</w:t>
      </w:r>
      <w:r w:rsidRPr="00B1563C">
        <w:rPr>
          <w:rFonts w:cstheme="minorHAnsi"/>
        </w:rPr>
        <w:t xml:space="preserve"> (2009) ONCA 105 [47]; See generally Malcolm Kronby, </w:t>
      </w:r>
      <w:r w:rsidRPr="00B1563C">
        <w:rPr>
          <w:rFonts w:cstheme="minorHAnsi"/>
          <w:i/>
        </w:rPr>
        <w:t>Canadian Family Law</w:t>
      </w:r>
      <w:r w:rsidRPr="00B1563C">
        <w:rPr>
          <w:rFonts w:cstheme="minorHAnsi"/>
        </w:rPr>
        <w:t xml:space="preserve"> (Wiley, 10</w:t>
      </w:r>
      <w:r w:rsidRPr="00B1563C">
        <w:rPr>
          <w:rFonts w:cstheme="minorHAnsi"/>
          <w:vertAlign w:val="superscript"/>
        </w:rPr>
        <w:t>th</w:t>
      </w:r>
      <w:r w:rsidRPr="00B1563C">
        <w:rPr>
          <w:rFonts w:cstheme="minorHAnsi"/>
        </w:rPr>
        <w:t xml:space="preserve"> ed, 2010) 136-137. </w:t>
      </w:r>
    </w:p>
  </w:endnote>
  <w:endnote w:id="160">
    <w:p w:rsidR="0007012D" w:rsidRPr="00B1563C" w:rsidRDefault="0007012D" w:rsidP="00596AF2">
      <w:pPr>
        <w:pStyle w:val="EndnoteText"/>
        <w:jc w:val="both"/>
        <w:rPr>
          <w:rFonts w:cstheme="minorHAnsi"/>
        </w:rPr>
      </w:pPr>
      <w:r w:rsidRPr="00B1563C">
        <w:rPr>
          <w:rStyle w:val="EndnoteReference"/>
          <w:rFonts w:cstheme="minorHAnsi"/>
        </w:rPr>
        <w:endnoteRef/>
      </w:r>
      <w:r w:rsidRPr="00B1563C">
        <w:rPr>
          <w:rFonts w:cstheme="minorHAnsi"/>
        </w:rPr>
        <w:t xml:space="preserve"> Joint Select Committee on the Family Law Act, Parliament of Australia, </w:t>
      </w:r>
      <w:r w:rsidRPr="00B1563C">
        <w:rPr>
          <w:rFonts w:cstheme="minorHAnsi"/>
          <w:i/>
        </w:rPr>
        <w:t xml:space="preserve">Family Law in Australia </w:t>
      </w:r>
      <w:r w:rsidRPr="00B1563C">
        <w:rPr>
          <w:rFonts w:cstheme="minorHAnsi"/>
        </w:rPr>
        <w:t>(1980) 107.</w:t>
      </w:r>
    </w:p>
  </w:endnote>
  <w:endnote w:id="161">
    <w:p w:rsidR="0007012D" w:rsidRPr="00B1563C" w:rsidRDefault="0007012D" w:rsidP="00596AF2">
      <w:pPr>
        <w:pStyle w:val="EndnoteText"/>
        <w:rPr>
          <w:rFonts w:cstheme="minorHAnsi"/>
        </w:rPr>
      </w:pPr>
      <w:r w:rsidRPr="00B1563C">
        <w:rPr>
          <w:rStyle w:val="EndnoteReference"/>
          <w:rFonts w:cstheme="minorHAnsi"/>
        </w:rPr>
        <w:endnoteRef/>
      </w:r>
      <w:r w:rsidRPr="00B1563C">
        <w:rPr>
          <w:rFonts w:cstheme="minorHAnsi"/>
        </w:rPr>
        <w:t xml:space="preserve"> Law Reform Commission,</w:t>
      </w:r>
      <w:r w:rsidRPr="00B1563C">
        <w:rPr>
          <w:rFonts w:cstheme="minorHAnsi"/>
          <w:i/>
        </w:rPr>
        <w:t xml:space="preserve"> Matrimonial</w:t>
      </w:r>
      <w:r w:rsidRPr="00B1563C">
        <w:rPr>
          <w:rFonts w:cstheme="minorHAnsi"/>
        </w:rPr>
        <w:t xml:space="preserve"> </w:t>
      </w:r>
      <w:r w:rsidRPr="00B1563C">
        <w:rPr>
          <w:rFonts w:cstheme="minorHAnsi"/>
          <w:i/>
        </w:rPr>
        <w:t>Property,</w:t>
      </w:r>
      <w:r w:rsidRPr="00B1563C">
        <w:rPr>
          <w:rFonts w:cstheme="minorHAnsi"/>
        </w:rPr>
        <w:t xml:space="preserve"> Report No 39 (1987) [350]. </w:t>
      </w:r>
    </w:p>
  </w:endnote>
  <w:endnote w:id="162">
    <w:p w:rsidR="0007012D" w:rsidRPr="00B1563C" w:rsidRDefault="0007012D" w:rsidP="00596AF2">
      <w:pPr>
        <w:pStyle w:val="EndnoteText"/>
        <w:jc w:val="both"/>
        <w:rPr>
          <w:rFonts w:cstheme="minorHAnsi"/>
        </w:rPr>
      </w:pPr>
      <w:r w:rsidRPr="00B1563C">
        <w:rPr>
          <w:rStyle w:val="EndnoteReference"/>
          <w:rFonts w:cstheme="minorHAnsi"/>
        </w:rPr>
        <w:endnoteRef/>
      </w:r>
      <w:r w:rsidRPr="00B1563C">
        <w:rPr>
          <w:rFonts w:cstheme="minorHAnsi"/>
        </w:rPr>
        <w:t xml:space="preserve"> Ibid [363].</w:t>
      </w:r>
    </w:p>
  </w:endnote>
  <w:endnote w:id="163">
    <w:p w:rsidR="0007012D" w:rsidRPr="00B1563C" w:rsidRDefault="0007012D" w:rsidP="00596AF2">
      <w:pPr>
        <w:pStyle w:val="EndnoteText"/>
        <w:rPr>
          <w:rFonts w:cstheme="minorHAnsi"/>
        </w:rPr>
      </w:pPr>
      <w:r w:rsidRPr="00B1563C">
        <w:rPr>
          <w:rStyle w:val="EndnoteReference"/>
          <w:rFonts w:cstheme="minorHAnsi"/>
        </w:rPr>
        <w:endnoteRef/>
      </w:r>
      <w:r w:rsidRPr="00B1563C">
        <w:rPr>
          <w:rFonts w:cstheme="minorHAnsi"/>
        </w:rPr>
        <w:t xml:space="preserve"> Ibid [364].</w:t>
      </w:r>
    </w:p>
  </w:endnote>
  <w:endnote w:id="164">
    <w:p w:rsidR="0007012D" w:rsidRPr="00B1563C" w:rsidRDefault="0007012D" w:rsidP="00596AF2">
      <w:pPr>
        <w:pStyle w:val="EndnoteText"/>
        <w:jc w:val="both"/>
        <w:rPr>
          <w:rFonts w:cstheme="minorHAnsi"/>
        </w:rPr>
      </w:pPr>
      <w:r w:rsidRPr="00B1563C">
        <w:rPr>
          <w:rStyle w:val="EndnoteReference"/>
          <w:rFonts w:cstheme="minorHAnsi"/>
        </w:rPr>
        <w:endnoteRef/>
      </w:r>
      <w:r w:rsidRPr="00B1563C">
        <w:rPr>
          <w:rFonts w:cstheme="minorHAnsi"/>
        </w:rPr>
        <w:t xml:space="preserve"> Joint Select Committee on Certain Aspects of the Operation and Interpretation of the Family Law Act, Parliament of Australia, </w:t>
      </w:r>
      <w:r w:rsidRPr="00B1563C">
        <w:rPr>
          <w:rFonts w:cstheme="minorHAnsi"/>
          <w:i/>
        </w:rPr>
        <w:t>The Family Law Act 1975 – Aspects of Its Operation and Interpretation</w:t>
      </w:r>
      <w:r w:rsidRPr="00B1563C">
        <w:rPr>
          <w:rFonts w:cstheme="minorHAnsi"/>
        </w:rPr>
        <w:t xml:space="preserve"> (1992) 233.</w:t>
      </w:r>
    </w:p>
  </w:endnote>
  <w:endnote w:id="165">
    <w:p w:rsidR="0007012D" w:rsidRPr="00B1563C" w:rsidRDefault="0007012D" w:rsidP="00596AF2">
      <w:pPr>
        <w:pStyle w:val="EndnoteText"/>
        <w:jc w:val="both"/>
        <w:rPr>
          <w:rFonts w:cstheme="minorHAnsi"/>
        </w:rPr>
      </w:pPr>
      <w:r w:rsidRPr="00B1563C">
        <w:rPr>
          <w:rStyle w:val="EndnoteReference"/>
          <w:rFonts w:cstheme="minorHAnsi"/>
        </w:rPr>
        <w:endnoteRef/>
      </w:r>
      <w:r w:rsidRPr="00B1563C">
        <w:rPr>
          <w:rFonts w:cstheme="minorHAnsi"/>
        </w:rPr>
        <w:t xml:space="preserve"> Family Law Reform Bill (No.2) 1994 (Cth).</w:t>
      </w:r>
    </w:p>
  </w:endnote>
  <w:endnote w:id="166">
    <w:p w:rsidR="0007012D" w:rsidRPr="00B1563C" w:rsidRDefault="0007012D" w:rsidP="00596AF2">
      <w:pPr>
        <w:pStyle w:val="EndnoteText"/>
        <w:jc w:val="both"/>
        <w:rPr>
          <w:rFonts w:cstheme="minorHAnsi"/>
        </w:rPr>
      </w:pPr>
      <w:r w:rsidRPr="00B1563C">
        <w:rPr>
          <w:rStyle w:val="EndnoteReference"/>
          <w:rFonts w:cstheme="minorHAnsi"/>
        </w:rPr>
        <w:endnoteRef/>
      </w:r>
      <w:r w:rsidRPr="00B1563C">
        <w:rPr>
          <w:rFonts w:cstheme="minorHAnsi"/>
        </w:rPr>
        <w:t xml:space="preserve"> Ibid cl 15.</w:t>
      </w:r>
    </w:p>
  </w:endnote>
  <w:endnote w:id="167">
    <w:p w:rsidR="0007012D" w:rsidRPr="00B1563C" w:rsidRDefault="0007012D" w:rsidP="00596AF2">
      <w:pPr>
        <w:pStyle w:val="EndnoteText"/>
        <w:jc w:val="both"/>
        <w:rPr>
          <w:rFonts w:cstheme="minorHAnsi"/>
        </w:rPr>
      </w:pPr>
      <w:r w:rsidRPr="00B1563C">
        <w:rPr>
          <w:rStyle w:val="EndnoteReference"/>
          <w:rFonts w:cstheme="minorHAnsi"/>
        </w:rPr>
        <w:endnoteRef/>
      </w:r>
      <w:r w:rsidRPr="00B1563C">
        <w:rPr>
          <w:rFonts w:cstheme="minorHAnsi"/>
        </w:rPr>
        <w:t xml:space="preserve"> Attorney-General’s Department, Commonwealth of Australia, </w:t>
      </w:r>
      <w:r w:rsidRPr="00B1563C">
        <w:rPr>
          <w:rFonts w:cstheme="minorHAnsi"/>
          <w:i/>
        </w:rPr>
        <w:t>Property and Family Law-Options for Change</w:t>
      </w:r>
      <w:r w:rsidRPr="00B1563C">
        <w:rPr>
          <w:rFonts w:cstheme="minorHAnsi"/>
        </w:rPr>
        <w:t xml:space="preserve"> (Discussion Paper, 1999) 36. </w:t>
      </w:r>
    </w:p>
  </w:endnote>
  <w:endnote w:id="168">
    <w:p w:rsidR="0007012D" w:rsidRPr="00B1563C" w:rsidRDefault="0007012D" w:rsidP="00596AF2">
      <w:pPr>
        <w:pStyle w:val="EndnoteText"/>
        <w:jc w:val="both"/>
        <w:rPr>
          <w:rFonts w:cstheme="minorHAnsi"/>
        </w:rPr>
      </w:pPr>
      <w:r w:rsidRPr="00B1563C">
        <w:rPr>
          <w:rStyle w:val="EndnoteReference"/>
          <w:rFonts w:cstheme="minorHAnsi"/>
        </w:rPr>
        <w:endnoteRef/>
      </w:r>
      <w:r w:rsidRPr="00B1563C">
        <w:rPr>
          <w:rFonts w:cstheme="minorHAnsi"/>
        </w:rPr>
        <w:t xml:space="preserve"> Ibid 40. </w:t>
      </w:r>
    </w:p>
  </w:endnote>
  <w:endnote w:id="169">
    <w:p w:rsidR="0007012D" w:rsidRPr="00B1563C" w:rsidRDefault="0007012D" w:rsidP="00596AF2">
      <w:pPr>
        <w:pStyle w:val="EndnoteText"/>
        <w:jc w:val="both"/>
        <w:rPr>
          <w:rFonts w:cstheme="minorHAnsi"/>
        </w:rPr>
      </w:pPr>
      <w:r w:rsidRPr="00B1563C">
        <w:rPr>
          <w:rStyle w:val="EndnoteReference"/>
          <w:rFonts w:cstheme="minorHAnsi"/>
        </w:rPr>
        <w:endnoteRef/>
      </w:r>
      <w:r w:rsidRPr="00B1563C">
        <w:rPr>
          <w:rFonts w:cstheme="minorHAnsi"/>
        </w:rPr>
        <w:t xml:space="preserve"> Ibid 39; See generally Stephen Bourke, ‘Matrimonial Property Law – A Discussion of the Reform Options’ (Discussion Paper, Attorney-General’s Department, 1 May 1999); See also Attorney-General’s Department, Commonwealth of Australia, </w:t>
      </w:r>
      <w:r w:rsidRPr="00B1563C">
        <w:rPr>
          <w:rFonts w:cstheme="minorHAnsi"/>
          <w:i/>
        </w:rPr>
        <w:t xml:space="preserve">Superannuation, and Family Law </w:t>
      </w:r>
      <w:r w:rsidRPr="00B1563C">
        <w:rPr>
          <w:rFonts w:cstheme="minorHAnsi"/>
        </w:rPr>
        <w:t>(Discussion Paper, 1998).</w:t>
      </w:r>
    </w:p>
  </w:endnote>
  <w:endnote w:id="170">
    <w:p w:rsidR="0007012D" w:rsidRPr="00B1563C" w:rsidRDefault="0007012D" w:rsidP="00596AF2">
      <w:pPr>
        <w:pStyle w:val="EndnoteText"/>
        <w:jc w:val="both"/>
        <w:rPr>
          <w:rFonts w:cstheme="minorHAnsi"/>
        </w:rPr>
      </w:pPr>
      <w:r w:rsidRPr="00B1563C">
        <w:rPr>
          <w:rStyle w:val="EndnoteReference"/>
          <w:rFonts w:cstheme="minorHAnsi"/>
        </w:rPr>
        <w:endnoteRef/>
      </w:r>
      <w:r w:rsidRPr="00B1563C">
        <w:rPr>
          <w:rFonts w:cstheme="minorHAnsi"/>
        </w:rPr>
        <w:t xml:space="preserve"> Family Law Council, </w:t>
      </w:r>
      <w:r w:rsidRPr="00B1563C">
        <w:rPr>
          <w:rFonts w:cstheme="minorHAnsi"/>
          <w:i/>
        </w:rPr>
        <w:t>Submission on the Discussion Paper: Property and Family Law – Options for Change</w:t>
      </w:r>
      <w:r w:rsidRPr="00B1563C">
        <w:rPr>
          <w:rFonts w:cstheme="minorHAnsi"/>
        </w:rPr>
        <w:t xml:space="preserve">, July 1999, 92. See also Peter Nygh, ‘Developments and Events: Reform of Matrimonial Property Law’ (1999) 13 </w:t>
      </w:r>
      <w:r w:rsidRPr="00B1563C">
        <w:rPr>
          <w:rFonts w:cstheme="minorHAnsi"/>
          <w:i/>
        </w:rPr>
        <w:t>Australian Journal of Family Law</w:t>
      </w:r>
      <w:r w:rsidRPr="00B1563C">
        <w:rPr>
          <w:rFonts w:cstheme="minorHAnsi"/>
        </w:rPr>
        <w:t xml:space="preserve"> 89.</w:t>
      </w:r>
    </w:p>
  </w:endnote>
  <w:endnote w:id="171">
    <w:p w:rsidR="0007012D" w:rsidRPr="00B1563C" w:rsidRDefault="0007012D" w:rsidP="00596AF2">
      <w:pPr>
        <w:pStyle w:val="EndnoteText"/>
        <w:jc w:val="both"/>
        <w:rPr>
          <w:rFonts w:cstheme="minorHAnsi"/>
        </w:rPr>
      </w:pPr>
      <w:r w:rsidRPr="00B1563C">
        <w:rPr>
          <w:rStyle w:val="EndnoteReference"/>
          <w:rFonts w:cstheme="minorHAnsi"/>
        </w:rPr>
        <w:endnoteRef/>
      </w:r>
      <w:r w:rsidRPr="00B1563C">
        <w:rPr>
          <w:rFonts w:cstheme="minorHAnsi"/>
        </w:rPr>
        <w:t xml:space="preserve"> Family Law Council, </w:t>
      </w:r>
      <w:r w:rsidRPr="00B1563C">
        <w:rPr>
          <w:rFonts w:cstheme="minorHAnsi"/>
          <w:i/>
        </w:rPr>
        <w:t>Submission on the Discussion Paper: Property and Family Law – Options for Change</w:t>
      </w:r>
      <w:r w:rsidRPr="00B1563C">
        <w:rPr>
          <w:rFonts w:cstheme="minorHAnsi"/>
        </w:rPr>
        <w:t>, July 1999, 99.</w:t>
      </w:r>
    </w:p>
  </w:endnote>
  <w:endnote w:id="172">
    <w:p w:rsidR="0007012D" w:rsidRPr="00D73980" w:rsidRDefault="0007012D">
      <w:pPr>
        <w:pStyle w:val="EndnoteText"/>
      </w:pPr>
      <w:r>
        <w:rPr>
          <w:rStyle w:val="EndnoteReference"/>
        </w:rPr>
        <w:endnoteRef/>
      </w:r>
      <w:r>
        <w:t xml:space="preserve"> </w:t>
      </w:r>
      <w:r>
        <w:rPr>
          <w:i/>
        </w:rPr>
        <w:t xml:space="preserve">Property (Relationships) Act 1976 </w:t>
      </w:r>
      <w:r>
        <w:t>(NZ) s 18.</w:t>
      </w:r>
    </w:p>
  </w:endnote>
  <w:endnote w:id="173">
    <w:p w:rsidR="0007012D" w:rsidRDefault="0007012D">
      <w:pPr>
        <w:pStyle w:val="EndnoteText"/>
      </w:pPr>
      <w:r>
        <w:rPr>
          <w:rStyle w:val="EndnoteReference"/>
        </w:rPr>
        <w:endnoteRef/>
      </w:r>
      <w:r>
        <w:t xml:space="preserve"> Ibid s 18(1)(c). </w:t>
      </w:r>
    </w:p>
  </w:endnote>
  <w:endnote w:id="174">
    <w:p w:rsidR="0007012D" w:rsidRPr="00B1563C" w:rsidRDefault="0007012D" w:rsidP="00314979">
      <w:pPr>
        <w:pStyle w:val="EndnoteText"/>
        <w:jc w:val="both"/>
        <w:rPr>
          <w:rFonts w:cstheme="minorHAnsi"/>
        </w:rPr>
      </w:pPr>
      <w:r w:rsidRPr="00B1563C">
        <w:rPr>
          <w:rStyle w:val="EndnoteReference"/>
          <w:rFonts w:cstheme="minorHAnsi"/>
        </w:rPr>
        <w:endnoteRef/>
      </w:r>
      <w:r w:rsidRPr="00B1563C">
        <w:rPr>
          <w:rFonts w:cstheme="minorHAnsi"/>
        </w:rPr>
        <w:t xml:space="preserve"> United Kingdom Family Justice Council, </w:t>
      </w:r>
      <w:r w:rsidRPr="00B1563C">
        <w:rPr>
          <w:rFonts w:cstheme="minorHAnsi"/>
          <w:i/>
        </w:rPr>
        <w:t xml:space="preserve">Sorting out Finances on Divorce </w:t>
      </w:r>
      <w:r w:rsidRPr="00B1563C">
        <w:rPr>
          <w:rFonts w:cstheme="minorHAnsi"/>
        </w:rPr>
        <w:t xml:space="preserve">(April 2016) Courts and Tribunals Judiciary </w:t>
      </w:r>
      <w:hyperlink r:id="rId11" w:history="1">
        <w:r w:rsidRPr="00B1563C">
          <w:rPr>
            <w:rStyle w:val="Hyperlink"/>
            <w:rFonts w:cstheme="minorHAnsi"/>
          </w:rPr>
          <w:t>https://www.judiciary.gov.uk/wp-content/uploads/2016/04/fjc-financial-needs-april-16-final.pdf</w:t>
        </w:r>
      </w:hyperlink>
      <w:r w:rsidRPr="00B1563C">
        <w:rPr>
          <w:rFonts w:cstheme="minorHAnsi"/>
        </w:rPr>
        <w:t xml:space="preserve"> . </w:t>
      </w:r>
    </w:p>
  </w:endnote>
  <w:endnote w:id="175">
    <w:p w:rsidR="0007012D" w:rsidRPr="00B1563C" w:rsidRDefault="0007012D" w:rsidP="00314979">
      <w:pPr>
        <w:pStyle w:val="EndnoteText"/>
        <w:rPr>
          <w:rFonts w:cstheme="minorHAnsi"/>
        </w:rPr>
      </w:pPr>
      <w:r w:rsidRPr="00B1563C">
        <w:rPr>
          <w:rStyle w:val="EndnoteReference"/>
          <w:rFonts w:cstheme="minorHAnsi"/>
        </w:rPr>
        <w:endnoteRef/>
      </w:r>
      <w:r w:rsidRPr="00B1563C">
        <w:rPr>
          <w:rFonts w:cstheme="minorHAnsi"/>
        </w:rPr>
        <w:t xml:space="preserve"> Ibid 11.</w:t>
      </w:r>
    </w:p>
  </w:endnote>
  <w:endnote w:id="176">
    <w:p w:rsidR="0007012D" w:rsidRPr="00B1563C" w:rsidRDefault="0007012D" w:rsidP="00314979">
      <w:pPr>
        <w:pStyle w:val="EndnoteText"/>
        <w:rPr>
          <w:rFonts w:cstheme="minorHAnsi"/>
        </w:rPr>
      </w:pPr>
      <w:r w:rsidRPr="00B1563C">
        <w:rPr>
          <w:rStyle w:val="EndnoteReference"/>
          <w:rFonts w:cstheme="minorHAnsi"/>
        </w:rPr>
        <w:endnoteRef/>
      </w:r>
      <w:r w:rsidRPr="00B1563C">
        <w:rPr>
          <w:rFonts w:cstheme="minorHAnsi"/>
        </w:rPr>
        <w:t xml:space="preserve"> Ibid.</w:t>
      </w:r>
    </w:p>
  </w:endnote>
  <w:endnote w:id="177">
    <w:p w:rsidR="0007012D" w:rsidRPr="00B1563C" w:rsidRDefault="0007012D" w:rsidP="00314979">
      <w:pPr>
        <w:pStyle w:val="EndnoteText"/>
        <w:rPr>
          <w:rFonts w:cstheme="minorHAnsi"/>
        </w:rPr>
      </w:pPr>
      <w:r w:rsidRPr="00B1563C">
        <w:rPr>
          <w:rStyle w:val="EndnoteReference"/>
          <w:rFonts w:cstheme="minorHAnsi"/>
        </w:rPr>
        <w:endnoteRef/>
      </w:r>
      <w:r w:rsidRPr="00B1563C">
        <w:rPr>
          <w:rFonts w:cstheme="minorHAnsi"/>
        </w:rPr>
        <w:t xml:space="preserve"> Ibid 12.</w:t>
      </w:r>
    </w:p>
  </w:endnote>
  <w:endnote w:id="178">
    <w:p w:rsidR="0007012D" w:rsidRPr="00B1563C" w:rsidRDefault="0007012D" w:rsidP="00314979">
      <w:pPr>
        <w:pStyle w:val="EndnoteText"/>
        <w:rPr>
          <w:rFonts w:cstheme="minorHAnsi"/>
        </w:rPr>
      </w:pPr>
      <w:r w:rsidRPr="00B1563C">
        <w:rPr>
          <w:rStyle w:val="EndnoteReference"/>
          <w:rFonts w:cstheme="minorHAnsi"/>
        </w:rPr>
        <w:endnoteRef/>
      </w:r>
      <w:r w:rsidRPr="00B1563C">
        <w:rPr>
          <w:rFonts w:cstheme="minorHAnsi"/>
        </w:rPr>
        <w:t xml:space="preserve"> Ibid 13.</w:t>
      </w:r>
    </w:p>
  </w:endnote>
  <w:endnote w:id="179">
    <w:p w:rsidR="0007012D" w:rsidRPr="00B1563C" w:rsidRDefault="0007012D" w:rsidP="00314979">
      <w:pPr>
        <w:pStyle w:val="EndnoteText"/>
        <w:rPr>
          <w:rFonts w:cstheme="minorHAnsi"/>
        </w:rPr>
      </w:pPr>
      <w:r w:rsidRPr="00B1563C">
        <w:rPr>
          <w:rStyle w:val="EndnoteReference"/>
          <w:rFonts w:cstheme="minorHAnsi"/>
        </w:rPr>
        <w:endnoteRef/>
      </w:r>
      <w:r w:rsidRPr="00B1563C">
        <w:rPr>
          <w:rFonts w:cstheme="minorHAnsi"/>
        </w:rPr>
        <w:t xml:space="preserve"> Ibid. </w:t>
      </w:r>
    </w:p>
  </w:endnote>
  <w:endnote w:id="180">
    <w:p w:rsidR="0007012D" w:rsidRPr="00B1563C" w:rsidRDefault="0007012D" w:rsidP="00314979">
      <w:pPr>
        <w:pStyle w:val="EndnoteText"/>
        <w:jc w:val="both"/>
        <w:rPr>
          <w:rFonts w:cstheme="minorHAnsi"/>
        </w:rPr>
      </w:pPr>
      <w:r w:rsidRPr="00B1563C">
        <w:rPr>
          <w:rStyle w:val="EndnoteReference"/>
          <w:rFonts w:cstheme="minorHAnsi"/>
        </w:rPr>
        <w:endnoteRef/>
      </w:r>
      <w:r w:rsidRPr="00B1563C">
        <w:rPr>
          <w:rFonts w:cstheme="minorHAnsi"/>
        </w:rPr>
        <w:t xml:space="preserve"> The Law Society United Kingdom, Ancillary Relief Working Group, </w:t>
      </w:r>
      <w:r w:rsidRPr="00B1563C">
        <w:rPr>
          <w:rFonts w:cstheme="minorHAnsi"/>
          <w:i/>
        </w:rPr>
        <w:t>Financial Provision on Divorce: Clarity and Fairness, Proposals for Reform</w:t>
      </w:r>
      <w:r w:rsidRPr="00B1563C">
        <w:rPr>
          <w:rFonts w:cstheme="minorHAnsi"/>
        </w:rPr>
        <w:t xml:space="preserve"> (Law Society, May 2003) 13. </w:t>
      </w:r>
    </w:p>
  </w:endnote>
  <w:endnote w:id="181">
    <w:p w:rsidR="0007012D" w:rsidRPr="00B1563C" w:rsidRDefault="0007012D" w:rsidP="00314979">
      <w:pPr>
        <w:pStyle w:val="EndnoteText"/>
        <w:rPr>
          <w:rFonts w:cstheme="minorHAnsi"/>
        </w:rPr>
      </w:pPr>
      <w:r w:rsidRPr="00B1563C">
        <w:rPr>
          <w:rStyle w:val="EndnoteReference"/>
          <w:rFonts w:cstheme="minorHAnsi"/>
        </w:rPr>
        <w:endnoteRef/>
      </w:r>
      <w:r w:rsidRPr="00B1563C">
        <w:rPr>
          <w:rFonts w:cstheme="minorHAnsi"/>
        </w:rPr>
        <w:t xml:space="preserve"> United Kingdom, The Law Commission, </w:t>
      </w:r>
      <w:r w:rsidRPr="00B1563C">
        <w:rPr>
          <w:rFonts w:cstheme="minorHAnsi"/>
          <w:i/>
        </w:rPr>
        <w:t>Matrimonial Property Needs and Agreements,</w:t>
      </w:r>
      <w:r w:rsidRPr="00B1563C">
        <w:rPr>
          <w:rFonts w:cstheme="minorHAnsi"/>
        </w:rPr>
        <w:t xml:space="preserve"> No. 343 (27 February 2014) Gov.UK Publications </w:t>
      </w:r>
      <w:hyperlink r:id="rId12" w:history="1">
        <w:r w:rsidRPr="00B1563C">
          <w:rPr>
            <w:rStyle w:val="Hyperlink"/>
            <w:rFonts w:cstheme="minorHAnsi"/>
          </w:rPr>
          <w:t>https://www.gov.uk/government/uploads/system/uploads/attachment_data/file/286308/HC_1089_Web_only.pdf</w:t>
        </w:r>
      </w:hyperlink>
      <w:r w:rsidRPr="00B1563C">
        <w:rPr>
          <w:rFonts w:cstheme="minorHAnsi"/>
        </w:rPr>
        <w:t xml:space="preserve"> 45.</w:t>
      </w:r>
    </w:p>
  </w:endnote>
  <w:endnote w:id="182">
    <w:p w:rsidR="0007012D" w:rsidRPr="00B1563C" w:rsidRDefault="0007012D" w:rsidP="00314979">
      <w:pPr>
        <w:pStyle w:val="EndnoteText"/>
        <w:rPr>
          <w:rFonts w:cstheme="minorHAnsi"/>
        </w:rPr>
      </w:pPr>
      <w:r w:rsidRPr="00B1563C">
        <w:rPr>
          <w:rStyle w:val="EndnoteReference"/>
          <w:rFonts w:cstheme="minorHAnsi"/>
        </w:rPr>
        <w:endnoteRef/>
      </w:r>
      <w:r w:rsidRPr="00B1563C">
        <w:rPr>
          <w:rFonts w:cstheme="minorHAnsi"/>
        </w:rPr>
        <w:t xml:space="preserve"> Ministry of Justice (United Kingdom), </w:t>
      </w:r>
      <w:r w:rsidRPr="00B1563C">
        <w:rPr>
          <w:rFonts w:cstheme="minorHAnsi"/>
          <w:i/>
        </w:rPr>
        <w:t>Family Procedure Rules – Form</w:t>
      </w:r>
      <w:r w:rsidRPr="00B1563C">
        <w:rPr>
          <w:rFonts w:cstheme="minorHAnsi"/>
        </w:rPr>
        <w:t xml:space="preserve"> </w:t>
      </w:r>
      <w:r w:rsidRPr="00B1563C">
        <w:rPr>
          <w:rFonts w:cstheme="minorHAnsi"/>
          <w:i/>
        </w:rPr>
        <w:t xml:space="preserve">E </w:t>
      </w:r>
      <w:r w:rsidRPr="00B1563C">
        <w:rPr>
          <w:rFonts w:cstheme="minorHAnsi"/>
        </w:rPr>
        <w:t xml:space="preserve">(30 January 2017) </w:t>
      </w:r>
      <w:hyperlink r:id="rId13" w:history="1">
        <w:r w:rsidRPr="00B1563C">
          <w:rPr>
            <w:rStyle w:val="Hyperlink"/>
            <w:rFonts w:cstheme="minorHAnsi"/>
          </w:rPr>
          <w:t>http://formfinder.hmctsformfinder.justice.gov.uk/form-e-eng-20160121.pdf</w:t>
        </w:r>
      </w:hyperlink>
      <w:r w:rsidRPr="00B1563C">
        <w:rPr>
          <w:rFonts w:cstheme="minorHAnsi"/>
        </w:rPr>
        <w:t xml:space="preserve"> ;  Ministry of Justice (United Kingdom), </w:t>
      </w:r>
      <w:r w:rsidRPr="00B1563C">
        <w:rPr>
          <w:rFonts w:cstheme="minorHAnsi"/>
          <w:i/>
        </w:rPr>
        <w:t>Family Procedure Rules – Form</w:t>
      </w:r>
      <w:r w:rsidRPr="00B1563C">
        <w:rPr>
          <w:rFonts w:cstheme="minorHAnsi"/>
        </w:rPr>
        <w:t xml:space="preserve"> </w:t>
      </w:r>
      <w:r w:rsidRPr="00B1563C">
        <w:rPr>
          <w:rFonts w:cstheme="minorHAnsi"/>
          <w:i/>
        </w:rPr>
        <w:t xml:space="preserve">E Notes </w:t>
      </w:r>
      <w:r w:rsidRPr="00B1563C">
        <w:rPr>
          <w:rFonts w:cstheme="minorHAnsi"/>
        </w:rPr>
        <w:t xml:space="preserve">(30 January 2017) </w:t>
      </w:r>
      <w:hyperlink r:id="rId14" w:history="1">
        <w:r w:rsidRPr="00B1563C">
          <w:rPr>
            <w:rStyle w:val="Hyperlink"/>
            <w:rFonts w:cstheme="minorHAnsi"/>
          </w:rPr>
          <w:t>https://formfinder.hmctsformfinder.justice.gov.uk/form-e-notes-eng.pdf</w:t>
        </w:r>
      </w:hyperlink>
      <w:r w:rsidRPr="00B1563C">
        <w:rPr>
          <w:rFonts w:cstheme="minorHAnsi"/>
        </w:rPr>
        <w:t xml:space="preserve">. </w:t>
      </w:r>
    </w:p>
  </w:endnote>
  <w:endnote w:id="183">
    <w:p w:rsidR="0007012D" w:rsidRPr="00B1563C" w:rsidRDefault="0007012D" w:rsidP="00314979">
      <w:pPr>
        <w:pStyle w:val="EndnoteText"/>
        <w:rPr>
          <w:rFonts w:cstheme="minorHAnsi"/>
        </w:rPr>
      </w:pPr>
      <w:r w:rsidRPr="00B1563C">
        <w:rPr>
          <w:rStyle w:val="EndnoteReference"/>
          <w:rFonts w:cstheme="minorHAnsi"/>
        </w:rPr>
        <w:endnoteRef/>
      </w:r>
      <w:r w:rsidRPr="00B1563C">
        <w:rPr>
          <w:rFonts w:cstheme="minorHAnsi"/>
        </w:rPr>
        <w:t xml:space="preserve"> Australian Government, Attorney-General’s Department (21 October 2016) </w:t>
      </w:r>
      <w:r w:rsidRPr="00B1563C">
        <w:rPr>
          <w:rFonts w:cstheme="minorHAnsi"/>
          <w:i/>
        </w:rPr>
        <w:t>Parenting Orders- What You Need to Know</w:t>
      </w:r>
      <w:r w:rsidRPr="00B1563C">
        <w:rPr>
          <w:rFonts w:cstheme="minorHAnsi"/>
        </w:rPr>
        <w:t xml:space="preserve"> </w:t>
      </w:r>
      <w:hyperlink r:id="rId15" w:history="1">
        <w:r w:rsidRPr="0093477B">
          <w:rPr>
            <w:rFonts w:cstheme="minorHAnsi"/>
            <w:u w:val="single"/>
          </w:rPr>
          <w:t>http://www.familyrelationships.gov.au/BrochuresandPublications/Documents/parenting_orders_hanbook_accessible_-_21_oct_2016_2.pdf</w:t>
        </w:r>
      </w:hyperlink>
      <w:r w:rsidR="0093477B" w:rsidRPr="0093477B">
        <w:rPr>
          <w:rFonts w:cstheme="minorHAnsi"/>
          <w:u w:val="single"/>
        </w:rPr>
        <w:t xml:space="preserve"> </w:t>
      </w:r>
      <w:r w:rsidRPr="00B1563C">
        <w:rPr>
          <w:rFonts w:cstheme="minorHAnsi"/>
        </w:rPr>
        <w:t xml:space="preserve"> </w:t>
      </w:r>
    </w:p>
  </w:endnote>
  <w:endnote w:id="184">
    <w:p w:rsidR="0007012D" w:rsidRPr="00B1563C" w:rsidRDefault="0007012D" w:rsidP="002D5D8D">
      <w:pPr>
        <w:pStyle w:val="EndnoteText"/>
        <w:rPr>
          <w:rFonts w:cstheme="minorHAnsi"/>
        </w:rPr>
      </w:pPr>
      <w:r w:rsidRPr="00B1563C">
        <w:rPr>
          <w:rStyle w:val="EndnoteReference"/>
          <w:rFonts w:cstheme="minorHAnsi"/>
        </w:rPr>
        <w:endnoteRef/>
      </w:r>
      <w:r w:rsidRPr="00B1563C">
        <w:rPr>
          <w:rFonts w:cstheme="minorHAnsi"/>
        </w:rPr>
        <w:t xml:space="preserve"> </w:t>
      </w:r>
      <w:bookmarkStart w:id="48" w:name="_Hlk513203175"/>
      <w:r w:rsidRPr="00B1563C">
        <w:rPr>
          <w:rFonts w:cstheme="minorHAnsi"/>
          <w:i/>
        </w:rPr>
        <w:t>Family Law Act 1975</w:t>
      </w:r>
      <w:r w:rsidRPr="00B1563C">
        <w:rPr>
          <w:rFonts w:cstheme="minorHAnsi"/>
        </w:rPr>
        <w:t xml:space="preserve"> (Cth) </w:t>
      </w:r>
      <w:bookmarkEnd w:id="48"/>
      <w:r w:rsidRPr="00B1563C">
        <w:rPr>
          <w:rFonts w:cstheme="minorHAnsi"/>
        </w:rPr>
        <w:t>s 79(1).</w:t>
      </w:r>
    </w:p>
  </w:endnote>
  <w:endnote w:id="185">
    <w:p w:rsidR="0007012D" w:rsidRPr="00B1563C" w:rsidRDefault="0007012D" w:rsidP="002D5D8D">
      <w:pPr>
        <w:pStyle w:val="EndnoteText"/>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Chancellor &amp; McCoy</w:t>
      </w:r>
      <w:r w:rsidRPr="00B1563C">
        <w:rPr>
          <w:rFonts w:cstheme="minorHAnsi"/>
        </w:rPr>
        <w:t xml:space="preserve"> [2016] FamCAFC 256 (2 December 2016).</w:t>
      </w:r>
    </w:p>
  </w:endnote>
  <w:endnote w:id="186">
    <w:p w:rsidR="0007012D" w:rsidRPr="00B1563C" w:rsidRDefault="0007012D" w:rsidP="002D5D8D">
      <w:pPr>
        <w:pStyle w:val="EndnoteText"/>
        <w:rPr>
          <w:rFonts w:cstheme="minorHAnsi"/>
        </w:rPr>
      </w:pPr>
      <w:r w:rsidRPr="00B1563C">
        <w:rPr>
          <w:rStyle w:val="EndnoteReference"/>
          <w:rFonts w:cstheme="minorHAnsi"/>
        </w:rPr>
        <w:endnoteRef/>
      </w:r>
      <w:r w:rsidRPr="00B1563C">
        <w:rPr>
          <w:rFonts w:cstheme="minorHAnsi"/>
        </w:rPr>
        <w:t xml:space="preserve"> </w:t>
      </w:r>
      <w:r w:rsidR="0093477B" w:rsidRPr="00B1563C">
        <w:rPr>
          <w:rFonts w:cstheme="minorHAnsi"/>
          <w:i/>
        </w:rPr>
        <w:t>Family Law Act 1975</w:t>
      </w:r>
      <w:r w:rsidR="0093477B" w:rsidRPr="00B1563C">
        <w:rPr>
          <w:rFonts w:cstheme="minorHAnsi"/>
        </w:rPr>
        <w:t xml:space="preserve"> (Cth) </w:t>
      </w:r>
      <w:r w:rsidRPr="00B1563C">
        <w:rPr>
          <w:rFonts w:cstheme="minorHAnsi"/>
        </w:rPr>
        <w:t>s 79(2).</w:t>
      </w:r>
    </w:p>
  </w:endnote>
  <w:endnote w:id="187">
    <w:p w:rsidR="0007012D" w:rsidRPr="00B1563C" w:rsidRDefault="0007012D" w:rsidP="002D5D8D">
      <w:pPr>
        <w:pStyle w:val="EndnoteText"/>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bCs/>
          <w:i/>
          <w:lang w:val="en-US"/>
        </w:rPr>
        <w:t>Norbis v Norbis</w:t>
      </w:r>
      <w:r w:rsidRPr="00B1563C">
        <w:rPr>
          <w:rFonts w:cstheme="minorHAnsi"/>
          <w:bCs/>
          <w:lang w:val="en-US"/>
        </w:rPr>
        <w:t xml:space="preserve"> (1986) 161 CLR 513.</w:t>
      </w:r>
    </w:p>
  </w:endnote>
  <w:endnote w:id="188">
    <w:p w:rsidR="0007012D" w:rsidRPr="00B1563C" w:rsidRDefault="0007012D" w:rsidP="002D5D8D">
      <w:pPr>
        <w:pStyle w:val="EndnoteText"/>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 xml:space="preserve">Stanford v Stanford </w:t>
      </w:r>
      <w:r w:rsidRPr="00B1563C">
        <w:rPr>
          <w:rFonts w:cstheme="minorHAnsi"/>
        </w:rPr>
        <w:t>(2012)</w:t>
      </w:r>
      <w:r w:rsidRPr="00B1563C">
        <w:rPr>
          <w:rFonts w:cstheme="minorHAnsi"/>
          <w:i/>
        </w:rPr>
        <w:t xml:space="preserve"> </w:t>
      </w:r>
      <w:r w:rsidRPr="00B1563C">
        <w:rPr>
          <w:rFonts w:cstheme="minorHAnsi"/>
        </w:rPr>
        <w:t>247 CLR 108.</w:t>
      </w:r>
    </w:p>
  </w:endnote>
  <w:endnote w:id="189">
    <w:p w:rsidR="0007012D" w:rsidRPr="00B1563C" w:rsidRDefault="0007012D" w:rsidP="002D5D8D">
      <w:pPr>
        <w:pStyle w:val="EndnoteText"/>
        <w:tabs>
          <w:tab w:val="left" w:pos="2025"/>
        </w:tabs>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Mallet v Mallet</w:t>
      </w:r>
      <w:r w:rsidRPr="00B1563C">
        <w:rPr>
          <w:rFonts w:cstheme="minorHAnsi"/>
        </w:rPr>
        <w:t xml:space="preserve"> (1984) 156 CLR 605.</w:t>
      </w:r>
      <w:r w:rsidRPr="00B1563C">
        <w:rPr>
          <w:rFonts w:cstheme="minorHAnsi"/>
        </w:rPr>
        <w:tab/>
      </w:r>
    </w:p>
  </w:endnote>
  <w:endnote w:id="190">
    <w:p w:rsidR="0007012D" w:rsidRPr="00B1563C" w:rsidRDefault="0007012D" w:rsidP="002D5D8D">
      <w:pPr>
        <w:pStyle w:val="EndnoteText"/>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 xml:space="preserve">Family Law Act 1975 </w:t>
      </w:r>
      <w:r w:rsidRPr="00B1563C">
        <w:rPr>
          <w:rFonts w:cstheme="minorHAnsi"/>
        </w:rPr>
        <w:t xml:space="preserve">(Cth) s 79(4)(a). </w:t>
      </w:r>
    </w:p>
  </w:endnote>
  <w:endnote w:id="191">
    <w:p w:rsidR="0007012D" w:rsidRPr="00B1563C" w:rsidRDefault="0007012D" w:rsidP="002D5D8D">
      <w:pPr>
        <w:pStyle w:val="EndnoteText"/>
        <w:rPr>
          <w:rFonts w:cstheme="minorHAnsi"/>
        </w:rPr>
      </w:pPr>
      <w:r w:rsidRPr="00B1563C">
        <w:rPr>
          <w:rStyle w:val="EndnoteReference"/>
          <w:rFonts w:cstheme="minorHAnsi"/>
        </w:rPr>
        <w:endnoteRef/>
      </w:r>
      <w:r w:rsidRPr="00B1563C">
        <w:rPr>
          <w:rFonts w:cstheme="minorHAnsi"/>
        </w:rPr>
        <w:t xml:space="preserve"> Ibid s 79(4)(b).</w:t>
      </w:r>
    </w:p>
  </w:endnote>
  <w:endnote w:id="192">
    <w:p w:rsidR="0007012D" w:rsidRPr="00B1563C" w:rsidRDefault="0007012D" w:rsidP="002D5D8D">
      <w:pPr>
        <w:pStyle w:val="EndnoteText"/>
        <w:rPr>
          <w:rFonts w:cstheme="minorHAnsi"/>
        </w:rPr>
      </w:pPr>
      <w:r w:rsidRPr="00B1563C">
        <w:rPr>
          <w:rStyle w:val="EndnoteReference"/>
          <w:rFonts w:cstheme="minorHAnsi"/>
        </w:rPr>
        <w:endnoteRef/>
      </w:r>
      <w:r w:rsidRPr="00B1563C">
        <w:rPr>
          <w:rFonts w:cstheme="minorHAnsi"/>
        </w:rPr>
        <w:t xml:space="preserve"> Ibid s 79(4)(c).</w:t>
      </w:r>
    </w:p>
  </w:endnote>
  <w:endnote w:id="193">
    <w:p w:rsidR="0007012D" w:rsidRPr="00B1563C" w:rsidRDefault="0007012D" w:rsidP="002D5D8D">
      <w:pPr>
        <w:pStyle w:val="EndnoteText"/>
        <w:rPr>
          <w:rFonts w:cstheme="minorHAnsi"/>
        </w:rPr>
      </w:pPr>
      <w:r w:rsidRPr="00B1563C">
        <w:rPr>
          <w:rStyle w:val="EndnoteReference"/>
          <w:rFonts w:cstheme="minorHAnsi"/>
        </w:rPr>
        <w:endnoteRef/>
      </w:r>
      <w:r w:rsidRPr="00B1563C">
        <w:rPr>
          <w:rFonts w:cstheme="minorHAnsi"/>
        </w:rPr>
        <w:t xml:space="preserve"> Ibid s 79(4)(d).</w:t>
      </w:r>
    </w:p>
  </w:endnote>
  <w:endnote w:id="194">
    <w:p w:rsidR="0007012D" w:rsidRPr="00B1563C" w:rsidRDefault="0007012D" w:rsidP="002D5D8D">
      <w:pPr>
        <w:pStyle w:val="EndnoteText"/>
        <w:rPr>
          <w:rFonts w:cstheme="minorHAnsi"/>
        </w:rPr>
      </w:pPr>
      <w:r w:rsidRPr="00B1563C">
        <w:rPr>
          <w:rStyle w:val="EndnoteReference"/>
          <w:rFonts w:cstheme="minorHAnsi"/>
        </w:rPr>
        <w:endnoteRef/>
      </w:r>
      <w:r w:rsidRPr="00B1563C">
        <w:rPr>
          <w:rFonts w:cstheme="minorHAnsi"/>
        </w:rPr>
        <w:t xml:space="preserve"> Ibid s 79(4)(e).</w:t>
      </w:r>
    </w:p>
  </w:endnote>
  <w:endnote w:id="195">
    <w:p w:rsidR="0007012D" w:rsidRPr="00B1563C" w:rsidRDefault="0007012D" w:rsidP="002D5D8D">
      <w:pPr>
        <w:pStyle w:val="EndnoteText"/>
        <w:rPr>
          <w:rFonts w:cstheme="minorHAnsi"/>
        </w:rPr>
      </w:pPr>
      <w:r w:rsidRPr="00B1563C">
        <w:rPr>
          <w:rStyle w:val="EndnoteReference"/>
          <w:rFonts w:cstheme="minorHAnsi"/>
        </w:rPr>
        <w:endnoteRef/>
      </w:r>
      <w:r w:rsidRPr="00B1563C">
        <w:rPr>
          <w:rFonts w:cstheme="minorHAnsi"/>
        </w:rPr>
        <w:t xml:space="preserve"> Ibid s 79(4)(f).</w:t>
      </w:r>
    </w:p>
  </w:endnote>
  <w:endnote w:id="196">
    <w:p w:rsidR="0007012D" w:rsidRPr="00B1563C" w:rsidRDefault="0007012D" w:rsidP="002D5D8D">
      <w:pPr>
        <w:pStyle w:val="EndnoteText"/>
        <w:rPr>
          <w:rFonts w:cstheme="minorHAnsi"/>
        </w:rPr>
      </w:pPr>
      <w:r w:rsidRPr="00B1563C">
        <w:rPr>
          <w:rStyle w:val="EndnoteReference"/>
          <w:rFonts w:cstheme="minorHAnsi"/>
        </w:rPr>
        <w:endnoteRef/>
      </w:r>
      <w:r w:rsidRPr="00B1563C">
        <w:rPr>
          <w:rFonts w:cstheme="minorHAnsi"/>
        </w:rPr>
        <w:t xml:space="preserve"> Ibid s 79(4)(g). </w:t>
      </w:r>
    </w:p>
  </w:endnote>
  <w:endnote w:id="197">
    <w:p w:rsidR="0007012D" w:rsidRPr="00B1563C" w:rsidRDefault="0007012D" w:rsidP="002D5D8D">
      <w:pPr>
        <w:pStyle w:val="EndnoteText"/>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Bevan &amp; Bevan</w:t>
      </w:r>
      <w:r w:rsidRPr="00B1563C">
        <w:rPr>
          <w:rFonts w:cstheme="minorHAnsi"/>
        </w:rPr>
        <w:t xml:space="preserve"> (2014) FLC ¶93-572.</w:t>
      </w:r>
    </w:p>
  </w:endnote>
  <w:endnote w:id="198">
    <w:p w:rsidR="0007012D" w:rsidRPr="00B1563C" w:rsidRDefault="0007012D" w:rsidP="002D5D8D">
      <w:pPr>
        <w:pStyle w:val="EndnoteText"/>
        <w:jc w:val="both"/>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Hickey &amp; Hickey &amp; Attorney-General for the Commonwealth of Australia</w:t>
      </w:r>
      <w:r w:rsidRPr="00B1563C">
        <w:rPr>
          <w:rFonts w:cstheme="minorHAnsi"/>
        </w:rPr>
        <w:t xml:space="preserve"> </w:t>
      </w:r>
      <w:r w:rsidRPr="00B1563C">
        <w:rPr>
          <w:rFonts w:cstheme="minorHAnsi"/>
          <w:i/>
        </w:rPr>
        <w:t>(Intervener)</w:t>
      </w:r>
      <w:r w:rsidRPr="00B1563C">
        <w:rPr>
          <w:rFonts w:cstheme="minorHAnsi"/>
        </w:rPr>
        <w:t xml:space="preserve"> (2003) FLC ¶93-143; See also </w:t>
      </w:r>
      <w:r w:rsidRPr="00B1563C">
        <w:rPr>
          <w:rFonts w:cstheme="minorHAnsi"/>
          <w:i/>
        </w:rPr>
        <w:t>JEL &amp; DDF</w:t>
      </w:r>
      <w:r w:rsidRPr="00B1563C">
        <w:rPr>
          <w:rFonts w:cstheme="minorHAnsi"/>
        </w:rPr>
        <w:t xml:space="preserve"> (2001) FLC ¶93-075.</w:t>
      </w:r>
    </w:p>
  </w:endnote>
  <w:endnote w:id="199">
    <w:p w:rsidR="0007012D" w:rsidRPr="00B1563C" w:rsidRDefault="0007012D" w:rsidP="002D5D8D">
      <w:pPr>
        <w:pStyle w:val="EndnoteText"/>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Coghlan &amp; Coghlan</w:t>
      </w:r>
      <w:r w:rsidRPr="00B1563C">
        <w:rPr>
          <w:rFonts w:cstheme="minorHAnsi"/>
        </w:rPr>
        <w:t xml:space="preserve"> (2005) FLC ¶93-220.</w:t>
      </w:r>
    </w:p>
  </w:endnote>
  <w:endnote w:id="200">
    <w:p w:rsidR="0007012D" w:rsidRPr="00B1563C" w:rsidRDefault="0007012D" w:rsidP="002D5D8D">
      <w:pPr>
        <w:pStyle w:val="EndnoteText"/>
        <w:rPr>
          <w:rFonts w:cstheme="minorHAnsi"/>
        </w:rPr>
      </w:pPr>
      <w:r w:rsidRPr="00B1563C">
        <w:rPr>
          <w:rStyle w:val="EndnoteReference"/>
          <w:rFonts w:cstheme="minorHAnsi"/>
        </w:rPr>
        <w:endnoteRef/>
      </w:r>
      <w:r w:rsidRPr="00B1563C">
        <w:rPr>
          <w:rFonts w:cstheme="minorHAnsi"/>
        </w:rPr>
        <w:t xml:space="preserve"> Ibid.</w:t>
      </w:r>
    </w:p>
  </w:endnote>
  <w:endnote w:id="201">
    <w:p w:rsidR="0007012D" w:rsidRPr="00B1563C" w:rsidRDefault="0007012D" w:rsidP="002D5D8D">
      <w:pPr>
        <w:pStyle w:val="EndnoteText"/>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Omanici &amp; Omanici</w:t>
      </w:r>
      <w:r w:rsidRPr="00B1563C">
        <w:rPr>
          <w:rFonts w:cstheme="minorHAnsi"/>
        </w:rPr>
        <w:t xml:space="preserve"> (2005) FLC ¶93-218.</w:t>
      </w:r>
    </w:p>
  </w:endnote>
  <w:endnote w:id="202">
    <w:p w:rsidR="0007012D" w:rsidRPr="00B1563C" w:rsidRDefault="0007012D" w:rsidP="002D5D8D">
      <w:pPr>
        <w:pStyle w:val="EndnoteText"/>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Oriolo &amp; Oriolo</w:t>
      </w:r>
      <w:r w:rsidRPr="00B1563C">
        <w:rPr>
          <w:rFonts w:cstheme="minorHAnsi"/>
        </w:rPr>
        <w:t xml:space="preserve"> (1985) FLC ¶91-653; See also </w:t>
      </w:r>
      <w:r w:rsidRPr="00B1563C">
        <w:rPr>
          <w:rFonts w:cstheme="minorHAnsi"/>
          <w:i/>
        </w:rPr>
        <w:t>Briese &amp; Briese</w:t>
      </w:r>
      <w:r w:rsidRPr="00B1563C">
        <w:rPr>
          <w:rFonts w:cstheme="minorHAnsi"/>
        </w:rPr>
        <w:t xml:space="preserve"> (1986) FLC ¶91-713.</w:t>
      </w:r>
    </w:p>
  </w:endnote>
  <w:endnote w:id="203">
    <w:p w:rsidR="0007012D" w:rsidRPr="00B1563C" w:rsidRDefault="0007012D" w:rsidP="002D5D8D">
      <w:pPr>
        <w:pStyle w:val="EndnoteText"/>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Family Law Rules 2004</w:t>
      </w:r>
      <w:r w:rsidRPr="00B1563C">
        <w:rPr>
          <w:rFonts w:cstheme="minorHAnsi"/>
        </w:rPr>
        <w:t xml:space="preserve"> (Cth) r 13.04; See also </w:t>
      </w:r>
      <w:r w:rsidRPr="00B1563C">
        <w:rPr>
          <w:rFonts w:cstheme="minorHAnsi"/>
          <w:i/>
        </w:rPr>
        <w:t>Federal Circuit Court Rules 2001</w:t>
      </w:r>
      <w:r w:rsidRPr="00B1563C">
        <w:rPr>
          <w:rFonts w:cstheme="minorHAnsi"/>
        </w:rPr>
        <w:t xml:space="preserve"> (Cth) r. 24.03. </w:t>
      </w:r>
    </w:p>
  </w:endnote>
  <w:endnote w:id="204">
    <w:p w:rsidR="0007012D" w:rsidRPr="00B1563C" w:rsidRDefault="0007012D" w:rsidP="002D5D8D">
      <w:pPr>
        <w:pStyle w:val="EndnoteText"/>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iCs/>
        </w:rPr>
        <w:t>Tate &amp; Tate </w:t>
      </w:r>
      <w:r w:rsidRPr="00B1563C">
        <w:rPr>
          <w:rFonts w:cstheme="minorHAnsi"/>
          <w:iCs/>
        </w:rPr>
        <w:t>(2000) FLC ¶93-047.</w:t>
      </w:r>
    </w:p>
  </w:endnote>
  <w:endnote w:id="205">
    <w:p w:rsidR="0007012D" w:rsidRPr="00B1563C" w:rsidRDefault="0007012D" w:rsidP="002D5D8D">
      <w:pPr>
        <w:pStyle w:val="EndnoteText"/>
        <w:rPr>
          <w:rFonts w:cstheme="minorHAnsi"/>
        </w:rPr>
      </w:pPr>
      <w:r w:rsidRPr="00B1563C">
        <w:rPr>
          <w:rStyle w:val="EndnoteReference"/>
          <w:rFonts w:cstheme="minorHAnsi"/>
        </w:rPr>
        <w:endnoteRef/>
      </w:r>
      <w:r w:rsidRPr="00B1563C">
        <w:rPr>
          <w:rFonts w:cstheme="minorHAnsi"/>
        </w:rPr>
        <w:t xml:space="preserve"> </w:t>
      </w:r>
      <w:r>
        <w:rPr>
          <w:rFonts w:cstheme="minorHAnsi"/>
          <w:i/>
        </w:rPr>
        <w:t xml:space="preserve">Family Law Act 1975 </w:t>
      </w:r>
      <w:r>
        <w:rPr>
          <w:rFonts w:cstheme="minorHAnsi"/>
        </w:rPr>
        <w:t>(Cth)</w:t>
      </w:r>
      <w:r w:rsidRPr="00B1563C">
        <w:rPr>
          <w:rFonts w:cstheme="minorHAnsi"/>
        </w:rPr>
        <w:t xml:space="preserve"> s 112AP.</w:t>
      </w:r>
    </w:p>
  </w:endnote>
  <w:endnote w:id="206">
    <w:p w:rsidR="0007012D" w:rsidRDefault="0007012D">
      <w:pPr>
        <w:pStyle w:val="EndnoteText"/>
      </w:pPr>
      <w:r>
        <w:rPr>
          <w:rStyle w:val="EndnoteReference"/>
        </w:rPr>
        <w:endnoteRef/>
      </w:r>
      <w:r>
        <w:t xml:space="preserve"> Ibid s 79A(1)(a).</w:t>
      </w:r>
    </w:p>
  </w:endnote>
  <w:endnote w:id="207">
    <w:p w:rsidR="0007012D" w:rsidRPr="00B1563C" w:rsidRDefault="0007012D" w:rsidP="002D5D8D">
      <w:pPr>
        <w:pStyle w:val="EndnoteText"/>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iCs/>
        </w:rPr>
        <w:t>Biltoft &amp;</w:t>
      </w:r>
      <w:r w:rsidRPr="00B1563C">
        <w:rPr>
          <w:rFonts w:cstheme="minorHAnsi"/>
        </w:rPr>
        <w:t xml:space="preserve"> </w:t>
      </w:r>
      <w:r w:rsidRPr="00B1563C">
        <w:rPr>
          <w:rFonts w:cstheme="minorHAnsi"/>
          <w:i/>
          <w:iCs/>
        </w:rPr>
        <w:t>Biltoft</w:t>
      </w:r>
      <w:r w:rsidRPr="00B1563C">
        <w:rPr>
          <w:rFonts w:cstheme="minorHAnsi"/>
        </w:rPr>
        <w:t xml:space="preserve"> (1995) FLC ¶92-614.</w:t>
      </w:r>
    </w:p>
  </w:endnote>
  <w:endnote w:id="208">
    <w:p w:rsidR="0007012D" w:rsidRPr="00B1563C" w:rsidRDefault="0007012D" w:rsidP="002D5D8D">
      <w:pPr>
        <w:pStyle w:val="EndnoteText"/>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Farmer &amp; Bramley</w:t>
      </w:r>
      <w:r w:rsidRPr="00B1563C">
        <w:rPr>
          <w:rFonts w:cstheme="minorHAnsi"/>
        </w:rPr>
        <w:t xml:space="preserve"> (2000) FLC ¶93-060.</w:t>
      </w:r>
    </w:p>
  </w:endnote>
  <w:endnote w:id="209">
    <w:p w:rsidR="0007012D" w:rsidRPr="00B1563C" w:rsidRDefault="0007012D" w:rsidP="002D5D8D">
      <w:pPr>
        <w:pStyle w:val="EndnoteText"/>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Mallet v Mallet</w:t>
      </w:r>
      <w:r w:rsidRPr="00B1563C">
        <w:rPr>
          <w:rFonts w:cstheme="minorHAnsi"/>
        </w:rPr>
        <w:t xml:space="preserve"> (1984) 156 CLR 605.</w:t>
      </w:r>
    </w:p>
  </w:endnote>
  <w:endnote w:id="210">
    <w:p w:rsidR="0007012D" w:rsidRPr="00B1563C" w:rsidRDefault="0007012D" w:rsidP="002D5D8D">
      <w:pPr>
        <w:pStyle w:val="EndnoteText"/>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Farmer &amp; Bramley</w:t>
      </w:r>
      <w:r w:rsidRPr="00B1563C">
        <w:rPr>
          <w:rFonts w:cstheme="minorHAnsi"/>
        </w:rPr>
        <w:t xml:space="preserve"> (2000) FLC ¶93-060.</w:t>
      </w:r>
    </w:p>
  </w:endnote>
  <w:endnote w:id="211">
    <w:p w:rsidR="0007012D" w:rsidRPr="00B1563C" w:rsidRDefault="0007012D" w:rsidP="002D5D8D">
      <w:pPr>
        <w:pStyle w:val="EndnoteText"/>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Mallet v Mallet</w:t>
      </w:r>
      <w:r w:rsidRPr="00B1563C">
        <w:rPr>
          <w:rFonts w:cstheme="minorHAnsi"/>
        </w:rPr>
        <w:t xml:space="preserve"> (1984) 156 CLR 605.</w:t>
      </w:r>
    </w:p>
  </w:endnote>
  <w:endnote w:id="212">
    <w:p w:rsidR="0007012D" w:rsidRPr="00B1563C" w:rsidRDefault="0007012D" w:rsidP="002D5D8D">
      <w:pPr>
        <w:pStyle w:val="EndnoteText"/>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bCs/>
          <w:i/>
        </w:rPr>
        <w:t>Pierce &amp; Pierce</w:t>
      </w:r>
      <w:r w:rsidRPr="00B1563C">
        <w:rPr>
          <w:rFonts w:cstheme="minorHAnsi"/>
        </w:rPr>
        <w:t xml:space="preserve"> (1999) FLC ¶92-844.</w:t>
      </w:r>
    </w:p>
  </w:endnote>
  <w:endnote w:id="213">
    <w:p w:rsidR="0007012D" w:rsidRPr="00B1563C" w:rsidRDefault="0007012D" w:rsidP="002D5D8D">
      <w:pPr>
        <w:pStyle w:val="EndnoteText"/>
        <w:rPr>
          <w:rFonts w:cstheme="minorHAnsi"/>
        </w:rPr>
      </w:pPr>
      <w:r w:rsidRPr="00B1563C">
        <w:rPr>
          <w:rStyle w:val="EndnoteReference"/>
          <w:rFonts w:cstheme="minorHAnsi"/>
        </w:rPr>
        <w:endnoteRef/>
      </w:r>
      <w:r w:rsidRPr="00B1563C">
        <w:rPr>
          <w:rFonts w:cstheme="minorHAnsi"/>
        </w:rPr>
        <w:t xml:space="preserve"> Ibid. </w:t>
      </w:r>
    </w:p>
  </w:endnote>
  <w:endnote w:id="214">
    <w:p w:rsidR="0007012D" w:rsidRPr="00B1563C" w:rsidRDefault="0007012D" w:rsidP="002D5D8D">
      <w:pPr>
        <w:pStyle w:val="EndnoteText"/>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 xml:space="preserve">Bonnici &amp; Bonnici </w:t>
      </w:r>
      <w:r w:rsidRPr="00B1563C">
        <w:rPr>
          <w:rFonts w:cstheme="minorHAnsi"/>
        </w:rPr>
        <w:t>(1992) FLC ¶92-270.</w:t>
      </w:r>
    </w:p>
  </w:endnote>
  <w:endnote w:id="215">
    <w:p w:rsidR="0007012D" w:rsidRPr="00B1563C" w:rsidRDefault="0007012D" w:rsidP="002D5D8D">
      <w:pPr>
        <w:pStyle w:val="EndnoteText"/>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Bishop &amp; Bishop</w:t>
      </w:r>
      <w:r w:rsidRPr="00B1563C">
        <w:rPr>
          <w:rFonts w:cstheme="minorHAnsi"/>
        </w:rPr>
        <w:t xml:space="preserve"> (2013) FLC ¶93-553.</w:t>
      </w:r>
    </w:p>
  </w:endnote>
  <w:endnote w:id="216">
    <w:p w:rsidR="0007012D" w:rsidRPr="00B1563C" w:rsidRDefault="0007012D" w:rsidP="002D5D8D">
      <w:pPr>
        <w:pStyle w:val="EndnoteText"/>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 xml:space="preserve">Burke &amp; Burke </w:t>
      </w:r>
      <w:r w:rsidRPr="00B1563C">
        <w:rPr>
          <w:rFonts w:cstheme="minorHAnsi"/>
        </w:rPr>
        <w:t>(1993) FLC ¶92-356.</w:t>
      </w:r>
    </w:p>
  </w:endnote>
  <w:endnote w:id="217">
    <w:p w:rsidR="0007012D" w:rsidRPr="00B1563C" w:rsidRDefault="0007012D" w:rsidP="002D5D8D">
      <w:pPr>
        <w:spacing w:after="0" w:line="240" w:lineRule="auto"/>
        <w:jc w:val="both"/>
        <w:rPr>
          <w:rFonts w:eastAsia="Calibri" w:cstheme="minorHAnsi"/>
          <w:sz w:val="20"/>
          <w:szCs w:val="20"/>
        </w:rPr>
      </w:pPr>
      <w:r w:rsidRPr="00B1563C">
        <w:rPr>
          <w:rStyle w:val="EndnoteReference"/>
          <w:rFonts w:cstheme="minorHAnsi"/>
          <w:sz w:val="20"/>
          <w:szCs w:val="20"/>
        </w:rPr>
        <w:endnoteRef/>
      </w:r>
      <w:r w:rsidRPr="00B1563C">
        <w:rPr>
          <w:rFonts w:cstheme="minorHAnsi"/>
          <w:sz w:val="20"/>
          <w:szCs w:val="20"/>
        </w:rPr>
        <w:t xml:space="preserve"> </w:t>
      </w:r>
      <w:r w:rsidRPr="00B1563C">
        <w:rPr>
          <w:rFonts w:eastAsia="Calibri" w:cstheme="minorHAnsi"/>
          <w:i/>
          <w:iCs/>
          <w:sz w:val="20"/>
          <w:szCs w:val="20"/>
        </w:rPr>
        <w:t>Kessey &amp; Kessey</w:t>
      </w:r>
      <w:r w:rsidRPr="00B1563C">
        <w:rPr>
          <w:rFonts w:eastAsia="Calibri" w:cstheme="minorHAnsi"/>
          <w:sz w:val="20"/>
          <w:szCs w:val="20"/>
        </w:rPr>
        <w:t xml:space="preserve"> (1994) FLC ¶92-495.</w:t>
      </w:r>
    </w:p>
  </w:endnote>
  <w:endnote w:id="218">
    <w:p w:rsidR="0007012D" w:rsidRPr="00B1563C" w:rsidRDefault="0007012D" w:rsidP="002D5D8D">
      <w:pPr>
        <w:pStyle w:val="EndnoteText"/>
        <w:jc w:val="both"/>
        <w:rPr>
          <w:rFonts w:cstheme="minorHAnsi"/>
        </w:rPr>
      </w:pPr>
      <w:r w:rsidRPr="00B1563C">
        <w:rPr>
          <w:rStyle w:val="EndnoteReference"/>
          <w:rFonts w:cstheme="minorHAnsi"/>
        </w:rPr>
        <w:endnoteRef/>
      </w:r>
      <w:r w:rsidRPr="00B1563C">
        <w:rPr>
          <w:rFonts w:cstheme="minorHAnsi"/>
        </w:rPr>
        <w:t xml:space="preserve"> See generally </w:t>
      </w:r>
      <w:r w:rsidRPr="00B1563C">
        <w:rPr>
          <w:rFonts w:cstheme="minorHAnsi"/>
          <w:i/>
        </w:rPr>
        <w:t xml:space="preserve">Fields &amp; Smith </w:t>
      </w:r>
      <w:r w:rsidRPr="00B1563C">
        <w:rPr>
          <w:rFonts w:cstheme="minorHAnsi"/>
        </w:rPr>
        <w:t xml:space="preserve">(2015) FLC ¶93-638; See also </w:t>
      </w:r>
      <w:r w:rsidRPr="00B1563C">
        <w:rPr>
          <w:rFonts w:cstheme="minorHAnsi"/>
          <w:i/>
          <w:lang w:val="en-US"/>
        </w:rPr>
        <w:t>Dickons &amp; Dickons</w:t>
      </w:r>
      <w:r w:rsidRPr="00B1563C">
        <w:rPr>
          <w:rFonts w:cstheme="minorHAnsi"/>
          <w:lang w:val="en-US"/>
        </w:rPr>
        <w:t xml:space="preserve"> [2012] FamCAFC 154, </w:t>
      </w:r>
      <w:r w:rsidRPr="00B1563C">
        <w:rPr>
          <w:rFonts w:cstheme="minorHAnsi"/>
          <w:i/>
          <w:lang w:val="en-US"/>
        </w:rPr>
        <w:t>Lovine &amp; Connor and Anor</w:t>
      </w:r>
      <w:r w:rsidRPr="00B1563C">
        <w:rPr>
          <w:rFonts w:cstheme="minorHAnsi"/>
          <w:lang w:val="en-US"/>
        </w:rPr>
        <w:t xml:space="preserve"> (2012) FLC </w:t>
      </w:r>
      <w:r w:rsidRPr="00B1563C">
        <w:rPr>
          <w:rFonts w:cstheme="minorHAnsi"/>
        </w:rPr>
        <w:t>¶</w:t>
      </w:r>
      <w:r w:rsidRPr="00B1563C">
        <w:rPr>
          <w:rFonts w:cstheme="minorHAnsi"/>
          <w:lang w:val="en-US"/>
        </w:rPr>
        <w:t xml:space="preserve">93-515; </w:t>
      </w:r>
      <w:r w:rsidRPr="00B1563C">
        <w:rPr>
          <w:rFonts w:cstheme="minorHAnsi"/>
          <w:i/>
          <w:lang w:val="en-US"/>
        </w:rPr>
        <w:t>Bolger &amp; Headon</w:t>
      </w:r>
      <w:r w:rsidRPr="00B1563C">
        <w:rPr>
          <w:rFonts w:cstheme="minorHAnsi"/>
          <w:lang w:val="en-US"/>
        </w:rPr>
        <w:t xml:space="preserve"> [2014] FamCAFC 27 (27 Februaary 2014).</w:t>
      </w:r>
    </w:p>
  </w:endnote>
  <w:endnote w:id="219">
    <w:p w:rsidR="0007012D" w:rsidRPr="00B1563C" w:rsidRDefault="0007012D" w:rsidP="002D5D8D">
      <w:pPr>
        <w:pStyle w:val="EndnoteText"/>
        <w:jc w:val="both"/>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Family Law Act 1975</w:t>
      </w:r>
      <w:r w:rsidRPr="00B1563C">
        <w:rPr>
          <w:rFonts w:cstheme="minorHAnsi"/>
        </w:rPr>
        <w:t xml:space="preserve"> (Cth) s 75(2)(b). </w:t>
      </w:r>
    </w:p>
  </w:endnote>
  <w:endnote w:id="220">
    <w:p w:rsidR="0007012D" w:rsidRPr="00B1563C" w:rsidRDefault="0007012D" w:rsidP="002D5D8D">
      <w:pPr>
        <w:pStyle w:val="EndnoteText"/>
        <w:rPr>
          <w:rFonts w:cstheme="minorHAnsi"/>
        </w:rPr>
      </w:pPr>
      <w:r w:rsidRPr="00B1563C">
        <w:rPr>
          <w:rStyle w:val="EndnoteReference"/>
          <w:rFonts w:cstheme="minorHAnsi"/>
        </w:rPr>
        <w:endnoteRef/>
      </w:r>
      <w:r w:rsidRPr="00B1563C">
        <w:rPr>
          <w:rFonts w:cstheme="minorHAnsi"/>
        </w:rPr>
        <w:t xml:space="preserve"> Ibid s75(2)(a).</w:t>
      </w:r>
    </w:p>
  </w:endnote>
  <w:endnote w:id="221">
    <w:p w:rsidR="0007012D" w:rsidRPr="00B1563C" w:rsidRDefault="0007012D" w:rsidP="002D5D8D">
      <w:pPr>
        <w:pStyle w:val="EndnoteText"/>
        <w:rPr>
          <w:rFonts w:cstheme="minorHAnsi"/>
        </w:rPr>
      </w:pPr>
      <w:r w:rsidRPr="00B1563C">
        <w:rPr>
          <w:rStyle w:val="EndnoteReference"/>
          <w:rFonts w:cstheme="minorHAnsi"/>
        </w:rPr>
        <w:endnoteRef/>
      </w:r>
      <w:r w:rsidRPr="00B1563C">
        <w:rPr>
          <w:rFonts w:cstheme="minorHAnsi"/>
        </w:rPr>
        <w:t xml:space="preserve"> Ibid ss75(2) (c), 75(2)(d), 75(2)(l).</w:t>
      </w:r>
    </w:p>
  </w:endnote>
  <w:endnote w:id="222">
    <w:p w:rsidR="0007012D" w:rsidRPr="00B1563C" w:rsidRDefault="0007012D" w:rsidP="002D5D8D">
      <w:pPr>
        <w:pStyle w:val="EndnoteText"/>
        <w:rPr>
          <w:rFonts w:cstheme="minorHAnsi"/>
        </w:rPr>
      </w:pPr>
      <w:r w:rsidRPr="00B1563C">
        <w:rPr>
          <w:rStyle w:val="EndnoteReference"/>
          <w:rFonts w:cstheme="minorHAnsi"/>
        </w:rPr>
        <w:endnoteRef/>
      </w:r>
      <w:r w:rsidRPr="00B1563C">
        <w:rPr>
          <w:rFonts w:cstheme="minorHAnsi"/>
        </w:rPr>
        <w:t xml:space="preserve"> Ibid s75(2)(k).</w:t>
      </w:r>
    </w:p>
  </w:endnote>
  <w:endnote w:id="223">
    <w:p w:rsidR="0007012D" w:rsidRPr="00B1563C" w:rsidRDefault="0007012D" w:rsidP="002D5D8D">
      <w:pPr>
        <w:pStyle w:val="EndnoteText"/>
        <w:rPr>
          <w:rFonts w:cstheme="minorHAnsi"/>
        </w:rPr>
      </w:pPr>
      <w:r w:rsidRPr="00B1563C">
        <w:rPr>
          <w:rStyle w:val="EndnoteReference"/>
          <w:rFonts w:cstheme="minorHAnsi"/>
        </w:rPr>
        <w:endnoteRef/>
      </w:r>
      <w:r w:rsidRPr="00B1563C">
        <w:rPr>
          <w:rFonts w:cstheme="minorHAnsi"/>
        </w:rPr>
        <w:t xml:space="preserve"> Ibid s75(2)(g).</w:t>
      </w:r>
    </w:p>
  </w:endnote>
  <w:endnote w:id="224">
    <w:p w:rsidR="0007012D" w:rsidRPr="00B1563C" w:rsidRDefault="0007012D" w:rsidP="002D5D8D">
      <w:pPr>
        <w:pStyle w:val="EndnoteText"/>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 xml:space="preserve">Clauson &amp; Clauson </w:t>
      </w:r>
      <w:r w:rsidRPr="00B1563C">
        <w:rPr>
          <w:rFonts w:cstheme="minorHAnsi"/>
        </w:rPr>
        <w:t>(1995) FLC ¶92-595.</w:t>
      </w:r>
    </w:p>
  </w:endnote>
  <w:endnote w:id="225">
    <w:p w:rsidR="0007012D" w:rsidRPr="00B1563C" w:rsidRDefault="0007012D" w:rsidP="002D5D8D">
      <w:pPr>
        <w:pStyle w:val="EndnoteText"/>
        <w:rPr>
          <w:rFonts w:cstheme="minorHAnsi"/>
        </w:rPr>
      </w:pPr>
      <w:r w:rsidRPr="00B1563C">
        <w:rPr>
          <w:rStyle w:val="EndnoteReference"/>
          <w:rFonts w:cstheme="minorHAnsi"/>
        </w:rPr>
        <w:endnoteRef/>
      </w:r>
      <w:r w:rsidRPr="00B1563C">
        <w:rPr>
          <w:rFonts w:cstheme="minorHAnsi"/>
        </w:rPr>
        <w:t xml:space="preserve"> Ibid.</w:t>
      </w:r>
    </w:p>
  </w:endnote>
  <w:endnote w:id="226">
    <w:p w:rsidR="0007012D" w:rsidRPr="00B1563C" w:rsidRDefault="0007012D" w:rsidP="002D5D8D">
      <w:pPr>
        <w:pStyle w:val="EndnoteText"/>
        <w:rPr>
          <w:rFonts w:cstheme="minorHAnsi"/>
          <w:bCs/>
        </w:rPr>
      </w:pPr>
      <w:r w:rsidRPr="00B1563C">
        <w:rPr>
          <w:rStyle w:val="EndnoteReference"/>
          <w:rFonts w:cstheme="minorHAnsi"/>
        </w:rPr>
        <w:endnoteRef/>
      </w:r>
      <w:r w:rsidRPr="00B1563C">
        <w:rPr>
          <w:rFonts w:cstheme="minorHAnsi"/>
        </w:rPr>
        <w:t xml:space="preserve"> </w:t>
      </w:r>
      <w:r w:rsidRPr="00B1563C">
        <w:rPr>
          <w:rFonts w:cstheme="minorHAnsi"/>
          <w:bCs/>
          <w:i/>
        </w:rPr>
        <w:t xml:space="preserve">Wynona &amp; Friend </w:t>
      </w:r>
      <w:r w:rsidRPr="00B1563C">
        <w:rPr>
          <w:rFonts w:cstheme="minorHAnsi"/>
          <w:bCs/>
        </w:rPr>
        <w:t>[2011] FamCAFC 6 (28 January 2011).</w:t>
      </w:r>
    </w:p>
  </w:endnote>
  <w:endnote w:id="227">
    <w:p w:rsidR="0007012D" w:rsidRPr="00B1563C" w:rsidRDefault="0007012D" w:rsidP="002D5D8D">
      <w:pPr>
        <w:pStyle w:val="EndnoteText"/>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Manolis &amp; Manolis</w:t>
      </w:r>
      <w:r w:rsidRPr="00B1563C">
        <w:rPr>
          <w:rFonts w:cstheme="minorHAnsi"/>
        </w:rPr>
        <w:t xml:space="preserve"> (No. 2) [2011] FamCAFC 105 (13 May 2011).</w:t>
      </w:r>
    </w:p>
  </w:endnote>
  <w:endnote w:id="228">
    <w:p w:rsidR="0007012D" w:rsidRPr="00B1563C" w:rsidRDefault="0007012D" w:rsidP="002D5D8D">
      <w:pPr>
        <w:pStyle w:val="EndnoteText"/>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Phillips &amp; Phillips</w:t>
      </w:r>
      <w:r w:rsidRPr="00B1563C">
        <w:rPr>
          <w:rFonts w:cstheme="minorHAnsi"/>
        </w:rPr>
        <w:t xml:space="preserve"> (2002) FLC ¶93-104.</w:t>
      </w:r>
    </w:p>
  </w:endnote>
  <w:endnote w:id="229">
    <w:p w:rsidR="0007012D" w:rsidRPr="00B1563C" w:rsidRDefault="0007012D" w:rsidP="002D5D8D">
      <w:pPr>
        <w:pStyle w:val="EndnoteText"/>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i/>
        </w:rPr>
        <w:t xml:space="preserve">Bevan &amp; Bevan </w:t>
      </w:r>
      <w:r w:rsidRPr="00B1563C">
        <w:rPr>
          <w:rFonts w:cstheme="minorHAnsi"/>
        </w:rPr>
        <w:t>(2013) FLC ¶93-545.</w:t>
      </w:r>
    </w:p>
  </w:endnote>
  <w:endnote w:id="230">
    <w:p w:rsidR="0007012D" w:rsidRPr="00B1563C" w:rsidRDefault="0007012D" w:rsidP="002D5D8D">
      <w:pPr>
        <w:pStyle w:val="EndnoteText"/>
        <w:rPr>
          <w:rFonts w:cstheme="minorHAnsi"/>
        </w:rPr>
      </w:pPr>
      <w:r w:rsidRPr="00B1563C">
        <w:rPr>
          <w:rStyle w:val="EndnoteReference"/>
          <w:rFonts w:cstheme="minorHAnsi"/>
        </w:rPr>
        <w:endnoteRef/>
      </w:r>
      <w:r w:rsidRPr="00B1563C">
        <w:rPr>
          <w:rFonts w:cstheme="minorHAnsi"/>
        </w:rPr>
        <w:t xml:space="preserve"> See, eg, </w:t>
      </w:r>
      <w:r w:rsidRPr="00B1563C">
        <w:rPr>
          <w:rFonts w:cstheme="minorHAnsi"/>
          <w:i/>
        </w:rPr>
        <w:t xml:space="preserve">M &amp; M </w:t>
      </w:r>
      <w:r w:rsidRPr="00B1563C">
        <w:rPr>
          <w:rFonts w:cstheme="minorHAnsi"/>
        </w:rPr>
        <w:t xml:space="preserve">(2006) FLC ¶93-281; </w:t>
      </w:r>
      <w:r w:rsidRPr="00B1563C">
        <w:rPr>
          <w:rFonts w:cstheme="minorHAnsi"/>
          <w:i/>
        </w:rPr>
        <w:t>Doherty &amp; Doherty</w:t>
      </w:r>
      <w:r w:rsidRPr="00B1563C">
        <w:rPr>
          <w:rFonts w:cstheme="minorHAnsi"/>
        </w:rPr>
        <w:t xml:space="preserve"> (2006) FLC ¶93-256. </w:t>
      </w:r>
    </w:p>
  </w:endnote>
  <w:endnote w:id="231">
    <w:p w:rsidR="0007012D" w:rsidRPr="00B1563C" w:rsidRDefault="0007012D" w:rsidP="002D5D8D">
      <w:pPr>
        <w:pStyle w:val="EndnoteText"/>
        <w:rPr>
          <w:rFonts w:cstheme="minorHAnsi"/>
        </w:rPr>
      </w:pPr>
      <w:r w:rsidRPr="00B1563C">
        <w:rPr>
          <w:rStyle w:val="EndnoteReference"/>
          <w:rFonts w:cstheme="minorHAnsi"/>
        </w:rPr>
        <w:endnoteRef/>
      </w:r>
      <w:r w:rsidRPr="00B1563C">
        <w:rPr>
          <w:rFonts w:cstheme="minorHAnsi"/>
        </w:rPr>
        <w:t xml:space="preserve"> </w:t>
      </w:r>
      <w:r w:rsidRPr="00B1563C">
        <w:rPr>
          <w:rFonts w:cstheme="minorHAnsi"/>
          <w:bCs/>
          <w:i/>
        </w:rPr>
        <w:t>Wallis &amp; Manning</w:t>
      </w:r>
      <w:r w:rsidRPr="00B1563C">
        <w:rPr>
          <w:rFonts w:cstheme="minorHAnsi"/>
          <w:bCs/>
        </w:rPr>
        <w:t xml:space="preserve"> [2017] FamCAFC 149 (10 February 2017).</w:t>
      </w:r>
    </w:p>
  </w:endnote>
  <w:endnote w:id="232">
    <w:p w:rsidR="0007012D" w:rsidRPr="00B1563C" w:rsidRDefault="0007012D" w:rsidP="00F256A3">
      <w:pPr>
        <w:pStyle w:val="EndnoteText"/>
        <w:jc w:val="both"/>
        <w:rPr>
          <w:rFonts w:cstheme="minorHAnsi"/>
        </w:rPr>
      </w:pPr>
      <w:r w:rsidRPr="00B1563C">
        <w:rPr>
          <w:rStyle w:val="EndnoteReference"/>
          <w:rFonts w:cstheme="minorHAnsi"/>
        </w:rPr>
        <w:endnoteRef/>
      </w:r>
      <w:r w:rsidRPr="00B1563C">
        <w:rPr>
          <w:rFonts w:cstheme="minorHAnsi"/>
        </w:rPr>
        <w:t xml:space="preserve"> See, eg, Rae Kaspiew and Lixia Qu, ‘Property Division After Separation: Recent Research Evidence’ (2016) 30 </w:t>
      </w:r>
      <w:r w:rsidRPr="00B1563C">
        <w:rPr>
          <w:rFonts w:cstheme="minorHAnsi"/>
          <w:i/>
        </w:rPr>
        <w:t>Australian Journal of Family Law</w:t>
      </w:r>
      <w:r w:rsidRPr="00B1563C">
        <w:rPr>
          <w:rFonts w:cstheme="minorHAnsi"/>
        </w:rPr>
        <w:t xml:space="preserve"> 1; Peter McDonald (ed.) </w:t>
      </w:r>
      <w:r w:rsidRPr="00B1563C">
        <w:rPr>
          <w:rFonts w:cstheme="minorHAnsi"/>
          <w:i/>
        </w:rPr>
        <w:t>Settling Up: Property and Income Distribution on Divorce in Australia</w:t>
      </w:r>
      <w:r w:rsidRPr="00B1563C">
        <w:rPr>
          <w:rFonts w:cstheme="minorHAnsi"/>
        </w:rPr>
        <w:t xml:space="preserve"> (Prentice-Hall, 1986); Australian Law Reform Commission</w:t>
      </w:r>
      <w:r w:rsidRPr="00B1563C">
        <w:rPr>
          <w:rFonts w:cstheme="minorHAnsi"/>
          <w:i/>
        </w:rPr>
        <w:t>, Matrimonial Property</w:t>
      </w:r>
      <w:r w:rsidRPr="00B1563C">
        <w:rPr>
          <w:rFonts w:cstheme="minorHAnsi"/>
        </w:rPr>
        <w:t xml:space="preserve">, Report No 39 (1987); Kathleen Funder, Margaret Harrison and Ruth Weston </w:t>
      </w:r>
      <w:r w:rsidRPr="00B1563C">
        <w:rPr>
          <w:rFonts w:cstheme="minorHAnsi"/>
          <w:i/>
        </w:rPr>
        <w:t>Settling Down: Pathways of Parents After Divorce</w:t>
      </w:r>
      <w:r w:rsidRPr="00B1563C">
        <w:rPr>
          <w:rFonts w:cstheme="minorHAnsi"/>
        </w:rPr>
        <w:t xml:space="preserve"> (Australian Institute of Family Studies, 1993); Sophy Bordow and Margaret Harrison ‘Outcomes of Matrimonial Property Litigation: An Analysis of Family Court Cases’ (1994) 8 (3) </w:t>
      </w:r>
      <w:r w:rsidRPr="00B1563C">
        <w:rPr>
          <w:rFonts w:cstheme="minorHAnsi"/>
          <w:i/>
        </w:rPr>
        <w:t xml:space="preserve">Australian Journal of Family Law </w:t>
      </w:r>
      <w:r w:rsidRPr="00B1563C">
        <w:rPr>
          <w:rFonts w:cstheme="minorHAnsi"/>
        </w:rPr>
        <w:t xml:space="preserve">264; Rosemary Hunter, Ann Genovese, Angela Melville and April Chrzanowski, </w:t>
      </w:r>
      <w:r w:rsidRPr="00B1563C">
        <w:rPr>
          <w:rFonts w:cstheme="minorHAnsi"/>
          <w:i/>
        </w:rPr>
        <w:t>Legal Services in Family Law</w:t>
      </w:r>
      <w:r w:rsidRPr="00B1563C">
        <w:rPr>
          <w:rFonts w:cstheme="minorHAnsi"/>
        </w:rPr>
        <w:t xml:space="preserve"> (Justice Research Centre, Law Foundation of New South Wales, 2000).; Grania Sheehan and Jody Hughes, </w:t>
      </w:r>
      <w:r w:rsidRPr="00B1563C">
        <w:rPr>
          <w:rFonts w:cstheme="minorHAnsi"/>
          <w:i/>
        </w:rPr>
        <w:t>Division of Matrimonial property in Australia: Research Paper No. 25</w:t>
      </w:r>
      <w:r w:rsidRPr="00B1563C">
        <w:rPr>
          <w:rFonts w:cstheme="minorHAnsi"/>
        </w:rPr>
        <w:t xml:space="preserve"> (Australian Institute of Family Studies, 2001); Nareeda Lewers, Helen Rhoades and Shurlee Swain, ‘Judicial and Couple approaches to Contributions and Property: The Dominance and Difficulties of a Reciprocity Model’ (2007) 21 </w:t>
      </w:r>
      <w:r w:rsidRPr="00B1563C">
        <w:rPr>
          <w:rFonts w:cstheme="minorHAnsi"/>
          <w:i/>
        </w:rPr>
        <w:t xml:space="preserve">Australian Journal of Family Law </w:t>
      </w:r>
      <w:r w:rsidRPr="00B1563C">
        <w:rPr>
          <w:rFonts w:cstheme="minorHAnsi"/>
        </w:rPr>
        <w:t xml:space="preserve">123; Grania Sheehan, April Chrzanowski and John Dewar, ‘Superannuation and Divorce in Australia: An Evaluation of Post-Reform Practice and Settlement Outcomes’ (2008) 22 </w:t>
      </w:r>
      <w:r w:rsidRPr="00B1563C">
        <w:rPr>
          <w:rFonts w:cstheme="minorHAnsi"/>
          <w:i/>
        </w:rPr>
        <w:t>International Journal of Law, Policy and the Family</w:t>
      </w:r>
      <w:r w:rsidRPr="00B1563C">
        <w:rPr>
          <w:rFonts w:cstheme="minorHAnsi"/>
        </w:rPr>
        <w:t xml:space="preserve"> 206.</w:t>
      </w:r>
    </w:p>
  </w:endnote>
  <w:endnote w:id="233">
    <w:p w:rsidR="0007012D" w:rsidRPr="00B1563C" w:rsidRDefault="0007012D" w:rsidP="00E86E4B">
      <w:pPr>
        <w:pStyle w:val="EndnoteText"/>
        <w:rPr>
          <w:rFonts w:cstheme="minorHAnsi"/>
          <w:i/>
        </w:rPr>
      </w:pPr>
      <w:r w:rsidRPr="00B1563C">
        <w:rPr>
          <w:rStyle w:val="EndnoteReference"/>
          <w:rFonts w:cstheme="minorHAnsi"/>
        </w:rPr>
        <w:endnoteRef/>
      </w:r>
      <w:r w:rsidRPr="00B1563C">
        <w:rPr>
          <w:rFonts w:cstheme="minorHAnsi"/>
        </w:rPr>
        <w:t xml:space="preserve"> Law Commission (New Zealand), </w:t>
      </w:r>
      <w:r w:rsidRPr="00B1563C">
        <w:rPr>
          <w:rFonts w:cstheme="minorHAnsi"/>
          <w:i/>
        </w:rPr>
        <w:t>Review of the Property (Relationships) Act 1976</w:t>
      </w:r>
      <w:r w:rsidRPr="00B1563C">
        <w:rPr>
          <w:rFonts w:cstheme="minorHAnsi"/>
        </w:rPr>
        <w:t xml:space="preserve"> </w:t>
      </w:r>
      <w:r w:rsidRPr="00B1563C">
        <w:rPr>
          <w:rFonts w:cstheme="minorHAnsi"/>
          <w:i/>
        </w:rPr>
        <w:t>Issues Paper 41 Dividing relationship property – time for change?</w:t>
      </w:r>
      <w:r w:rsidRPr="00B1563C">
        <w:rPr>
          <w:rFonts w:cstheme="minorHAnsi"/>
        </w:rPr>
        <w:t xml:space="preserve"> (16 October 2017) New Zealand Government, 47 </w:t>
      </w:r>
      <w:hyperlink r:id="rId16" w:history="1">
        <w:r w:rsidRPr="00B1563C">
          <w:rPr>
            <w:rStyle w:val="Hyperlink"/>
            <w:rFonts w:cstheme="minorHAnsi"/>
          </w:rPr>
          <w:t>http://www.lawcom.govt.nz/sites/default/files/projectAvailableFormats/PRA%20Issues%20Paper%20FINAL_0.pdf</w:t>
        </w:r>
      </w:hyperlink>
      <w:r w:rsidRPr="00B1563C">
        <w:rPr>
          <w:rFonts w:cstheme="minorHAnsi"/>
        </w:rPr>
        <w:t xml:space="preserve"> </w:t>
      </w:r>
    </w:p>
  </w:endnote>
  <w:endnote w:id="234">
    <w:p w:rsidR="0007012D" w:rsidRPr="00B1563C" w:rsidRDefault="0007012D">
      <w:pPr>
        <w:pStyle w:val="EndnoteText"/>
        <w:rPr>
          <w:rFonts w:cstheme="minorHAnsi"/>
        </w:rPr>
      </w:pPr>
      <w:r w:rsidRPr="00B1563C">
        <w:rPr>
          <w:rStyle w:val="EndnoteReference"/>
          <w:rFonts w:cstheme="minorHAnsi"/>
        </w:rPr>
        <w:endnoteRef/>
      </w:r>
      <w:r w:rsidRPr="00B1563C">
        <w:rPr>
          <w:rFonts w:cstheme="minorHAnsi"/>
        </w:rPr>
        <w:t xml:space="preserve"> Ibid. </w:t>
      </w:r>
    </w:p>
  </w:endnote>
  <w:endnote w:id="235">
    <w:p w:rsidR="0007012D" w:rsidRPr="00B1563C" w:rsidRDefault="0007012D">
      <w:pPr>
        <w:pStyle w:val="EndnoteText"/>
        <w:rPr>
          <w:rFonts w:cstheme="minorHAnsi"/>
        </w:rPr>
      </w:pPr>
      <w:r w:rsidRPr="00B1563C">
        <w:rPr>
          <w:rStyle w:val="EndnoteReference"/>
          <w:rFonts w:cstheme="minorHAnsi"/>
        </w:rPr>
        <w:endnoteRef/>
      </w:r>
      <w:r w:rsidRPr="00B1563C">
        <w:rPr>
          <w:rFonts w:cstheme="minorHAnsi"/>
        </w:rPr>
        <w:t xml:space="preserve"> Ibid 77. </w:t>
      </w:r>
    </w:p>
  </w:endnote>
  <w:endnote w:id="236">
    <w:p w:rsidR="0007012D" w:rsidRPr="00B1563C" w:rsidRDefault="0007012D" w:rsidP="00B1563C">
      <w:pPr>
        <w:pStyle w:val="EndnoteText"/>
        <w:jc w:val="both"/>
        <w:rPr>
          <w:rFonts w:cstheme="minorHAnsi"/>
        </w:rPr>
      </w:pPr>
      <w:r w:rsidRPr="00B1563C">
        <w:rPr>
          <w:rStyle w:val="EndnoteReference"/>
          <w:rFonts w:cstheme="minorHAnsi"/>
        </w:rPr>
        <w:endnoteRef/>
      </w:r>
      <w:r w:rsidRPr="00B1563C">
        <w:rPr>
          <w:rFonts w:cstheme="minorHAnsi"/>
        </w:rPr>
        <w:t xml:space="preserve"> Bill Atkin, ‘Economic disparity – How did we end up with it? Has it been worth it?’ (2007) 5 </w:t>
      </w:r>
      <w:r w:rsidRPr="00B1563C">
        <w:rPr>
          <w:rFonts w:cstheme="minorHAnsi"/>
          <w:i/>
        </w:rPr>
        <w:t>New Zealand Family Law Journal</w:t>
      </w:r>
      <w:r w:rsidRPr="00B1563C">
        <w:rPr>
          <w:rFonts w:cstheme="minorHAnsi"/>
        </w:rPr>
        <w:t xml:space="preserve"> 299, 302; See generally Nicola Peart, ‘The Property (Relationships) Amendment Act 2001: A Conceptual Change’ (2008) 39(4) </w:t>
      </w:r>
      <w:r w:rsidRPr="00B1563C">
        <w:rPr>
          <w:rFonts w:cstheme="minorHAnsi"/>
          <w:i/>
        </w:rPr>
        <w:t xml:space="preserve">Victoria University of Wellington Law Review </w:t>
      </w:r>
      <w:r w:rsidRPr="00B1563C">
        <w:rPr>
          <w:rFonts w:cstheme="minorHAnsi"/>
        </w:rPr>
        <w:t xml:space="preserve">813, Margaret Briggs and Nicola Peart, ‘Sharing the Increase in Value of Separate Property under the Property (Relationships) Act 1976: A Conceptual Conundrum’ (2010) 24(1) </w:t>
      </w:r>
      <w:r w:rsidRPr="00B1563C">
        <w:rPr>
          <w:rFonts w:cstheme="minorHAnsi"/>
          <w:i/>
        </w:rPr>
        <w:t>New Zealand Universities Law Review</w:t>
      </w:r>
      <w:r w:rsidRPr="00B1563C">
        <w:rPr>
          <w:rFonts w:cstheme="minorHAnsi"/>
        </w:rPr>
        <w:t xml:space="preserve">, 1, 18. </w:t>
      </w:r>
    </w:p>
  </w:endnote>
  <w:endnote w:id="237">
    <w:p w:rsidR="0007012D" w:rsidRPr="00AD77D9" w:rsidRDefault="0007012D" w:rsidP="008D121F">
      <w:pPr>
        <w:pStyle w:val="EndnoteText"/>
        <w:jc w:val="both"/>
        <w:rPr>
          <w:rFonts w:cstheme="minorHAnsi"/>
        </w:rPr>
      </w:pPr>
      <w:r w:rsidRPr="00AD77D9">
        <w:rPr>
          <w:rStyle w:val="EndnoteReference"/>
          <w:rFonts w:cstheme="minorHAnsi"/>
        </w:rPr>
        <w:endnoteRef/>
      </w:r>
      <w:r w:rsidRPr="00AD77D9">
        <w:rPr>
          <w:rFonts w:cstheme="minorHAnsi"/>
        </w:rPr>
        <w:t xml:space="preserve"> </w:t>
      </w:r>
      <w:r w:rsidRPr="00AD77D9">
        <w:rPr>
          <w:rFonts w:cstheme="minorHAnsi"/>
          <w:i/>
        </w:rPr>
        <w:t>Stanford v Stanford</w:t>
      </w:r>
      <w:r w:rsidRPr="00AD77D9">
        <w:rPr>
          <w:rFonts w:cstheme="minorHAnsi"/>
        </w:rPr>
        <w:t xml:space="preserve"> (2012) 247 CLR 108,122. </w:t>
      </w:r>
    </w:p>
  </w:endnote>
  <w:endnote w:id="238">
    <w:p w:rsidR="0007012D" w:rsidRPr="00AD77D9" w:rsidRDefault="0007012D" w:rsidP="00B1563C">
      <w:pPr>
        <w:pStyle w:val="EndnoteText"/>
        <w:jc w:val="both"/>
        <w:rPr>
          <w:rFonts w:cstheme="minorHAnsi"/>
        </w:rPr>
      </w:pPr>
      <w:r w:rsidRPr="00AD77D9">
        <w:rPr>
          <w:rStyle w:val="EndnoteReference"/>
          <w:rFonts w:cstheme="minorHAnsi"/>
        </w:rPr>
        <w:endnoteRef/>
      </w:r>
      <w:r w:rsidRPr="00AD77D9">
        <w:rPr>
          <w:rFonts w:cstheme="minorHAnsi"/>
        </w:rPr>
        <w:t xml:space="preserve"> </w:t>
      </w:r>
      <w:r w:rsidR="0093477B" w:rsidRPr="00B1563C">
        <w:rPr>
          <w:rFonts w:cstheme="minorHAnsi"/>
          <w:i/>
        </w:rPr>
        <w:t>Family Law Act 1975</w:t>
      </w:r>
      <w:r w:rsidR="0093477B" w:rsidRPr="00B1563C">
        <w:rPr>
          <w:rFonts w:cstheme="minorHAnsi"/>
        </w:rPr>
        <w:t xml:space="preserve"> (Cth) </w:t>
      </w:r>
      <w:r w:rsidRPr="00AD77D9">
        <w:rPr>
          <w:rFonts w:cstheme="minorHAnsi"/>
          <w:i/>
        </w:rPr>
        <w:t xml:space="preserve"> </w:t>
      </w:r>
      <w:r w:rsidRPr="00AD77D9">
        <w:rPr>
          <w:rFonts w:cstheme="minorHAnsi"/>
        </w:rPr>
        <w:t>s 4 (definition of ‘Matrimonial Cause’).</w:t>
      </w:r>
    </w:p>
  </w:endnote>
  <w:endnote w:id="239">
    <w:p w:rsidR="0007012D" w:rsidRPr="00AD77D9" w:rsidRDefault="0007012D" w:rsidP="00B1563C">
      <w:pPr>
        <w:spacing w:after="0" w:line="240" w:lineRule="auto"/>
        <w:jc w:val="both"/>
        <w:rPr>
          <w:rFonts w:eastAsia="Calibri" w:cstheme="minorHAnsi"/>
          <w:sz w:val="20"/>
          <w:szCs w:val="20"/>
        </w:rPr>
      </w:pPr>
      <w:r w:rsidRPr="00AD77D9">
        <w:rPr>
          <w:rStyle w:val="EndnoteReference"/>
          <w:rFonts w:cstheme="minorHAnsi"/>
          <w:sz w:val="20"/>
          <w:szCs w:val="20"/>
        </w:rPr>
        <w:endnoteRef/>
      </w:r>
      <w:r w:rsidRPr="00AD77D9">
        <w:rPr>
          <w:rFonts w:cstheme="minorHAnsi"/>
          <w:sz w:val="20"/>
          <w:szCs w:val="20"/>
        </w:rPr>
        <w:t xml:space="preserve"> </w:t>
      </w:r>
      <w:r w:rsidRPr="00AD77D9">
        <w:rPr>
          <w:rFonts w:eastAsia="Calibri" w:cstheme="minorHAnsi"/>
          <w:i/>
          <w:sz w:val="20"/>
          <w:szCs w:val="20"/>
        </w:rPr>
        <w:t>Omanici &amp; Omanici</w:t>
      </w:r>
      <w:r w:rsidRPr="00AD77D9">
        <w:rPr>
          <w:rFonts w:eastAsia="Calibri" w:cstheme="minorHAnsi"/>
          <w:sz w:val="20"/>
          <w:szCs w:val="20"/>
        </w:rPr>
        <w:t xml:space="preserve"> (2005) FLC ¶93-218.</w:t>
      </w:r>
    </w:p>
  </w:endnote>
  <w:endnote w:id="240">
    <w:p w:rsidR="0007012D" w:rsidRPr="00AD77D9" w:rsidRDefault="0007012D" w:rsidP="00B1563C">
      <w:pPr>
        <w:pStyle w:val="EndnoteText"/>
        <w:rPr>
          <w:rFonts w:cstheme="minorHAnsi"/>
        </w:rPr>
      </w:pPr>
      <w:r w:rsidRPr="00AD77D9">
        <w:rPr>
          <w:rStyle w:val="EndnoteReference"/>
          <w:rFonts w:cstheme="minorHAnsi"/>
        </w:rPr>
        <w:endnoteRef/>
      </w:r>
      <w:r w:rsidRPr="00AD77D9">
        <w:rPr>
          <w:rFonts w:cstheme="minorHAnsi"/>
        </w:rPr>
        <w:t xml:space="preserve"> </w:t>
      </w:r>
      <w:r w:rsidRPr="00AD77D9">
        <w:rPr>
          <w:rFonts w:cstheme="minorHAnsi"/>
          <w:i/>
          <w:iCs/>
        </w:rPr>
        <w:t>Biltoft &amp;</w:t>
      </w:r>
      <w:r w:rsidRPr="00AD77D9">
        <w:rPr>
          <w:rFonts w:cstheme="minorHAnsi"/>
        </w:rPr>
        <w:t xml:space="preserve"> </w:t>
      </w:r>
      <w:r w:rsidRPr="00AD77D9">
        <w:rPr>
          <w:rFonts w:cstheme="minorHAnsi"/>
          <w:i/>
          <w:iCs/>
        </w:rPr>
        <w:t>Biltoft</w:t>
      </w:r>
      <w:r w:rsidRPr="00AD77D9">
        <w:rPr>
          <w:rFonts w:cstheme="minorHAnsi"/>
        </w:rPr>
        <w:t xml:space="preserve"> (1995) FLC ¶92-614.</w:t>
      </w:r>
    </w:p>
  </w:endnote>
  <w:endnote w:id="241">
    <w:p w:rsidR="0007012D" w:rsidRPr="00AD77D9" w:rsidRDefault="0007012D" w:rsidP="00B1563C">
      <w:pPr>
        <w:pStyle w:val="EndnoteText"/>
        <w:rPr>
          <w:rFonts w:cstheme="minorHAnsi"/>
        </w:rPr>
      </w:pPr>
      <w:r w:rsidRPr="00AD77D9">
        <w:rPr>
          <w:rStyle w:val="EndnoteReference"/>
          <w:rFonts w:cstheme="minorHAnsi"/>
        </w:rPr>
        <w:endnoteRef/>
      </w:r>
      <w:r w:rsidRPr="00AD77D9">
        <w:rPr>
          <w:rFonts w:cstheme="minorHAnsi"/>
        </w:rPr>
        <w:t xml:space="preserve"> </w:t>
      </w:r>
      <w:r w:rsidRPr="00AD77D9">
        <w:rPr>
          <w:rFonts w:cstheme="minorHAnsi"/>
          <w:i/>
        </w:rPr>
        <w:t xml:space="preserve">Family Law Act 1975 </w:t>
      </w:r>
      <w:r w:rsidRPr="00AD77D9">
        <w:rPr>
          <w:rFonts w:cstheme="minorHAnsi"/>
        </w:rPr>
        <w:t>(Cth)</w:t>
      </w:r>
      <w:r w:rsidRPr="00AD77D9">
        <w:rPr>
          <w:rFonts w:cstheme="minorHAnsi"/>
          <w:i/>
        </w:rPr>
        <w:t xml:space="preserve"> </w:t>
      </w:r>
      <w:r w:rsidRPr="00AD77D9">
        <w:rPr>
          <w:rFonts w:cstheme="minorHAnsi"/>
        </w:rPr>
        <w:t xml:space="preserve">s 71A. </w:t>
      </w:r>
    </w:p>
  </w:endnote>
  <w:endnote w:id="242">
    <w:p w:rsidR="0007012D" w:rsidRPr="00AD77D9" w:rsidRDefault="0007012D" w:rsidP="00B1563C">
      <w:pPr>
        <w:pStyle w:val="EndnoteText"/>
        <w:rPr>
          <w:rFonts w:cstheme="minorHAnsi"/>
        </w:rPr>
      </w:pPr>
      <w:r w:rsidRPr="00AD77D9">
        <w:rPr>
          <w:rStyle w:val="EndnoteReference"/>
          <w:rFonts w:cstheme="minorHAnsi"/>
        </w:rPr>
        <w:endnoteRef/>
      </w:r>
      <w:r w:rsidRPr="00AD77D9">
        <w:rPr>
          <w:rFonts w:cstheme="minorHAnsi"/>
        </w:rPr>
        <w:t xml:space="preserve"> See generally </w:t>
      </w:r>
      <w:r w:rsidRPr="00AD77D9">
        <w:rPr>
          <w:rFonts w:cstheme="minorHAnsi"/>
          <w:i/>
        </w:rPr>
        <w:t xml:space="preserve">Property (Relationships) Act 1976 </w:t>
      </w:r>
      <w:r w:rsidRPr="00AD77D9">
        <w:rPr>
          <w:rFonts w:cstheme="minorHAnsi"/>
        </w:rPr>
        <w:t>(NZ) s11(1).</w:t>
      </w:r>
    </w:p>
  </w:endnote>
  <w:endnote w:id="243">
    <w:p w:rsidR="0007012D" w:rsidRPr="00AD77D9" w:rsidRDefault="0007012D" w:rsidP="00B1563C">
      <w:pPr>
        <w:pStyle w:val="EndnoteText"/>
        <w:jc w:val="both"/>
        <w:rPr>
          <w:rFonts w:cstheme="minorHAnsi"/>
        </w:rPr>
      </w:pPr>
      <w:r w:rsidRPr="00AD77D9">
        <w:rPr>
          <w:rStyle w:val="EndnoteReference"/>
          <w:rFonts w:cstheme="minorHAnsi"/>
        </w:rPr>
        <w:endnoteRef/>
      </w:r>
      <w:r w:rsidRPr="00AD77D9">
        <w:rPr>
          <w:rFonts w:cstheme="minorHAnsi"/>
        </w:rPr>
        <w:t xml:space="preserve"> Murray Gleeson, ‘Individualised Justice – The Holy Grail’ (1995) 69 </w:t>
      </w:r>
      <w:r w:rsidRPr="00AD77D9">
        <w:rPr>
          <w:rFonts w:cstheme="minorHAnsi"/>
          <w:i/>
        </w:rPr>
        <w:t>Australian Law Journal</w:t>
      </w:r>
      <w:r w:rsidRPr="00AD77D9">
        <w:rPr>
          <w:rFonts w:cstheme="minorHAnsi"/>
        </w:rPr>
        <w:t xml:space="preserve"> 421, 431.</w:t>
      </w:r>
    </w:p>
  </w:endnote>
  <w:endnote w:id="244">
    <w:p w:rsidR="0007012D" w:rsidRPr="00AD77D9" w:rsidRDefault="0007012D" w:rsidP="00B1563C">
      <w:pPr>
        <w:pStyle w:val="EndnoteText"/>
        <w:jc w:val="both"/>
        <w:rPr>
          <w:rFonts w:cstheme="minorHAnsi"/>
        </w:rPr>
      </w:pPr>
      <w:r w:rsidRPr="00AD77D9">
        <w:rPr>
          <w:rStyle w:val="EndnoteReference"/>
          <w:rFonts w:cstheme="minorHAnsi"/>
        </w:rPr>
        <w:endnoteRef/>
      </w:r>
      <w:r w:rsidRPr="00AD77D9">
        <w:rPr>
          <w:rFonts w:cstheme="minorHAnsi"/>
        </w:rPr>
        <w:t xml:space="preserve"> Mark Henaghan, ‘Dealing to Disparity’ (2008) 6 </w:t>
      </w:r>
      <w:r w:rsidRPr="00AD77D9">
        <w:rPr>
          <w:rFonts w:cstheme="minorHAnsi"/>
          <w:i/>
        </w:rPr>
        <w:t xml:space="preserve">New Zealand Family Law Journal </w:t>
      </w:r>
      <w:r w:rsidRPr="00AD77D9">
        <w:rPr>
          <w:rFonts w:cstheme="minorHAnsi"/>
        </w:rPr>
        <w:t>51, 52.</w:t>
      </w:r>
    </w:p>
  </w:endnote>
  <w:endnote w:id="245">
    <w:p w:rsidR="0007012D" w:rsidRPr="00AD77D9" w:rsidRDefault="0007012D" w:rsidP="00B1563C">
      <w:pPr>
        <w:pStyle w:val="EndnoteText"/>
        <w:jc w:val="both"/>
        <w:rPr>
          <w:rFonts w:cstheme="minorHAnsi"/>
        </w:rPr>
      </w:pPr>
      <w:r w:rsidRPr="00AD77D9">
        <w:rPr>
          <w:rStyle w:val="EndnoteReference"/>
          <w:rFonts w:cstheme="minorHAnsi"/>
        </w:rPr>
        <w:endnoteRef/>
      </w:r>
      <w:r w:rsidRPr="00AD77D9">
        <w:rPr>
          <w:rFonts w:cstheme="minorHAnsi"/>
        </w:rPr>
        <w:t xml:space="preserve"> Ibid. </w:t>
      </w:r>
    </w:p>
  </w:endnote>
  <w:endnote w:id="246">
    <w:p w:rsidR="0007012D" w:rsidRPr="00AD77D9" w:rsidRDefault="0007012D" w:rsidP="00B1563C">
      <w:pPr>
        <w:pStyle w:val="EndnoteText"/>
        <w:rPr>
          <w:rFonts w:cstheme="minorHAnsi"/>
        </w:rPr>
      </w:pPr>
      <w:r w:rsidRPr="00AD77D9">
        <w:rPr>
          <w:rStyle w:val="EndnoteReference"/>
          <w:rFonts w:cstheme="minorHAnsi"/>
        </w:rPr>
        <w:endnoteRef/>
      </w:r>
      <w:r w:rsidRPr="00AD77D9">
        <w:rPr>
          <w:rFonts w:cstheme="minorHAnsi"/>
        </w:rPr>
        <w:t xml:space="preserve"> Australian Government, Department of Human Services, </w:t>
      </w:r>
      <w:r w:rsidRPr="00AD77D9">
        <w:rPr>
          <w:rFonts w:cstheme="minorHAnsi"/>
          <w:i/>
        </w:rPr>
        <w:t>Assets</w:t>
      </w:r>
      <w:r w:rsidRPr="00AD77D9">
        <w:rPr>
          <w:rFonts w:cstheme="minorHAnsi"/>
        </w:rPr>
        <w:t xml:space="preserve"> (29 June 2017), </w:t>
      </w:r>
      <w:hyperlink r:id="rId17" w:anchor="assetstestlimits" w:history="1">
        <w:r w:rsidRPr="00AD77D9">
          <w:rPr>
            <w:rStyle w:val="Hyperlink"/>
            <w:rFonts w:cstheme="minorHAnsi"/>
          </w:rPr>
          <w:t>https://www.humanservices.gov.au/customer/enablers/assets</w:t>
        </w:r>
      </w:hyperlink>
      <w:r w:rsidRPr="00AD77D9">
        <w:rPr>
          <w:rStyle w:val="Hyperlink"/>
          <w:rFonts w:cstheme="minorHAnsi"/>
        </w:rPr>
        <w:t>.</w:t>
      </w:r>
    </w:p>
  </w:endnote>
  <w:endnote w:id="247">
    <w:p w:rsidR="0007012D" w:rsidRPr="00AD77D9" w:rsidRDefault="0007012D" w:rsidP="00B1563C">
      <w:pPr>
        <w:pStyle w:val="EndnoteText"/>
        <w:jc w:val="both"/>
        <w:rPr>
          <w:rFonts w:cstheme="minorHAnsi"/>
        </w:rPr>
      </w:pPr>
      <w:r w:rsidRPr="00AD77D9">
        <w:rPr>
          <w:rStyle w:val="EndnoteReference"/>
          <w:rFonts w:cstheme="minorHAnsi"/>
        </w:rPr>
        <w:endnoteRef/>
      </w:r>
      <w:r w:rsidRPr="00AD77D9">
        <w:rPr>
          <w:rFonts w:cstheme="minorHAnsi"/>
        </w:rPr>
        <w:t xml:space="preserve"> See, eg, </w:t>
      </w:r>
      <w:r w:rsidRPr="00AD77D9">
        <w:rPr>
          <w:rFonts w:eastAsia="Times New Roman" w:cstheme="minorHAnsi"/>
          <w:i/>
          <w:lang w:eastAsia="en-AU"/>
        </w:rPr>
        <w:t>Phillips &amp; Phillips</w:t>
      </w:r>
      <w:r w:rsidRPr="00AD77D9">
        <w:rPr>
          <w:rFonts w:eastAsia="Times New Roman" w:cstheme="minorHAnsi"/>
          <w:lang w:eastAsia="en-AU"/>
        </w:rPr>
        <w:t xml:space="preserve"> (2002) FLC ¶93-104, 88-986; </w:t>
      </w:r>
      <w:r w:rsidRPr="00AD77D9">
        <w:rPr>
          <w:rFonts w:cstheme="minorHAnsi"/>
          <w:i/>
          <w:iCs/>
        </w:rPr>
        <w:t xml:space="preserve">Myerthall &amp; Myerthall </w:t>
      </w:r>
      <w:r w:rsidRPr="00AD77D9">
        <w:rPr>
          <w:rFonts w:cstheme="minorHAnsi"/>
          <w:iCs/>
        </w:rPr>
        <w:t>(1977) FLC ¶90-273.</w:t>
      </w:r>
    </w:p>
  </w:endnote>
  <w:endnote w:id="248">
    <w:p w:rsidR="0007012D" w:rsidRPr="00AD77D9" w:rsidRDefault="0007012D" w:rsidP="00B1563C">
      <w:pPr>
        <w:pStyle w:val="EndnoteText"/>
        <w:jc w:val="both"/>
        <w:rPr>
          <w:rFonts w:cstheme="minorHAnsi"/>
        </w:rPr>
      </w:pPr>
      <w:r w:rsidRPr="00AD77D9">
        <w:rPr>
          <w:rStyle w:val="EndnoteReference"/>
          <w:rFonts w:cstheme="minorHAnsi"/>
        </w:rPr>
        <w:endnoteRef/>
      </w:r>
      <w:r w:rsidRPr="00AD77D9">
        <w:rPr>
          <w:rFonts w:cstheme="minorHAnsi"/>
        </w:rPr>
        <w:t xml:space="preserve"> </w:t>
      </w:r>
      <w:r w:rsidRPr="00AD77D9">
        <w:rPr>
          <w:rFonts w:cstheme="minorHAnsi"/>
          <w:i/>
        </w:rPr>
        <w:t>Stanford &amp; Stanford</w:t>
      </w:r>
      <w:r w:rsidRPr="00AD77D9">
        <w:rPr>
          <w:rFonts w:cstheme="minorHAnsi"/>
        </w:rPr>
        <w:t xml:space="preserve"> (2011) FLC ¶93-483; 85-990.</w:t>
      </w:r>
    </w:p>
  </w:endnote>
  <w:endnote w:id="249">
    <w:p w:rsidR="0007012D" w:rsidRPr="00AD77D9" w:rsidRDefault="0007012D" w:rsidP="0093477B">
      <w:pPr>
        <w:pStyle w:val="EndnoteText"/>
        <w:jc w:val="both"/>
        <w:rPr>
          <w:rFonts w:cstheme="minorHAnsi"/>
        </w:rPr>
      </w:pPr>
      <w:r w:rsidRPr="00AD77D9">
        <w:rPr>
          <w:rStyle w:val="EndnoteReference"/>
          <w:rFonts w:cstheme="minorHAnsi"/>
        </w:rPr>
        <w:endnoteRef/>
      </w:r>
      <w:r w:rsidRPr="00AD77D9">
        <w:rPr>
          <w:rFonts w:cstheme="minorHAnsi"/>
        </w:rPr>
        <w:t xml:space="preserve"> Commonwealth of Australia, Legal and Constitutional Affairs Legislation Committee Report</w:t>
      </w:r>
      <w:r w:rsidRPr="00AD77D9">
        <w:rPr>
          <w:rFonts w:cstheme="minorHAnsi"/>
          <w:i/>
        </w:rPr>
        <w:t>, Family Law Amendment (Financial Agreements and Other Measures) Bill 2015</w:t>
      </w:r>
      <w:r w:rsidRPr="00AD77D9">
        <w:rPr>
          <w:rFonts w:cstheme="minorHAnsi"/>
        </w:rPr>
        <w:t xml:space="preserve">, February 2016. </w:t>
      </w:r>
    </w:p>
  </w:endnote>
  <w:endnote w:id="250">
    <w:p w:rsidR="0007012D" w:rsidRPr="00AD77D9" w:rsidRDefault="0007012D">
      <w:pPr>
        <w:pStyle w:val="EndnoteText"/>
        <w:rPr>
          <w:rFonts w:cstheme="minorHAnsi"/>
        </w:rPr>
      </w:pPr>
      <w:r w:rsidRPr="00AD77D9">
        <w:rPr>
          <w:rStyle w:val="EndnoteReference"/>
          <w:rFonts w:cstheme="minorHAnsi"/>
        </w:rPr>
        <w:endnoteRef/>
      </w:r>
      <w:r w:rsidRPr="00AD77D9">
        <w:rPr>
          <w:rFonts w:cstheme="minorHAnsi"/>
        </w:rPr>
        <w:t xml:space="preserve"> Issues Paper </w:t>
      </w:r>
      <w:r w:rsidR="0093477B">
        <w:rPr>
          <w:rFonts w:cstheme="minorHAnsi"/>
        </w:rPr>
        <w:t>P</w:t>
      </w:r>
      <w:r w:rsidRPr="00AD77D9">
        <w:rPr>
          <w:rFonts w:cstheme="minorHAnsi"/>
        </w:rPr>
        <w:t xml:space="preserve">age 51. </w:t>
      </w:r>
    </w:p>
  </w:endnote>
  <w:endnote w:id="251">
    <w:p w:rsidR="0007012D" w:rsidRPr="00AD77D9" w:rsidRDefault="0007012D" w:rsidP="00AD77D9">
      <w:pPr>
        <w:pStyle w:val="EndnoteText"/>
        <w:jc w:val="both"/>
        <w:rPr>
          <w:rFonts w:cstheme="minorHAnsi"/>
        </w:rPr>
      </w:pPr>
      <w:r w:rsidRPr="00AD77D9">
        <w:rPr>
          <w:rStyle w:val="EndnoteReference"/>
          <w:rFonts w:cstheme="minorHAnsi"/>
        </w:rPr>
        <w:endnoteRef/>
      </w:r>
      <w:r w:rsidRPr="00AD77D9">
        <w:rPr>
          <w:rFonts w:cstheme="minorHAnsi"/>
        </w:rPr>
        <w:t xml:space="preserve"> </w:t>
      </w:r>
      <w:r w:rsidRPr="00AD77D9">
        <w:rPr>
          <w:rFonts w:cstheme="minorHAnsi"/>
          <w:i/>
        </w:rPr>
        <w:t xml:space="preserve">Family Law Amendment Act 2000 </w:t>
      </w:r>
      <w:r w:rsidRPr="00AD77D9">
        <w:rPr>
          <w:rFonts w:cstheme="minorHAnsi"/>
        </w:rPr>
        <w:t xml:space="preserve">(Cth); cf </w:t>
      </w:r>
      <w:r w:rsidRPr="00AD77D9">
        <w:rPr>
          <w:rFonts w:cstheme="minorHAnsi"/>
          <w:i/>
        </w:rPr>
        <w:t xml:space="preserve">Family Law Act 1975 </w:t>
      </w:r>
      <w:r w:rsidRPr="00AD77D9">
        <w:rPr>
          <w:rFonts w:cstheme="minorHAnsi"/>
        </w:rPr>
        <w:t>(Cth), ss 86, 87.</w:t>
      </w:r>
    </w:p>
  </w:endnote>
  <w:endnote w:id="252">
    <w:p w:rsidR="0007012D" w:rsidRPr="00AD77D9" w:rsidRDefault="0007012D" w:rsidP="00AD77D9">
      <w:pPr>
        <w:pStyle w:val="EndnoteText"/>
        <w:jc w:val="both"/>
        <w:rPr>
          <w:rFonts w:cstheme="minorHAnsi"/>
        </w:rPr>
      </w:pPr>
      <w:r w:rsidRPr="00AD77D9">
        <w:rPr>
          <w:rStyle w:val="EndnoteReference"/>
          <w:rFonts w:cstheme="minorHAnsi"/>
        </w:rPr>
        <w:endnoteRef/>
      </w:r>
      <w:r w:rsidRPr="00AD77D9">
        <w:rPr>
          <w:rFonts w:cstheme="minorHAnsi"/>
        </w:rPr>
        <w:t xml:space="preserve"> See generally: Belinda Felhberg and Bruce Smyth ‘Pre-Nuptial Agreements in the first year’ </w:t>
      </w:r>
      <w:r w:rsidRPr="00AD77D9">
        <w:rPr>
          <w:rFonts w:cstheme="minorHAnsi"/>
          <w:i/>
        </w:rPr>
        <w:t xml:space="preserve">International Journal of Law, Policy and the Family </w:t>
      </w:r>
      <w:r w:rsidRPr="00AD77D9">
        <w:rPr>
          <w:rFonts w:cstheme="minorHAnsi"/>
        </w:rPr>
        <w:t xml:space="preserve">(2002) 16. </w:t>
      </w:r>
    </w:p>
  </w:endnote>
  <w:endnote w:id="253">
    <w:p w:rsidR="0007012D" w:rsidRPr="00AD77D9" w:rsidRDefault="0007012D" w:rsidP="00AD77D9">
      <w:pPr>
        <w:pStyle w:val="EndnoteText"/>
        <w:jc w:val="both"/>
        <w:rPr>
          <w:rFonts w:cstheme="minorHAnsi"/>
        </w:rPr>
      </w:pPr>
      <w:r w:rsidRPr="00AD77D9">
        <w:rPr>
          <w:rStyle w:val="EndnoteReference"/>
          <w:rFonts w:cstheme="minorHAnsi"/>
        </w:rPr>
        <w:endnoteRef/>
      </w:r>
      <w:r w:rsidRPr="00AD77D9">
        <w:rPr>
          <w:rFonts w:cstheme="minorHAnsi"/>
        </w:rPr>
        <w:t xml:space="preserve"> </w:t>
      </w:r>
      <w:r w:rsidRPr="00AD77D9">
        <w:rPr>
          <w:rFonts w:cstheme="minorHAnsi"/>
          <w:bCs/>
          <w:i/>
        </w:rPr>
        <w:t>Family Law Amendment Act 2003</w:t>
      </w:r>
      <w:r w:rsidRPr="00AD77D9">
        <w:rPr>
          <w:rFonts w:cstheme="minorHAnsi"/>
          <w:bCs/>
        </w:rPr>
        <w:t xml:space="preserve"> (Cth), sch 5, Item 2. See also </w:t>
      </w:r>
      <w:r w:rsidRPr="00AD77D9">
        <w:rPr>
          <w:rFonts w:cstheme="minorHAnsi"/>
        </w:rPr>
        <w:t>Explanatory Memorandum, Family Law Amendment Bill 2003 (Cth), 2-3.</w:t>
      </w:r>
    </w:p>
  </w:endnote>
  <w:endnote w:id="254">
    <w:p w:rsidR="0007012D" w:rsidRPr="00AD77D9" w:rsidRDefault="0007012D" w:rsidP="00AD77D9">
      <w:pPr>
        <w:pStyle w:val="EndnoteText"/>
        <w:rPr>
          <w:rFonts w:cstheme="minorHAnsi"/>
        </w:rPr>
      </w:pPr>
      <w:r w:rsidRPr="00AD77D9">
        <w:rPr>
          <w:rStyle w:val="EndnoteReference"/>
          <w:rFonts w:cstheme="minorHAnsi"/>
        </w:rPr>
        <w:endnoteRef/>
      </w:r>
      <w:r w:rsidRPr="00AD77D9">
        <w:rPr>
          <w:rFonts w:cstheme="minorHAnsi"/>
        </w:rPr>
        <w:t xml:space="preserve"> (2008) FLC ¶93-357.</w:t>
      </w:r>
    </w:p>
  </w:endnote>
  <w:endnote w:id="255">
    <w:p w:rsidR="0007012D" w:rsidRPr="00AD77D9" w:rsidRDefault="0007012D" w:rsidP="00AD77D9">
      <w:pPr>
        <w:pStyle w:val="EndnoteText"/>
        <w:rPr>
          <w:rFonts w:cstheme="minorHAnsi"/>
        </w:rPr>
      </w:pPr>
      <w:r w:rsidRPr="00AD77D9">
        <w:rPr>
          <w:rStyle w:val="EndnoteReference"/>
          <w:rFonts w:cstheme="minorHAnsi"/>
        </w:rPr>
        <w:endnoteRef/>
      </w:r>
      <w:r w:rsidRPr="00AD77D9">
        <w:rPr>
          <w:rFonts w:cstheme="minorHAnsi"/>
        </w:rPr>
        <w:t xml:space="preserve"> </w:t>
      </w:r>
      <w:r w:rsidRPr="00AD77D9">
        <w:rPr>
          <w:rFonts w:cstheme="minorHAnsi"/>
          <w:i/>
        </w:rPr>
        <w:t>Federal Justice System Amendment (Efficiency Measures) Act (No 1) 2009</w:t>
      </w:r>
      <w:r w:rsidRPr="00AD77D9">
        <w:rPr>
          <w:rFonts w:cstheme="minorHAnsi"/>
        </w:rPr>
        <w:t xml:space="preserve"> (Cth).</w:t>
      </w:r>
    </w:p>
  </w:endnote>
  <w:endnote w:id="256">
    <w:p w:rsidR="0007012D" w:rsidRPr="00AD77D9" w:rsidRDefault="0007012D" w:rsidP="00AD77D9">
      <w:pPr>
        <w:pStyle w:val="EndnoteText"/>
        <w:rPr>
          <w:rFonts w:cstheme="minorHAnsi"/>
        </w:rPr>
      </w:pPr>
      <w:r w:rsidRPr="00AD77D9">
        <w:rPr>
          <w:rStyle w:val="EndnoteReference"/>
          <w:rFonts w:cstheme="minorHAnsi"/>
        </w:rPr>
        <w:endnoteRef/>
      </w:r>
      <w:r w:rsidRPr="00AD77D9">
        <w:rPr>
          <w:rFonts w:cstheme="minorHAnsi"/>
        </w:rPr>
        <w:t xml:space="preserve"> See </w:t>
      </w:r>
      <w:r w:rsidRPr="00AD77D9">
        <w:rPr>
          <w:rFonts w:cstheme="minorHAnsi"/>
          <w:i/>
        </w:rPr>
        <w:t xml:space="preserve">Parker &amp; Parker </w:t>
      </w:r>
      <w:r w:rsidRPr="00AD77D9">
        <w:rPr>
          <w:rFonts w:cstheme="minorHAnsi"/>
        </w:rPr>
        <w:t xml:space="preserve">(2012) FLC ¶93-499; </w:t>
      </w:r>
      <w:r w:rsidRPr="00AD77D9">
        <w:rPr>
          <w:rFonts w:cstheme="minorHAnsi"/>
          <w:i/>
        </w:rPr>
        <w:t xml:space="preserve">Hoult &amp; Hoult </w:t>
      </w:r>
      <w:r w:rsidRPr="00AD77D9">
        <w:rPr>
          <w:rFonts w:cstheme="minorHAnsi"/>
        </w:rPr>
        <w:t>(2013) FLC ¶93-546.</w:t>
      </w:r>
    </w:p>
  </w:endnote>
  <w:endnote w:id="257">
    <w:p w:rsidR="0007012D" w:rsidRPr="00AD77D9" w:rsidRDefault="0007012D" w:rsidP="00AD77D9">
      <w:pPr>
        <w:pStyle w:val="EndnoteText"/>
        <w:jc w:val="both"/>
        <w:rPr>
          <w:rFonts w:cstheme="minorHAnsi"/>
        </w:rPr>
      </w:pPr>
      <w:r w:rsidRPr="00AD77D9">
        <w:rPr>
          <w:rStyle w:val="EndnoteReference"/>
          <w:rFonts w:cstheme="minorHAnsi"/>
        </w:rPr>
        <w:endnoteRef/>
      </w:r>
      <w:r w:rsidRPr="00AD77D9">
        <w:rPr>
          <w:rFonts w:cstheme="minorHAnsi"/>
        </w:rPr>
        <w:t xml:space="preserve"> In this submission, reference to a provision in Part VIIIA </w:t>
      </w:r>
      <w:r w:rsidRPr="00AD77D9">
        <w:rPr>
          <w:rFonts w:cstheme="minorHAnsi"/>
          <w:i/>
        </w:rPr>
        <w:t>Family Law Act 1975</w:t>
      </w:r>
      <w:r w:rsidRPr="00AD77D9">
        <w:rPr>
          <w:rFonts w:cstheme="minorHAnsi"/>
        </w:rPr>
        <w:t xml:space="preserve">(Cth) should be read as including the equivalent provision relating to the breakdown of a de-facto relationship contained in Part VIIIAB </w:t>
      </w:r>
      <w:r w:rsidRPr="00AD77D9">
        <w:rPr>
          <w:rFonts w:cstheme="minorHAnsi"/>
          <w:i/>
        </w:rPr>
        <w:t>Family Law Act 1975</w:t>
      </w:r>
      <w:r w:rsidRPr="00AD77D9">
        <w:rPr>
          <w:rFonts w:cstheme="minorHAnsi"/>
        </w:rPr>
        <w:t xml:space="preserve"> (Cth).</w:t>
      </w:r>
    </w:p>
  </w:endnote>
  <w:endnote w:id="258">
    <w:p w:rsidR="0007012D" w:rsidRPr="00AD77D9" w:rsidRDefault="0007012D" w:rsidP="00AD77D9">
      <w:pPr>
        <w:pStyle w:val="EndnoteText"/>
        <w:jc w:val="both"/>
        <w:rPr>
          <w:rFonts w:cstheme="minorHAnsi"/>
        </w:rPr>
      </w:pPr>
      <w:r w:rsidRPr="00AD77D9">
        <w:rPr>
          <w:rStyle w:val="EndnoteReference"/>
          <w:rFonts w:cstheme="minorHAnsi"/>
        </w:rPr>
        <w:endnoteRef/>
      </w:r>
      <w:r w:rsidRPr="00AD77D9">
        <w:rPr>
          <w:rFonts w:cstheme="minorHAnsi"/>
        </w:rPr>
        <w:t xml:space="preserve"> </w:t>
      </w:r>
      <w:r w:rsidRPr="00AD77D9">
        <w:rPr>
          <w:rFonts w:cstheme="minorHAnsi"/>
          <w:bCs/>
          <w:i/>
        </w:rPr>
        <w:t>Senior &amp; Anderson</w:t>
      </w:r>
      <w:r w:rsidRPr="00AD77D9">
        <w:rPr>
          <w:rFonts w:cstheme="minorHAnsi"/>
        </w:rPr>
        <w:t xml:space="preserve"> </w:t>
      </w:r>
      <w:r w:rsidRPr="00AD77D9">
        <w:rPr>
          <w:rFonts w:cstheme="minorHAnsi"/>
          <w:bCs/>
        </w:rPr>
        <w:t>(2011) FLC ¶93-470.</w:t>
      </w:r>
    </w:p>
  </w:endnote>
  <w:endnote w:id="259">
    <w:p w:rsidR="0007012D" w:rsidRPr="00AD77D9" w:rsidRDefault="0007012D" w:rsidP="00AD77D9">
      <w:pPr>
        <w:pStyle w:val="EndnoteText"/>
        <w:jc w:val="both"/>
        <w:rPr>
          <w:rFonts w:cstheme="minorHAnsi"/>
        </w:rPr>
      </w:pPr>
      <w:r w:rsidRPr="00AD77D9">
        <w:rPr>
          <w:rStyle w:val="EndnoteReference"/>
          <w:rFonts w:cstheme="minorHAnsi"/>
        </w:rPr>
        <w:endnoteRef/>
      </w:r>
      <w:r w:rsidRPr="00AD77D9">
        <w:rPr>
          <w:rFonts w:cstheme="minorHAnsi"/>
        </w:rPr>
        <w:t xml:space="preserve"> </w:t>
      </w:r>
      <w:r w:rsidR="0093477B" w:rsidRPr="0093477B">
        <w:rPr>
          <w:rFonts w:cstheme="minorHAnsi"/>
          <w:bCs/>
        </w:rPr>
        <w:t>Ibid</w:t>
      </w:r>
      <w:r w:rsidR="0093477B">
        <w:rPr>
          <w:rFonts w:cstheme="minorHAnsi"/>
          <w:bCs/>
        </w:rPr>
        <w:t>,</w:t>
      </w:r>
      <w:r w:rsidRPr="00AD77D9">
        <w:rPr>
          <w:rFonts w:cstheme="minorHAnsi"/>
          <w:bCs/>
        </w:rPr>
        <w:t xml:space="preserve"> 85-719 (citations omitted).</w:t>
      </w:r>
    </w:p>
  </w:endnote>
  <w:endnote w:id="260">
    <w:p w:rsidR="0007012D" w:rsidRPr="00AD77D9" w:rsidRDefault="0007012D" w:rsidP="00AD77D9">
      <w:pPr>
        <w:pStyle w:val="EndnoteText"/>
        <w:jc w:val="both"/>
        <w:rPr>
          <w:rFonts w:cstheme="minorHAnsi"/>
        </w:rPr>
      </w:pPr>
      <w:r w:rsidRPr="00AD77D9">
        <w:rPr>
          <w:rStyle w:val="EndnoteReference"/>
          <w:rFonts w:cstheme="minorHAnsi"/>
        </w:rPr>
        <w:endnoteRef/>
      </w:r>
      <w:r w:rsidRPr="00AD77D9">
        <w:rPr>
          <w:rFonts w:cstheme="minorHAnsi"/>
        </w:rPr>
        <w:t xml:space="preserve"> In this submission the term ‘financial agreement’ is used throughout. While the term ‘binding financial agreement’ is a term in ordinary use (and appropriate for a public consultation process), sections 90B, 90C, 90D, 90K, 90KA, and 90G of the Act refer only to the term ‘financial agreement’. Part VIIIAB uses the term ‘Part VIIIAB Financial Agreement.’</w:t>
      </w:r>
    </w:p>
  </w:endnote>
  <w:endnote w:id="261">
    <w:p w:rsidR="0007012D" w:rsidRPr="00AD77D9" w:rsidRDefault="0007012D" w:rsidP="00AD77D9">
      <w:pPr>
        <w:pStyle w:val="EndnoteText"/>
        <w:rPr>
          <w:rFonts w:cstheme="minorHAnsi"/>
        </w:rPr>
      </w:pPr>
      <w:r w:rsidRPr="00AD77D9">
        <w:rPr>
          <w:rStyle w:val="EndnoteReference"/>
          <w:rFonts w:cstheme="minorHAnsi"/>
        </w:rPr>
        <w:endnoteRef/>
      </w:r>
      <w:r w:rsidRPr="00AD77D9">
        <w:rPr>
          <w:rFonts w:cstheme="minorHAnsi"/>
        </w:rPr>
        <w:t xml:space="preserve"> </w:t>
      </w:r>
      <w:r w:rsidRPr="00AD77D9">
        <w:rPr>
          <w:rFonts w:cstheme="minorHAnsi"/>
          <w:i/>
        </w:rPr>
        <w:t>Family Law Act 1975</w:t>
      </w:r>
      <w:r w:rsidRPr="00AD77D9">
        <w:rPr>
          <w:rFonts w:cstheme="minorHAnsi"/>
        </w:rPr>
        <w:t>(Cth), ss 90B(1)(b); 90C(1)(b); 90D(1)(b).</w:t>
      </w:r>
    </w:p>
  </w:endnote>
  <w:endnote w:id="262">
    <w:p w:rsidR="0007012D" w:rsidRPr="00AD77D9" w:rsidRDefault="0007012D" w:rsidP="00AD77D9">
      <w:pPr>
        <w:pStyle w:val="EndnoteText"/>
        <w:rPr>
          <w:rFonts w:cstheme="minorHAnsi"/>
        </w:rPr>
      </w:pPr>
      <w:r w:rsidRPr="00AD77D9">
        <w:rPr>
          <w:rStyle w:val="EndnoteReference"/>
          <w:rFonts w:cstheme="minorHAnsi"/>
        </w:rPr>
        <w:endnoteRef/>
      </w:r>
      <w:r w:rsidRPr="00AD77D9">
        <w:rPr>
          <w:rFonts w:cstheme="minorHAnsi"/>
        </w:rPr>
        <w:t xml:space="preserve"> </w:t>
      </w:r>
      <w:r w:rsidR="0093477B">
        <w:rPr>
          <w:rFonts w:cstheme="minorHAnsi"/>
        </w:rPr>
        <w:t xml:space="preserve">Ibid </w:t>
      </w:r>
      <w:r w:rsidRPr="00AD77D9">
        <w:rPr>
          <w:rFonts w:cstheme="minorHAnsi"/>
        </w:rPr>
        <w:t>ss 90K, 90KA.</w:t>
      </w:r>
    </w:p>
  </w:endnote>
  <w:endnote w:id="263">
    <w:p w:rsidR="0007012D" w:rsidRPr="00AD77D9" w:rsidRDefault="0007012D" w:rsidP="00AD77D9">
      <w:pPr>
        <w:pStyle w:val="EndnoteText"/>
        <w:rPr>
          <w:rFonts w:cstheme="minorHAnsi"/>
        </w:rPr>
      </w:pPr>
      <w:r w:rsidRPr="00AD77D9">
        <w:rPr>
          <w:rStyle w:val="EndnoteReference"/>
          <w:rFonts w:cstheme="minorHAnsi"/>
        </w:rPr>
        <w:endnoteRef/>
      </w:r>
      <w:r w:rsidRPr="00AD77D9">
        <w:rPr>
          <w:rFonts w:cstheme="minorHAnsi"/>
        </w:rPr>
        <w:t xml:space="preserve"> </w:t>
      </w:r>
      <w:r w:rsidRPr="00AD77D9">
        <w:rPr>
          <w:rFonts w:cstheme="minorHAnsi"/>
          <w:i/>
        </w:rPr>
        <w:t>Black &amp; Black</w:t>
      </w:r>
      <w:r w:rsidRPr="00AD77D9">
        <w:rPr>
          <w:rFonts w:cstheme="minorHAnsi"/>
        </w:rPr>
        <w:t xml:space="preserve"> (2008) FLC </w:t>
      </w:r>
      <w:r w:rsidRPr="00AD77D9">
        <w:rPr>
          <w:rFonts w:cstheme="minorHAnsi"/>
          <w:bCs/>
        </w:rPr>
        <w:t>¶</w:t>
      </w:r>
      <w:r w:rsidRPr="00AD77D9">
        <w:rPr>
          <w:rFonts w:cstheme="minorHAnsi"/>
        </w:rPr>
        <w:t>93-357.</w:t>
      </w:r>
    </w:p>
  </w:endnote>
  <w:endnote w:id="264">
    <w:p w:rsidR="0007012D" w:rsidRPr="00AD77D9" w:rsidRDefault="0007012D" w:rsidP="00AD77D9">
      <w:pPr>
        <w:pStyle w:val="EndnoteText"/>
        <w:rPr>
          <w:rFonts w:cstheme="minorHAnsi"/>
        </w:rPr>
      </w:pPr>
      <w:r w:rsidRPr="00AD77D9">
        <w:rPr>
          <w:rStyle w:val="EndnoteReference"/>
          <w:rFonts w:cstheme="minorHAnsi"/>
        </w:rPr>
        <w:endnoteRef/>
      </w:r>
      <w:r w:rsidRPr="00AD77D9">
        <w:rPr>
          <w:rFonts w:cstheme="minorHAnsi"/>
        </w:rPr>
        <w:t xml:space="preserve"> </w:t>
      </w:r>
      <w:r w:rsidRPr="00AD77D9">
        <w:rPr>
          <w:rFonts w:cstheme="minorHAnsi"/>
          <w:i/>
        </w:rPr>
        <w:t>Family Law Act 1975</w:t>
      </w:r>
      <w:r w:rsidRPr="00AD77D9">
        <w:rPr>
          <w:rFonts w:cstheme="minorHAnsi"/>
        </w:rPr>
        <w:t>(Cth), ss 90G(1A)-(1C).</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82601434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rsidR="0007012D" w:rsidRPr="00D25194" w:rsidRDefault="0007012D" w:rsidP="008E3B67">
            <w:pPr>
              <w:pStyle w:val="Footer"/>
              <w:pBdr>
                <w:top w:val="single" w:sz="4" w:space="1" w:color="auto"/>
              </w:pBdr>
              <w:jc w:val="right"/>
              <w:rPr>
                <w:sz w:val="16"/>
                <w:szCs w:val="16"/>
              </w:rPr>
            </w:pPr>
            <w:r w:rsidRPr="00D25194">
              <w:rPr>
                <w:sz w:val="16"/>
                <w:szCs w:val="16"/>
              </w:rPr>
              <w:t xml:space="preserve">Dr Christopher Turnbull, Submission, Review of the Family Law System (2018), Page </w:t>
            </w:r>
            <w:r w:rsidR="005411EE" w:rsidRPr="00D25194">
              <w:rPr>
                <w:b/>
                <w:bCs/>
                <w:sz w:val="16"/>
                <w:szCs w:val="16"/>
              </w:rPr>
              <w:fldChar w:fldCharType="begin"/>
            </w:r>
            <w:r w:rsidRPr="00D25194">
              <w:rPr>
                <w:b/>
                <w:bCs/>
                <w:sz w:val="16"/>
                <w:szCs w:val="16"/>
              </w:rPr>
              <w:instrText xml:space="preserve"> PAGE </w:instrText>
            </w:r>
            <w:r w:rsidR="005411EE" w:rsidRPr="00D25194">
              <w:rPr>
                <w:b/>
                <w:bCs/>
                <w:sz w:val="16"/>
                <w:szCs w:val="16"/>
              </w:rPr>
              <w:fldChar w:fldCharType="separate"/>
            </w:r>
            <w:r w:rsidR="00813BCA">
              <w:rPr>
                <w:b/>
                <w:bCs/>
                <w:noProof/>
                <w:sz w:val="16"/>
                <w:szCs w:val="16"/>
              </w:rPr>
              <w:t>81</w:t>
            </w:r>
            <w:r w:rsidR="005411EE" w:rsidRPr="00D25194">
              <w:rPr>
                <w:b/>
                <w:bCs/>
                <w:sz w:val="16"/>
                <w:szCs w:val="16"/>
              </w:rPr>
              <w:fldChar w:fldCharType="end"/>
            </w:r>
            <w:r w:rsidRPr="00D25194">
              <w:rPr>
                <w:sz w:val="16"/>
                <w:szCs w:val="16"/>
              </w:rPr>
              <w:t xml:space="preserve"> of </w:t>
            </w:r>
            <w:r w:rsidR="005411EE" w:rsidRPr="00D25194">
              <w:rPr>
                <w:b/>
                <w:bCs/>
                <w:sz w:val="16"/>
                <w:szCs w:val="16"/>
              </w:rPr>
              <w:fldChar w:fldCharType="begin"/>
            </w:r>
            <w:r w:rsidRPr="00D25194">
              <w:rPr>
                <w:b/>
                <w:bCs/>
                <w:sz w:val="16"/>
                <w:szCs w:val="16"/>
              </w:rPr>
              <w:instrText xml:space="preserve"> NUMPAGES  </w:instrText>
            </w:r>
            <w:r w:rsidR="005411EE" w:rsidRPr="00D25194">
              <w:rPr>
                <w:b/>
                <w:bCs/>
                <w:sz w:val="16"/>
                <w:szCs w:val="16"/>
              </w:rPr>
              <w:fldChar w:fldCharType="separate"/>
            </w:r>
            <w:r w:rsidR="00813BCA">
              <w:rPr>
                <w:b/>
                <w:bCs/>
                <w:noProof/>
                <w:sz w:val="16"/>
                <w:szCs w:val="16"/>
              </w:rPr>
              <w:t>82</w:t>
            </w:r>
            <w:r w:rsidR="005411EE" w:rsidRPr="00D25194">
              <w:rPr>
                <w:b/>
                <w:bCs/>
                <w:sz w:val="16"/>
                <w:szCs w:val="16"/>
              </w:rPr>
              <w:fldChar w:fldCharType="end"/>
            </w:r>
          </w:p>
        </w:sdtContent>
      </w:sdt>
    </w:sdtContent>
  </w:sdt>
  <w:p w:rsidR="0007012D" w:rsidRDefault="000701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559" w:rsidRDefault="008F6559" w:rsidP="009B66A5">
      <w:pPr>
        <w:spacing w:after="0" w:line="240" w:lineRule="auto"/>
      </w:pPr>
      <w:r>
        <w:separator/>
      </w:r>
    </w:p>
  </w:footnote>
  <w:footnote w:type="continuationSeparator" w:id="0">
    <w:p w:rsidR="008F6559" w:rsidRDefault="008F6559" w:rsidP="009B66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75D1"/>
    <w:multiLevelType w:val="hybridMultilevel"/>
    <w:tmpl w:val="6E56581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07114CF4"/>
    <w:multiLevelType w:val="hybridMultilevel"/>
    <w:tmpl w:val="056438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71735D9"/>
    <w:multiLevelType w:val="hybridMultilevel"/>
    <w:tmpl w:val="254AD4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0A4D68C5"/>
    <w:multiLevelType w:val="hybridMultilevel"/>
    <w:tmpl w:val="552CCD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0C055FB7"/>
    <w:multiLevelType w:val="hybridMultilevel"/>
    <w:tmpl w:val="13F4EA6A"/>
    <w:lvl w:ilvl="0" w:tplc="52420DAE">
      <w:start w:val="50"/>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0CA36B62"/>
    <w:multiLevelType w:val="hybridMultilevel"/>
    <w:tmpl w:val="E018A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086263D"/>
    <w:multiLevelType w:val="hybridMultilevel"/>
    <w:tmpl w:val="562EBB2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nsid w:val="11604078"/>
    <w:multiLevelType w:val="hybridMultilevel"/>
    <w:tmpl w:val="E72AEE84"/>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8">
    <w:nsid w:val="14524A9D"/>
    <w:multiLevelType w:val="hybridMultilevel"/>
    <w:tmpl w:val="75EA1820"/>
    <w:lvl w:ilvl="0" w:tplc="09B6F492">
      <w:start w:val="1"/>
      <w:numFmt w:val="lowerRoman"/>
      <w:lvlText w:val="%1."/>
      <w:lvlJc w:val="left"/>
      <w:pPr>
        <w:ind w:left="1440" w:hanging="360"/>
      </w:pPr>
      <w:rPr>
        <w:rFonts w:asciiTheme="minorHAnsi" w:eastAsiaTheme="minorHAnsi" w:hAnsiTheme="minorHAnsi" w:cstheme="minorBidi"/>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nsid w:val="14EB4229"/>
    <w:multiLevelType w:val="hybridMultilevel"/>
    <w:tmpl w:val="33FE12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5883186"/>
    <w:multiLevelType w:val="hybridMultilevel"/>
    <w:tmpl w:val="229284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158957A8"/>
    <w:multiLevelType w:val="hybridMultilevel"/>
    <w:tmpl w:val="1D40808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18511911"/>
    <w:multiLevelType w:val="hybridMultilevel"/>
    <w:tmpl w:val="AA727138"/>
    <w:lvl w:ilvl="0" w:tplc="50A410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B955E47"/>
    <w:multiLevelType w:val="hybridMultilevel"/>
    <w:tmpl w:val="4D0C2DA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nsid w:val="1BAB2E04"/>
    <w:multiLevelType w:val="hybridMultilevel"/>
    <w:tmpl w:val="C56C6EA2"/>
    <w:lvl w:ilvl="0" w:tplc="BBE26C2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1E9B61C4"/>
    <w:multiLevelType w:val="hybridMultilevel"/>
    <w:tmpl w:val="CFE41E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20E06FEC"/>
    <w:multiLevelType w:val="hybridMultilevel"/>
    <w:tmpl w:val="13C26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1D36129"/>
    <w:multiLevelType w:val="hybridMultilevel"/>
    <w:tmpl w:val="3EF0F62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238151A9"/>
    <w:multiLevelType w:val="hybridMultilevel"/>
    <w:tmpl w:val="F2DCAD6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nsid w:val="29196509"/>
    <w:multiLevelType w:val="hybridMultilevel"/>
    <w:tmpl w:val="0CD80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B301DFC"/>
    <w:multiLevelType w:val="hybridMultilevel"/>
    <w:tmpl w:val="F29E5D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2E6B7E7B"/>
    <w:multiLevelType w:val="hybridMultilevel"/>
    <w:tmpl w:val="81145D50"/>
    <w:lvl w:ilvl="0" w:tplc="BBF057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F0C23FC"/>
    <w:multiLevelType w:val="hybridMultilevel"/>
    <w:tmpl w:val="4DCC13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2FD652A0"/>
    <w:multiLevelType w:val="hybridMultilevel"/>
    <w:tmpl w:val="3C947864"/>
    <w:lvl w:ilvl="0" w:tplc="6638D55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1387396"/>
    <w:multiLevelType w:val="hybridMultilevel"/>
    <w:tmpl w:val="0C4CFBD6"/>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5">
    <w:nsid w:val="314C7E93"/>
    <w:multiLevelType w:val="hybridMultilevel"/>
    <w:tmpl w:val="269ECE7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34891743"/>
    <w:multiLevelType w:val="hybridMultilevel"/>
    <w:tmpl w:val="72582B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nsid w:val="37C82A12"/>
    <w:multiLevelType w:val="hybridMultilevel"/>
    <w:tmpl w:val="D6A04632"/>
    <w:lvl w:ilvl="0" w:tplc="6938FB72">
      <w:start w:val="1"/>
      <w:numFmt w:val="lowerLetter"/>
      <w:lvlText w:val="(%1)"/>
      <w:lvlJc w:val="left"/>
      <w:pPr>
        <w:ind w:left="1125" w:hanging="765"/>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38AB3489"/>
    <w:multiLevelType w:val="hybridMultilevel"/>
    <w:tmpl w:val="71A8D45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38D33A6B"/>
    <w:multiLevelType w:val="hybridMultilevel"/>
    <w:tmpl w:val="BEC64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0E9671F"/>
    <w:multiLevelType w:val="hybridMultilevel"/>
    <w:tmpl w:val="DF08BE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nsid w:val="41010C38"/>
    <w:multiLevelType w:val="hybridMultilevel"/>
    <w:tmpl w:val="F5A8DB3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nsid w:val="440C37ED"/>
    <w:multiLevelType w:val="hybridMultilevel"/>
    <w:tmpl w:val="6F66203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3">
    <w:nsid w:val="448031B0"/>
    <w:multiLevelType w:val="hybridMultilevel"/>
    <w:tmpl w:val="74D0D986"/>
    <w:lvl w:ilvl="0" w:tplc="BCCED8C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nsid w:val="452D1E26"/>
    <w:multiLevelType w:val="hybridMultilevel"/>
    <w:tmpl w:val="82BA7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467952B1"/>
    <w:multiLevelType w:val="hybridMultilevel"/>
    <w:tmpl w:val="4C861C8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nsid w:val="49895A85"/>
    <w:multiLevelType w:val="hybridMultilevel"/>
    <w:tmpl w:val="B2363784"/>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7">
    <w:nsid w:val="4DE2173C"/>
    <w:multiLevelType w:val="hybridMultilevel"/>
    <w:tmpl w:val="3F6689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nsid w:val="511D072A"/>
    <w:multiLevelType w:val="hybridMultilevel"/>
    <w:tmpl w:val="296EE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49D5381"/>
    <w:multiLevelType w:val="hybridMultilevel"/>
    <w:tmpl w:val="0D9A1098"/>
    <w:lvl w:ilvl="0" w:tplc="D99254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5579588C"/>
    <w:multiLevelType w:val="hybridMultilevel"/>
    <w:tmpl w:val="61124F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nsid w:val="55AF5CA3"/>
    <w:multiLevelType w:val="hybridMultilevel"/>
    <w:tmpl w:val="4B9AE87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2">
    <w:nsid w:val="5604101E"/>
    <w:multiLevelType w:val="hybridMultilevel"/>
    <w:tmpl w:val="17A20D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nsid w:val="567333A3"/>
    <w:multiLevelType w:val="hybridMultilevel"/>
    <w:tmpl w:val="424AA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59FC6654"/>
    <w:multiLevelType w:val="hybridMultilevel"/>
    <w:tmpl w:val="EA266C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nsid w:val="5DD91873"/>
    <w:multiLevelType w:val="hybridMultilevel"/>
    <w:tmpl w:val="6AD25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5ED72CA0"/>
    <w:multiLevelType w:val="hybridMultilevel"/>
    <w:tmpl w:val="3BB84F08"/>
    <w:lvl w:ilvl="0" w:tplc="8EC8149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622D2EC8"/>
    <w:multiLevelType w:val="hybridMultilevel"/>
    <w:tmpl w:val="D7240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647E021C"/>
    <w:multiLevelType w:val="hybridMultilevel"/>
    <w:tmpl w:val="2DD0FF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6FD8142F"/>
    <w:multiLevelType w:val="hybridMultilevel"/>
    <w:tmpl w:val="11741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707330A2"/>
    <w:multiLevelType w:val="hybridMultilevel"/>
    <w:tmpl w:val="64EC2CB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1">
    <w:nsid w:val="711A42A3"/>
    <w:multiLevelType w:val="hybridMultilevel"/>
    <w:tmpl w:val="430EFD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2">
    <w:nsid w:val="753B3C54"/>
    <w:multiLevelType w:val="hybridMultilevel"/>
    <w:tmpl w:val="70388AB0"/>
    <w:lvl w:ilvl="0" w:tplc="793EB8E6">
      <w:start w:val="1"/>
      <w:numFmt w:val="decimal"/>
      <w:lvlText w:val="%1."/>
      <w:lvlJc w:val="left"/>
      <w:pPr>
        <w:ind w:left="720" w:hanging="360"/>
      </w:pPr>
      <w:rPr>
        <w:rFonts w:hint="default"/>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77DE4D1C"/>
    <w:multiLevelType w:val="hybridMultilevel"/>
    <w:tmpl w:val="BFD279E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4">
    <w:nsid w:val="78570433"/>
    <w:multiLevelType w:val="hybridMultilevel"/>
    <w:tmpl w:val="7FA2F31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5">
    <w:nsid w:val="7ED75E0C"/>
    <w:multiLevelType w:val="hybridMultilevel"/>
    <w:tmpl w:val="81703D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1"/>
  </w:num>
  <w:num w:numId="2">
    <w:abstractNumId w:val="2"/>
  </w:num>
  <w:num w:numId="3">
    <w:abstractNumId w:val="9"/>
  </w:num>
  <w:num w:numId="4">
    <w:abstractNumId w:val="5"/>
  </w:num>
  <w:num w:numId="5">
    <w:abstractNumId w:val="22"/>
  </w:num>
  <w:num w:numId="6">
    <w:abstractNumId w:val="39"/>
  </w:num>
  <w:num w:numId="7">
    <w:abstractNumId w:val="0"/>
  </w:num>
  <w:num w:numId="8">
    <w:abstractNumId w:val="34"/>
  </w:num>
  <w:num w:numId="9">
    <w:abstractNumId w:val="55"/>
  </w:num>
  <w:num w:numId="10">
    <w:abstractNumId w:val="44"/>
  </w:num>
  <w:num w:numId="11">
    <w:abstractNumId w:val="26"/>
  </w:num>
  <w:num w:numId="12">
    <w:abstractNumId w:val="51"/>
  </w:num>
  <w:num w:numId="13">
    <w:abstractNumId w:val="30"/>
  </w:num>
  <w:num w:numId="14">
    <w:abstractNumId w:val="41"/>
  </w:num>
  <w:num w:numId="15">
    <w:abstractNumId w:val="15"/>
  </w:num>
  <w:num w:numId="16">
    <w:abstractNumId w:val="23"/>
  </w:num>
  <w:num w:numId="17">
    <w:abstractNumId w:val="10"/>
  </w:num>
  <w:num w:numId="18">
    <w:abstractNumId w:val="11"/>
  </w:num>
  <w:num w:numId="19">
    <w:abstractNumId w:val="20"/>
  </w:num>
  <w:num w:numId="20">
    <w:abstractNumId w:val="3"/>
  </w:num>
  <w:num w:numId="21">
    <w:abstractNumId w:val="42"/>
  </w:num>
  <w:num w:numId="22">
    <w:abstractNumId w:val="13"/>
  </w:num>
  <w:num w:numId="23">
    <w:abstractNumId w:val="54"/>
  </w:num>
  <w:num w:numId="24">
    <w:abstractNumId w:val="37"/>
  </w:num>
  <w:num w:numId="25">
    <w:abstractNumId w:val="35"/>
  </w:num>
  <w:num w:numId="26">
    <w:abstractNumId w:val="46"/>
  </w:num>
  <w:num w:numId="27">
    <w:abstractNumId w:val="27"/>
  </w:num>
  <w:num w:numId="28">
    <w:abstractNumId w:val="40"/>
  </w:num>
  <w:num w:numId="29">
    <w:abstractNumId w:val="48"/>
  </w:num>
  <w:num w:numId="30">
    <w:abstractNumId w:val="31"/>
  </w:num>
  <w:num w:numId="31">
    <w:abstractNumId w:val="53"/>
  </w:num>
  <w:num w:numId="32">
    <w:abstractNumId w:val="6"/>
  </w:num>
  <w:num w:numId="33">
    <w:abstractNumId w:val="32"/>
  </w:num>
  <w:num w:numId="34">
    <w:abstractNumId w:val="28"/>
  </w:num>
  <w:num w:numId="35">
    <w:abstractNumId w:val="8"/>
  </w:num>
  <w:num w:numId="36">
    <w:abstractNumId w:val="1"/>
  </w:num>
  <w:num w:numId="37">
    <w:abstractNumId w:val="18"/>
  </w:num>
  <w:num w:numId="38">
    <w:abstractNumId w:val="19"/>
  </w:num>
  <w:num w:numId="39">
    <w:abstractNumId w:val="38"/>
  </w:num>
  <w:num w:numId="40">
    <w:abstractNumId w:val="50"/>
  </w:num>
  <w:num w:numId="41">
    <w:abstractNumId w:val="17"/>
  </w:num>
  <w:num w:numId="42">
    <w:abstractNumId w:val="29"/>
  </w:num>
  <w:num w:numId="43">
    <w:abstractNumId w:val="25"/>
  </w:num>
  <w:num w:numId="44">
    <w:abstractNumId w:val="16"/>
  </w:num>
  <w:num w:numId="45">
    <w:abstractNumId w:val="36"/>
  </w:num>
  <w:num w:numId="46">
    <w:abstractNumId w:val="47"/>
  </w:num>
  <w:num w:numId="47">
    <w:abstractNumId w:val="24"/>
  </w:num>
  <w:num w:numId="48">
    <w:abstractNumId w:val="43"/>
  </w:num>
  <w:num w:numId="49">
    <w:abstractNumId w:val="4"/>
  </w:num>
  <w:num w:numId="50">
    <w:abstractNumId w:val="49"/>
  </w:num>
  <w:num w:numId="51">
    <w:abstractNumId w:val="45"/>
  </w:num>
  <w:num w:numId="52">
    <w:abstractNumId w:val="52"/>
  </w:num>
  <w:num w:numId="53">
    <w:abstractNumId w:val="7"/>
  </w:num>
  <w:num w:numId="54">
    <w:abstractNumId w:val="14"/>
  </w:num>
  <w:num w:numId="55">
    <w:abstractNumId w:val="12"/>
  </w:num>
  <w:num w:numId="56">
    <w:abstractNumId w:val="33"/>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4097"/>
  </w:hdrShapeDefaults>
  <w:footnotePr>
    <w:footnote w:id="-1"/>
    <w:footnote w:id="0"/>
  </w:footnotePr>
  <w:endnotePr>
    <w:numFmt w:val="decimal"/>
    <w:endnote w:id="-1"/>
    <w:endnote w:id="0"/>
  </w:endnotePr>
  <w:compat/>
  <w:docVars>
    <w:docVar w:name="__Grammarly_42____i" w:val="H4sIAAAAAAAEAKtWckksSQxILCpxzi/NK1GyMqwFAAEhoTITAAAA"/>
    <w:docVar w:name="__Grammarly_42___1" w:val="H4sIAAAAAAAEAKtWcslP9kxRslIyNDY0MzUxNzQwMTE3MzAGkko6SsGpxcWZ+XkgBUbmtQDzhi5WLQAAAA=="/>
  </w:docVars>
  <w:rsids>
    <w:rsidRoot w:val="00E73A71"/>
    <w:rsid w:val="00006CA0"/>
    <w:rsid w:val="0002417C"/>
    <w:rsid w:val="000268B4"/>
    <w:rsid w:val="00033EE7"/>
    <w:rsid w:val="0007012D"/>
    <w:rsid w:val="00070648"/>
    <w:rsid w:val="000726CB"/>
    <w:rsid w:val="0008706D"/>
    <w:rsid w:val="000924D6"/>
    <w:rsid w:val="000A16D2"/>
    <w:rsid w:val="000C20E3"/>
    <w:rsid w:val="000C3EFE"/>
    <w:rsid w:val="000D2EF5"/>
    <w:rsid w:val="000D38F9"/>
    <w:rsid w:val="000D5826"/>
    <w:rsid w:val="000E25A4"/>
    <w:rsid w:val="000E52E0"/>
    <w:rsid w:val="000F1D6A"/>
    <w:rsid w:val="000F47B5"/>
    <w:rsid w:val="000F4AEB"/>
    <w:rsid w:val="001002F5"/>
    <w:rsid w:val="00105FB4"/>
    <w:rsid w:val="00124DD2"/>
    <w:rsid w:val="00135AF3"/>
    <w:rsid w:val="0014551A"/>
    <w:rsid w:val="00146DF7"/>
    <w:rsid w:val="00154A0B"/>
    <w:rsid w:val="001561A9"/>
    <w:rsid w:val="001568EF"/>
    <w:rsid w:val="001602BD"/>
    <w:rsid w:val="001708AA"/>
    <w:rsid w:val="00182BBA"/>
    <w:rsid w:val="00190866"/>
    <w:rsid w:val="00195907"/>
    <w:rsid w:val="001C0CC0"/>
    <w:rsid w:val="001C15D0"/>
    <w:rsid w:val="001D699A"/>
    <w:rsid w:val="001E09D6"/>
    <w:rsid w:val="001F1057"/>
    <w:rsid w:val="001F29BD"/>
    <w:rsid w:val="002134E4"/>
    <w:rsid w:val="0022575B"/>
    <w:rsid w:val="00227348"/>
    <w:rsid w:val="002352A4"/>
    <w:rsid w:val="0024745B"/>
    <w:rsid w:val="002654A9"/>
    <w:rsid w:val="00266985"/>
    <w:rsid w:val="002754E9"/>
    <w:rsid w:val="00276212"/>
    <w:rsid w:val="0028251C"/>
    <w:rsid w:val="00290571"/>
    <w:rsid w:val="00290DB9"/>
    <w:rsid w:val="002A0CF4"/>
    <w:rsid w:val="002A55D3"/>
    <w:rsid w:val="002C0923"/>
    <w:rsid w:val="002C2F0E"/>
    <w:rsid w:val="002C6A5F"/>
    <w:rsid w:val="002C6AC2"/>
    <w:rsid w:val="002C6DE4"/>
    <w:rsid w:val="002D5D8D"/>
    <w:rsid w:val="002E4C34"/>
    <w:rsid w:val="002F23C2"/>
    <w:rsid w:val="002F4778"/>
    <w:rsid w:val="002F7ADC"/>
    <w:rsid w:val="00307729"/>
    <w:rsid w:val="0031221F"/>
    <w:rsid w:val="00313831"/>
    <w:rsid w:val="003141D1"/>
    <w:rsid w:val="00314979"/>
    <w:rsid w:val="00323F11"/>
    <w:rsid w:val="003354AD"/>
    <w:rsid w:val="00335CAD"/>
    <w:rsid w:val="00341D76"/>
    <w:rsid w:val="003456E8"/>
    <w:rsid w:val="00352FB9"/>
    <w:rsid w:val="00356924"/>
    <w:rsid w:val="003A26A5"/>
    <w:rsid w:val="003B0E07"/>
    <w:rsid w:val="003B1420"/>
    <w:rsid w:val="003B4DD7"/>
    <w:rsid w:val="003B50A0"/>
    <w:rsid w:val="003B5C5C"/>
    <w:rsid w:val="003C2FA8"/>
    <w:rsid w:val="003C5638"/>
    <w:rsid w:val="003E296A"/>
    <w:rsid w:val="003F36AC"/>
    <w:rsid w:val="003F4976"/>
    <w:rsid w:val="00402906"/>
    <w:rsid w:val="004053C3"/>
    <w:rsid w:val="00410BAC"/>
    <w:rsid w:val="00427BCD"/>
    <w:rsid w:val="00440600"/>
    <w:rsid w:val="004440E0"/>
    <w:rsid w:val="0045120F"/>
    <w:rsid w:val="0045662B"/>
    <w:rsid w:val="00462142"/>
    <w:rsid w:val="00470271"/>
    <w:rsid w:val="00470B7E"/>
    <w:rsid w:val="00486BCB"/>
    <w:rsid w:val="0049007F"/>
    <w:rsid w:val="004C1249"/>
    <w:rsid w:val="004D4F0E"/>
    <w:rsid w:val="004E3003"/>
    <w:rsid w:val="004E3344"/>
    <w:rsid w:val="004E3C7C"/>
    <w:rsid w:val="004F79EF"/>
    <w:rsid w:val="00504EEE"/>
    <w:rsid w:val="0051315F"/>
    <w:rsid w:val="00513770"/>
    <w:rsid w:val="005219BB"/>
    <w:rsid w:val="00522160"/>
    <w:rsid w:val="00522B76"/>
    <w:rsid w:val="00540614"/>
    <w:rsid w:val="005411EE"/>
    <w:rsid w:val="005679FC"/>
    <w:rsid w:val="00572543"/>
    <w:rsid w:val="00572B90"/>
    <w:rsid w:val="0059630E"/>
    <w:rsid w:val="00596AF2"/>
    <w:rsid w:val="005B2DEF"/>
    <w:rsid w:val="005C1606"/>
    <w:rsid w:val="005C3565"/>
    <w:rsid w:val="005C3A98"/>
    <w:rsid w:val="005D4613"/>
    <w:rsid w:val="005E41FB"/>
    <w:rsid w:val="005F081F"/>
    <w:rsid w:val="00600552"/>
    <w:rsid w:val="00605BD5"/>
    <w:rsid w:val="00613971"/>
    <w:rsid w:val="006140D2"/>
    <w:rsid w:val="006228C2"/>
    <w:rsid w:val="00626DE8"/>
    <w:rsid w:val="00630928"/>
    <w:rsid w:val="006348A1"/>
    <w:rsid w:val="00635922"/>
    <w:rsid w:val="00662A8E"/>
    <w:rsid w:val="006635E1"/>
    <w:rsid w:val="00671ADE"/>
    <w:rsid w:val="0067401C"/>
    <w:rsid w:val="00676027"/>
    <w:rsid w:val="00676DD6"/>
    <w:rsid w:val="00696AFC"/>
    <w:rsid w:val="006A76FC"/>
    <w:rsid w:val="006B2997"/>
    <w:rsid w:val="006B3A9B"/>
    <w:rsid w:val="006B72A3"/>
    <w:rsid w:val="006C3669"/>
    <w:rsid w:val="006C63F0"/>
    <w:rsid w:val="006C795C"/>
    <w:rsid w:val="006D11F5"/>
    <w:rsid w:val="006D3580"/>
    <w:rsid w:val="006D7025"/>
    <w:rsid w:val="006E02C6"/>
    <w:rsid w:val="006E60F8"/>
    <w:rsid w:val="0070383F"/>
    <w:rsid w:val="00724D42"/>
    <w:rsid w:val="00743B63"/>
    <w:rsid w:val="0074682B"/>
    <w:rsid w:val="0074733B"/>
    <w:rsid w:val="0076498E"/>
    <w:rsid w:val="00787AF0"/>
    <w:rsid w:val="0079361A"/>
    <w:rsid w:val="007A1FE5"/>
    <w:rsid w:val="007B0BFD"/>
    <w:rsid w:val="007B2F93"/>
    <w:rsid w:val="007D2931"/>
    <w:rsid w:val="007D6421"/>
    <w:rsid w:val="007E3538"/>
    <w:rsid w:val="007E4C77"/>
    <w:rsid w:val="007F13B4"/>
    <w:rsid w:val="007F165F"/>
    <w:rsid w:val="00813BCA"/>
    <w:rsid w:val="00834C3C"/>
    <w:rsid w:val="00835F61"/>
    <w:rsid w:val="00837348"/>
    <w:rsid w:val="00850DE2"/>
    <w:rsid w:val="00856E53"/>
    <w:rsid w:val="00861BE9"/>
    <w:rsid w:val="008643AC"/>
    <w:rsid w:val="008748E9"/>
    <w:rsid w:val="00875BAC"/>
    <w:rsid w:val="00883423"/>
    <w:rsid w:val="008868F4"/>
    <w:rsid w:val="00886AAC"/>
    <w:rsid w:val="00886CBB"/>
    <w:rsid w:val="008901C8"/>
    <w:rsid w:val="008B0975"/>
    <w:rsid w:val="008D121F"/>
    <w:rsid w:val="008E3B67"/>
    <w:rsid w:val="008F1051"/>
    <w:rsid w:val="008F6559"/>
    <w:rsid w:val="009219A1"/>
    <w:rsid w:val="0093477B"/>
    <w:rsid w:val="00934AA7"/>
    <w:rsid w:val="009445EC"/>
    <w:rsid w:val="00954E38"/>
    <w:rsid w:val="009562F6"/>
    <w:rsid w:val="00961E5D"/>
    <w:rsid w:val="009661A1"/>
    <w:rsid w:val="00980957"/>
    <w:rsid w:val="00980F2E"/>
    <w:rsid w:val="00994BEC"/>
    <w:rsid w:val="009A0126"/>
    <w:rsid w:val="009B0462"/>
    <w:rsid w:val="009B66A5"/>
    <w:rsid w:val="009C1DBD"/>
    <w:rsid w:val="009E50C1"/>
    <w:rsid w:val="009F076F"/>
    <w:rsid w:val="009F0D3D"/>
    <w:rsid w:val="009F7E74"/>
    <w:rsid w:val="00A0152A"/>
    <w:rsid w:val="00A03364"/>
    <w:rsid w:val="00A17297"/>
    <w:rsid w:val="00A2564B"/>
    <w:rsid w:val="00A262E9"/>
    <w:rsid w:val="00A336BA"/>
    <w:rsid w:val="00A4192E"/>
    <w:rsid w:val="00A54EDE"/>
    <w:rsid w:val="00A61AEE"/>
    <w:rsid w:val="00A645C3"/>
    <w:rsid w:val="00A72BD1"/>
    <w:rsid w:val="00A80012"/>
    <w:rsid w:val="00A8085D"/>
    <w:rsid w:val="00A82AF3"/>
    <w:rsid w:val="00A8427A"/>
    <w:rsid w:val="00AB0930"/>
    <w:rsid w:val="00AB17D8"/>
    <w:rsid w:val="00AB2683"/>
    <w:rsid w:val="00AB6C1A"/>
    <w:rsid w:val="00AC7AE7"/>
    <w:rsid w:val="00AD77D9"/>
    <w:rsid w:val="00AE7385"/>
    <w:rsid w:val="00AF01E8"/>
    <w:rsid w:val="00AF38E5"/>
    <w:rsid w:val="00AF7E31"/>
    <w:rsid w:val="00B003DA"/>
    <w:rsid w:val="00B00969"/>
    <w:rsid w:val="00B02182"/>
    <w:rsid w:val="00B11AA3"/>
    <w:rsid w:val="00B12E6E"/>
    <w:rsid w:val="00B1563C"/>
    <w:rsid w:val="00B36216"/>
    <w:rsid w:val="00B4031E"/>
    <w:rsid w:val="00B41B0A"/>
    <w:rsid w:val="00B46357"/>
    <w:rsid w:val="00B53154"/>
    <w:rsid w:val="00B53896"/>
    <w:rsid w:val="00B55C77"/>
    <w:rsid w:val="00B66588"/>
    <w:rsid w:val="00B71B3C"/>
    <w:rsid w:val="00B72B62"/>
    <w:rsid w:val="00B74EC4"/>
    <w:rsid w:val="00B808FF"/>
    <w:rsid w:val="00B832DC"/>
    <w:rsid w:val="00B835AC"/>
    <w:rsid w:val="00B933F5"/>
    <w:rsid w:val="00BA0168"/>
    <w:rsid w:val="00BC226C"/>
    <w:rsid w:val="00BC7E91"/>
    <w:rsid w:val="00BD551A"/>
    <w:rsid w:val="00BD5A97"/>
    <w:rsid w:val="00BF79E6"/>
    <w:rsid w:val="00BF7CCD"/>
    <w:rsid w:val="00C003B0"/>
    <w:rsid w:val="00C12655"/>
    <w:rsid w:val="00C1402E"/>
    <w:rsid w:val="00C233EE"/>
    <w:rsid w:val="00C26DD6"/>
    <w:rsid w:val="00C3032C"/>
    <w:rsid w:val="00C344BB"/>
    <w:rsid w:val="00C534E1"/>
    <w:rsid w:val="00C8274F"/>
    <w:rsid w:val="00CA504F"/>
    <w:rsid w:val="00CC20DE"/>
    <w:rsid w:val="00CC4FCD"/>
    <w:rsid w:val="00CC5B18"/>
    <w:rsid w:val="00CE59F4"/>
    <w:rsid w:val="00CF3B39"/>
    <w:rsid w:val="00D00292"/>
    <w:rsid w:val="00D14CC7"/>
    <w:rsid w:val="00D25194"/>
    <w:rsid w:val="00D316AC"/>
    <w:rsid w:val="00D326B1"/>
    <w:rsid w:val="00D35EC4"/>
    <w:rsid w:val="00D37AA2"/>
    <w:rsid w:val="00D37EE0"/>
    <w:rsid w:val="00D45D94"/>
    <w:rsid w:val="00D63882"/>
    <w:rsid w:val="00D73980"/>
    <w:rsid w:val="00D7730B"/>
    <w:rsid w:val="00D80913"/>
    <w:rsid w:val="00D85E48"/>
    <w:rsid w:val="00D973FF"/>
    <w:rsid w:val="00DA077A"/>
    <w:rsid w:val="00DA3AB5"/>
    <w:rsid w:val="00DA4ADE"/>
    <w:rsid w:val="00DB0CF8"/>
    <w:rsid w:val="00DB2105"/>
    <w:rsid w:val="00DB3D15"/>
    <w:rsid w:val="00DC14A6"/>
    <w:rsid w:val="00DC2C7B"/>
    <w:rsid w:val="00DC3AE3"/>
    <w:rsid w:val="00DC4D75"/>
    <w:rsid w:val="00DC7DC2"/>
    <w:rsid w:val="00DF29B2"/>
    <w:rsid w:val="00E014B4"/>
    <w:rsid w:val="00E04540"/>
    <w:rsid w:val="00E12BAB"/>
    <w:rsid w:val="00E1316F"/>
    <w:rsid w:val="00E2143E"/>
    <w:rsid w:val="00E25128"/>
    <w:rsid w:val="00E33E65"/>
    <w:rsid w:val="00E40CE7"/>
    <w:rsid w:val="00E43E66"/>
    <w:rsid w:val="00E4664A"/>
    <w:rsid w:val="00E5469D"/>
    <w:rsid w:val="00E57118"/>
    <w:rsid w:val="00E57E88"/>
    <w:rsid w:val="00E6429C"/>
    <w:rsid w:val="00E73A71"/>
    <w:rsid w:val="00E84E98"/>
    <w:rsid w:val="00E86E4B"/>
    <w:rsid w:val="00EA101F"/>
    <w:rsid w:val="00EB01E9"/>
    <w:rsid w:val="00EB25B5"/>
    <w:rsid w:val="00EC5951"/>
    <w:rsid w:val="00EC5ADE"/>
    <w:rsid w:val="00ED1BE8"/>
    <w:rsid w:val="00ED513B"/>
    <w:rsid w:val="00ED7169"/>
    <w:rsid w:val="00EE2DE3"/>
    <w:rsid w:val="00EE4B15"/>
    <w:rsid w:val="00EE6198"/>
    <w:rsid w:val="00EF351B"/>
    <w:rsid w:val="00EF449E"/>
    <w:rsid w:val="00F0093C"/>
    <w:rsid w:val="00F0386F"/>
    <w:rsid w:val="00F227E8"/>
    <w:rsid w:val="00F256A3"/>
    <w:rsid w:val="00F27470"/>
    <w:rsid w:val="00F33565"/>
    <w:rsid w:val="00F531FE"/>
    <w:rsid w:val="00F547E6"/>
    <w:rsid w:val="00F608A0"/>
    <w:rsid w:val="00F668A5"/>
    <w:rsid w:val="00F67B12"/>
    <w:rsid w:val="00F73D41"/>
    <w:rsid w:val="00F80C80"/>
    <w:rsid w:val="00F90499"/>
    <w:rsid w:val="00F97F6F"/>
    <w:rsid w:val="00FA09BE"/>
    <w:rsid w:val="00FA0F03"/>
    <w:rsid w:val="00FA5649"/>
    <w:rsid w:val="00FA596C"/>
    <w:rsid w:val="00FB105F"/>
    <w:rsid w:val="00FB16EA"/>
    <w:rsid w:val="00FB173B"/>
    <w:rsid w:val="00FB18EF"/>
    <w:rsid w:val="00FB799C"/>
    <w:rsid w:val="00FE11B1"/>
    <w:rsid w:val="00FE59F0"/>
    <w:rsid w:val="00FF42A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1EE"/>
  </w:style>
  <w:style w:type="paragraph" w:styleId="Heading1">
    <w:name w:val="heading 1"/>
    <w:basedOn w:val="Normal"/>
    <w:next w:val="Normal"/>
    <w:link w:val="Heading1Char"/>
    <w:uiPriority w:val="9"/>
    <w:qFormat/>
    <w:rsid w:val="0067401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52FB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F477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DA4AD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73A71"/>
    <w:pPr>
      <w:spacing w:after="0" w:line="240" w:lineRule="auto"/>
    </w:pPr>
    <w:rPr>
      <w:color w:val="1F497D" w:themeColor="text2"/>
      <w:sz w:val="20"/>
      <w:szCs w:val="20"/>
      <w:lang w:val="en-US"/>
    </w:rPr>
  </w:style>
  <w:style w:type="character" w:customStyle="1" w:styleId="NoSpacingChar">
    <w:name w:val="No Spacing Char"/>
    <w:basedOn w:val="DefaultParagraphFont"/>
    <w:link w:val="NoSpacing"/>
    <w:uiPriority w:val="1"/>
    <w:rsid w:val="00E73A71"/>
    <w:rPr>
      <w:color w:val="1F497D" w:themeColor="text2"/>
      <w:sz w:val="20"/>
      <w:szCs w:val="20"/>
      <w:lang w:val="en-US"/>
    </w:rPr>
  </w:style>
  <w:style w:type="character" w:customStyle="1" w:styleId="Heading1Char">
    <w:name w:val="Heading 1 Char"/>
    <w:basedOn w:val="DefaultParagraphFont"/>
    <w:link w:val="Heading1"/>
    <w:uiPriority w:val="9"/>
    <w:rsid w:val="0067401C"/>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6740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6"/>
    <w:qFormat/>
    <w:rsid w:val="00470B7E"/>
    <w:pPr>
      <w:ind w:left="720"/>
      <w:contextualSpacing/>
    </w:pPr>
  </w:style>
  <w:style w:type="paragraph" w:styleId="Header">
    <w:name w:val="header"/>
    <w:basedOn w:val="Normal"/>
    <w:link w:val="HeaderChar"/>
    <w:uiPriority w:val="99"/>
    <w:unhideWhenUsed/>
    <w:rsid w:val="009B66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6A5"/>
  </w:style>
  <w:style w:type="paragraph" w:styleId="Footer">
    <w:name w:val="footer"/>
    <w:basedOn w:val="Normal"/>
    <w:link w:val="FooterChar"/>
    <w:uiPriority w:val="99"/>
    <w:unhideWhenUsed/>
    <w:rsid w:val="009B66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6A5"/>
  </w:style>
  <w:style w:type="paragraph" w:styleId="Title">
    <w:name w:val="Title"/>
    <w:basedOn w:val="Normal"/>
    <w:next w:val="Normal"/>
    <w:link w:val="TitleChar"/>
    <w:uiPriority w:val="10"/>
    <w:qFormat/>
    <w:rsid w:val="00CA50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504F"/>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7D6421"/>
    <w:pPr>
      <w:outlineLvl w:val="9"/>
    </w:pPr>
    <w:rPr>
      <w:lang w:val="en-US"/>
    </w:rPr>
  </w:style>
  <w:style w:type="paragraph" w:styleId="TOC1">
    <w:name w:val="toc 1"/>
    <w:basedOn w:val="Normal"/>
    <w:next w:val="Normal"/>
    <w:autoRedefine/>
    <w:uiPriority w:val="39"/>
    <w:unhideWhenUsed/>
    <w:rsid w:val="007D6421"/>
    <w:pPr>
      <w:spacing w:after="100"/>
    </w:pPr>
  </w:style>
  <w:style w:type="character" w:styleId="Hyperlink">
    <w:name w:val="Hyperlink"/>
    <w:basedOn w:val="DefaultParagraphFont"/>
    <w:uiPriority w:val="99"/>
    <w:unhideWhenUsed/>
    <w:rsid w:val="007D6421"/>
    <w:rPr>
      <w:color w:val="0000FF" w:themeColor="hyperlink"/>
      <w:u w:val="single"/>
    </w:rPr>
  </w:style>
  <w:style w:type="character" w:customStyle="1" w:styleId="Heading2Char">
    <w:name w:val="Heading 2 Char"/>
    <w:basedOn w:val="DefaultParagraphFont"/>
    <w:link w:val="Heading2"/>
    <w:uiPriority w:val="9"/>
    <w:rsid w:val="00352FB9"/>
    <w:rPr>
      <w:rFonts w:asciiTheme="majorHAnsi" w:eastAsiaTheme="majorEastAsia" w:hAnsiTheme="majorHAnsi" w:cstheme="majorBidi"/>
      <w:color w:val="365F91" w:themeColor="accent1" w:themeShade="BF"/>
      <w:sz w:val="26"/>
      <w:szCs w:val="26"/>
    </w:rPr>
  </w:style>
  <w:style w:type="paragraph" w:styleId="EndnoteText">
    <w:name w:val="endnote text"/>
    <w:basedOn w:val="Normal"/>
    <w:link w:val="EndnoteTextChar"/>
    <w:uiPriority w:val="99"/>
    <w:semiHidden/>
    <w:unhideWhenUsed/>
    <w:rsid w:val="00352FB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52FB9"/>
    <w:rPr>
      <w:sz w:val="20"/>
      <w:szCs w:val="20"/>
    </w:rPr>
  </w:style>
  <w:style w:type="character" w:styleId="EndnoteReference">
    <w:name w:val="endnote reference"/>
    <w:basedOn w:val="DefaultParagraphFont"/>
    <w:uiPriority w:val="99"/>
    <w:semiHidden/>
    <w:unhideWhenUsed/>
    <w:rsid w:val="00352FB9"/>
    <w:rPr>
      <w:vertAlign w:val="superscript"/>
    </w:rPr>
  </w:style>
  <w:style w:type="paragraph" w:styleId="TOC2">
    <w:name w:val="toc 2"/>
    <w:basedOn w:val="Normal"/>
    <w:next w:val="Normal"/>
    <w:autoRedefine/>
    <w:uiPriority w:val="39"/>
    <w:unhideWhenUsed/>
    <w:rsid w:val="00980957"/>
    <w:pPr>
      <w:spacing w:after="100"/>
      <w:ind w:left="220"/>
    </w:pPr>
  </w:style>
  <w:style w:type="paragraph" w:styleId="FootnoteText">
    <w:name w:val="footnote text"/>
    <w:basedOn w:val="Normal"/>
    <w:link w:val="FootnoteTextChar"/>
    <w:uiPriority w:val="99"/>
    <w:unhideWhenUsed/>
    <w:qFormat/>
    <w:rsid w:val="008868F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8868F4"/>
    <w:rPr>
      <w:rFonts w:ascii="Calibri" w:eastAsia="Calibri" w:hAnsi="Calibri" w:cs="Times New Roman"/>
      <w:sz w:val="20"/>
      <w:szCs w:val="20"/>
    </w:rPr>
  </w:style>
  <w:style w:type="character" w:styleId="FootnoteReference">
    <w:name w:val="footnote reference"/>
    <w:basedOn w:val="DefaultParagraphFont"/>
    <w:semiHidden/>
    <w:unhideWhenUsed/>
    <w:qFormat/>
    <w:rsid w:val="008868F4"/>
    <w:rPr>
      <w:vertAlign w:val="superscript"/>
    </w:rPr>
  </w:style>
  <w:style w:type="character" w:customStyle="1" w:styleId="UnresolvedMention">
    <w:name w:val="Unresolved Mention"/>
    <w:basedOn w:val="DefaultParagraphFont"/>
    <w:uiPriority w:val="99"/>
    <w:semiHidden/>
    <w:unhideWhenUsed/>
    <w:rsid w:val="008868F4"/>
    <w:rPr>
      <w:color w:val="808080"/>
      <w:shd w:val="clear" w:color="auto" w:fill="E6E6E6"/>
    </w:rPr>
  </w:style>
  <w:style w:type="paragraph" w:styleId="Caption">
    <w:name w:val="caption"/>
    <w:basedOn w:val="Normal"/>
    <w:next w:val="Normal"/>
    <w:uiPriority w:val="35"/>
    <w:unhideWhenUsed/>
    <w:qFormat/>
    <w:rsid w:val="005D4613"/>
    <w:pPr>
      <w:spacing w:after="200" w:line="240" w:lineRule="auto"/>
    </w:pPr>
    <w:rPr>
      <w:i/>
      <w:iCs/>
      <w:color w:val="1F497D" w:themeColor="text2"/>
      <w:sz w:val="18"/>
      <w:szCs w:val="18"/>
    </w:rPr>
  </w:style>
  <w:style w:type="paragraph" w:styleId="BalloonText">
    <w:name w:val="Balloon Text"/>
    <w:basedOn w:val="Normal"/>
    <w:link w:val="BalloonTextChar"/>
    <w:uiPriority w:val="99"/>
    <w:semiHidden/>
    <w:unhideWhenUsed/>
    <w:rsid w:val="00BF79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9E6"/>
    <w:rPr>
      <w:rFonts w:ascii="Segoe UI" w:hAnsi="Segoe UI" w:cs="Segoe UI"/>
      <w:sz w:val="18"/>
      <w:szCs w:val="18"/>
    </w:rPr>
  </w:style>
  <w:style w:type="character" w:customStyle="1" w:styleId="Heading3Char">
    <w:name w:val="Heading 3 Char"/>
    <w:basedOn w:val="DefaultParagraphFont"/>
    <w:link w:val="Heading3"/>
    <w:uiPriority w:val="9"/>
    <w:rsid w:val="002F4778"/>
    <w:rPr>
      <w:rFonts w:asciiTheme="majorHAnsi" w:eastAsiaTheme="majorEastAsia" w:hAnsiTheme="majorHAnsi" w:cstheme="majorBidi"/>
      <w:color w:val="243F60" w:themeColor="accent1" w:themeShade="7F"/>
      <w:sz w:val="24"/>
      <w:szCs w:val="24"/>
    </w:rPr>
  </w:style>
  <w:style w:type="table" w:customStyle="1" w:styleId="GridTable1Light">
    <w:name w:val="Grid Table 1 Light"/>
    <w:basedOn w:val="TableNormal"/>
    <w:uiPriority w:val="46"/>
    <w:rsid w:val="002F4778"/>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3Accent1">
    <w:name w:val="List Table 3 Accent 1"/>
    <w:basedOn w:val="TableNormal"/>
    <w:uiPriority w:val="48"/>
    <w:rsid w:val="002D5D8D"/>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GridTable1LightAccent1">
    <w:name w:val="Grid Table 1 Light Accent 1"/>
    <w:basedOn w:val="TableNormal"/>
    <w:uiPriority w:val="46"/>
    <w:rsid w:val="002D5D8D"/>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TOC3">
    <w:name w:val="toc 3"/>
    <w:basedOn w:val="Normal"/>
    <w:next w:val="Normal"/>
    <w:autoRedefine/>
    <w:uiPriority w:val="39"/>
    <w:unhideWhenUsed/>
    <w:rsid w:val="006A76FC"/>
    <w:pPr>
      <w:spacing w:after="100"/>
      <w:ind w:left="440"/>
    </w:pPr>
  </w:style>
  <w:style w:type="paragraph" w:styleId="NormalWeb">
    <w:name w:val="Normal (Web)"/>
    <w:basedOn w:val="Normal"/>
    <w:uiPriority w:val="99"/>
    <w:semiHidden/>
    <w:unhideWhenUsed/>
    <w:rsid w:val="00DC7DC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xfontstyle0">
    <w:name w:val="x_fontstyle0"/>
    <w:basedOn w:val="DefaultParagraphFont"/>
    <w:rsid w:val="00DC7DC2"/>
  </w:style>
  <w:style w:type="table" w:customStyle="1" w:styleId="GridTableLight">
    <w:name w:val="Grid Table Light"/>
    <w:basedOn w:val="TableNormal"/>
    <w:uiPriority w:val="40"/>
    <w:rsid w:val="00C233E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DA4ADE"/>
    <w:rPr>
      <w:rFonts w:asciiTheme="majorHAnsi" w:eastAsiaTheme="majorEastAsia" w:hAnsiTheme="majorHAnsi" w:cstheme="majorBidi"/>
      <w:i/>
      <w:iCs/>
      <w:color w:val="365F91" w:themeColor="accent1" w:themeShade="BF"/>
    </w:rPr>
  </w:style>
  <w:style w:type="table" w:customStyle="1" w:styleId="PlainTable1">
    <w:name w:val="Plain Table 1"/>
    <w:basedOn w:val="TableNormal"/>
    <w:uiPriority w:val="41"/>
    <w:rsid w:val="00CF3B3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r="http://schemas.openxmlformats.org/officeDocument/2006/relationships" xmlns:w="http://schemas.openxmlformats.org/wordprocessingml/2006/main">
  <w:divs>
    <w:div w:id="121510071">
      <w:bodyDiv w:val="1"/>
      <w:marLeft w:val="0"/>
      <w:marRight w:val="0"/>
      <w:marTop w:val="0"/>
      <w:marBottom w:val="0"/>
      <w:divBdr>
        <w:top w:val="none" w:sz="0" w:space="0" w:color="auto"/>
        <w:left w:val="none" w:sz="0" w:space="0" w:color="auto"/>
        <w:bottom w:val="none" w:sz="0" w:space="0" w:color="auto"/>
        <w:right w:val="none" w:sz="0" w:space="0" w:color="auto"/>
      </w:divBdr>
    </w:div>
    <w:div w:id="356471905">
      <w:bodyDiv w:val="1"/>
      <w:marLeft w:val="0"/>
      <w:marRight w:val="0"/>
      <w:marTop w:val="0"/>
      <w:marBottom w:val="0"/>
      <w:divBdr>
        <w:top w:val="none" w:sz="0" w:space="0" w:color="auto"/>
        <w:left w:val="none" w:sz="0" w:space="0" w:color="auto"/>
        <w:bottom w:val="none" w:sz="0" w:space="0" w:color="auto"/>
        <w:right w:val="none" w:sz="0" w:space="0" w:color="auto"/>
      </w:divBdr>
      <w:divsChild>
        <w:div w:id="1318922674">
          <w:marLeft w:val="0"/>
          <w:marRight w:val="0"/>
          <w:marTop w:val="0"/>
          <w:marBottom w:val="0"/>
          <w:divBdr>
            <w:top w:val="none" w:sz="0" w:space="0" w:color="auto"/>
            <w:left w:val="none" w:sz="0" w:space="0" w:color="auto"/>
            <w:bottom w:val="none" w:sz="0" w:space="0" w:color="auto"/>
            <w:right w:val="none" w:sz="0" w:space="0" w:color="auto"/>
          </w:divBdr>
          <w:divsChild>
            <w:div w:id="1507862683">
              <w:marLeft w:val="0"/>
              <w:marRight w:val="0"/>
              <w:marTop w:val="0"/>
              <w:marBottom w:val="0"/>
              <w:divBdr>
                <w:top w:val="none" w:sz="0" w:space="0" w:color="auto"/>
                <w:left w:val="none" w:sz="0" w:space="0" w:color="auto"/>
                <w:bottom w:val="none" w:sz="0" w:space="0" w:color="auto"/>
                <w:right w:val="none" w:sz="0" w:space="0" w:color="auto"/>
              </w:divBdr>
              <w:divsChild>
                <w:div w:id="17194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72041">
      <w:bodyDiv w:val="1"/>
      <w:marLeft w:val="0"/>
      <w:marRight w:val="0"/>
      <w:marTop w:val="0"/>
      <w:marBottom w:val="0"/>
      <w:divBdr>
        <w:top w:val="none" w:sz="0" w:space="0" w:color="auto"/>
        <w:left w:val="none" w:sz="0" w:space="0" w:color="auto"/>
        <w:bottom w:val="none" w:sz="0" w:space="0" w:color="auto"/>
        <w:right w:val="none" w:sz="0" w:space="0" w:color="auto"/>
      </w:divBdr>
    </w:div>
    <w:div w:id="1189103286">
      <w:bodyDiv w:val="1"/>
      <w:marLeft w:val="0"/>
      <w:marRight w:val="0"/>
      <w:marTop w:val="0"/>
      <w:marBottom w:val="0"/>
      <w:divBdr>
        <w:top w:val="none" w:sz="0" w:space="0" w:color="auto"/>
        <w:left w:val="none" w:sz="0" w:space="0" w:color="auto"/>
        <w:bottom w:val="none" w:sz="0" w:space="0" w:color="auto"/>
        <w:right w:val="none" w:sz="0" w:space="0" w:color="auto"/>
      </w:divBdr>
    </w:div>
    <w:div w:id="1342051198">
      <w:bodyDiv w:val="1"/>
      <w:marLeft w:val="0"/>
      <w:marRight w:val="0"/>
      <w:marTop w:val="0"/>
      <w:marBottom w:val="0"/>
      <w:divBdr>
        <w:top w:val="none" w:sz="0" w:space="0" w:color="auto"/>
        <w:left w:val="none" w:sz="0" w:space="0" w:color="auto"/>
        <w:bottom w:val="none" w:sz="0" w:space="0" w:color="auto"/>
        <w:right w:val="none" w:sz="0" w:space="0" w:color="auto"/>
      </w:divBdr>
    </w:div>
    <w:div w:id="1642732749">
      <w:bodyDiv w:val="1"/>
      <w:marLeft w:val="0"/>
      <w:marRight w:val="0"/>
      <w:marTop w:val="0"/>
      <w:marBottom w:val="0"/>
      <w:divBdr>
        <w:top w:val="none" w:sz="0" w:space="0" w:color="auto"/>
        <w:left w:val="none" w:sz="0" w:space="0" w:color="auto"/>
        <w:bottom w:val="none" w:sz="0" w:space="0" w:color="auto"/>
        <w:right w:val="none" w:sz="0" w:space="0" w:color="auto"/>
      </w:divBdr>
    </w:div>
    <w:div w:id="1655917459">
      <w:bodyDiv w:val="1"/>
      <w:marLeft w:val="0"/>
      <w:marRight w:val="0"/>
      <w:marTop w:val="0"/>
      <w:marBottom w:val="0"/>
      <w:divBdr>
        <w:top w:val="none" w:sz="0" w:space="0" w:color="auto"/>
        <w:left w:val="none" w:sz="0" w:space="0" w:color="auto"/>
        <w:bottom w:val="none" w:sz="0" w:space="0" w:color="auto"/>
        <w:right w:val="none" w:sz="0" w:space="0" w:color="auto"/>
      </w:divBdr>
    </w:div>
    <w:div w:id="1921594021">
      <w:bodyDiv w:val="1"/>
      <w:marLeft w:val="0"/>
      <w:marRight w:val="0"/>
      <w:marTop w:val="0"/>
      <w:marBottom w:val="0"/>
      <w:divBdr>
        <w:top w:val="none" w:sz="0" w:space="0" w:color="auto"/>
        <w:left w:val="none" w:sz="0" w:space="0" w:color="auto"/>
        <w:bottom w:val="none" w:sz="0" w:space="0" w:color="auto"/>
        <w:right w:val="none" w:sz="0" w:space="0" w:color="auto"/>
      </w:divBdr>
      <w:divsChild>
        <w:div w:id="474488267">
          <w:marLeft w:val="0"/>
          <w:marRight w:val="0"/>
          <w:marTop w:val="0"/>
          <w:marBottom w:val="0"/>
          <w:divBdr>
            <w:top w:val="none" w:sz="0" w:space="0" w:color="auto"/>
            <w:left w:val="none" w:sz="0" w:space="0" w:color="auto"/>
            <w:bottom w:val="none" w:sz="0" w:space="0" w:color="auto"/>
            <w:right w:val="none" w:sz="0" w:space="0" w:color="auto"/>
          </w:divBdr>
        </w:div>
        <w:div w:id="325744997">
          <w:marLeft w:val="0"/>
          <w:marRight w:val="0"/>
          <w:marTop w:val="0"/>
          <w:marBottom w:val="0"/>
          <w:divBdr>
            <w:top w:val="none" w:sz="0" w:space="0" w:color="auto"/>
            <w:left w:val="none" w:sz="0" w:space="0" w:color="auto"/>
            <w:bottom w:val="none" w:sz="0" w:space="0" w:color="auto"/>
            <w:right w:val="none" w:sz="0" w:space="0" w:color="auto"/>
          </w:divBdr>
        </w:div>
        <w:div w:id="1030684720">
          <w:marLeft w:val="0"/>
          <w:marRight w:val="0"/>
          <w:marTop w:val="0"/>
          <w:marBottom w:val="0"/>
          <w:divBdr>
            <w:top w:val="none" w:sz="0" w:space="0" w:color="auto"/>
            <w:left w:val="none" w:sz="0" w:space="0" w:color="auto"/>
            <w:bottom w:val="none" w:sz="0" w:space="0" w:color="auto"/>
            <w:right w:val="none" w:sz="0" w:space="0" w:color="auto"/>
          </w:divBdr>
        </w:div>
        <w:div w:id="657727692">
          <w:marLeft w:val="0"/>
          <w:marRight w:val="0"/>
          <w:marTop w:val="0"/>
          <w:marBottom w:val="0"/>
          <w:divBdr>
            <w:top w:val="none" w:sz="0" w:space="0" w:color="auto"/>
            <w:left w:val="none" w:sz="0" w:space="0" w:color="auto"/>
            <w:bottom w:val="none" w:sz="0" w:space="0" w:color="auto"/>
            <w:right w:val="none" w:sz="0" w:space="0" w:color="auto"/>
          </w:divBdr>
        </w:div>
        <w:div w:id="1069185228">
          <w:marLeft w:val="0"/>
          <w:marRight w:val="0"/>
          <w:marTop w:val="0"/>
          <w:marBottom w:val="0"/>
          <w:divBdr>
            <w:top w:val="none" w:sz="0" w:space="0" w:color="auto"/>
            <w:left w:val="none" w:sz="0" w:space="0" w:color="auto"/>
            <w:bottom w:val="none" w:sz="0" w:space="0" w:color="auto"/>
            <w:right w:val="none" w:sz="0" w:space="0" w:color="auto"/>
          </w:divBdr>
        </w:div>
        <w:div w:id="1136529061">
          <w:marLeft w:val="0"/>
          <w:marRight w:val="0"/>
          <w:marTop w:val="0"/>
          <w:marBottom w:val="0"/>
          <w:divBdr>
            <w:top w:val="none" w:sz="0" w:space="0" w:color="auto"/>
            <w:left w:val="none" w:sz="0" w:space="0" w:color="auto"/>
            <w:bottom w:val="none" w:sz="0" w:space="0" w:color="auto"/>
            <w:right w:val="none" w:sz="0" w:space="0" w:color="auto"/>
          </w:divBdr>
        </w:div>
        <w:div w:id="1263755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rints.qut.edu.au/113831/"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diagramData" Target="diagrams/data2.xml"/><Relationship Id="rId3" Type="http://schemas.openxmlformats.org/officeDocument/2006/relationships/styles" Target="styles.xml"/><Relationship Id="rId21" Type="http://schemas.openxmlformats.org/officeDocument/2006/relationships/diagramData" Target="diagrams/data1.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microsoft.com/office/2007/relationships/diagramDrawing" Target="diagrams/drawing1.xml"/><Relationship Id="rId33" Type="http://schemas.openxmlformats.org/officeDocument/2006/relationships/hyperlink" Target="https://eprints.qut.edu.au/113831/"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diagramColors" Target="diagrams/colors1.xml"/><Relationship Id="rId32"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diagramQuickStyle" Target="diagrams/quickStyle1.xml"/><Relationship Id="rId28" Type="http://schemas.openxmlformats.org/officeDocument/2006/relationships/diagramQuickStyle" Target="diagrams/quickStyle2.xm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diagramLayout" Target="diagrams/layout1.xml"/><Relationship Id="rId27" Type="http://schemas.openxmlformats.org/officeDocument/2006/relationships/diagramLayout" Target="diagrams/layout2.xml"/><Relationship Id="rId30" Type="http://schemas.microsoft.com/office/2007/relationships/diagramDrawing" Target="diagrams/drawing2.xml"/><Relationship Id="rId35"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abs.gov.au/AUSSTATS/abs@.nsf/DetailsPage/4102.0Dec%202012?OpenDocument" TargetMode="External"/><Relationship Id="rId13" Type="http://schemas.openxmlformats.org/officeDocument/2006/relationships/hyperlink" Target="http://formfinder.hmctsformfinder.justice.gov.uk/form-e-eng-20160121.pdf" TargetMode="External"/><Relationship Id="rId3" Type="http://schemas.openxmlformats.org/officeDocument/2006/relationships/hyperlink" Target="http://www.censusdata.abs.gov.au/census_services/getproduct/census/2016/quickstat/036" TargetMode="External"/><Relationship Id="rId7" Type="http://schemas.openxmlformats.org/officeDocument/2006/relationships/hyperlink" Target="http://www.federalcircuitcourt.gov.au/wps/wcm/connect/fccweb/about/corporate-information/protocol-for-division-of-work-fcoa-fcc" TargetMode="External"/><Relationship Id="rId12" Type="http://schemas.openxmlformats.org/officeDocument/2006/relationships/hyperlink" Target="https://www.gov.uk/government/uploads/system/uploads/attachment_data/file/286308/HC_1089_Web_only.pdf" TargetMode="External"/><Relationship Id="rId17" Type="http://schemas.openxmlformats.org/officeDocument/2006/relationships/hyperlink" Target="https://www.humanservices.gov.au/customer/enablers/assets" TargetMode="External"/><Relationship Id="rId2" Type="http://schemas.openxmlformats.org/officeDocument/2006/relationships/hyperlink" Target="http://www.abs.gov.au/AUSSTATS/abs@.nsf/DetailsPage/4442.02012-13?OpenDocument" TargetMode="External"/><Relationship Id="rId16" Type="http://schemas.openxmlformats.org/officeDocument/2006/relationships/hyperlink" Target="http://www.lawcom.govt.nz/sites/default/files/projectAvailableFormats/PRA%20Issues%20Paper%20FINAL_0.pdf" TargetMode="External"/><Relationship Id="rId1" Type="http://schemas.openxmlformats.org/officeDocument/2006/relationships/hyperlink" Target="https://eprints.qut.edu.au/113831/" TargetMode="External"/><Relationship Id="rId6" Type="http://schemas.openxmlformats.org/officeDocument/2006/relationships/hyperlink" Target="http://guides.dss.gov.au/child-support-guide/2/4/5" TargetMode="External"/><Relationship Id="rId11" Type="http://schemas.openxmlformats.org/officeDocument/2006/relationships/hyperlink" Target="https://www.judiciary.gov.uk/wp-content/uploads/2016/04/fjc-financial-needs-april-16-final.pdf" TargetMode="External"/><Relationship Id="rId5" Type="http://schemas.openxmlformats.org/officeDocument/2006/relationships/hyperlink" Target="https://www.humanservices.gov.au/organisations/about-us/statistical-information-and-data" TargetMode="External"/><Relationship Id="rId15" Type="http://schemas.openxmlformats.org/officeDocument/2006/relationships/hyperlink" Target="http://www.familyrelationships.gov.au/BrochuresandPublications/Documents/parenting_orders_hanbook_accessible_-_21_oct_2016_2.pdf" TargetMode="External"/><Relationship Id="rId10" Type="http://schemas.openxmlformats.org/officeDocument/2006/relationships/hyperlink" Target="http://www.lawcom.govt.nz/our-projects/review-property-relationships-act-1976" TargetMode="External"/><Relationship Id="rId4" Type="http://schemas.openxmlformats.org/officeDocument/2006/relationships/hyperlink" Target="https://www.ag.gov.au/Publications/Pages/FamiliesProject-SeparatedParentsFinalReports.aspx" TargetMode="External"/><Relationship Id="rId9" Type="http://schemas.openxmlformats.org/officeDocument/2006/relationships/hyperlink" Target="https://aifs.gov.au/facts-and-figures/births-australia/births-australia-source-data" TargetMode="External"/><Relationship Id="rId14" Type="http://schemas.openxmlformats.org/officeDocument/2006/relationships/hyperlink" Target="https://formfinder.hmctsformfinder.justice.gov.uk/form-e-notes-eng.pdf" TargetMode="Externa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F0A19D-2BF0-4CB4-8999-704F421C0EAB}" type="doc">
      <dgm:prSet loTypeId="urn:microsoft.com/office/officeart/2005/8/layout/radial1" loCatId="relationship" qsTypeId="urn:microsoft.com/office/officeart/2005/8/quickstyle/simple1" qsCatId="simple" csTypeId="urn:microsoft.com/office/officeart/2005/8/colors/colorful3" csCatId="colorful" phldr="1"/>
      <dgm:spPr/>
      <dgm:t>
        <a:bodyPr/>
        <a:lstStyle/>
        <a:p>
          <a:endParaRPr lang="en-AU"/>
        </a:p>
      </dgm:t>
    </dgm:pt>
    <dgm:pt modelId="{C931956A-6CE1-4C5A-984A-078595AE9095}">
      <dgm:prSet phldrT="[Text]"/>
      <dgm:spPr/>
      <dgm:t>
        <a:bodyPr/>
        <a:lstStyle/>
        <a:p>
          <a:pPr algn="ctr"/>
          <a:r>
            <a:rPr lang="en-AU"/>
            <a:t>Property Settlement Guidance Document- Usage and  Ongoing Training  </a:t>
          </a:r>
        </a:p>
      </dgm:t>
    </dgm:pt>
    <dgm:pt modelId="{AD309676-23BD-47E7-B955-06C40FC1FDAD}" type="parTrans" cxnId="{9075E390-77A8-483C-8AF0-97B20614E2B0}">
      <dgm:prSet/>
      <dgm:spPr/>
      <dgm:t>
        <a:bodyPr/>
        <a:lstStyle/>
        <a:p>
          <a:pPr algn="ctr"/>
          <a:endParaRPr lang="en-AU"/>
        </a:p>
      </dgm:t>
    </dgm:pt>
    <dgm:pt modelId="{AA494558-0634-4483-BA7D-FAF579A796D3}" type="sibTrans" cxnId="{9075E390-77A8-483C-8AF0-97B20614E2B0}">
      <dgm:prSet/>
      <dgm:spPr/>
      <dgm:t>
        <a:bodyPr/>
        <a:lstStyle/>
        <a:p>
          <a:pPr algn="ctr"/>
          <a:endParaRPr lang="en-AU"/>
        </a:p>
      </dgm:t>
    </dgm:pt>
    <dgm:pt modelId="{727828CC-7F89-4AA8-8559-4A988EDCF312}">
      <dgm:prSet phldrT="[Text]"/>
      <dgm:spPr/>
      <dgm:t>
        <a:bodyPr/>
        <a:lstStyle/>
        <a:p>
          <a:pPr algn="ctr"/>
          <a:r>
            <a:rPr lang="en-AU"/>
            <a:t>Private  Legal Practitioners</a:t>
          </a:r>
        </a:p>
      </dgm:t>
    </dgm:pt>
    <dgm:pt modelId="{35E1B111-12AA-4901-8354-7DC768700025}" type="parTrans" cxnId="{3450923A-C882-4BA2-95B3-E96B33F56341}">
      <dgm:prSet/>
      <dgm:spPr/>
      <dgm:t>
        <a:bodyPr/>
        <a:lstStyle/>
        <a:p>
          <a:pPr algn="ctr"/>
          <a:endParaRPr lang="en-AU"/>
        </a:p>
      </dgm:t>
    </dgm:pt>
    <dgm:pt modelId="{7CE72DCB-CDA3-431F-B007-29B8F1EADA20}" type="sibTrans" cxnId="{3450923A-C882-4BA2-95B3-E96B33F56341}">
      <dgm:prSet/>
      <dgm:spPr/>
      <dgm:t>
        <a:bodyPr/>
        <a:lstStyle/>
        <a:p>
          <a:pPr algn="ctr"/>
          <a:endParaRPr lang="en-AU"/>
        </a:p>
      </dgm:t>
    </dgm:pt>
    <dgm:pt modelId="{F69CBAD8-5EE3-4F7D-82AD-A69F5110EE93}">
      <dgm:prSet phldrT="[Text]"/>
      <dgm:spPr/>
      <dgm:t>
        <a:bodyPr/>
        <a:lstStyle/>
        <a:p>
          <a:pPr algn="ctr"/>
          <a:r>
            <a:rPr lang="en-AU"/>
            <a:t>Judges, Registrars</a:t>
          </a:r>
        </a:p>
      </dgm:t>
    </dgm:pt>
    <dgm:pt modelId="{0D6A8F05-8AD8-4339-9B49-6E71AEE96E8C}" type="parTrans" cxnId="{FF07B363-DDE9-4141-856B-9A1EFA14BBC1}">
      <dgm:prSet/>
      <dgm:spPr/>
      <dgm:t>
        <a:bodyPr/>
        <a:lstStyle/>
        <a:p>
          <a:pPr algn="ctr"/>
          <a:endParaRPr lang="en-AU"/>
        </a:p>
      </dgm:t>
    </dgm:pt>
    <dgm:pt modelId="{A025682A-13F9-4BC8-8E14-50B2873DF025}" type="sibTrans" cxnId="{FF07B363-DDE9-4141-856B-9A1EFA14BBC1}">
      <dgm:prSet/>
      <dgm:spPr/>
      <dgm:t>
        <a:bodyPr/>
        <a:lstStyle/>
        <a:p>
          <a:pPr algn="ctr"/>
          <a:endParaRPr lang="en-AU"/>
        </a:p>
      </dgm:t>
    </dgm:pt>
    <dgm:pt modelId="{E44AD906-BC10-43A4-B291-11E1139FB780}">
      <dgm:prSet phldrT="[Text]"/>
      <dgm:spPr/>
      <dgm:t>
        <a:bodyPr/>
        <a:lstStyle/>
        <a:p>
          <a:pPr algn="ctr"/>
          <a:r>
            <a:rPr lang="en-AU"/>
            <a:t>Community Legal Centres</a:t>
          </a:r>
        </a:p>
      </dgm:t>
    </dgm:pt>
    <dgm:pt modelId="{7B029476-FC4C-438F-90BD-3C3918BC0592}" type="parTrans" cxnId="{6345F851-0FCA-483C-BC60-A43402B81C14}">
      <dgm:prSet/>
      <dgm:spPr/>
      <dgm:t>
        <a:bodyPr/>
        <a:lstStyle/>
        <a:p>
          <a:pPr algn="ctr"/>
          <a:endParaRPr lang="en-AU"/>
        </a:p>
      </dgm:t>
    </dgm:pt>
    <dgm:pt modelId="{AFB4CAB7-FB92-4D4A-BC22-993DDDDFABBA}" type="sibTrans" cxnId="{6345F851-0FCA-483C-BC60-A43402B81C14}">
      <dgm:prSet/>
      <dgm:spPr/>
      <dgm:t>
        <a:bodyPr/>
        <a:lstStyle/>
        <a:p>
          <a:pPr algn="ctr"/>
          <a:endParaRPr lang="en-AU"/>
        </a:p>
      </dgm:t>
    </dgm:pt>
    <dgm:pt modelId="{ECC036B1-06CC-4C94-8962-B324F535EF34}">
      <dgm:prSet phldrT="[Text]"/>
      <dgm:spPr/>
      <dgm:t>
        <a:bodyPr/>
        <a:lstStyle/>
        <a:p>
          <a:pPr algn="ctr"/>
          <a:r>
            <a:rPr lang="en-AU"/>
            <a:t>Family Violence Support Services </a:t>
          </a:r>
        </a:p>
      </dgm:t>
    </dgm:pt>
    <dgm:pt modelId="{A943744F-86DF-409E-9310-695D51F36915}" type="parTrans" cxnId="{CDB6AF9C-DECF-438B-A5BA-2FC2040DEEB4}">
      <dgm:prSet/>
      <dgm:spPr/>
      <dgm:t>
        <a:bodyPr/>
        <a:lstStyle/>
        <a:p>
          <a:pPr algn="ctr"/>
          <a:endParaRPr lang="en-AU"/>
        </a:p>
      </dgm:t>
    </dgm:pt>
    <dgm:pt modelId="{73253E41-26DE-4973-8FD1-65B7D0E04413}" type="sibTrans" cxnId="{CDB6AF9C-DECF-438B-A5BA-2FC2040DEEB4}">
      <dgm:prSet/>
      <dgm:spPr/>
      <dgm:t>
        <a:bodyPr/>
        <a:lstStyle/>
        <a:p>
          <a:pPr algn="ctr"/>
          <a:endParaRPr lang="en-AU"/>
        </a:p>
      </dgm:t>
    </dgm:pt>
    <dgm:pt modelId="{BA067BDC-2584-416A-AAA1-789FC896E978}">
      <dgm:prSet/>
      <dgm:spPr/>
      <dgm:t>
        <a:bodyPr/>
        <a:lstStyle/>
        <a:p>
          <a:pPr algn="ctr"/>
          <a:r>
            <a:rPr lang="en-AU"/>
            <a:t>FDR Practitioners</a:t>
          </a:r>
        </a:p>
      </dgm:t>
    </dgm:pt>
    <dgm:pt modelId="{C144C05F-CD45-4697-86D5-6B0188A33E1D}" type="parTrans" cxnId="{0C77C41F-CEAC-47BC-B8F3-6E0C7C90B4B3}">
      <dgm:prSet/>
      <dgm:spPr/>
      <dgm:t>
        <a:bodyPr/>
        <a:lstStyle/>
        <a:p>
          <a:pPr algn="ctr"/>
          <a:endParaRPr lang="en-AU"/>
        </a:p>
      </dgm:t>
    </dgm:pt>
    <dgm:pt modelId="{CF4BEF9C-396C-443D-B070-6E65309CCF9D}" type="sibTrans" cxnId="{0C77C41F-CEAC-47BC-B8F3-6E0C7C90B4B3}">
      <dgm:prSet/>
      <dgm:spPr/>
      <dgm:t>
        <a:bodyPr/>
        <a:lstStyle/>
        <a:p>
          <a:pPr algn="ctr"/>
          <a:endParaRPr lang="en-AU"/>
        </a:p>
      </dgm:t>
    </dgm:pt>
    <dgm:pt modelId="{4C9B1038-751B-4085-921E-A273E8735FD9}">
      <dgm:prSet/>
      <dgm:spPr/>
      <dgm:t>
        <a:bodyPr/>
        <a:lstStyle/>
        <a:p>
          <a:pPr algn="ctr"/>
          <a:r>
            <a:rPr lang="en-AU"/>
            <a:t>Legal Aid Organisations</a:t>
          </a:r>
        </a:p>
      </dgm:t>
    </dgm:pt>
    <dgm:pt modelId="{D6286A09-3EA1-467D-8EB4-E51B4856306C}" type="parTrans" cxnId="{3B734F48-C792-4697-9A54-2412F5EB58F1}">
      <dgm:prSet/>
      <dgm:spPr/>
      <dgm:t>
        <a:bodyPr/>
        <a:lstStyle/>
        <a:p>
          <a:pPr algn="ctr"/>
          <a:endParaRPr lang="en-AU"/>
        </a:p>
      </dgm:t>
    </dgm:pt>
    <dgm:pt modelId="{1916FD60-A352-4014-A903-7BA0BE22CEDF}" type="sibTrans" cxnId="{3B734F48-C792-4697-9A54-2412F5EB58F1}">
      <dgm:prSet/>
      <dgm:spPr/>
      <dgm:t>
        <a:bodyPr/>
        <a:lstStyle/>
        <a:p>
          <a:pPr algn="ctr"/>
          <a:endParaRPr lang="en-AU"/>
        </a:p>
      </dgm:t>
    </dgm:pt>
    <dgm:pt modelId="{0AF566A9-FE4D-4DE1-A60B-650CEB2DD0AD}">
      <dgm:prSet/>
      <dgm:spPr/>
      <dgm:t>
        <a:bodyPr/>
        <a:lstStyle/>
        <a:p>
          <a:pPr algn="ctr"/>
          <a:r>
            <a:rPr lang="en-AU"/>
            <a:t>Family Counselling and Support Services</a:t>
          </a:r>
        </a:p>
      </dgm:t>
    </dgm:pt>
    <dgm:pt modelId="{84D228D5-5A45-4735-8EAC-6A7169E28FCF}" type="parTrans" cxnId="{9A06292C-A2DF-4D0A-99E4-71686DCC44BB}">
      <dgm:prSet/>
      <dgm:spPr/>
      <dgm:t>
        <a:bodyPr/>
        <a:lstStyle/>
        <a:p>
          <a:pPr algn="ctr"/>
          <a:endParaRPr lang="en-AU"/>
        </a:p>
      </dgm:t>
    </dgm:pt>
    <dgm:pt modelId="{DE854526-B4B9-4779-A1F8-0075971E5668}" type="sibTrans" cxnId="{9A06292C-A2DF-4D0A-99E4-71686DCC44BB}">
      <dgm:prSet/>
      <dgm:spPr/>
      <dgm:t>
        <a:bodyPr/>
        <a:lstStyle/>
        <a:p>
          <a:pPr algn="ctr"/>
          <a:endParaRPr lang="en-AU"/>
        </a:p>
      </dgm:t>
    </dgm:pt>
    <dgm:pt modelId="{27F1AC3F-7E0B-4A33-A3F2-3A4CEE171989}">
      <dgm:prSet/>
      <dgm:spPr/>
      <dgm:t>
        <a:bodyPr/>
        <a:lstStyle/>
        <a:p>
          <a:pPr algn="ctr"/>
          <a:r>
            <a:rPr lang="en-AU"/>
            <a:t>Nationally Accredited Mediators</a:t>
          </a:r>
        </a:p>
      </dgm:t>
    </dgm:pt>
    <dgm:pt modelId="{ECA277E4-9308-4042-8183-BD26097B6190}" type="parTrans" cxnId="{19A45941-9F71-478A-91E7-0C0E8E45E80A}">
      <dgm:prSet/>
      <dgm:spPr/>
      <dgm:t>
        <a:bodyPr/>
        <a:lstStyle/>
        <a:p>
          <a:pPr algn="ctr"/>
          <a:endParaRPr lang="en-AU"/>
        </a:p>
      </dgm:t>
    </dgm:pt>
    <dgm:pt modelId="{F6848189-95E1-4B43-B953-BC8475D26158}" type="sibTrans" cxnId="{19A45941-9F71-478A-91E7-0C0E8E45E80A}">
      <dgm:prSet/>
      <dgm:spPr/>
      <dgm:t>
        <a:bodyPr/>
        <a:lstStyle/>
        <a:p>
          <a:pPr algn="ctr"/>
          <a:endParaRPr lang="en-AU"/>
        </a:p>
      </dgm:t>
    </dgm:pt>
    <dgm:pt modelId="{F0CD875E-C445-49AC-80EB-D6DCACC3170B}">
      <dgm:prSet/>
      <dgm:spPr/>
      <dgm:t>
        <a:bodyPr/>
        <a:lstStyle/>
        <a:p>
          <a:pPr algn="ctr"/>
          <a:r>
            <a:rPr lang="en-AU"/>
            <a:t>Academics and Teachers of Family law</a:t>
          </a:r>
        </a:p>
      </dgm:t>
    </dgm:pt>
    <dgm:pt modelId="{52789058-F000-4BF7-AAC6-58634B22B0F5}" type="parTrans" cxnId="{81550E43-5394-4B8D-858A-891FAE7B50D5}">
      <dgm:prSet/>
      <dgm:spPr/>
      <dgm:t>
        <a:bodyPr/>
        <a:lstStyle/>
        <a:p>
          <a:pPr algn="ctr"/>
          <a:endParaRPr lang="en-AU"/>
        </a:p>
      </dgm:t>
    </dgm:pt>
    <dgm:pt modelId="{0A38E128-BDA4-4328-951C-E2F76FEA6DC4}" type="sibTrans" cxnId="{81550E43-5394-4B8D-858A-891FAE7B50D5}">
      <dgm:prSet/>
      <dgm:spPr/>
      <dgm:t>
        <a:bodyPr/>
        <a:lstStyle/>
        <a:p>
          <a:pPr algn="ctr"/>
          <a:endParaRPr lang="en-AU"/>
        </a:p>
      </dgm:t>
    </dgm:pt>
    <dgm:pt modelId="{423F72A8-88DD-4212-AAF3-C6D17A344ED3}">
      <dgm:prSet/>
      <dgm:spPr/>
      <dgm:t>
        <a:bodyPr/>
        <a:lstStyle/>
        <a:p>
          <a:pPr algn="ctr"/>
          <a:r>
            <a:rPr lang="en-AU"/>
            <a:t>Registry and National Inquiry Centre Staff</a:t>
          </a:r>
        </a:p>
      </dgm:t>
    </dgm:pt>
    <dgm:pt modelId="{0A991209-25D7-4E82-BBE7-390C6B7205D4}" type="parTrans" cxnId="{EEFEB46E-D386-4388-861E-A23647E18043}">
      <dgm:prSet/>
      <dgm:spPr/>
      <dgm:t>
        <a:bodyPr/>
        <a:lstStyle/>
        <a:p>
          <a:pPr algn="ctr"/>
          <a:endParaRPr lang="en-AU"/>
        </a:p>
      </dgm:t>
    </dgm:pt>
    <dgm:pt modelId="{2420B77D-3F5F-46B6-A120-9F19280A0C9F}" type="sibTrans" cxnId="{EEFEB46E-D386-4388-861E-A23647E18043}">
      <dgm:prSet/>
      <dgm:spPr/>
      <dgm:t>
        <a:bodyPr/>
        <a:lstStyle/>
        <a:p>
          <a:pPr algn="ctr"/>
          <a:endParaRPr lang="en-AU"/>
        </a:p>
      </dgm:t>
    </dgm:pt>
    <dgm:pt modelId="{EF2455F1-346D-40AB-AFD5-4094863E0019}" type="pres">
      <dgm:prSet presAssocID="{25F0A19D-2BF0-4CB4-8999-704F421C0EAB}" presName="cycle" presStyleCnt="0">
        <dgm:presLayoutVars>
          <dgm:chMax val="1"/>
          <dgm:dir/>
          <dgm:animLvl val="ctr"/>
          <dgm:resizeHandles val="exact"/>
        </dgm:presLayoutVars>
      </dgm:prSet>
      <dgm:spPr/>
      <dgm:t>
        <a:bodyPr/>
        <a:lstStyle/>
        <a:p>
          <a:endParaRPr lang="en-AU"/>
        </a:p>
      </dgm:t>
    </dgm:pt>
    <dgm:pt modelId="{D2B3FE25-84F1-49EE-B950-D1A274365686}" type="pres">
      <dgm:prSet presAssocID="{C931956A-6CE1-4C5A-984A-078595AE9095}" presName="centerShape" presStyleLbl="node0" presStyleIdx="0" presStyleCnt="1" custScaleX="284939" custScaleY="278131"/>
      <dgm:spPr/>
      <dgm:t>
        <a:bodyPr/>
        <a:lstStyle/>
        <a:p>
          <a:endParaRPr lang="en-AU"/>
        </a:p>
      </dgm:t>
    </dgm:pt>
    <dgm:pt modelId="{5BE066A0-FE39-4237-913F-79E0DF393A85}" type="pres">
      <dgm:prSet presAssocID="{35E1B111-12AA-4901-8354-7DC768700025}" presName="Name9" presStyleLbl="parChTrans1D2" presStyleIdx="0" presStyleCnt="10"/>
      <dgm:spPr/>
      <dgm:t>
        <a:bodyPr/>
        <a:lstStyle/>
        <a:p>
          <a:endParaRPr lang="en-AU"/>
        </a:p>
      </dgm:t>
    </dgm:pt>
    <dgm:pt modelId="{041C03E9-D274-4ACF-8EB3-3D53E938FE51}" type="pres">
      <dgm:prSet presAssocID="{35E1B111-12AA-4901-8354-7DC768700025}" presName="connTx" presStyleLbl="parChTrans1D2" presStyleIdx="0" presStyleCnt="10"/>
      <dgm:spPr/>
      <dgm:t>
        <a:bodyPr/>
        <a:lstStyle/>
        <a:p>
          <a:endParaRPr lang="en-AU"/>
        </a:p>
      </dgm:t>
    </dgm:pt>
    <dgm:pt modelId="{AA52F0F7-803F-4490-914D-47348A023C7C}" type="pres">
      <dgm:prSet presAssocID="{727828CC-7F89-4AA8-8559-4A988EDCF312}" presName="node" presStyleLbl="node1" presStyleIdx="0" presStyleCnt="10">
        <dgm:presLayoutVars>
          <dgm:bulletEnabled val="1"/>
        </dgm:presLayoutVars>
      </dgm:prSet>
      <dgm:spPr/>
      <dgm:t>
        <a:bodyPr/>
        <a:lstStyle/>
        <a:p>
          <a:endParaRPr lang="en-AU"/>
        </a:p>
      </dgm:t>
    </dgm:pt>
    <dgm:pt modelId="{B8FB6C5A-40BB-4E83-9E60-98B017870BF4}" type="pres">
      <dgm:prSet presAssocID="{0D6A8F05-8AD8-4339-9B49-6E71AEE96E8C}" presName="Name9" presStyleLbl="parChTrans1D2" presStyleIdx="1" presStyleCnt="10"/>
      <dgm:spPr/>
      <dgm:t>
        <a:bodyPr/>
        <a:lstStyle/>
        <a:p>
          <a:endParaRPr lang="en-AU"/>
        </a:p>
      </dgm:t>
    </dgm:pt>
    <dgm:pt modelId="{78A8C38F-8F03-4DD4-9295-CCB7E4F3AF8F}" type="pres">
      <dgm:prSet presAssocID="{0D6A8F05-8AD8-4339-9B49-6E71AEE96E8C}" presName="connTx" presStyleLbl="parChTrans1D2" presStyleIdx="1" presStyleCnt="10"/>
      <dgm:spPr/>
      <dgm:t>
        <a:bodyPr/>
        <a:lstStyle/>
        <a:p>
          <a:endParaRPr lang="en-AU"/>
        </a:p>
      </dgm:t>
    </dgm:pt>
    <dgm:pt modelId="{19BE2360-EFE4-4C19-A0BA-F3868EDD5B50}" type="pres">
      <dgm:prSet presAssocID="{F69CBAD8-5EE3-4F7D-82AD-A69F5110EE93}" presName="node" presStyleLbl="node1" presStyleIdx="1" presStyleCnt="10">
        <dgm:presLayoutVars>
          <dgm:bulletEnabled val="1"/>
        </dgm:presLayoutVars>
      </dgm:prSet>
      <dgm:spPr/>
      <dgm:t>
        <a:bodyPr/>
        <a:lstStyle/>
        <a:p>
          <a:endParaRPr lang="en-AU"/>
        </a:p>
      </dgm:t>
    </dgm:pt>
    <dgm:pt modelId="{82CD5783-729A-4807-8BFB-AA6664AF590A}" type="pres">
      <dgm:prSet presAssocID="{0A991209-25D7-4E82-BBE7-390C6B7205D4}" presName="Name9" presStyleLbl="parChTrans1D2" presStyleIdx="2" presStyleCnt="10"/>
      <dgm:spPr/>
      <dgm:t>
        <a:bodyPr/>
        <a:lstStyle/>
        <a:p>
          <a:endParaRPr lang="en-AU"/>
        </a:p>
      </dgm:t>
    </dgm:pt>
    <dgm:pt modelId="{344D0493-A898-4DDC-A28B-AEAAB7360024}" type="pres">
      <dgm:prSet presAssocID="{0A991209-25D7-4E82-BBE7-390C6B7205D4}" presName="connTx" presStyleLbl="parChTrans1D2" presStyleIdx="2" presStyleCnt="10"/>
      <dgm:spPr/>
      <dgm:t>
        <a:bodyPr/>
        <a:lstStyle/>
        <a:p>
          <a:endParaRPr lang="en-AU"/>
        </a:p>
      </dgm:t>
    </dgm:pt>
    <dgm:pt modelId="{F592118B-292F-455C-B1B0-FDA1B757B729}" type="pres">
      <dgm:prSet presAssocID="{423F72A8-88DD-4212-AAF3-C6D17A344ED3}" presName="node" presStyleLbl="node1" presStyleIdx="2" presStyleCnt="10">
        <dgm:presLayoutVars>
          <dgm:bulletEnabled val="1"/>
        </dgm:presLayoutVars>
      </dgm:prSet>
      <dgm:spPr/>
      <dgm:t>
        <a:bodyPr/>
        <a:lstStyle/>
        <a:p>
          <a:endParaRPr lang="en-AU"/>
        </a:p>
      </dgm:t>
    </dgm:pt>
    <dgm:pt modelId="{DC843EBC-43B3-439E-B04C-663B40585943}" type="pres">
      <dgm:prSet presAssocID="{C144C05F-CD45-4697-86D5-6B0188A33E1D}" presName="Name9" presStyleLbl="parChTrans1D2" presStyleIdx="3" presStyleCnt="10"/>
      <dgm:spPr/>
      <dgm:t>
        <a:bodyPr/>
        <a:lstStyle/>
        <a:p>
          <a:endParaRPr lang="en-AU"/>
        </a:p>
      </dgm:t>
    </dgm:pt>
    <dgm:pt modelId="{132A22CF-9C5C-4766-8444-2E45F4640760}" type="pres">
      <dgm:prSet presAssocID="{C144C05F-CD45-4697-86D5-6B0188A33E1D}" presName="connTx" presStyleLbl="parChTrans1D2" presStyleIdx="3" presStyleCnt="10"/>
      <dgm:spPr/>
      <dgm:t>
        <a:bodyPr/>
        <a:lstStyle/>
        <a:p>
          <a:endParaRPr lang="en-AU"/>
        </a:p>
      </dgm:t>
    </dgm:pt>
    <dgm:pt modelId="{E3F89679-9527-4035-B81C-CCFE3EFC2841}" type="pres">
      <dgm:prSet presAssocID="{BA067BDC-2584-416A-AAA1-789FC896E978}" presName="node" presStyleLbl="node1" presStyleIdx="3" presStyleCnt="10">
        <dgm:presLayoutVars>
          <dgm:bulletEnabled val="1"/>
        </dgm:presLayoutVars>
      </dgm:prSet>
      <dgm:spPr/>
      <dgm:t>
        <a:bodyPr/>
        <a:lstStyle/>
        <a:p>
          <a:endParaRPr lang="en-AU"/>
        </a:p>
      </dgm:t>
    </dgm:pt>
    <dgm:pt modelId="{77D37577-4BEC-4862-9ADD-B958F2137766}" type="pres">
      <dgm:prSet presAssocID="{52789058-F000-4BF7-AAC6-58634B22B0F5}" presName="Name9" presStyleLbl="parChTrans1D2" presStyleIdx="4" presStyleCnt="10"/>
      <dgm:spPr/>
      <dgm:t>
        <a:bodyPr/>
        <a:lstStyle/>
        <a:p>
          <a:endParaRPr lang="en-AU"/>
        </a:p>
      </dgm:t>
    </dgm:pt>
    <dgm:pt modelId="{F61A680F-C1E1-4674-9398-4EF12F9053F9}" type="pres">
      <dgm:prSet presAssocID="{52789058-F000-4BF7-AAC6-58634B22B0F5}" presName="connTx" presStyleLbl="parChTrans1D2" presStyleIdx="4" presStyleCnt="10"/>
      <dgm:spPr/>
      <dgm:t>
        <a:bodyPr/>
        <a:lstStyle/>
        <a:p>
          <a:endParaRPr lang="en-AU"/>
        </a:p>
      </dgm:t>
    </dgm:pt>
    <dgm:pt modelId="{BC12277E-0817-4B1D-A1E4-8C847B8DB7BB}" type="pres">
      <dgm:prSet presAssocID="{F0CD875E-C445-49AC-80EB-D6DCACC3170B}" presName="node" presStyleLbl="node1" presStyleIdx="4" presStyleCnt="10">
        <dgm:presLayoutVars>
          <dgm:bulletEnabled val="1"/>
        </dgm:presLayoutVars>
      </dgm:prSet>
      <dgm:spPr/>
      <dgm:t>
        <a:bodyPr/>
        <a:lstStyle/>
        <a:p>
          <a:endParaRPr lang="en-AU"/>
        </a:p>
      </dgm:t>
    </dgm:pt>
    <dgm:pt modelId="{B8DBAE71-7333-490F-917F-709A0D427BA7}" type="pres">
      <dgm:prSet presAssocID="{ECA277E4-9308-4042-8183-BD26097B6190}" presName="Name9" presStyleLbl="parChTrans1D2" presStyleIdx="5" presStyleCnt="10"/>
      <dgm:spPr/>
      <dgm:t>
        <a:bodyPr/>
        <a:lstStyle/>
        <a:p>
          <a:endParaRPr lang="en-AU"/>
        </a:p>
      </dgm:t>
    </dgm:pt>
    <dgm:pt modelId="{1F0812C3-31F5-4139-AC4B-D083A452C911}" type="pres">
      <dgm:prSet presAssocID="{ECA277E4-9308-4042-8183-BD26097B6190}" presName="connTx" presStyleLbl="parChTrans1D2" presStyleIdx="5" presStyleCnt="10"/>
      <dgm:spPr/>
      <dgm:t>
        <a:bodyPr/>
        <a:lstStyle/>
        <a:p>
          <a:endParaRPr lang="en-AU"/>
        </a:p>
      </dgm:t>
    </dgm:pt>
    <dgm:pt modelId="{58BE5A61-296F-4459-9E73-C7CF5F49C155}" type="pres">
      <dgm:prSet presAssocID="{27F1AC3F-7E0B-4A33-A3F2-3A4CEE171989}" presName="node" presStyleLbl="node1" presStyleIdx="5" presStyleCnt="10">
        <dgm:presLayoutVars>
          <dgm:bulletEnabled val="1"/>
        </dgm:presLayoutVars>
      </dgm:prSet>
      <dgm:spPr/>
      <dgm:t>
        <a:bodyPr/>
        <a:lstStyle/>
        <a:p>
          <a:endParaRPr lang="en-AU"/>
        </a:p>
      </dgm:t>
    </dgm:pt>
    <dgm:pt modelId="{99EB6380-9451-486B-889B-5EA99104661D}" type="pres">
      <dgm:prSet presAssocID="{84D228D5-5A45-4735-8EAC-6A7169E28FCF}" presName="Name9" presStyleLbl="parChTrans1D2" presStyleIdx="6" presStyleCnt="10"/>
      <dgm:spPr/>
      <dgm:t>
        <a:bodyPr/>
        <a:lstStyle/>
        <a:p>
          <a:endParaRPr lang="en-AU"/>
        </a:p>
      </dgm:t>
    </dgm:pt>
    <dgm:pt modelId="{8F3867B2-4560-4D83-B39E-065A897A6031}" type="pres">
      <dgm:prSet presAssocID="{84D228D5-5A45-4735-8EAC-6A7169E28FCF}" presName="connTx" presStyleLbl="parChTrans1D2" presStyleIdx="6" presStyleCnt="10"/>
      <dgm:spPr/>
      <dgm:t>
        <a:bodyPr/>
        <a:lstStyle/>
        <a:p>
          <a:endParaRPr lang="en-AU"/>
        </a:p>
      </dgm:t>
    </dgm:pt>
    <dgm:pt modelId="{F9ED73FF-E818-4C6C-9F1C-C7155BFF7D5D}" type="pres">
      <dgm:prSet presAssocID="{0AF566A9-FE4D-4DE1-A60B-650CEB2DD0AD}" presName="node" presStyleLbl="node1" presStyleIdx="6" presStyleCnt="10">
        <dgm:presLayoutVars>
          <dgm:bulletEnabled val="1"/>
        </dgm:presLayoutVars>
      </dgm:prSet>
      <dgm:spPr/>
      <dgm:t>
        <a:bodyPr/>
        <a:lstStyle/>
        <a:p>
          <a:endParaRPr lang="en-AU"/>
        </a:p>
      </dgm:t>
    </dgm:pt>
    <dgm:pt modelId="{B238E4E3-5B86-4A84-AA11-EDF227718167}" type="pres">
      <dgm:prSet presAssocID="{D6286A09-3EA1-467D-8EB4-E51B4856306C}" presName="Name9" presStyleLbl="parChTrans1D2" presStyleIdx="7" presStyleCnt="10"/>
      <dgm:spPr/>
      <dgm:t>
        <a:bodyPr/>
        <a:lstStyle/>
        <a:p>
          <a:endParaRPr lang="en-AU"/>
        </a:p>
      </dgm:t>
    </dgm:pt>
    <dgm:pt modelId="{D7898E26-CA00-48B2-A2A0-D0174E3A50C3}" type="pres">
      <dgm:prSet presAssocID="{D6286A09-3EA1-467D-8EB4-E51B4856306C}" presName="connTx" presStyleLbl="parChTrans1D2" presStyleIdx="7" presStyleCnt="10"/>
      <dgm:spPr/>
      <dgm:t>
        <a:bodyPr/>
        <a:lstStyle/>
        <a:p>
          <a:endParaRPr lang="en-AU"/>
        </a:p>
      </dgm:t>
    </dgm:pt>
    <dgm:pt modelId="{1E48684E-3ABC-48B3-AE78-FA9EEC6D9DEE}" type="pres">
      <dgm:prSet presAssocID="{4C9B1038-751B-4085-921E-A273E8735FD9}" presName="node" presStyleLbl="node1" presStyleIdx="7" presStyleCnt="10">
        <dgm:presLayoutVars>
          <dgm:bulletEnabled val="1"/>
        </dgm:presLayoutVars>
      </dgm:prSet>
      <dgm:spPr/>
      <dgm:t>
        <a:bodyPr/>
        <a:lstStyle/>
        <a:p>
          <a:endParaRPr lang="en-AU"/>
        </a:p>
      </dgm:t>
    </dgm:pt>
    <dgm:pt modelId="{281AC58F-B6DF-4B87-B53F-2BC5466A638B}" type="pres">
      <dgm:prSet presAssocID="{7B029476-FC4C-438F-90BD-3C3918BC0592}" presName="Name9" presStyleLbl="parChTrans1D2" presStyleIdx="8" presStyleCnt="10"/>
      <dgm:spPr/>
      <dgm:t>
        <a:bodyPr/>
        <a:lstStyle/>
        <a:p>
          <a:endParaRPr lang="en-AU"/>
        </a:p>
      </dgm:t>
    </dgm:pt>
    <dgm:pt modelId="{712BA7DA-BC0E-4243-9406-910BD161EF76}" type="pres">
      <dgm:prSet presAssocID="{7B029476-FC4C-438F-90BD-3C3918BC0592}" presName="connTx" presStyleLbl="parChTrans1D2" presStyleIdx="8" presStyleCnt="10"/>
      <dgm:spPr/>
      <dgm:t>
        <a:bodyPr/>
        <a:lstStyle/>
        <a:p>
          <a:endParaRPr lang="en-AU"/>
        </a:p>
      </dgm:t>
    </dgm:pt>
    <dgm:pt modelId="{F5503B97-961D-4DB6-B91B-0F7ED3909618}" type="pres">
      <dgm:prSet presAssocID="{E44AD906-BC10-43A4-B291-11E1139FB780}" presName="node" presStyleLbl="node1" presStyleIdx="8" presStyleCnt="10">
        <dgm:presLayoutVars>
          <dgm:bulletEnabled val="1"/>
        </dgm:presLayoutVars>
      </dgm:prSet>
      <dgm:spPr/>
      <dgm:t>
        <a:bodyPr/>
        <a:lstStyle/>
        <a:p>
          <a:endParaRPr lang="en-AU"/>
        </a:p>
      </dgm:t>
    </dgm:pt>
    <dgm:pt modelId="{FF57C40B-62D1-4123-AABD-F5E29401CDC6}" type="pres">
      <dgm:prSet presAssocID="{A943744F-86DF-409E-9310-695D51F36915}" presName="Name9" presStyleLbl="parChTrans1D2" presStyleIdx="9" presStyleCnt="10"/>
      <dgm:spPr/>
      <dgm:t>
        <a:bodyPr/>
        <a:lstStyle/>
        <a:p>
          <a:endParaRPr lang="en-AU"/>
        </a:p>
      </dgm:t>
    </dgm:pt>
    <dgm:pt modelId="{B11AB717-F4FE-471D-B7A1-D021368745FA}" type="pres">
      <dgm:prSet presAssocID="{A943744F-86DF-409E-9310-695D51F36915}" presName="connTx" presStyleLbl="parChTrans1D2" presStyleIdx="9" presStyleCnt="10"/>
      <dgm:spPr/>
      <dgm:t>
        <a:bodyPr/>
        <a:lstStyle/>
        <a:p>
          <a:endParaRPr lang="en-AU"/>
        </a:p>
      </dgm:t>
    </dgm:pt>
    <dgm:pt modelId="{539ECCE7-49A1-4569-AE78-A7E97F33CC20}" type="pres">
      <dgm:prSet presAssocID="{ECC036B1-06CC-4C94-8962-B324F535EF34}" presName="node" presStyleLbl="node1" presStyleIdx="9" presStyleCnt="10">
        <dgm:presLayoutVars>
          <dgm:bulletEnabled val="1"/>
        </dgm:presLayoutVars>
      </dgm:prSet>
      <dgm:spPr/>
      <dgm:t>
        <a:bodyPr/>
        <a:lstStyle/>
        <a:p>
          <a:endParaRPr lang="en-AU"/>
        </a:p>
      </dgm:t>
    </dgm:pt>
  </dgm:ptLst>
  <dgm:cxnLst>
    <dgm:cxn modelId="{BF622107-9E60-471B-A9C3-603253AFE764}" type="presOf" srcId="{0D6A8F05-8AD8-4339-9B49-6E71AEE96E8C}" destId="{B8FB6C5A-40BB-4E83-9E60-98B017870BF4}" srcOrd="0" destOrd="0" presId="urn:microsoft.com/office/officeart/2005/8/layout/radial1"/>
    <dgm:cxn modelId="{B1494E51-14E9-4A23-8486-530A40E03B7C}" type="presOf" srcId="{C931956A-6CE1-4C5A-984A-078595AE9095}" destId="{D2B3FE25-84F1-49EE-B950-D1A274365686}" srcOrd="0" destOrd="0" presId="urn:microsoft.com/office/officeart/2005/8/layout/radial1"/>
    <dgm:cxn modelId="{D17FC3E1-38DF-48DB-9F09-294601F2C33E}" type="presOf" srcId="{D6286A09-3EA1-467D-8EB4-E51B4856306C}" destId="{D7898E26-CA00-48B2-A2A0-D0174E3A50C3}" srcOrd="1" destOrd="0" presId="urn:microsoft.com/office/officeart/2005/8/layout/radial1"/>
    <dgm:cxn modelId="{FE496A01-B658-4CC4-B7E1-5DEA8110DE43}" type="presOf" srcId="{0AF566A9-FE4D-4DE1-A60B-650CEB2DD0AD}" destId="{F9ED73FF-E818-4C6C-9F1C-C7155BFF7D5D}" srcOrd="0" destOrd="0" presId="urn:microsoft.com/office/officeart/2005/8/layout/radial1"/>
    <dgm:cxn modelId="{FF07B363-DDE9-4141-856B-9A1EFA14BBC1}" srcId="{C931956A-6CE1-4C5A-984A-078595AE9095}" destId="{F69CBAD8-5EE3-4F7D-82AD-A69F5110EE93}" srcOrd="1" destOrd="0" parTransId="{0D6A8F05-8AD8-4339-9B49-6E71AEE96E8C}" sibTransId="{A025682A-13F9-4BC8-8E14-50B2873DF025}"/>
    <dgm:cxn modelId="{AC7965BE-880C-4124-8604-237E8606EF9E}" type="presOf" srcId="{ECA277E4-9308-4042-8183-BD26097B6190}" destId="{B8DBAE71-7333-490F-917F-709A0D427BA7}" srcOrd="0" destOrd="0" presId="urn:microsoft.com/office/officeart/2005/8/layout/radial1"/>
    <dgm:cxn modelId="{70793D20-3E77-4A7B-ACD0-BA96CEFD257C}" type="presOf" srcId="{C144C05F-CD45-4697-86D5-6B0188A33E1D}" destId="{DC843EBC-43B3-439E-B04C-663B40585943}" srcOrd="0" destOrd="0" presId="urn:microsoft.com/office/officeart/2005/8/layout/radial1"/>
    <dgm:cxn modelId="{F3416281-D5CE-4AA9-BAAC-7AF61F9A4EBF}" type="presOf" srcId="{4C9B1038-751B-4085-921E-A273E8735FD9}" destId="{1E48684E-3ABC-48B3-AE78-FA9EEC6D9DEE}" srcOrd="0" destOrd="0" presId="urn:microsoft.com/office/officeart/2005/8/layout/radial1"/>
    <dgm:cxn modelId="{EEFEB46E-D386-4388-861E-A23647E18043}" srcId="{C931956A-6CE1-4C5A-984A-078595AE9095}" destId="{423F72A8-88DD-4212-AAF3-C6D17A344ED3}" srcOrd="2" destOrd="0" parTransId="{0A991209-25D7-4E82-BBE7-390C6B7205D4}" sibTransId="{2420B77D-3F5F-46B6-A120-9F19280A0C9F}"/>
    <dgm:cxn modelId="{0C77C41F-CEAC-47BC-B8F3-6E0C7C90B4B3}" srcId="{C931956A-6CE1-4C5A-984A-078595AE9095}" destId="{BA067BDC-2584-416A-AAA1-789FC896E978}" srcOrd="3" destOrd="0" parTransId="{C144C05F-CD45-4697-86D5-6B0188A33E1D}" sibTransId="{CF4BEF9C-396C-443D-B070-6E65309CCF9D}"/>
    <dgm:cxn modelId="{3450923A-C882-4BA2-95B3-E96B33F56341}" srcId="{C931956A-6CE1-4C5A-984A-078595AE9095}" destId="{727828CC-7F89-4AA8-8559-4A988EDCF312}" srcOrd="0" destOrd="0" parTransId="{35E1B111-12AA-4901-8354-7DC768700025}" sibTransId="{7CE72DCB-CDA3-431F-B007-29B8F1EADA20}"/>
    <dgm:cxn modelId="{7E7C62B9-0737-4F03-B903-ED2791844244}" type="presOf" srcId="{84D228D5-5A45-4735-8EAC-6A7169E28FCF}" destId="{99EB6380-9451-486B-889B-5EA99104661D}" srcOrd="0" destOrd="0" presId="urn:microsoft.com/office/officeart/2005/8/layout/radial1"/>
    <dgm:cxn modelId="{19A45941-9F71-478A-91E7-0C0E8E45E80A}" srcId="{C931956A-6CE1-4C5A-984A-078595AE9095}" destId="{27F1AC3F-7E0B-4A33-A3F2-3A4CEE171989}" srcOrd="5" destOrd="0" parTransId="{ECA277E4-9308-4042-8183-BD26097B6190}" sibTransId="{F6848189-95E1-4B43-B953-BC8475D26158}"/>
    <dgm:cxn modelId="{7DBDDA6B-277D-44A4-8F8D-0DCEB022D177}" type="presOf" srcId="{52789058-F000-4BF7-AAC6-58634B22B0F5}" destId="{77D37577-4BEC-4862-9ADD-B958F2137766}" srcOrd="0" destOrd="0" presId="urn:microsoft.com/office/officeart/2005/8/layout/radial1"/>
    <dgm:cxn modelId="{B8C4C76E-D7B8-46E2-82CF-A6D93C94721D}" type="presOf" srcId="{7B029476-FC4C-438F-90BD-3C3918BC0592}" destId="{712BA7DA-BC0E-4243-9406-910BD161EF76}" srcOrd="1" destOrd="0" presId="urn:microsoft.com/office/officeart/2005/8/layout/radial1"/>
    <dgm:cxn modelId="{553508B2-E6F4-42B2-BDB8-68C3C8DF263A}" type="presOf" srcId="{BA067BDC-2584-416A-AAA1-789FC896E978}" destId="{E3F89679-9527-4035-B81C-CCFE3EFC2841}" srcOrd="0" destOrd="0" presId="urn:microsoft.com/office/officeart/2005/8/layout/radial1"/>
    <dgm:cxn modelId="{5B6C7FBE-87F0-45EA-AEA5-B42B7158729F}" type="presOf" srcId="{A943744F-86DF-409E-9310-695D51F36915}" destId="{FF57C40B-62D1-4123-AABD-F5E29401CDC6}" srcOrd="0" destOrd="0" presId="urn:microsoft.com/office/officeart/2005/8/layout/radial1"/>
    <dgm:cxn modelId="{6AB320C6-71D8-4A71-A250-416E3A0B61E3}" type="presOf" srcId="{0A991209-25D7-4E82-BBE7-390C6B7205D4}" destId="{344D0493-A898-4DDC-A28B-AEAAB7360024}" srcOrd="1" destOrd="0" presId="urn:microsoft.com/office/officeart/2005/8/layout/radial1"/>
    <dgm:cxn modelId="{3886BD2A-660F-4CAC-9906-137B15FBB98C}" type="presOf" srcId="{0A991209-25D7-4E82-BBE7-390C6B7205D4}" destId="{82CD5783-729A-4807-8BFB-AA6664AF590A}" srcOrd="0" destOrd="0" presId="urn:microsoft.com/office/officeart/2005/8/layout/radial1"/>
    <dgm:cxn modelId="{CDB6AF9C-DECF-438B-A5BA-2FC2040DEEB4}" srcId="{C931956A-6CE1-4C5A-984A-078595AE9095}" destId="{ECC036B1-06CC-4C94-8962-B324F535EF34}" srcOrd="9" destOrd="0" parTransId="{A943744F-86DF-409E-9310-695D51F36915}" sibTransId="{73253E41-26DE-4973-8FD1-65B7D0E04413}"/>
    <dgm:cxn modelId="{6345F851-0FCA-483C-BC60-A43402B81C14}" srcId="{C931956A-6CE1-4C5A-984A-078595AE9095}" destId="{E44AD906-BC10-43A4-B291-11E1139FB780}" srcOrd="8" destOrd="0" parTransId="{7B029476-FC4C-438F-90BD-3C3918BC0592}" sibTransId="{AFB4CAB7-FB92-4D4A-BC22-993DDDDFABBA}"/>
    <dgm:cxn modelId="{FB0CD632-542C-425E-9F0C-3B1513815CA9}" type="presOf" srcId="{27F1AC3F-7E0B-4A33-A3F2-3A4CEE171989}" destId="{58BE5A61-296F-4459-9E73-C7CF5F49C155}" srcOrd="0" destOrd="0" presId="urn:microsoft.com/office/officeart/2005/8/layout/radial1"/>
    <dgm:cxn modelId="{C73E55A1-5437-4FAE-A3F4-72CF942719A3}" type="presOf" srcId="{F69CBAD8-5EE3-4F7D-82AD-A69F5110EE93}" destId="{19BE2360-EFE4-4C19-A0BA-F3868EDD5B50}" srcOrd="0" destOrd="0" presId="urn:microsoft.com/office/officeart/2005/8/layout/radial1"/>
    <dgm:cxn modelId="{9075E390-77A8-483C-8AF0-97B20614E2B0}" srcId="{25F0A19D-2BF0-4CB4-8999-704F421C0EAB}" destId="{C931956A-6CE1-4C5A-984A-078595AE9095}" srcOrd="0" destOrd="0" parTransId="{AD309676-23BD-47E7-B955-06C40FC1FDAD}" sibTransId="{AA494558-0634-4483-BA7D-FAF579A796D3}"/>
    <dgm:cxn modelId="{9A06292C-A2DF-4D0A-99E4-71686DCC44BB}" srcId="{C931956A-6CE1-4C5A-984A-078595AE9095}" destId="{0AF566A9-FE4D-4DE1-A60B-650CEB2DD0AD}" srcOrd="6" destOrd="0" parTransId="{84D228D5-5A45-4735-8EAC-6A7169E28FCF}" sibTransId="{DE854526-B4B9-4779-A1F8-0075971E5668}"/>
    <dgm:cxn modelId="{472742F1-8441-4C38-B216-984697BC3EB3}" type="presOf" srcId="{ECC036B1-06CC-4C94-8962-B324F535EF34}" destId="{539ECCE7-49A1-4569-AE78-A7E97F33CC20}" srcOrd="0" destOrd="0" presId="urn:microsoft.com/office/officeart/2005/8/layout/radial1"/>
    <dgm:cxn modelId="{C7367CB4-8EFE-4EF2-9BDB-B9B58E90EDCF}" type="presOf" srcId="{ECA277E4-9308-4042-8183-BD26097B6190}" destId="{1F0812C3-31F5-4139-AC4B-D083A452C911}" srcOrd="1" destOrd="0" presId="urn:microsoft.com/office/officeart/2005/8/layout/radial1"/>
    <dgm:cxn modelId="{F2FF7155-8BA7-4CDF-96A6-BAFEEE72F44F}" type="presOf" srcId="{C144C05F-CD45-4697-86D5-6B0188A33E1D}" destId="{132A22CF-9C5C-4766-8444-2E45F4640760}" srcOrd="1" destOrd="0" presId="urn:microsoft.com/office/officeart/2005/8/layout/radial1"/>
    <dgm:cxn modelId="{49AEA58B-AA67-404F-8B69-1FF6E15F0238}" type="presOf" srcId="{D6286A09-3EA1-467D-8EB4-E51B4856306C}" destId="{B238E4E3-5B86-4A84-AA11-EDF227718167}" srcOrd="0" destOrd="0" presId="urn:microsoft.com/office/officeart/2005/8/layout/radial1"/>
    <dgm:cxn modelId="{3A2CDEC1-A3E9-447A-AD4A-96FCB9E13AB4}" type="presOf" srcId="{423F72A8-88DD-4212-AAF3-C6D17A344ED3}" destId="{F592118B-292F-455C-B1B0-FDA1B757B729}" srcOrd="0" destOrd="0" presId="urn:microsoft.com/office/officeart/2005/8/layout/radial1"/>
    <dgm:cxn modelId="{934DC662-6E64-4212-A10E-C33E8C3AB4E0}" type="presOf" srcId="{727828CC-7F89-4AA8-8559-4A988EDCF312}" destId="{AA52F0F7-803F-4490-914D-47348A023C7C}" srcOrd="0" destOrd="0" presId="urn:microsoft.com/office/officeart/2005/8/layout/radial1"/>
    <dgm:cxn modelId="{37E66648-063E-4961-86EF-307116A17427}" type="presOf" srcId="{E44AD906-BC10-43A4-B291-11E1139FB780}" destId="{F5503B97-961D-4DB6-B91B-0F7ED3909618}" srcOrd="0" destOrd="0" presId="urn:microsoft.com/office/officeart/2005/8/layout/radial1"/>
    <dgm:cxn modelId="{08B8CE42-2179-4112-AF7E-0ECFD618A99A}" type="presOf" srcId="{A943744F-86DF-409E-9310-695D51F36915}" destId="{B11AB717-F4FE-471D-B7A1-D021368745FA}" srcOrd="1" destOrd="0" presId="urn:microsoft.com/office/officeart/2005/8/layout/radial1"/>
    <dgm:cxn modelId="{81550E43-5394-4B8D-858A-891FAE7B50D5}" srcId="{C931956A-6CE1-4C5A-984A-078595AE9095}" destId="{F0CD875E-C445-49AC-80EB-D6DCACC3170B}" srcOrd="4" destOrd="0" parTransId="{52789058-F000-4BF7-AAC6-58634B22B0F5}" sibTransId="{0A38E128-BDA4-4328-951C-E2F76FEA6DC4}"/>
    <dgm:cxn modelId="{BD881314-8C91-42E0-A241-62738DFA1BE7}" type="presOf" srcId="{84D228D5-5A45-4735-8EAC-6A7169E28FCF}" destId="{8F3867B2-4560-4D83-B39E-065A897A6031}" srcOrd="1" destOrd="0" presId="urn:microsoft.com/office/officeart/2005/8/layout/radial1"/>
    <dgm:cxn modelId="{C338B0FA-4743-4E11-ACC4-1F031B24BD06}" type="presOf" srcId="{F0CD875E-C445-49AC-80EB-D6DCACC3170B}" destId="{BC12277E-0817-4B1D-A1E4-8C847B8DB7BB}" srcOrd="0" destOrd="0" presId="urn:microsoft.com/office/officeart/2005/8/layout/radial1"/>
    <dgm:cxn modelId="{0D711677-59E5-4882-8937-6B6A058EBA44}" type="presOf" srcId="{35E1B111-12AA-4901-8354-7DC768700025}" destId="{041C03E9-D274-4ACF-8EB3-3D53E938FE51}" srcOrd="1" destOrd="0" presId="urn:microsoft.com/office/officeart/2005/8/layout/radial1"/>
    <dgm:cxn modelId="{19B63F26-E969-4425-8C3B-4B2F38845ED7}" type="presOf" srcId="{0D6A8F05-8AD8-4339-9B49-6E71AEE96E8C}" destId="{78A8C38F-8F03-4DD4-9295-CCB7E4F3AF8F}" srcOrd="1" destOrd="0" presId="urn:microsoft.com/office/officeart/2005/8/layout/radial1"/>
    <dgm:cxn modelId="{24511016-D0CB-413F-939A-C28DAFCBD4D4}" type="presOf" srcId="{35E1B111-12AA-4901-8354-7DC768700025}" destId="{5BE066A0-FE39-4237-913F-79E0DF393A85}" srcOrd="0" destOrd="0" presId="urn:microsoft.com/office/officeart/2005/8/layout/radial1"/>
    <dgm:cxn modelId="{E07E381B-22C6-486D-9071-964015F686CA}" type="presOf" srcId="{7B029476-FC4C-438F-90BD-3C3918BC0592}" destId="{281AC58F-B6DF-4B87-B53F-2BC5466A638B}" srcOrd="0" destOrd="0" presId="urn:microsoft.com/office/officeart/2005/8/layout/radial1"/>
    <dgm:cxn modelId="{388F4BBB-4CC8-4B88-8AA6-6D3CED631983}" type="presOf" srcId="{52789058-F000-4BF7-AAC6-58634B22B0F5}" destId="{F61A680F-C1E1-4674-9398-4EF12F9053F9}" srcOrd="1" destOrd="0" presId="urn:microsoft.com/office/officeart/2005/8/layout/radial1"/>
    <dgm:cxn modelId="{3B734F48-C792-4697-9A54-2412F5EB58F1}" srcId="{C931956A-6CE1-4C5A-984A-078595AE9095}" destId="{4C9B1038-751B-4085-921E-A273E8735FD9}" srcOrd="7" destOrd="0" parTransId="{D6286A09-3EA1-467D-8EB4-E51B4856306C}" sibTransId="{1916FD60-A352-4014-A903-7BA0BE22CEDF}"/>
    <dgm:cxn modelId="{81B3346C-ECF0-4F54-8BF3-2F65178FA371}" type="presOf" srcId="{25F0A19D-2BF0-4CB4-8999-704F421C0EAB}" destId="{EF2455F1-346D-40AB-AFD5-4094863E0019}" srcOrd="0" destOrd="0" presId="urn:microsoft.com/office/officeart/2005/8/layout/radial1"/>
    <dgm:cxn modelId="{666D9515-6EAC-498C-AA8D-F104A074353D}" type="presParOf" srcId="{EF2455F1-346D-40AB-AFD5-4094863E0019}" destId="{D2B3FE25-84F1-49EE-B950-D1A274365686}" srcOrd="0" destOrd="0" presId="urn:microsoft.com/office/officeart/2005/8/layout/radial1"/>
    <dgm:cxn modelId="{9AE616EB-CB51-40C0-9148-8FF644B68F34}" type="presParOf" srcId="{EF2455F1-346D-40AB-AFD5-4094863E0019}" destId="{5BE066A0-FE39-4237-913F-79E0DF393A85}" srcOrd="1" destOrd="0" presId="urn:microsoft.com/office/officeart/2005/8/layout/radial1"/>
    <dgm:cxn modelId="{2C892C56-E746-44B3-9BD3-F5C7E6B1B9A8}" type="presParOf" srcId="{5BE066A0-FE39-4237-913F-79E0DF393A85}" destId="{041C03E9-D274-4ACF-8EB3-3D53E938FE51}" srcOrd="0" destOrd="0" presId="urn:microsoft.com/office/officeart/2005/8/layout/radial1"/>
    <dgm:cxn modelId="{58EA506B-C715-4424-9033-893093D98E93}" type="presParOf" srcId="{EF2455F1-346D-40AB-AFD5-4094863E0019}" destId="{AA52F0F7-803F-4490-914D-47348A023C7C}" srcOrd="2" destOrd="0" presId="urn:microsoft.com/office/officeart/2005/8/layout/radial1"/>
    <dgm:cxn modelId="{32AED918-8253-45EA-BBF1-CD245248525A}" type="presParOf" srcId="{EF2455F1-346D-40AB-AFD5-4094863E0019}" destId="{B8FB6C5A-40BB-4E83-9E60-98B017870BF4}" srcOrd="3" destOrd="0" presId="urn:microsoft.com/office/officeart/2005/8/layout/radial1"/>
    <dgm:cxn modelId="{D5A0E69E-B09F-4307-9FA8-05142DAA62E5}" type="presParOf" srcId="{B8FB6C5A-40BB-4E83-9E60-98B017870BF4}" destId="{78A8C38F-8F03-4DD4-9295-CCB7E4F3AF8F}" srcOrd="0" destOrd="0" presId="urn:microsoft.com/office/officeart/2005/8/layout/radial1"/>
    <dgm:cxn modelId="{29F801E9-8224-4C80-9F17-BAF7D747A80E}" type="presParOf" srcId="{EF2455F1-346D-40AB-AFD5-4094863E0019}" destId="{19BE2360-EFE4-4C19-A0BA-F3868EDD5B50}" srcOrd="4" destOrd="0" presId="urn:microsoft.com/office/officeart/2005/8/layout/radial1"/>
    <dgm:cxn modelId="{70617609-FFF0-4380-B3D6-A64F8311BC47}" type="presParOf" srcId="{EF2455F1-346D-40AB-AFD5-4094863E0019}" destId="{82CD5783-729A-4807-8BFB-AA6664AF590A}" srcOrd="5" destOrd="0" presId="urn:microsoft.com/office/officeart/2005/8/layout/radial1"/>
    <dgm:cxn modelId="{B24D48A5-6665-483F-935C-B23FD84E5F00}" type="presParOf" srcId="{82CD5783-729A-4807-8BFB-AA6664AF590A}" destId="{344D0493-A898-4DDC-A28B-AEAAB7360024}" srcOrd="0" destOrd="0" presId="urn:microsoft.com/office/officeart/2005/8/layout/radial1"/>
    <dgm:cxn modelId="{38FC6000-FE61-4794-97FC-8CF8A9F86035}" type="presParOf" srcId="{EF2455F1-346D-40AB-AFD5-4094863E0019}" destId="{F592118B-292F-455C-B1B0-FDA1B757B729}" srcOrd="6" destOrd="0" presId="urn:microsoft.com/office/officeart/2005/8/layout/radial1"/>
    <dgm:cxn modelId="{DD7D9580-B1D8-4600-9787-24D1A9A6EB81}" type="presParOf" srcId="{EF2455F1-346D-40AB-AFD5-4094863E0019}" destId="{DC843EBC-43B3-439E-B04C-663B40585943}" srcOrd="7" destOrd="0" presId="urn:microsoft.com/office/officeart/2005/8/layout/radial1"/>
    <dgm:cxn modelId="{D574946E-A5D6-4DA6-A951-1E5F4E98E24C}" type="presParOf" srcId="{DC843EBC-43B3-439E-B04C-663B40585943}" destId="{132A22CF-9C5C-4766-8444-2E45F4640760}" srcOrd="0" destOrd="0" presId="urn:microsoft.com/office/officeart/2005/8/layout/radial1"/>
    <dgm:cxn modelId="{6E254E10-AB40-4FEC-B39E-447D3D7C1E01}" type="presParOf" srcId="{EF2455F1-346D-40AB-AFD5-4094863E0019}" destId="{E3F89679-9527-4035-B81C-CCFE3EFC2841}" srcOrd="8" destOrd="0" presId="urn:microsoft.com/office/officeart/2005/8/layout/radial1"/>
    <dgm:cxn modelId="{4415E90F-9AE7-40C9-A397-DEB61D23C202}" type="presParOf" srcId="{EF2455F1-346D-40AB-AFD5-4094863E0019}" destId="{77D37577-4BEC-4862-9ADD-B958F2137766}" srcOrd="9" destOrd="0" presId="urn:microsoft.com/office/officeart/2005/8/layout/radial1"/>
    <dgm:cxn modelId="{28D25817-C065-4D2F-AE4C-F224F3564675}" type="presParOf" srcId="{77D37577-4BEC-4862-9ADD-B958F2137766}" destId="{F61A680F-C1E1-4674-9398-4EF12F9053F9}" srcOrd="0" destOrd="0" presId="urn:microsoft.com/office/officeart/2005/8/layout/radial1"/>
    <dgm:cxn modelId="{66C08827-2198-488F-99B1-44FC2C296205}" type="presParOf" srcId="{EF2455F1-346D-40AB-AFD5-4094863E0019}" destId="{BC12277E-0817-4B1D-A1E4-8C847B8DB7BB}" srcOrd="10" destOrd="0" presId="urn:microsoft.com/office/officeart/2005/8/layout/radial1"/>
    <dgm:cxn modelId="{D9148C1C-B8DB-4A36-ADC4-D40238330531}" type="presParOf" srcId="{EF2455F1-346D-40AB-AFD5-4094863E0019}" destId="{B8DBAE71-7333-490F-917F-709A0D427BA7}" srcOrd="11" destOrd="0" presId="urn:microsoft.com/office/officeart/2005/8/layout/radial1"/>
    <dgm:cxn modelId="{04B878FF-6350-4499-B406-DE38E31AB519}" type="presParOf" srcId="{B8DBAE71-7333-490F-917F-709A0D427BA7}" destId="{1F0812C3-31F5-4139-AC4B-D083A452C911}" srcOrd="0" destOrd="0" presId="urn:microsoft.com/office/officeart/2005/8/layout/radial1"/>
    <dgm:cxn modelId="{1C8B0CF5-21ED-45D2-8E4A-F3EB1E51D63A}" type="presParOf" srcId="{EF2455F1-346D-40AB-AFD5-4094863E0019}" destId="{58BE5A61-296F-4459-9E73-C7CF5F49C155}" srcOrd="12" destOrd="0" presId="urn:microsoft.com/office/officeart/2005/8/layout/radial1"/>
    <dgm:cxn modelId="{EB5EA489-627F-493C-BAE3-59E05909A318}" type="presParOf" srcId="{EF2455F1-346D-40AB-AFD5-4094863E0019}" destId="{99EB6380-9451-486B-889B-5EA99104661D}" srcOrd="13" destOrd="0" presId="urn:microsoft.com/office/officeart/2005/8/layout/radial1"/>
    <dgm:cxn modelId="{BF10CA23-4C37-4021-846B-61C610D53E64}" type="presParOf" srcId="{99EB6380-9451-486B-889B-5EA99104661D}" destId="{8F3867B2-4560-4D83-B39E-065A897A6031}" srcOrd="0" destOrd="0" presId="urn:microsoft.com/office/officeart/2005/8/layout/radial1"/>
    <dgm:cxn modelId="{80EDB3E3-D47C-4C8E-8046-94796773C04B}" type="presParOf" srcId="{EF2455F1-346D-40AB-AFD5-4094863E0019}" destId="{F9ED73FF-E818-4C6C-9F1C-C7155BFF7D5D}" srcOrd="14" destOrd="0" presId="urn:microsoft.com/office/officeart/2005/8/layout/radial1"/>
    <dgm:cxn modelId="{FB73FEE7-2881-412A-B762-345C938B0888}" type="presParOf" srcId="{EF2455F1-346D-40AB-AFD5-4094863E0019}" destId="{B238E4E3-5B86-4A84-AA11-EDF227718167}" srcOrd="15" destOrd="0" presId="urn:microsoft.com/office/officeart/2005/8/layout/radial1"/>
    <dgm:cxn modelId="{DE2A7700-0847-4788-B8E2-8E2CA1F6D20C}" type="presParOf" srcId="{B238E4E3-5B86-4A84-AA11-EDF227718167}" destId="{D7898E26-CA00-48B2-A2A0-D0174E3A50C3}" srcOrd="0" destOrd="0" presId="urn:microsoft.com/office/officeart/2005/8/layout/radial1"/>
    <dgm:cxn modelId="{4058094F-AE26-4AB2-9592-F67E1C8F510B}" type="presParOf" srcId="{EF2455F1-346D-40AB-AFD5-4094863E0019}" destId="{1E48684E-3ABC-48B3-AE78-FA9EEC6D9DEE}" srcOrd="16" destOrd="0" presId="urn:microsoft.com/office/officeart/2005/8/layout/radial1"/>
    <dgm:cxn modelId="{B14F9D4B-8F9D-43D0-B231-25AF72A824DA}" type="presParOf" srcId="{EF2455F1-346D-40AB-AFD5-4094863E0019}" destId="{281AC58F-B6DF-4B87-B53F-2BC5466A638B}" srcOrd="17" destOrd="0" presId="urn:microsoft.com/office/officeart/2005/8/layout/radial1"/>
    <dgm:cxn modelId="{C038182D-5E53-4DE3-96E7-355F9B1E64FF}" type="presParOf" srcId="{281AC58F-B6DF-4B87-B53F-2BC5466A638B}" destId="{712BA7DA-BC0E-4243-9406-910BD161EF76}" srcOrd="0" destOrd="0" presId="urn:microsoft.com/office/officeart/2005/8/layout/radial1"/>
    <dgm:cxn modelId="{F20AF238-E445-4255-9C6A-3A50C55F7130}" type="presParOf" srcId="{EF2455F1-346D-40AB-AFD5-4094863E0019}" destId="{F5503B97-961D-4DB6-B91B-0F7ED3909618}" srcOrd="18" destOrd="0" presId="urn:microsoft.com/office/officeart/2005/8/layout/radial1"/>
    <dgm:cxn modelId="{B0F730DB-0BF6-4736-B16C-B86ABA7A8A77}" type="presParOf" srcId="{EF2455F1-346D-40AB-AFD5-4094863E0019}" destId="{FF57C40B-62D1-4123-AABD-F5E29401CDC6}" srcOrd="19" destOrd="0" presId="urn:microsoft.com/office/officeart/2005/8/layout/radial1"/>
    <dgm:cxn modelId="{7003F0AC-14DD-4819-B13B-F879E5B26491}" type="presParOf" srcId="{FF57C40B-62D1-4123-AABD-F5E29401CDC6}" destId="{B11AB717-F4FE-471D-B7A1-D021368745FA}" srcOrd="0" destOrd="0" presId="urn:microsoft.com/office/officeart/2005/8/layout/radial1"/>
    <dgm:cxn modelId="{6A530683-9D12-436C-9594-161C5391B22D}" type="presParOf" srcId="{EF2455F1-346D-40AB-AFD5-4094863E0019}" destId="{539ECCE7-49A1-4569-AE78-A7E97F33CC20}" srcOrd="20" destOrd="0" presId="urn:microsoft.com/office/officeart/2005/8/layout/radial1"/>
  </dgm:cxnLst>
  <dgm:bg/>
  <dgm:whole>
    <a:ln>
      <a:noFill/>
    </a:ln>
  </dgm:whole>
  <dgm:extLst>
    <a:ext uri="http://schemas.microsoft.com/office/drawing/2008/diagram">
      <dsp:dataModelExt xmlns:dsp="http://schemas.microsoft.com/office/drawing/2008/diagram" xmlns="" relId="rId2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B57C7E8-D3EA-43D2-A68A-B64906E28CCF}" type="doc">
      <dgm:prSet loTypeId="urn:microsoft.com/office/officeart/2005/8/layout/equation2" loCatId="process" qsTypeId="urn:microsoft.com/office/officeart/2005/8/quickstyle/simple2" qsCatId="simple" csTypeId="urn:microsoft.com/office/officeart/2005/8/colors/accent5_1" csCatId="accent5" phldr="1"/>
      <dgm:spPr/>
    </dgm:pt>
    <dgm:pt modelId="{2C141F7F-200D-4862-BF95-504781C5BC54}">
      <dgm:prSet phldrT="[Text]" custT="1"/>
      <dgm:spPr/>
      <dgm:t>
        <a:bodyPr/>
        <a:lstStyle/>
        <a:p>
          <a:r>
            <a:rPr lang="en-AU" sz="1000"/>
            <a:t>Financial effect of the family law system</a:t>
          </a:r>
        </a:p>
      </dgm:t>
    </dgm:pt>
    <dgm:pt modelId="{56E5EC20-AF32-4888-BADA-7723ACB22B1A}" type="parTrans" cxnId="{2A152722-09AF-4E54-B28B-EC73689B7267}">
      <dgm:prSet/>
      <dgm:spPr/>
      <dgm:t>
        <a:bodyPr/>
        <a:lstStyle/>
        <a:p>
          <a:endParaRPr lang="en-AU"/>
        </a:p>
      </dgm:t>
    </dgm:pt>
    <dgm:pt modelId="{26CE68AD-CD10-4709-AC44-D94879088BAD}" type="sibTrans" cxnId="{2A152722-09AF-4E54-B28B-EC73689B7267}">
      <dgm:prSet/>
      <dgm:spPr/>
      <dgm:t>
        <a:bodyPr/>
        <a:lstStyle/>
        <a:p>
          <a:endParaRPr lang="en-AU"/>
        </a:p>
      </dgm:t>
    </dgm:pt>
    <dgm:pt modelId="{A9353EC7-04E3-4F67-818F-BBD8FBD784B5}">
      <dgm:prSet phldrT="[Text]" custT="1"/>
      <dgm:spPr/>
      <dgm:t>
        <a:bodyPr/>
        <a:lstStyle/>
        <a:p>
          <a:r>
            <a:rPr lang="en-AU" sz="1100"/>
            <a:t>Financial effect of arrangements </a:t>
          </a:r>
          <a:r>
            <a:rPr lang="en-AU" sz="1100" i="1"/>
            <a:t>outside</a:t>
          </a:r>
          <a:r>
            <a:rPr lang="en-AU" sz="1100"/>
            <a:t> the family law system</a:t>
          </a:r>
        </a:p>
      </dgm:t>
    </dgm:pt>
    <dgm:pt modelId="{7BDFF823-8622-4BF2-A9B1-824B056DD04E}" type="parTrans" cxnId="{873CAAE2-A141-4D81-BBFF-91DE4A9AADB3}">
      <dgm:prSet/>
      <dgm:spPr/>
      <dgm:t>
        <a:bodyPr/>
        <a:lstStyle/>
        <a:p>
          <a:endParaRPr lang="en-AU"/>
        </a:p>
      </dgm:t>
    </dgm:pt>
    <dgm:pt modelId="{973A74A6-B7AD-4CF4-A929-962EDAD9620B}" type="sibTrans" cxnId="{873CAAE2-A141-4D81-BBFF-91DE4A9AADB3}">
      <dgm:prSet/>
      <dgm:spPr/>
      <dgm:t>
        <a:bodyPr/>
        <a:lstStyle/>
        <a:p>
          <a:endParaRPr lang="en-AU"/>
        </a:p>
      </dgm:t>
    </dgm:pt>
    <dgm:pt modelId="{09C1E4CB-5AC2-4C01-9395-FC8168367475}">
      <dgm:prSet phldrT="[Text]"/>
      <dgm:spPr/>
      <dgm:t>
        <a:bodyPr/>
        <a:lstStyle/>
        <a:p>
          <a:r>
            <a:rPr lang="en-AU"/>
            <a:t>Financial disadvantage disproportionately to sole / primary Mother carers.</a:t>
          </a:r>
        </a:p>
      </dgm:t>
    </dgm:pt>
    <dgm:pt modelId="{ABF98370-F72D-465F-93F3-976D73084D60}" type="parTrans" cxnId="{E4D6B93C-D9AD-440F-B432-0CDF3F9394FE}">
      <dgm:prSet/>
      <dgm:spPr/>
      <dgm:t>
        <a:bodyPr/>
        <a:lstStyle/>
        <a:p>
          <a:endParaRPr lang="en-AU"/>
        </a:p>
      </dgm:t>
    </dgm:pt>
    <dgm:pt modelId="{199850C8-496E-4B98-8E06-57689AC34BCF}" type="sibTrans" cxnId="{E4D6B93C-D9AD-440F-B432-0CDF3F9394FE}">
      <dgm:prSet/>
      <dgm:spPr/>
      <dgm:t>
        <a:bodyPr/>
        <a:lstStyle/>
        <a:p>
          <a:endParaRPr lang="en-AU"/>
        </a:p>
      </dgm:t>
    </dgm:pt>
    <dgm:pt modelId="{1002DFA1-37E9-4D98-B1A3-DDFBE0D068D9}" type="pres">
      <dgm:prSet presAssocID="{9B57C7E8-D3EA-43D2-A68A-B64906E28CCF}" presName="Name0" presStyleCnt="0">
        <dgm:presLayoutVars>
          <dgm:dir/>
          <dgm:resizeHandles val="exact"/>
        </dgm:presLayoutVars>
      </dgm:prSet>
      <dgm:spPr/>
    </dgm:pt>
    <dgm:pt modelId="{01E88B3E-FE59-4FC6-8652-3F33D82297B0}" type="pres">
      <dgm:prSet presAssocID="{9B57C7E8-D3EA-43D2-A68A-B64906E28CCF}" presName="vNodes" presStyleCnt="0"/>
      <dgm:spPr/>
    </dgm:pt>
    <dgm:pt modelId="{55E56862-2403-40CB-821B-5ADADEA47412}" type="pres">
      <dgm:prSet presAssocID="{2C141F7F-200D-4862-BF95-504781C5BC54}" presName="node" presStyleLbl="node1" presStyleIdx="0" presStyleCnt="3" custScaleX="210500" custScaleY="69952">
        <dgm:presLayoutVars>
          <dgm:bulletEnabled val="1"/>
        </dgm:presLayoutVars>
      </dgm:prSet>
      <dgm:spPr/>
      <dgm:t>
        <a:bodyPr/>
        <a:lstStyle/>
        <a:p>
          <a:endParaRPr lang="en-AU"/>
        </a:p>
      </dgm:t>
    </dgm:pt>
    <dgm:pt modelId="{96C4EE39-FE4D-4033-A6F8-0EF139EF220E}" type="pres">
      <dgm:prSet presAssocID="{26CE68AD-CD10-4709-AC44-D94879088BAD}" presName="spacerT" presStyleCnt="0"/>
      <dgm:spPr/>
    </dgm:pt>
    <dgm:pt modelId="{873E9B63-CA1A-4A4C-87BB-1AD6148CF5FC}" type="pres">
      <dgm:prSet presAssocID="{26CE68AD-CD10-4709-AC44-D94879088BAD}" presName="sibTrans" presStyleLbl="sibTrans2D1" presStyleIdx="0" presStyleCnt="2"/>
      <dgm:spPr/>
      <dgm:t>
        <a:bodyPr/>
        <a:lstStyle/>
        <a:p>
          <a:endParaRPr lang="en-AU"/>
        </a:p>
      </dgm:t>
    </dgm:pt>
    <dgm:pt modelId="{AE3CA331-53A5-4489-B764-EB1EF6A2BF7C}" type="pres">
      <dgm:prSet presAssocID="{26CE68AD-CD10-4709-AC44-D94879088BAD}" presName="spacerB" presStyleCnt="0"/>
      <dgm:spPr/>
    </dgm:pt>
    <dgm:pt modelId="{0D600C19-8B98-48B4-8952-4213D096C8DB}" type="pres">
      <dgm:prSet presAssocID="{A9353EC7-04E3-4F67-818F-BBD8FBD784B5}" presName="node" presStyleLbl="node1" presStyleIdx="1" presStyleCnt="3" custScaleX="380786" custScaleY="155458">
        <dgm:presLayoutVars>
          <dgm:bulletEnabled val="1"/>
        </dgm:presLayoutVars>
      </dgm:prSet>
      <dgm:spPr/>
      <dgm:t>
        <a:bodyPr/>
        <a:lstStyle/>
        <a:p>
          <a:endParaRPr lang="en-AU"/>
        </a:p>
      </dgm:t>
    </dgm:pt>
    <dgm:pt modelId="{A70283DA-06CA-49D2-BB54-6E32BACD103E}" type="pres">
      <dgm:prSet presAssocID="{9B57C7E8-D3EA-43D2-A68A-B64906E28CCF}" presName="sibTransLast" presStyleLbl="sibTrans2D1" presStyleIdx="1" presStyleCnt="2" custScaleX="350402" custLinFactX="-4497" custLinFactNeighborX="-100000" custLinFactNeighborY="-90397"/>
      <dgm:spPr/>
      <dgm:t>
        <a:bodyPr/>
        <a:lstStyle/>
        <a:p>
          <a:endParaRPr lang="en-AU"/>
        </a:p>
      </dgm:t>
    </dgm:pt>
    <dgm:pt modelId="{DDBA4D9A-9C1E-4642-A790-CD268FD9B354}" type="pres">
      <dgm:prSet presAssocID="{9B57C7E8-D3EA-43D2-A68A-B64906E28CCF}" presName="connectorText" presStyleLbl="sibTrans2D1" presStyleIdx="1" presStyleCnt="2"/>
      <dgm:spPr/>
      <dgm:t>
        <a:bodyPr/>
        <a:lstStyle/>
        <a:p>
          <a:endParaRPr lang="en-AU"/>
        </a:p>
      </dgm:t>
    </dgm:pt>
    <dgm:pt modelId="{18AC78D1-11A6-43A2-A71D-2614E166FDE9}" type="pres">
      <dgm:prSet presAssocID="{9B57C7E8-D3EA-43D2-A68A-B64906E28CCF}" presName="lastNode" presStyleLbl="node1" presStyleIdx="2" presStyleCnt="3" custScaleX="168176" custScaleY="117708">
        <dgm:presLayoutVars>
          <dgm:bulletEnabled val="1"/>
        </dgm:presLayoutVars>
      </dgm:prSet>
      <dgm:spPr/>
      <dgm:t>
        <a:bodyPr/>
        <a:lstStyle/>
        <a:p>
          <a:endParaRPr lang="en-AU"/>
        </a:p>
      </dgm:t>
    </dgm:pt>
  </dgm:ptLst>
  <dgm:cxnLst>
    <dgm:cxn modelId="{2A152722-09AF-4E54-B28B-EC73689B7267}" srcId="{9B57C7E8-D3EA-43D2-A68A-B64906E28CCF}" destId="{2C141F7F-200D-4862-BF95-504781C5BC54}" srcOrd="0" destOrd="0" parTransId="{56E5EC20-AF32-4888-BADA-7723ACB22B1A}" sibTransId="{26CE68AD-CD10-4709-AC44-D94879088BAD}"/>
    <dgm:cxn modelId="{E4D6B93C-D9AD-440F-B432-0CDF3F9394FE}" srcId="{9B57C7E8-D3EA-43D2-A68A-B64906E28CCF}" destId="{09C1E4CB-5AC2-4C01-9395-FC8168367475}" srcOrd="2" destOrd="0" parTransId="{ABF98370-F72D-465F-93F3-976D73084D60}" sibTransId="{199850C8-496E-4B98-8E06-57689AC34BCF}"/>
    <dgm:cxn modelId="{9151B53C-B90E-49A8-B184-D6A31AEE1A5C}" type="presOf" srcId="{973A74A6-B7AD-4CF4-A929-962EDAD9620B}" destId="{DDBA4D9A-9C1E-4642-A790-CD268FD9B354}" srcOrd="1" destOrd="0" presId="urn:microsoft.com/office/officeart/2005/8/layout/equation2"/>
    <dgm:cxn modelId="{4C55F475-DA33-469C-9BB4-1925D37CBD89}" type="presOf" srcId="{9B57C7E8-D3EA-43D2-A68A-B64906E28CCF}" destId="{1002DFA1-37E9-4D98-B1A3-DDFBE0D068D9}" srcOrd="0" destOrd="0" presId="urn:microsoft.com/office/officeart/2005/8/layout/equation2"/>
    <dgm:cxn modelId="{030C786C-FE94-42A2-9C49-128BB3EBC076}" type="presOf" srcId="{A9353EC7-04E3-4F67-818F-BBD8FBD784B5}" destId="{0D600C19-8B98-48B4-8952-4213D096C8DB}" srcOrd="0" destOrd="0" presId="urn:microsoft.com/office/officeart/2005/8/layout/equation2"/>
    <dgm:cxn modelId="{28137A62-7909-4D0D-8AA3-1272B0054AC1}" type="presOf" srcId="{09C1E4CB-5AC2-4C01-9395-FC8168367475}" destId="{18AC78D1-11A6-43A2-A71D-2614E166FDE9}" srcOrd="0" destOrd="0" presId="urn:microsoft.com/office/officeart/2005/8/layout/equation2"/>
    <dgm:cxn modelId="{989DE83B-797C-47FF-A8B8-E0EC6E186F79}" type="presOf" srcId="{26CE68AD-CD10-4709-AC44-D94879088BAD}" destId="{873E9B63-CA1A-4A4C-87BB-1AD6148CF5FC}" srcOrd="0" destOrd="0" presId="urn:microsoft.com/office/officeart/2005/8/layout/equation2"/>
    <dgm:cxn modelId="{8A93D019-6737-4D7D-B2EA-1BBA4ECAAD20}" type="presOf" srcId="{973A74A6-B7AD-4CF4-A929-962EDAD9620B}" destId="{A70283DA-06CA-49D2-BB54-6E32BACD103E}" srcOrd="0" destOrd="0" presId="urn:microsoft.com/office/officeart/2005/8/layout/equation2"/>
    <dgm:cxn modelId="{F66E1873-6A1C-4EE8-971D-4BA20FEFAAB1}" type="presOf" srcId="{2C141F7F-200D-4862-BF95-504781C5BC54}" destId="{55E56862-2403-40CB-821B-5ADADEA47412}" srcOrd="0" destOrd="0" presId="urn:microsoft.com/office/officeart/2005/8/layout/equation2"/>
    <dgm:cxn modelId="{873CAAE2-A141-4D81-BBFF-91DE4A9AADB3}" srcId="{9B57C7E8-D3EA-43D2-A68A-B64906E28CCF}" destId="{A9353EC7-04E3-4F67-818F-BBD8FBD784B5}" srcOrd="1" destOrd="0" parTransId="{7BDFF823-8622-4BF2-A9B1-824B056DD04E}" sibTransId="{973A74A6-B7AD-4CF4-A929-962EDAD9620B}"/>
    <dgm:cxn modelId="{A22AEE49-5006-4022-97A0-6C960DA8245E}" type="presParOf" srcId="{1002DFA1-37E9-4D98-B1A3-DDFBE0D068D9}" destId="{01E88B3E-FE59-4FC6-8652-3F33D82297B0}" srcOrd="0" destOrd="0" presId="urn:microsoft.com/office/officeart/2005/8/layout/equation2"/>
    <dgm:cxn modelId="{CA96ED1E-6C87-4BE1-A1EB-824F14E6EACD}" type="presParOf" srcId="{01E88B3E-FE59-4FC6-8652-3F33D82297B0}" destId="{55E56862-2403-40CB-821B-5ADADEA47412}" srcOrd="0" destOrd="0" presId="urn:microsoft.com/office/officeart/2005/8/layout/equation2"/>
    <dgm:cxn modelId="{C8FF0B05-CBA4-4422-873A-4B813576F1C8}" type="presParOf" srcId="{01E88B3E-FE59-4FC6-8652-3F33D82297B0}" destId="{96C4EE39-FE4D-4033-A6F8-0EF139EF220E}" srcOrd="1" destOrd="0" presId="urn:microsoft.com/office/officeart/2005/8/layout/equation2"/>
    <dgm:cxn modelId="{429868A0-4BD7-4D0A-9F47-E2903212D2F5}" type="presParOf" srcId="{01E88B3E-FE59-4FC6-8652-3F33D82297B0}" destId="{873E9B63-CA1A-4A4C-87BB-1AD6148CF5FC}" srcOrd="2" destOrd="0" presId="urn:microsoft.com/office/officeart/2005/8/layout/equation2"/>
    <dgm:cxn modelId="{B731809A-98A7-4C34-ACFE-BD6EAA193992}" type="presParOf" srcId="{01E88B3E-FE59-4FC6-8652-3F33D82297B0}" destId="{AE3CA331-53A5-4489-B764-EB1EF6A2BF7C}" srcOrd="3" destOrd="0" presId="urn:microsoft.com/office/officeart/2005/8/layout/equation2"/>
    <dgm:cxn modelId="{DC284872-6F3F-42F8-9305-677DE8FC7324}" type="presParOf" srcId="{01E88B3E-FE59-4FC6-8652-3F33D82297B0}" destId="{0D600C19-8B98-48B4-8952-4213D096C8DB}" srcOrd="4" destOrd="0" presId="urn:microsoft.com/office/officeart/2005/8/layout/equation2"/>
    <dgm:cxn modelId="{6E497466-C07D-429D-B980-97F7379416B2}" type="presParOf" srcId="{1002DFA1-37E9-4D98-B1A3-DDFBE0D068D9}" destId="{A70283DA-06CA-49D2-BB54-6E32BACD103E}" srcOrd="1" destOrd="0" presId="urn:microsoft.com/office/officeart/2005/8/layout/equation2"/>
    <dgm:cxn modelId="{CB87672E-38E7-4593-84EB-2CD8104E4342}" type="presParOf" srcId="{A70283DA-06CA-49D2-BB54-6E32BACD103E}" destId="{DDBA4D9A-9C1E-4642-A790-CD268FD9B354}" srcOrd="0" destOrd="0" presId="urn:microsoft.com/office/officeart/2005/8/layout/equation2"/>
    <dgm:cxn modelId="{47372DBA-98A9-4B3A-BC76-97442CEE94FB}" type="presParOf" srcId="{1002DFA1-37E9-4D98-B1A3-DDFBE0D068D9}" destId="{18AC78D1-11A6-43A2-A71D-2614E166FDE9}" srcOrd="2" destOrd="0" presId="urn:microsoft.com/office/officeart/2005/8/layout/equation2"/>
  </dgm:cxnLst>
  <dgm:bg/>
  <dgm:whole/>
  <dgm:extLst>
    <a:ext uri="http://schemas.microsoft.com/office/drawing/2008/diagram">
      <dsp:dataModelExt xmlns:dsp="http://schemas.microsoft.com/office/drawing/2008/diagram" xmlns="" relId="rId3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2B3FE25-84F1-49EE-B950-D1A274365686}">
      <dsp:nvSpPr>
        <dsp:cNvPr id="0" name=""/>
        <dsp:cNvSpPr/>
      </dsp:nvSpPr>
      <dsp:spPr>
        <a:xfrm>
          <a:off x="1662220" y="988828"/>
          <a:ext cx="2314358" cy="2259062"/>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AU" sz="1700" kern="1200"/>
            <a:t>Property Settlement Guidance Document- Usage and  Ongoing Training  </a:t>
          </a:r>
        </a:p>
      </dsp:txBody>
      <dsp:txXfrm>
        <a:off x="1662220" y="988828"/>
        <a:ext cx="2314358" cy="2259062"/>
      </dsp:txXfrm>
    </dsp:sp>
    <dsp:sp modelId="{5BE066A0-FE39-4237-913F-79E0DF393A85}">
      <dsp:nvSpPr>
        <dsp:cNvPr id="0" name=""/>
        <dsp:cNvSpPr/>
      </dsp:nvSpPr>
      <dsp:spPr>
        <a:xfrm rot="16200000">
          <a:off x="2732330" y="888795"/>
          <a:ext cx="174139" cy="25927"/>
        </a:xfrm>
        <a:custGeom>
          <a:avLst/>
          <a:gdLst/>
          <a:ahLst/>
          <a:cxnLst/>
          <a:rect l="0" t="0" r="0" b="0"/>
          <a:pathLst>
            <a:path>
              <a:moveTo>
                <a:pt x="0" y="12963"/>
              </a:moveTo>
              <a:lnTo>
                <a:pt x="174139" y="12963"/>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rot="16200000">
        <a:off x="2815046" y="897405"/>
        <a:ext cx="8706" cy="8706"/>
      </dsp:txXfrm>
    </dsp:sp>
    <dsp:sp modelId="{AA52F0F7-803F-4490-914D-47348A023C7C}">
      <dsp:nvSpPr>
        <dsp:cNvPr id="0" name=""/>
        <dsp:cNvSpPr/>
      </dsp:nvSpPr>
      <dsp:spPr>
        <a:xfrm>
          <a:off x="2413285" y="2459"/>
          <a:ext cx="812229" cy="812229"/>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AU" sz="700" kern="1200"/>
            <a:t>Private  Legal Practitioners</a:t>
          </a:r>
        </a:p>
      </dsp:txBody>
      <dsp:txXfrm>
        <a:off x="2413285" y="2459"/>
        <a:ext cx="812229" cy="812229"/>
      </dsp:txXfrm>
    </dsp:sp>
    <dsp:sp modelId="{B8FB6C5A-40BB-4E83-9E60-98B017870BF4}">
      <dsp:nvSpPr>
        <dsp:cNvPr id="0" name=""/>
        <dsp:cNvSpPr/>
      </dsp:nvSpPr>
      <dsp:spPr>
        <a:xfrm rot="18360000">
          <a:off x="3454834" y="1117372"/>
          <a:ext cx="164812" cy="25927"/>
        </a:xfrm>
        <a:custGeom>
          <a:avLst/>
          <a:gdLst/>
          <a:ahLst/>
          <a:cxnLst/>
          <a:rect l="0" t="0" r="0" b="0"/>
          <a:pathLst>
            <a:path>
              <a:moveTo>
                <a:pt x="0" y="12963"/>
              </a:moveTo>
              <a:lnTo>
                <a:pt x="164812" y="12963"/>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rot="18360000">
        <a:off x="3533120" y="1126216"/>
        <a:ext cx="8240" cy="8240"/>
      </dsp:txXfrm>
    </dsp:sp>
    <dsp:sp modelId="{19BE2360-EFE4-4C19-A0BA-F3868EDD5B50}">
      <dsp:nvSpPr>
        <dsp:cNvPr id="0" name=""/>
        <dsp:cNvSpPr/>
      </dsp:nvSpPr>
      <dsp:spPr>
        <a:xfrm>
          <a:off x="3418271" y="328999"/>
          <a:ext cx="812229" cy="812229"/>
        </a:xfrm>
        <a:prstGeom prst="ellipse">
          <a:avLst/>
        </a:prstGeom>
        <a:solidFill>
          <a:schemeClr val="accent3">
            <a:hueOff val="1250029"/>
            <a:satOff val="-1876"/>
            <a:lumOff val="-30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AU" sz="700" kern="1200"/>
            <a:t>Judges, Registrars</a:t>
          </a:r>
        </a:p>
      </dsp:txBody>
      <dsp:txXfrm>
        <a:off x="3418271" y="328999"/>
        <a:ext cx="812229" cy="812229"/>
      </dsp:txXfrm>
    </dsp:sp>
    <dsp:sp modelId="{82CD5783-729A-4807-8BFB-AA6664AF590A}">
      <dsp:nvSpPr>
        <dsp:cNvPr id="0" name=""/>
        <dsp:cNvSpPr/>
      </dsp:nvSpPr>
      <dsp:spPr>
        <a:xfrm rot="20520000">
          <a:off x="3913696" y="1725595"/>
          <a:ext cx="149219" cy="25927"/>
        </a:xfrm>
        <a:custGeom>
          <a:avLst/>
          <a:gdLst/>
          <a:ahLst/>
          <a:cxnLst/>
          <a:rect l="0" t="0" r="0" b="0"/>
          <a:pathLst>
            <a:path>
              <a:moveTo>
                <a:pt x="0" y="12963"/>
              </a:moveTo>
              <a:lnTo>
                <a:pt x="149219" y="12963"/>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rot="20520000">
        <a:off x="3984575" y="1734828"/>
        <a:ext cx="7460" cy="7460"/>
      </dsp:txXfrm>
    </dsp:sp>
    <dsp:sp modelId="{F592118B-292F-455C-B1B0-FDA1B757B729}">
      <dsp:nvSpPr>
        <dsp:cNvPr id="0" name=""/>
        <dsp:cNvSpPr/>
      </dsp:nvSpPr>
      <dsp:spPr>
        <a:xfrm>
          <a:off x="4039387" y="1183892"/>
          <a:ext cx="812229" cy="812229"/>
        </a:xfrm>
        <a:prstGeom prst="ellipse">
          <a:avLst/>
        </a:prstGeom>
        <a:solidFill>
          <a:schemeClr val="accent3">
            <a:hueOff val="2500059"/>
            <a:satOff val="-3751"/>
            <a:lumOff val="-61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AU" sz="700" kern="1200"/>
            <a:t>Registry and National Inquiry Centre Staff</a:t>
          </a:r>
        </a:p>
      </dsp:txBody>
      <dsp:txXfrm>
        <a:off x="4039387" y="1183892"/>
        <a:ext cx="812229" cy="812229"/>
      </dsp:txXfrm>
    </dsp:sp>
    <dsp:sp modelId="{DC843EBC-43B3-439E-B04C-663B40585943}">
      <dsp:nvSpPr>
        <dsp:cNvPr id="0" name=""/>
        <dsp:cNvSpPr/>
      </dsp:nvSpPr>
      <dsp:spPr>
        <a:xfrm rot="1080000">
          <a:off x="3913696" y="2485196"/>
          <a:ext cx="149219" cy="25927"/>
        </a:xfrm>
        <a:custGeom>
          <a:avLst/>
          <a:gdLst/>
          <a:ahLst/>
          <a:cxnLst/>
          <a:rect l="0" t="0" r="0" b="0"/>
          <a:pathLst>
            <a:path>
              <a:moveTo>
                <a:pt x="0" y="12963"/>
              </a:moveTo>
              <a:lnTo>
                <a:pt x="149219" y="12963"/>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rot="1080000">
        <a:off x="3984575" y="2494430"/>
        <a:ext cx="7460" cy="7460"/>
      </dsp:txXfrm>
    </dsp:sp>
    <dsp:sp modelId="{E3F89679-9527-4035-B81C-CCFE3EFC2841}">
      <dsp:nvSpPr>
        <dsp:cNvPr id="0" name=""/>
        <dsp:cNvSpPr/>
      </dsp:nvSpPr>
      <dsp:spPr>
        <a:xfrm>
          <a:off x="4039387" y="2240598"/>
          <a:ext cx="812229" cy="812229"/>
        </a:xfrm>
        <a:prstGeom prst="ellipse">
          <a:avLst/>
        </a:prstGeom>
        <a:solidFill>
          <a:schemeClr val="accent3">
            <a:hueOff val="3750088"/>
            <a:satOff val="-5627"/>
            <a:lumOff val="-91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AU" sz="700" kern="1200"/>
            <a:t>FDR Practitioners</a:t>
          </a:r>
        </a:p>
      </dsp:txBody>
      <dsp:txXfrm>
        <a:off x="4039387" y="2240598"/>
        <a:ext cx="812229" cy="812229"/>
      </dsp:txXfrm>
    </dsp:sp>
    <dsp:sp modelId="{77D37577-4BEC-4862-9ADD-B958F2137766}">
      <dsp:nvSpPr>
        <dsp:cNvPr id="0" name=""/>
        <dsp:cNvSpPr/>
      </dsp:nvSpPr>
      <dsp:spPr>
        <a:xfrm rot="3240000">
          <a:off x="3454834" y="3093419"/>
          <a:ext cx="164812" cy="25927"/>
        </a:xfrm>
        <a:custGeom>
          <a:avLst/>
          <a:gdLst/>
          <a:ahLst/>
          <a:cxnLst/>
          <a:rect l="0" t="0" r="0" b="0"/>
          <a:pathLst>
            <a:path>
              <a:moveTo>
                <a:pt x="0" y="12963"/>
              </a:moveTo>
              <a:lnTo>
                <a:pt x="164812" y="12963"/>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rot="3240000">
        <a:off x="3533120" y="3102263"/>
        <a:ext cx="8240" cy="8240"/>
      </dsp:txXfrm>
    </dsp:sp>
    <dsp:sp modelId="{BC12277E-0817-4B1D-A1E4-8C847B8DB7BB}">
      <dsp:nvSpPr>
        <dsp:cNvPr id="0" name=""/>
        <dsp:cNvSpPr/>
      </dsp:nvSpPr>
      <dsp:spPr>
        <a:xfrm>
          <a:off x="3418271" y="3095490"/>
          <a:ext cx="812229" cy="812229"/>
        </a:xfrm>
        <a:prstGeom prst="ellipse">
          <a:avLst/>
        </a:prstGeom>
        <a:solidFill>
          <a:schemeClr val="accent3">
            <a:hueOff val="5000117"/>
            <a:satOff val="-7502"/>
            <a:lumOff val="-122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AU" sz="700" kern="1200"/>
            <a:t>Academics and Teachers of Family law</a:t>
          </a:r>
        </a:p>
      </dsp:txBody>
      <dsp:txXfrm>
        <a:off x="3418271" y="3095490"/>
        <a:ext cx="812229" cy="812229"/>
      </dsp:txXfrm>
    </dsp:sp>
    <dsp:sp modelId="{B8DBAE71-7333-490F-917F-709A0D427BA7}">
      <dsp:nvSpPr>
        <dsp:cNvPr id="0" name=""/>
        <dsp:cNvSpPr/>
      </dsp:nvSpPr>
      <dsp:spPr>
        <a:xfrm rot="5400000">
          <a:off x="2732330" y="3321996"/>
          <a:ext cx="174139" cy="25927"/>
        </a:xfrm>
        <a:custGeom>
          <a:avLst/>
          <a:gdLst/>
          <a:ahLst/>
          <a:cxnLst/>
          <a:rect l="0" t="0" r="0" b="0"/>
          <a:pathLst>
            <a:path>
              <a:moveTo>
                <a:pt x="0" y="12963"/>
              </a:moveTo>
              <a:lnTo>
                <a:pt x="174139" y="12963"/>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rot="5400000">
        <a:off x="2815046" y="3330607"/>
        <a:ext cx="8706" cy="8706"/>
      </dsp:txXfrm>
    </dsp:sp>
    <dsp:sp modelId="{58BE5A61-296F-4459-9E73-C7CF5F49C155}">
      <dsp:nvSpPr>
        <dsp:cNvPr id="0" name=""/>
        <dsp:cNvSpPr/>
      </dsp:nvSpPr>
      <dsp:spPr>
        <a:xfrm>
          <a:off x="2413285" y="3422030"/>
          <a:ext cx="812229" cy="812229"/>
        </a:xfrm>
        <a:prstGeom prst="ellipse">
          <a:avLst/>
        </a:prstGeom>
        <a:solidFill>
          <a:schemeClr val="accent3">
            <a:hueOff val="6250147"/>
            <a:satOff val="-9378"/>
            <a:lumOff val="-152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AU" sz="700" kern="1200"/>
            <a:t>Nationally Accredited Mediators</a:t>
          </a:r>
        </a:p>
      </dsp:txBody>
      <dsp:txXfrm>
        <a:off x="2413285" y="3422030"/>
        <a:ext cx="812229" cy="812229"/>
      </dsp:txXfrm>
    </dsp:sp>
    <dsp:sp modelId="{99EB6380-9451-486B-889B-5EA99104661D}">
      <dsp:nvSpPr>
        <dsp:cNvPr id="0" name=""/>
        <dsp:cNvSpPr/>
      </dsp:nvSpPr>
      <dsp:spPr>
        <a:xfrm rot="7560000">
          <a:off x="2019152" y="3093419"/>
          <a:ext cx="164812" cy="25927"/>
        </a:xfrm>
        <a:custGeom>
          <a:avLst/>
          <a:gdLst/>
          <a:ahLst/>
          <a:cxnLst/>
          <a:rect l="0" t="0" r="0" b="0"/>
          <a:pathLst>
            <a:path>
              <a:moveTo>
                <a:pt x="0" y="12963"/>
              </a:moveTo>
              <a:lnTo>
                <a:pt x="164812" y="12963"/>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rot="7560000">
        <a:off x="2097438" y="3102263"/>
        <a:ext cx="8240" cy="8240"/>
      </dsp:txXfrm>
    </dsp:sp>
    <dsp:sp modelId="{F9ED73FF-E818-4C6C-9F1C-C7155BFF7D5D}">
      <dsp:nvSpPr>
        <dsp:cNvPr id="0" name=""/>
        <dsp:cNvSpPr/>
      </dsp:nvSpPr>
      <dsp:spPr>
        <a:xfrm>
          <a:off x="1408298" y="3095490"/>
          <a:ext cx="812229" cy="812229"/>
        </a:xfrm>
        <a:prstGeom prst="ellipse">
          <a:avLst/>
        </a:prstGeom>
        <a:solidFill>
          <a:schemeClr val="accent3">
            <a:hueOff val="7500176"/>
            <a:satOff val="-11253"/>
            <a:lumOff val="-183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AU" sz="700" kern="1200"/>
            <a:t>Family Counselling and Support Services</a:t>
          </a:r>
        </a:p>
      </dsp:txBody>
      <dsp:txXfrm>
        <a:off x="1408298" y="3095490"/>
        <a:ext cx="812229" cy="812229"/>
      </dsp:txXfrm>
    </dsp:sp>
    <dsp:sp modelId="{B238E4E3-5B86-4A84-AA11-EDF227718167}">
      <dsp:nvSpPr>
        <dsp:cNvPr id="0" name=""/>
        <dsp:cNvSpPr/>
      </dsp:nvSpPr>
      <dsp:spPr>
        <a:xfrm rot="9720000">
          <a:off x="1575883" y="2485196"/>
          <a:ext cx="149219" cy="25927"/>
        </a:xfrm>
        <a:custGeom>
          <a:avLst/>
          <a:gdLst/>
          <a:ahLst/>
          <a:cxnLst/>
          <a:rect l="0" t="0" r="0" b="0"/>
          <a:pathLst>
            <a:path>
              <a:moveTo>
                <a:pt x="0" y="12963"/>
              </a:moveTo>
              <a:lnTo>
                <a:pt x="149219" y="12963"/>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rot="9720000">
        <a:off x="1646763" y="2494430"/>
        <a:ext cx="7460" cy="7460"/>
      </dsp:txXfrm>
    </dsp:sp>
    <dsp:sp modelId="{1E48684E-3ABC-48B3-AE78-FA9EEC6D9DEE}">
      <dsp:nvSpPr>
        <dsp:cNvPr id="0" name=""/>
        <dsp:cNvSpPr/>
      </dsp:nvSpPr>
      <dsp:spPr>
        <a:xfrm>
          <a:off x="787182" y="2240598"/>
          <a:ext cx="812229" cy="812229"/>
        </a:xfrm>
        <a:prstGeom prst="ellipse">
          <a:avLst/>
        </a:prstGeom>
        <a:solidFill>
          <a:schemeClr val="accent3">
            <a:hueOff val="8750205"/>
            <a:satOff val="-13129"/>
            <a:lumOff val="-213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AU" sz="700" kern="1200"/>
            <a:t>Legal Aid Organisations</a:t>
          </a:r>
        </a:p>
      </dsp:txBody>
      <dsp:txXfrm>
        <a:off x="787182" y="2240598"/>
        <a:ext cx="812229" cy="812229"/>
      </dsp:txXfrm>
    </dsp:sp>
    <dsp:sp modelId="{281AC58F-B6DF-4B87-B53F-2BC5466A638B}">
      <dsp:nvSpPr>
        <dsp:cNvPr id="0" name=""/>
        <dsp:cNvSpPr/>
      </dsp:nvSpPr>
      <dsp:spPr>
        <a:xfrm rot="11880000">
          <a:off x="1575883" y="1725595"/>
          <a:ext cx="149219" cy="25927"/>
        </a:xfrm>
        <a:custGeom>
          <a:avLst/>
          <a:gdLst/>
          <a:ahLst/>
          <a:cxnLst/>
          <a:rect l="0" t="0" r="0" b="0"/>
          <a:pathLst>
            <a:path>
              <a:moveTo>
                <a:pt x="0" y="12963"/>
              </a:moveTo>
              <a:lnTo>
                <a:pt x="149219" y="12963"/>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rot="11880000">
        <a:off x="1646763" y="1734828"/>
        <a:ext cx="7460" cy="7460"/>
      </dsp:txXfrm>
    </dsp:sp>
    <dsp:sp modelId="{F5503B97-961D-4DB6-B91B-0F7ED3909618}">
      <dsp:nvSpPr>
        <dsp:cNvPr id="0" name=""/>
        <dsp:cNvSpPr/>
      </dsp:nvSpPr>
      <dsp:spPr>
        <a:xfrm>
          <a:off x="787182" y="1183892"/>
          <a:ext cx="812229" cy="812229"/>
        </a:xfrm>
        <a:prstGeom prst="ellipse">
          <a:avLst/>
        </a:prstGeom>
        <a:solidFill>
          <a:schemeClr val="accent3">
            <a:hueOff val="10000235"/>
            <a:satOff val="-15004"/>
            <a:lumOff val="-244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AU" sz="700" kern="1200"/>
            <a:t>Community Legal Centres</a:t>
          </a:r>
        </a:p>
      </dsp:txBody>
      <dsp:txXfrm>
        <a:off x="787182" y="1183892"/>
        <a:ext cx="812229" cy="812229"/>
      </dsp:txXfrm>
    </dsp:sp>
    <dsp:sp modelId="{FF57C40B-62D1-4123-AABD-F5E29401CDC6}">
      <dsp:nvSpPr>
        <dsp:cNvPr id="0" name=""/>
        <dsp:cNvSpPr/>
      </dsp:nvSpPr>
      <dsp:spPr>
        <a:xfrm rot="14040000">
          <a:off x="2019152" y="1117372"/>
          <a:ext cx="164812" cy="25927"/>
        </a:xfrm>
        <a:custGeom>
          <a:avLst/>
          <a:gdLst/>
          <a:ahLst/>
          <a:cxnLst/>
          <a:rect l="0" t="0" r="0" b="0"/>
          <a:pathLst>
            <a:path>
              <a:moveTo>
                <a:pt x="0" y="12963"/>
              </a:moveTo>
              <a:lnTo>
                <a:pt x="164812" y="12963"/>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rot="14040000">
        <a:off x="2097438" y="1126216"/>
        <a:ext cx="8240" cy="8240"/>
      </dsp:txXfrm>
    </dsp:sp>
    <dsp:sp modelId="{539ECCE7-49A1-4569-AE78-A7E97F33CC20}">
      <dsp:nvSpPr>
        <dsp:cNvPr id="0" name=""/>
        <dsp:cNvSpPr/>
      </dsp:nvSpPr>
      <dsp:spPr>
        <a:xfrm>
          <a:off x="1408298" y="328999"/>
          <a:ext cx="812229" cy="812229"/>
        </a:xfrm>
        <a:prstGeom prst="ellipse">
          <a:avLst/>
        </a:prstGeom>
        <a:solidFill>
          <a:schemeClr val="accent3">
            <a:hueOff val="11250264"/>
            <a:satOff val="-16880"/>
            <a:lumOff val="-274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AU" sz="700" kern="1200"/>
            <a:t>Family Violence Support Services </a:t>
          </a:r>
        </a:p>
      </dsp:txBody>
      <dsp:txXfrm>
        <a:off x="1408298" y="328999"/>
        <a:ext cx="812229" cy="812229"/>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5E56862-2403-40CB-821B-5ADADEA47412}">
      <dsp:nvSpPr>
        <dsp:cNvPr id="0" name=""/>
        <dsp:cNvSpPr/>
      </dsp:nvSpPr>
      <dsp:spPr>
        <a:xfrm>
          <a:off x="602836" y="140551"/>
          <a:ext cx="1489598" cy="495013"/>
        </a:xfrm>
        <a:prstGeom prst="ellipse">
          <a:avLst/>
        </a:prstGeom>
        <a:solidFill>
          <a:schemeClr val="lt1">
            <a:hueOff val="0"/>
            <a:satOff val="0"/>
            <a:lumOff val="0"/>
            <a:alphaOff val="0"/>
          </a:schemeClr>
        </a:solidFill>
        <a:ln w="19050" cap="flat" cmpd="sng" algn="ctr">
          <a:solidFill>
            <a:schemeClr val="accent5">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AU" sz="1000" kern="1200"/>
            <a:t>Financial effect of the family law system</a:t>
          </a:r>
        </a:p>
      </dsp:txBody>
      <dsp:txXfrm>
        <a:off x="602836" y="140551"/>
        <a:ext cx="1489598" cy="495013"/>
      </dsp:txXfrm>
    </dsp:sp>
    <dsp:sp modelId="{873E9B63-CA1A-4A4C-87BB-1AD6148CF5FC}">
      <dsp:nvSpPr>
        <dsp:cNvPr id="0" name=""/>
        <dsp:cNvSpPr/>
      </dsp:nvSpPr>
      <dsp:spPr>
        <a:xfrm>
          <a:off x="1142418" y="693026"/>
          <a:ext cx="410435" cy="410435"/>
        </a:xfrm>
        <a:prstGeom prst="mathPlus">
          <a:avLst/>
        </a:prstGeom>
        <a:solidFill>
          <a:schemeClr val="accent5">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AU" sz="600" kern="1200"/>
        </a:p>
      </dsp:txBody>
      <dsp:txXfrm>
        <a:off x="1142418" y="693026"/>
        <a:ext cx="410435" cy="410435"/>
      </dsp:txXfrm>
    </dsp:sp>
    <dsp:sp modelId="{0D600C19-8B98-48B4-8952-4213D096C8DB}">
      <dsp:nvSpPr>
        <dsp:cNvPr id="0" name=""/>
        <dsp:cNvSpPr/>
      </dsp:nvSpPr>
      <dsp:spPr>
        <a:xfrm>
          <a:off x="324" y="1160923"/>
          <a:ext cx="2694623" cy="1100095"/>
        </a:xfrm>
        <a:prstGeom prst="ellipse">
          <a:avLst/>
        </a:prstGeom>
        <a:solidFill>
          <a:schemeClr val="lt1">
            <a:hueOff val="0"/>
            <a:satOff val="0"/>
            <a:lumOff val="0"/>
            <a:alphaOff val="0"/>
          </a:schemeClr>
        </a:solidFill>
        <a:ln w="19050" cap="flat" cmpd="sng" algn="ctr">
          <a:solidFill>
            <a:schemeClr val="accent5">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AU" sz="1100" kern="1200"/>
            <a:t>Financial effect of arrangements </a:t>
          </a:r>
          <a:r>
            <a:rPr lang="en-AU" sz="1100" i="1" kern="1200"/>
            <a:t>outside</a:t>
          </a:r>
          <a:r>
            <a:rPr lang="en-AU" sz="1100" kern="1200"/>
            <a:t> the family law system</a:t>
          </a:r>
        </a:p>
      </dsp:txBody>
      <dsp:txXfrm>
        <a:off x="324" y="1160923"/>
        <a:ext cx="2694623" cy="1100095"/>
      </dsp:txXfrm>
    </dsp:sp>
    <dsp:sp modelId="{A70283DA-06CA-49D2-BB54-6E32BACD103E}">
      <dsp:nvSpPr>
        <dsp:cNvPr id="0" name=""/>
        <dsp:cNvSpPr/>
      </dsp:nvSpPr>
      <dsp:spPr>
        <a:xfrm>
          <a:off x="2284200" y="831196"/>
          <a:ext cx="788516" cy="263244"/>
        </a:xfrm>
        <a:prstGeom prst="rightArrow">
          <a:avLst>
            <a:gd name="adj1" fmla="val 60000"/>
            <a:gd name="adj2" fmla="val 50000"/>
          </a:avLst>
        </a:prstGeom>
        <a:solidFill>
          <a:schemeClr val="accent5">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AU" sz="1100" kern="1200"/>
        </a:p>
      </dsp:txBody>
      <dsp:txXfrm>
        <a:off x="2284200" y="831196"/>
        <a:ext cx="788516" cy="263244"/>
      </dsp:txXfrm>
    </dsp:sp>
    <dsp:sp modelId="{18AC78D1-11A6-43A2-A71D-2614E166FDE9}">
      <dsp:nvSpPr>
        <dsp:cNvPr id="0" name=""/>
        <dsp:cNvSpPr/>
      </dsp:nvSpPr>
      <dsp:spPr>
        <a:xfrm>
          <a:off x="3119536" y="367826"/>
          <a:ext cx="2380187" cy="1665916"/>
        </a:xfrm>
        <a:prstGeom prst="ellipse">
          <a:avLst/>
        </a:prstGeom>
        <a:solidFill>
          <a:schemeClr val="lt1">
            <a:hueOff val="0"/>
            <a:satOff val="0"/>
            <a:lumOff val="0"/>
            <a:alphaOff val="0"/>
          </a:schemeClr>
        </a:solidFill>
        <a:ln w="19050" cap="flat" cmpd="sng" algn="ctr">
          <a:solidFill>
            <a:schemeClr val="accent5">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AU" sz="1600" kern="1200"/>
            <a:t>Financial disadvantage disproportionately to sole / primary Mother carers.</a:t>
          </a:r>
        </a:p>
      </dsp:txBody>
      <dsp:txXfrm>
        <a:off x="3119536" y="367826"/>
        <a:ext cx="2380187" cy="1665916"/>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475C7-FAC1-4083-AD7E-92965EE43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17798</Words>
  <Characters>101454</Characters>
  <Application>Microsoft Office Word</Application>
  <DocSecurity>0</DocSecurity>
  <Lines>845</Lines>
  <Paragraphs>238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2018-05-04T03:38:00Z</dcterms:created>
  <dcterms:modified xsi:type="dcterms:W3CDTF">2018-05-04T03:38:00Z</dcterms:modified>
</cp:coreProperties>
</file>