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DE" w:rsidRPr="002F1AA2" w:rsidRDefault="001D73DE" w:rsidP="001D73DE">
      <w:pPr>
        <w:jc w:val="center"/>
        <w:rPr>
          <w:b/>
          <w:lang/>
        </w:rPr>
      </w:pPr>
      <w:r w:rsidRPr="002F1AA2">
        <w:rPr>
          <w:b/>
          <w:lang/>
        </w:rPr>
        <w:t>Submission to the Australian Law Reform Commission’s Review of the Family Law System</w:t>
      </w:r>
    </w:p>
    <w:p w:rsidR="001D73DE" w:rsidRPr="002F1AA2" w:rsidRDefault="001D73DE" w:rsidP="001D73DE">
      <w:pPr>
        <w:jc w:val="center"/>
        <w:rPr>
          <w:b/>
          <w:lang/>
        </w:rPr>
      </w:pPr>
      <w:r w:rsidRPr="002F1AA2">
        <w:rPr>
          <w:b/>
          <w:lang/>
        </w:rPr>
        <w:t xml:space="preserve">Professor Belinda </w:t>
      </w:r>
      <w:proofErr w:type="spellStart"/>
      <w:r w:rsidRPr="002F1AA2">
        <w:rPr>
          <w:b/>
          <w:lang/>
        </w:rPr>
        <w:t>Fehlberg</w:t>
      </w:r>
      <w:proofErr w:type="spellEnd"/>
      <w:r w:rsidRPr="002F1AA2">
        <w:rPr>
          <w:b/>
          <w:lang/>
        </w:rPr>
        <w:t xml:space="preserve">, Ms Lisa </w:t>
      </w:r>
      <w:proofErr w:type="spellStart"/>
      <w:r w:rsidRPr="002F1AA2">
        <w:rPr>
          <w:b/>
          <w:lang/>
        </w:rPr>
        <w:t>Sarmas</w:t>
      </w:r>
      <w:proofErr w:type="spellEnd"/>
      <w:r w:rsidRPr="002F1AA2">
        <w:rPr>
          <w:b/>
          <w:lang/>
        </w:rPr>
        <w:t xml:space="preserve"> and Professor Jenny Morgan</w:t>
      </w:r>
    </w:p>
    <w:p w:rsidR="001D73DE" w:rsidRPr="002F1AA2" w:rsidRDefault="001D73DE" w:rsidP="001D73DE">
      <w:pPr>
        <w:jc w:val="center"/>
        <w:rPr>
          <w:b/>
        </w:rPr>
      </w:pPr>
      <w:r w:rsidRPr="002F1AA2">
        <w:rPr>
          <w:b/>
          <w:lang/>
        </w:rPr>
        <w:t>Melbourne Law School</w:t>
      </w:r>
    </w:p>
    <w:p w:rsidR="001D73DE" w:rsidRPr="002F1AA2" w:rsidRDefault="001D73DE" w:rsidP="001D73DE">
      <w:r w:rsidRPr="002F1AA2">
        <w:t>We welcome the Federal Government’s ongoing concern regarding how Australia’s family law system can be improved, and its referral of this</w:t>
      </w:r>
      <w:r w:rsidR="00337159" w:rsidRPr="002F1AA2">
        <w:t xml:space="preserve"> I</w:t>
      </w:r>
      <w:r w:rsidRPr="002F1AA2">
        <w:t>nquiry to the Australian Law Reform Commission.</w:t>
      </w:r>
    </w:p>
    <w:p w:rsidR="001E3AF8" w:rsidRPr="002F1AA2" w:rsidRDefault="001D73DE" w:rsidP="001D73DE">
      <w:r w:rsidRPr="002F1AA2">
        <w:t xml:space="preserve">The </w:t>
      </w:r>
      <w:r w:rsidR="001E3AF8" w:rsidRPr="002F1AA2">
        <w:t xml:space="preserve">Inquiry’s Terms of Reference are understandably </w:t>
      </w:r>
      <w:r w:rsidRPr="002F1AA2">
        <w:t>wide-</w:t>
      </w:r>
      <w:r w:rsidR="001E3AF8" w:rsidRPr="002F1AA2">
        <w:t>ranging</w:t>
      </w:r>
      <w:r w:rsidR="003A103C" w:rsidRPr="002F1AA2">
        <w:t>. G</w:t>
      </w:r>
      <w:r w:rsidRPr="002F1AA2">
        <w:t xml:space="preserve">iven our preference for evidence-based reform, we focus in our submission on </w:t>
      </w:r>
      <w:r w:rsidR="006F7C0A" w:rsidRPr="002F1AA2">
        <w:t>two areas of our</w:t>
      </w:r>
      <w:r w:rsidRPr="002F1AA2">
        <w:t xml:space="preserve"> recent research</w:t>
      </w:r>
      <w:r w:rsidR="009A11B8" w:rsidRPr="002F1AA2">
        <w:t xml:space="preserve"> of </w:t>
      </w:r>
      <w:r w:rsidR="006F7C0A" w:rsidRPr="002F1AA2">
        <w:t>relevance to the Inquiry</w:t>
      </w:r>
      <w:r w:rsidRPr="002F1AA2">
        <w:t xml:space="preserve">, namely: </w:t>
      </w:r>
    </w:p>
    <w:p w:rsidR="001E3AF8" w:rsidRPr="002F1AA2" w:rsidRDefault="001E3AF8" w:rsidP="001E3AF8">
      <w:pPr>
        <w:pStyle w:val="ListParagraph"/>
        <w:numPr>
          <w:ilvl w:val="0"/>
          <w:numId w:val="1"/>
        </w:numPr>
      </w:pPr>
      <w:r w:rsidRPr="002F1AA2">
        <w:t>T</w:t>
      </w:r>
      <w:r w:rsidR="001D73DE" w:rsidRPr="002F1AA2">
        <w:t xml:space="preserve">he influence of formal equality – and more specifically, formal gender equality (that is, treating men and women the same) – in central areas of major Australian family law reform over the past 20 years, </w:t>
      </w:r>
      <w:r w:rsidR="000F1507">
        <w:t xml:space="preserve">and its </w:t>
      </w:r>
      <w:r w:rsidR="009F739B">
        <w:t xml:space="preserve">negative </w:t>
      </w:r>
      <w:r w:rsidR="000F1507">
        <w:t xml:space="preserve">impact on vulnerable women and their dependent children, </w:t>
      </w:r>
      <w:r w:rsidR="001D73DE" w:rsidRPr="002F1AA2">
        <w:t xml:space="preserve">and </w:t>
      </w:r>
    </w:p>
    <w:p w:rsidR="001B2334" w:rsidRPr="002F1AA2" w:rsidRDefault="001E3AF8" w:rsidP="001E3AF8">
      <w:pPr>
        <w:pStyle w:val="ListParagraph"/>
        <w:numPr>
          <w:ilvl w:val="0"/>
          <w:numId w:val="1"/>
        </w:numPr>
      </w:pPr>
      <w:r w:rsidRPr="002F1AA2">
        <w:t>E</w:t>
      </w:r>
      <w:r w:rsidR="001B2334" w:rsidRPr="002F1AA2">
        <w:t xml:space="preserve">xamination of possible change to the broad discretion under </w:t>
      </w:r>
      <w:r w:rsidR="001B2334" w:rsidRPr="002F1AA2">
        <w:rPr>
          <w:i/>
        </w:rPr>
        <w:t>Australia’s Family Law Act</w:t>
      </w:r>
      <w:r w:rsidR="001B2334" w:rsidRPr="002F1AA2">
        <w:t xml:space="preserve"> 1975 (</w:t>
      </w:r>
      <w:proofErr w:type="spellStart"/>
      <w:r w:rsidR="001B2334" w:rsidRPr="002F1AA2">
        <w:t>Cth</w:t>
      </w:r>
      <w:proofErr w:type="spellEnd"/>
      <w:r w:rsidR="001B2334" w:rsidRPr="002F1AA2">
        <w:t>) (FLA) to reallocate interests in property of spouses and separating de facto partners,</w:t>
      </w:r>
      <w:r w:rsidR="00337159" w:rsidRPr="002F1AA2">
        <w:t xml:space="preserve"> to better address</w:t>
      </w:r>
      <w:r w:rsidR="001B2334" w:rsidRPr="002F1AA2">
        <w:t xml:space="preserve"> </w:t>
      </w:r>
      <w:r w:rsidR="00337159" w:rsidRPr="002F1AA2">
        <w:t xml:space="preserve">the </w:t>
      </w:r>
      <w:r w:rsidR="001B2334" w:rsidRPr="002F1AA2">
        <w:t xml:space="preserve">consistent empirical research finding that women, particularly mothers with dependent children, experience significant economic disadvantage post-separation. </w:t>
      </w:r>
    </w:p>
    <w:p w:rsidR="001D73DE" w:rsidRPr="002F1AA2" w:rsidRDefault="001B2334" w:rsidP="001D73DE">
      <w:r w:rsidRPr="002F1AA2">
        <w:t>B</w:t>
      </w:r>
      <w:r w:rsidR="001E3AF8" w:rsidRPr="002F1AA2">
        <w:t>oth</w:t>
      </w:r>
      <w:r w:rsidRPr="002F1AA2">
        <w:t xml:space="preserve"> projects have r</w:t>
      </w:r>
      <w:r w:rsidR="001E3AF8" w:rsidRPr="002F1AA2">
        <w:t>esulted in fully-written papers</w:t>
      </w:r>
      <w:r w:rsidR="00647FC3" w:rsidRPr="002F1AA2">
        <w:t>, available on request to the ALRC</w:t>
      </w:r>
      <w:r w:rsidR="001E3AF8" w:rsidRPr="002F1AA2">
        <w:t>.</w:t>
      </w:r>
      <w:r w:rsidRPr="002F1AA2">
        <w:t xml:space="preserve"> </w:t>
      </w:r>
      <w:r w:rsidR="001E3AF8" w:rsidRPr="002F1AA2">
        <w:t>T</w:t>
      </w:r>
      <w:r w:rsidRPr="002F1AA2">
        <w:t xml:space="preserve">he first </w:t>
      </w:r>
      <w:r w:rsidR="001E3AF8" w:rsidRPr="002F1AA2">
        <w:t xml:space="preserve">is </w:t>
      </w:r>
      <w:r w:rsidR="009A11B8" w:rsidRPr="002F1AA2">
        <w:t>under review. T</w:t>
      </w:r>
      <w:r w:rsidRPr="002F1AA2">
        <w:t xml:space="preserve">he second </w:t>
      </w:r>
      <w:r w:rsidR="001E3AF8" w:rsidRPr="002F1AA2">
        <w:t xml:space="preserve">is </w:t>
      </w:r>
      <w:r w:rsidR="009A11B8" w:rsidRPr="002F1AA2">
        <w:t>forthcoming</w:t>
      </w:r>
      <w:r w:rsidRPr="002F1AA2">
        <w:t xml:space="preserve"> </w:t>
      </w:r>
      <w:r w:rsidR="001E3AF8" w:rsidRPr="002F1AA2">
        <w:t xml:space="preserve">in (2018) </w:t>
      </w:r>
      <w:r w:rsidR="00647FC3" w:rsidRPr="002F1AA2">
        <w:t>31(2)</w:t>
      </w:r>
      <w:r w:rsidRPr="002F1AA2">
        <w:t xml:space="preserve"> AJFL and in shor</w:t>
      </w:r>
      <w:r w:rsidR="00647FC3" w:rsidRPr="002F1AA2">
        <w:t>ter form in</w:t>
      </w:r>
      <w:r w:rsidRPr="002F1AA2">
        <w:t xml:space="preserve"> </w:t>
      </w:r>
      <w:r w:rsidRPr="002F1AA2">
        <w:rPr>
          <w:i/>
        </w:rPr>
        <w:t>The Cambridge Companion to Comparative Family Law</w:t>
      </w:r>
      <w:r w:rsidRPr="002F1AA2">
        <w:t xml:space="preserve"> (</w:t>
      </w:r>
      <w:r w:rsidR="009A11B8" w:rsidRPr="002F1AA2">
        <w:t xml:space="preserve">S </w:t>
      </w:r>
      <w:proofErr w:type="spellStart"/>
      <w:r w:rsidR="009A11B8" w:rsidRPr="002F1AA2">
        <w:t>Choudry</w:t>
      </w:r>
      <w:proofErr w:type="spellEnd"/>
      <w:r w:rsidR="009A11B8" w:rsidRPr="002F1AA2">
        <w:t xml:space="preserve"> and J</w:t>
      </w:r>
      <w:r w:rsidRPr="002F1AA2">
        <w:t xml:space="preserve"> Herring (</w:t>
      </w:r>
      <w:proofErr w:type="spellStart"/>
      <w:proofErr w:type="gramStart"/>
      <w:r w:rsidRPr="002F1AA2">
        <w:t>eds</w:t>
      </w:r>
      <w:proofErr w:type="spellEnd"/>
      <w:proofErr w:type="gramEnd"/>
      <w:r w:rsidRPr="002F1AA2">
        <w:t>),</w:t>
      </w:r>
      <w:r w:rsidR="009A11B8" w:rsidRPr="002F1AA2">
        <w:t xml:space="preserve"> CUP</w:t>
      </w:r>
      <w:r w:rsidR="00A57757" w:rsidRPr="002F1AA2">
        <w:t>, 2018</w:t>
      </w:r>
      <w:r w:rsidRPr="002F1AA2">
        <w:t>).</w:t>
      </w:r>
    </w:p>
    <w:p w:rsidR="00647FC3" w:rsidRPr="002F1AA2" w:rsidRDefault="00647FC3" w:rsidP="00647FC3">
      <w:pPr>
        <w:pStyle w:val="ListParagraph"/>
        <w:numPr>
          <w:ilvl w:val="0"/>
          <w:numId w:val="2"/>
        </w:numPr>
        <w:rPr>
          <w:b/>
        </w:rPr>
      </w:pPr>
      <w:r w:rsidRPr="002F1AA2">
        <w:rPr>
          <w:b/>
        </w:rPr>
        <w:t>The influence of formal equality on Australian family property reform</w:t>
      </w:r>
    </w:p>
    <w:p w:rsidR="00647FC3" w:rsidRPr="002F1AA2" w:rsidRDefault="003A103C" w:rsidP="00647FC3">
      <w:r w:rsidRPr="002F1AA2">
        <w:t>The genesis of this paper was our view that,</w:t>
      </w:r>
      <w:r w:rsidR="00647FC3" w:rsidRPr="002F1AA2">
        <w:t xml:space="preserve"> at a time when Australia is once again contemplating family law reform, </w:t>
      </w:r>
      <w:r w:rsidR="00337159" w:rsidRPr="002F1AA2">
        <w:t>there is</w:t>
      </w:r>
      <w:r w:rsidRPr="002F1AA2">
        <w:t xml:space="preserve"> </w:t>
      </w:r>
      <w:r w:rsidR="00647FC3" w:rsidRPr="002F1AA2">
        <w:t>significant value in revisiting past reform initiatives and patterns. Doing so offers a longer-term perspective regarding the evolution of our law, the interests at play in its amendment, and the impacts of amendment on vulnerable parties within the family law system</w:t>
      </w:r>
      <w:r w:rsidR="0031074F">
        <w:t>,</w:t>
      </w:r>
      <w:r w:rsidR="00647FC3" w:rsidRPr="002F1AA2">
        <w:t xml:space="preserve"> </w:t>
      </w:r>
      <w:r w:rsidR="0031074F">
        <w:t xml:space="preserve">who are </w:t>
      </w:r>
      <w:r w:rsidR="00647FC3" w:rsidRPr="002F1AA2">
        <w:t>most commonly women and their dependent children, due to the greater likelihood that they will experience family violence and abuse, and post-separation economic disadvantage.</w:t>
      </w:r>
      <w:r w:rsidR="00647FC3" w:rsidRPr="002F1AA2">
        <w:rPr>
          <w:rStyle w:val="FootnoteReference"/>
        </w:rPr>
        <w:footnoteReference w:id="1"/>
      </w:r>
      <w:r w:rsidR="00647FC3" w:rsidRPr="002F1AA2">
        <w:t xml:space="preserve"> Re-acquainting ourselves with what has happened in the past places us in a stronger position to formulate legislative change that will better protect their interests.  </w:t>
      </w:r>
    </w:p>
    <w:p w:rsidR="00647FC3" w:rsidRPr="002F1AA2" w:rsidRDefault="003A103C" w:rsidP="00647FC3">
      <w:r w:rsidRPr="002F1AA2">
        <w:t>The premise for our</w:t>
      </w:r>
      <w:r w:rsidR="00647FC3" w:rsidRPr="002F1AA2">
        <w:t xml:space="preserve"> paper is that formal equality – and more specifically, formal gender equality – has had significant influence in Australian family law changes over the past 20 ye</w:t>
      </w:r>
      <w:r w:rsidR="00A57757" w:rsidRPr="002F1AA2">
        <w:t xml:space="preserve">ars. </w:t>
      </w:r>
      <w:r w:rsidR="00647FC3" w:rsidRPr="002F1AA2">
        <w:t xml:space="preserve">Despite its apparent benefits of simplicity and fairness, </w:t>
      </w:r>
      <w:r w:rsidRPr="002F1AA2">
        <w:t>our concern is</w:t>
      </w:r>
      <w:r w:rsidR="00647FC3" w:rsidRPr="002F1AA2">
        <w:t xml:space="preserve"> that formal equality has not served the interests of vulnerable women and their dependent children well in Australian family law </w:t>
      </w:r>
      <w:r w:rsidR="003737B6">
        <w:t>amendment</w:t>
      </w:r>
      <w:r w:rsidR="00647FC3" w:rsidRPr="002F1AA2">
        <w:t xml:space="preserve">. </w:t>
      </w:r>
      <w:r w:rsidR="00497676">
        <w:t>This is because change based on formal equality is invariably underpinned by a male standard</w:t>
      </w:r>
      <w:r w:rsidR="008C79AE">
        <w:t xml:space="preserve"> that</w:t>
      </w:r>
      <w:r w:rsidR="0031074F">
        <w:t xml:space="preserve"> </w:t>
      </w:r>
      <w:r w:rsidR="008C79AE">
        <w:t xml:space="preserve">assumes an equal starting point </w:t>
      </w:r>
      <w:r w:rsidR="00660AA4">
        <w:t xml:space="preserve">and </w:t>
      </w:r>
      <w:r w:rsidR="00497676">
        <w:t>does not take sufficient account of the</w:t>
      </w:r>
      <w:r w:rsidR="007A5924">
        <w:t xml:space="preserve"> specific interests</w:t>
      </w:r>
      <w:r w:rsidR="00497676">
        <w:t xml:space="preserve"> of </w:t>
      </w:r>
      <w:r w:rsidR="009F739B">
        <w:t xml:space="preserve">vulnerable </w:t>
      </w:r>
      <w:r w:rsidR="00497676">
        <w:t>women and children.</w:t>
      </w:r>
    </w:p>
    <w:p w:rsidR="00497676" w:rsidRDefault="00E67981" w:rsidP="00497676">
      <w:r w:rsidRPr="002F1AA2">
        <w:lastRenderedPageBreak/>
        <w:t xml:space="preserve">Our </w:t>
      </w:r>
      <w:proofErr w:type="gramStart"/>
      <w:r w:rsidRPr="002F1AA2">
        <w:t xml:space="preserve">paper </w:t>
      </w:r>
      <w:r w:rsidR="009F739B">
        <w:t xml:space="preserve"> begins</w:t>
      </w:r>
      <w:proofErr w:type="gramEnd"/>
      <w:r w:rsidR="009F739B">
        <w:t xml:space="preserve"> where </w:t>
      </w:r>
      <w:proofErr w:type="spellStart"/>
      <w:r w:rsidR="00ED5238" w:rsidRPr="002F1AA2">
        <w:t>Reg</w:t>
      </w:r>
      <w:proofErr w:type="spellEnd"/>
      <w:r w:rsidR="00ED5238" w:rsidRPr="002F1AA2">
        <w:t xml:space="preserve"> </w:t>
      </w:r>
      <w:proofErr w:type="spellStart"/>
      <w:r w:rsidR="00ED5238" w:rsidRPr="002F1AA2">
        <w:t>Graycar</w:t>
      </w:r>
      <w:proofErr w:type="spellEnd"/>
      <w:r w:rsidR="00ED5238" w:rsidRPr="002F1AA2">
        <w:t xml:space="preserve"> and Jenny Morgan</w:t>
      </w:r>
      <w:r w:rsidR="00120B41" w:rsidRPr="002F1AA2">
        <w:t>’s</w:t>
      </w:r>
      <w:r w:rsidR="009F739B">
        <w:t xml:space="preserve">  analysis</w:t>
      </w:r>
      <w:r w:rsidR="004F446C" w:rsidRPr="002F1AA2">
        <w:t xml:space="preserve"> </w:t>
      </w:r>
      <w:r w:rsidR="009F739B">
        <w:t xml:space="preserve">of </w:t>
      </w:r>
      <w:r w:rsidR="004F446C" w:rsidRPr="002F1AA2">
        <w:t>family law amendment</w:t>
      </w:r>
      <w:r w:rsidR="00ED5238" w:rsidRPr="002F1AA2">
        <w:t xml:space="preserve"> </w:t>
      </w:r>
      <w:r w:rsidR="004F446C" w:rsidRPr="002F1AA2">
        <w:t xml:space="preserve">from 1975 to </w:t>
      </w:r>
      <w:r w:rsidR="009F739B">
        <w:t>2004</w:t>
      </w:r>
      <w:r w:rsidR="009F739B" w:rsidRPr="002F1AA2">
        <w:rPr>
          <w:rStyle w:val="FootnoteReference"/>
        </w:rPr>
        <w:footnoteReference w:id="2"/>
      </w:r>
      <w:r w:rsidR="0031074F">
        <w:t xml:space="preserve"> ended. That analysis led </w:t>
      </w:r>
      <w:proofErr w:type="spellStart"/>
      <w:r w:rsidR="0031074F">
        <w:t>Graycar</w:t>
      </w:r>
      <w:proofErr w:type="spellEnd"/>
      <w:r w:rsidR="0031074F">
        <w:t xml:space="preserve"> and Morgan</w:t>
      </w:r>
      <w:r w:rsidR="009F739B">
        <w:t xml:space="preserve"> </w:t>
      </w:r>
      <w:r w:rsidR="0031074F">
        <w:t>to conclude that amendment over that time</w:t>
      </w:r>
      <w:r w:rsidR="003737B6">
        <w:t>frame</w:t>
      </w:r>
      <w:r w:rsidR="009F739B">
        <w:t xml:space="preserve"> </w:t>
      </w:r>
      <w:r w:rsidR="004F446C" w:rsidRPr="002F1AA2">
        <w:t xml:space="preserve">had increasingly </w:t>
      </w:r>
      <w:r w:rsidR="00ED5238" w:rsidRPr="002F1AA2">
        <w:t>‘</w:t>
      </w:r>
      <w:proofErr w:type="gramStart"/>
      <w:r w:rsidR="00ED5238" w:rsidRPr="002F1AA2">
        <w:t>demonstrate[</w:t>
      </w:r>
      <w:proofErr w:type="gramEnd"/>
      <w:r w:rsidR="00ED5238" w:rsidRPr="002F1AA2">
        <w:t>d] the Australian commitment to formal equality and gender neutrality’.</w:t>
      </w:r>
      <w:r w:rsidR="00ED5238" w:rsidRPr="002F1AA2">
        <w:rPr>
          <w:rStyle w:val="FootnoteReference"/>
        </w:rPr>
        <w:footnoteReference w:id="3"/>
      </w:r>
      <w:r w:rsidR="00ED5238" w:rsidRPr="002F1AA2">
        <w:t xml:space="preserve"> Our </w:t>
      </w:r>
      <w:r w:rsidR="009D1860" w:rsidRPr="002F1AA2">
        <w:t xml:space="preserve">detailed </w:t>
      </w:r>
      <w:r w:rsidR="00ED5238" w:rsidRPr="002F1AA2">
        <w:t xml:space="preserve">analysis of major family law amendments from </w:t>
      </w:r>
      <w:proofErr w:type="gramStart"/>
      <w:r w:rsidR="00ED5238" w:rsidRPr="002F1AA2">
        <w:t>2004  to</w:t>
      </w:r>
      <w:proofErr w:type="gramEnd"/>
      <w:r w:rsidR="00ED5238" w:rsidRPr="002F1AA2">
        <w:t xml:space="preserve"> the present in the areas of parenting, child support and binding financial agreements</w:t>
      </w:r>
      <w:r w:rsidR="009D1860" w:rsidRPr="002F1AA2">
        <w:t xml:space="preserve"> </w:t>
      </w:r>
      <w:r w:rsidR="00ED5238" w:rsidRPr="002F1AA2">
        <w:t xml:space="preserve">indicates an overall continuation and strengthening of the formal gender equality theme they identified, to the cost of </w:t>
      </w:r>
      <w:r w:rsidR="009F739B">
        <w:t xml:space="preserve">vulnerable </w:t>
      </w:r>
      <w:r w:rsidR="00ED5238" w:rsidRPr="002F1AA2">
        <w:t>women and their dependent children</w:t>
      </w:r>
      <w:r w:rsidR="00ED5238" w:rsidRPr="00497676">
        <w:t>.</w:t>
      </w:r>
      <w:r w:rsidR="00120B41" w:rsidRPr="00497676">
        <w:t xml:space="preserve"> </w:t>
      </w:r>
    </w:p>
    <w:p w:rsidR="00497676" w:rsidRPr="00B56C4B" w:rsidRDefault="00497676" w:rsidP="00647FC3">
      <w:pPr>
        <w:rPr>
          <w:rFonts w:ascii="Calibri" w:eastAsia="Calibri" w:hAnsi="Calibri" w:cs="Times New Roman"/>
          <w:sz w:val="24"/>
          <w:szCs w:val="24"/>
        </w:rPr>
      </w:pPr>
      <w:r w:rsidRPr="00497676">
        <w:t>For example</w:t>
      </w:r>
      <w:r w:rsidR="0031074F">
        <w:t>, although</w:t>
      </w:r>
      <w:r w:rsidRPr="00B56C4B">
        <w:rPr>
          <w:rFonts w:ascii="Calibri" w:eastAsia="Calibri" w:hAnsi="Calibri" w:cs="Times New Roman"/>
        </w:rPr>
        <w:t xml:space="preserve"> the FLA has remained on its face a gender-neutral legislative scheme</w:t>
      </w:r>
      <w:r w:rsidR="0031074F">
        <w:rPr>
          <w:rFonts w:ascii="Calibri" w:eastAsia="Calibri" w:hAnsi="Calibri" w:cs="Times New Roman"/>
        </w:rPr>
        <w:t xml:space="preserve"> and</w:t>
      </w:r>
      <w:r w:rsidRPr="00B56C4B">
        <w:rPr>
          <w:rFonts w:ascii="Calibri" w:eastAsia="Calibri" w:hAnsi="Calibri" w:cs="Times New Roman"/>
        </w:rPr>
        <w:t xml:space="preserve"> </w:t>
      </w:r>
      <w:r w:rsidR="0031074F">
        <w:rPr>
          <w:rFonts w:ascii="Calibri" w:eastAsia="Calibri" w:hAnsi="Calibri" w:cs="Times New Roman"/>
        </w:rPr>
        <w:t xml:space="preserve">for parenting disputes </w:t>
      </w:r>
      <w:r w:rsidRPr="00B56C4B">
        <w:rPr>
          <w:rFonts w:ascii="Calibri" w:eastAsia="Calibri" w:hAnsi="Calibri" w:cs="Times New Roman"/>
        </w:rPr>
        <w:t xml:space="preserve">the principle </w:t>
      </w:r>
      <w:r w:rsidR="0031074F">
        <w:rPr>
          <w:rFonts w:ascii="Calibri" w:eastAsia="Calibri" w:hAnsi="Calibri" w:cs="Times New Roman"/>
        </w:rPr>
        <w:t xml:space="preserve">remains </w:t>
      </w:r>
      <w:r w:rsidRPr="00B56C4B">
        <w:rPr>
          <w:rFonts w:ascii="Calibri" w:eastAsia="Calibri" w:hAnsi="Calibri" w:cs="Times New Roman"/>
        </w:rPr>
        <w:t>that ‘the best interests of the child [are] the paramount consideration’,</w:t>
      </w:r>
      <w:r w:rsidRPr="00B56C4B">
        <w:rPr>
          <w:rFonts w:ascii="Calibri" w:eastAsia="Calibri" w:hAnsi="Calibri" w:cs="Times New Roman"/>
          <w:vertAlign w:val="superscript"/>
        </w:rPr>
        <w:footnoteReference w:id="4"/>
      </w:r>
      <w:r w:rsidRPr="00B56C4B">
        <w:rPr>
          <w:rFonts w:ascii="Calibri" w:eastAsia="Calibri" w:hAnsi="Calibri" w:cs="Times New Roman"/>
        </w:rPr>
        <w:t xml:space="preserve"> </w:t>
      </w:r>
      <w:r w:rsidR="003737B6">
        <w:rPr>
          <w:rFonts w:ascii="Calibri" w:eastAsia="Calibri" w:hAnsi="Calibri" w:cs="Times New Roman"/>
        </w:rPr>
        <w:t xml:space="preserve">substantive law and process </w:t>
      </w:r>
      <w:r w:rsidR="0031074F">
        <w:rPr>
          <w:rFonts w:ascii="Calibri" w:eastAsia="Calibri" w:hAnsi="Calibri" w:cs="Times New Roman"/>
        </w:rPr>
        <w:t>amendments</w:t>
      </w:r>
      <w:r w:rsidR="003737B6">
        <w:rPr>
          <w:rFonts w:ascii="Calibri" w:eastAsia="Calibri" w:hAnsi="Calibri" w:cs="Times New Roman"/>
        </w:rPr>
        <w:t xml:space="preserve"> in 2006 (‘the 2006 amendments’) </w:t>
      </w:r>
      <w:r w:rsidRPr="00B56C4B">
        <w:rPr>
          <w:rFonts w:ascii="Calibri" w:eastAsia="Calibri" w:hAnsi="Calibri" w:cs="Times New Roman"/>
        </w:rPr>
        <w:t>included a distinct shift away from an open-ended ‘best interests’ approach to a more directive approach that encourages shared parenting outcomes (regarding both decision-making on major issues and time). This was done mainly through the introduction of a legislative presumption of equal shared parental responsibility, and a linked requirement that if such orders are made the court must consider ordering shared time.</w:t>
      </w:r>
      <w:r w:rsidRPr="00B56C4B">
        <w:rPr>
          <w:rFonts w:ascii="Calibri" w:eastAsia="Calibri" w:hAnsi="Calibri" w:cs="Times New Roman"/>
          <w:vertAlign w:val="superscript"/>
        </w:rPr>
        <w:footnoteReference w:id="5"/>
      </w:r>
      <w:r w:rsidR="00924730">
        <w:rPr>
          <w:rFonts w:ascii="Calibri" w:eastAsia="Calibri" w:hAnsi="Calibri" w:cs="Times New Roman"/>
        </w:rPr>
        <w:t xml:space="preserve"> T</w:t>
      </w:r>
      <w:r w:rsidR="009F739B">
        <w:rPr>
          <w:rFonts w:ascii="Calibri" w:eastAsia="Calibri" w:hAnsi="Calibri" w:cs="Times New Roman"/>
        </w:rPr>
        <w:t xml:space="preserve">he 2006 </w:t>
      </w:r>
      <w:r w:rsidR="009F739B" w:rsidRPr="009F739B">
        <w:rPr>
          <w:rFonts w:ascii="Calibri" w:eastAsia="Calibri" w:hAnsi="Calibri" w:cs="Times New Roman"/>
          <w:lang w:val="en-GB"/>
        </w:rPr>
        <w:t>amendm</w:t>
      </w:r>
      <w:r w:rsidR="009F739B">
        <w:rPr>
          <w:rFonts w:ascii="Calibri" w:eastAsia="Calibri" w:hAnsi="Calibri" w:cs="Times New Roman"/>
          <w:lang w:val="en-GB"/>
        </w:rPr>
        <w:t xml:space="preserve">ents </w:t>
      </w:r>
      <w:r w:rsidR="00924730">
        <w:rPr>
          <w:rFonts w:ascii="Calibri" w:eastAsia="Calibri" w:hAnsi="Calibri" w:cs="Times New Roman"/>
          <w:lang w:val="en-GB"/>
        </w:rPr>
        <w:t xml:space="preserve">reflected a formal equality approach that </w:t>
      </w:r>
      <w:proofErr w:type="gramStart"/>
      <w:r w:rsidR="009F739B" w:rsidRPr="009F739B">
        <w:rPr>
          <w:rFonts w:ascii="Calibri" w:eastAsia="Calibri" w:hAnsi="Calibri" w:cs="Times New Roman"/>
          <w:lang w:val="en-GB"/>
        </w:rPr>
        <w:t xml:space="preserve">most </w:t>
      </w:r>
      <w:r w:rsidR="009F739B" w:rsidRPr="009F739B">
        <w:rPr>
          <w:rFonts w:ascii="Calibri" w:eastAsia="Calibri" w:hAnsi="Calibri" w:cs="Times New Roman"/>
        </w:rPr>
        <w:t xml:space="preserve"> clearly</w:t>
      </w:r>
      <w:proofErr w:type="gramEnd"/>
      <w:r w:rsidR="009F739B" w:rsidRPr="009F739B">
        <w:rPr>
          <w:rFonts w:ascii="Calibri" w:eastAsia="Calibri" w:hAnsi="Calibri" w:cs="Times New Roman"/>
        </w:rPr>
        <w:t xml:space="preserve"> benefitted fathers: given their usually lesser involvement in the daily care of children in intact families,</w:t>
      </w:r>
      <w:r w:rsidR="009F739B" w:rsidRPr="009F739B">
        <w:rPr>
          <w:rFonts w:ascii="Calibri" w:eastAsia="Calibri" w:hAnsi="Calibri" w:cs="Times New Roman"/>
          <w:vertAlign w:val="superscript"/>
        </w:rPr>
        <w:footnoteReference w:id="6"/>
      </w:r>
      <w:r w:rsidR="009F739B" w:rsidRPr="009F739B">
        <w:rPr>
          <w:rFonts w:ascii="Calibri" w:eastAsia="Calibri" w:hAnsi="Calibri" w:cs="Times New Roman"/>
        </w:rPr>
        <w:t xml:space="preserve"> shared parenting laws facilitate a greater parenting role for them than they commonly have prior to separation.</w:t>
      </w:r>
      <w:r w:rsidRPr="00B56C4B">
        <w:rPr>
          <w:rFonts w:ascii="Calibri" w:eastAsia="Calibri" w:hAnsi="Calibri" w:cs="Times New Roman"/>
        </w:rPr>
        <w:t xml:space="preserve"> </w:t>
      </w:r>
      <w:r w:rsidR="00CF357B">
        <w:rPr>
          <w:rFonts w:ascii="Calibri" w:eastAsia="Calibri" w:hAnsi="Calibri" w:cs="Times New Roman"/>
        </w:rPr>
        <w:t xml:space="preserve">In so doing, the amendments </w:t>
      </w:r>
      <w:r w:rsidR="00105FCE">
        <w:rPr>
          <w:rFonts w:ascii="Calibri" w:eastAsia="Calibri" w:hAnsi="Calibri" w:cs="Times New Roman"/>
        </w:rPr>
        <w:t xml:space="preserve">resulted in concerning outcomes for </w:t>
      </w:r>
      <w:r w:rsidR="009F739B">
        <w:rPr>
          <w:rFonts w:ascii="Calibri" w:eastAsia="Calibri" w:hAnsi="Calibri" w:cs="Times New Roman"/>
        </w:rPr>
        <w:t xml:space="preserve">vulnerable </w:t>
      </w:r>
      <w:r w:rsidR="00105FCE">
        <w:rPr>
          <w:rFonts w:ascii="Calibri" w:eastAsia="Calibri" w:hAnsi="Calibri" w:cs="Times New Roman"/>
        </w:rPr>
        <w:t xml:space="preserve">women and children. </w:t>
      </w:r>
      <w:r w:rsidR="007A5924">
        <w:rPr>
          <w:rFonts w:ascii="Calibri" w:eastAsia="Calibri" w:hAnsi="Calibri" w:cs="Times New Roman"/>
        </w:rPr>
        <w:t xml:space="preserve"> </w:t>
      </w:r>
      <w:r w:rsidR="00105FCE">
        <w:rPr>
          <w:rFonts w:ascii="Calibri" w:eastAsia="Calibri" w:hAnsi="Calibri" w:cs="Times New Roman"/>
        </w:rPr>
        <w:t xml:space="preserve">For example, </w:t>
      </w:r>
      <w:r w:rsidR="00B9560B">
        <w:rPr>
          <w:rFonts w:ascii="Calibri" w:eastAsia="Calibri" w:hAnsi="Calibri" w:cs="Times New Roman"/>
        </w:rPr>
        <w:t>r</w:t>
      </w:r>
      <w:proofErr w:type="spellStart"/>
      <w:r w:rsidRPr="00497676">
        <w:rPr>
          <w:rFonts w:ascii="Calibri" w:eastAsia="Calibri" w:hAnsi="Calibri" w:cs="Times New Roman"/>
          <w:lang w:val="en-GB"/>
        </w:rPr>
        <w:t>esearch</w:t>
      </w:r>
      <w:proofErr w:type="spellEnd"/>
      <w:r w:rsidRPr="00497676">
        <w:rPr>
          <w:rFonts w:ascii="Calibri" w:eastAsia="Calibri" w:hAnsi="Calibri" w:cs="Times New Roman"/>
          <w:lang w:val="en-GB"/>
        </w:rPr>
        <w:t xml:space="preserve"> conduc</w:t>
      </w:r>
      <w:r w:rsidRPr="00B56C4B">
        <w:rPr>
          <w:rFonts w:ascii="Calibri" w:eastAsia="Calibri" w:hAnsi="Calibri" w:cs="Times New Roman"/>
          <w:lang w:val="en-GB"/>
        </w:rPr>
        <w:t>ted after the amendments found that complex legislation</w:t>
      </w:r>
      <w:r w:rsidRPr="00497676">
        <w:rPr>
          <w:rFonts w:ascii="Calibri" w:eastAsia="Calibri" w:hAnsi="Calibri" w:cs="Times New Roman"/>
          <w:lang w:val="en-GB"/>
        </w:rPr>
        <w:t xml:space="preserve"> had led to professional and community misunderstanding that the law said, ‘The starting point is shared </w:t>
      </w:r>
      <w:r w:rsidRPr="00497676">
        <w:rPr>
          <w:rFonts w:ascii="Calibri" w:eastAsia="Calibri" w:hAnsi="Calibri" w:cs="Times New Roman"/>
          <w:i/>
          <w:lang w:val="en-GB"/>
        </w:rPr>
        <w:t>time</w:t>
      </w:r>
      <w:r w:rsidRPr="00497676">
        <w:rPr>
          <w:rFonts w:ascii="Calibri" w:eastAsia="Calibri" w:hAnsi="Calibri" w:cs="Times New Roman"/>
          <w:lang w:val="en-GB"/>
        </w:rPr>
        <w:t>’,</w:t>
      </w:r>
      <w:r w:rsidRPr="00497676">
        <w:rPr>
          <w:rFonts w:ascii="Calibri" w:eastAsia="Calibri" w:hAnsi="Calibri" w:cs="Times New Roman"/>
          <w:vertAlign w:val="superscript"/>
          <w:lang w:val="en-GB"/>
        </w:rPr>
        <w:footnoteReference w:id="7"/>
      </w:r>
      <w:r w:rsidRPr="00497676">
        <w:rPr>
          <w:rFonts w:ascii="Calibri" w:eastAsia="Calibri" w:hAnsi="Calibri" w:cs="Times New Roman"/>
          <w:lang w:val="en-GB"/>
        </w:rPr>
        <w:t xml:space="preserve"> (emphasis added) and that shared parenting messages were outweighing </w:t>
      </w:r>
      <w:r w:rsidR="0031074F">
        <w:rPr>
          <w:rFonts w:ascii="Calibri" w:eastAsia="Calibri" w:hAnsi="Calibri" w:cs="Times New Roman"/>
          <w:lang w:val="en-GB"/>
        </w:rPr>
        <w:t xml:space="preserve">safety </w:t>
      </w:r>
      <w:r w:rsidRPr="00497676">
        <w:rPr>
          <w:rFonts w:ascii="Calibri" w:eastAsia="Calibri" w:hAnsi="Calibri" w:cs="Times New Roman"/>
          <w:lang w:val="en-GB"/>
        </w:rPr>
        <w:t>mess</w:t>
      </w:r>
      <w:r w:rsidR="0031074F">
        <w:rPr>
          <w:rFonts w:ascii="Calibri" w:eastAsia="Calibri" w:hAnsi="Calibri" w:cs="Times New Roman"/>
          <w:lang w:val="en-GB"/>
        </w:rPr>
        <w:t>ages, to the cost of women and children</w:t>
      </w:r>
      <w:r w:rsidRPr="00497676">
        <w:rPr>
          <w:rFonts w:ascii="Calibri" w:eastAsia="Calibri" w:hAnsi="Calibri" w:cs="Times New Roman"/>
          <w:lang w:val="en-GB"/>
        </w:rPr>
        <w:t>. This led to further amendment in 2012 to improve the family law system’s identification and responses to family violence</w:t>
      </w:r>
      <w:r w:rsidR="009F739B">
        <w:rPr>
          <w:rFonts w:ascii="Calibri" w:eastAsia="Calibri" w:hAnsi="Calibri" w:cs="Times New Roman"/>
          <w:lang w:val="en-GB"/>
        </w:rPr>
        <w:t xml:space="preserve"> and abuse</w:t>
      </w:r>
      <w:r w:rsidRPr="00497676">
        <w:rPr>
          <w:rFonts w:ascii="Calibri" w:eastAsia="Calibri" w:hAnsi="Calibri" w:cs="Times New Roman"/>
          <w:lang w:val="en-GB"/>
        </w:rPr>
        <w:t>.</w:t>
      </w:r>
      <w:r w:rsidRPr="00497676">
        <w:rPr>
          <w:rFonts w:ascii="Calibri" w:eastAsia="Calibri" w:hAnsi="Calibri" w:cs="Times New Roman"/>
          <w:vertAlign w:val="superscript"/>
          <w:lang w:val="en-GB"/>
        </w:rPr>
        <w:footnoteReference w:id="8"/>
      </w:r>
      <w:r w:rsidR="00CF357B">
        <w:rPr>
          <w:rFonts w:ascii="Calibri" w:eastAsia="Calibri" w:hAnsi="Calibri" w:cs="Times New Roman"/>
          <w:lang w:val="en-GB"/>
        </w:rPr>
        <w:t xml:space="preserve"> </w:t>
      </w:r>
      <w:r w:rsidR="0031074F">
        <w:rPr>
          <w:rFonts w:ascii="Calibri" w:eastAsia="Calibri" w:hAnsi="Calibri" w:cs="Times New Roman"/>
          <w:lang w:val="en-GB"/>
        </w:rPr>
        <w:t xml:space="preserve">However, provisions encouraging </w:t>
      </w:r>
      <w:r w:rsidR="00924730">
        <w:rPr>
          <w:rFonts w:ascii="Calibri" w:eastAsia="Calibri" w:hAnsi="Calibri" w:cs="Times New Roman"/>
          <w:lang w:val="en-GB"/>
        </w:rPr>
        <w:t xml:space="preserve">shared parenting outcomes remain in place and problems remain. </w:t>
      </w:r>
      <w:r w:rsidR="00CF357B">
        <w:rPr>
          <w:rFonts w:ascii="Calibri" w:eastAsia="Calibri" w:hAnsi="Calibri" w:cs="Times New Roman"/>
          <w:lang w:val="en-GB"/>
        </w:rPr>
        <w:t xml:space="preserve">Most recently, </w:t>
      </w:r>
      <w:r w:rsidRPr="00497676">
        <w:rPr>
          <w:rFonts w:ascii="Calibri" w:eastAsia="Calibri" w:hAnsi="Calibri" w:cs="Times New Roman"/>
          <w:lang w:val="en-GB"/>
        </w:rPr>
        <w:t xml:space="preserve">an Australian Institute of Family Studies evaluation of the </w:t>
      </w:r>
      <w:r w:rsidR="003737B6">
        <w:rPr>
          <w:rFonts w:ascii="Calibri" w:eastAsia="Calibri" w:hAnsi="Calibri" w:cs="Times New Roman"/>
          <w:lang w:val="en-GB"/>
        </w:rPr>
        <w:t>2012 amendments observed</w:t>
      </w:r>
      <w:r w:rsidRPr="00497676">
        <w:rPr>
          <w:rFonts w:ascii="Calibri" w:eastAsia="Calibri" w:hAnsi="Calibri" w:cs="Times New Roman"/>
          <w:lang w:val="en-GB"/>
        </w:rPr>
        <w:t xml:space="preserve"> that, ‘courts remained concerned to ensure that, wherever possible, children's relationships with both parents were maintained after separation, except in cases where the evidence was unambiguously in favour of an outcome inconsistent with this approach’.</w:t>
      </w:r>
      <w:r w:rsidRPr="00497676">
        <w:rPr>
          <w:rFonts w:ascii="Calibri" w:eastAsia="Calibri" w:hAnsi="Calibri" w:cs="Times New Roman"/>
          <w:vertAlign w:val="superscript"/>
          <w:lang w:val="en-GB"/>
        </w:rPr>
        <w:footnoteReference w:id="9"/>
      </w:r>
      <w:r w:rsidRPr="00497676">
        <w:rPr>
          <w:rFonts w:ascii="Calibri" w:eastAsia="Calibri" w:hAnsi="Calibri" w:cs="Times New Roman"/>
          <w:lang w:val="en-GB"/>
        </w:rPr>
        <w:t xml:space="preserve"> Family law professionals participating in the study were generally of the view that less ‘adequate priority’ was placed on ‘protection from harm’ than on ‘meaningful relationship’.</w:t>
      </w:r>
      <w:r w:rsidRPr="00497676">
        <w:rPr>
          <w:rFonts w:ascii="Calibri" w:eastAsia="Calibri" w:hAnsi="Calibri" w:cs="Times New Roman"/>
          <w:vertAlign w:val="superscript"/>
          <w:lang w:val="en-GB"/>
        </w:rPr>
        <w:footnoteReference w:id="10"/>
      </w:r>
      <w:r w:rsidR="00105FCE">
        <w:rPr>
          <w:rFonts w:ascii="Calibri" w:eastAsia="Calibri" w:hAnsi="Calibri" w:cs="Times New Roman"/>
          <w:lang w:val="en-GB"/>
        </w:rPr>
        <w:t xml:space="preserve"> </w:t>
      </w:r>
    </w:p>
    <w:p w:rsidR="00647FC3" w:rsidRPr="002F1AA2" w:rsidRDefault="00B56C4B" w:rsidP="00647FC3">
      <w:r>
        <w:t>Our analysis</w:t>
      </w:r>
      <w:r w:rsidR="004F446C" w:rsidRPr="002F1AA2">
        <w:t xml:space="preserve"> leads us to </w:t>
      </w:r>
      <w:r w:rsidR="00647FC3" w:rsidRPr="002F1AA2">
        <w:t>consider whether equality-based arguments should be abandoned entirely, at l</w:t>
      </w:r>
      <w:r w:rsidR="004F446C" w:rsidRPr="002F1AA2">
        <w:t>east in the family law context</w:t>
      </w:r>
      <w:r w:rsidR="000B503F" w:rsidRPr="002F1AA2">
        <w:t xml:space="preserve">. </w:t>
      </w:r>
      <w:r w:rsidR="004F446C" w:rsidRPr="002F1AA2">
        <w:t>Here, w</w:t>
      </w:r>
      <w:r w:rsidR="00337159" w:rsidRPr="002F1AA2">
        <w:t>e agree</w:t>
      </w:r>
      <w:r w:rsidR="00120B41" w:rsidRPr="002F1AA2">
        <w:t xml:space="preserve"> </w:t>
      </w:r>
      <w:r w:rsidR="000B503F" w:rsidRPr="002F1AA2">
        <w:t xml:space="preserve">that alternatives to equality still ‘implicitly rely on </w:t>
      </w:r>
      <w:r w:rsidR="000B503F" w:rsidRPr="002F1AA2">
        <w:lastRenderedPageBreak/>
        <w:t>notions of equality or at least include equality</w:t>
      </w:r>
      <w:r w:rsidR="009C1A5A">
        <w:t xml:space="preserve"> as part of their </w:t>
      </w:r>
      <w:proofErr w:type="gramStart"/>
      <w:r w:rsidR="009C1A5A">
        <w:t>analysis’</w:t>
      </w:r>
      <w:proofErr w:type="gramEnd"/>
      <w:r w:rsidR="009C1A5A">
        <w:t>, but</w:t>
      </w:r>
      <w:r w:rsidR="000B503F" w:rsidRPr="002F1AA2">
        <w:t xml:space="preserve"> that </w:t>
      </w:r>
      <w:r w:rsidR="002F1AA2">
        <w:t>‘</w:t>
      </w:r>
      <w:r w:rsidR="000B503F" w:rsidRPr="002F1AA2">
        <w:t xml:space="preserve">the insights offered </w:t>
      </w:r>
      <w:r w:rsidR="002F1AA2">
        <w:t xml:space="preserve">[from critique of formal equality] </w:t>
      </w:r>
      <w:r w:rsidR="000B503F" w:rsidRPr="002F1AA2">
        <w:t>could be, and have been fruitfully used</w:t>
      </w:r>
      <w:r w:rsidR="00337159" w:rsidRPr="002F1AA2">
        <w:t xml:space="preserve"> to enrich equality concepts</w:t>
      </w:r>
      <w:r w:rsidR="000B503F" w:rsidRPr="002F1AA2">
        <w:t xml:space="preserve">’. </w:t>
      </w:r>
      <w:r w:rsidR="00337159" w:rsidRPr="002F1AA2">
        <w:rPr>
          <w:rStyle w:val="FootnoteReference"/>
        </w:rPr>
        <w:footnoteReference w:id="11"/>
      </w:r>
      <w:r w:rsidR="00337159" w:rsidRPr="002F1AA2">
        <w:t xml:space="preserve"> </w:t>
      </w:r>
      <w:r w:rsidR="002F1AA2">
        <w:t>One strategy for doing this is to develop</w:t>
      </w:r>
      <w:r w:rsidR="00337159" w:rsidRPr="002F1AA2">
        <w:t xml:space="preserve"> </w:t>
      </w:r>
      <w:r w:rsidR="000B503F" w:rsidRPr="002F1AA2">
        <w:t xml:space="preserve">alternative concepts to describe elements of importance to women’s </w:t>
      </w:r>
      <w:r w:rsidR="00924730">
        <w:t xml:space="preserve">and children’s </w:t>
      </w:r>
      <w:r w:rsidR="000B503F" w:rsidRPr="002F1AA2">
        <w:t>experience (in</w:t>
      </w:r>
      <w:r w:rsidR="003A103C" w:rsidRPr="002F1AA2">
        <w:t xml:space="preserve"> family law)</w:t>
      </w:r>
      <w:r w:rsidR="009D1860" w:rsidRPr="002F1AA2">
        <w:t>.</w:t>
      </w:r>
      <w:r w:rsidR="002F1AA2">
        <w:rPr>
          <w:rStyle w:val="FootnoteReference"/>
        </w:rPr>
        <w:footnoteReference w:id="12"/>
      </w:r>
      <w:r w:rsidR="009D1860" w:rsidRPr="002F1AA2">
        <w:t xml:space="preserve"> </w:t>
      </w:r>
      <w:r w:rsidR="002F1AA2">
        <w:t>O</w:t>
      </w:r>
      <w:r w:rsidR="009A11B8" w:rsidRPr="002F1AA2">
        <w:t>ur work in rel</w:t>
      </w:r>
      <w:r w:rsidR="009D1860" w:rsidRPr="002F1AA2">
        <w:t xml:space="preserve">ation to the development of </w:t>
      </w:r>
      <w:r w:rsidR="009A11B8" w:rsidRPr="002F1AA2">
        <w:t>alternative conce</w:t>
      </w:r>
      <w:r w:rsidR="009D1860" w:rsidRPr="002F1AA2">
        <w:t xml:space="preserve">pts </w:t>
      </w:r>
      <w:r w:rsidR="00924730">
        <w:t xml:space="preserve">in family property law </w:t>
      </w:r>
      <w:r w:rsidR="002F1AA2">
        <w:t>illustrates how this might be done</w:t>
      </w:r>
      <w:r w:rsidR="009A11B8" w:rsidRPr="002F1AA2">
        <w:t>.</w:t>
      </w:r>
    </w:p>
    <w:p w:rsidR="00647FC3" w:rsidRPr="002F1AA2" w:rsidRDefault="00647FC3" w:rsidP="00647FC3">
      <w:pPr>
        <w:pStyle w:val="ListParagraph"/>
        <w:numPr>
          <w:ilvl w:val="0"/>
          <w:numId w:val="2"/>
        </w:numPr>
        <w:rPr>
          <w:b/>
        </w:rPr>
      </w:pPr>
      <w:r w:rsidRPr="002F1AA2">
        <w:rPr>
          <w:b/>
        </w:rPr>
        <w:t>Australian family property law: ‘Just and equitable’ outcomes?</w:t>
      </w:r>
    </w:p>
    <w:p w:rsidR="0048043F" w:rsidRPr="002F1AA2" w:rsidRDefault="00A57757" w:rsidP="004F446C">
      <w:r w:rsidRPr="002F1AA2">
        <w:t>T</w:t>
      </w:r>
      <w:r w:rsidR="003A103C" w:rsidRPr="002F1AA2">
        <w:t>wo of us (</w:t>
      </w:r>
      <w:proofErr w:type="spellStart"/>
      <w:r w:rsidR="003A103C" w:rsidRPr="002F1AA2">
        <w:t>Fehlberg</w:t>
      </w:r>
      <w:proofErr w:type="spellEnd"/>
      <w:r w:rsidR="003A103C" w:rsidRPr="002F1AA2">
        <w:t xml:space="preserve"> and </w:t>
      </w:r>
      <w:proofErr w:type="spellStart"/>
      <w:r w:rsidR="003A103C" w:rsidRPr="002F1AA2">
        <w:t>Sarmas</w:t>
      </w:r>
      <w:proofErr w:type="spellEnd"/>
      <w:r w:rsidR="003A103C" w:rsidRPr="002F1AA2">
        <w:t xml:space="preserve">) </w:t>
      </w:r>
      <w:r w:rsidR="004F446C" w:rsidRPr="002F1AA2">
        <w:t>have recently considered the br</w:t>
      </w:r>
      <w:r w:rsidR="0052083D">
        <w:t>oad discretion under the FLA</w:t>
      </w:r>
      <w:r w:rsidR="004F446C" w:rsidRPr="002F1AA2">
        <w:t xml:space="preserve"> to reallocate interests in property of spouses and separating de facto partners in the light of previous empirical research on the discretion’s operation. Although acknowledging the absence of up-to-date empirical research data on the discretion’s operation, and the potential risks and possibly limited effect of legislative reform, the consistent empirical research finding that women, particularly mothers with dependent</w:t>
      </w:r>
      <w:r w:rsidR="0048043F" w:rsidRPr="002F1AA2">
        <w:t xml:space="preserve"> </w:t>
      </w:r>
      <w:r w:rsidR="004F446C" w:rsidRPr="002F1AA2">
        <w:t>children,</w:t>
      </w:r>
      <w:r w:rsidR="002F1AA2">
        <w:rPr>
          <w:rStyle w:val="FootnoteReference"/>
        </w:rPr>
        <w:footnoteReference w:id="13"/>
      </w:r>
      <w:r w:rsidR="002F1AA2" w:rsidRPr="002F1AA2">
        <w:rPr>
          <w:rFonts w:ascii="Calibri" w:eastAsia="Calibri" w:hAnsi="Calibri" w:cs="Times New Roman"/>
          <w:lang w:val="en-GB"/>
        </w:rPr>
        <w:t xml:space="preserve"> but also older divorced mothers whose children are no longer dependent </w:t>
      </w:r>
      <w:r w:rsidR="00660AA4">
        <w:rPr>
          <w:rFonts w:ascii="Calibri" w:eastAsia="Calibri" w:hAnsi="Calibri" w:cs="Times New Roman"/>
          <w:lang w:val="en-GB"/>
        </w:rPr>
        <w:t>(</w:t>
      </w:r>
      <w:r w:rsidR="002F1AA2" w:rsidRPr="002F1AA2">
        <w:rPr>
          <w:rFonts w:ascii="Calibri" w:eastAsia="Calibri" w:hAnsi="Calibri" w:cs="Times New Roman"/>
          <w:lang w:val="en-GB"/>
        </w:rPr>
        <w:t>a smaller group that has received less research focus)</w:t>
      </w:r>
      <w:r w:rsidR="002F1AA2" w:rsidRPr="002F1AA2">
        <w:rPr>
          <w:rFonts w:ascii="Calibri" w:eastAsia="Calibri" w:hAnsi="Calibri" w:cs="Times New Roman"/>
          <w:vertAlign w:val="superscript"/>
          <w:lang w:val="en-GB"/>
        </w:rPr>
        <w:footnoteReference w:id="14"/>
      </w:r>
      <w:r w:rsidR="002F1AA2" w:rsidRPr="002F1AA2">
        <w:rPr>
          <w:rFonts w:ascii="Calibri" w:eastAsia="Calibri" w:hAnsi="Calibri" w:cs="Times New Roman"/>
          <w:lang w:val="en-GB"/>
        </w:rPr>
        <w:t>, victims of family violence</w:t>
      </w:r>
      <w:r w:rsidR="002F1AA2" w:rsidRPr="002F1AA2">
        <w:rPr>
          <w:rFonts w:ascii="Calibri" w:eastAsia="Calibri" w:hAnsi="Calibri" w:cs="Times New Roman"/>
          <w:vertAlign w:val="superscript"/>
          <w:lang w:val="en-GB"/>
        </w:rPr>
        <w:footnoteReference w:id="15"/>
      </w:r>
      <w:r w:rsidR="002F1AA2" w:rsidRPr="002F1AA2">
        <w:rPr>
          <w:rFonts w:ascii="Calibri" w:eastAsia="Calibri" w:hAnsi="Calibri" w:cs="Times New Roman"/>
          <w:lang w:val="en-GB"/>
        </w:rPr>
        <w:t xml:space="preserve"> and women leaving low-asset relationships,</w:t>
      </w:r>
      <w:r w:rsidR="002F1AA2" w:rsidRPr="002F1AA2">
        <w:rPr>
          <w:rFonts w:ascii="Calibri" w:eastAsia="Calibri" w:hAnsi="Calibri" w:cs="Times New Roman"/>
          <w:vertAlign w:val="superscript"/>
          <w:lang w:val="en-GB"/>
        </w:rPr>
        <w:footnoteReference w:id="16"/>
      </w:r>
      <w:r w:rsidR="002F1AA2" w:rsidRPr="002F1AA2">
        <w:rPr>
          <w:rFonts w:ascii="Calibri" w:eastAsia="Calibri" w:hAnsi="Calibri" w:cs="Times New Roman"/>
          <w:lang w:val="en-GB"/>
        </w:rPr>
        <w:t xml:space="preserve"> </w:t>
      </w:r>
      <w:r w:rsidR="004F446C" w:rsidRPr="002F1AA2">
        <w:t xml:space="preserve"> experience significant economic disadvantage post-separation prompts us to formulate a proposal for legislative change that identifies the need to provide for the material and economic security of the parties and their dependent children as key factors to be considered when making property orders. We suggest that the structure of the current legislation places too great a focus on the parties’ contributions and that a reformulation to prioritise the provision of suitable housing for dependent children, followed by consideration of the parties’ material</w:t>
      </w:r>
      <w:r w:rsidR="009A11B8" w:rsidRPr="002F1AA2">
        <w:t xml:space="preserve"> </w:t>
      </w:r>
      <w:r w:rsidR="004F446C" w:rsidRPr="002F1AA2">
        <w:t>and economic security would increase the likelihood of outcomes that are more fundamentally consistent with the key legislative requirement that ‘The court shall not make an order … unless it is satisfied that, in all the circumstances, it is just and equitable to make the order’.</w:t>
      </w:r>
      <w:r w:rsidR="0052083D">
        <w:rPr>
          <w:rStyle w:val="FootnoteReference"/>
        </w:rPr>
        <w:footnoteReference w:id="17"/>
      </w:r>
      <w:r w:rsidR="004F446C" w:rsidRPr="002F1AA2">
        <w:t xml:space="preserve"> </w:t>
      </w:r>
    </w:p>
    <w:p w:rsidR="0048043F" w:rsidRPr="002F1AA2" w:rsidRDefault="0048043F" w:rsidP="0048043F">
      <w:pPr>
        <w:pStyle w:val="ListParagraph"/>
        <w:numPr>
          <w:ilvl w:val="0"/>
          <w:numId w:val="2"/>
        </w:numPr>
        <w:rPr>
          <w:b/>
        </w:rPr>
      </w:pPr>
      <w:r w:rsidRPr="002F1AA2">
        <w:rPr>
          <w:b/>
        </w:rPr>
        <w:lastRenderedPageBreak/>
        <w:t>Conclusion</w:t>
      </w:r>
    </w:p>
    <w:p w:rsidR="0048043F" w:rsidRPr="002F1AA2" w:rsidRDefault="0048043F" w:rsidP="004F446C">
      <w:r w:rsidRPr="002F1AA2">
        <w:t xml:space="preserve">In summary, our research suggests that Australian family law </w:t>
      </w:r>
      <w:r w:rsidR="00924730">
        <w:t>amendment</w:t>
      </w:r>
      <w:r w:rsidRPr="002F1AA2">
        <w:t xml:space="preserve"> has over many ye</w:t>
      </w:r>
      <w:r w:rsidR="006F7C0A" w:rsidRPr="002F1AA2">
        <w:t xml:space="preserve">ars been informed </w:t>
      </w:r>
      <w:r w:rsidRPr="002F1AA2">
        <w:t xml:space="preserve">by formal equality discourse, contrary to empirical research clearly demonstrating </w:t>
      </w:r>
      <w:r w:rsidR="009A11B8" w:rsidRPr="002F1AA2">
        <w:t xml:space="preserve">that </w:t>
      </w:r>
      <w:r w:rsidRPr="002F1AA2">
        <w:t>gender equality has not been achieved</w:t>
      </w:r>
      <w:r w:rsidR="009D1860" w:rsidRPr="002F1AA2">
        <w:t xml:space="preserve">, </w:t>
      </w:r>
      <w:r w:rsidR="009C1A5A">
        <w:t xml:space="preserve">and </w:t>
      </w:r>
      <w:r w:rsidRPr="002F1AA2">
        <w:t xml:space="preserve">to the resulting disadvantage of </w:t>
      </w:r>
      <w:r w:rsidR="00924730">
        <w:t xml:space="preserve">vulnerable </w:t>
      </w:r>
      <w:r w:rsidRPr="002F1AA2">
        <w:t>women and their dependent children.</w:t>
      </w:r>
      <w:r w:rsidR="00C42B4F" w:rsidRPr="002F1AA2">
        <w:t xml:space="preserve"> This pattern needs to be addressed if we are to have an Act</w:t>
      </w:r>
      <w:r w:rsidR="00BC4EEC">
        <w:t xml:space="preserve"> that</w:t>
      </w:r>
      <w:r w:rsidR="00C42B4F" w:rsidRPr="002F1AA2">
        <w:t xml:space="preserve"> ‘meets the contemporary needs of families and individuals who need to have resort to the family law system’</w:t>
      </w:r>
      <w:r w:rsidR="009C1A5A">
        <w:t xml:space="preserve"> (Terms of Reference)</w:t>
      </w:r>
      <w:r w:rsidR="00C42B4F" w:rsidRPr="002F1AA2">
        <w:t>.</w:t>
      </w:r>
      <w:r w:rsidR="009C1A5A">
        <w:t xml:space="preserve"> If</w:t>
      </w:r>
      <w:r w:rsidR="006F7C0A" w:rsidRPr="002F1AA2">
        <w:t xml:space="preserve"> family property reform were to </w:t>
      </w:r>
      <w:r w:rsidR="00C42B4F" w:rsidRPr="002F1AA2">
        <w:t>proceed, the most urgent need is to better</w:t>
      </w:r>
      <w:r w:rsidR="006F7C0A" w:rsidRPr="002F1AA2">
        <w:t xml:space="preserve"> a</w:t>
      </w:r>
      <w:r w:rsidR="00C42B4F" w:rsidRPr="002F1AA2">
        <w:t>ddress the</w:t>
      </w:r>
      <w:r w:rsidR="006F7C0A" w:rsidRPr="002F1AA2">
        <w:t xml:space="preserve"> </w:t>
      </w:r>
      <w:r w:rsidR="00C42B4F" w:rsidRPr="002F1AA2">
        <w:t xml:space="preserve">significant economic disadvantage that continues to be </w:t>
      </w:r>
      <w:r w:rsidR="00924730">
        <w:t xml:space="preserve">commonly </w:t>
      </w:r>
      <w:r w:rsidR="00C42B4F" w:rsidRPr="002F1AA2">
        <w:t>experienced by women and their dependent children</w:t>
      </w:r>
      <w:r w:rsidR="006F7C0A" w:rsidRPr="002F1AA2">
        <w:t xml:space="preserve"> after relationship separation.</w:t>
      </w:r>
      <w:r w:rsidR="00C42B4F" w:rsidRPr="002F1AA2">
        <w:t xml:space="preserve"> This need is addressed by our proposed approach.</w:t>
      </w:r>
      <w:r w:rsidR="006F7C0A" w:rsidRPr="002F1AA2">
        <w:t xml:space="preserve">  </w:t>
      </w:r>
      <w:r w:rsidRPr="002F1AA2">
        <w:t xml:space="preserve">    </w:t>
      </w:r>
    </w:p>
    <w:p w:rsidR="003A103C" w:rsidRPr="002F1AA2" w:rsidRDefault="003A103C" w:rsidP="004F446C">
      <w:pPr>
        <w:pStyle w:val="ListParagraph"/>
        <w:ind w:left="0"/>
      </w:pPr>
    </w:p>
    <w:p w:rsidR="00647FC3" w:rsidRPr="002F1AA2" w:rsidRDefault="00647FC3" w:rsidP="00647FC3"/>
    <w:p w:rsidR="000F2DC2" w:rsidRPr="002F1AA2" w:rsidRDefault="000F2DC2"/>
    <w:sectPr w:rsidR="000F2DC2" w:rsidRPr="002F1AA2" w:rsidSect="00B263C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73" w:rsidRDefault="00787973" w:rsidP="00647FC3">
      <w:pPr>
        <w:spacing w:after="0" w:line="240" w:lineRule="auto"/>
      </w:pPr>
      <w:r>
        <w:separator/>
      </w:r>
    </w:p>
  </w:endnote>
  <w:endnote w:type="continuationSeparator" w:id="0">
    <w:p w:rsidR="00787973" w:rsidRDefault="00787973" w:rsidP="0064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813174"/>
      <w:docPartObj>
        <w:docPartGallery w:val="Page Numbers (Bottom of Page)"/>
        <w:docPartUnique/>
      </w:docPartObj>
    </w:sdtPr>
    <w:sdtEndPr>
      <w:rPr>
        <w:noProof/>
      </w:rPr>
    </w:sdtEndPr>
    <w:sdtContent>
      <w:p w:rsidR="003A103C" w:rsidRDefault="00B263C9">
        <w:pPr>
          <w:pStyle w:val="Footer"/>
          <w:jc w:val="center"/>
        </w:pPr>
        <w:r>
          <w:fldChar w:fldCharType="begin"/>
        </w:r>
        <w:r w:rsidR="003A103C">
          <w:instrText xml:space="preserve"> PAGE   \* MERGEFORMAT </w:instrText>
        </w:r>
        <w:r>
          <w:fldChar w:fldCharType="separate"/>
        </w:r>
        <w:r w:rsidR="00F4330F">
          <w:rPr>
            <w:noProof/>
          </w:rPr>
          <w:t>1</w:t>
        </w:r>
        <w:r>
          <w:rPr>
            <w:noProof/>
          </w:rPr>
          <w:fldChar w:fldCharType="end"/>
        </w:r>
      </w:p>
    </w:sdtContent>
  </w:sdt>
  <w:p w:rsidR="003A103C" w:rsidRDefault="003A1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73" w:rsidRDefault="00787973" w:rsidP="00647FC3">
      <w:pPr>
        <w:spacing w:after="0" w:line="240" w:lineRule="auto"/>
      </w:pPr>
      <w:r>
        <w:separator/>
      </w:r>
    </w:p>
  </w:footnote>
  <w:footnote w:type="continuationSeparator" w:id="0">
    <w:p w:rsidR="00787973" w:rsidRDefault="00787973" w:rsidP="00647FC3">
      <w:pPr>
        <w:spacing w:after="0" w:line="240" w:lineRule="auto"/>
      </w:pPr>
      <w:r>
        <w:continuationSeparator/>
      </w:r>
    </w:p>
  </w:footnote>
  <w:footnote w:id="1">
    <w:p w:rsidR="00647FC3" w:rsidRPr="009D1860" w:rsidRDefault="00647FC3" w:rsidP="00647FC3">
      <w:pPr>
        <w:pStyle w:val="FootnoteText"/>
      </w:pPr>
      <w:r>
        <w:rPr>
          <w:rStyle w:val="FootnoteReference"/>
        </w:rPr>
        <w:footnoteRef/>
      </w:r>
      <w:r>
        <w:t xml:space="preserve"> </w:t>
      </w:r>
      <w:r w:rsidRPr="009D1860">
        <w:t>There is much research establishing these points. In Australia, recent examples include:</w:t>
      </w:r>
      <w:r w:rsidRPr="009D1860">
        <w:rPr>
          <w:lang w:val="en-GB"/>
        </w:rPr>
        <w:t xml:space="preserve"> Rae Kaspiew, Rachel Carson, Jessie Dunstan, </w:t>
      </w:r>
      <w:proofErr w:type="spellStart"/>
      <w:r w:rsidRPr="009D1860">
        <w:rPr>
          <w:lang w:val="en-GB"/>
        </w:rPr>
        <w:t>Lixia</w:t>
      </w:r>
      <w:proofErr w:type="spellEnd"/>
      <w:r w:rsidRPr="009D1860">
        <w:rPr>
          <w:lang w:val="en-GB"/>
        </w:rPr>
        <w:t xml:space="preserve"> </w:t>
      </w:r>
      <w:proofErr w:type="spellStart"/>
      <w:r w:rsidRPr="009D1860">
        <w:rPr>
          <w:lang w:val="en-GB"/>
        </w:rPr>
        <w:t>Qu</w:t>
      </w:r>
      <w:proofErr w:type="spellEnd"/>
      <w:r w:rsidRPr="009D1860">
        <w:rPr>
          <w:lang w:val="en-GB"/>
        </w:rPr>
        <w:t xml:space="preserve">, </w:t>
      </w:r>
      <w:proofErr w:type="spellStart"/>
      <w:r w:rsidRPr="009D1860">
        <w:rPr>
          <w:lang w:val="en-GB"/>
        </w:rPr>
        <w:t>Briony</w:t>
      </w:r>
      <w:proofErr w:type="spellEnd"/>
      <w:r w:rsidRPr="009D1860">
        <w:rPr>
          <w:lang w:val="en-GB"/>
        </w:rPr>
        <w:t xml:space="preserve"> </w:t>
      </w:r>
      <w:proofErr w:type="spellStart"/>
      <w:r w:rsidRPr="009D1860">
        <w:rPr>
          <w:lang w:val="en-GB"/>
        </w:rPr>
        <w:t>Horsfall</w:t>
      </w:r>
      <w:proofErr w:type="spellEnd"/>
      <w:r w:rsidRPr="009D1860">
        <w:rPr>
          <w:lang w:val="en-GB"/>
        </w:rPr>
        <w:t xml:space="preserve">, John De </w:t>
      </w:r>
      <w:proofErr w:type="spellStart"/>
      <w:r w:rsidRPr="009D1860">
        <w:rPr>
          <w:lang w:val="en-GB"/>
        </w:rPr>
        <w:t>Maio</w:t>
      </w:r>
      <w:proofErr w:type="spellEnd"/>
      <w:r w:rsidRPr="009D1860">
        <w:rPr>
          <w:lang w:val="en-GB"/>
        </w:rPr>
        <w:t xml:space="preserve"> et al., </w:t>
      </w:r>
      <w:r w:rsidRPr="009D1860">
        <w:rPr>
          <w:i/>
          <w:lang w:val="en-GB"/>
        </w:rPr>
        <w:t>Evaluation of the 2012 family violence amendments: Synthesis report</w:t>
      </w:r>
      <w:r w:rsidRPr="009D1860">
        <w:rPr>
          <w:lang w:val="en-GB"/>
        </w:rPr>
        <w:t xml:space="preserve"> (Melbourne: AIFS, 2015); </w:t>
      </w:r>
      <w:proofErr w:type="spellStart"/>
      <w:r w:rsidRPr="009D1860">
        <w:rPr>
          <w:lang w:val="en-US"/>
        </w:rPr>
        <w:t>Lixia</w:t>
      </w:r>
      <w:proofErr w:type="spellEnd"/>
      <w:r w:rsidRPr="009D1860">
        <w:rPr>
          <w:lang w:val="en-US"/>
        </w:rPr>
        <w:t xml:space="preserve"> </w:t>
      </w:r>
      <w:proofErr w:type="spellStart"/>
      <w:r w:rsidRPr="009D1860">
        <w:rPr>
          <w:lang w:val="en-US"/>
        </w:rPr>
        <w:t>Qu</w:t>
      </w:r>
      <w:proofErr w:type="spellEnd"/>
      <w:r w:rsidRPr="009D1860">
        <w:rPr>
          <w:lang w:val="en-US"/>
        </w:rPr>
        <w:t xml:space="preserve">, Ruth Weston, </w:t>
      </w:r>
      <w:proofErr w:type="spellStart"/>
      <w:r w:rsidRPr="009D1860">
        <w:rPr>
          <w:lang w:val="en-US"/>
        </w:rPr>
        <w:t>Lawrie</w:t>
      </w:r>
      <w:proofErr w:type="spellEnd"/>
      <w:r w:rsidRPr="009D1860">
        <w:rPr>
          <w:lang w:val="en-US"/>
        </w:rPr>
        <w:t xml:space="preserve"> </w:t>
      </w:r>
      <w:proofErr w:type="spellStart"/>
      <w:r w:rsidRPr="009D1860">
        <w:rPr>
          <w:lang w:val="en-US"/>
        </w:rPr>
        <w:t>Moloney</w:t>
      </w:r>
      <w:proofErr w:type="spellEnd"/>
      <w:r w:rsidRPr="009D1860">
        <w:rPr>
          <w:lang w:val="en-US"/>
        </w:rPr>
        <w:t xml:space="preserve">. Rae Kaspiew and Jessie Dunstan, </w:t>
      </w:r>
      <w:r w:rsidRPr="009D1860">
        <w:rPr>
          <w:i/>
          <w:iCs/>
          <w:lang w:val="en-US"/>
        </w:rPr>
        <w:t>Post-separation parenting, property and relationship dynamics after five years</w:t>
      </w:r>
      <w:r w:rsidRPr="009D1860">
        <w:rPr>
          <w:lang w:val="en-US"/>
        </w:rPr>
        <w:t xml:space="preserve">, (AIFS, Melbourne, 2014); </w:t>
      </w:r>
      <w:r w:rsidRPr="009D1860">
        <w:rPr>
          <w:rFonts w:asciiTheme="minorHAnsi" w:hAnsiTheme="minorHAnsi"/>
          <w:lang w:val="en-GB"/>
        </w:rPr>
        <w:t xml:space="preserve">Davis De </w:t>
      </w:r>
      <w:proofErr w:type="spellStart"/>
      <w:r w:rsidRPr="009D1860">
        <w:rPr>
          <w:rFonts w:asciiTheme="minorHAnsi" w:hAnsiTheme="minorHAnsi"/>
          <w:lang w:val="en-GB"/>
        </w:rPr>
        <w:t>Vaus</w:t>
      </w:r>
      <w:proofErr w:type="spellEnd"/>
      <w:r w:rsidRPr="009D1860">
        <w:rPr>
          <w:rFonts w:asciiTheme="minorHAnsi" w:hAnsiTheme="minorHAnsi"/>
          <w:lang w:val="en-GB"/>
        </w:rPr>
        <w:t xml:space="preserve">, Matthew Gray, </w:t>
      </w:r>
      <w:proofErr w:type="spellStart"/>
      <w:r w:rsidRPr="009D1860">
        <w:rPr>
          <w:rFonts w:asciiTheme="minorHAnsi" w:hAnsiTheme="minorHAnsi"/>
          <w:lang w:val="en-GB"/>
        </w:rPr>
        <w:t>Lixia</w:t>
      </w:r>
      <w:proofErr w:type="spellEnd"/>
      <w:r w:rsidRPr="009D1860">
        <w:rPr>
          <w:rFonts w:asciiTheme="minorHAnsi" w:hAnsiTheme="minorHAnsi"/>
          <w:lang w:val="en-GB"/>
        </w:rPr>
        <w:t xml:space="preserve"> </w:t>
      </w:r>
      <w:proofErr w:type="spellStart"/>
      <w:r w:rsidRPr="009D1860">
        <w:rPr>
          <w:rFonts w:asciiTheme="minorHAnsi" w:hAnsiTheme="minorHAnsi"/>
          <w:lang w:val="en-GB"/>
        </w:rPr>
        <w:t>Qu</w:t>
      </w:r>
      <w:proofErr w:type="spellEnd"/>
      <w:r w:rsidRPr="009D1860">
        <w:rPr>
          <w:rFonts w:asciiTheme="minorHAnsi" w:hAnsiTheme="minorHAnsi"/>
          <w:lang w:val="en-GB"/>
        </w:rPr>
        <w:t xml:space="preserve"> and David Stanton, ‘The Economic Consequences of Divorce in Australia’ (2014) 28 </w:t>
      </w:r>
      <w:r w:rsidRPr="009D1860">
        <w:rPr>
          <w:rFonts w:asciiTheme="minorHAnsi" w:hAnsiTheme="minorHAnsi"/>
          <w:i/>
          <w:lang w:val="en-GB"/>
        </w:rPr>
        <w:t>International Journal of Law, Policy and the Family</w:t>
      </w:r>
      <w:r w:rsidRPr="009D1860">
        <w:rPr>
          <w:rFonts w:asciiTheme="minorHAnsi" w:hAnsiTheme="minorHAnsi"/>
          <w:lang w:val="en-GB"/>
        </w:rPr>
        <w:t xml:space="preserve"> 26</w:t>
      </w:r>
      <w:r w:rsidR="009A11B8" w:rsidRPr="009D1860">
        <w:rPr>
          <w:rFonts w:asciiTheme="minorHAnsi" w:hAnsiTheme="minorHAnsi"/>
          <w:lang w:val="en-GB"/>
        </w:rPr>
        <w:t xml:space="preserve">; </w:t>
      </w:r>
      <w:r w:rsidR="009A11B8" w:rsidRPr="009D1860">
        <w:rPr>
          <w:rFonts w:eastAsia="Calibri"/>
          <w:lang w:val="en-GB"/>
        </w:rPr>
        <w:t>Laurie Brown, ‘Divorce: For richer, for poorer’</w:t>
      </w:r>
      <w:r w:rsidR="0052083D">
        <w:rPr>
          <w:rFonts w:eastAsia="Calibri"/>
          <w:lang w:val="en-GB"/>
        </w:rPr>
        <w:t xml:space="preserve"> (</w:t>
      </w:r>
      <w:r w:rsidR="009A11B8" w:rsidRPr="009D1860">
        <w:rPr>
          <w:rFonts w:eastAsia="Calibri"/>
          <w:lang w:val="en-GB"/>
        </w:rPr>
        <w:t>AMP.NATSEM Income and W</w:t>
      </w:r>
      <w:r w:rsidR="0052083D">
        <w:rPr>
          <w:rFonts w:eastAsia="Calibri"/>
          <w:lang w:val="en-GB"/>
        </w:rPr>
        <w:t xml:space="preserve">ealth Report Issue 39, </w:t>
      </w:r>
      <w:r w:rsidR="009A11B8" w:rsidRPr="009D1860">
        <w:rPr>
          <w:rFonts w:eastAsia="Calibri"/>
          <w:lang w:val="en-GB"/>
        </w:rPr>
        <w:t>2016</w:t>
      </w:r>
      <w:r w:rsidR="0052083D">
        <w:rPr>
          <w:rFonts w:eastAsia="Calibri"/>
          <w:lang w:val="en-GB"/>
        </w:rPr>
        <w:t>)</w:t>
      </w:r>
      <w:r w:rsidRPr="009D1860">
        <w:rPr>
          <w:rFonts w:asciiTheme="minorHAnsi" w:hAnsiTheme="minorHAnsi"/>
          <w:lang w:val="en-GB"/>
        </w:rPr>
        <w:t>.</w:t>
      </w:r>
    </w:p>
  </w:footnote>
  <w:footnote w:id="2">
    <w:p w:rsidR="009F739B" w:rsidRPr="00C337DF" w:rsidRDefault="009F739B" w:rsidP="009F739B">
      <w:pPr>
        <w:pStyle w:val="FootnoteText"/>
      </w:pPr>
      <w:r w:rsidRPr="00C337DF">
        <w:rPr>
          <w:rStyle w:val="FootnoteReference"/>
        </w:rPr>
        <w:footnoteRef/>
      </w:r>
      <w:r>
        <w:t xml:space="preserve"> </w:t>
      </w:r>
      <w:proofErr w:type="spellStart"/>
      <w:r w:rsidRPr="005E1241">
        <w:t>Reg</w:t>
      </w:r>
      <w:proofErr w:type="spellEnd"/>
      <w:r w:rsidRPr="005E1241">
        <w:t xml:space="preserve"> </w:t>
      </w:r>
      <w:proofErr w:type="spellStart"/>
      <w:r w:rsidRPr="005E1241">
        <w:t>Graycar</w:t>
      </w:r>
      <w:proofErr w:type="spellEnd"/>
      <w:r w:rsidRPr="005E1241">
        <w:t xml:space="preserve"> and Jenny Morgan, ‘</w:t>
      </w:r>
      <w:proofErr w:type="gramStart"/>
      <w:r w:rsidRPr="005E1241">
        <w:t>Examining</w:t>
      </w:r>
      <w:proofErr w:type="gramEnd"/>
      <w:r w:rsidRPr="005E1241">
        <w:t xml:space="preserve"> understandings of equality: One step forward, two steps back?’ </w:t>
      </w:r>
      <w:proofErr w:type="gramStart"/>
      <w:r w:rsidRPr="005E1241">
        <w:t xml:space="preserve">(2004) 20 </w:t>
      </w:r>
      <w:r w:rsidRPr="0048043F">
        <w:rPr>
          <w:i/>
        </w:rPr>
        <w:t>Australian Feminist Law Journal</w:t>
      </w:r>
      <w:r w:rsidRPr="005E1241">
        <w:t xml:space="preserve"> 23</w:t>
      </w:r>
      <w:r>
        <w:t>, p 23</w:t>
      </w:r>
      <w:r w:rsidRPr="00C337DF">
        <w:t>.</w:t>
      </w:r>
      <w:proofErr w:type="gramEnd"/>
    </w:p>
  </w:footnote>
  <w:footnote w:id="3">
    <w:p w:rsidR="00ED5238" w:rsidRDefault="00ED5238" w:rsidP="00ED5238">
      <w:pPr>
        <w:pStyle w:val="FootnoteText"/>
      </w:pPr>
      <w:r>
        <w:rPr>
          <w:rStyle w:val="FootnoteReference"/>
        </w:rPr>
        <w:footnoteRef/>
      </w:r>
      <w:r>
        <w:t xml:space="preserve"> </w:t>
      </w:r>
      <w:proofErr w:type="gramStart"/>
      <w:r>
        <w:t>Ibid 25.</w:t>
      </w:r>
      <w:proofErr w:type="gramEnd"/>
      <w:r>
        <w:t xml:space="preserve">  </w:t>
      </w:r>
    </w:p>
  </w:footnote>
  <w:footnote w:id="4">
    <w:p w:rsidR="00497676" w:rsidRDefault="00497676" w:rsidP="00497676">
      <w:pPr>
        <w:pStyle w:val="FootnoteText"/>
      </w:pPr>
      <w:r>
        <w:rPr>
          <w:rStyle w:val="FootnoteReference"/>
        </w:rPr>
        <w:footnoteRef/>
      </w:r>
      <w:r>
        <w:t xml:space="preserve"> </w:t>
      </w:r>
      <w:proofErr w:type="gramStart"/>
      <w:r>
        <w:t>FLA s 60CA.</w:t>
      </w:r>
      <w:proofErr w:type="gramEnd"/>
    </w:p>
  </w:footnote>
  <w:footnote w:id="5">
    <w:p w:rsidR="00497676" w:rsidRDefault="00497676" w:rsidP="00497676">
      <w:pPr>
        <w:pStyle w:val="FootnoteText"/>
      </w:pPr>
      <w:r>
        <w:rPr>
          <w:rStyle w:val="FootnoteReference"/>
        </w:rPr>
        <w:footnoteRef/>
      </w:r>
      <w:r>
        <w:t xml:space="preserve"> </w:t>
      </w:r>
      <w:proofErr w:type="gramStart"/>
      <w:r>
        <w:t xml:space="preserve">FLA </w:t>
      </w:r>
      <w:proofErr w:type="spellStart"/>
      <w:r>
        <w:t>ss</w:t>
      </w:r>
      <w:proofErr w:type="spellEnd"/>
      <w:r>
        <w:t xml:space="preserve"> 61DA and 65DAA.</w:t>
      </w:r>
      <w:proofErr w:type="gramEnd"/>
    </w:p>
  </w:footnote>
  <w:footnote w:id="6">
    <w:p w:rsidR="009F739B" w:rsidRDefault="009F739B" w:rsidP="009F739B">
      <w:pPr>
        <w:pStyle w:val="FootnoteText"/>
      </w:pPr>
      <w:r>
        <w:rPr>
          <w:rStyle w:val="FootnoteReference"/>
        </w:rPr>
        <w:footnoteRef/>
      </w:r>
      <w:r>
        <w:t xml:space="preserve"> See further: </w:t>
      </w:r>
      <w:r w:rsidRPr="00497676">
        <w:t xml:space="preserve">Belinda </w:t>
      </w:r>
      <w:proofErr w:type="spellStart"/>
      <w:r w:rsidRPr="00497676">
        <w:t>Fehlberg</w:t>
      </w:r>
      <w:proofErr w:type="spellEnd"/>
      <w:r w:rsidRPr="00497676">
        <w:t>, Rae Kaspiew, Fiona Kelly, and Juliet Behrens, Australian Family Law: the contemporary context (Oxford: OUP, 2015), pp 179-182.</w:t>
      </w:r>
    </w:p>
  </w:footnote>
  <w:footnote w:id="7">
    <w:p w:rsidR="00497676" w:rsidRPr="00497676" w:rsidRDefault="00497676" w:rsidP="00497676">
      <w:pPr>
        <w:pStyle w:val="FootnoteText"/>
      </w:pPr>
      <w:r w:rsidRPr="00497676">
        <w:rPr>
          <w:rStyle w:val="FootnoteReference"/>
        </w:rPr>
        <w:footnoteRef/>
      </w:r>
      <w:r w:rsidRPr="00497676">
        <w:t xml:space="preserve"> </w:t>
      </w:r>
      <w:r w:rsidR="00206E42" w:rsidRPr="00206E42">
        <w:rPr>
          <w:rFonts w:eastAsia="Calibri"/>
          <w:lang w:val="en-GB"/>
        </w:rPr>
        <w:t xml:space="preserve">Rae Kaspiew, Matthew Gray, Ruth Weston, </w:t>
      </w:r>
      <w:proofErr w:type="spellStart"/>
      <w:r w:rsidR="00206E42" w:rsidRPr="00206E42">
        <w:rPr>
          <w:rFonts w:eastAsia="Calibri"/>
          <w:lang w:val="en-GB"/>
        </w:rPr>
        <w:t>Lawrie</w:t>
      </w:r>
      <w:proofErr w:type="spellEnd"/>
      <w:r w:rsidR="00206E42" w:rsidRPr="00206E42">
        <w:rPr>
          <w:rFonts w:eastAsia="Calibri"/>
          <w:lang w:val="en-GB"/>
        </w:rPr>
        <w:t xml:space="preserve"> </w:t>
      </w:r>
      <w:proofErr w:type="spellStart"/>
      <w:r w:rsidR="00206E42" w:rsidRPr="00206E42">
        <w:rPr>
          <w:rFonts w:eastAsia="Calibri"/>
          <w:lang w:val="en-GB"/>
        </w:rPr>
        <w:t>Moloney</w:t>
      </w:r>
      <w:proofErr w:type="spellEnd"/>
      <w:r w:rsidR="00206E42" w:rsidRPr="00206E42">
        <w:rPr>
          <w:rFonts w:eastAsia="Calibri"/>
          <w:lang w:val="en-GB"/>
        </w:rPr>
        <w:t xml:space="preserve">, Kellie Hand, </w:t>
      </w:r>
      <w:proofErr w:type="spellStart"/>
      <w:r w:rsidR="00206E42" w:rsidRPr="00206E42">
        <w:rPr>
          <w:rFonts w:eastAsia="Calibri"/>
          <w:lang w:val="en-GB"/>
        </w:rPr>
        <w:t>Lixia</w:t>
      </w:r>
      <w:proofErr w:type="spellEnd"/>
      <w:r w:rsidR="00206E42" w:rsidRPr="00206E42">
        <w:rPr>
          <w:rFonts w:eastAsia="Calibri"/>
          <w:lang w:val="en-GB"/>
        </w:rPr>
        <w:t xml:space="preserve"> </w:t>
      </w:r>
      <w:proofErr w:type="spellStart"/>
      <w:r w:rsidR="00206E42" w:rsidRPr="00206E42">
        <w:rPr>
          <w:rFonts w:eastAsia="Calibri"/>
          <w:lang w:val="en-GB"/>
        </w:rPr>
        <w:t>Qu</w:t>
      </w:r>
      <w:proofErr w:type="spellEnd"/>
      <w:r w:rsidR="00206E42" w:rsidRPr="00206E42">
        <w:rPr>
          <w:rFonts w:eastAsia="Calibri"/>
          <w:lang w:val="en-GB"/>
        </w:rPr>
        <w:t xml:space="preserve"> and the Family Law Evaluation Team, </w:t>
      </w:r>
      <w:r w:rsidR="00206E42" w:rsidRPr="00206E42">
        <w:rPr>
          <w:rFonts w:eastAsia="Calibri"/>
          <w:i/>
          <w:lang w:val="en-GB"/>
        </w:rPr>
        <w:t xml:space="preserve">Evaluation of the 2006 </w:t>
      </w:r>
      <w:r w:rsidR="00206E42" w:rsidRPr="00206E42">
        <w:rPr>
          <w:rFonts w:eastAsia="MS Mincho"/>
          <w:i/>
          <w:lang w:val="en-GB"/>
        </w:rPr>
        <w:t>F</w:t>
      </w:r>
      <w:r w:rsidR="00206E42" w:rsidRPr="00206E42">
        <w:rPr>
          <w:rFonts w:eastAsia="Calibri"/>
          <w:i/>
          <w:lang w:val="en-GB"/>
        </w:rPr>
        <w:t xml:space="preserve">amily </w:t>
      </w:r>
      <w:r w:rsidR="00206E42" w:rsidRPr="00206E42">
        <w:rPr>
          <w:rFonts w:eastAsia="MS Mincho"/>
          <w:i/>
          <w:lang w:val="en-GB"/>
        </w:rPr>
        <w:t>L</w:t>
      </w:r>
      <w:r w:rsidR="00206E42" w:rsidRPr="00206E42">
        <w:rPr>
          <w:rFonts w:eastAsia="Calibri"/>
          <w:i/>
          <w:lang w:val="en-GB"/>
        </w:rPr>
        <w:t xml:space="preserve">aw </w:t>
      </w:r>
      <w:r w:rsidR="00206E42" w:rsidRPr="00206E42">
        <w:rPr>
          <w:rFonts w:eastAsia="MS Mincho"/>
          <w:i/>
          <w:lang w:val="en-GB"/>
        </w:rPr>
        <w:t>R</w:t>
      </w:r>
      <w:r w:rsidR="00206E42" w:rsidRPr="00206E42">
        <w:rPr>
          <w:rFonts w:eastAsia="Calibri"/>
          <w:i/>
          <w:lang w:val="en-GB"/>
        </w:rPr>
        <w:t>eforms</w:t>
      </w:r>
      <w:r w:rsidR="00206E42">
        <w:rPr>
          <w:rFonts w:eastAsia="Calibri"/>
          <w:lang w:val="en-GB"/>
        </w:rPr>
        <w:t xml:space="preserve"> (</w:t>
      </w:r>
      <w:r w:rsidR="003737B6">
        <w:rPr>
          <w:rFonts w:eastAsia="Calibri"/>
          <w:lang w:val="en-GB"/>
        </w:rPr>
        <w:t>Melbourne</w:t>
      </w:r>
      <w:r w:rsidR="00206E42" w:rsidRPr="00206E42">
        <w:rPr>
          <w:rFonts w:eastAsia="Calibri"/>
          <w:lang w:val="en-GB"/>
        </w:rPr>
        <w:t>: Australian Instit</w:t>
      </w:r>
      <w:r w:rsidR="00206E42">
        <w:rPr>
          <w:rFonts w:eastAsia="Calibri"/>
          <w:lang w:val="en-GB"/>
        </w:rPr>
        <w:t xml:space="preserve">ute of Family Studies, </w:t>
      </w:r>
      <w:r w:rsidR="00206E42" w:rsidRPr="00206E42">
        <w:rPr>
          <w:rFonts w:eastAsia="Calibri"/>
          <w:lang w:val="en-GB"/>
        </w:rPr>
        <w:t>2009</w:t>
      </w:r>
      <w:r w:rsidR="00206E42">
        <w:rPr>
          <w:rFonts w:eastAsia="Calibri"/>
          <w:lang w:val="en-GB"/>
        </w:rPr>
        <w:t>)</w:t>
      </w:r>
      <w:r w:rsidRPr="00497676">
        <w:rPr>
          <w:lang w:val="en-GB"/>
        </w:rPr>
        <w:t xml:space="preserve">; Richard Chisholm, </w:t>
      </w:r>
      <w:r w:rsidRPr="00497676">
        <w:rPr>
          <w:i/>
          <w:lang w:val="en-GB"/>
        </w:rPr>
        <w:t>Family Courts Violence Review</w:t>
      </w:r>
      <w:r w:rsidRPr="00497676">
        <w:rPr>
          <w:lang w:val="en-GB"/>
        </w:rPr>
        <w:t xml:space="preserve"> (Sydney: Family Court of Australia, 2009).</w:t>
      </w:r>
    </w:p>
  </w:footnote>
  <w:footnote w:id="8">
    <w:p w:rsidR="00497676" w:rsidRPr="00497676" w:rsidRDefault="00497676" w:rsidP="00497676">
      <w:pPr>
        <w:pStyle w:val="FootnoteText"/>
      </w:pPr>
      <w:r w:rsidRPr="00497676">
        <w:rPr>
          <w:rStyle w:val="FootnoteReference"/>
        </w:rPr>
        <w:footnoteRef/>
      </w:r>
      <w:r w:rsidRPr="00497676">
        <w:t xml:space="preserve"> </w:t>
      </w:r>
      <w:proofErr w:type="gramStart"/>
      <w:r w:rsidRPr="00497676">
        <w:rPr>
          <w:lang w:val="en-GB"/>
        </w:rPr>
        <w:t>Family Law Amendment (Family Violence and Other Matters) Act 2011 (</w:t>
      </w:r>
      <w:proofErr w:type="spellStart"/>
      <w:r w:rsidRPr="00497676">
        <w:rPr>
          <w:lang w:val="en-GB"/>
        </w:rPr>
        <w:t>Cth</w:t>
      </w:r>
      <w:proofErr w:type="spellEnd"/>
      <w:r w:rsidRPr="00497676">
        <w:rPr>
          <w:lang w:val="en-GB"/>
        </w:rPr>
        <w:t>).</w:t>
      </w:r>
      <w:proofErr w:type="gramEnd"/>
    </w:p>
  </w:footnote>
  <w:footnote w:id="9">
    <w:p w:rsidR="00497676" w:rsidRPr="00497676" w:rsidRDefault="00497676" w:rsidP="00497676">
      <w:pPr>
        <w:pStyle w:val="FootnoteText"/>
      </w:pPr>
      <w:r w:rsidRPr="00497676">
        <w:rPr>
          <w:rStyle w:val="FootnoteReference"/>
        </w:rPr>
        <w:footnoteRef/>
      </w:r>
      <w:r w:rsidRPr="00497676">
        <w:rPr>
          <w:lang w:val="en-GB"/>
        </w:rPr>
        <w:t xml:space="preserve"> See further: Rae Kaspiew, Rachel Carson, Jessie Dunstan, </w:t>
      </w:r>
      <w:proofErr w:type="spellStart"/>
      <w:r w:rsidRPr="00497676">
        <w:rPr>
          <w:lang w:val="en-GB"/>
        </w:rPr>
        <w:t>Lixia</w:t>
      </w:r>
      <w:proofErr w:type="spellEnd"/>
      <w:r w:rsidRPr="00497676">
        <w:rPr>
          <w:lang w:val="en-GB"/>
        </w:rPr>
        <w:t xml:space="preserve"> </w:t>
      </w:r>
      <w:proofErr w:type="spellStart"/>
      <w:r w:rsidRPr="00497676">
        <w:rPr>
          <w:lang w:val="en-GB"/>
        </w:rPr>
        <w:t>Qu</w:t>
      </w:r>
      <w:proofErr w:type="spellEnd"/>
      <w:r w:rsidRPr="00497676">
        <w:rPr>
          <w:lang w:val="en-GB"/>
        </w:rPr>
        <w:t xml:space="preserve">, </w:t>
      </w:r>
      <w:proofErr w:type="spellStart"/>
      <w:r w:rsidRPr="00497676">
        <w:rPr>
          <w:lang w:val="en-GB"/>
        </w:rPr>
        <w:t>Briony</w:t>
      </w:r>
      <w:proofErr w:type="spellEnd"/>
      <w:r w:rsidRPr="00497676">
        <w:rPr>
          <w:lang w:val="en-GB"/>
        </w:rPr>
        <w:t xml:space="preserve"> </w:t>
      </w:r>
      <w:proofErr w:type="spellStart"/>
      <w:r w:rsidRPr="00497676">
        <w:rPr>
          <w:lang w:val="en-GB"/>
        </w:rPr>
        <w:t>Horsfall</w:t>
      </w:r>
      <w:proofErr w:type="spellEnd"/>
      <w:r w:rsidRPr="00497676">
        <w:rPr>
          <w:lang w:val="en-GB"/>
        </w:rPr>
        <w:t xml:space="preserve">, John De </w:t>
      </w:r>
      <w:proofErr w:type="spellStart"/>
      <w:r w:rsidRPr="00497676">
        <w:rPr>
          <w:lang w:val="en-GB"/>
        </w:rPr>
        <w:t>Maio</w:t>
      </w:r>
      <w:proofErr w:type="spellEnd"/>
      <w:r w:rsidRPr="00497676">
        <w:rPr>
          <w:lang w:val="en-GB"/>
        </w:rPr>
        <w:t xml:space="preserve"> et al., </w:t>
      </w:r>
      <w:r w:rsidRPr="00497676">
        <w:rPr>
          <w:i/>
          <w:lang w:val="en-GB"/>
        </w:rPr>
        <w:t>Evaluation of the 2012 family violence amendments: Synthesis report</w:t>
      </w:r>
      <w:r w:rsidRPr="00497676">
        <w:rPr>
          <w:lang w:val="en-GB"/>
        </w:rPr>
        <w:t xml:space="preserve"> (Melbourne: Australian Instit</w:t>
      </w:r>
      <w:r w:rsidR="0052083D">
        <w:rPr>
          <w:lang w:val="en-GB"/>
        </w:rPr>
        <w:t>ute of Family Studies, 2015), p</w:t>
      </w:r>
      <w:r w:rsidRPr="00497676">
        <w:rPr>
          <w:lang w:val="en-GB"/>
        </w:rPr>
        <w:t xml:space="preserve"> xi.</w:t>
      </w:r>
    </w:p>
  </w:footnote>
  <w:footnote w:id="10">
    <w:p w:rsidR="00497676" w:rsidRPr="00497676" w:rsidRDefault="00497676" w:rsidP="00497676">
      <w:pPr>
        <w:pStyle w:val="FootnoteText"/>
      </w:pPr>
      <w:r w:rsidRPr="00497676">
        <w:rPr>
          <w:rStyle w:val="FootnoteReference"/>
        </w:rPr>
        <w:footnoteRef/>
      </w:r>
      <w:r w:rsidRPr="00497676">
        <w:t xml:space="preserve"> </w:t>
      </w:r>
      <w:proofErr w:type="gramStart"/>
      <w:r w:rsidR="0052083D">
        <w:rPr>
          <w:lang w:val="en-GB"/>
        </w:rPr>
        <w:t>Ibid, p</w:t>
      </w:r>
      <w:bookmarkStart w:id="0" w:name="_GoBack"/>
      <w:bookmarkEnd w:id="0"/>
      <w:r w:rsidRPr="00497676">
        <w:rPr>
          <w:lang w:val="en-GB"/>
        </w:rPr>
        <w:t xml:space="preserve"> xii.</w:t>
      </w:r>
      <w:proofErr w:type="gramEnd"/>
    </w:p>
  </w:footnote>
  <w:footnote w:id="11">
    <w:p w:rsidR="00337159" w:rsidRDefault="00337159" w:rsidP="00337159">
      <w:pPr>
        <w:pStyle w:val="FootnoteText"/>
      </w:pPr>
      <w:r>
        <w:rPr>
          <w:rStyle w:val="FootnoteReference"/>
        </w:rPr>
        <w:footnoteRef/>
      </w:r>
      <w:r>
        <w:t xml:space="preserve"> </w:t>
      </w:r>
      <w:proofErr w:type="spellStart"/>
      <w:r>
        <w:t>Elsje</w:t>
      </w:r>
      <w:proofErr w:type="spellEnd"/>
      <w:r>
        <w:t xml:space="preserve"> </w:t>
      </w:r>
      <w:proofErr w:type="spellStart"/>
      <w:r>
        <w:t>Bonthuys</w:t>
      </w:r>
      <w:proofErr w:type="spellEnd"/>
      <w:r>
        <w:t>, ‘Equality and difference: Fertile tensions or fatal contradictions for advancing the interests of disadvantaged women?’ in Margaret Davies and Vanessa E. Munro (</w:t>
      </w:r>
      <w:proofErr w:type="spellStart"/>
      <w:proofErr w:type="gramStart"/>
      <w:r>
        <w:t>eds</w:t>
      </w:r>
      <w:proofErr w:type="spellEnd"/>
      <w:proofErr w:type="gramEnd"/>
      <w:r>
        <w:t xml:space="preserve">) </w:t>
      </w:r>
      <w:r w:rsidRPr="00D25D7E">
        <w:rPr>
          <w:i/>
        </w:rPr>
        <w:t xml:space="preserve">The </w:t>
      </w:r>
      <w:proofErr w:type="spellStart"/>
      <w:r w:rsidRPr="00D25D7E">
        <w:rPr>
          <w:i/>
        </w:rPr>
        <w:t>Ashgate</w:t>
      </w:r>
      <w:proofErr w:type="spellEnd"/>
      <w:r w:rsidRPr="00D25D7E">
        <w:rPr>
          <w:i/>
        </w:rPr>
        <w:t xml:space="preserve"> Research Companion to Feminist Legal Theory</w:t>
      </w:r>
      <w:r>
        <w:t xml:space="preserve"> (Farnham: </w:t>
      </w:r>
      <w:proofErr w:type="spellStart"/>
      <w:r>
        <w:t>Ashgate</w:t>
      </w:r>
      <w:proofErr w:type="spellEnd"/>
      <w:r>
        <w:t xml:space="preserve">: 2013), pp 85-104, p 86. </w:t>
      </w:r>
    </w:p>
  </w:footnote>
  <w:footnote w:id="12">
    <w:p w:rsidR="002F1AA2" w:rsidRDefault="002F1AA2">
      <w:pPr>
        <w:pStyle w:val="FootnoteText"/>
      </w:pPr>
      <w:r>
        <w:rPr>
          <w:rStyle w:val="FootnoteReference"/>
        </w:rPr>
        <w:footnoteRef/>
      </w:r>
      <w:r>
        <w:t xml:space="preserve"> A strategy similar to that proposed by </w:t>
      </w:r>
      <w:r w:rsidRPr="005E1241">
        <w:rPr>
          <w:rFonts w:asciiTheme="minorHAnsi" w:hAnsiTheme="minorHAnsi" w:cstheme="minorBidi"/>
        </w:rPr>
        <w:t>Rosemary Hunter, ‘Introduction: Feminism and Equality’, in R Hunter (</w:t>
      </w:r>
      <w:proofErr w:type="spellStart"/>
      <w:proofErr w:type="gramStart"/>
      <w:r w:rsidRPr="005E1241">
        <w:rPr>
          <w:rFonts w:asciiTheme="minorHAnsi" w:hAnsiTheme="minorHAnsi" w:cstheme="minorBidi"/>
        </w:rPr>
        <w:t>ed</w:t>
      </w:r>
      <w:proofErr w:type="spellEnd"/>
      <w:proofErr w:type="gramEnd"/>
      <w:r w:rsidRPr="005E1241">
        <w:rPr>
          <w:rFonts w:asciiTheme="minorHAnsi" w:hAnsiTheme="minorHAnsi" w:cstheme="minorBidi"/>
        </w:rPr>
        <w:t xml:space="preserve">) </w:t>
      </w:r>
      <w:r w:rsidRPr="005E1241">
        <w:rPr>
          <w:rFonts w:asciiTheme="minorHAnsi" w:hAnsiTheme="minorHAnsi" w:cstheme="minorBidi"/>
          <w:i/>
        </w:rPr>
        <w:t>Rethinking Equality Projects in Law</w:t>
      </w:r>
      <w:r w:rsidRPr="005E1241">
        <w:rPr>
          <w:rFonts w:asciiTheme="minorHAnsi" w:hAnsiTheme="minorHAnsi" w:cstheme="minorBidi"/>
        </w:rPr>
        <w:t xml:space="preserve"> (Oxford: Hart Publishing, 2008) pp 1-10</w:t>
      </w:r>
      <w:r>
        <w:t>.</w:t>
      </w:r>
    </w:p>
  </w:footnote>
  <w:footnote w:id="13">
    <w:p w:rsidR="002F1AA2" w:rsidRDefault="002F1AA2">
      <w:pPr>
        <w:pStyle w:val="FootnoteText"/>
      </w:pPr>
      <w:r>
        <w:rPr>
          <w:rStyle w:val="FootnoteReference"/>
        </w:rPr>
        <w:footnoteRef/>
      </w:r>
      <w:r>
        <w:t xml:space="preserve"> </w:t>
      </w:r>
      <w:proofErr w:type="gramStart"/>
      <w:r>
        <w:t>Above n 1.</w:t>
      </w:r>
      <w:proofErr w:type="gramEnd"/>
    </w:p>
  </w:footnote>
  <w:footnote w:id="14">
    <w:p w:rsidR="002F1AA2" w:rsidRPr="002F1AA2" w:rsidRDefault="002F1AA2" w:rsidP="002F1AA2">
      <w:pPr>
        <w:pStyle w:val="FootnoteText"/>
      </w:pPr>
      <w:r w:rsidRPr="002F1AA2">
        <w:rPr>
          <w:rStyle w:val="FootnoteReference"/>
        </w:rPr>
        <w:footnoteRef/>
      </w:r>
      <w:r w:rsidRPr="002F1AA2">
        <w:t xml:space="preserve"> Susan Feldman and Harriet </w:t>
      </w:r>
      <w:proofErr w:type="spellStart"/>
      <w:r w:rsidRPr="002F1AA2">
        <w:t>Radermacher</w:t>
      </w:r>
      <w:proofErr w:type="spellEnd"/>
      <w:r w:rsidRPr="002F1AA2">
        <w:t xml:space="preserve">, </w:t>
      </w:r>
      <w:r w:rsidRPr="002F1AA2">
        <w:rPr>
          <w:i/>
        </w:rPr>
        <w:t>Time of Our Lives: Building Opportunity and Capacity for the Economic and Social Participation of Older Australian Women</w:t>
      </w:r>
      <w:r w:rsidRPr="002F1AA2">
        <w:t xml:space="preserve"> (Lord Mayor’s Charitable Foundation, Melbourne, 2016) pp 21-22; Bruce Smyth and Ruth Weston, </w:t>
      </w:r>
      <w:r w:rsidRPr="002F1AA2">
        <w:rPr>
          <w:i/>
        </w:rPr>
        <w:t>Financial living standards after divorce: A recent snapshot</w:t>
      </w:r>
      <w:r w:rsidRPr="002F1AA2">
        <w:t>, Research Report No. 23 (Melbourne, Australian Institute of Family Studies, 2000</w:t>
      </w:r>
      <w:r w:rsidR="00924730">
        <w:t>)</w:t>
      </w:r>
      <w:r w:rsidRPr="002F1AA2">
        <w:t xml:space="preserve">. In Britain, see Mike Brewer and </w:t>
      </w:r>
      <w:proofErr w:type="spellStart"/>
      <w:r w:rsidRPr="002F1AA2">
        <w:t>Alita</w:t>
      </w:r>
      <w:proofErr w:type="spellEnd"/>
      <w:r w:rsidRPr="002F1AA2">
        <w:t xml:space="preserve"> Nandi, </w:t>
      </w:r>
      <w:r w:rsidRPr="002F1AA2">
        <w:rPr>
          <w:i/>
        </w:rPr>
        <w:t>Partnership dissolution: how does it affect income, employment and well-being?</w:t>
      </w:r>
      <w:r w:rsidRPr="002F1AA2">
        <w:t xml:space="preserve"> (ISER Working Paper Series, paper no 2014-30, Institute for Social and Economic Research, University of Essex, 2014).  </w:t>
      </w:r>
    </w:p>
  </w:footnote>
  <w:footnote w:id="15">
    <w:p w:rsidR="002F1AA2" w:rsidRPr="002F1AA2" w:rsidRDefault="002F1AA2" w:rsidP="002F1AA2">
      <w:pPr>
        <w:pStyle w:val="FootnoteText"/>
      </w:pPr>
      <w:r w:rsidRPr="002F1AA2">
        <w:rPr>
          <w:rStyle w:val="FootnoteReference"/>
        </w:rPr>
        <w:footnoteRef/>
      </w:r>
      <w:r w:rsidRPr="002F1AA2">
        <w:t xml:space="preserve"> </w:t>
      </w:r>
      <w:proofErr w:type="spellStart"/>
      <w:r w:rsidRPr="002F1AA2">
        <w:t>Grania</w:t>
      </w:r>
      <w:proofErr w:type="spellEnd"/>
      <w:r w:rsidRPr="002F1AA2">
        <w:t xml:space="preserve"> Sheehan and Bruce Smyth, ‘Spousal Violence and Post-Separation Financial Outcomes’ (2000) 14 </w:t>
      </w:r>
      <w:r w:rsidRPr="002F1AA2">
        <w:rPr>
          <w:i/>
        </w:rPr>
        <w:t>Australian Journal of Family Law</w:t>
      </w:r>
      <w:r w:rsidRPr="002F1AA2">
        <w:t xml:space="preserve"> 102; Emma Smallwood, </w:t>
      </w:r>
      <w:r w:rsidRPr="002F1AA2">
        <w:rPr>
          <w:i/>
        </w:rPr>
        <w:t xml:space="preserve">Stepping Stones: Legal Barriers to Economic Equality </w:t>
      </w:r>
      <w:proofErr w:type="gramStart"/>
      <w:r w:rsidRPr="002F1AA2">
        <w:rPr>
          <w:i/>
        </w:rPr>
        <w:t>After</w:t>
      </w:r>
      <w:proofErr w:type="gramEnd"/>
      <w:r w:rsidRPr="002F1AA2">
        <w:rPr>
          <w:i/>
        </w:rPr>
        <w:t xml:space="preserve"> Family Violence</w:t>
      </w:r>
      <w:r w:rsidRPr="002F1AA2">
        <w:t xml:space="preserve"> (Melbourne: Women’s Legal Services Victoria, 2015); Rae Kaspiew and </w:t>
      </w:r>
      <w:proofErr w:type="spellStart"/>
      <w:r w:rsidRPr="002F1AA2">
        <w:t>Lixia</w:t>
      </w:r>
      <w:proofErr w:type="spellEnd"/>
      <w:r w:rsidRPr="002F1AA2">
        <w:t xml:space="preserve"> </w:t>
      </w:r>
      <w:proofErr w:type="spellStart"/>
      <w:r w:rsidRPr="002F1AA2">
        <w:t>Qu</w:t>
      </w:r>
      <w:proofErr w:type="spellEnd"/>
      <w:r w:rsidRPr="002F1AA2">
        <w:t xml:space="preserve">, ‘Property Division after Separation: Recent Research Evidence’ (2016) 30 </w:t>
      </w:r>
      <w:r w:rsidRPr="002F1AA2">
        <w:rPr>
          <w:i/>
        </w:rPr>
        <w:t>Australian Journal of Family Law</w:t>
      </w:r>
      <w:r w:rsidRPr="002F1AA2">
        <w:t xml:space="preserve"> 1. </w:t>
      </w:r>
      <w:r w:rsidRPr="002F1AA2">
        <w:rPr>
          <w:lang w:val="en-GB"/>
        </w:rPr>
        <w:t xml:space="preserve">See also </w:t>
      </w:r>
      <w:r w:rsidRPr="002F1AA2">
        <w:rPr>
          <w:bCs/>
          <w:i/>
          <w:lang w:val="en-GB"/>
        </w:rPr>
        <w:t>A Better Family Law System to Support and Protect Those Affected by Family Violence</w:t>
      </w:r>
      <w:r w:rsidRPr="002F1AA2">
        <w:rPr>
          <w:bCs/>
          <w:lang w:val="en-GB"/>
        </w:rPr>
        <w:t>, Report of the P</w:t>
      </w:r>
      <w:r w:rsidRPr="002F1AA2">
        <w:rPr>
          <w:lang w:val="en-GB"/>
        </w:rPr>
        <w:t>arliamentary Inquiry into a Better Family Law System to Support and Protect Those Affected by Family Violence, Standing Committee on Social Policy and Legal Issues, Hou</w:t>
      </w:r>
      <w:r w:rsidR="0052083D">
        <w:rPr>
          <w:lang w:val="en-GB"/>
        </w:rPr>
        <w:t>se of Representatives (Canberra:</w:t>
      </w:r>
      <w:r w:rsidRPr="002F1AA2">
        <w:rPr>
          <w:lang w:val="en-GB"/>
        </w:rPr>
        <w:t xml:space="preserve"> Parliament of Australia</w:t>
      </w:r>
      <w:r w:rsidR="0052083D">
        <w:rPr>
          <w:lang w:val="en-GB"/>
        </w:rPr>
        <w:t>,</w:t>
      </w:r>
      <w:r w:rsidRPr="002F1AA2">
        <w:rPr>
          <w:lang w:val="en-GB"/>
        </w:rPr>
        <w:t xml:space="preserve"> 2017) Chapter 5.</w:t>
      </w:r>
    </w:p>
  </w:footnote>
  <w:footnote w:id="16">
    <w:p w:rsidR="002F1AA2" w:rsidRPr="002F1AA2" w:rsidRDefault="002F1AA2" w:rsidP="002F1AA2">
      <w:pPr>
        <w:pStyle w:val="FootnoteText"/>
        <w:rPr>
          <w:b/>
          <w:bCs/>
        </w:rPr>
      </w:pPr>
      <w:r w:rsidRPr="002F1AA2">
        <w:rPr>
          <w:rStyle w:val="FootnoteReference"/>
        </w:rPr>
        <w:footnoteRef/>
      </w:r>
      <w:r w:rsidR="00924730">
        <w:rPr>
          <w:lang w:val="en-GB"/>
        </w:rPr>
        <w:t>While m</w:t>
      </w:r>
      <w:r w:rsidRPr="002F1AA2">
        <w:rPr>
          <w:lang w:val="en-GB"/>
        </w:rPr>
        <w:t>ost separating spouses and de facto partners have low or modest property to divide (</w:t>
      </w:r>
      <w:proofErr w:type="spellStart"/>
      <w:r w:rsidR="00924730">
        <w:rPr>
          <w:lang w:val="en-GB"/>
        </w:rPr>
        <w:t>Qu</w:t>
      </w:r>
      <w:proofErr w:type="spellEnd"/>
      <w:r w:rsidR="00924730">
        <w:rPr>
          <w:lang w:val="en-GB"/>
        </w:rPr>
        <w:t xml:space="preserve"> et al, above n 1</w:t>
      </w:r>
      <w:r w:rsidRPr="002F1AA2">
        <w:rPr>
          <w:lang w:val="en-GB"/>
        </w:rPr>
        <w:t xml:space="preserve">), receipt of a just and equitable share of available property remains important in a context where every dollar counts. </w:t>
      </w:r>
      <w:r w:rsidRPr="002F1AA2">
        <w:t xml:space="preserve">This issue is the focus of: Women’s Legal Service Victoria, </w:t>
      </w:r>
      <w:r w:rsidRPr="002F1AA2">
        <w:rPr>
          <w:i/>
        </w:rPr>
        <w:t xml:space="preserve">Small Claims, </w:t>
      </w:r>
      <w:proofErr w:type="gramStart"/>
      <w:r w:rsidRPr="002F1AA2">
        <w:rPr>
          <w:i/>
        </w:rPr>
        <w:t>Large</w:t>
      </w:r>
      <w:proofErr w:type="gramEnd"/>
      <w:r w:rsidRPr="002F1AA2">
        <w:rPr>
          <w:i/>
        </w:rPr>
        <w:t xml:space="preserve"> Battles: Achieving economic equality in the family law system</w:t>
      </w:r>
      <w:r w:rsidR="0052083D">
        <w:t xml:space="preserve"> (Melbourne: Women’s Legal Service Victoria, </w:t>
      </w:r>
      <w:r w:rsidRPr="002F1AA2">
        <w:t>2018</w:t>
      </w:r>
      <w:r w:rsidR="0052083D">
        <w:t>)</w:t>
      </w:r>
      <w:r w:rsidRPr="002F1AA2">
        <w:t xml:space="preserve">. </w:t>
      </w:r>
    </w:p>
  </w:footnote>
  <w:footnote w:id="17">
    <w:p w:rsidR="0052083D" w:rsidRDefault="0052083D">
      <w:pPr>
        <w:pStyle w:val="FootnoteText"/>
      </w:pPr>
      <w:r>
        <w:rPr>
          <w:rStyle w:val="FootnoteReference"/>
        </w:rPr>
        <w:footnoteRef/>
      </w:r>
      <w:r>
        <w:t xml:space="preserve"> FLA </w:t>
      </w:r>
      <w:proofErr w:type="spellStart"/>
      <w:r>
        <w:t>ss</w:t>
      </w:r>
      <w:proofErr w:type="spellEnd"/>
      <w:r>
        <w:t xml:space="preserve"> 79(2) and </w:t>
      </w:r>
      <w:proofErr w:type="gramStart"/>
      <w:r>
        <w:t>90SM(</w:t>
      </w:r>
      <w:proofErr w:type="gramEnd"/>
      <w:r>
        <w:t>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D40"/>
    <w:multiLevelType w:val="hybridMultilevel"/>
    <w:tmpl w:val="22AA2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EB1BAB"/>
    <w:multiLevelType w:val="hybridMultilevel"/>
    <w:tmpl w:val="14206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D73DE"/>
    <w:rsid w:val="000B503F"/>
    <w:rsid w:val="000F1507"/>
    <w:rsid w:val="000F2DC2"/>
    <w:rsid w:val="00105FCE"/>
    <w:rsid w:val="00120B41"/>
    <w:rsid w:val="001B2334"/>
    <w:rsid w:val="001D73DE"/>
    <w:rsid w:val="001E3AF8"/>
    <w:rsid w:val="00206E42"/>
    <w:rsid w:val="00286E31"/>
    <w:rsid w:val="002F1AA2"/>
    <w:rsid w:val="0031074F"/>
    <w:rsid w:val="00337159"/>
    <w:rsid w:val="003737B6"/>
    <w:rsid w:val="003A103C"/>
    <w:rsid w:val="00452CB7"/>
    <w:rsid w:val="00452E8D"/>
    <w:rsid w:val="0048043F"/>
    <w:rsid w:val="00497676"/>
    <w:rsid w:val="004F446C"/>
    <w:rsid w:val="0052083D"/>
    <w:rsid w:val="00565C3D"/>
    <w:rsid w:val="00647FC3"/>
    <w:rsid w:val="00660AA4"/>
    <w:rsid w:val="00684AEB"/>
    <w:rsid w:val="006F7C0A"/>
    <w:rsid w:val="00780219"/>
    <w:rsid w:val="00787973"/>
    <w:rsid w:val="007A5924"/>
    <w:rsid w:val="008306D9"/>
    <w:rsid w:val="008C79AE"/>
    <w:rsid w:val="008D2549"/>
    <w:rsid w:val="00924730"/>
    <w:rsid w:val="0097741E"/>
    <w:rsid w:val="009A11B8"/>
    <w:rsid w:val="009C1A5A"/>
    <w:rsid w:val="009D1860"/>
    <w:rsid w:val="009F739B"/>
    <w:rsid w:val="00A57757"/>
    <w:rsid w:val="00A9640D"/>
    <w:rsid w:val="00B263C9"/>
    <w:rsid w:val="00B56C4B"/>
    <w:rsid w:val="00B9560B"/>
    <w:rsid w:val="00BC4EEC"/>
    <w:rsid w:val="00BC4FD5"/>
    <w:rsid w:val="00C42B4F"/>
    <w:rsid w:val="00CF357B"/>
    <w:rsid w:val="00E67981"/>
    <w:rsid w:val="00E746E8"/>
    <w:rsid w:val="00ED5238"/>
    <w:rsid w:val="00F433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AF8"/>
    <w:pPr>
      <w:ind w:left="720"/>
      <w:contextualSpacing/>
    </w:pPr>
  </w:style>
  <w:style w:type="paragraph" w:styleId="FootnoteText">
    <w:name w:val="footnote text"/>
    <w:basedOn w:val="Normal"/>
    <w:link w:val="FootnoteTextChar"/>
    <w:unhideWhenUsed/>
    <w:rsid w:val="00647FC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rsid w:val="00647FC3"/>
    <w:rPr>
      <w:rFonts w:ascii="Calibri" w:hAnsi="Calibri" w:cs="Times New Roman"/>
      <w:sz w:val="20"/>
      <w:szCs w:val="20"/>
    </w:rPr>
  </w:style>
  <w:style w:type="character" w:styleId="FootnoteReference">
    <w:name w:val="footnote reference"/>
    <w:basedOn w:val="DefaultParagraphFont"/>
    <w:semiHidden/>
    <w:unhideWhenUsed/>
    <w:rsid w:val="00647FC3"/>
    <w:rPr>
      <w:vertAlign w:val="superscript"/>
    </w:rPr>
  </w:style>
  <w:style w:type="character" w:styleId="Hyperlink">
    <w:name w:val="Hyperlink"/>
    <w:basedOn w:val="DefaultParagraphFont"/>
    <w:uiPriority w:val="99"/>
    <w:unhideWhenUsed/>
    <w:rsid w:val="003A103C"/>
    <w:rPr>
      <w:color w:val="0563C1" w:themeColor="hyperlink"/>
      <w:u w:val="single"/>
    </w:rPr>
  </w:style>
  <w:style w:type="paragraph" w:styleId="Header">
    <w:name w:val="header"/>
    <w:basedOn w:val="Normal"/>
    <w:link w:val="HeaderChar"/>
    <w:uiPriority w:val="99"/>
    <w:unhideWhenUsed/>
    <w:rsid w:val="003A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03C"/>
  </w:style>
  <w:style w:type="paragraph" w:styleId="Footer">
    <w:name w:val="footer"/>
    <w:basedOn w:val="Normal"/>
    <w:link w:val="FooterChar"/>
    <w:uiPriority w:val="99"/>
    <w:unhideWhenUsed/>
    <w:rsid w:val="003A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03C"/>
  </w:style>
  <w:style w:type="paragraph" w:styleId="BalloonText">
    <w:name w:val="Balloon Text"/>
    <w:basedOn w:val="Normal"/>
    <w:link w:val="BalloonTextChar"/>
    <w:uiPriority w:val="99"/>
    <w:semiHidden/>
    <w:unhideWhenUsed/>
    <w:rsid w:val="000F1507"/>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1507"/>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105FCE"/>
    <w:rPr>
      <w:sz w:val="16"/>
      <w:szCs w:val="16"/>
    </w:rPr>
  </w:style>
  <w:style w:type="paragraph" w:styleId="CommentText">
    <w:name w:val="annotation text"/>
    <w:basedOn w:val="Normal"/>
    <w:link w:val="CommentTextChar"/>
    <w:uiPriority w:val="99"/>
    <w:semiHidden/>
    <w:unhideWhenUsed/>
    <w:rsid w:val="00105FCE"/>
    <w:pPr>
      <w:spacing w:line="240" w:lineRule="auto"/>
    </w:pPr>
    <w:rPr>
      <w:sz w:val="20"/>
      <w:szCs w:val="20"/>
    </w:rPr>
  </w:style>
  <w:style w:type="character" w:customStyle="1" w:styleId="CommentTextChar">
    <w:name w:val="Comment Text Char"/>
    <w:basedOn w:val="DefaultParagraphFont"/>
    <w:link w:val="CommentText"/>
    <w:uiPriority w:val="99"/>
    <w:semiHidden/>
    <w:rsid w:val="00105FCE"/>
    <w:rPr>
      <w:sz w:val="20"/>
      <w:szCs w:val="20"/>
    </w:rPr>
  </w:style>
  <w:style w:type="paragraph" w:styleId="CommentSubject">
    <w:name w:val="annotation subject"/>
    <w:basedOn w:val="CommentText"/>
    <w:next w:val="CommentText"/>
    <w:link w:val="CommentSubjectChar"/>
    <w:uiPriority w:val="99"/>
    <w:semiHidden/>
    <w:unhideWhenUsed/>
    <w:rsid w:val="00105FCE"/>
    <w:rPr>
      <w:b/>
      <w:bCs/>
    </w:rPr>
  </w:style>
  <w:style w:type="character" w:customStyle="1" w:styleId="CommentSubjectChar">
    <w:name w:val="Comment Subject Char"/>
    <w:basedOn w:val="CommentTextChar"/>
    <w:link w:val="CommentSubject"/>
    <w:uiPriority w:val="99"/>
    <w:semiHidden/>
    <w:rsid w:val="00105FC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CCAB-18A5-482F-947F-E337AC7B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 Fehlberg</dc:creator>
  <cp:lastModifiedBy>sarah.dobinson</cp:lastModifiedBy>
  <cp:revision>2</cp:revision>
  <cp:lastPrinted>2018-05-07T09:39:00Z</cp:lastPrinted>
  <dcterms:created xsi:type="dcterms:W3CDTF">2018-05-08T00:12:00Z</dcterms:created>
  <dcterms:modified xsi:type="dcterms:W3CDTF">2018-05-08T00:12:00Z</dcterms:modified>
</cp:coreProperties>
</file>