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49" w:rsidRPr="00E83247" w:rsidRDefault="00D84449" w:rsidP="00D84449">
      <w:pPr>
        <w:rPr>
          <w:rFonts w:ascii="Calibri" w:eastAsia="Calibri" w:hAnsi="Calibri" w:cs="Times New Roman"/>
          <w:b/>
          <w:sz w:val="32"/>
        </w:rPr>
      </w:pPr>
      <w:r w:rsidRPr="00E83247">
        <w:rPr>
          <w:rFonts w:ascii="Calibri" w:eastAsia="Calibri" w:hAnsi="Calibri" w:cs="Times New Roman"/>
          <w:b/>
          <w:noProof/>
          <w:sz w:val="32"/>
          <w:lang w:eastAsia="en-AU"/>
        </w:rPr>
        <w:drawing>
          <wp:inline distT="0" distB="0" distL="0" distR="0">
            <wp:extent cx="4105275" cy="914400"/>
            <wp:effectExtent l="19050" t="0" r="9525" b="0"/>
            <wp:docPr id="2" name="Picture 0" descr="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PNG"/>
                    <pic:cNvPicPr/>
                  </pic:nvPicPr>
                  <pic:blipFill>
                    <a:blip r:embed="rId8" cstate="print"/>
                    <a:stretch>
                      <a:fillRect/>
                    </a:stretch>
                  </pic:blipFill>
                  <pic:spPr>
                    <a:xfrm>
                      <a:off x="0" y="0"/>
                      <a:ext cx="4105275" cy="914400"/>
                    </a:xfrm>
                    <a:prstGeom prst="rect">
                      <a:avLst/>
                    </a:prstGeom>
                  </pic:spPr>
                </pic:pic>
              </a:graphicData>
            </a:graphic>
          </wp:inline>
        </w:drawing>
      </w:r>
    </w:p>
    <w:p w:rsidR="00D84449" w:rsidRPr="00E83247" w:rsidRDefault="00D84449" w:rsidP="00D84449">
      <w:pPr>
        <w:rPr>
          <w:rFonts w:ascii="Calibri" w:eastAsia="Calibri" w:hAnsi="Calibri" w:cs="Times New Roman"/>
          <w:b/>
          <w:sz w:val="32"/>
        </w:rPr>
      </w:pPr>
    </w:p>
    <w:p w:rsidR="00D84449" w:rsidRPr="00E83247" w:rsidRDefault="00D84449" w:rsidP="00D84449">
      <w:pPr>
        <w:jc w:val="center"/>
        <w:rPr>
          <w:rFonts w:ascii="Calibri" w:eastAsia="Calibri" w:hAnsi="Calibri" w:cs="Times New Roman"/>
          <w:b/>
          <w:sz w:val="40"/>
        </w:rPr>
      </w:pPr>
    </w:p>
    <w:p w:rsidR="00D84449" w:rsidRPr="00E83247" w:rsidRDefault="00D84449" w:rsidP="00D84449">
      <w:pPr>
        <w:jc w:val="center"/>
        <w:rPr>
          <w:rFonts w:ascii="Calibri" w:eastAsia="Calibri" w:hAnsi="Calibri" w:cs="Times New Roman"/>
          <w:b/>
          <w:sz w:val="40"/>
        </w:rPr>
      </w:pPr>
      <w:r>
        <w:rPr>
          <w:rFonts w:ascii="Calibri" w:eastAsia="Calibri" w:hAnsi="Calibri" w:cs="Times New Roman"/>
          <w:b/>
          <w:sz w:val="40"/>
        </w:rPr>
        <w:t>Traditional Rights and Freedoms</w:t>
      </w:r>
      <w:r>
        <w:rPr>
          <w:rFonts w:ascii="Calibri" w:eastAsia="Calibri" w:hAnsi="Calibri" w:cs="Times New Roman"/>
          <w:b/>
          <w:sz w:val="40"/>
        </w:rPr>
        <w:softHyphen/>
        <w:t>: Encroachments by Commonwealth Laws</w:t>
      </w:r>
      <w:bookmarkStart w:id="0" w:name="_GoBack"/>
      <w:bookmarkEnd w:id="0"/>
    </w:p>
    <w:p w:rsidR="00D84449" w:rsidRPr="00E83247" w:rsidRDefault="00D84449" w:rsidP="00D84449">
      <w:pPr>
        <w:jc w:val="center"/>
        <w:rPr>
          <w:rFonts w:ascii="Calibri" w:eastAsia="Calibri" w:hAnsi="Calibri" w:cs="Times New Roman"/>
          <w:b/>
          <w:sz w:val="36"/>
        </w:rPr>
      </w:pPr>
    </w:p>
    <w:p w:rsidR="00D84449" w:rsidRPr="00E83247" w:rsidRDefault="00D84449" w:rsidP="00D84449">
      <w:pPr>
        <w:jc w:val="center"/>
        <w:rPr>
          <w:rFonts w:ascii="Calibri" w:eastAsia="Calibri" w:hAnsi="Calibri" w:cs="Times New Roman"/>
          <w:b/>
          <w:sz w:val="36"/>
        </w:rPr>
      </w:pPr>
    </w:p>
    <w:p w:rsidR="00D84449" w:rsidRPr="00E83247" w:rsidRDefault="00D84449" w:rsidP="00D84449">
      <w:pPr>
        <w:jc w:val="center"/>
        <w:rPr>
          <w:rFonts w:ascii="Calibri" w:eastAsia="Calibri" w:hAnsi="Calibri" w:cs="Times New Roman"/>
          <w:b/>
          <w:sz w:val="28"/>
        </w:rPr>
      </w:pPr>
      <w:r w:rsidRPr="00E83247">
        <w:rPr>
          <w:rFonts w:ascii="Calibri" w:eastAsia="Calibri" w:hAnsi="Calibri" w:cs="Times New Roman"/>
          <w:b/>
          <w:sz w:val="28"/>
        </w:rPr>
        <w:t xml:space="preserve">Submission to Australian Law Reform Commission on </w:t>
      </w:r>
      <w:r>
        <w:rPr>
          <w:rFonts w:ascii="Calibri" w:eastAsia="Calibri" w:hAnsi="Calibri" w:cs="Times New Roman"/>
          <w:b/>
          <w:sz w:val="28"/>
        </w:rPr>
        <w:t>Report 127 (Interim)</w:t>
      </w:r>
    </w:p>
    <w:p w:rsidR="00D84449" w:rsidRPr="00E83247" w:rsidRDefault="00D84449" w:rsidP="00D84449">
      <w:pPr>
        <w:jc w:val="center"/>
        <w:rPr>
          <w:rFonts w:ascii="Calibri" w:eastAsia="Calibri" w:hAnsi="Calibri" w:cs="Times New Roman"/>
          <w:b/>
          <w:sz w:val="28"/>
        </w:rPr>
      </w:pPr>
      <w:r>
        <w:rPr>
          <w:rFonts w:ascii="Calibri" w:eastAsia="Calibri" w:hAnsi="Calibri" w:cs="Times New Roman"/>
          <w:b/>
          <w:sz w:val="28"/>
        </w:rPr>
        <w:t>September</w:t>
      </w:r>
      <w:r w:rsidRPr="00E83247">
        <w:rPr>
          <w:rFonts w:ascii="Calibri" w:eastAsia="Calibri" w:hAnsi="Calibri" w:cs="Times New Roman"/>
          <w:b/>
          <w:sz w:val="28"/>
        </w:rPr>
        <w:t xml:space="preserve"> 2015</w:t>
      </w:r>
    </w:p>
    <w:p w:rsidR="00D84449" w:rsidRPr="00E83247" w:rsidRDefault="00D84449" w:rsidP="00D84449">
      <w:pPr>
        <w:jc w:val="center"/>
        <w:rPr>
          <w:rFonts w:ascii="Calibri" w:eastAsia="Calibri" w:hAnsi="Calibri" w:cs="Times New Roman"/>
          <w:b/>
          <w:sz w:val="32"/>
        </w:rPr>
      </w:pPr>
    </w:p>
    <w:p w:rsidR="00D84449" w:rsidRPr="00E83247" w:rsidRDefault="00D84449" w:rsidP="00D84449">
      <w:pPr>
        <w:jc w:val="center"/>
        <w:rPr>
          <w:rFonts w:ascii="Calibri" w:eastAsia="Calibri" w:hAnsi="Calibri" w:cs="Times New Roman"/>
          <w:b/>
          <w:sz w:val="32"/>
        </w:rPr>
      </w:pPr>
    </w:p>
    <w:p w:rsidR="00D84449" w:rsidRPr="00E83247" w:rsidRDefault="00D84449" w:rsidP="00D84449">
      <w:pPr>
        <w:jc w:val="center"/>
        <w:rPr>
          <w:rFonts w:ascii="Calibri" w:eastAsia="Calibri" w:hAnsi="Calibri" w:cs="Times New Roman"/>
          <w:b/>
          <w:sz w:val="32"/>
        </w:rPr>
      </w:pPr>
    </w:p>
    <w:p w:rsidR="00D84449" w:rsidRPr="00E83247" w:rsidRDefault="00D84449" w:rsidP="00D84449">
      <w:pPr>
        <w:jc w:val="center"/>
        <w:rPr>
          <w:rFonts w:ascii="Calibri" w:eastAsia="Calibri" w:hAnsi="Calibri" w:cs="Times New Roman"/>
          <w:b/>
          <w:sz w:val="32"/>
        </w:rPr>
      </w:pPr>
    </w:p>
    <w:p w:rsidR="00D84449" w:rsidRPr="00E83247" w:rsidRDefault="00D84449" w:rsidP="00D84449">
      <w:pPr>
        <w:jc w:val="center"/>
        <w:rPr>
          <w:rFonts w:ascii="Calibri" w:eastAsia="Calibri" w:hAnsi="Calibri" w:cs="Times New Roman"/>
          <w:b/>
          <w:sz w:val="32"/>
        </w:rPr>
      </w:pPr>
    </w:p>
    <w:p w:rsidR="00D84449" w:rsidRPr="00E83247" w:rsidRDefault="00D84449" w:rsidP="00D84449">
      <w:pPr>
        <w:jc w:val="center"/>
        <w:rPr>
          <w:rFonts w:ascii="Calibri" w:eastAsia="Calibri" w:hAnsi="Calibri" w:cs="Times New Roman"/>
          <w:b/>
          <w:sz w:val="28"/>
        </w:rPr>
      </w:pPr>
      <w:r w:rsidRPr="00E83247">
        <w:rPr>
          <w:rFonts w:ascii="Calibri" w:eastAsia="Calibri" w:hAnsi="Calibri" w:cs="Times New Roman"/>
          <w:b/>
          <w:sz w:val="28"/>
        </w:rPr>
        <w:t>Prepared by Adam Fletcher</w:t>
      </w:r>
    </w:p>
    <w:p w:rsidR="00D84449" w:rsidRDefault="00D84449" w:rsidP="00D84449"/>
    <w:p w:rsidR="00D84449" w:rsidRDefault="00D84449" w:rsidP="00D84449">
      <w:r>
        <w:br w:type="page"/>
      </w:r>
    </w:p>
    <w:p w:rsidR="00D84449" w:rsidRPr="00BA0818" w:rsidRDefault="00D84449" w:rsidP="0042308A">
      <w:pPr>
        <w:pStyle w:val="Heading1"/>
      </w:pPr>
      <w:r w:rsidRPr="00BA0818">
        <w:lastRenderedPageBreak/>
        <w:t>Introduction</w:t>
      </w:r>
      <w:r w:rsidR="00632256">
        <w:t>/Overview</w:t>
      </w:r>
    </w:p>
    <w:p w:rsidR="00D84449" w:rsidRPr="00BA0818" w:rsidRDefault="00D84449" w:rsidP="00D84449"/>
    <w:p w:rsidR="00D84449" w:rsidRPr="00BA0818" w:rsidRDefault="00D84449" w:rsidP="00F40893">
      <w:r w:rsidRPr="00BA0818">
        <w:t xml:space="preserve">The Castan Centre for Human Rights Law (Castan Centre) thanks the Australian Law Reform Commission </w:t>
      </w:r>
      <w:r>
        <w:t xml:space="preserve">(ALRC) </w:t>
      </w:r>
      <w:r w:rsidRPr="00BA0818">
        <w:t xml:space="preserve">for the opportunity to comment on its </w:t>
      </w:r>
      <w:r w:rsidRPr="0014304F">
        <w:rPr>
          <w:i/>
        </w:rPr>
        <w:t>Interim Report</w:t>
      </w:r>
      <w:r w:rsidRPr="00BA0818">
        <w:t xml:space="preserve"> on </w:t>
      </w:r>
      <w:r w:rsidR="0014304F">
        <w:t xml:space="preserve">encroachments on </w:t>
      </w:r>
      <w:r w:rsidRPr="00BA0818">
        <w:t>Traditional Rights and Freedoms (TRFs).</w:t>
      </w:r>
    </w:p>
    <w:p w:rsidR="00D84449" w:rsidRDefault="00D84449" w:rsidP="00F40893">
      <w:r>
        <w:t xml:space="preserve">We understand from the </w:t>
      </w:r>
      <w:r w:rsidR="001C3B25" w:rsidRPr="001C3B25">
        <w:rPr>
          <w:i/>
        </w:rPr>
        <w:t xml:space="preserve">Interim </w:t>
      </w:r>
      <w:r w:rsidRPr="001C3B25">
        <w:rPr>
          <w:i/>
        </w:rPr>
        <w:t>Report</w:t>
      </w:r>
      <w:r>
        <w:t xml:space="preserve"> that many parties have already made submissions on the justification for the various laws identified as potentially infringing TRFs, and that further submissions in this vein are now being solicited.</w:t>
      </w:r>
      <w:r w:rsidR="00EA49AC">
        <w:rPr>
          <w:rStyle w:val="FootnoteReference"/>
        </w:rPr>
        <w:footnoteReference w:id="1"/>
      </w:r>
      <w:r>
        <w:t xml:space="preserve"> </w:t>
      </w:r>
      <w:r w:rsidR="007D4881">
        <w:t xml:space="preserve">We </w:t>
      </w:r>
      <w:r w:rsidR="00377DB7">
        <w:t xml:space="preserve">believe that the provisions of greatest concern, including those addressing </w:t>
      </w:r>
      <w:r w:rsidR="00BC4F09">
        <w:t>immigration</w:t>
      </w:r>
      <w:r w:rsidR="00377DB7">
        <w:t xml:space="preserve"> and terrorism,</w:t>
      </w:r>
      <w:r w:rsidR="007D4881">
        <w:t xml:space="preserve"> </w:t>
      </w:r>
      <w:r w:rsidR="00377DB7">
        <w:t xml:space="preserve">already emerge clearly from the </w:t>
      </w:r>
      <w:r w:rsidR="00377DB7" w:rsidRPr="00377DB7">
        <w:rPr>
          <w:i/>
        </w:rPr>
        <w:t>Interim Report</w:t>
      </w:r>
      <w:r w:rsidR="00377DB7">
        <w:rPr>
          <w:i/>
        </w:rPr>
        <w:t>.</w:t>
      </w:r>
      <w:r w:rsidR="00377DB7" w:rsidRPr="009C72DC">
        <w:rPr>
          <w:rStyle w:val="FootnoteReference"/>
        </w:rPr>
        <w:footnoteReference w:id="2"/>
      </w:r>
    </w:p>
    <w:p w:rsidR="001C3B25" w:rsidRDefault="00D84449" w:rsidP="00F40893">
      <w:r>
        <w:t xml:space="preserve">However, </w:t>
      </w:r>
      <w:r w:rsidR="0014304F">
        <w:t xml:space="preserve">rather than address the justifications for individual pieces of legislation, we have elected to reiterate </w:t>
      </w:r>
      <w:r w:rsidR="001C3B25">
        <w:t xml:space="preserve">and expand on </w:t>
      </w:r>
      <w:r w:rsidR="009D03AF">
        <w:t>the concerns we set out</w:t>
      </w:r>
      <w:r>
        <w:t xml:space="preserve"> in our previous submission on </w:t>
      </w:r>
      <w:r w:rsidRPr="003B5BD4">
        <w:rPr>
          <w:i/>
        </w:rPr>
        <w:t>IP46</w:t>
      </w:r>
      <w:r w:rsidR="0014304F">
        <w:t xml:space="preserve">, </w:t>
      </w:r>
      <w:r w:rsidR="009D03AF">
        <w:t xml:space="preserve">including </w:t>
      </w:r>
      <w:r>
        <w:t xml:space="preserve">that TRFs are </w:t>
      </w:r>
      <w:r w:rsidR="005806DA">
        <w:t>inexact and</w:t>
      </w:r>
      <w:r>
        <w:t xml:space="preserve"> inappropriate benchmark</w:t>
      </w:r>
      <w:r w:rsidR="005806DA">
        <w:t>s</w:t>
      </w:r>
      <w:r>
        <w:t xml:space="preserve"> for </w:t>
      </w:r>
      <w:r w:rsidR="001C3B25">
        <w:t>the assessment of</w:t>
      </w:r>
      <w:r>
        <w:t xml:space="preserve"> Commonwealth legislation. We</w:t>
      </w:r>
      <w:r w:rsidR="009D03AF">
        <w:t> </w:t>
      </w:r>
      <w:r>
        <w:t xml:space="preserve">believe that the findings in the </w:t>
      </w:r>
      <w:r w:rsidRPr="001C3B25">
        <w:rPr>
          <w:i/>
        </w:rPr>
        <w:t>Interim Report</w:t>
      </w:r>
      <w:r>
        <w:t xml:space="preserve"> </w:t>
      </w:r>
      <w:r w:rsidR="001C3B25">
        <w:t>support</w:t>
      </w:r>
      <w:r>
        <w:t xml:space="preserve"> </w:t>
      </w:r>
      <w:r w:rsidR="0014304F">
        <w:t>our</w:t>
      </w:r>
      <w:r>
        <w:t xml:space="preserve"> view. </w:t>
      </w:r>
    </w:p>
    <w:p w:rsidR="00D84449" w:rsidRPr="005806DA" w:rsidRDefault="003A0C77" w:rsidP="00F40893">
      <w:r>
        <w:t xml:space="preserve">Some </w:t>
      </w:r>
      <w:r w:rsidR="00D84449">
        <w:t>of the supposedly traditional rights</w:t>
      </w:r>
      <w:r>
        <w:t xml:space="preserve"> and privileges identified in the terms of reference have been shown by the ALRC’s research to be relatively recent in origin, and</w:t>
      </w:r>
      <w:r w:rsidR="005806DA">
        <w:t xml:space="preserve"> </w:t>
      </w:r>
      <w:r w:rsidR="00C30A01">
        <w:t>the status of many is unclear due to inconsistent jurisprudence (the right to judicial review, for example).</w:t>
      </w:r>
      <w:r w:rsidR="00C30A01" w:rsidRPr="00C30A01">
        <w:rPr>
          <w:rStyle w:val="FootnoteReference"/>
        </w:rPr>
        <w:t xml:space="preserve"> </w:t>
      </w:r>
      <w:r w:rsidR="00C30A01">
        <w:rPr>
          <w:rStyle w:val="FootnoteReference"/>
        </w:rPr>
        <w:footnoteReference w:id="3"/>
      </w:r>
      <w:r w:rsidR="00632256">
        <w:t xml:space="preserve"> </w:t>
      </w:r>
      <w:r w:rsidR="003B5BD4">
        <w:t>Overall, their scope is unjustifiably narrow compared with even the core obligations of international human rights law.</w:t>
      </w:r>
      <w:r w:rsidR="003B5BD4">
        <w:rPr>
          <w:rStyle w:val="FootnoteReference"/>
        </w:rPr>
        <w:footnoteReference w:id="4"/>
      </w:r>
      <w:r w:rsidR="003B5BD4">
        <w:t xml:space="preserve"> </w:t>
      </w:r>
      <w:r w:rsidR="00632256">
        <w:t>In</w:t>
      </w:r>
      <w:r w:rsidR="009D03AF">
        <w:t> </w:t>
      </w:r>
      <w:r w:rsidR="00632256">
        <w:t xml:space="preserve">addition, the </w:t>
      </w:r>
      <w:r w:rsidR="0014304F" w:rsidRPr="0014304F">
        <w:rPr>
          <w:i/>
        </w:rPr>
        <w:t>Interim R</w:t>
      </w:r>
      <w:r w:rsidR="00632256" w:rsidRPr="0014304F">
        <w:rPr>
          <w:i/>
        </w:rPr>
        <w:t>eport</w:t>
      </w:r>
      <w:r w:rsidR="00632256">
        <w:t xml:space="preserve"> identifies </w:t>
      </w:r>
      <w:r w:rsidR="00D14BC8">
        <w:t xml:space="preserve">(correctly, we submit) </w:t>
      </w:r>
      <w:r w:rsidR="00632256">
        <w:t>international human rights jurisprudence on proportionality as the pre</w:t>
      </w:r>
      <w:r w:rsidR="00632256">
        <w:noBreakHyphen/>
        <w:t>eminent, and therefore most appropriate, means to assess whether laws are likely to be justified.</w:t>
      </w:r>
      <w:r w:rsidR="00EA49AC">
        <w:rPr>
          <w:rStyle w:val="FootnoteReference"/>
        </w:rPr>
        <w:footnoteReference w:id="5"/>
      </w:r>
    </w:p>
    <w:p w:rsidR="005D0534" w:rsidRDefault="005D0534" w:rsidP="00F40893">
      <w:r>
        <w:t xml:space="preserve">Another cause for concern is that, as the </w:t>
      </w:r>
      <w:r w:rsidRPr="001C3B25">
        <w:rPr>
          <w:i/>
        </w:rPr>
        <w:t>Interim Report</w:t>
      </w:r>
      <w:r>
        <w:t xml:space="preserve"> </w:t>
      </w:r>
      <w:r w:rsidR="001C3B25">
        <w:t>repeatedly demonstrates</w:t>
      </w:r>
      <w:r>
        <w:t xml:space="preserve">, many of the identified infringements of TRFs had already been flagged by one or more of the parliamentary scrutiny committees (the Regulations and Ordinances Committee, the Scrutiny of Bills Committee and the Joint Committee on Human Rights [JCHR]). The fact that so many </w:t>
      </w:r>
      <w:r w:rsidR="003B5BD4">
        <w:t xml:space="preserve">Commonwealth </w:t>
      </w:r>
      <w:r>
        <w:t>law</w:t>
      </w:r>
      <w:r w:rsidR="009D03AF">
        <w:t>s</w:t>
      </w:r>
      <w:r>
        <w:t xml:space="preserve"> are of (potential) concern to the present inquiry highlights the capacity for improvement in the Parliament-Executive dialogue model of rights protection which Australia has chosen to implement. The fact that the Executive has had to provide more rigorous rights-based justifications for legislation since the passage of the </w:t>
      </w:r>
      <w:r w:rsidRPr="005D0534">
        <w:rPr>
          <w:i/>
        </w:rPr>
        <w:t>Human Rights (Parliamentary Scrutiny) Act 2011</w:t>
      </w:r>
      <w:r>
        <w:t xml:space="preserve"> is welcome, but </w:t>
      </w:r>
      <w:r w:rsidR="00802742">
        <w:t xml:space="preserve">the </w:t>
      </w:r>
      <w:r w:rsidR="003B5BD4">
        <w:t xml:space="preserve">high proportion </w:t>
      </w:r>
      <w:r w:rsidR="00802742">
        <w:t xml:space="preserve">of inadequate </w:t>
      </w:r>
      <w:r w:rsidR="00802742">
        <w:lastRenderedPageBreak/>
        <w:t xml:space="preserve">Statements of Compatibility </w:t>
      </w:r>
      <w:r w:rsidR="003B5BD4">
        <w:t xml:space="preserve">(SoCs) </w:t>
      </w:r>
      <w:r w:rsidR="00802742">
        <w:t xml:space="preserve">and the Executive’s </w:t>
      </w:r>
      <w:r>
        <w:t xml:space="preserve">subsequent </w:t>
      </w:r>
      <w:r w:rsidR="009D03AF">
        <w:t>un</w:t>
      </w:r>
      <w:r>
        <w:t xml:space="preserve">responsiveness to the JCHR’s </w:t>
      </w:r>
      <w:r w:rsidR="003B5BD4">
        <w:t>recommendations</w:t>
      </w:r>
      <w:r>
        <w:t xml:space="preserve"> </w:t>
      </w:r>
      <w:r w:rsidR="00802742">
        <w:t>is cause for concern</w:t>
      </w:r>
      <w:r>
        <w:t>.</w:t>
      </w:r>
      <w:r>
        <w:rPr>
          <w:rStyle w:val="FootnoteReference"/>
        </w:rPr>
        <w:footnoteReference w:id="6"/>
      </w:r>
    </w:p>
    <w:p w:rsidR="00632256" w:rsidRDefault="00632256" w:rsidP="00F40893">
      <w:r>
        <w:t xml:space="preserve">We also </w:t>
      </w:r>
      <w:r w:rsidR="00635B4E">
        <w:t>demur from</w:t>
      </w:r>
      <w:r>
        <w:t xml:space="preserve"> the </w:t>
      </w:r>
      <w:r w:rsidR="009D03AF">
        <w:t xml:space="preserve">apparent </w:t>
      </w:r>
      <w:r>
        <w:t xml:space="preserve">suggestion in the </w:t>
      </w:r>
      <w:r w:rsidRPr="004263B6">
        <w:rPr>
          <w:i/>
        </w:rPr>
        <w:t>Interim Report</w:t>
      </w:r>
      <w:r>
        <w:t xml:space="preserve"> that </w:t>
      </w:r>
      <w:r w:rsidR="00F82341">
        <w:t>‘procedural</w:t>
      </w:r>
      <w:r w:rsidR="004E6498">
        <w:t xml:space="preserve"> justifi</w:t>
      </w:r>
      <w:r w:rsidR="00F82341">
        <w:t>cation</w:t>
      </w:r>
      <w:r w:rsidR="004E6498">
        <w:t xml:space="preserve">’ </w:t>
      </w:r>
      <w:r w:rsidR="00F82341">
        <w:t>m</w:t>
      </w:r>
      <w:r w:rsidR="001C3B25">
        <w:t>ight</w:t>
      </w:r>
      <w:r w:rsidR="00F82341">
        <w:t xml:space="preserve"> suffice to </w:t>
      </w:r>
      <w:r w:rsidR="001C3B25">
        <w:t xml:space="preserve">found an argument that enough is already being done to ensure that </w:t>
      </w:r>
      <w:r w:rsidR="00F82341">
        <w:t xml:space="preserve">Australian legislation </w:t>
      </w:r>
      <w:r w:rsidR="001C3B25">
        <w:t>is rights</w:t>
      </w:r>
      <w:r w:rsidR="001C3B25">
        <w:noBreakHyphen/>
      </w:r>
      <w:r w:rsidR="00F82341">
        <w:t>compatible.</w:t>
      </w:r>
      <w:r w:rsidR="00F82341">
        <w:rPr>
          <w:rStyle w:val="FootnoteReference"/>
        </w:rPr>
        <w:footnoteReference w:id="7"/>
      </w:r>
      <w:r w:rsidR="004E6498">
        <w:t xml:space="preserve"> </w:t>
      </w:r>
      <w:r w:rsidR="00F759A7">
        <w:t xml:space="preserve">Australian </w:t>
      </w:r>
      <w:r>
        <w:t>P</w:t>
      </w:r>
      <w:r w:rsidR="00F759A7">
        <w:t xml:space="preserve">ublic </w:t>
      </w:r>
      <w:r>
        <w:t>S</w:t>
      </w:r>
      <w:r w:rsidR="00F759A7">
        <w:t>ervice</w:t>
      </w:r>
      <w:r w:rsidR="00F82341">
        <w:t> </w:t>
      </w:r>
      <w:r w:rsidR="00635B4E">
        <w:t>g</w:t>
      </w:r>
      <w:r>
        <w:t>uidelines and procedures, in combination with relatively robust parliamentary processes</w:t>
      </w:r>
      <w:r w:rsidR="00EA49AC">
        <w:t xml:space="preserve"> and checks by </w:t>
      </w:r>
      <w:r w:rsidR="004E6498">
        <w:t xml:space="preserve">external agents </w:t>
      </w:r>
      <w:r w:rsidR="00EA49AC">
        <w:t>such as the</w:t>
      </w:r>
      <w:r w:rsidR="004E6498">
        <w:t xml:space="preserve"> media, the</w:t>
      </w:r>
      <w:r w:rsidR="00EA49AC">
        <w:t xml:space="preserve"> ALRC and </w:t>
      </w:r>
      <w:r w:rsidR="004E6498">
        <w:t xml:space="preserve">the </w:t>
      </w:r>
      <w:r w:rsidR="00EA49AC">
        <w:t>A</w:t>
      </w:r>
      <w:r w:rsidR="00F759A7">
        <w:t xml:space="preserve">ustralian </w:t>
      </w:r>
      <w:r w:rsidR="00EA49AC">
        <w:t>H</w:t>
      </w:r>
      <w:r w:rsidR="00F759A7">
        <w:t xml:space="preserve">uman </w:t>
      </w:r>
      <w:r w:rsidR="00EA49AC">
        <w:t>R</w:t>
      </w:r>
      <w:r w:rsidR="00F759A7">
        <w:t xml:space="preserve">ights </w:t>
      </w:r>
      <w:r w:rsidR="00EA49AC">
        <w:t>C</w:t>
      </w:r>
      <w:r w:rsidR="00F759A7">
        <w:t>ommission</w:t>
      </w:r>
      <w:r w:rsidR="007B2C04">
        <w:t xml:space="preserve"> (AHRC)</w:t>
      </w:r>
      <w:r>
        <w:t xml:space="preserve">, </w:t>
      </w:r>
      <w:r w:rsidR="00635B4E">
        <w:t xml:space="preserve">are </w:t>
      </w:r>
      <w:r w:rsidR="004E6498">
        <w:t>clearly important balances in the broader legislative process</w:t>
      </w:r>
      <w:r w:rsidR="00DE2E51">
        <w:t xml:space="preserve">. However, </w:t>
      </w:r>
      <w:r w:rsidR="004E6498">
        <w:t xml:space="preserve">they have proven insufficient to restrain the enactment of </w:t>
      </w:r>
      <w:r w:rsidR="00F82341">
        <w:t>many laws which conflict</w:t>
      </w:r>
      <w:r w:rsidR="004E6498">
        <w:t xml:space="preserve"> with Australia’s human rights obligations</w:t>
      </w:r>
      <w:r w:rsidR="00635B4E">
        <w:t>.</w:t>
      </w:r>
      <w:r w:rsidR="004E6498">
        <w:t xml:space="preserve"> In particular, where the major political parties agree on a policy course in an area such as national security, advice from the AGD, recommendations from scrutiny committees and statutory authorities such as the I</w:t>
      </w:r>
      <w:r w:rsidR="00F82341">
        <w:t xml:space="preserve">ndependent </w:t>
      </w:r>
      <w:r w:rsidR="004E6498">
        <w:t>N</w:t>
      </w:r>
      <w:r w:rsidR="00F82341">
        <w:t xml:space="preserve">ational </w:t>
      </w:r>
      <w:r w:rsidR="004E6498">
        <w:t>S</w:t>
      </w:r>
      <w:r w:rsidR="00F82341">
        <w:t xml:space="preserve">ecurity </w:t>
      </w:r>
      <w:r w:rsidR="004E6498">
        <w:t>L</w:t>
      </w:r>
      <w:r w:rsidR="00F82341">
        <w:t xml:space="preserve">egislation </w:t>
      </w:r>
      <w:r w:rsidR="004E6498">
        <w:t>M</w:t>
      </w:r>
      <w:r w:rsidR="00F82341">
        <w:t>onitor (INSLM)</w:t>
      </w:r>
      <w:r w:rsidR="00AE096B">
        <w:t>,</w:t>
      </w:r>
      <w:r w:rsidR="004E6498">
        <w:t xml:space="preserve"> </w:t>
      </w:r>
      <w:r w:rsidR="008D21CD">
        <w:t>is routinely ignored (either in full or in part)</w:t>
      </w:r>
      <w:r w:rsidR="004E6498">
        <w:t>.</w:t>
      </w:r>
      <w:r w:rsidR="008D21CD">
        <w:t xml:space="preserve"> The</w:t>
      </w:r>
      <w:r w:rsidR="000F187A">
        <w:t> </w:t>
      </w:r>
      <w:r w:rsidR="008D21CD" w:rsidRPr="004263B6">
        <w:rPr>
          <w:i/>
        </w:rPr>
        <w:t>Interim Report</w:t>
      </w:r>
      <w:r w:rsidR="008D21CD">
        <w:t xml:space="preserve"> itself highlights this phenomenon, for example in the case of the recent </w:t>
      </w:r>
      <w:r w:rsidR="008D21CD" w:rsidRPr="008D21CD">
        <w:t>Counter</w:t>
      </w:r>
      <w:r w:rsidR="000F187A">
        <w:noBreakHyphen/>
      </w:r>
      <w:r w:rsidR="008D21CD" w:rsidRPr="008D21CD">
        <w:t xml:space="preserve">Terrorism Legislation Amendment </w:t>
      </w:r>
      <w:r w:rsidR="008D21CD">
        <w:t>(Foreign Fighters) Bill 2014</w:t>
      </w:r>
      <w:r w:rsidR="004263B6">
        <w:t>, which encroaches on at least seven of the identified TRFs</w:t>
      </w:r>
      <w:r w:rsidR="008D21CD">
        <w:t>.</w:t>
      </w:r>
      <w:r w:rsidR="004263B6">
        <w:rPr>
          <w:rStyle w:val="FootnoteReference"/>
        </w:rPr>
        <w:footnoteReference w:id="8"/>
      </w:r>
    </w:p>
    <w:p w:rsidR="00632256" w:rsidRDefault="00632256" w:rsidP="00F40893">
      <w:r>
        <w:t>In short, the Australian Government already has both the information and the means at its disposal</w:t>
      </w:r>
      <w:r w:rsidR="00365010">
        <w:t xml:space="preserve"> to ensure that it does not unjustifiably infringe rights and freedoms. However, </w:t>
      </w:r>
      <w:r w:rsidR="007A6075">
        <w:t>serious and significant reform will be required to effect significant improvement in this regard. A</w:t>
      </w:r>
      <w:r w:rsidR="00E7289D">
        <w:t xml:space="preserve">s outlined below, </w:t>
      </w:r>
      <w:r w:rsidR="007A6075">
        <w:t xml:space="preserve">the Government’s </w:t>
      </w:r>
      <w:r w:rsidR="00E7289D">
        <w:t xml:space="preserve">recent </w:t>
      </w:r>
      <w:r w:rsidR="00365010">
        <w:t xml:space="preserve">record </w:t>
      </w:r>
      <w:r w:rsidR="007A6075">
        <w:t>when it comes to legislation, administration and treatment of oversight</w:t>
      </w:r>
      <w:r w:rsidR="00E7289D">
        <w:t xml:space="preserve"> </w:t>
      </w:r>
      <w:r w:rsidR="00365010">
        <w:t>clearly indicates a need for a stronger dialogue model</w:t>
      </w:r>
      <w:r w:rsidR="00F40893">
        <w:t xml:space="preserve">, such as those found in other common law jurisdictions which involve </w:t>
      </w:r>
      <w:r w:rsidR="00365010">
        <w:t>the courts as independent overseers.</w:t>
      </w:r>
      <w:r w:rsidR="00EA49AC">
        <w:rPr>
          <w:rStyle w:val="FootnoteReference"/>
        </w:rPr>
        <w:footnoteReference w:id="9"/>
      </w:r>
    </w:p>
    <w:p w:rsidR="0014304F" w:rsidRDefault="0014304F" w:rsidP="005D0534"/>
    <w:p w:rsidR="0042308A" w:rsidRPr="0042308A" w:rsidRDefault="0042308A" w:rsidP="0042308A">
      <w:pPr>
        <w:pStyle w:val="Heading1"/>
      </w:pPr>
      <w:r>
        <w:t xml:space="preserve">Traditional Rights and Freedoms vs Human Rights Law </w:t>
      </w:r>
    </w:p>
    <w:p w:rsidR="005D0534" w:rsidRDefault="005D0534" w:rsidP="005D0534"/>
    <w:p w:rsidR="0042308A" w:rsidRDefault="005922FB" w:rsidP="00F40893">
      <w:r>
        <w:t xml:space="preserve">As the </w:t>
      </w:r>
      <w:r w:rsidRPr="005922FB">
        <w:rPr>
          <w:i/>
        </w:rPr>
        <w:t>Interim Report</w:t>
      </w:r>
      <w:r>
        <w:t xml:space="preserve"> makes clear, </w:t>
      </w:r>
      <w:r w:rsidR="00681AA0">
        <w:t>many of the TRFs in the t</w:t>
      </w:r>
      <w:r>
        <w:t xml:space="preserve">erms of </w:t>
      </w:r>
      <w:r w:rsidR="00681AA0">
        <w:t>r</w:t>
      </w:r>
      <w:r>
        <w:t xml:space="preserve">eference </w:t>
      </w:r>
      <w:r w:rsidR="007A6075">
        <w:t xml:space="preserve">have had </w:t>
      </w:r>
      <w:r>
        <w:t>questionable</w:t>
      </w:r>
      <w:r w:rsidR="007A6075">
        <w:t xml:space="preserve"> histories of protection under Australian law</w:t>
      </w:r>
      <w:r>
        <w:t>. Some, such as freedom of speech and freedom of association, are inarguably traditional and internationally</w:t>
      </w:r>
      <w:r>
        <w:noBreakHyphen/>
        <w:t xml:space="preserve">respected, yet suffer from severely limited protection </w:t>
      </w:r>
      <w:r w:rsidR="007A6075">
        <w:t>in Australia</w:t>
      </w:r>
      <w:r>
        <w:t>.</w:t>
      </w:r>
      <w:r w:rsidR="000D44E9">
        <w:t xml:space="preserve"> Others which concern court processes directly enjoy better protection due to the constitutional position of the courts, but even this protection sometimes falls short of international human rights standards. </w:t>
      </w:r>
    </w:p>
    <w:p w:rsidR="007E0102" w:rsidRDefault="007E0102" w:rsidP="005D0534"/>
    <w:p w:rsidR="007E0102" w:rsidRDefault="007E0102" w:rsidP="007E0102">
      <w:pPr>
        <w:pStyle w:val="Heading3"/>
        <w:rPr>
          <w:rStyle w:val="IntenseEmphasis"/>
          <w:i w:val="0"/>
          <w:iCs w:val="0"/>
          <w:color w:val="1F4D78" w:themeColor="accent1" w:themeShade="7F"/>
        </w:rPr>
      </w:pPr>
      <w:r w:rsidRPr="007E0102">
        <w:rPr>
          <w:rStyle w:val="IntenseEmphasis"/>
          <w:i w:val="0"/>
          <w:iCs w:val="0"/>
          <w:color w:val="1F4D78" w:themeColor="accent1" w:themeShade="7F"/>
        </w:rPr>
        <w:lastRenderedPageBreak/>
        <w:t>Rights concerning the courts directly</w:t>
      </w:r>
    </w:p>
    <w:p w:rsidR="008D21CD" w:rsidRDefault="007E0102">
      <w:r>
        <w:br/>
      </w:r>
      <w:r w:rsidR="005922FB">
        <w:t xml:space="preserve">It is no coincidence that some of the rights best protected by the common law are fair trial rights and rights </w:t>
      </w:r>
      <w:r w:rsidR="00637314">
        <w:t>concerning</w:t>
      </w:r>
      <w:r w:rsidR="005922FB">
        <w:t xml:space="preserve"> access to </w:t>
      </w:r>
      <w:r w:rsidR="00637314">
        <w:t>justice</w:t>
      </w:r>
      <w:r w:rsidR="005922FB">
        <w:t>. Incidents of the judicial power in Chapter III of the Constitution and rights considered fundamental to the operation of justice are strongly enforced by the courts, up until the point at which they come into conflict with unambiguous legislative overrides.</w:t>
      </w:r>
      <w:r w:rsidR="008D21CD">
        <w:t xml:space="preserve"> This is the proper approach under our constitutional arrangements, and it would be appropriate if Parliament only passed laws which </w:t>
      </w:r>
      <w:r w:rsidR="00AE096B">
        <w:t xml:space="preserve">interfere with </w:t>
      </w:r>
      <w:r w:rsidR="008D21CD">
        <w:t>these rights very rarely and in case of demonstra</w:t>
      </w:r>
      <w:r w:rsidR="00171CAD">
        <w:t>ted</w:t>
      </w:r>
      <w:r w:rsidR="008D21CD">
        <w:t xml:space="preserve"> necessity. </w:t>
      </w:r>
    </w:p>
    <w:p w:rsidR="005922FB" w:rsidRDefault="008D21CD" w:rsidP="00F40893">
      <w:r>
        <w:t xml:space="preserve">However, the </w:t>
      </w:r>
      <w:r w:rsidRPr="00637314">
        <w:rPr>
          <w:i/>
        </w:rPr>
        <w:t>Interim Report</w:t>
      </w:r>
      <w:r>
        <w:t xml:space="preserve"> makes it clear that laws </w:t>
      </w:r>
      <w:r w:rsidR="008B4601">
        <w:t xml:space="preserve">limiting access to the courts, </w:t>
      </w:r>
      <w:r>
        <w:t xml:space="preserve">placing the onus on the defendant in criminal trials, </w:t>
      </w:r>
      <w:r w:rsidR="008B4601">
        <w:t xml:space="preserve">removing protection against </w:t>
      </w:r>
      <w:r w:rsidR="00E33B14">
        <w:t xml:space="preserve">self-incrimination, </w:t>
      </w:r>
      <w:r>
        <w:t>restricting open justice, limiting the right to legal representation</w:t>
      </w:r>
      <w:r w:rsidR="008B4601">
        <w:t xml:space="preserve"> – </w:t>
      </w:r>
      <w:r>
        <w:t>even</w:t>
      </w:r>
      <w:r w:rsidR="008B4601">
        <w:t xml:space="preserve"> </w:t>
      </w:r>
      <w:r>
        <w:t xml:space="preserve">overriding the </w:t>
      </w:r>
      <w:r w:rsidR="00637314">
        <w:t xml:space="preserve">deep-rooted </w:t>
      </w:r>
      <w:r>
        <w:t>principle of double jeopardy</w:t>
      </w:r>
      <w:r w:rsidR="008B4601">
        <w:t xml:space="preserve"> – </w:t>
      </w:r>
      <w:r>
        <w:t>are</w:t>
      </w:r>
      <w:r w:rsidR="008B4601">
        <w:t xml:space="preserve"> </w:t>
      </w:r>
      <w:r>
        <w:t>proliferating in Australia.</w:t>
      </w:r>
      <w:r w:rsidR="008B4601">
        <w:t xml:space="preserve"> Too often, the justifications advanced by the Government are va</w:t>
      </w:r>
      <w:r w:rsidR="00D87C19">
        <w:t xml:space="preserve">gue or involve prejudgment. For </w:t>
      </w:r>
      <w:r w:rsidR="008B4601">
        <w:t xml:space="preserve">example </w:t>
      </w:r>
      <w:r w:rsidR="008B4601" w:rsidRPr="008B4601">
        <w:t>‘protecting national security</w:t>
      </w:r>
      <w:r w:rsidR="008B4601">
        <w:t>,</w:t>
      </w:r>
      <w:r w:rsidR="008B4601" w:rsidRPr="008B4601">
        <w:t>’</w:t>
      </w:r>
      <w:r w:rsidR="008B4601">
        <w:t xml:space="preserve"> ‘overcoming difficulties in prosecuting certain offences’ (in relation to strict liability) or ‘limiting fruitless appeals’ (especially in relation to immigration matters). As noted in the </w:t>
      </w:r>
      <w:r w:rsidR="008B4601" w:rsidRPr="00637314">
        <w:rPr>
          <w:i/>
        </w:rPr>
        <w:t>Interim Report</w:t>
      </w:r>
      <w:r w:rsidR="008B4601">
        <w:t>, concerns have been raised continually</w:t>
      </w:r>
      <w:r w:rsidR="00171CAD">
        <w:t xml:space="preserve"> about these kinds of provisions and the </w:t>
      </w:r>
      <w:r w:rsidR="00637314">
        <w:t xml:space="preserve">inadequate </w:t>
      </w:r>
      <w:r w:rsidR="00171CAD">
        <w:t>justifications provided for them by the Government.</w:t>
      </w:r>
    </w:p>
    <w:p w:rsidR="007E0102" w:rsidRDefault="00171CAD" w:rsidP="00F40893">
      <w:r>
        <w:t xml:space="preserve">The courts naturally do all they can to </w:t>
      </w:r>
      <w:r w:rsidR="007E0102">
        <w:t>protect their ‘essential character,’ including ensuring fair trials and equality before the law.</w:t>
      </w:r>
      <w:r>
        <w:rPr>
          <w:rStyle w:val="FootnoteReference"/>
        </w:rPr>
        <w:footnoteReference w:id="10"/>
      </w:r>
      <w:r w:rsidR="007E0102">
        <w:t xml:space="preserve"> </w:t>
      </w:r>
      <w:r w:rsidR="000306EF">
        <w:t xml:space="preserve">This provides an important measure of rights protection for those appearing before them. </w:t>
      </w:r>
      <w:r w:rsidR="007E0102">
        <w:t>However, the Parliament’s heavy-handed regulation of many judicial processes is making this task increasingly difficult.</w:t>
      </w:r>
    </w:p>
    <w:p w:rsidR="00AF10DD" w:rsidRPr="00681AA0" w:rsidRDefault="00AF10DD" w:rsidP="00681AA0">
      <w:r w:rsidRPr="00AF10DD">
        <w:t>A</w:t>
      </w:r>
      <w:r w:rsidR="00637314">
        <w:t xml:space="preserve">n extreme example of a potential circumvention of justice is the </w:t>
      </w:r>
      <w:r w:rsidRPr="00AF10DD">
        <w:rPr>
          <w:lang/>
        </w:rPr>
        <w:t>Australian Citizenship Amendment (Allegiance to Australia) Bill 2015</w:t>
      </w:r>
      <w:r w:rsidR="00637314">
        <w:rPr>
          <w:lang/>
        </w:rPr>
        <w:t>, which</w:t>
      </w:r>
      <w:r w:rsidRPr="00AF10DD">
        <w:rPr>
          <w:lang/>
        </w:rPr>
        <w:t xml:space="preserve"> would prescribe the extremely grave consequence of a</w:t>
      </w:r>
      <w:r w:rsidR="0018676C">
        <w:rPr>
          <w:lang/>
        </w:rPr>
        <w:t xml:space="preserve"> permanent</w:t>
      </w:r>
      <w:r w:rsidRPr="00AF10DD">
        <w:rPr>
          <w:lang/>
        </w:rPr>
        <w:t xml:space="preserve"> loss of Australian citizenship </w:t>
      </w:r>
      <w:r w:rsidR="004C33C2">
        <w:rPr>
          <w:lang/>
        </w:rPr>
        <w:t xml:space="preserve">(for adults and children) </w:t>
      </w:r>
      <w:r w:rsidRPr="00AF10DD">
        <w:rPr>
          <w:lang/>
        </w:rPr>
        <w:t xml:space="preserve">in a manner which involves no administrative decision, and </w:t>
      </w:r>
      <w:r w:rsidR="00914E4C">
        <w:rPr>
          <w:lang/>
        </w:rPr>
        <w:t xml:space="preserve">arguably </w:t>
      </w:r>
      <w:r w:rsidR="004C33C2">
        <w:rPr>
          <w:lang/>
        </w:rPr>
        <w:t xml:space="preserve">could </w:t>
      </w:r>
      <w:r w:rsidR="0018676C">
        <w:rPr>
          <w:lang/>
        </w:rPr>
        <w:t xml:space="preserve">not </w:t>
      </w:r>
      <w:r w:rsidRPr="00AF10DD">
        <w:rPr>
          <w:lang/>
        </w:rPr>
        <w:t xml:space="preserve">therefore </w:t>
      </w:r>
      <w:r w:rsidR="00637314">
        <w:rPr>
          <w:lang/>
        </w:rPr>
        <w:t>be</w:t>
      </w:r>
      <w:r w:rsidRPr="00AF10DD">
        <w:rPr>
          <w:lang/>
        </w:rPr>
        <w:t xml:space="preserve"> subject to judicial review.</w:t>
      </w:r>
      <w:r w:rsidR="004C33C2">
        <w:rPr>
          <w:rStyle w:val="FootnoteReference"/>
          <w:lang/>
        </w:rPr>
        <w:footnoteReference w:id="11"/>
      </w:r>
      <w:r>
        <w:rPr>
          <w:lang/>
        </w:rPr>
        <w:t xml:space="preserve"> </w:t>
      </w:r>
      <w:r w:rsidR="004C33C2">
        <w:rPr>
          <w:lang/>
        </w:rPr>
        <w:t>A</w:t>
      </w:r>
      <w:r w:rsidR="00637314">
        <w:rPr>
          <w:lang/>
        </w:rPr>
        <w:t xml:space="preserve"> high profile </w:t>
      </w:r>
      <w:r w:rsidR="004C33C2">
        <w:rPr>
          <w:lang/>
        </w:rPr>
        <w:t>parliamentary inquiry into the Bill by the Joint Committee on Intelligence and Security (</w:t>
      </w:r>
      <w:r w:rsidR="00AF7173">
        <w:rPr>
          <w:lang/>
        </w:rPr>
        <w:t xml:space="preserve">possibly the only parliamentary committee to be </w:t>
      </w:r>
      <w:r w:rsidR="004C33C2">
        <w:rPr>
          <w:lang/>
        </w:rPr>
        <w:t>described as ‘</w:t>
      </w:r>
      <w:r w:rsidR="0018676C">
        <w:rPr>
          <w:lang/>
        </w:rPr>
        <w:t>high</w:t>
      </w:r>
      <w:r w:rsidR="0018676C">
        <w:rPr>
          <w:lang/>
        </w:rPr>
        <w:noBreakHyphen/>
      </w:r>
      <w:r w:rsidR="004C33C2">
        <w:rPr>
          <w:lang/>
        </w:rPr>
        <w:t>powered’ in the media</w:t>
      </w:r>
      <w:r w:rsidR="004C33C2">
        <w:rPr>
          <w:rStyle w:val="FootnoteReference"/>
          <w:lang/>
        </w:rPr>
        <w:footnoteReference w:id="12"/>
      </w:r>
      <w:r w:rsidR="004C33C2">
        <w:rPr>
          <w:lang/>
        </w:rPr>
        <w:t xml:space="preserve">) </w:t>
      </w:r>
      <w:r w:rsidR="0018676C">
        <w:rPr>
          <w:lang/>
        </w:rPr>
        <w:t>noted that Canada, New Zealand, the US and the UK all have citizenship deprivation mechanisms which preserve a role for the courts (either directly or as reviewers),</w:t>
      </w:r>
      <w:r w:rsidR="00AF7173">
        <w:rPr>
          <w:lang/>
        </w:rPr>
        <w:t xml:space="preserve"> and that legal expert submission expressed ‘strong concerns,’</w:t>
      </w:r>
      <w:r w:rsidR="0018676C">
        <w:rPr>
          <w:lang/>
        </w:rPr>
        <w:t xml:space="preserve"> but did not recommend the proposed Australian mechanism be changed accordingly.</w:t>
      </w:r>
      <w:r w:rsidR="004C33C2">
        <w:rPr>
          <w:rStyle w:val="FootnoteReference"/>
          <w:lang/>
        </w:rPr>
        <w:footnoteReference w:id="13"/>
      </w:r>
      <w:r w:rsidR="00681AA0" w:rsidRPr="00681AA0">
        <w:rPr>
          <w:lang/>
        </w:rPr>
        <w:t xml:space="preserve"> </w:t>
      </w:r>
      <w:r w:rsidRPr="00681AA0">
        <w:rPr>
          <w:lang/>
        </w:rPr>
        <w:t>In</w:t>
      </w:r>
      <w:r w:rsidR="00681AA0">
        <w:rPr>
          <w:lang/>
        </w:rPr>
        <w:t> </w:t>
      </w:r>
      <w:r w:rsidRPr="00681AA0">
        <w:rPr>
          <w:lang/>
        </w:rPr>
        <w:t>the face of such legislation, the courts’ ability to protect Australians’ rights suffers.</w:t>
      </w:r>
    </w:p>
    <w:p w:rsidR="007E0102" w:rsidRDefault="007E0102" w:rsidP="00171CAD"/>
    <w:p w:rsidR="007E0102" w:rsidRDefault="007E0102" w:rsidP="007E0102">
      <w:pPr>
        <w:pStyle w:val="Heading3"/>
      </w:pPr>
      <w:r>
        <w:t>All Other Rights</w:t>
      </w:r>
    </w:p>
    <w:p w:rsidR="00171CAD" w:rsidRDefault="007E0102" w:rsidP="00F40893">
      <w:r>
        <w:br/>
        <w:t xml:space="preserve">When it comes to rights (such as freedom of speech, religion, movement and </w:t>
      </w:r>
      <w:r w:rsidR="000306EF">
        <w:t>association</w:t>
      </w:r>
      <w:r w:rsidR="00AF10DD">
        <w:t xml:space="preserve"> </w:t>
      </w:r>
      <w:r w:rsidR="000306EF">
        <w:t>and many others</w:t>
      </w:r>
      <w:r>
        <w:t xml:space="preserve">) which do not relate directly to curial processes, Australians’ prospects for enforcement are </w:t>
      </w:r>
      <w:r w:rsidR="00AF10DD">
        <w:t>uncertain at best</w:t>
      </w:r>
      <w:r>
        <w:t xml:space="preserve">. </w:t>
      </w:r>
      <w:r w:rsidR="000306EF">
        <w:t xml:space="preserve">A law which undermines the ‘essential character’ of a court may be ruled unconstitutional, but one </w:t>
      </w:r>
      <w:r w:rsidR="001F3C04" w:rsidRPr="001F3C04">
        <w:t xml:space="preserve">which criminalises mere association with a proscribed organisation (section 102.8 of the of the </w:t>
      </w:r>
      <w:r w:rsidR="001F3C04" w:rsidRPr="001F3C04">
        <w:rPr>
          <w:i/>
        </w:rPr>
        <w:t>Commonwealth Criminal Code</w:t>
      </w:r>
      <w:r w:rsidR="001F3C04" w:rsidRPr="001F3C04">
        <w:t xml:space="preserve">) or simply visiting a certain area (section 119.2) is </w:t>
      </w:r>
      <w:r w:rsidR="009704E1">
        <w:t xml:space="preserve">very difficult to </w:t>
      </w:r>
      <w:r w:rsidR="001F3C04" w:rsidRPr="001F3C04">
        <w:t>challenge, unless it is ambiguously drafted.</w:t>
      </w:r>
    </w:p>
    <w:p w:rsidR="00882FCC" w:rsidRDefault="00882FCC">
      <w:r>
        <w:t>One of the most controversial rights restrictions enshrined in Commonwealth legislation is the prescription of indefinite detention for ‘unlawful non</w:t>
      </w:r>
      <w:r>
        <w:noBreakHyphen/>
        <w:t xml:space="preserve">citizens’ </w:t>
      </w:r>
      <w:r w:rsidR="00EC0037">
        <w:t xml:space="preserve">(regardless of personal circumstances) </w:t>
      </w:r>
      <w:r>
        <w:t xml:space="preserve">in the </w:t>
      </w:r>
      <w:r w:rsidRPr="00882FCC">
        <w:rPr>
          <w:i/>
        </w:rPr>
        <w:t>Migration Act 1958</w:t>
      </w:r>
      <w:r>
        <w:t xml:space="preserve">. </w:t>
      </w:r>
      <w:r w:rsidR="001F3C04" w:rsidRPr="001F3C04">
        <w:t xml:space="preserve">Since </w:t>
      </w:r>
      <w:r w:rsidR="001F3C04" w:rsidRPr="001F3C04">
        <w:rPr>
          <w:i/>
        </w:rPr>
        <w:t>habeas corpus</w:t>
      </w:r>
      <w:r w:rsidR="001F3C04" w:rsidRPr="001F3C04">
        <w:t xml:space="preserve"> and personal liberty were curiously omitted from the list of TRFs in the terms of reference, and the </w:t>
      </w:r>
      <w:r w:rsidR="001F3C04" w:rsidRPr="001F3C04">
        <w:rPr>
          <w:i/>
        </w:rPr>
        <w:t xml:space="preserve">Interim Report </w:t>
      </w:r>
      <w:r w:rsidR="001F3C04" w:rsidRPr="001F3C04">
        <w:t>does not contain a Chapter 19 on ‘Other Rights, Freedoms and Privileges’ (as presaged in</w:t>
      </w:r>
      <w:r w:rsidR="001F3C04" w:rsidRPr="001F3C04">
        <w:rPr>
          <w:i/>
        </w:rPr>
        <w:t xml:space="preserve"> IP46</w:t>
      </w:r>
      <w:r w:rsidR="001F3C04" w:rsidRPr="001F3C04">
        <w:t xml:space="preserve">), it seems that the justification for this and related provisions will not be examined by the present inquiry (except perhaps indirectly).  </w:t>
      </w:r>
    </w:p>
    <w:p w:rsidR="0060769E" w:rsidRDefault="00681AA0" w:rsidP="00F40893">
      <w:r>
        <w:t>The terms of r</w:t>
      </w:r>
      <w:r w:rsidR="0060769E">
        <w:t xml:space="preserve">eference </w:t>
      </w:r>
      <w:r w:rsidR="00677829">
        <w:t xml:space="preserve">also </w:t>
      </w:r>
      <w:r w:rsidR="0060769E">
        <w:t xml:space="preserve">specifically require the inquiry to consider workplace relations laws, </w:t>
      </w:r>
      <w:r w:rsidR="003174DF">
        <w:t xml:space="preserve">and to consider their effect on, for example, </w:t>
      </w:r>
      <w:r w:rsidR="00830C2A">
        <w:t xml:space="preserve">freedom of religion and </w:t>
      </w:r>
      <w:r w:rsidR="003174DF">
        <w:t xml:space="preserve">freedom </w:t>
      </w:r>
      <w:r w:rsidR="00830C2A">
        <w:t>of association, but preclude detailed consideration of other highly pertinent rights such as the work</w:t>
      </w:r>
      <w:r w:rsidR="00830C2A">
        <w:noBreakHyphen/>
        <w:t xml:space="preserve">related rights in the International Covenant on Economic, Social and Cultural Rights and various International Labor Organization treaties (even though many of the relevant submissions </w:t>
      </w:r>
      <w:r w:rsidR="003174DF">
        <w:t xml:space="preserve">to the inquiry </w:t>
      </w:r>
      <w:r w:rsidR="00830C2A">
        <w:t>referred to these treaties).</w:t>
      </w:r>
      <w:r w:rsidR="00830C2A">
        <w:rPr>
          <w:rStyle w:val="FootnoteReference"/>
        </w:rPr>
        <w:footnoteReference w:id="14"/>
      </w:r>
      <w:r w:rsidR="00677829">
        <w:t xml:space="preserve"> </w:t>
      </w:r>
    </w:p>
    <w:p w:rsidR="00677829" w:rsidRDefault="00677829" w:rsidP="00F40893">
      <w:r w:rsidRPr="00677829">
        <w:t>This</w:t>
      </w:r>
      <w:r>
        <w:t xml:space="preserve"> selectiveness</w:t>
      </w:r>
      <w:r w:rsidRPr="00677829">
        <w:t xml:space="preserve"> </w:t>
      </w:r>
      <w:r>
        <w:t>in the terms of reference underpins</w:t>
      </w:r>
      <w:r w:rsidRPr="00677829">
        <w:t xml:space="preserve">, in our view, one of the most powerful arguments for the inappropriateness of the Attorney-General’s selected TRFs as a benchmark for assessing the rights compatibility of Commonwealth laws. The ability of the Government to avoid </w:t>
      </w:r>
      <w:r w:rsidR="00681AA0">
        <w:t xml:space="preserve">(further) </w:t>
      </w:r>
      <w:r w:rsidRPr="00677829">
        <w:t xml:space="preserve">unwelcome recommendations by setting its own standards undermines what is otherwise a welcome and </w:t>
      </w:r>
      <w:r w:rsidR="00681AA0">
        <w:t>overdue</w:t>
      </w:r>
      <w:r w:rsidRPr="00677829">
        <w:t xml:space="preserve"> </w:t>
      </w:r>
      <w:r w:rsidR="00681AA0">
        <w:t>audit of the statute book</w:t>
      </w:r>
      <w:r w:rsidRPr="00677829">
        <w:t>.</w:t>
      </w:r>
    </w:p>
    <w:p w:rsidR="0042308A" w:rsidRDefault="00677829" w:rsidP="00F40893">
      <w:r>
        <w:t xml:space="preserve">Human rights are interrelated, interdependent and indivisible. The </w:t>
      </w:r>
      <w:r w:rsidRPr="00882FCC">
        <w:t>present inquiry</w:t>
      </w:r>
      <w:r>
        <w:rPr>
          <w:i/>
        </w:rPr>
        <w:t xml:space="preserve"> </w:t>
      </w:r>
      <w:r>
        <w:t>is one of many investigations which have revealed the enormously variable recognition and/or protection afforded to rights under Australian law, and highlight the need for a more cogent and consistent approach.</w:t>
      </w:r>
    </w:p>
    <w:p w:rsidR="0042308A" w:rsidRDefault="0042308A" w:rsidP="005D0534"/>
    <w:p w:rsidR="0042308A" w:rsidRDefault="00252CF3" w:rsidP="00F40893">
      <w:pPr>
        <w:pStyle w:val="Heading1"/>
      </w:pPr>
      <w:r>
        <w:lastRenderedPageBreak/>
        <w:t xml:space="preserve">Adequacy of </w:t>
      </w:r>
      <w:r w:rsidR="0042308A">
        <w:t>Existing Scrutiny</w:t>
      </w:r>
      <w:r w:rsidR="001512D3">
        <w:t>/Monitoring</w:t>
      </w:r>
      <w:r w:rsidR="0042308A">
        <w:t xml:space="preserve"> Mechanisms</w:t>
      </w:r>
    </w:p>
    <w:p w:rsidR="0042308A" w:rsidRDefault="0042308A" w:rsidP="00F40893">
      <w:pPr>
        <w:keepNext/>
      </w:pPr>
    </w:p>
    <w:p w:rsidR="009F2F5C" w:rsidRDefault="00677829" w:rsidP="00F40893">
      <w:pPr>
        <w:keepNext/>
      </w:pPr>
      <w:r>
        <w:t xml:space="preserve">The </w:t>
      </w:r>
      <w:r w:rsidR="00DB24E5">
        <w:t xml:space="preserve">concept </w:t>
      </w:r>
      <w:r>
        <w:t xml:space="preserve">of procedurally justified legislation, as </w:t>
      </w:r>
      <w:r w:rsidR="00DB24E5">
        <w:t xml:space="preserve">presented on page 33 of the </w:t>
      </w:r>
      <w:r w:rsidR="00DB24E5" w:rsidRPr="00DB24E5">
        <w:rPr>
          <w:i/>
        </w:rPr>
        <w:t>Interim Report</w:t>
      </w:r>
      <w:r w:rsidR="00DB24E5">
        <w:rPr>
          <w:i/>
        </w:rPr>
        <w:t>,</w:t>
      </w:r>
      <w:r w:rsidR="00DB24E5">
        <w:t xml:space="preserve"> is sound. Australia’s current system of democratic checks and balances on legislation includes several procedures as identified by the ALRC </w:t>
      </w:r>
      <w:r w:rsidR="009F2F5C">
        <w:t xml:space="preserve">aimed at maximising compatibility with rights and freedoms. Some of these (including the work of the JCHR and the AHRC) are specifically aimed at </w:t>
      </w:r>
      <w:r w:rsidR="00187B53">
        <w:t xml:space="preserve">ensuring </w:t>
      </w:r>
      <w:r w:rsidR="009F2F5C">
        <w:t xml:space="preserve">compatibility with Australia’s international human rights obligations. </w:t>
      </w:r>
    </w:p>
    <w:p w:rsidR="00EB5C04" w:rsidRDefault="009F2F5C" w:rsidP="0042308A">
      <w:r>
        <w:t xml:space="preserve">However, </w:t>
      </w:r>
      <w:r w:rsidR="00513490">
        <w:t xml:space="preserve">most of </w:t>
      </w:r>
      <w:r>
        <w:t xml:space="preserve">these procedures have </w:t>
      </w:r>
      <w:r w:rsidR="00513490">
        <w:t xml:space="preserve">been in place for some time, and they have </w:t>
      </w:r>
      <w:r>
        <w:t xml:space="preserve">not prevented the passage of </w:t>
      </w:r>
      <w:r w:rsidR="00EB5C04">
        <w:t xml:space="preserve">Commonwealth </w:t>
      </w:r>
      <w:r>
        <w:t xml:space="preserve">legislation facilitating (or even </w:t>
      </w:r>
      <w:r w:rsidR="00473743">
        <w:t>mandating</w:t>
      </w:r>
      <w:r>
        <w:t xml:space="preserve">) actions found to breach Australia’s obligations by independent </w:t>
      </w:r>
      <w:r w:rsidR="00473743">
        <w:t>actors</w:t>
      </w:r>
      <w:r>
        <w:t xml:space="preserve"> such as the UN Human Rights </w:t>
      </w:r>
      <w:r w:rsidR="00EB5C04">
        <w:t>Treaty Bodies</w:t>
      </w:r>
      <w:r>
        <w:t xml:space="preserve">. </w:t>
      </w:r>
      <w:r w:rsidR="00EB5C04">
        <w:t>Examples include</w:t>
      </w:r>
      <w:r w:rsidR="00513490">
        <w:t xml:space="preserve"> laws which authorise</w:t>
      </w:r>
      <w:r w:rsidR="00EB5C04">
        <w:t>:</w:t>
      </w:r>
    </w:p>
    <w:p w:rsidR="00EB5C04" w:rsidRDefault="00EB5C04" w:rsidP="00EB5C04">
      <w:pPr>
        <w:pStyle w:val="ListParagraph"/>
        <w:numPr>
          <w:ilvl w:val="0"/>
          <w:numId w:val="1"/>
        </w:numPr>
      </w:pPr>
      <w:r>
        <w:t>i</w:t>
      </w:r>
      <w:r w:rsidR="009F2F5C">
        <w:t>ndefinite administrative detention (</w:t>
      </w:r>
      <w:r>
        <w:t xml:space="preserve">including of children, </w:t>
      </w:r>
      <w:r w:rsidR="009F2F5C">
        <w:t>sometimes in conditions</w:t>
      </w:r>
      <w:r>
        <w:t xml:space="preserve"> constituting cruel, inhuman or degrading treatment</w:t>
      </w:r>
      <w:r w:rsidR="009F2F5C">
        <w:t xml:space="preserve">); </w:t>
      </w:r>
    </w:p>
    <w:p w:rsidR="00EB5C04" w:rsidRDefault="009F2F5C" w:rsidP="00EB5C04">
      <w:pPr>
        <w:pStyle w:val="ListParagraph"/>
        <w:numPr>
          <w:ilvl w:val="0"/>
          <w:numId w:val="1"/>
        </w:numPr>
      </w:pPr>
      <w:r>
        <w:t xml:space="preserve">deportation </w:t>
      </w:r>
      <w:r w:rsidR="00EB5C04">
        <w:t xml:space="preserve">of people </w:t>
      </w:r>
      <w:r>
        <w:t>without rigorous consideration of</w:t>
      </w:r>
      <w:r w:rsidR="00EB5C04">
        <w:t xml:space="preserve"> implications for</w:t>
      </w:r>
      <w:r>
        <w:t xml:space="preserve"> </w:t>
      </w:r>
      <w:r w:rsidRPr="00EB5C04">
        <w:rPr>
          <w:i/>
        </w:rPr>
        <w:t>refoulement</w:t>
      </w:r>
      <w:r>
        <w:t xml:space="preserve"> </w:t>
      </w:r>
      <w:r w:rsidR="00EB5C04">
        <w:t>prohibition or families’ rights</w:t>
      </w:r>
      <w:r w:rsidR="00513490">
        <w:t xml:space="preserve"> (sometimes simultaneously rendering judicial </w:t>
      </w:r>
      <w:r w:rsidR="001B5CD1">
        <w:t xml:space="preserve">and/or merits </w:t>
      </w:r>
      <w:r w:rsidR="00513490">
        <w:t>review unavailable)</w:t>
      </w:r>
      <w:r w:rsidR="00EB5C04">
        <w:t>;</w:t>
      </w:r>
    </w:p>
    <w:p w:rsidR="00EB5C04" w:rsidRDefault="00EB5C04" w:rsidP="00EB5C04">
      <w:pPr>
        <w:pStyle w:val="ListParagraph"/>
        <w:numPr>
          <w:ilvl w:val="0"/>
          <w:numId w:val="1"/>
        </w:numPr>
      </w:pPr>
      <w:r>
        <w:t>denial</w:t>
      </w:r>
      <w:r w:rsidR="009F2F5C">
        <w:t xml:space="preserve"> of procedural fairness in</w:t>
      </w:r>
      <w:r>
        <w:t xml:space="preserve"> respect of security assessment</w:t>
      </w:r>
      <w:r w:rsidR="001B5CD1">
        <w:t>s</w:t>
      </w:r>
      <w:r>
        <w:t>, and</w:t>
      </w:r>
    </w:p>
    <w:p w:rsidR="00EB5C04" w:rsidRPr="009F2F5C" w:rsidRDefault="00EB5C04" w:rsidP="00EB5C04">
      <w:pPr>
        <w:pStyle w:val="ListParagraph"/>
        <w:numPr>
          <w:ilvl w:val="0"/>
          <w:numId w:val="1"/>
        </w:numPr>
      </w:pPr>
      <w:r>
        <w:t>denial of the right to be present during an appeal in one’s criminal case.</w:t>
      </w:r>
    </w:p>
    <w:p w:rsidR="0042308A" w:rsidRDefault="0042308A" w:rsidP="0042308A">
      <w:r>
        <w:t xml:space="preserve">In Chapter 2 of the </w:t>
      </w:r>
      <w:r w:rsidRPr="0042308A">
        <w:rPr>
          <w:i/>
        </w:rPr>
        <w:t>Interim Report</w:t>
      </w:r>
      <w:r>
        <w:t>, it is suggested that</w:t>
      </w:r>
      <w:r w:rsidR="00187B53">
        <w:t xml:space="preserve"> existing checks on legislative power could be enhanced</w:t>
      </w:r>
      <w:r w:rsidR="0092497D">
        <w:t>. For example</w:t>
      </w:r>
      <w:r>
        <w:t>:</w:t>
      </w:r>
    </w:p>
    <w:p w:rsidR="0042308A" w:rsidRDefault="0042308A" w:rsidP="002C424D">
      <w:pPr>
        <w:pStyle w:val="Quote"/>
      </w:pPr>
      <w:r w:rsidRPr="0042308A">
        <w:t>Additional procedures could be put in place to improve the rigour of statements</w:t>
      </w:r>
      <w:r>
        <w:t xml:space="preserve"> </w:t>
      </w:r>
      <w:r w:rsidRPr="0042308A">
        <w:t>of compatibility and explanatory memoranda to assist Parliament in understanding the</w:t>
      </w:r>
      <w:r>
        <w:t xml:space="preserve"> </w:t>
      </w:r>
      <w:r w:rsidRPr="0042308A">
        <w:t>impact of proposed legislation on fundamental rights, freedoms and privileges.</w:t>
      </w:r>
      <w:r w:rsidR="005F0A00">
        <w:rPr>
          <w:rStyle w:val="FootnoteReference"/>
        </w:rPr>
        <w:footnoteReference w:id="15"/>
      </w:r>
    </w:p>
    <w:p w:rsidR="00715C15" w:rsidRDefault="0042308A" w:rsidP="0042308A">
      <w:r>
        <w:t>The Government has already stated its opposition to any requirement to provide more detailed ju</w:t>
      </w:r>
      <w:r w:rsidR="00715C15">
        <w:t xml:space="preserve">stification in Statements of Compatibility (SoCs). The JCHR, in commenting on the </w:t>
      </w:r>
      <w:r w:rsidR="00715C15" w:rsidRPr="00715C15">
        <w:t>National Security Legislation Amendment Bill (No. 1) 2014</w:t>
      </w:r>
      <w:r w:rsidR="00715C15">
        <w:t xml:space="preserve"> and its SoC, found that it contained many overly general descriptions of proposed measures which did not enable the committee to evaluate the Bill’s human rights compatibility. It requested explanations of a rational connection and proportionality assessments for each measure.</w:t>
      </w:r>
      <w:r w:rsidR="00715C15">
        <w:rPr>
          <w:rStyle w:val="FootnoteReference"/>
        </w:rPr>
        <w:footnoteReference w:id="16"/>
      </w:r>
      <w:r w:rsidR="00715C15">
        <w:t xml:space="preserve"> In his response to the JCHR, the Attorney</w:t>
      </w:r>
      <w:r w:rsidR="00715C15">
        <w:noBreakHyphen/>
        <w:t>General wrote:</w:t>
      </w:r>
    </w:p>
    <w:p w:rsidR="0042308A" w:rsidRPr="00715C15" w:rsidRDefault="00715C15" w:rsidP="002C424D">
      <w:pPr>
        <w:pStyle w:val="Quote"/>
      </w:pPr>
      <w:r w:rsidRPr="00715C15">
        <w:t>I am aware that the Committee has expressed a view that the Statement does not provide sufficient information for it to conduct any assessment of whether various provisions in the Bill (now Act) constitute permissible limitations on the rights engaged and, therefore, to reach a conclusion on whether the Bill (now Act) is compatible with human rights</w:t>
      </w:r>
      <w:r>
        <w:t>…</w:t>
      </w:r>
      <w:r w:rsidRPr="00715C15">
        <w:t>.</w:t>
      </w:r>
    </w:p>
    <w:p w:rsidR="00715C15" w:rsidRPr="00715C15" w:rsidRDefault="00715C15" w:rsidP="002C424D">
      <w:pPr>
        <w:pStyle w:val="Quote"/>
      </w:pPr>
      <w:r w:rsidRPr="00715C15">
        <w:lastRenderedPageBreak/>
        <w:t>While acknowledging that this [an itemised analysis of measure</w:t>
      </w:r>
      <w:r w:rsidR="00E53168">
        <w:t>s</w:t>
      </w:r>
      <w:r w:rsidRPr="00715C15">
        <w:t xml:space="preserve"> in legislation] is the Committee's preference based on its interpretation of </w:t>
      </w:r>
      <w:r>
        <w:t>[the relevant guidance</w:t>
      </w:r>
      <w:r w:rsidRPr="00715C15">
        <w:t xml:space="preserve"> materials</w:t>
      </w:r>
      <w:r>
        <w:t>]</w:t>
      </w:r>
      <w:r w:rsidRPr="00715C15">
        <w:t>, I do not agree with its apparent suggestion that there is a formal requirement that Statements must include "a separate and detailed analysis of each measure that may limit human rights". More particularly, I do not agree with the Committee's contention that such an itemised account is necessary in order for it to discharge, or to document in its reports any demonstrable attempt to discharge, its statutory mandate to undertake an analysis of the human rights compatibility of Bills introduced to the Parliament (especially those Bills which may limit human rights).</w:t>
      </w:r>
      <w:r w:rsidR="00DB24E5">
        <w:rPr>
          <w:rStyle w:val="FootnoteReference"/>
        </w:rPr>
        <w:footnoteReference w:id="17"/>
      </w:r>
    </w:p>
    <w:p w:rsidR="006C5BC8" w:rsidRDefault="00DB24E5" w:rsidP="0042308A">
      <w:r>
        <w:t>It should also be noted that, since the advent of the 44</w:t>
      </w:r>
      <w:r w:rsidRPr="00DB24E5">
        <w:rPr>
          <w:vertAlign w:val="superscript"/>
        </w:rPr>
        <w:t>th</w:t>
      </w:r>
      <w:r>
        <w:t xml:space="preserve"> Parliament, not a single recommendation </w:t>
      </w:r>
      <w:r w:rsidR="00513490">
        <w:t>to amend legislation</w:t>
      </w:r>
      <w:r>
        <w:t xml:space="preserve"> from the JCHR has been taken up by the Government.</w:t>
      </w:r>
      <w:r>
        <w:rPr>
          <w:rStyle w:val="FootnoteReference"/>
        </w:rPr>
        <w:footnoteReference w:id="18"/>
      </w:r>
      <w:r>
        <w:t xml:space="preserve"> By comparison, during the 43</w:t>
      </w:r>
      <w:r w:rsidRPr="00DB24E5">
        <w:rPr>
          <w:vertAlign w:val="superscript"/>
        </w:rPr>
        <w:t>rd</w:t>
      </w:r>
      <w:r>
        <w:t xml:space="preserve"> Parliament, there were at least five commitments to amend </w:t>
      </w:r>
      <w:r w:rsidR="0092497D">
        <w:t xml:space="preserve">legislation </w:t>
      </w:r>
      <w:r>
        <w:t>as a result of the JCHR’s reporting</w:t>
      </w:r>
      <w:r w:rsidR="0092497D">
        <w:t xml:space="preserve">, along with </w:t>
      </w:r>
      <w:r w:rsidR="004C0A44">
        <w:t xml:space="preserve">several </w:t>
      </w:r>
      <w:r w:rsidR="0092497D">
        <w:t>other concessions such as improvements to SoCs</w:t>
      </w:r>
      <w:r>
        <w:t>.</w:t>
      </w:r>
      <w:r>
        <w:rPr>
          <w:rStyle w:val="FootnoteReference"/>
        </w:rPr>
        <w:footnoteReference w:id="19"/>
      </w:r>
      <w:r>
        <w:t xml:space="preserve"> </w:t>
      </w:r>
      <w:r w:rsidR="0042308A">
        <w:t xml:space="preserve">The constraints on parliamentary scrutiny committees identified in the </w:t>
      </w:r>
      <w:r w:rsidR="0042308A" w:rsidRPr="0042308A">
        <w:rPr>
          <w:i/>
        </w:rPr>
        <w:t>Interim Report</w:t>
      </w:r>
      <w:r w:rsidR="00364BE2" w:rsidRPr="006C5BC8">
        <w:rPr>
          <w:rStyle w:val="FootnoteReference"/>
        </w:rPr>
        <w:footnoteReference w:id="20"/>
      </w:r>
      <w:r w:rsidR="0042308A">
        <w:t xml:space="preserve"> may well restrict their ability to produce the highest</w:t>
      </w:r>
      <w:r w:rsidR="00DE2E51">
        <w:t xml:space="preserve"> </w:t>
      </w:r>
      <w:r w:rsidR="0042308A">
        <w:t>quality reports possible</w:t>
      </w:r>
      <w:r w:rsidR="00DE2E51">
        <w:t xml:space="preserve">. However, </w:t>
      </w:r>
      <w:r w:rsidR="0042308A">
        <w:t xml:space="preserve">given the Government’s reluctance to address concerns raised in the existing (already relatively comprehensive) reports, </w:t>
      </w:r>
      <w:r w:rsidR="00364BE2">
        <w:t xml:space="preserve">focussing on these constraints </w:t>
      </w:r>
      <w:r w:rsidR="006C5BC8">
        <w:t>is unlikely to increase the efficacy of scrutiny processes significantly</w:t>
      </w:r>
      <w:r w:rsidR="00364BE2">
        <w:t>.</w:t>
      </w:r>
      <w:r w:rsidR="006C5BC8">
        <w:t xml:space="preserve"> </w:t>
      </w:r>
    </w:p>
    <w:p w:rsidR="0042308A" w:rsidRDefault="006C5BC8" w:rsidP="0042308A">
      <w:r>
        <w:t>We acknowledge that amendments resulting from committee reports should not be the sole indicator of efficacy,</w:t>
      </w:r>
      <w:r>
        <w:rPr>
          <w:rStyle w:val="FootnoteReference"/>
        </w:rPr>
        <w:footnoteReference w:id="21"/>
      </w:r>
      <w:r>
        <w:t xml:space="preserve"> but their less tangible influences, including on parliamentary debate and public service behaviour/transparency, should not be overstated. The efficacy of the JCHR’s scrutiny processes, including at the Australian Public Service level, ha</w:t>
      </w:r>
      <w:r w:rsidR="00677829">
        <w:t>s</w:t>
      </w:r>
      <w:r>
        <w:t xml:space="preserve"> been the subject of intensive research by this author, and the (as yet unpublished) results are not promising.</w:t>
      </w:r>
      <w:r w:rsidR="005D28F4">
        <w:t xml:space="preserve"> </w:t>
      </w:r>
      <w:r w:rsidR="007B2C04">
        <w:t>For example, r</w:t>
      </w:r>
      <w:r w:rsidR="005D28F4">
        <w:t xml:space="preserve">eferences in parliamentary debate </w:t>
      </w:r>
      <w:r w:rsidR="007B2C04">
        <w:t xml:space="preserve">could be described as vanishingly few compared with </w:t>
      </w:r>
      <w:r w:rsidR="005D28F4">
        <w:t xml:space="preserve">the </w:t>
      </w:r>
      <w:r w:rsidR="007B2C04">
        <w:t>references</w:t>
      </w:r>
      <w:r w:rsidR="005D28F4">
        <w:t xml:space="preserve"> </w:t>
      </w:r>
      <w:r w:rsidR="007B2C04">
        <w:t xml:space="preserve">made </w:t>
      </w:r>
      <w:r w:rsidR="005D28F4">
        <w:t xml:space="preserve">in the UK </w:t>
      </w:r>
      <w:r w:rsidR="007B2C04">
        <w:t>Parliament to</w:t>
      </w:r>
      <w:r w:rsidR="005D28F4">
        <w:t xml:space="preserve"> its equivalent committee </w:t>
      </w:r>
      <w:r w:rsidR="007B2C04">
        <w:t xml:space="preserve">(particularly </w:t>
      </w:r>
      <w:r w:rsidR="005D28F4">
        <w:t>since 2005</w:t>
      </w:r>
      <w:r w:rsidR="007B2C04">
        <w:t>)</w:t>
      </w:r>
      <w:r w:rsidR="005D28F4">
        <w:t>.</w:t>
      </w:r>
      <w:r w:rsidR="005D28F4">
        <w:rPr>
          <w:rStyle w:val="FootnoteReference"/>
        </w:rPr>
        <w:footnoteReference w:id="22"/>
      </w:r>
      <w:r>
        <w:t xml:space="preserve"> </w:t>
      </w:r>
      <w:r w:rsidR="000D4669">
        <w:t>In addition, the UK Committee is frequently described by experts as principled</w:t>
      </w:r>
      <w:r w:rsidR="009F3C28">
        <w:t>, robust</w:t>
      </w:r>
      <w:r w:rsidR="000D4669">
        <w:t xml:space="preserve"> and well-respected,</w:t>
      </w:r>
      <w:r w:rsidR="000D4669">
        <w:rPr>
          <w:rStyle w:val="FootnoteReference"/>
        </w:rPr>
        <w:footnoteReference w:id="23"/>
      </w:r>
      <w:r w:rsidR="000D4669">
        <w:t xml:space="preserve"> whereas</w:t>
      </w:r>
      <w:r w:rsidR="009F3C28">
        <w:t xml:space="preserve"> the Australian JCHR has, since 2014, tended away from the bipartisanship</w:t>
      </w:r>
      <w:r w:rsidR="009F3C28">
        <w:rPr>
          <w:rStyle w:val="FootnoteReference"/>
        </w:rPr>
        <w:footnoteReference w:id="24"/>
      </w:r>
      <w:r w:rsidR="009F3C28">
        <w:t xml:space="preserve"> and thoroughness of analysis</w:t>
      </w:r>
      <w:r w:rsidR="009F3C28">
        <w:rPr>
          <w:rStyle w:val="FootnoteReference"/>
        </w:rPr>
        <w:footnoteReference w:id="25"/>
      </w:r>
      <w:r w:rsidR="009F3C28">
        <w:t xml:space="preserve"> which </w:t>
      </w:r>
      <w:r w:rsidR="009F3C28">
        <w:lastRenderedPageBreak/>
        <w:t xml:space="preserve">characterised its early years. Interviews with public servants also suggest that it has yet to earn the respect which </w:t>
      </w:r>
      <w:r w:rsidR="00264BCF">
        <w:t xml:space="preserve">is accorded </w:t>
      </w:r>
      <w:r w:rsidR="009F3C28">
        <w:t xml:space="preserve">to some other </w:t>
      </w:r>
      <w:r w:rsidR="009F3C28" w:rsidRPr="009F3C28">
        <w:t>policy or scrutiny</w:t>
      </w:r>
      <w:r w:rsidR="009F3C28">
        <w:t xml:space="preserve"> committees.</w:t>
      </w:r>
      <w:r w:rsidR="00264BCF">
        <w:rPr>
          <w:rStyle w:val="FootnoteReference"/>
        </w:rPr>
        <w:footnoteReference w:id="26"/>
      </w:r>
    </w:p>
    <w:p w:rsidR="005D28F4" w:rsidRDefault="005D28F4" w:rsidP="0042308A">
      <w:r>
        <w:t xml:space="preserve">The recommendations at the end of Chapter 2 of the </w:t>
      </w:r>
      <w:r w:rsidRPr="005D28F4">
        <w:rPr>
          <w:i/>
        </w:rPr>
        <w:t>Interim Report</w:t>
      </w:r>
      <w:r>
        <w:t xml:space="preserve"> all constitute sensible, moderate reform</w:t>
      </w:r>
      <w:r w:rsidR="00AE096B">
        <w:t>s</w:t>
      </w:r>
      <w:r>
        <w:t xml:space="preserve"> which could give a small boost to the current scrutiny regime, but more radical reforms such as those mooted in paragraph 2.68 </w:t>
      </w:r>
      <w:r w:rsidR="007B2C04">
        <w:t>will be</w:t>
      </w:r>
      <w:r>
        <w:t xml:space="preserve"> </w:t>
      </w:r>
      <w:r w:rsidR="00122DBA">
        <w:t xml:space="preserve">necessary to make an appreciable </w:t>
      </w:r>
      <w:r>
        <w:t>difference</w:t>
      </w:r>
      <w:r w:rsidR="0092497D">
        <w:t xml:space="preserve"> to legislative outcomes</w:t>
      </w:r>
      <w:r>
        <w:t>. In</w:t>
      </w:r>
      <w:r w:rsidR="00677829">
        <w:t> </w:t>
      </w:r>
      <w:r>
        <w:t xml:space="preserve">fact, given the Executive dominance of </w:t>
      </w:r>
      <w:r w:rsidR="00677829">
        <w:t>p</w:t>
      </w:r>
      <w:r>
        <w:t>arliament</w:t>
      </w:r>
      <w:r w:rsidR="00677829">
        <w:t>ary processes</w:t>
      </w:r>
      <w:r>
        <w:t xml:space="preserve"> and the bipartisan approach of the major parties to, for example, national security legislation with serious rights implications</w:t>
      </w:r>
      <w:r w:rsidR="00122DBA">
        <w:t xml:space="preserve">, it is </w:t>
      </w:r>
      <w:r w:rsidR="00677829">
        <w:t>likely</w:t>
      </w:r>
      <w:r w:rsidR="00122DBA">
        <w:t xml:space="preserve"> that nothing short of a Human Rights Act with an oversight role for the courts stands a chance of significantly reducing encroachments by Commonwealth laws on Australians’ rights and freedoms.</w:t>
      </w:r>
    </w:p>
    <w:p w:rsidR="000D4669" w:rsidRDefault="001512D3" w:rsidP="0042308A">
      <w:r>
        <w:t xml:space="preserve">The </w:t>
      </w:r>
      <w:r w:rsidRPr="001512D3">
        <w:rPr>
          <w:i/>
        </w:rPr>
        <w:t>Interim Report</w:t>
      </w:r>
      <w:r>
        <w:t xml:space="preserve"> also mentions monitoring mechanisms and scheduled reviews, which are crucial in identifying whether Commonwealth legislation encroaches on rights and freedoms in practice as well as </w:t>
      </w:r>
      <w:r w:rsidR="00E71F4C">
        <w:t>in the abstract.</w:t>
      </w:r>
      <w:r w:rsidR="00A232E3">
        <w:t xml:space="preserve"> Reviews of the operation of legislation by, for example, parliamentary committees, are certainly valuable exercises. However, for practical reasons, they are often scheduled for a number of years after</w:t>
      </w:r>
      <w:r w:rsidR="003241CF">
        <w:t xml:space="preserve"> enactment, and not on a recurring</w:t>
      </w:r>
      <w:r w:rsidR="00A232E3">
        <w:t xml:space="preserve"> basis. </w:t>
      </w:r>
      <w:r w:rsidR="000D4669">
        <w:t xml:space="preserve">Moreover, reviews and sunset clauses </w:t>
      </w:r>
      <w:r w:rsidR="0049385E">
        <w:t xml:space="preserve">are, as the </w:t>
      </w:r>
      <w:r w:rsidR="0049385E" w:rsidRPr="001F3C04">
        <w:rPr>
          <w:i/>
        </w:rPr>
        <w:t>Interim Report</w:t>
      </w:r>
      <w:r w:rsidR="0049385E">
        <w:t xml:space="preserve"> recognises</w:t>
      </w:r>
      <w:r w:rsidR="000D4669">
        <w:t>, not prescribed for potentially rights</w:t>
      </w:r>
      <w:r w:rsidR="000D4669">
        <w:noBreakHyphen/>
        <w:t>infringing legislation in APS drafting guidance documents as they should be.</w:t>
      </w:r>
      <w:r w:rsidR="000D4669">
        <w:rPr>
          <w:rStyle w:val="FootnoteReference"/>
        </w:rPr>
        <w:footnoteReference w:id="27"/>
      </w:r>
    </w:p>
    <w:p w:rsidR="001512D3" w:rsidRDefault="00A232E3" w:rsidP="0042308A">
      <w:r>
        <w:t xml:space="preserve">Ongoing independent monitoring of the operation of legislation affecting Australians’ rights and freedoms, such as that performed by the INSLM, is rare. </w:t>
      </w:r>
      <w:r w:rsidR="000D4669">
        <w:t xml:space="preserve"> </w:t>
      </w:r>
      <w:r>
        <w:t xml:space="preserve">One example of monitoring which Australia should be doing </w:t>
      </w:r>
      <w:r w:rsidR="001F3C04">
        <w:t>to reduce encroachments in a sensitive area</w:t>
      </w:r>
      <w:r>
        <w:t xml:space="preserve"> is detention monitoring. Australia signed the Optional Protocol to the Convention Against Torture in 2009, but has yet to ratify it and implement the monitoring mechanism it requires of States parties. This is despite a clear recommendation to do so from the </w:t>
      </w:r>
      <w:r w:rsidR="00BD2E0A">
        <w:t>Joint Standing Committee on Treaties.</w:t>
      </w:r>
      <w:r w:rsidR="00BD2E0A">
        <w:rPr>
          <w:rStyle w:val="FootnoteReference"/>
        </w:rPr>
        <w:footnoteReference w:id="28"/>
      </w:r>
    </w:p>
    <w:p w:rsidR="003241CF" w:rsidRPr="005D28F4" w:rsidRDefault="003241CF" w:rsidP="0042308A">
      <w:r>
        <w:t xml:space="preserve">Generally speaking, enabling further independent monitoring of the operation of Commonwealth law likely to affect rights and freedoms should be a key </w:t>
      </w:r>
      <w:r w:rsidR="00375F10">
        <w:t xml:space="preserve">element </w:t>
      </w:r>
      <w:r>
        <w:t xml:space="preserve">of any </w:t>
      </w:r>
      <w:r w:rsidR="00375F10">
        <w:t>plan</w:t>
      </w:r>
      <w:r>
        <w:t xml:space="preserve"> to reduce encroachments in this regard.</w:t>
      </w:r>
      <w:r w:rsidR="00375F10">
        <w:t xml:space="preserve"> Existing Ombudsmen’s offices, Public Advocates and Human Rights Institutions are well-placed to conduct such monitoring. However, as discussed below, resource allocation and </w:t>
      </w:r>
      <w:r w:rsidR="00440FAB">
        <w:t xml:space="preserve">Government </w:t>
      </w:r>
      <w:r w:rsidR="00375F10">
        <w:t>attitudes to advocacy for reform are major obstacles.</w:t>
      </w:r>
    </w:p>
    <w:p w:rsidR="006C5BC8" w:rsidRDefault="006C5BC8" w:rsidP="0042308A"/>
    <w:p w:rsidR="00F04DFB" w:rsidRPr="00F04DFB" w:rsidRDefault="00F04DFB" w:rsidP="00264BCF">
      <w:pPr>
        <w:pStyle w:val="Heading1"/>
      </w:pPr>
      <w:r>
        <w:lastRenderedPageBreak/>
        <w:t xml:space="preserve">Excluded Encroachments </w:t>
      </w:r>
    </w:p>
    <w:p w:rsidR="00F04DFB" w:rsidRDefault="00F04DFB" w:rsidP="00264BCF">
      <w:pPr>
        <w:keepNext/>
      </w:pPr>
    </w:p>
    <w:p w:rsidR="00F04DFB" w:rsidRDefault="00F04DFB" w:rsidP="00264BCF">
      <w:pPr>
        <w:keepNext/>
      </w:pPr>
      <w:r>
        <w:t>The Castan Centre recognises that the present inquiry is limited by the terms of reference to a review of Commonwealth laws which</w:t>
      </w:r>
      <w:r w:rsidR="007539AB">
        <w:t>, of themselves,</w:t>
      </w:r>
      <w:r>
        <w:t xml:space="preserve"> encroach on rights and freedoms. However, we are also concerned about </w:t>
      </w:r>
      <w:r w:rsidR="007B2C04">
        <w:t xml:space="preserve">other encroachments, including </w:t>
      </w:r>
      <w:r>
        <w:t xml:space="preserve">laws which fail to </w:t>
      </w:r>
      <w:r w:rsidR="00513490">
        <w:t xml:space="preserve">guarantee independence </w:t>
      </w:r>
      <w:r w:rsidR="007B2C04">
        <w:t xml:space="preserve">and stability </w:t>
      </w:r>
      <w:r w:rsidR="00513490">
        <w:t xml:space="preserve">for statutory authorities and other Commonwealth-funded entities. </w:t>
      </w:r>
    </w:p>
    <w:p w:rsidR="007539AB" w:rsidRDefault="007539AB" w:rsidP="007539AB">
      <w:r>
        <w:t xml:space="preserve">For example, the AHRC is funded like any other statutory agency under the Attorney-General’s portfolio, despite the UN </w:t>
      </w:r>
      <w:r w:rsidRPr="007539AB">
        <w:rPr>
          <w:i/>
        </w:rPr>
        <w:t>Principles Relating to the Status of National Human Rights Institutions</w:t>
      </w:r>
      <w:r w:rsidRPr="007539AB">
        <w:t xml:space="preserve"> </w:t>
      </w:r>
      <w:r>
        <w:t>(Paris Principles) requiring:</w:t>
      </w:r>
    </w:p>
    <w:p w:rsidR="007539AB" w:rsidRPr="007539AB" w:rsidRDefault="007539AB" w:rsidP="002C424D">
      <w:pPr>
        <w:pStyle w:val="Quote"/>
      </w:pPr>
      <w:r>
        <w:t>…</w:t>
      </w:r>
      <w:r w:rsidRPr="007539AB">
        <w:t>an infrastructure which is suited to the smooth conduct of its activities, in particular adequate funding. The purpose of this funding should be to enable it to have its own staff and premises, in order to be independent of the Government and not be subject to financial control which might affect its independence.</w:t>
      </w:r>
      <w:r>
        <w:rPr>
          <w:rStyle w:val="FootnoteReference"/>
        </w:rPr>
        <w:footnoteReference w:id="29"/>
      </w:r>
      <w:r>
        <w:t xml:space="preserve"> </w:t>
      </w:r>
    </w:p>
    <w:p w:rsidR="007539AB" w:rsidRDefault="007539AB" w:rsidP="0042308A">
      <w:r>
        <w:t>In December 2014, the Government announced that it would cut funding to the AHRC by approximately 30% over the following three years</w:t>
      </w:r>
      <w:r w:rsidR="00ED06DD">
        <w:t>, in addition to cuts announced in the 2014 Budget</w:t>
      </w:r>
      <w:r>
        <w:t>. As the Human Rights Law Centre</w:t>
      </w:r>
      <w:r w:rsidR="007B2C04">
        <w:t xml:space="preserve"> (HRLC)</w:t>
      </w:r>
      <w:r>
        <w:t xml:space="preserve"> observed, </w:t>
      </w:r>
      <w:r w:rsidR="00ED06DD">
        <w:t>the announcement closely followed the release of the AHRC’s findings in relation to children in immigration detention, which were unfavourable to the Government.</w:t>
      </w:r>
      <w:r w:rsidR="00ED06DD">
        <w:rPr>
          <w:rStyle w:val="FootnoteReference"/>
        </w:rPr>
        <w:footnoteReference w:id="30"/>
      </w:r>
      <w:r w:rsidR="00ED06DD">
        <w:t xml:space="preserve"> The HLRC </w:t>
      </w:r>
      <w:r w:rsidR="007B2C04">
        <w:t xml:space="preserve">further asserted </w:t>
      </w:r>
      <w:r w:rsidR="00ED06DD">
        <w:t>that:</w:t>
      </w:r>
    </w:p>
    <w:p w:rsidR="00ED06DD" w:rsidRDefault="00ED06DD" w:rsidP="002C424D">
      <w:pPr>
        <w:pStyle w:val="Quote"/>
      </w:pPr>
      <w:r w:rsidRPr="00ED06DD">
        <w:t>These cuts will significantly weaken the Commission and reduce the government’s accountability on human rights at a time when rights are being severely threatened, in particular by harsh migration and counter-terror laws</w:t>
      </w:r>
      <w:r>
        <w:t>.</w:t>
      </w:r>
      <w:r>
        <w:rPr>
          <w:rStyle w:val="FootnoteReference"/>
        </w:rPr>
        <w:footnoteReference w:id="31"/>
      </w:r>
    </w:p>
    <w:p w:rsidR="004C0A44" w:rsidRPr="004C0A44" w:rsidRDefault="004C0A44" w:rsidP="004C0A44">
      <w:pPr>
        <w:rPr>
          <w:lang/>
        </w:rPr>
      </w:pPr>
      <w:r>
        <w:rPr>
          <w:lang/>
        </w:rPr>
        <w:t>In addition, the former Disability Discrimination Commissioner Graeme Innes, who was a formidable advocate of improved disability services</w:t>
      </w:r>
      <w:r w:rsidR="008D7FAF">
        <w:rPr>
          <w:lang/>
        </w:rPr>
        <w:t>,</w:t>
      </w:r>
      <w:r>
        <w:rPr>
          <w:lang/>
        </w:rPr>
        <w:t xml:space="preserve"> was not replaced at the end of his term in July 2014. Rather, the Age Discrimination Commissioner was asked to cover his vital role in addition to her existing duties. Similarly, </w:t>
      </w:r>
      <w:r w:rsidR="007B2C04">
        <w:rPr>
          <w:lang/>
        </w:rPr>
        <w:t xml:space="preserve">former </w:t>
      </w:r>
      <w:r>
        <w:rPr>
          <w:lang/>
        </w:rPr>
        <w:t xml:space="preserve">Sex Discrimination Commissioner Broderick, who made many notable strides towards equality in administration </w:t>
      </w:r>
      <w:r w:rsidR="007B2C04">
        <w:rPr>
          <w:lang/>
        </w:rPr>
        <w:t>over</w:t>
      </w:r>
      <w:r>
        <w:rPr>
          <w:lang/>
        </w:rPr>
        <w:t xml:space="preserve"> her </w:t>
      </w:r>
      <w:r w:rsidR="008D7FAF">
        <w:rPr>
          <w:lang/>
        </w:rPr>
        <w:t>two terms</w:t>
      </w:r>
      <w:r w:rsidR="007B2C04">
        <w:rPr>
          <w:lang/>
        </w:rPr>
        <w:t xml:space="preserve"> in office</w:t>
      </w:r>
      <w:r w:rsidR="008D7FAF">
        <w:rPr>
          <w:lang/>
        </w:rPr>
        <w:t xml:space="preserve">, </w:t>
      </w:r>
      <w:r w:rsidR="007B2C04">
        <w:rPr>
          <w:lang/>
        </w:rPr>
        <w:t xml:space="preserve">came </w:t>
      </w:r>
      <w:r w:rsidR="008D7FAF">
        <w:rPr>
          <w:lang/>
        </w:rPr>
        <w:t xml:space="preserve">to the end of her tenure </w:t>
      </w:r>
      <w:r w:rsidR="007B2C04">
        <w:rPr>
          <w:lang/>
        </w:rPr>
        <w:t xml:space="preserve">this month </w:t>
      </w:r>
      <w:r w:rsidR="008D7FAF">
        <w:rPr>
          <w:lang/>
        </w:rPr>
        <w:t>and the Government is once again refusing to name a successor, or even commit</w:t>
      </w:r>
      <w:r w:rsidR="00AE096B">
        <w:rPr>
          <w:lang/>
        </w:rPr>
        <w:t>ting</w:t>
      </w:r>
      <w:r w:rsidR="008D7FAF">
        <w:rPr>
          <w:lang/>
        </w:rPr>
        <w:t xml:space="preserve"> to appointing one at all.</w:t>
      </w:r>
      <w:r w:rsidR="008D7FAF">
        <w:rPr>
          <w:rStyle w:val="FootnoteReference"/>
          <w:lang/>
        </w:rPr>
        <w:footnoteReference w:id="32"/>
      </w:r>
    </w:p>
    <w:p w:rsidR="00F82341" w:rsidRDefault="00F82341" w:rsidP="0042308A">
      <w:r>
        <w:t>Similarly, the offices of INSLM and Independent Reviewer of Security Assessments were both proposed to be abolished</w:t>
      </w:r>
      <w:r w:rsidR="00535B0D">
        <w:t xml:space="preserve"> by the present Government.</w:t>
      </w:r>
      <w:r w:rsidR="00535B0D">
        <w:rPr>
          <w:rStyle w:val="FootnoteReference"/>
        </w:rPr>
        <w:footnoteReference w:id="33"/>
      </w:r>
      <w:r w:rsidR="00535B0D">
        <w:t xml:space="preserve"> The </w:t>
      </w:r>
      <w:r w:rsidR="004C0A44">
        <w:t xml:space="preserve">Attorney-General ‘s </w:t>
      </w:r>
      <w:r w:rsidR="004C0A44">
        <w:lastRenderedPageBreak/>
        <w:t>justification for the proposal to abolish the former office was t</w:t>
      </w:r>
      <w:r w:rsidR="00535B0D">
        <w:t xml:space="preserve">hat it would </w:t>
      </w:r>
      <w:r w:rsidR="00486048">
        <w:t xml:space="preserve">‘streamline government processes’ and </w:t>
      </w:r>
      <w:r w:rsidR="00535B0D">
        <w:t>save $1.36m over four years.</w:t>
      </w:r>
      <w:r w:rsidR="00535B0D">
        <w:rPr>
          <w:rStyle w:val="FootnoteReference"/>
        </w:rPr>
        <w:footnoteReference w:id="34"/>
      </w:r>
      <w:r w:rsidR="00535B0D">
        <w:t xml:space="preserve"> Although both plans were eventually abandoned, the Government </w:t>
      </w:r>
      <w:r w:rsidR="00486048">
        <w:t xml:space="preserve">left the INSLM role unfilled for around six months in 2014, and has still not appointed </w:t>
      </w:r>
      <w:r w:rsidR="00535B0D">
        <w:t>a</w:t>
      </w:r>
      <w:r w:rsidR="00486048">
        <w:t>n official</w:t>
      </w:r>
      <w:r w:rsidR="00535B0D">
        <w:t xml:space="preserve"> successor to Bret Walker SC </w:t>
      </w:r>
      <w:r w:rsidR="00486048">
        <w:t>(The Hon Roger Gyles AO QC has acted in the role on an interim basis since December 2014)</w:t>
      </w:r>
      <w:r w:rsidR="00535B0D">
        <w:t>.</w:t>
      </w:r>
      <w:r w:rsidR="00486048">
        <w:rPr>
          <w:rStyle w:val="FootnoteReference"/>
        </w:rPr>
        <w:footnoteReference w:id="35"/>
      </w:r>
    </w:p>
    <w:p w:rsidR="00261457" w:rsidRDefault="00D105B8" w:rsidP="004E490C">
      <w:r>
        <w:t>Finally, t</w:t>
      </w:r>
      <w:r w:rsidR="00261457">
        <w:t>he</w:t>
      </w:r>
      <w:r w:rsidR="004E490C">
        <w:t xml:space="preserve"> Government announced in 2014 that it would abolish</w:t>
      </w:r>
      <w:r w:rsidR="00261457">
        <w:t xml:space="preserve"> </w:t>
      </w:r>
      <w:r w:rsidR="004E490C">
        <w:t xml:space="preserve">the </w:t>
      </w:r>
      <w:r w:rsidR="00261457">
        <w:t>Office of the Australian Information Commissioner</w:t>
      </w:r>
      <w:r w:rsidR="004E490C">
        <w:t>, along with the associated roles of Information Commissioner and Freedom of Information Commissioner, held until recently by Professor John McMillan and James Popple respectively. Although the relevant legislation failed to pass, funding was reduced in the 2014</w:t>
      </w:r>
      <w:r w:rsidR="004F3DA1">
        <w:t>-15</w:t>
      </w:r>
      <w:r w:rsidR="004E490C">
        <w:t xml:space="preserve"> Budget to the point where the Commissioner began working from home.</w:t>
      </w:r>
      <w:r w:rsidR="004E490C">
        <w:rPr>
          <w:rStyle w:val="FootnoteReference"/>
        </w:rPr>
        <w:footnoteReference w:id="36"/>
      </w:r>
      <w:r w:rsidR="004E490C">
        <w:t xml:space="preserve"> In</w:t>
      </w:r>
      <w:r w:rsidR="004F3DA1">
        <w:t> </w:t>
      </w:r>
      <w:r w:rsidR="004E490C">
        <w:t xml:space="preserve">recognition of the failure to disestablish the Office, funding was partially restored this year. However, Mr Popple resigned in December 2014 and it was announced </w:t>
      </w:r>
      <w:r w:rsidR="00D20A5F">
        <w:t xml:space="preserve">in June </w:t>
      </w:r>
      <w:r w:rsidR="004F3DA1">
        <w:t xml:space="preserve">this year </w:t>
      </w:r>
      <w:r w:rsidR="004E490C">
        <w:t>that Professor McMillan would also leave the office to become the new NSW Ombudsman</w:t>
      </w:r>
      <w:r w:rsidR="00D20A5F">
        <w:t>, leaving only Privacy Commissioner Timothy Pilgrim to fulfil the statutory functions associated with all three roles. Again, the Government has not made any announcements regarding replacements.</w:t>
      </w:r>
      <w:r w:rsidR="00D20A5F">
        <w:rPr>
          <w:rStyle w:val="FootnoteReference"/>
        </w:rPr>
        <w:footnoteReference w:id="37"/>
      </w:r>
      <w:r w:rsidR="00D20A5F">
        <w:t xml:space="preserve"> This omission was seen as sufficiently serious for three former justices of the Supreme Court of Victoria to accuse the Government publicly of failing in its constitutional obligation to execute and maintain the  laws of the Commonwealth</w:t>
      </w:r>
      <w:r w:rsidR="004F3DA1">
        <w:t xml:space="preserve"> in relation to this ‘crucial element in our flawed federal integrity system</w:t>
      </w:r>
      <w:r w:rsidR="00D20A5F">
        <w:t>.</w:t>
      </w:r>
      <w:r w:rsidR="004F3DA1">
        <w:t>’</w:t>
      </w:r>
      <w:r w:rsidR="00D20A5F">
        <w:rPr>
          <w:rStyle w:val="FootnoteReference"/>
        </w:rPr>
        <w:footnoteReference w:id="38"/>
      </w:r>
    </w:p>
    <w:p w:rsidR="00ED06DD" w:rsidRDefault="00ED06DD" w:rsidP="0042308A">
      <w:r>
        <w:t xml:space="preserve">In light of the observations </w:t>
      </w:r>
      <w:r w:rsidR="004C0A44">
        <w:t xml:space="preserve">in the </w:t>
      </w:r>
      <w:r w:rsidR="004C0A44" w:rsidRPr="004C0A44">
        <w:rPr>
          <w:i/>
        </w:rPr>
        <w:t>Interim Report</w:t>
      </w:r>
      <w:r w:rsidR="004C0A44">
        <w:t xml:space="preserve"> </w:t>
      </w:r>
      <w:r>
        <w:t xml:space="preserve">about </w:t>
      </w:r>
      <w:r w:rsidR="00F82341">
        <w:t xml:space="preserve">the oversight provided by </w:t>
      </w:r>
      <w:r w:rsidR="004F3DA1">
        <w:t xml:space="preserve">statutory authorities </w:t>
      </w:r>
      <w:r>
        <w:t>being a key factor in any argument that Commonwealth legislation may be</w:t>
      </w:r>
      <w:r w:rsidR="004F3DA1">
        <w:t xml:space="preserve"> considered</w:t>
      </w:r>
      <w:r>
        <w:t xml:space="preserve"> procedurally justified, this </w:t>
      </w:r>
      <w:r w:rsidR="004C0A44">
        <w:t xml:space="preserve">systematic </w:t>
      </w:r>
      <w:r>
        <w:t xml:space="preserve">reduction in funding </w:t>
      </w:r>
      <w:r w:rsidR="004C0A44">
        <w:t xml:space="preserve">for oversight bodies </w:t>
      </w:r>
      <w:r>
        <w:t>is pertinent to the present inquiry.</w:t>
      </w:r>
    </w:p>
    <w:p w:rsidR="00ED06DD" w:rsidRDefault="004F3DA1" w:rsidP="0042308A">
      <w:r>
        <w:t>F</w:t>
      </w:r>
      <w:r w:rsidR="00ED06DD">
        <w:t>unding cuts to Commonwealth Legal Aid in criminal matters</w:t>
      </w:r>
      <w:r>
        <w:t xml:space="preserve"> </w:t>
      </w:r>
      <w:r w:rsidRPr="004F3DA1">
        <w:t>announced as part of the 2013-14 MYEFO</w:t>
      </w:r>
      <w:r>
        <w:t xml:space="preserve"> are also relevant</w:t>
      </w:r>
      <w:r w:rsidR="00ED06DD">
        <w:t>.</w:t>
      </w:r>
      <w:bookmarkStart w:id="1" w:name="_Ref428869430"/>
      <w:r w:rsidR="00ED06DD">
        <w:rPr>
          <w:rStyle w:val="FootnoteReference"/>
        </w:rPr>
        <w:footnoteReference w:id="39"/>
      </w:r>
      <w:bookmarkEnd w:id="1"/>
      <w:r w:rsidR="0003152C">
        <w:t xml:space="preserve"> These cuts were in addition to $3.5m of funding withdrawn as part of the 2014 Budget.</w:t>
      </w:r>
      <w:r w:rsidR="0003152C">
        <w:rPr>
          <w:rStyle w:val="FootnoteReference"/>
        </w:rPr>
        <w:footnoteReference w:id="40"/>
      </w:r>
      <w:r w:rsidR="0003152C">
        <w:t xml:space="preserve"> They compelled State Legal Aid agencies to restrict </w:t>
      </w:r>
      <w:r w:rsidR="0003152C">
        <w:lastRenderedPageBreak/>
        <w:t xml:space="preserve">funding </w:t>
      </w:r>
      <w:r w:rsidR="00023FB5">
        <w:t xml:space="preserve">and tighten means tests </w:t>
      </w:r>
      <w:r w:rsidR="0003152C">
        <w:t>for bot</w:t>
      </w:r>
      <w:r w:rsidR="00023FB5">
        <w:t>h criminal and family law cases.</w:t>
      </w:r>
      <w:r w:rsidR="0003152C">
        <w:rPr>
          <w:rStyle w:val="FootnoteReference"/>
        </w:rPr>
        <w:footnoteReference w:id="41"/>
      </w:r>
      <w:r w:rsidR="0003152C">
        <w:t xml:space="preserve"> The</w:t>
      </w:r>
      <w:r w:rsidR="00023FB5">
        <w:t xml:space="preserve"> cuts announced to date in this area have been </w:t>
      </w:r>
      <w:r w:rsidR="0003152C">
        <w:t xml:space="preserve">so severe that </w:t>
      </w:r>
      <w:r w:rsidR="00023FB5">
        <w:t xml:space="preserve">all of </w:t>
      </w:r>
      <w:r w:rsidR="0003152C">
        <w:t>the State and Territory Attorneys</w:t>
      </w:r>
      <w:r w:rsidR="0003152C">
        <w:noBreakHyphen/>
        <w:t>General wro</w:t>
      </w:r>
      <w:r>
        <w:t>te to the Commonwealth Attorney</w:t>
      </w:r>
      <w:r>
        <w:noBreakHyphen/>
      </w:r>
      <w:r w:rsidR="0003152C">
        <w:t>General in May 2015 warning of a</w:t>
      </w:r>
      <w:r w:rsidR="00023FB5">
        <w:t>n impending</w:t>
      </w:r>
      <w:r w:rsidR="0003152C">
        <w:t xml:space="preserve"> crisis in funding for legal representation for vulnerable Australians.</w:t>
      </w:r>
      <w:r w:rsidR="0003152C">
        <w:rPr>
          <w:rStyle w:val="FootnoteReference"/>
        </w:rPr>
        <w:footnoteReference w:id="42"/>
      </w:r>
    </w:p>
    <w:p w:rsidR="00023FB5" w:rsidRDefault="00023FB5" w:rsidP="00023FB5">
      <w:r>
        <w:t xml:space="preserve">This situation demonstrates that </w:t>
      </w:r>
      <w:r w:rsidR="004F3DA1">
        <w:t>Budget bills and other appropriations</w:t>
      </w:r>
      <w:r>
        <w:t xml:space="preserve">, despite the Governments’ protestations to the JCHR, can raise significant rights issues and should </w:t>
      </w:r>
      <w:r w:rsidR="004F3DA1">
        <w:t xml:space="preserve">(at a minimum) </w:t>
      </w:r>
      <w:r>
        <w:t>be accompanied by detailed SoCs.</w:t>
      </w:r>
      <w:r>
        <w:rPr>
          <w:rStyle w:val="FootnoteReference"/>
        </w:rPr>
        <w:footnoteReference w:id="43"/>
      </w:r>
      <w:r>
        <w:t xml:space="preserve"> In</w:t>
      </w:r>
      <w:r w:rsidR="004F3DA1">
        <w:t> </w:t>
      </w:r>
      <w:r>
        <w:t xml:space="preserve">addition, they should be included in the present inquiry, given they can encroach so significantly on Australians’ </w:t>
      </w:r>
      <w:r w:rsidRPr="00023FB5">
        <w:t xml:space="preserve">rights </w:t>
      </w:r>
      <w:r>
        <w:t xml:space="preserve">and freedoms (both traditional and human) such as the rights of </w:t>
      </w:r>
      <w:r w:rsidRPr="00023FB5">
        <w:t>access to the courts</w:t>
      </w:r>
      <w:r>
        <w:t>, equality before the courts</w:t>
      </w:r>
      <w:r w:rsidRPr="00023FB5">
        <w:t xml:space="preserve"> and to legal representation</w:t>
      </w:r>
      <w:r>
        <w:t xml:space="preserve"> in criminal matters.</w:t>
      </w:r>
    </w:p>
    <w:p w:rsidR="00CD25FC" w:rsidRDefault="00CD25FC" w:rsidP="0042308A">
      <w:r>
        <w:t>Community Legal Centres also play a prominent role in guaranteeing the rights set out above, and they have also suffered from deep Commonwealth budget reductions.</w:t>
      </w:r>
      <w:r>
        <w:rPr>
          <w:rStyle w:val="FootnoteReference"/>
        </w:rPr>
        <w:footnoteReference w:id="44"/>
      </w:r>
      <w:r>
        <w:t xml:space="preserve"> In addition, </w:t>
      </w:r>
      <w:r w:rsidR="00DD139F">
        <w:t xml:space="preserve">in July 2014 </w:t>
      </w:r>
      <w:r>
        <w:t xml:space="preserve">the Commonwealth Government began to amend </w:t>
      </w:r>
      <w:r w:rsidR="00DD139F">
        <w:t xml:space="preserve">their </w:t>
      </w:r>
      <w:r>
        <w:t xml:space="preserve">service agreements to prevent </w:t>
      </w:r>
      <w:r w:rsidR="00DD139F">
        <w:t xml:space="preserve">them </w:t>
      </w:r>
      <w:r>
        <w:t>from advocating legal reform and/or policy change.</w:t>
      </w:r>
      <w:r>
        <w:rPr>
          <w:rStyle w:val="FootnoteReference"/>
        </w:rPr>
        <w:footnoteReference w:id="45"/>
      </w:r>
      <w:r>
        <w:t xml:space="preserve"> </w:t>
      </w:r>
      <w:r w:rsidR="00DD139F">
        <w:t>These service agreements may not constitute legislation, and therefore fall outside the ALRC’s purview, but they constitute yet another example of the Commonwealth Government encroaching on rights and freedoms</w:t>
      </w:r>
      <w:r w:rsidR="005644F6">
        <w:t>;</w:t>
      </w:r>
      <w:r w:rsidR="00DD139F">
        <w:t xml:space="preserve"> even those which it has professed to revere</w:t>
      </w:r>
      <w:r w:rsidR="00B31D6E">
        <w:t>, such as freedom of speech</w:t>
      </w:r>
      <w:r w:rsidR="00DD139F">
        <w:t>.</w:t>
      </w:r>
      <w:r w:rsidR="00DD139F">
        <w:rPr>
          <w:rStyle w:val="FootnoteReference"/>
        </w:rPr>
        <w:footnoteReference w:id="46"/>
      </w:r>
      <w:r w:rsidR="00DD139F">
        <w:t xml:space="preserve"> Tying Commonwealth funding to a ban on advocacy not only encroaches on C</w:t>
      </w:r>
      <w:r w:rsidR="00F46DE4">
        <w:t xml:space="preserve">ommunity </w:t>
      </w:r>
      <w:r w:rsidR="00DD139F">
        <w:t>L</w:t>
      </w:r>
      <w:r w:rsidR="00F46DE4">
        <w:t xml:space="preserve">egal </w:t>
      </w:r>
      <w:r w:rsidR="00DD139F">
        <w:t>C</w:t>
      </w:r>
      <w:r w:rsidR="00F46DE4">
        <w:t>entre</w:t>
      </w:r>
      <w:r w:rsidR="00DD139F">
        <w:t xml:space="preserve">s’ </w:t>
      </w:r>
      <w:r w:rsidR="00B31D6E">
        <w:t>free speech rights</w:t>
      </w:r>
      <w:r w:rsidR="00DD139F">
        <w:t xml:space="preserve">, but also silences suggestions for reform of the very kinds of laws in the present inquiry’s terms of reference. </w:t>
      </w:r>
    </w:p>
    <w:p w:rsidR="00233BE3" w:rsidRDefault="00D105B8">
      <w:r>
        <w:t>The preceding examples demonstrate a pattern in the Government’s approach to oversight and accountability which is antithetical to any effort to reduce encroachment on Australians’ rights and freedoms.</w:t>
      </w:r>
    </w:p>
    <w:p w:rsidR="002C424D" w:rsidRPr="002C424D" w:rsidRDefault="002C424D"/>
    <w:p w:rsidR="00513490" w:rsidRDefault="00B31D6E" w:rsidP="001F3C04">
      <w:pPr>
        <w:pStyle w:val="Heading1"/>
      </w:pPr>
      <w:r>
        <w:lastRenderedPageBreak/>
        <w:t>Conclusion</w:t>
      </w:r>
    </w:p>
    <w:p w:rsidR="00B31D6E" w:rsidRDefault="00B31D6E" w:rsidP="001F3C04">
      <w:pPr>
        <w:keepNext/>
      </w:pPr>
    </w:p>
    <w:p w:rsidR="00B31D6E" w:rsidRDefault="00B31D6E" w:rsidP="001F3C04">
      <w:pPr>
        <w:keepNext/>
      </w:pPr>
      <w:r>
        <w:t>The</w:t>
      </w:r>
      <w:r w:rsidR="00F91CEF">
        <w:t> </w:t>
      </w:r>
      <w:r w:rsidR="00D44A1F">
        <w:t xml:space="preserve">Government has </w:t>
      </w:r>
      <w:r w:rsidR="007A6075">
        <w:t xml:space="preserve">stated </w:t>
      </w:r>
      <w:r>
        <w:t>that it is concerned about encr</w:t>
      </w:r>
      <w:r w:rsidR="00D44A1F">
        <w:t>oachments on TRFs, and initiated</w:t>
      </w:r>
      <w:r>
        <w:t xml:space="preserve"> the present inquiry as a result, but its practice </w:t>
      </w:r>
      <w:r w:rsidR="00F91CEF">
        <w:t xml:space="preserve">(both legislative and administrative) </w:t>
      </w:r>
      <w:r>
        <w:t xml:space="preserve">to date has greatly expanded the scope of </w:t>
      </w:r>
      <w:r w:rsidR="00AA09DF">
        <w:t xml:space="preserve">such </w:t>
      </w:r>
      <w:r w:rsidR="00CB25C5">
        <w:t>encroachments,</w:t>
      </w:r>
      <w:r w:rsidR="00F91CEF">
        <w:rPr>
          <w:rStyle w:val="FootnoteReference"/>
        </w:rPr>
        <w:footnoteReference w:id="47"/>
      </w:r>
      <w:r w:rsidR="00CB25C5">
        <w:t xml:space="preserve"> and </w:t>
      </w:r>
      <w:r w:rsidR="008D7FAF">
        <w:t xml:space="preserve">continually </w:t>
      </w:r>
      <w:r w:rsidR="00CB25C5">
        <w:t>sought to remove or undermine relevant oversight</w:t>
      </w:r>
      <w:r w:rsidR="00D105B8">
        <w:t xml:space="preserve"> and advocacy for reform</w:t>
      </w:r>
      <w:r w:rsidR="00275DED">
        <w:t xml:space="preserve"> as set out above</w:t>
      </w:r>
      <w:r w:rsidR="00CB25C5">
        <w:t>.</w:t>
      </w:r>
    </w:p>
    <w:p w:rsidR="00FD245B" w:rsidRDefault="008D7FAF" w:rsidP="008D7FAF">
      <w:r>
        <w:t xml:space="preserve">The Government has stated that it believes oversight bodies </w:t>
      </w:r>
      <w:r w:rsidR="00FD245B">
        <w:t>such as the INSLM to be</w:t>
      </w:r>
      <w:r>
        <w:t xml:space="preserve"> redundant, because it is the proper role of the </w:t>
      </w:r>
      <w:r w:rsidR="00FD245B">
        <w:t xml:space="preserve">Parliament (including parliamentary committees) </w:t>
      </w:r>
      <w:r>
        <w:t xml:space="preserve">to </w:t>
      </w:r>
      <w:r w:rsidR="00FD245B">
        <w:t>review Australia’s laws</w:t>
      </w:r>
      <w:r>
        <w:t>.</w:t>
      </w:r>
      <w:r w:rsidR="00FD245B">
        <w:rPr>
          <w:rStyle w:val="FootnoteReference"/>
        </w:rPr>
        <w:footnoteReference w:id="48"/>
      </w:r>
      <w:r>
        <w:t xml:space="preserve"> </w:t>
      </w:r>
      <w:r w:rsidR="00FD245B">
        <w:t xml:space="preserve">This argument carries little weight, because the Government is largely unresponsive </w:t>
      </w:r>
      <w:r w:rsidR="00D105B8">
        <w:t>(or even hostile</w:t>
      </w:r>
      <w:r w:rsidR="00D105B8">
        <w:rPr>
          <w:rStyle w:val="FootnoteReference"/>
        </w:rPr>
        <w:footnoteReference w:id="49"/>
      </w:r>
      <w:r w:rsidR="00D105B8">
        <w:t xml:space="preserve">) </w:t>
      </w:r>
      <w:r w:rsidR="00FD245B">
        <w:t>to the concerns of the scrutiny committees, including the JCHR, whose role it is to examine legislation for possible encroachments on rights and freedoms.</w:t>
      </w:r>
    </w:p>
    <w:p w:rsidR="008D7FAF" w:rsidRDefault="00FD245B" w:rsidP="008D7FAF">
      <w:r w:rsidRPr="00FD245B">
        <w:t xml:space="preserve">The Government also </w:t>
      </w:r>
      <w:r w:rsidR="005644F6">
        <w:t xml:space="preserve">emphasises </w:t>
      </w:r>
      <w:r w:rsidRPr="00FD245B">
        <w:t xml:space="preserve">its faith in the courts and the common law to protect Australians’ rights and freedoms. However, </w:t>
      </w:r>
      <w:r w:rsidR="008D7FAF">
        <w:t xml:space="preserve">the </w:t>
      </w:r>
      <w:r w:rsidR="005644F6">
        <w:t xml:space="preserve">Commonwealth </w:t>
      </w:r>
      <w:r w:rsidR="008D7FAF">
        <w:t>courts are only able to addres</w:t>
      </w:r>
      <w:r w:rsidR="005644F6">
        <w:t>s controversies between parties, not</w:t>
      </w:r>
      <w:r w:rsidR="008D7FAF">
        <w:t xml:space="preserve"> systemic policy issues. In addition, </w:t>
      </w:r>
      <w:r>
        <w:t xml:space="preserve">such a stance </w:t>
      </w:r>
      <w:r w:rsidR="003F410E">
        <w:t>fails to appreciate that, as identified by the present inquiry, many threats to Australians</w:t>
      </w:r>
      <w:r w:rsidR="008C4219">
        <w:t>’</w:t>
      </w:r>
      <w:r w:rsidR="003F410E">
        <w:t xml:space="preserve"> rights and freedoms originate in </w:t>
      </w:r>
      <w:r>
        <w:t>the Government’</w:t>
      </w:r>
      <w:r w:rsidR="003F410E">
        <w:t xml:space="preserve">s own legislation, and the courts are not empowered to change that. Even when they do favour </w:t>
      </w:r>
      <w:r>
        <w:t>a rights</w:t>
      </w:r>
      <w:r>
        <w:noBreakHyphen/>
      </w:r>
      <w:r w:rsidR="003F410E">
        <w:t>compatible interpretation, such as in the Mabo decision of 1992</w:t>
      </w:r>
      <w:r>
        <w:t>, the Teoh decision of 1995</w:t>
      </w:r>
      <w:r w:rsidR="003F410E">
        <w:t xml:space="preserve"> or the Malaysia S</w:t>
      </w:r>
      <w:r w:rsidR="00275DED">
        <w:t xml:space="preserve">olution </w:t>
      </w:r>
      <w:r w:rsidR="00127784">
        <w:t xml:space="preserve">decision of </w:t>
      </w:r>
      <w:r w:rsidR="00275DED">
        <w:t>2011</w:t>
      </w:r>
      <w:r w:rsidR="003F410E">
        <w:t xml:space="preserve">, Governments from either side of politics </w:t>
      </w:r>
      <w:r w:rsidR="00127784">
        <w:t xml:space="preserve">have bristled </w:t>
      </w:r>
      <w:r w:rsidR="003F410E">
        <w:t>at what they deem ‘interference,’ and announce</w:t>
      </w:r>
      <w:r w:rsidR="00127784">
        <w:t>d</w:t>
      </w:r>
      <w:r w:rsidR="003F410E">
        <w:t xml:space="preserve"> that they will amend legislation to close the identified ‘loophole’ preventing them from implementing their policies.</w:t>
      </w:r>
      <w:r w:rsidR="003F410E">
        <w:rPr>
          <w:rStyle w:val="FootnoteReference"/>
        </w:rPr>
        <w:footnoteReference w:id="50"/>
      </w:r>
      <w:r w:rsidR="00127784">
        <w:t xml:space="preserve"> These are not the actions of a polity with a culture of respect for human rights.</w:t>
      </w:r>
    </w:p>
    <w:p w:rsidR="00207B74" w:rsidRPr="00207B74" w:rsidRDefault="008B62B5" w:rsidP="00B31D6E">
      <w:r>
        <w:t xml:space="preserve">As stated in our previous submission on </w:t>
      </w:r>
      <w:r w:rsidRPr="008B62B5">
        <w:rPr>
          <w:i/>
        </w:rPr>
        <w:t>IP46</w:t>
      </w:r>
      <w:r>
        <w:t xml:space="preserve">, our firm view is that </w:t>
      </w:r>
      <w:r w:rsidR="00B31D6E">
        <w:t xml:space="preserve">the terms of reference </w:t>
      </w:r>
      <w:r>
        <w:t xml:space="preserve">for the present inquiry are </w:t>
      </w:r>
      <w:r w:rsidR="00B31D6E">
        <w:t>misconceived</w:t>
      </w:r>
      <w:r>
        <w:t xml:space="preserve">. We are particularly concerned that, </w:t>
      </w:r>
      <w:r w:rsidR="00F91CEF">
        <w:t xml:space="preserve">by </w:t>
      </w:r>
      <w:r>
        <w:t xml:space="preserve">purporting to set </w:t>
      </w:r>
      <w:r w:rsidR="00F91CEF">
        <w:t xml:space="preserve">its own benchmarks for </w:t>
      </w:r>
      <w:r>
        <w:t>the rights-compatibility of</w:t>
      </w:r>
      <w:r w:rsidR="00F91CEF">
        <w:t xml:space="preserve"> legislation, the Government is undermining its voluntarily adopted international obligations in this regard.</w:t>
      </w:r>
      <w:r w:rsidR="001F3C04">
        <w:t xml:space="preserve"> </w:t>
      </w:r>
      <w:r w:rsidR="00207B74">
        <w:t xml:space="preserve">Nevertheless, the Castan Centre supports the ALRC’s important work in assessing the proportionality of the many laws identified in the </w:t>
      </w:r>
      <w:r w:rsidR="00207B74" w:rsidRPr="00207B74">
        <w:rPr>
          <w:i/>
        </w:rPr>
        <w:t>Interim Report</w:t>
      </w:r>
      <w:r w:rsidR="00207B74">
        <w:rPr>
          <w:i/>
        </w:rPr>
        <w:t>,</w:t>
      </w:r>
      <w:r w:rsidR="00207B74">
        <w:t xml:space="preserve"> and looks forward to a Government which will take a more serious and enlightened approach to the human rights</w:t>
      </w:r>
      <w:r w:rsidR="00127784">
        <w:t xml:space="preserve"> compatibility of Australian law</w:t>
      </w:r>
      <w:r w:rsidR="00207B74">
        <w:t>.</w:t>
      </w:r>
    </w:p>
    <w:sectPr w:rsidR="00207B74" w:rsidRPr="00207B74" w:rsidSect="002C424D">
      <w:footerReference w:type="default" r:id="rId9"/>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E6" w:rsidRDefault="006677E6" w:rsidP="00C30A01">
      <w:pPr>
        <w:spacing w:after="0" w:line="240" w:lineRule="auto"/>
      </w:pPr>
      <w:r>
        <w:separator/>
      </w:r>
    </w:p>
  </w:endnote>
  <w:endnote w:type="continuationSeparator" w:id="0">
    <w:p w:rsidR="006677E6" w:rsidRDefault="006677E6" w:rsidP="00C30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68417"/>
      <w:docPartObj>
        <w:docPartGallery w:val="Page Numbers (Bottom of Page)"/>
        <w:docPartUnique/>
      </w:docPartObj>
    </w:sdtPr>
    <w:sdtEndPr>
      <w:rPr>
        <w:noProof/>
      </w:rPr>
    </w:sdtEndPr>
    <w:sdtContent>
      <w:p w:rsidR="001512D3" w:rsidRDefault="00FE3001">
        <w:pPr>
          <w:pStyle w:val="Footer"/>
          <w:jc w:val="right"/>
        </w:pPr>
        <w:r>
          <w:fldChar w:fldCharType="begin"/>
        </w:r>
        <w:r w:rsidR="001512D3">
          <w:instrText xml:space="preserve"> PAGE   \* MERGEFORMAT </w:instrText>
        </w:r>
        <w:r>
          <w:fldChar w:fldCharType="separate"/>
        </w:r>
        <w:r w:rsidR="00F547F8">
          <w:rPr>
            <w:noProof/>
          </w:rPr>
          <w:t>12</w:t>
        </w:r>
        <w:r>
          <w:rPr>
            <w:noProof/>
          </w:rPr>
          <w:fldChar w:fldCharType="end"/>
        </w:r>
      </w:p>
    </w:sdtContent>
  </w:sdt>
  <w:p w:rsidR="001512D3" w:rsidRDefault="00151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E6" w:rsidRDefault="006677E6" w:rsidP="00C30A01">
      <w:pPr>
        <w:spacing w:after="0" w:line="240" w:lineRule="auto"/>
      </w:pPr>
      <w:r>
        <w:separator/>
      </w:r>
    </w:p>
  </w:footnote>
  <w:footnote w:type="continuationSeparator" w:id="0">
    <w:p w:rsidR="006677E6" w:rsidRDefault="006677E6" w:rsidP="00C30A01">
      <w:pPr>
        <w:spacing w:after="0" w:line="240" w:lineRule="auto"/>
      </w:pPr>
      <w:r>
        <w:continuationSeparator/>
      </w:r>
    </w:p>
  </w:footnote>
  <w:footnote w:id="1">
    <w:p w:rsidR="00EA49AC" w:rsidRDefault="00EA49AC">
      <w:pPr>
        <w:pStyle w:val="FootnoteText"/>
      </w:pPr>
      <w:r>
        <w:rPr>
          <w:rStyle w:val="FootnoteReference"/>
        </w:rPr>
        <w:footnoteRef/>
      </w:r>
      <w:r>
        <w:t xml:space="preserve"> </w:t>
      </w:r>
      <w:r w:rsidR="004263B6">
        <w:t xml:space="preserve">See </w:t>
      </w:r>
      <w:r w:rsidRPr="00EA49AC">
        <w:rPr>
          <w:i/>
        </w:rPr>
        <w:t>Interim Report</w:t>
      </w:r>
      <w:r>
        <w:t>, 36.</w:t>
      </w:r>
    </w:p>
  </w:footnote>
  <w:footnote w:id="2">
    <w:p w:rsidR="00377DB7" w:rsidRDefault="00377DB7">
      <w:pPr>
        <w:pStyle w:val="FootnoteText"/>
      </w:pPr>
      <w:r>
        <w:rPr>
          <w:rStyle w:val="FootnoteReference"/>
        </w:rPr>
        <w:footnoteRef/>
      </w:r>
      <w:r>
        <w:t xml:space="preserve"> </w:t>
      </w:r>
      <w:r w:rsidR="00BC4F09">
        <w:t>E</w:t>
      </w:r>
      <w:r>
        <w:t>g</w:t>
      </w:r>
      <w:r w:rsidR="00BC4F09">
        <w:t xml:space="preserve"> the character test, privative clauses and detention provisions of the </w:t>
      </w:r>
      <w:r w:rsidR="00BC4F09" w:rsidRPr="00BC4F09">
        <w:rPr>
          <w:i/>
        </w:rPr>
        <w:t>Migration Act 1958</w:t>
      </w:r>
      <w:r w:rsidR="00BC4F09">
        <w:t xml:space="preserve"> (covered in the</w:t>
      </w:r>
      <w:r>
        <w:t xml:space="preserve"> </w:t>
      </w:r>
      <w:r w:rsidR="00BC4F09" w:rsidRPr="00BC4F09">
        <w:rPr>
          <w:i/>
        </w:rPr>
        <w:t>Interim Report</w:t>
      </w:r>
      <w:r w:rsidR="00BC4F09">
        <w:t>, Chapters 6, 10 15 and 18) and the large number of terrorism-related offences introduced into the Commonwealth Criminal Code in recent years (</w:t>
      </w:r>
      <w:r w:rsidR="008D6B7E">
        <w:t>mentioned</w:t>
      </w:r>
      <w:r w:rsidR="00BC4F09">
        <w:t xml:space="preserve"> in Chapters 3, 4, 5, 6, 9, 10, 11, 12, 13</w:t>
      </w:r>
      <w:r w:rsidR="001F3C04">
        <w:t>, 14, 15 and 18</w:t>
      </w:r>
      <w:r w:rsidR="00BC4F09">
        <w:t xml:space="preserve">). </w:t>
      </w:r>
    </w:p>
  </w:footnote>
  <w:footnote w:id="3">
    <w:p w:rsidR="00C30A01" w:rsidRPr="00C30A01" w:rsidRDefault="00C30A01" w:rsidP="00C30A01">
      <w:pPr>
        <w:pStyle w:val="FootnoteText"/>
      </w:pPr>
      <w:r>
        <w:rPr>
          <w:rStyle w:val="FootnoteReference"/>
        </w:rPr>
        <w:footnoteRef/>
      </w:r>
      <w:r>
        <w:t xml:space="preserve"> </w:t>
      </w:r>
      <w:r w:rsidR="00EA49AC" w:rsidRPr="00EA49AC">
        <w:t>Ibid</w:t>
      </w:r>
      <w:r>
        <w:rPr>
          <w:i/>
        </w:rPr>
        <w:t>,</w:t>
      </w:r>
      <w:r>
        <w:t xml:space="preserve"> 466.</w:t>
      </w:r>
    </w:p>
  </w:footnote>
  <w:footnote w:id="4">
    <w:p w:rsidR="003B5BD4" w:rsidRDefault="003B5BD4">
      <w:pPr>
        <w:pStyle w:val="FootnoteText"/>
      </w:pPr>
      <w:r>
        <w:rPr>
          <w:rStyle w:val="FootnoteReference"/>
        </w:rPr>
        <w:footnoteRef/>
      </w:r>
      <w:r>
        <w:t xml:space="preserve"> Ibid, 24.</w:t>
      </w:r>
    </w:p>
  </w:footnote>
  <w:footnote w:id="5">
    <w:p w:rsidR="00EA49AC" w:rsidRDefault="00EA49AC">
      <w:pPr>
        <w:pStyle w:val="FootnoteText"/>
      </w:pPr>
      <w:r>
        <w:rPr>
          <w:rStyle w:val="FootnoteReference"/>
        </w:rPr>
        <w:footnoteRef/>
      </w:r>
      <w:r>
        <w:t xml:space="preserve"> Ibid, 33.</w:t>
      </w:r>
    </w:p>
  </w:footnote>
  <w:footnote w:id="6">
    <w:p w:rsidR="005D0534" w:rsidRDefault="005D0534">
      <w:pPr>
        <w:pStyle w:val="FootnoteText"/>
      </w:pPr>
      <w:r>
        <w:rPr>
          <w:rStyle w:val="FootnoteReference"/>
        </w:rPr>
        <w:footnoteRef/>
      </w:r>
      <w:r>
        <w:t xml:space="preserve"> The author has been tracking th</w:t>
      </w:r>
      <w:r w:rsidR="00802742">
        <w:t xml:space="preserve">e Government’s interactions with the JCHR </w:t>
      </w:r>
      <w:r>
        <w:t xml:space="preserve">as part of his PhD </w:t>
      </w:r>
      <w:r w:rsidR="0042308A">
        <w:t>research</w:t>
      </w:r>
      <w:r>
        <w:t>.</w:t>
      </w:r>
    </w:p>
  </w:footnote>
  <w:footnote w:id="7">
    <w:p w:rsidR="00F82341" w:rsidRDefault="00F82341">
      <w:pPr>
        <w:pStyle w:val="FootnoteText"/>
      </w:pPr>
      <w:r>
        <w:rPr>
          <w:rStyle w:val="FootnoteReference"/>
        </w:rPr>
        <w:footnoteRef/>
      </w:r>
      <w:r>
        <w:t xml:space="preserve"> </w:t>
      </w:r>
      <w:r w:rsidR="004263B6">
        <w:t xml:space="preserve">See </w:t>
      </w:r>
      <w:r w:rsidRPr="00F82341">
        <w:rPr>
          <w:i/>
        </w:rPr>
        <w:t>Interim Report</w:t>
      </w:r>
      <w:r>
        <w:t>, 33-34 and Chapter 2.</w:t>
      </w:r>
    </w:p>
  </w:footnote>
  <w:footnote w:id="8">
    <w:p w:rsidR="004263B6" w:rsidRDefault="004263B6">
      <w:pPr>
        <w:pStyle w:val="FootnoteText"/>
      </w:pPr>
      <w:r>
        <w:rPr>
          <w:rStyle w:val="FootnoteReference"/>
        </w:rPr>
        <w:footnoteRef/>
      </w:r>
      <w:r>
        <w:t xml:space="preserve"> Ibid, Chapters 3, 4, 6, 7, 14, 15 and 18.</w:t>
      </w:r>
    </w:p>
  </w:footnote>
  <w:footnote w:id="9">
    <w:p w:rsidR="00EA49AC" w:rsidRDefault="00EA49AC">
      <w:pPr>
        <w:pStyle w:val="FootnoteText"/>
      </w:pPr>
      <w:r w:rsidRPr="00EA49AC">
        <w:rPr>
          <w:rStyle w:val="FootnoteReference"/>
        </w:rPr>
        <w:footnoteRef/>
      </w:r>
      <w:r w:rsidRPr="00EA49AC">
        <w:t xml:space="preserve"> Concerns about ‘tr</w:t>
      </w:r>
      <w:r>
        <w:t xml:space="preserve">ansplanting’ international human rights standards, as cited in the </w:t>
      </w:r>
      <w:r w:rsidRPr="007A6075">
        <w:rPr>
          <w:i/>
        </w:rPr>
        <w:t>Interim Report</w:t>
      </w:r>
      <w:r>
        <w:t xml:space="preserve"> at pp 31</w:t>
      </w:r>
      <w:r>
        <w:noBreakHyphen/>
        <w:t>32, could be addressed by implementing a domestic Human Rights Act</w:t>
      </w:r>
      <w:r w:rsidR="007A6075">
        <w:t>, which would allow domestic human rights jurisprudence to develop</w:t>
      </w:r>
      <w:r>
        <w:t>.</w:t>
      </w:r>
    </w:p>
  </w:footnote>
  <w:footnote w:id="10">
    <w:p w:rsidR="00171CAD" w:rsidRDefault="00171CAD">
      <w:pPr>
        <w:pStyle w:val="FootnoteText"/>
      </w:pPr>
      <w:r>
        <w:rPr>
          <w:rStyle w:val="FootnoteReference"/>
        </w:rPr>
        <w:footnoteRef/>
      </w:r>
      <w:r>
        <w:t xml:space="preserve"> </w:t>
      </w:r>
      <w:r w:rsidRPr="00171CAD">
        <w:rPr>
          <w:i/>
        </w:rPr>
        <w:t>Nicholas v The Queen</w:t>
      </w:r>
      <w:r>
        <w:t xml:space="preserve"> (1998) 193 CLR 173, 208-9, as quoted in the </w:t>
      </w:r>
      <w:r w:rsidRPr="00171CAD">
        <w:rPr>
          <w:i/>
        </w:rPr>
        <w:t>Interim Report</w:t>
      </w:r>
      <w:r>
        <w:t>, 283.</w:t>
      </w:r>
    </w:p>
  </w:footnote>
  <w:footnote w:id="11">
    <w:p w:rsidR="004C33C2" w:rsidRDefault="004C33C2">
      <w:pPr>
        <w:pStyle w:val="FootnoteText"/>
      </w:pPr>
      <w:r>
        <w:rPr>
          <w:rStyle w:val="FootnoteReference"/>
        </w:rPr>
        <w:footnoteRef/>
      </w:r>
      <w:r>
        <w:t xml:space="preserve"> Australian Citizenship Amendment (Allegiance to Australia) Bill 2015, ss 3</w:t>
      </w:r>
      <w:r w:rsidR="0018676C">
        <w:t>3AA-36AA</w:t>
      </w:r>
      <w:r>
        <w:t>.</w:t>
      </w:r>
      <w:r w:rsidR="0018676C">
        <w:t xml:space="preserve"> </w:t>
      </w:r>
      <w:r w:rsidR="00EB6DF7">
        <w:t>We n</w:t>
      </w:r>
      <w:r w:rsidR="00AE096B">
        <w:t>ote</w:t>
      </w:r>
      <w:r w:rsidR="00EB6DF7">
        <w:t>,</w:t>
      </w:r>
      <w:r w:rsidR="00AE096B">
        <w:t xml:space="preserve"> however</w:t>
      </w:r>
      <w:r w:rsidR="00EB6DF7">
        <w:t>,</w:t>
      </w:r>
      <w:r w:rsidR="00AE096B">
        <w:t xml:space="preserve"> that a court challenge could probably be mounted to contest whether certain jurisdictional facts had taken place.</w:t>
      </w:r>
    </w:p>
  </w:footnote>
  <w:footnote w:id="12">
    <w:p w:rsidR="004C33C2" w:rsidRDefault="004C33C2">
      <w:pPr>
        <w:pStyle w:val="FootnoteText"/>
      </w:pPr>
      <w:r>
        <w:rPr>
          <w:rStyle w:val="FootnoteReference"/>
        </w:rPr>
        <w:footnoteRef/>
      </w:r>
      <w:r>
        <w:t xml:space="preserve"> See eg Wroe, ‘Powerful committee of MPs backs stripping citizenship, but calls for changes,’ </w:t>
      </w:r>
      <w:r w:rsidRPr="004C33C2">
        <w:rPr>
          <w:i/>
        </w:rPr>
        <w:t>Sydney Morning Herald</w:t>
      </w:r>
      <w:r>
        <w:t>, 4 September 2015: &lt;</w:t>
      </w:r>
      <w:hyperlink r:id="rId1" w:history="1">
        <w:r w:rsidRPr="008768A2">
          <w:rPr>
            <w:rStyle w:val="Hyperlink"/>
          </w:rPr>
          <w:t>http://www.smh.com.au/federal-politics/political-news/powerful-committee-of-mps-backs-stripping-citizenship-but-calls-for-changes-20150904-gjf4or.html</w:t>
        </w:r>
      </w:hyperlink>
      <w:r>
        <w:t xml:space="preserve">&gt;. </w:t>
      </w:r>
    </w:p>
  </w:footnote>
  <w:footnote w:id="13">
    <w:p w:rsidR="004C33C2" w:rsidRDefault="004C33C2">
      <w:pPr>
        <w:pStyle w:val="FootnoteText"/>
      </w:pPr>
      <w:r>
        <w:rPr>
          <w:rStyle w:val="FootnoteReference"/>
        </w:rPr>
        <w:footnoteRef/>
      </w:r>
      <w:r>
        <w:t xml:space="preserve"> See </w:t>
      </w:r>
      <w:r w:rsidR="00473743">
        <w:t>Joint Committee on Intelligence and Security</w:t>
      </w:r>
      <w:r>
        <w:t xml:space="preserve">, </w:t>
      </w:r>
      <w:r w:rsidRPr="004C33C2">
        <w:rPr>
          <w:i/>
        </w:rPr>
        <w:t>Advisory Report on the Australian Citizenship Amendment (Allegiance to Australia) Bill 2015</w:t>
      </w:r>
      <w:r>
        <w:t>, September 2015</w:t>
      </w:r>
      <w:r w:rsidR="00AF7173">
        <w:t>, [5.101-5.105]</w:t>
      </w:r>
      <w:r>
        <w:t>.</w:t>
      </w:r>
      <w:r w:rsidR="0018676C">
        <w:t xml:space="preserve"> The </w:t>
      </w:r>
      <w:r w:rsidR="00473743">
        <w:t xml:space="preserve">Committee </w:t>
      </w:r>
      <w:r w:rsidR="0018676C">
        <w:t>did recommend that the Minister be required to consider whether to exercise a discretion to exempt a person from the operation of the automat</w:t>
      </w:r>
      <w:r w:rsidR="00AF7173">
        <w:t>ic citizenship loss provisions (Recommendation 15)</w:t>
      </w:r>
      <w:r w:rsidR="00B25691">
        <w:t>, and that the Government report every six months on the operation of the mechanism (Recommendation 22)</w:t>
      </w:r>
      <w:r w:rsidR="00AF7173">
        <w:t>.</w:t>
      </w:r>
    </w:p>
  </w:footnote>
  <w:footnote w:id="14">
    <w:p w:rsidR="00830C2A" w:rsidRDefault="00830C2A">
      <w:pPr>
        <w:pStyle w:val="FootnoteText"/>
      </w:pPr>
      <w:r>
        <w:rPr>
          <w:rStyle w:val="FootnoteReference"/>
        </w:rPr>
        <w:footnoteRef/>
      </w:r>
      <w:r>
        <w:t xml:space="preserve"> </w:t>
      </w:r>
      <w:r w:rsidR="007A6075">
        <w:t xml:space="preserve">See </w:t>
      </w:r>
      <w:r w:rsidRPr="00830C2A">
        <w:rPr>
          <w:i/>
        </w:rPr>
        <w:t>Interim Report</w:t>
      </w:r>
      <w:r>
        <w:t>, 146 – ‘The extent to which obligations under ILO Conventions engage the scope of common law or traditional understandings of freedom of association may be contested.’</w:t>
      </w:r>
    </w:p>
  </w:footnote>
  <w:footnote w:id="15">
    <w:p w:rsidR="005F0A00" w:rsidRDefault="005F0A00">
      <w:pPr>
        <w:pStyle w:val="FootnoteText"/>
      </w:pPr>
      <w:r>
        <w:rPr>
          <w:rStyle w:val="FootnoteReference"/>
        </w:rPr>
        <w:footnoteRef/>
      </w:r>
      <w:r>
        <w:t xml:space="preserve"> </w:t>
      </w:r>
      <w:r w:rsidR="00473743">
        <w:t xml:space="preserve">See </w:t>
      </w:r>
      <w:r w:rsidRPr="005F0A00">
        <w:rPr>
          <w:i/>
        </w:rPr>
        <w:t>Interim Report</w:t>
      </w:r>
      <w:r>
        <w:t>, 51.</w:t>
      </w:r>
    </w:p>
  </w:footnote>
  <w:footnote w:id="16">
    <w:p w:rsidR="00715C15" w:rsidRDefault="00715C15">
      <w:pPr>
        <w:pStyle w:val="FootnoteText"/>
      </w:pPr>
      <w:r>
        <w:rPr>
          <w:rStyle w:val="FootnoteReference"/>
        </w:rPr>
        <w:footnoteRef/>
      </w:r>
      <w:r>
        <w:t xml:space="preserve"> See JCHR, </w:t>
      </w:r>
      <w:r w:rsidRPr="00715C15">
        <w:rPr>
          <w:i/>
        </w:rPr>
        <w:t>Sixteenth Report of the 44</w:t>
      </w:r>
      <w:r w:rsidRPr="00715C15">
        <w:rPr>
          <w:i/>
          <w:vertAlign w:val="superscript"/>
        </w:rPr>
        <w:t>th</w:t>
      </w:r>
      <w:r w:rsidRPr="00715C15">
        <w:rPr>
          <w:i/>
        </w:rPr>
        <w:t xml:space="preserve"> Parliament</w:t>
      </w:r>
      <w:r>
        <w:t>, November 2014, 35.</w:t>
      </w:r>
    </w:p>
  </w:footnote>
  <w:footnote w:id="17">
    <w:p w:rsidR="00DB24E5" w:rsidRDefault="00DB24E5">
      <w:pPr>
        <w:pStyle w:val="FootnoteText"/>
      </w:pPr>
      <w:r>
        <w:rPr>
          <w:rStyle w:val="FootnoteReference"/>
        </w:rPr>
        <w:footnoteRef/>
      </w:r>
      <w:r>
        <w:t xml:space="preserve"> Ibid, 35-38.</w:t>
      </w:r>
    </w:p>
  </w:footnote>
  <w:footnote w:id="18">
    <w:p w:rsidR="00DB24E5" w:rsidRDefault="00DB24E5">
      <w:pPr>
        <w:pStyle w:val="FootnoteText"/>
      </w:pPr>
      <w:r>
        <w:rPr>
          <w:rStyle w:val="FootnoteReference"/>
        </w:rPr>
        <w:footnoteRef/>
      </w:r>
      <w:r>
        <w:t xml:space="preserve"> This assertion is based on an examination</w:t>
      </w:r>
      <w:r w:rsidR="00E53168">
        <w:t xml:space="preserve"> by the author</w:t>
      </w:r>
      <w:r>
        <w:t xml:space="preserve"> of every Ministerial response to the JCHR to </w:t>
      </w:r>
      <w:r w:rsidR="00E53168">
        <w:t>July 2015</w:t>
      </w:r>
      <w:r>
        <w:t xml:space="preserve">. </w:t>
      </w:r>
    </w:p>
  </w:footnote>
  <w:footnote w:id="19">
    <w:p w:rsidR="00DB24E5" w:rsidRDefault="00DB24E5">
      <w:pPr>
        <w:pStyle w:val="FootnoteText"/>
      </w:pPr>
      <w:r>
        <w:rPr>
          <w:rStyle w:val="FootnoteReference"/>
        </w:rPr>
        <w:footnoteRef/>
      </w:r>
      <w:r>
        <w:t xml:space="preserve"> </w:t>
      </w:r>
      <w:r w:rsidRPr="00DB24E5">
        <w:t>Amendments were made (or promised to be made) in respect of the Australian Charities and Not-for-profits Commission Bill 2012; National Disability Insurance Scheme Bill 2012; Customs (Drug and Alcohol Testing) Regulation 2013; Parliamentary Budget Office Bill 2013, and the Customs (Drugs &amp; Alcohol) Reg</w:t>
      </w:r>
      <w:r>
        <w:t>ulation</w:t>
      </w:r>
      <w:r w:rsidRPr="00DB24E5">
        <w:t xml:space="preserve"> 2013 [</w:t>
      </w:r>
      <w:r>
        <w:t xml:space="preserve">NB only </w:t>
      </w:r>
      <w:r w:rsidRPr="00DB24E5">
        <w:t>after disallowance</w:t>
      </w:r>
      <w:r w:rsidR="00233BE3">
        <w:t xml:space="preserve"> motion initiated</w:t>
      </w:r>
      <w:r>
        <w:t xml:space="preserve"> by the JCHR</w:t>
      </w:r>
      <w:r w:rsidRPr="00DB24E5">
        <w:t>].</w:t>
      </w:r>
    </w:p>
  </w:footnote>
  <w:footnote w:id="20">
    <w:p w:rsidR="00364BE2" w:rsidRDefault="00364BE2">
      <w:pPr>
        <w:pStyle w:val="FootnoteText"/>
      </w:pPr>
      <w:r>
        <w:rPr>
          <w:rStyle w:val="FootnoteReference"/>
        </w:rPr>
        <w:footnoteRef/>
      </w:r>
      <w:r>
        <w:t xml:space="preserve"> </w:t>
      </w:r>
      <w:r w:rsidRPr="00364BE2">
        <w:rPr>
          <w:i/>
        </w:rPr>
        <w:t>Interim Report</w:t>
      </w:r>
      <w:r>
        <w:t>, 51-54.</w:t>
      </w:r>
    </w:p>
  </w:footnote>
  <w:footnote w:id="21">
    <w:p w:rsidR="006C5BC8" w:rsidRDefault="006C5BC8">
      <w:pPr>
        <w:pStyle w:val="FootnoteText"/>
      </w:pPr>
      <w:r>
        <w:rPr>
          <w:rStyle w:val="FootnoteReference"/>
        </w:rPr>
        <w:footnoteRef/>
      </w:r>
      <w:r>
        <w:t xml:space="preserve"> Ibid, 53.</w:t>
      </w:r>
    </w:p>
  </w:footnote>
  <w:footnote w:id="22">
    <w:p w:rsidR="005D28F4" w:rsidRDefault="005D28F4">
      <w:pPr>
        <w:pStyle w:val="FootnoteText"/>
      </w:pPr>
      <w:r>
        <w:rPr>
          <w:rStyle w:val="FootnoteReference"/>
        </w:rPr>
        <w:footnoteRef/>
      </w:r>
      <w:r>
        <w:t xml:space="preserve"> Ibid, 54.</w:t>
      </w:r>
    </w:p>
  </w:footnote>
  <w:footnote w:id="23">
    <w:p w:rsidR="000D4669" w:rsidRPr="009F3C28" w:rsidRDefault="000D4669">
      <w:pPr>
        <w:pStyle w:val="FootnoteText"/>
      </w:pPr>
      <w:r>
        <w:rPr>
          <w:rStyle w:val="FootnoteReference"/>
        </w:rPr>
        <w:footnoteRef/>
      </w:r>
      <w:r>
        <w:t xml:space="preserve"> See eg Hiebert, ‘Legislative Rights Review’ in Hunt et al, </w:t>
      </w:r>
      <w:r w:rsidR="009F3C28">
        <w:rPr>
          <w:i/>
        </w:rPr>
        <w:t>Parliaments and Human Rights</w:t>
      </w:r>
      <w:r w:rsidR="009F3C28">
        <w:t xml:space="preserve"> (Hart, 2015), 49.</w:t>
      </w:r>
    </w:p>
  </w:footnote>
  <w:footnote w:id="24">
    <w:p w:rsidR="009F3C28" w:rsidRDefault="009F3C28">
      <w:pPr>
        <w:pStyle w:val="FootnoteText"/>
      </w:pPr>
      <w:r>
        <w:rPr>
          <w:rStyle w:val="FootnoteReference"/>
        </w:rPr>
        <w:footnoteRef/>
      </w:r>
      <w:r>
        <w:t xml:space="preserve"> See eg JCHR, </w:t>
      </w:r>
      <w:r w:rsidRPr="009F3C28">
        <w:rPr>
          <w:i/>
        </w:rPr>
        <w:t>Chair’s Tabling Statement</w:t>
      </w:r>
      <w:r>
        <w:t>, 25 November 2014.</w:t>
      </w:r>
    </w:p>
  </w:footnote>
  <w:footnote w:id="25">
    <w:p w:rsidR="009F3C28" w:rsidRDefault="009F3C28">
      <w:pPr>
        <w:pStyle w:val="FootnoteText"/>
      </w:pPr>
      <w:r>
        <w:rPr>
          <w:rStyle w:val="FootnoteReference"/>
        </w:rPr>
        <w:footnoteRef/>
      </w:r>
      <w:r>
        <w:t xml:space="preserve"> See eg </w:t>
      </w:r>
      <w:r w:rsidRPr="009F3C28">
        <w:t xml:space="preserve">See Byrnes, ‘The curious case of the Racial Discrimination Bill 2014 and the PJCHR’s assessment of bills as giving rise to ‘no human rights concerns,’’ </w:t>
      </w:r>
      <w:r w:rsidRPr="009F3C28">
        <w:rPr>
          <w:i/>
        </w:rPr>
        <w:t>Human Rights Scrutiny Blog</w:t>
      </w:r>
      <w:r w:rsidRPr="009F3C28">
        <w:t>, 17 February 2015: &lt;</w:t>
      </w:r>
      <w:hyperlink r:id="rId2" w:history="1">
        <w:r w:rsidRPr="009F3C28">
          <w:rPr>
            <w:rStyle w:val="Hyperlink"/>
          </w:rPr>
          <w:t>https://hrscrutiny.wordpress.com/2015/02/17/the-curious-case-of-the-racial-discrimination-amendment-bill-2014-and-the-pjchrs-assessment-of-bills-as-giving-rise-to-no-human-rights-concerns</w:t>
        </w:r>
      </w:hyperlink>
      <w:r w:rsidRPr="009F3C28">
        <w:t>&gt;</w:t>
      </w:r>
      <w:r>
        <w:t>.</w:t>
      </w:r>
    </w:p>
  </w:footnote>
  <w:footnote w:id="26">
    <w:p w:rsidR="00264BCF" w:rsidRDefault="00264BCF">
      <w:pPr>
        <w:pStyle w:val="FootnoteText"/>
      </w:pPr>
      <w:r>
        <w:rPr>
          <w:rStyle w:val="FootnoteReference"/>
        </w:rPr>
        <w:footnoteRef/>
      </w:r>
      <w:r>
        <w:t xml:space="preserve"> Ministerial attitudes to human rights probably have a bearing on public servants’ approach to the JCHR.</w:t>
      </w:r>
    </w:p>
  </w:footnote>
  <w:footnote w:id="27">
    <w:p w:rsidR="000D4669" w:rsidRDefault="000D4669">
      <w:pPr>
        <w:pStyle w:val="FootnoteText"/>
      </w:pPr>
      <w:r>
        <w:rPr>
          <w:rStyle w:val="FootnoteReference"/>
        </w:rPr>
        <w:footnoteRef/>
      </w:r>
      <w:r>
        <w:t xml:space="preserve"> See </w:t>
      </w:r>
      <w:r w:rsidRPr="000D4669">
        <w:rPr>
          <w:i/>
        </w:rPr>
        <w:t>Interim Report</w:t>
      </w:r>
      <w:r>
        <w:t>, 39.</w:t>
      </w:r>
    </w:p>
  </w:footnote>
  <w:footnote w:id="28">
    <w:p w:rsidR="00BD2E0A" w:rsidRDefault="00BD2E0A">
      <w:pPr>
        <w:pStyle w:val="FootnoteText"/>
      </w:pPr>
      <w:r>
        <w:rPr>
          <w:rStyle w:val="FootnoteReference"/>
        </w:rPr>
        <w:footnoteRef/>
      </w:r>
      <w:r>
        <w:t xml:space="preserve"> See JSCOT, </w:t>
      </w:r>
      <w:r>
        <w:rPr>
          <w:i/>
        </w:rPr>
        <w:t>Report 125</w:t>
      </w:r>
      <w:r>
        <w:t>, June 2012, Chapter 6: &lt;</w:t>
      </w:r>
      <w:hyperlink r:id="rId3" w:history="1">
        <w:r w:rsidRPr="0076236A">
          <w:rPr>
            <w:rStyle w:val="Hyperlink"/>
          </w:rPr>
          <w:t>http://www.aph.gov.au/Parliamentary_Business/Committees/House_of_Representatives_Committees?url=jsct/28february2012/report/chapter6.pdf</w:t>
        </w:r>
      </w:hyperlink>
      <w:r>
        <w:t xml:space="preserve">&gt;. </w:t>
      </w:r>
    </w:p>
  </w:footnote>
  <w:footnote w:id="29">
    <w:p w:rsidR="007539AB" w:rsidRDefault="007539AB">
      <w:pPr>
        <w:pStyle w:val="FootnoteText"/>
      </w:pPr>
      <w:r>
        <w:rPr>
          <w:rStyle w:val="FootnoteReference"/>
        </w:rPr>
        <w:footnoteRef/>
      </w:r>
      <w:r>
        <w:t xml:space="preserve"> See </w:t>
      </w:r>
      <w:r w:rsidRPr="007539AB">
        <w:rPr>
          <w:i/>
        </w:rPr>
        <w:t xml:space="preserve">UN General Assembly Resolution </w:t>
      </w:r>
      <w:r>
        <w:rPr>
          <w:i/>
        </w:rPr>
        <w:t>48/</w:t>
      </w:r>
      <w:r w:rsidRPr="007539AB">
        <w:rPr>
          <w:i/>
        </w:rPr>
        <w:t>134</w:t>
      </w:r>
      <w:r>
        <w:rPr>
          <w:i/>
        </w:rPr>
        <w:t>,</w:t>
      </w:r>
      <w:r>
        <w:t xml:space="preserve"> 4 March 1994</w:t>
      </w:r>
      <w:r w:rsidRPr="007539AB">
        <w:rPr>
          <w:i/>
        </w:rPr>
        <w:t xml:space="preserve"> </w:t>
      </w:r>
      <w:r>
        <w:t>(UN Doc A/RES/48/134), 6.</w:t>
      </w:r>
    </w:p>
  </w:footnote>
  <w:footnote w:id="30">
    <w:p w:rsidR="00ED06DD" w:rsidRDefault="00ED06DD">
      <w:pPr>
        <w:pStyle w:val="FootnoteText"/>
      </w:pPr>
      <w:r>
        <w:rPr>
          <w:rStyle w:val="FootnoteReference"/>
        </w:rPr>
        <w:footnoteRef/>
      </w:r>
      <w:r>
        <w:t xml:space="preserve"> See HLRC, </w:t>
      </w:r>
      <w:r w:rsidRPr="00ED06DD">
        <w:rPr>
          <w:i/>
        </w:rPr>
        <w:t>Slashing funding for human rights watchdog is dangerous for human rights and democracy</w:t>
      </w:r>
      <w:r>
        <w:t>, 15 December 2014: &lt;</w:t>
      </w:r>
      <w:hyperlink r:id="rId4" w:history="1">
        <w:r w:rsidRPr="00EE029F">
          <w:rPr>
            <w:rStyle w:val="Hyperlink"/>
          </w:rPr>
          <w:t>http://hrlc.org.au/slashing-funding-for-human-rights-watchdog-is-dangerous-for-human-rights-and-for-democracy</w:t>
        </w:r>
      </w:hyperlink>
      <w:r>
        <w:t xml:space="preserve">&gt;. </w:t>
      </w:r>
    </w:p>
  </w:footnote>
  <w:footnote w:id="31">
    <w:p w:rsidR="00ED06DD" w:rsidRDefault="00ED06DD">
      <w:pPr>
        <w:pStyle w:val="FootnoteText"/>
      </w:pPr>
      <w:r>
        <w:rPr>
          <w:rStyle w:val="FootnoteReference"/>
        </w:rPr>
        <w:footnoteRef/>
      </w:r>
      <w:r>
        <w:t xml:space="preserve"> Ibid.</w:t>
      </w:r>
    </w:p>
  </w:footnote>
  <w:footnote w:id="32">
    <w:p w:rsidR="008D7FAF" w:rsidRDefault="008D7FAF">
      <w:pPr>
        <w:pStyle w:val="FootnoteText"/>
      </w:pPr>
      <w:r>
        <w:rPr>
          <w:rStyle w:val="FootnoteReference"/>
        </w:rPr>
        <w:footnoteRef/>
      </w:r>
      <w:r>
        <w:t xml:space="preserve"> See ‘‘Have a thick skin’ – sex discrimination commissioner’s advice to her successor,’ </w:t>
      </w:r>
      <w:r w:rsidRPr="008D7FAF">
        <w:rPr>
          <w:i/>
        </w:rPr>
        <w:t>The Guardian</w:t>
      </w:r>
      <w:r>
        <w:t>, 1 September 2015: &lt;</w:t>
      </w:r>
      <w:hyperlink r:id="rId5" w:history="1">
        <w:r w:rsidRPr="006D7ABE">
          <w:rPr>
            <w:rStyle w:val="Hyperlink"/>
          </w:rPr>
          <w:t>http://www.theguardian.com/world/2015/sep/02/have-a-thick-skin-sex-discrimination-commissioners-advice-to-her-successor</w:t>
        </w:r>
      </w:hyperlink>
      <w:r>
        <w:t xml:space="preserve">&gt;. </w:t>
      </w:r>
    </w:p>
  </w:footnote>
  <w:footnote w:id="33">
    <w:p w:rsidR="00535B0D" w:rsidRPr="00486048" w:rsidRDefault="00535B0D">
      <w:pPr>
        <w:pStyle w:val="FootnoteText"/>
      </w:pPr>
      <w:r>
        <w:rPr>
          <w:rStyle w:val="FootnoteReference"/>
        </w:rPr>
        <w:footnoteRef/>
      </w:r>
      <w:r>
        <w:t xml:space="preserve"> See Independent National Security Legislation Monitor Repeal Bill 2014; </w:t>
      </w:r>
      <w:r w:rsidR="00486048">
        <w:t xml:space="preserve">also Laughland, ‘Coalition would scrap independent refugee review,’ </w:t>
      </w:r>
      <w:r w:rsidR="00486048" w:rsidRPr="00486048">
        <w:rPr>
          <w:i/>
        </w:rPr>
        <w:t>The Guardian</w:t>
      </w:r>
      <w:r w:rsidR="00486048">
        <w:rPr>
          <w:i/>
        </w:rPr>
        <w:t>,</w:t>
      </w:r>
      <w:r w:rsidR="00486048">
        <w:t xml:space="preserve"> 30 August 2013: &lt;</w:t>
      </w:r>
      <w:hyperlink r:id="rId6" w:history="1">
        <w:r w:rsidR="00486048" w:rsidRPr="00F15076">
          <w:rPr>
            <w:rStyle w:val="Hyperlink"/>
          </w:rPr>
          <w:t>http://www.theguardian.com/world/2013/aug/30/coalition-rules-out-review-of-asio-findings</w:t>
        </w:r>
      </w:hyperlink>
      <w:r w:rsidR="00486048">
        <w:t xml:space="preserve">&gt;. </w:t>
      </w:r>
    </w:p>
  </w:footnote>
  <w:footnote w:id="34">
    <w:p w:rsidR="00535B0D" w:rsidRDefault="00535B0D">
      <w:pPr>
        <w:pStyle w:val="FootnoteText"/>
      </w:pPr>
      <w:r>
        <w:rPr>
          <w:rStyle w:val="FootnoteReference"/>
        </w:rPr>
        <w:footnoteRef/>
      </w:r>
      <w:r>
        <w:t xml:space="preserve"> See Gordon, ‘Senate to quash moves to axe security laws scrutiny,’ </w:t>
      </w:r>
      <w:r w:rsidRPr="00535B0D">
        <w:rPr>
          <w:i/>
        </w:rPr>
        <w:t>Sydney Morning Herald</w:t>
      </w:r>
      <w:r>
        <w:t>, 11 May 2014: &lt;</w:t>
      </w:r>
      <w:hyperlink r:id="rId7" w:history="1">
        <w:r w:rsidRPr="00F15076">
          <w:rPr>
            <w:rStyle w:val="Hyperlink"/>
          </w:rPr>
          <w:t>http://www.smh.com.au/federal-politics/political-news/senate-to-quash-moves-to-axe-security-laws-scrutiny-20140511-zr9ir.html</w:t>
        </w:r>
      </w:hyperlink>
      <w:r>
        <w:t xml:space="preserve">&gt;. </w:t>
      </w:r>
    </w:p>
  </w:footnote>
  <w:footnote w:id="35">
    <w:p w:rsidR="00486048" w:rsidRPr="00486048" w:rsidRDefault="00486048">
      <w:pPr>
        <w:pStyle w:val="FootnoteText"/>
        <w:rPr>
          <w:i/>
        </w:rPr>
      </w:pPr>
      <w:r>
        <w:rPr>
          <w:rStyle w:val="FootnoteReference"/>
        </w:rPr>
        <w:footnoteRef/>
      </w:r>
      <w:r>
        <w:t xml:space="preserve"> See Department of Prime Minister and Cabinet, </w:t>
      </w:r>
      <w:r>
        <w:rPr>
          <w:i/>
        </w:rPr>
        <w:t xml:space="preserve">Independent National Security Legislation Monitor: </w:t>
      </w:r>
      <w:r>
        <w:t>&lt;</w:t>
      </w:r>
      <w:hyperlink r:id="rId8" w:history="1">
        <w:r w:rsidRPr="00486048">
          <w:rPr>
            <w:rStyle w:val="Hyperlink"/>
          </w:rPr>
          <w:t>http://www.dpmc.gov.au/pmc/about-pmc/core-priorities/independent-national-security-legislation-monitor</w:t>
        </w:r>
      </w:hyperlink>
      <w:r>
        <w:t>&gt;.</w:t>
      </w:r>
      <w:r>
        <w:rPr>
          <w:i/>
        </w:rPr>
        <w:t xml:space="preserve"> </w:t>
      </w:r>
    </w:p>
  </w:footnote>
  <w:footnote w:id="36">
    <w:p w:rsidR="004E490C" w:rsidRDefault="004E490C" w:rsidP="004E490C">
      <w:pPr>
        <w:pStyle w:val="FootnoteText"/>
      </w:pPr>
      <w:r>
        <w:rPr>
          <w:rStyle w:val="FootnoteReference"/>
        </w:rPr>
        <w:footnoteRef/>
      </w:r>
      <w:r>
        <w:t xml:space="preserve"> See Mulgan, ‘The slow death of the Office of the Australian Information Commissioner,’ </w:t>
      </w:r>
      <w:r w:rsidRPr="00261457">
        <w:rPr>
          <w:i/>
        </w:rPr>
        <w:t>Canberra Times</w:t>
      </w:r>
      <w:r>
        <w:t>, 1 September 2015: &lt;</w:t>
      </w:r>
      <w:hyperlink r:id="rId9" w:history="1">
        <w:r w:rsidRPr="00261457">
          <w:rPr>
            <w:rStyle w:val="Hyperlink"/>
          </w:rPr>
          <w:t>http://www.canberratimes.com.au/national/public-service/the-slow-death-of-the-office-of-the-australian-information-commissioner-20150826-gj81dl.html</w:t>
        </w:r>
      </w:hyperlink>
      <w:r>
        <w:t xml:space="preserve">&gt;. </w:t>
      </w:r>
    </w:p>
  </w:footnote>
  <w:footnote w:id="37">
    <w:p w:rsidR="00D20A5F" w:rsidRPr="004E490C" w:rsidRDefault="00D20A5F" w:rsidP="00D20A5F">
      <w:pPr>
        <w:pStyle w:val="FootnoteText"/>
      </w:pPr>
      <w:r>
        <w:rPr>
          <w:rStyle w:val="FootnoteReference"/>
        </w:rPr>
        <w:footnoteRef/>
      </w:r>
      <w:r>
        <w:t xml:space="preserve"> Ibid, see also Donaldson, OAIC weakened as commissioner side</w:t>
      </w:r>
      <w:r>
        <w:noBreakHyphen/>
        <w:t xml:space="preserve">steps into NSW role,’ </w:t>
      </w:r>
      <w:r w:rsidRPr="004E490C">
        <w:rPr>
          <w:i/>
        </w:rPr>
        <w:t>The Mandar</w:t>
      </w:r>
      <w:r>
        <w:rPr>
          <w:i/>
        </w:rPr>
        <w:t xml:space="preserve">in, </w:t>
      </w:r>
      <w:r>
        <w:t>10 June 2015: &lt;</w:t>
      </w:r>
      <w:hyperlink r:id="rId10" w:history="1">
        <w:r w:rsidRPr="008768A2">
          <w:rPr>
            <w:rStyle w:val="Hyperlink"/>
          </w:rPr>
          <w:t>http://www.themandarin.com.au/38509-oaic-weakened-as-commissioner-shifts-to-nsw-ombudsman/?pgnc=1</w:t>
        </w:r>
      </w:hyperlink>
      <w:r>
        <w:t xml:space="preserve">&gt;. </w:t>
      </w:r>
    </w:p>
  </w:footnote>
  <w:footnote w:id="38">
    <w:p w:rsidR="00D20A5F" w:rsidRDefault="00D20A5F">
      <w:pPr>
        <w:pStyle w:val="FootnoteText"/>
      </w:pPr>
      <w:r>
        <w:rPr>
          <w:rStyle w:val="FootnoteReference"/>
        </w:rPr>
        <w:footnoteRef/>
      </w:r>
      <w:r>
        <w:t xml:space="preserve"> See Smith, Harper and Charles, ‘Abbott government skirts Parliament and muzzles the FOI watchdog,’ </w:t>
      </w:r>
      <w:r w:rsidRPr="00D20A5F">
        <w:rPr>
          <w:i/>
        </w:rPr>
        <w:t>Canberra Times</w:t>
      </w:r>
      <w:r>
        <w:t>, 26 May 2015: &lt;</w:t>
      </w:r>
      <w:hyperlink r:id="rId11" w:history="1">
        <w:r w:rsidRPr="008768A2">
          <w:rPr>
            <w:rStyle w:val="Hyperlink"/>
          </w:rPr>
          <w:t>http://www.canberratimes.com.au/comment/abbott-government-skirts-parliament-and-muzzles-the-foi-watchdog-20150525-gh9ju2</w:t>
        </w:r>
      </w:hyperlink>
      <w:r>
        <w:t xml:space="preserve">&gt;. </w:t>
      </w:r>
    </w:p>
  </w:footnote>
  <w:footnote w:id="39">
    <w:p w:rsidR="00ED06DD" w:rsidRDefault="00ED06DD">
      <w:pPr>
        <w:pStyle w:val="FootnoteText"/>
      </w:pPr>
      <w:r>
        <w:rPr>
          <w:rStyle w:val="FootnoteReference"/>
        </w:rPr>
        <w:footnoteRef/>
      </w:r>
      <w:r>
        <w:t xml:space="preserve"> See Law Council of Australia, </w:t>
      </w:r>
      <w:r w:rsidR="0003152C" w:rsidRPr="0003152C">
        <w:rPr>
          <w:i/>
        </w:rPr>
        <w:t>Significant legal assistance funding cuts may compromise criminal and family law cases</w:t>
      </w:r>
      <w:r w:rsidR="0003152C">
        <w:t>, 22 December 2014, available at: &lt;</w:t>
      </w:r>
      <w:hyperlink r:id="rId12" w:history="1">
        <w:r w:rsidR="0003152C" w:rsidRPr="00EE029F">
          <w:rPr>
            <w:rStyle w:val="Hyperlink"/>
          </w:rPr>
          <w:t>http://www.lawcouncil.asn.au/lawcouncil/index.php/law-council-media/media-releases</w:t>
        </w:r>
      </w:hyperlink>
      <w:r w:rsidR="0003152C">
        <w:t>&gt;.</w:t>
      </w:r>
    </w:p>
  </w:footnote>
  <w:footnote w:id="40">
    <w:p w:rsidR="0003152C" w:rsidRPr="0003152C" w:rsidRDefault="0003152C">
      <w:pPr>
        <w:pStyle w:val="FootnoteText"/>
      </w:pPr>
      <w:r>
        <w:rPr>
          <w:rStyle w:val="FootnoteReference"/>
        </w:rPr>
        <w:footnoteRef/>
      </w:r>
      <w:r>
        <w:t xml:space="preserve"> See Victoria Legal Aid, </w:t>
      </w:r>
      <w:r>
        <w:rPr>
          <w:i/>
        </w:rPr>
        <w:t>Statement on the Commonwealth Budget,</w:t>
      </w:r>
      <w:r>
        <w:t xml:space="preserve"> 14 May 2014: &lt;</w:t>
      </w:r>
      <w:hyperlink r:id="rId13" w:history="1">
        <w:r w:rsidRPr="00EE029F">
          <w:rPr>
            <w:rStyle w:val="Hyperlink"/>
          </w:rPr>
          <w:t>https://www.legalaid.vic.gov.au/about-us/news/statement-on-commonwealth-budget</w:t>
        </w:r>
      </w:hyperlink>
      <w:r>
        <w:t xml:space="preserve">&gt;. </w:t>
      </w:r>
    </w:p>
  </w:footnote>
  <w:footnote w:id="41">
    <w:p w:rsidR="0003152C" w:rsidRDefault="0003152C">
      <w:pPr>
        <w:pStyle w:val="FootnoteText"/>
      </w:pPr>
      <w:r>
        <w:rPr>
          <w:rStyle w:val="FootnoteReference"/>
        </w:rPr>
        <w:footnoteRef/>
      </w:r>
      <w:r>
        <w:t xml:space="preserve"> See Law Council of Australia, above n </w:t>
      </w:r>
      <w:r w:rsidR="00FE3001">
        <w:fldChar w:fldCharType="begin"/>
      </w:r>
      <w:r>
        <w:instrText xml:space="preserve"> NOTEREF _Ref428869430 \h </w:instrText>
      </w:r>
      <w:r w:rsidR="00FE3001">
        <w:fldChar w:fldCharType="separate"/>
      </w:r>
      <w:r w:rsidR="00D87C19">
        <w:t>39</w:t>
      </w:r>
      <w:r w:rsidR="00FE3001">
        <w:fldChar w:fldCharType="end"/>
      </w:r>
      <w:r>
        <w:t>.</w:t>
      </w:r>
      <w:r w:rsidR="00023FB5">
        <w:t xml:space="preserve"> See also </w:t>
      </w:r>
      <w:r w:rsidR="00023FB5" w:rsidRPr="00023FB5">
        <w:t xml:space="preserve">Massola, Whitbourn and Willingham, </w:t>
      </w:r>
      <w:r w:rsidR="00023FB5">
        <w:t>‘State Attorneys</w:t>
      </w:r>
      <w:r w:rsidR="00023FB5">
        <w:noBreakHyphen/>
      </w:r>
      <w:r w:rsidR="00023FB5" w:rsidRPr="00023FB5">
        <w:t>General unite to warn George Brandis of crisis in legal funding,’ Sydney Morning Herald, 6 March 2015: &lt;</w:t>
      </w:r>
      <w:hyperlink r:id="rId14" w:history="1">
        <w:r w:rsidR="00023FB5" w:rsidRPr="00023FB5">
          <w:rPr>
            <w:rStyle w:val="Hyperlink"/>
          </w:rPr>
          <w:t>http://www.smh.com.au/federal-politics/political-news/state-attorneysgeneral-unite-to-warn-george-brandis-of-crisis-in-legal-funding-20150306-13x8d1.html</w:t>
        </w:r>
      </w:hyperlink>
      <w:r w:rsidR="00023FB5" w:rsidRPr="00023FB5">
        <w:t>&gt;.</w:t>
      </w:r>
    </w:p>
  </w:footnote>
  <w:footnote w:id="42">
    <w:p w:rsidR="0003152C" w:rsidRDefault="0003152C">
      <w:pPr>
        <w:pStyle w:val="FootnoteText"/>
      </w:pPr>
      <w:r>
        <w:rPr>
          <w:rStyle w:val="FootnoteReference"/>
        </w:rPr>
        <w:footnoteRef/>
      </w:r>
      <w:r>
        <w:t xml:space="preserve"> See</w:t>
      </w:r>
      <w:r w:rsidR="00023FB5" w:rsidRPr="00023FB5">
        <w:rPr>
          <w:sz w:val="22"/>
          <w:szCs w:val="22"/>
        </w:rPr>
        <w:t xml:space="preserve"> </w:t>
      </w:r>
      <w:r w:rsidR="00023FB5" w:rsidRPr="00023FB5">
        <w:t xml:space="preserve">Massola, Whitbourn and Willingham, </w:t>
      </w:r>
      <w:r w:rsidR="00023FB5">
        <w:t>above.</w:t>
      </w:r>
      <w:r>
        <w:t xml:space="preserve"> </w:t>
      </w:r>
    </w:p>
  </w:footnote>
  <w:footnote w:id="43">
    <w:p w:rsidR="00023FB5" w:rsidRDefault="00023FB5" w:rsidP="00023FB5">
      <w:pPr>
        <w:pStyle w:val="FootnoteText"/>
      </w:pPr>
      <w:r>
        <w:rPr>
          <w:rStyle w:val="FootnoteReference"/>
        </w:rPr>
        <w:footnoteRef/>
      </w:r>
      <w:r>
        <w:t xml:space="preserve"> </w:t>
      </w:r>
      <w:r w:rsidR="00F46DE4">
        <w:t xml:space="preserve">See JCHR, </w:t>
      </w:r>
      <w:r w:rsidR="00F46DE4" w:rsidRPr="00F46DE4">
        <w:rPr>
          <w:i/>
        </w:rPr>
        <w:t>Eighth Report of the 44</w:t>
      </w:r>
      <w:r w:rsidR="00F46DE4" w:rsidRPr="00F46DE4">
        <w:rPr>
          <w:i/>
          <w:vertAlign w:val="superscript"/>
        </w:rPr>
        <w:t>th</w:t>
      </w:r>
      <w:r w:rsidR="00F46DE4" w:rsidRPr="00F46DE4">
        <w:rPr>
          <w:i/>
        </w:rPr>
        <w:t xml:space="preserve"> Parliament</w:t>
      </w:r>
      <w:r w:rsidR="00F46DE4">
        <w:t>, June 2014, Appendix 2 (Correspondence from Finance Minister Cormann received 18 March 2014).</w:t>
      </w:r>
    </w:p>
  </w:footnote>
  <w:footnote w:id="44">
    <w:p w:rsidR="00CD25FC" w:rsidRDefault="00CD25FC">
      <w:pPr>
        <w:pStyle w:val="FootnoteText"/>
      </w:pPr>
      <w:r>
        <w:rPr>
          <w:rStyle w:val="FootnoteReference"/>
        </w:rPr>
        <w:footnoteRef/>
      </w:r>
      <w:r>
        <w:t xml:space="preserve"> See Community Law Australia, </w:t>
      </w:r>
      <w:r w:rsidRPr="00CD25FC">
        <w:rPr>
          <w:i/>
        </w:rPr>
        <w:t>Federal Budget exposes more funding cuts as A-G Brandis stops community legal centres speaking out on unfair laws and practices</w:t>
      </w:r>
      <w:r>
        <w:t>, 16 May 2014: &lt;</w:t>
      </w:r>
      <w:hyperlink r:id="rId15" w:history="1">
        <w:r w:rsidRPr="00EE029F">
          <w:rPr>
            <w:rStyle w:val="Hyperlink"/>
          </w:rPr>
          <w:t>http://www.communitylawaustralia.org.au/federal-budget-exposes-more-funding-cuts-as-a-g-brandis-stops-community-legal-centres-speaking-out-on-unfair-laws-and-practices</w:t>
        </w:r>
      </w:hyperlink>
      <w:r>
        <w:t xml:space="preserve">&gt;. </w:t>
      </w:r>
    </w:p>
  </w:footnote>
  <w:footnote w:id="45">
    <w:p w:rsidR="00CD25FC" w:rsidRPr="00CD25FC" w:rsidRDefault="00CD25FC" w:rsidP="00CD25FC">
      <w:pPr>
        <w:pStyle w:val="FootnoteText"/>
      </w:pPr>
      <w:r>
        <w:rPr>
          <w:rStyle w:val="FootnoteReference"/>
        </w:rPr>
        <w:footnoteRef/>
      </w:r>
      <w:r>
        <w:t xml:space="preserve"> Ibid. </w:t>
      </w:r>
      <w:r w:rsidRPr="00CD25FC">
        <w:t xml:space="preserve">See </w:t>
      </w:r>
      <w:r>
        <w:t xml:space="preserve">also </w:t>
      </w:r>
      <w:r w:rsidRPr="00CD25FC">
        <w:t xml:space="preserve">Nelson, ‘ALA slams ban on CLC advocacy,’ </w:t>
      </w:r>
      <w:r w:rsidRPr="00CD25FC">
        <w:rPr>
          <w:i/>
        </w:rPr>
        <w:t>Lawyers Weekly,</w:t>
      </w:r>
      <w:r w:rsidRPr="00CD25FC">
        <w:t xml:space="preserve"> 2 July 2014: &lt;</w:t>
      </w:r>
      <w:hyperlink r:id="rId16" w:history="1">
        <w:r w:rsidRPr="00CD25FC">
          <w:rPr>
            <w:rStyle w:val="Hyperlink"/>
          </w:rPr>
          <w:t>http://www.lawyersweekly.com.au/news/15506-ala-slams-ban-on-clc-advocacy</w:t>
        </w:r>
      </w:hyperlink>
      <w:r w:rsidRPr="00CD25FC">
        <w:t>&gt;.</w:t>
      </w:r>
    </w:p>
  </w:footnote>
  <w:footnote w:id="46">
    <w:p w:rsidR="00DD139F" w:rsidRDefault="00DD139F">
      <w:pPr>
        <w:pStyle w:val="FootnoteText"/>
      </w:pPr>
      <w:r>
        <w:rPr>
          <w:rStyle w:val="FootnoteReference"/>
        </w:rPr>
        <w:footnoteRef/>
      </w:r>
      <w:r>
        <w:t xml:space="preserve"> See Griffiths, ‘George Brandis defends ‘right to be a bigot’ amid Government plan to amend Racial Discrimination Act, </w:t>
      </w:r>
      <w:r w:rsidRPr="00DD139F">
        <w:rPr>
          <w:i/>
        </w:rPr>
        <w:t>ABC Online</w:t>
      </w:r>
      <w:r>
        <w:t>, 24 March 2014: &lt;</w:t>
      </w:r>
      <w:hyperlink r:id="rId17" w:history="1">
        <w:r w:rsidRPr="00EE029F">
          <w:rPr>
            <w:rStyle w:val="Hyperlink"/>
          </w:rPr>
          <w:t>http://www.abc.net.au/news/2014-03-24/brandis-defends-right-to-be-a-bigot/5341552</w:t>
        </w:r>
      </w:hyperlink>
      <w:r>
        <w:t xml:space="preserve">&gt;. </w:t>
      </w:r>
    </w:p>
  </w:footnote>
  <w:footnote w:id="47">
    <w:p w:rsidR="00F91CEF" w:rsidRDefault="00F91CEF">
      <w:pPr>
        <w:pStyle w:val="FootnoteText"/>
      </w:pPr>
      <w:r>
        <w:rPr>
          <w:rStyle w:val="FootnoteReference"/>
        </w:rPr>
        <w:footnoteRef/>
      </w:r>
      <w:r>
        <w:t xml:space="preserve"> See Taylor, ‘Who’s curtailing your freedom, according to Brandis’ review? Brandis himself,’ </w:t>
      </w:r>
      <w:r w:rsidRPr="00207B74">
        <w:rPr>
          <w:i/>
        </w:rPr>
        <w:t>Crikey</w:t>
      </w:r>
      <w:r>
        <w:t>, 1</w:t>
      </w:r>
      <w:r w:rsidR="00207B74">
        <w:t> </w:t>
      </w:r>
      <w:r>
        <w:t>September 2015: &lt;</w:t>
      </w:r>
      <w:hyperlink r:id="rId18" w:history="1">
        <w:r w:rsidRPr="00EE029F">
          <w:rPr>
            <w:rStyle w:val="Hyperlink"/>
          </w:rPr>
          <w:t>http://www.crikey.com.au/2015/08/05/whos-curtailing-your-freedom-according-to-brandis-review-brandis-himself</w:t>
        </w:r>
      </w:hyperlink>
      <w:r>
        <w:t xml:space="preserve">&gt;. </w:t>
      </w:r>
    </w:p>
  </w:footnote>
  <w:footnote w:id="48">
    <w:p w:rsidR="00FD245B" w:rsidRDefault="00FD245B">
      <w:pPr>
        <w:pStyle w:val="FootnoteText"/>
      </w:pPr>
      <w:r>
        <w:rPr>
          <w:rStyle w:val="FootnoteReference"/>
        </w:rPr>
        <w:footnoteRef/>
      </w:r>
      <w:r>
        <w:t xml:space="preserve"> See Independent National Security Legislation Monitor Repeal Bill 2014, </w:t>
      </w:r>
      <w:r w:rsidRPr="00FD245B">
        <w:rPr>
          <w:i/>
        </w:rPr>
        <w:t>Explanatory Memorandum</w:t>
      </w:r>
      <w:r>
        <w:t>, Outline.</w:t>
      </w:r>
    </w:p>
  </w:footnote>
  <w:footnote w:id="49">
    <w:p w:rsidR="00D105B8" w:rsidRDefault="00D105B8">
      <w:pPr>
        <w:pStyle w:val="FootnoteText"/>
      </w:pPr>
      <w:r>
        <w:rPr>
          <w:rStyle w:val="FootnoteReference"/>
        </w:rPr>
        <w:footnoteRef/>
      </w:r>
      <w:r>
        <w:t xml:space="preserve"> See eg JCHR, </w:t>
      </w:r>
      <w:r w:rsidR="005644F6" w:rsidRPr="005644F6">
        <w:rPr>
          <w:i/>
        </w:rPr>
        <w:t>Twentieth Report of the 44</w:t>
      </w:r>
      <w:r w:rsidR="005644F6" w:rsidRPr="005644F6">
        <w:rPr>
          <w:i/>
          <w:vertAlign w:val="superscript"/>
        </w:rPr>
        <w:t>th</w:t>
      </w:r>
      <w:r w:rsidR="005644F6" w:rsidRPr="005644F6">
        <w:rPr>
          <w:i/>
        </w:rPr>
        <w:t xml:space="preserve"> Parliament</w:t>
      </w:r>
      <w:r w:rsidR="005644F6">
        <w:t xml:space="preserve">, response from Minister for Employment in relation to the Commonwealth Cleaning Services Repeal Instrument 2014 (in Appendix 1); also McKinnon, ‘Good government gets lost in pursuit of national security,’ </w:t>
      </w:r>
      <w:r w:rsidR="005644F6" w:rsidRPr="005644F6">
        <w:rPr>
          <w:i/>
        </w:rPr>
        <w:t>The Conversation</w:t>
      </w:r>
      <w:r w:rsidR="005644F6">
        <w:t>, 19 February 2015: &lt;</w:t>
      </w:r>
      <w:hyperlink r:id="rId19" w:history="1">
        <w:r w:rsidR="005644F6" w:rsidRPr="008768A2">
          <w:rPr>
            <w:rStyle w:val="Hyperlink"/>
          </w:rPr>
          <w:t>https://theconversation.com/good-government-gets-lost-in-the-pursuit-of-national-security-37627</w:t>
        </w:r>
      </w:hyperlink>
      <w:r w:rsidR="005644F6">
        <w:t>&gt;.</w:t>
      </w:r>
    </w:p>
  </w:footnote>
  <w:footnote w:id="50">
    <w:p w:rsidR="003F410E" w:rsidRDefault="003F410E">
      <w:pPr>
        <w:pStyle w:val="FootnoteText"/>
      </w:pPr>
      <w:r>
        <w:rPr>
          <w:rStyle w:val="FootnoteReference"/>
        </w:rPr>
        <w:footnoteRef/>
      </w:r>
      <w:r>
        <w:t xml:space="preserve"> </w:t>
      </w:r>
      <w:r w:rsidR="00275DED">
        <w:t>See eg Fraser, The courts must rule, above and beyond the political fray,’ Sydney Morning Herald, 12 September 2011: &lt;</w:t>
      </w:r>
      <w:hyperlink r:id="rId20" w:history="1">
        <w:r w:rsidR="00275DED" w:rsidRPr="006D7ABE">
          <w:rPr>
            <w:rStyle w:val="Hyperlink"/>
          </w:rPr>
          <w:t>http://www.smh.com.au/federal-politics/political-opinion/the-courts-must-rule-above-and-beyond-the-political-fray-20110911-1k44d.html</w:t>
        </w:r>
      </w:hyperlink>
      <w:r w:rsidR="00275DED">
        <w:t xml:space="preserve">&gt;.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38DD"/>
    <w:multiLevelType w:val="hybridMultilevel"/>
    <w:tmpl w:val="666A49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rsids>
    <w:rsidRoot w:val="0064555D"/>
    <w:rsid w:val="00023FB5"/>
    <w:rsid w:val="000306EF"/>
    <w:rsid w:val="0003152C"/>
    <w:rsid w:val="000C4BF9"/>
    <w:rsid w:val="000D44E9"/>
    <w:rsid w:val="000D4669"/>
    <w:rsid w:val="000F187A"/>
    <w:rsid w:val="00122DBA"/>
    <w:rsid w:val="00127784"/>
    <w:rsid w:val="0014304F"/>
    <w:rsid w:val="001512D3"/>
    <w:rsid w:val="00156810"/>
    <w:rsid w:val="00171CAD"/>
    <w:rsid w:val="0018676C"/>
    <w:rsid w:val="00187B53"/>
    <w:rsid w:val="001A7D5A"/>
    <w:rsid w:val="001B5CD1"/>
    <w:rsid w:val="001C3B25"/>
    <w:rsid w:val="001F3C04"/>
    <w:rsid w:val="00207B74"/>
    <w:rsid w:val="0021152E"/>
    <w:rsid w:val="00233BE3"/>
    <w:rsid w:val="00252CF3"/>
    <w:rsid w:val="00261457"/>
    <w:rsid w:val="002630CA"/>
    <w:rsid w:val="00264BCF"/>
    <w:rsid w:val="00275DED"/>
    <w:rsid w:val="002A1216"/>
    <w:rsid w:val="002C424D"/>
    <w:rsid w:val="002C4AD6"/>
    <w:rsid w:val="002F4D66"/>
    <w:rsid w:val="003174DF"/>
    <w:rsid w:val="003241CF"/>
    <w:rsid w:val="00364BE2"/>
    <w:rsid w:val="00365010"/>
    <w:rsid w:val="00375F10"/>
    <w:rsid w:val="00377DB7"/>
    <w:rsid w:val="003A0C77"/>
    <w:rsid w:val="003B2225"/>
    <w:rsid w:val="003B5BD4"/>
    <w:rsid w:val="003D4CA3"/>
    <w:rsid w:val="003F410E"/>
    <w:rsid w:val="0042308A"/>
    <w:rsid w:val="004263B6"/>
    <w:rsid w:val="00440FAB"/>
    <w:rsid w:val="0045669B"/>
    <w:rsid w:val="00471CD4"/>
    <w:rsid w:val="00473743"/>
    <w:rsid w:val="00486048"/>
    <w:rsid w:val="0049385E"/>
    <w:rsid w:val="004A3A8E"/>
    <w:rsid w:val="004A3F58"/>
    <w:rsid w:val="004B55C2"/>
    <w:rsid w:val="004C0A44"/>
    <w:rsid w:val="004C33C2"/>
    <w:rsid w:val="004E490C"/>
    <w:rsid w:val="004E6498"/>
    <w:rsid w:val="004F3DA1"/>
    <w:rsid w:val="004F4B4D"/>
    <w:rsid w:val="004F67A9"/>
    <w:rsid w:val="00513490"/>
    <w:rsid w:val="00514A67"/>
    <w:rsid w:val="00535B0D"/>
    <w:rsid w:val="005644F6"/>
    <w:rsid w:val="005806DA"/>
    <w:rsid w:val="00586C98"/>
    <w:rsid w:val="005922FB"/>
    <w:rsid w:val="005D0534"/>
    <w:rsid w:val="005D06CB"/>
    <w:rsid w:val="005D28F4"/>
    <w:rsid w:val="005F0A00"/>
    <w:rsid w:val="0060769E"/>
    <w:rsid w:val="00632256"/>
    <w:rsid w:val="00632D17"/>
    <w:rsid w:val="00635B4E"/>
    <w:rsid w:val="00637314"/>
    <w:rsid w:val="0064555D"/>
    <w:rsid w:val="006677E6"/>
    <w:rsid w:val="006733DC"/>
    <w:rsid w:val="00677829"/>
    <w:rsid w:val="00681AA0"/>
    <w:rsid w:val="00693445"/>
    <w:rsid w:val="006C5BC8"/>
    <w:rsid w:val="006E043C"/>
    <w:rsid w:val="006F0CE6"/>
    <w:rsid w:val="00715C15"/>
    <w:rsid w:val="007539AB"/>
    <w:rsid w:val="007809E0"/>
    <w:rsid w:val="007A6075"/>
    <w:rsid w:val="007B2C04"/>
    <w:rsid w:val="007C3FB8"/>
    <w:rsid w:val="007D4881"/>
    <w:rsid w:val="007E0102"/>
    <w:rsid w:val="00802742"/>
    <w:rsid w:val="00830C2A"/>
    <w:rsid w:val="00882FCC"/>
    <w:rsid w:val="008B4601"/>
    <w:rsid w:val="008B62B5"/>
    <w:rsid w:val="008C4219"/>
    <w:rsid w:val="008D21CD"/>
    <w:rsid w:val="008D6B7E"/>
    <w:rsid w:val="008D7FAF"/>
    <w:rsid w:val="00914E4C"/>
    <w:rsid w:val="0091770D"/>
    <w:rsid w:val="0092497D"/>
    <w:rsid w:val="009704E1"/>
    <w:rsid w:val="00976C0A"/>
    <w:rsid w:val="009C72DC"/>
    <w:rsid w:val="009D03AF"/>
    <w:rsid w:val="009D53E4"/>
    <w:rsid w:val="009F2F5C"/>
    <w:rsid w:val="009F3C28"/>
    <w:rsid w:val="00A232E3"/>
    <w:rsid w:val="00A57918"/>
    <w:rsid w:val="00AA09DF"/>
    <w:rsid w:val="00AE096B"/>
    <w:rsid w:val="00AF10DD"/>
    <w:rsid w:val="00AF7173"/>
    <w:rsid w:val="00B062EE"/>
    <w:rsid w:val="00B25691"/>
    <w:rsid w:val="00B31D6E"/>
    <w:rsid w:val="00B575CB"/>
    <w:rsid w:val="00BA5FA2"/>
    <w:rsid w:val="00BB5884"/>
    <w:rsid w:val="00BC4F09"/>
    <w:rsid w:val="00BC655C"/>
    <w:rsid w:val="00BD2E0A"/>
    <w:rsid w:val="00C30A01"/>
    <w:rsid w:val="00C658E6"/>
    <w:rsid w:val="00C90242"/>
    <w:rsid w:val="00CB25C5"/>
    <w:rsid w:val="00CD25FC"/>
    <w:rsid w:val="00CF547E"/>
    <w:rsid w:val="00D105B8"/>
    <w:rsid w:val="00D14BC8"/>
    <w:rsid w:val="00D20A5F"/>
    <w:rsid w:val="00D44A1F"/>
    <w:rsid w:val="00D84449"/>
    <w:rsid w:val="00D87C19"/>
    <w:rsid w:val="00DB24E5"/>
    <w:rsid w:val="00DD139F"/>
    <w:rsid w:val="00DE2E51"/>
    <w:rsid w:val="00E31C21"/>
    <w:rsid w:val="00E33B14"/>
    <w:rsid w:val="00E53168"/>
    <w:rsid w:val="00E61B52"/>
    <w:rsid w:val="00E700CB"/>
    <w:rsid w:val="00E71F4C"/>
    <w:rsid w:val="00E7289D"/>
    <w:rsid w:val="00EA49AC"/>
    <w:rsid w:val="00EB5C04"/>
    <w:rsid w:val="00EB6DF7"/>
    <w:rsid w:val="00EC0037"/>
    <w:rsid w:val="00ED06DD"/>
    <w:rsid w:val="00F04DFB"/>
    <w:rsid w:val="00F40893"/>
    <w:rsid w:val="00F46DE4"/>
    <w:rsid w:val="00F547F8"/>
    <w:rsid w:val="00F759A7"/>
    <w:rsid w:val="00F82341"/>
    <w:rsid w:val="00F91CEF"/>
    <w:rsid w:val="00FD245B"/>
    <w:rsid w:val="00FE3001"/>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4D"/>
    <w:rPr>
      <w:sz w:val="24"/>
    </w:rPr>
  </w:style>
  <w:style w:type="paragraph" w:styleId="Heading1">
    <w:name w:val="heading 1"/>
    <w:basedOn w:val="Normal"/>
    <w:next w:val="Normal"/>
    <w:link w:val="Heading1Char"/>
    <w:uiPriority w:val="9"/>
    <w:qFormat/>
    <w:rsid w:val="00423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444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E010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449"/>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semiHidden/>
    <w:unhideWhenUsed/>
    <w:rsid w:val="00C30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A01"/>
    <w:rPr>
      <w:sz w:val="20"/>
      <w:szCs w:val="20"/>
    </w:rPr>
  </w:style>
  <w:style w:type="character" w:styleId="FootnoteReference">
    <w:name w:val="footnote reference"/>
    <w:basedOn w:val="DefaultParagraphFont"/>
    <w:uiPriority w:val="99"/>
    <w:semiHidden/>
    <w:unhideWhenUsed/>
    <w:rsid w:val="00C30A01"/>
    <w:rPr>
      <w:vertAlign w:val="superscript"/>
    </w:rPr>
  </w:style>
  <w:style w:type="character" w:customStyle="1" w:styleId="Heading1Char">
    <w:name w:val="Heading 1 Char"/>
    <w:basedOn w:val="DefaultParagraphFont"/>
    <w:link w:val="Heading1"/>
    <w:uiPriority w:val="9"/>
    <w:rsid w:val="0042308A"/>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autoRedefine/>
    <w:uiPriority w:val="29"/>
    <w:qFormat/>
    <w:rsid w:val="002C424D"/>
    <w:pPr>
      <w:spacing w:before="200"/>
      <w:ind w:left="864" w:right="864"/>
    </w:pPr>
    <w:rPr>
      <w:iCs/>
      <w:color w:val="404040" w:themeColor="text1" w:themeTint="BF"/>
      <w:sz w:val="22"/>
      <w:lang/>
    </w:rPr>
  </w:style>
  <w:style w:type="character" w:customStyle="1" w:styleId="QuoteChar">
    <w:name w:val="Quote Char"/>
    <w:basedOn w:val="DefaultParagraphFont"/>
    <w:link w:val="Quote"/>
    <w:uiPriority w:val="29"/>
    <w:rsid w:val="002C424D"/>
    <w:rPr>
      <w:iCs/>
      <w:color w:val="404040" w:themeColor="text1" w:themeTint="BF"/>
      <w:lang/>
    </w:rPr>
  </w:style>
  <w:style w:type="character" w:styleId="IntenseEmphasis">
    <w:name w:val="Intense Emphasis"/>
    <w:basedOn w:val="DefaultParagraphFont"/>
    <w:uiPriority w:val="21"/>
    <w:qFormat/>
    <w:rsid w:val="007E0102"/>
    <w:rPr>
      <w:i/>
      <w:iCs/>
      <w:color w:val="5B9BD5" w:themeColor="accent1"/>
    </w:rPr>
  </w:style>
  <w:style w:type="character" w:customStyle="1" w:styleId="Heading3Char">
    <w:name w:val="Heading 3 Char"/>
    <w:basedOn w:val="DefaultParagraphFont"/>
    <w:link w:val="Heading3"/>
    <w:uiPriority w:val="9"/>
    <w:rsid w:val="007E010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B5C04"/>
    <w:pPr>
      <w:ind w:left="720"/>
      <w:contextualSpacing/>
    </w:pPr>
  </w:style>
  <w:style w:type="character" w:styleId="Hyperlink">
    <w:name w:val="Hyperlink"/>
    <w:basedOn w:val="DefaultParagraphFont"/>
    <w:uiPriority w:val="99"/>
    <w:unhideWhenUsed/>
    <w:rsid w:val="00ED06DD"/>
    <w:rPr>
      <w:color w:val="0563C1" w:themeColor="hyperlink"/>
      <w:u w:val="single"/>
    </w:rPr>
  </w:style>
  <w:style w:type="paragraph" w:styleId="BalloonText">
    <w:name w:val="Balloon Text"/>
    <w:basedOn w:val="Normal"/>
    <w:link w:val="BalloonTextChar"/>
    <w:uiPriority w:val="99"/>
    <w:semiHidden/>
    <w:unhideWhenUsed/>
    <w:rsid w:val="00D44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1F"/>
    <w:rPr>
      <w:rFonts w:ascii="Segoe UI" w:hAnsi="Segoe UI" w:cs="Segoe UI"/>
      <w:sz w:val="18"/>
      <w:szCs w:val="18"/>
    </w:rPr>
  </w:style>
  <w:style w:type="character" w:styleId="FollowedHyperlink">
    <w:name w:val="FollowedHyperlink"/>
    <w:basedOn w:val="DefaultParagraphFont"/>
    <w:uiPriority w:val="99"/>
    <w:semiHidden/>
    <w:unhideWhenUsed/>
    <w:rsid w:val="00261457"/>
    <w:rPr>
      <w:color w:val="954F72" w:themeColor="followedHyperlink"/>
      <w:u w:val="single"/>
    </w:rPr>
  </w:style>
  <w:style w:type="character" w:styleId="CommentReference">
    <w:name w:val="annotation reference"/>
    <w:basedOn w:val="DefaultParagraphFont"/>
    <w:uiPriority w:val="99"/>
    <w:semiHidden/>
    <w:unhideWhenUsed/>
    <w:rsid w:val="00AE096B"/>
    <w:rPr>
      <w:sz w:val="16"/>
      <w:szCs w:val="16"/>
    </w:rPr>
  </w:style>
  <w:style w:type="paragraph" w:styleId="CommentText">
    <w:name w:val="annotation text"/>
    <w:basedOn w:val="Normal"/>
    <w:link w:val="CommentTextChar"/>
    <w:uiPriority w:val="99"/>
    <w:semiHidden/>
    <w:unhideWhenUsed/>
    <w:rsid w:val="00AE096B"/>
    <w:pPr>
      <w:spacing w:line="240" w:lineRule="auto"/>
    </w:pPr>
    <w:rPr>
      <w:sz w:val="20"/>
      <w:szCs w:val="20"/>
    </w:rPr>
  </w:style>
  <w:style w:type="character" w:customStyle="1" w:styleId="CommentTextChar">
    <w:name w:val="Comment Text Char"/>
    <w:basedOn w:val="DefaultParagraphFont"/>
    <w:link w:val="CommentText"/>
    <w:uiPriority w:val="99"/>
    <w:semiHidden/>
    <w:rsid w:val="00AE096B"/>
    <w:rPr>
      <w:sz w:val="20"/>
      <w:szCs w:val="20"/>
    </w:rPr>
  </w:style>
  <w:style w:type="paragraph" w:styleId="CommentSubject">
    <w:name w:val="annotation subject"/>
    <w:basedOn w:val="CommentText"/>
    <w:next w:val="CommentText"/>
    <w:link w:val="CommentSubjectChar"/>
    <w:uiPriority w:val="99"/>
    <w:semiHidden/>
    <w:unhideWhenUsed/>
    <w:rsid w:val="00AE096B"/>
    <w:rPr>
      <w:b/>
      <w:bCs/>
    </w:rPr>
  </w:style>
  <w:style w:type="character" w:customStyle="1" w:styleId="CommentSubjectChar">
    <w:name w:val="Comment Subject Char"/>
    <w:basedOn w:val="CommentTextChar"/>
    <w:link w:val="CommentSubject"/>
    <w:uiPriority w:val="99"/>
    <w:semiHidden/>
    <w:rsid w:val="00AE096B"/>
    <w:rPr>
      <w:b/>
      <w:bCs/>
      <w:sz w:val="20"/>
      <w:szCs w:val="20"/>
    </w:rPr>
  </w:style>
  <w:style w:type="paragraph" w:styleId="Header">
    <w:name w:val="header"/>
    <w:basedOn w:val="Normal"/>
    <w:link w:val="HeaderChar"/>
    <w:uiPriority w:val="99"/>
    <w:unhideWhenUsed/>
    <w:rsid w:val="00151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2D3"/>
  </w:style>
  <w:style w:type="paragraph" w:styleId="Footer">
    <w:name w:val="footer"/>
    <w:basedOn w:val="Normal"/>
    <w:link w:val="FooterChar"/>
    <w:uiPriority w:val="99"/>
    <w:unhideWhenUsed/>
    <w:rsid w:val="00151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2D3"/>
  </w:style>
</w:styles>
</file>

<file path=word/webSettings.xml><?xml version="1.0" encoding="utf-8"?>
<w:webSettings xmlns:r="http://schemas.openxmlformats.org/officeDocument/2006/relationships" xmlns:w="http://schemas.openxmlformats.org/wordprocessingml/2006/main">
  <w:divs>
    <w:div w:id="430056439">
      <w:bodyDiv w:val="1"/>
      <w:marLeft w:val="0"/>
      <w:marRight w:val="0"/>
      <w:marTop w:val="0"/>
      <w:marBottom w:val="0"/>
      <w:divBdr>
        <w:top w:val="none" w:sz="0" w:space="0" w:color="auto"/>
        <w:left w:val="none" w:sz="0" w:space="0" w:color="auto"/>
        <w:bottom w:val="none" w:sz="0" w:space="0" w:color="auto"/>
        <w:right w:val="none" w:sz="0" w:space="0" w:color="auto"/>
      </w:divBdr>
    </w:div>
    <w:div w:id="14649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pmc.gov.au/pmc/about-pmc/core-priorities/independent-national-security-legislation-monitor" TargetMode="External"/><Relationship Id="rId13" Type="http://schemas.openxmlformats.org/officeDocument/2006/relationships/hyperlink" Target="https://www.legalaid.vic.gov.au/about-us/news/statement-on-commonwealth-budget" TargetMode="External"/><Relationship Id="rId18" Type="http://schemas.openxmlformats.org/officeDocument/2006/relationships/hyperlink" Target="http://www.crikey.com.au/2015/08/05/whos-curtailing-your-freedom-according-to-brandis-review-brandis-himself" TargetMode="External"/><Relationship Id="rId3" Type="http://schemas.openxmlformats.org/officeDocument/2006/relationships/hyperlink" Target="http://www.aph.gov.au/Parliamentary_Business/Committees/House_of_Representatives_Committees?url=jsct/28february2012/report/chapter6.pdf" TargetMode="External"/><Relationship Id="rId7" Type="http://schemas.openxmlformats.org/officeDocument/2006/relationships/hyperlink" Target="http://www.smh.com.au/federal-politics/political-news/senate-to-quash-moves-to-axe-security-laws-scrutiny-20140511-zr9ir.html" TargetMode="External"/><Relationship Id="rId12" Type="http://schemas.openxmlformats.org/officeDocument/2006/relationships/hyperlink" Target="http://www.lawcouncil.asn.au/lawcouncil/index.php/law-council-media/media-releases" TargetMode="External"/><Relationship Id="rId17" Type="http://schemas.openxmlformats.org/officeDocument/2006/relationships/hyperlink" Target="http://www.abc.net.au/news/2014-03-24/brandis-defends-right-to-be-a-bigot/5341552" TargetMode="External"/><Relationship Id="rId2" Type="http://schemas.openxmlformats.org/officeDocument/2006/relationships/hyperlink" Target="https://hrscrutiny.wordpress.com/2015/02/17/the-curious-case-of-the-racial-discrimination-amendment-bill-2014-and-the-pjchrs-assessment-of-bills-as-giving-rise-to-no-human-rights-concerns/" TargetMode="External"/><Relationship Id="rId16" Type="http://schemas.openxmlformats.org/officeDocument/2006/relationships/hyperlink" Target="http://www.lawyersweekly.com.au/news/15506-ala-slams-ban-on-clc-advocacy" TargetMode="External"/><Relationship Id="rId20" Type="http://schemas.openxmlformats.org/officeDocument/2006/relationships/hyperlink" Target="http://www.smh.com.au/federal-politics/political-opinion/the-courts-must-rule-above-and-beyond-the-political-fray-20110911-1k44d.html" TargetMode="External"/><Relationship Id="rId1" Type="http://schemas.openxmlformats.org/officeDocument/2006/relationships/hyperlink" Target="http://www.smh.com.au/federal-politics/political-news/powerful-committee-of-mps-backs-stripping-citizenship-but-calls-for-changes-20150904-gjf4or.html" TargetMode="External"/><Relationship Id="rId6" Type="http://schemas.openxmlformats.org/officeDocument/2006/relationships/hyperlink" Target="http://www.theguardian.com/world/2013/aug/30/coalition-rules-out-review-of-asio-findings" TargetMode="External"/><Relationship Id="rId11" Type="http://schemas.openxmlformats.org/officeDocument/2006/relationships/hyperlink" Target="http://www.canberratimes.com.au/comment/abbott-government-skirts-parliament-and-muzzles-the-foi-watchdog-20150525-gh9ju2" TargetMode="External"/><Relationship Id="rId5" Type="http://schemas.openxmlformats.org/officeDocument/2006/relationships/hyperlink" Target="http://www.theguardian.com/world/2015/sep/02/have-a-thick-skin-sex-discrimination-commissioners-advice-to-her-successor" TargetMode="External"/><Relationship Id="rId15" Type="http://schemas.openxmlformats.org/officeDocument/2006/relationships/hyperlink" Target="http://www.communitylawaustralia.org.au/federal-budget-exposes-more-funding-cuts-as-a-g-brandis-stops-community-legal-centres-speaking-out-on-unfair-laws-and-practices" TargetMode="External"/><Relationship Id="rId10" Type="http://schemas.openxmlformats.org/officeDocument/2006/relationships/hyperlink" Target="http://www.themandarin.com.au/38509-oaic-weakened-as-commissioner-shifts-to-nsw-ombudsman/?pgnc=1" TargetMode="External"/><Relationship Id="rId19" Type="http://schemas.openxmlformats.org/officeDocument/2006/relationships/hyperlink" Target="https://theconversation.com/good-government-gets-lost-in-the-pursuit-of-national-security-37627" TargetMode="External"/><Relationship Id="rId4" Type="http://schemas.openxmlformats.org/officeDocument/2006/relationships/hyperlink" Target="http://hrlc.org.au/slashing-funding-for-human-rights-watchdog-is-dangerous-for-human-rights-and-for-democracy" TargetMode="External"/><Relationship Id="rId9" Type="http://schemas.openxmlformats.org/officeDocument/2006/relationships/hyperlink" Target="http://www.canberratimes.com.au/national/public-service/the-slow-death-of-the-office-of-the-australian-information-commissioner-20150826-gj81dl.html" TargetMode="External"/><Relationship Id="rId14" Type="http://schemas.openxmlformats.org/officeDocument/2006/relationships/hyperlink" Target="http://www.smh.com.au/federal-politics/political-news/state-attorneysgeneral-unite-to-warn-george-brandis-of-crisis-in-legal-funding-20150306-13x8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DF52-B435-4E37-A5B1-7F34FDCA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3976</Words>
  <Characters>22787</Characters>
  <Application>Microsoft Office Word</Application>
  <DocSecurity>4</DocSecurity>
  <Lines>359</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Fletch</dc:creator>
  <cp:lastModifiedBy>tina.obrien</cp:lastModifiedBy>
  <cp:revision>2</cp:revision>
  <cp:lastPrinted>2015-09-21T00:24:00Z</cp:lastPrinted>
  <dcterms:created xsi:type="dcterms:W3CDTF">2015-09-21T00:50:00Z</dcterms:created>
  <dcterms:modified xsi:type="dcterms:W3CDTF">2015-09-21T00:50:00Z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