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828" w:rsidRPr="00BD076E" w:rsidRDefault="00306828" w:rsidP="00306828">
      <w:pPr>
        <w:rPr>
          <w:rFonts w:ascii="Times New Roman" w:hAnsi="Times New Roman" w:cs="Times New Roman"/>
          <w:b/>
          <w:sz w:val="32"/>
          <w:szCs w:val="32"/>
        </w:rPr>
      </w:pPr>
      <w:r w:rsidRPr="00BD076E">
        <w:rPr>
          <w:rFonts w:ascii="Times New Roman" w:hAnsi="Times New Roman" w:cs="Times New Roman"/>
          <w:b/>
          <w:sz w:val="32"/>
          <w:szCs w:val="32"/>
        </w:rPr>
        <w:t xml:space="preserve">Submission to the Australian Law Reform Commission Inquiry into Traditional Rights and Freedoms—Encroachments by Commonwealth Laws </w:t>
      </w:r>
    </w:p>
    <w:p w:rsidR="00306828" w:rsidRPr="00BD076E" w:rsidRDefault="00306828" w:rsidP="00306828">
      <w:pPr>
        <w:rPr>
          <w:rFonts w:ascii="Times New Roman" w:hAnsi="Times New Roman" w:cs="Times New Roman"/>
        </w:rPr>
      </w:pPr>
      <w:r w:rsidRPr="00BD076E">
        <w:rPr>
          <w:rFonts w:ascii="Times New Roman" w:hAnsi="Times New Roman" w:cs="Times New Roman"/>
        </w:rPr>
        <w:t>This submission has been prepared by the following members of the Centre for Employment and Labour Relations Law, at the University of Melbourne:</w:t>
      </w:r>
    </w:p>
    <w:p w:rsidR="00156C38" w:rsidRPr="00BD076E" w:rsidRDefault="00156C38" w:rsidP="00156C38">
      <w:pPr>
        <w:pStyle w:val="ListParagraph"/>
        <w:numPr>
          <w:ilvl w:val="0"/>
          <w:numId w:val="1"/>
        </w:numPr>
        <w:rPr>
          <w:rFonts w:ascii="Times New Roman" w:hAnsi="Times New Roman" w:cs="Times New Roman"/>
        </w:rPr>
      </w:pPr>
      <w:r w:rsidRPr="00BD076E">
        <w:rPr>
          <w:rFonts w:ascii="Times New Roman" w:hAnsi="Times New Roman" w:cs="Times New Roman"/>
        </w:rPr>
        <w:t>Ms Adriana Orifici, BA (Hons)(Melb), LLB (Hons)(Melb), LLM (Melb)</w:t>
      </w:r>
    </w:p>
    <w:p w:rsidR="00306828" w:rsidRPr="00BD076E" w:rsidRDefault="00306828" w:rsidP="00306828">
      <w:pPr>
        <w:pStyle w:val="ListParagraph"/>
        <w:numPr>
          <w:ilvl w:val="0"/>
          <w:numId w:val="1"/>
        </w:numPr>
        <w:rPr>
          <w:rFonts w:ascii="Times New Roman" w:hAnsi="Times New Roman" w:cs="Times New Roman"/>
        </w:rPr>
      </w:pPr>
      <w:r w:rsidRPr="00BD076E">
        <w:rPr>
          <w:rFonts w:ascii="Times New Roman" w:hAnsi="Times New Roman" w:cs="Times New Roman"/>
        </w:rPr>
        <w:t>Professor Beth Gaze, B Sc., LLB (Hons)(Monash), LLM (U. Cal (Berkeley)), PhD (Monash), GDipPsychStuds (Deakin)</w:t>
      </w:r>
    </w:p>
    <w:p w:rsidR="00156C38" w:rsidRPr="00BD076E" w:rsidRDefault="00156C38" w:rsidP="00156C38">
      <w:pPr>
        <w:pStyle w:val="ListParagraph"/>
        <w:numPr>
          <w:ilvl w:val="0"/>
          <w:numId w:val="1"/>
        </w:numPr>
        <w:rPr>
          <w:rFonts w:ascii="Times New Roman" w:hAnsi="Times New Roman" w:cs="Times New Roman"/>
        </w:rPr>
      </w:pPr>
      <w:r w:rsidRPr="00BD076E">
        <w:rPr>
          <w:rFonts w:ascii="Times New Roman" w:hAnsi="Times New Roman" w:cs="Times New Roman"/>
        </w:rPr>
        <w:t>Associate Professor Anna Chapman, B Com, LLB (Hons)(Melb), PhD (Adelaide), Co-Director of the Centre for Employment and Labour Relations Law</w:t>
      </w:r>
    </w:p>
    <w:p w:rsidR="00306828" w:rsidRPr="00BD076E" w:rsidRDefault="00306828" w:rsidP="00306828">
      <w:pPr>
        <w:rPr>
          <w:rFonts w:ascii="Times New Roman" w:hAnsi="Times New Roman" w:cs="Times New Roman"/>
        </w:rPr>
      </w:pPr>
      <w:r w:rsidRPr="00BD076E">
        <w:rPr>
          <w:rFonts w:ascii="Times New Roman" w:hAnsi="Times New Roman" w:cs="Times New Roman"/>
        </w:rPr>
        <w:t>This submission is made to the Australian Law Reform Commission (ALRC) inquiry into Traditional Rights and Freedoms—Encroachments by Commonwealth Laws (Inquiry). It has been prepared in response to the ALRC’s Interim Report released in August 2015 (Interim</w:t>
      </w:r>
      <w:r w:rsidR="00A50838" w:rsidRPr="00BD076E">
        <w:rPr>
          <w:rFonts w:ascii="Times New Roman" w:hAnsi="Times New Roman" w:cs="Times New Roman"/>
        </w:rPr>
        <w:t xml:space="preserve"> Rep</w:t>
      </w:r>
      <w:bookmarkStart w:id="0" w:name="_GoBack"/>
      <w:bookmarkEnd w:id="0"/>
      <w:r w:rsidR="00A50838" w:rsidRPr="00BD076E">
        <w:rPr>
          <w:rFonts w:ascii="Times New Roman" w:hAnsi="Times New Roman" w:cs="Times New Roman"/>
        </w:rPr>
        <w:t xml:space="preserve">ort). Specifically, it responds to the ALRC’s </w:t>
      </w:r>
      <w:r w:rsidRPr="00BD076E">
        <w:rPr>
          <w:rFonts w:ascii="Times New Roman" w:hAnsi="Times New Roman" w:cs="Times New Roman"/>
        </w:rPr>
        <w:t>invitation to provide feedback on specific chapters of the Interim Report.</w:t>
      </w:r>
    </w:p>
    <w:p w:rsidR="00306828" w:rsidRPr="00BD076E" w:rsidRDefault="00306828" w:rsidP="00306828">
      <w:pPr>
        <w:rPr>
          <w:rFonts w:ascii="Times New Roman" w:hAnsi="Times New Roman" w:cs="Times New Roman"/>
        </w:rPr>
      </w:pPr>
      <w:r w:rsidRPr="00BD076E">
        <w:rPr>
          <w:rFonts w:ascii="Times New Roman" w:hAnsi="Times New Roman" w:cs="Times New Roman"/>
        </w:rPr>
        <w:t xml:space="preserve">This </w:t>
      </w:r>
      <w:r w:rsidR="009C4237" w:rsidRPr="00BD076E">
        <w:rPr>
          <w:rFonts w:ascii="Times New Roman" w:hAnsi="Times New Roman" w:cs="Times New Roman"/>
        </w:rPr>
        <w:t xml:space="preserve">submission </w:t>
      </w:r>
      <w:r w:rsidR="007F770D" w:rsidRPr="00BD076E">
        <w:rPr>
          <w:rFonts w:ascii="Times New Roman" w:hAnsi="Times New Roman" w:cs="Times New Roman"/>
        </w:rPr>
        <w:t xml:space="preserve">responds to Chapter 11: Burden of Proof and, in particular, those parts that relate to the </w:t>
      </w:r>
      <w:r w:rsidR="009C4237" w:rsidRPr="00BD076E">
        <w:rPr>
          <w:rFonts w:ascii="Times New Roman" w:hAnsi="Times New Roman" w:cs="Times New Roman"/>
          <w:i/>
        </w:rPr>
        <w:t xml:space="preserve">Fair Work Act </w:t>
      </w:r>
      <w:r w:rsidR="009C4237" w:rsidRPr="00BD076E">
        <w:rPr>
          <w:rFonts w:ascii="Times New Roman" w:hAnsi="Times New Roman" w:cs="Times New Roman"/>
        </w:rPr>
        <w:t>2009</w:t>
      </w:r>
      <w:r w:rsidR="009C4237" w:rsidRPr="00BD076E">
        <w:rPr>
          <w:rFonts w:ascii="Times New Roman" w:hAnsi="Times New Roman" w:cs="Times New Roman"/>
          <w:i/>
        </w:rPr>
        <w:t xml:space="preserve"> </w:t>
      </w:r>
      <w:r w:rsidR="009C4237" w:rsidRPr="00BD076E">
        <w:rPr>
          <w:rFonts w:ascii="Times New Roman" w:hAnsi="Times New Roman" w:cs="Times New Roman"/>
        </w:rPr>
        <w:t>(Cth) (FW Act)</w:t>
      </w:r>
      <w:r w:rsidR="00A50838" w:rsidRPr="00BD076E">
        <w:rPr>
          <w:rFonts w:ascii="Times New Roman" w:hAnsi="Times New Roman" w:cs="Times New Roman"/>
        </w:rPr>
        <w:t xml:space="preserve"> and </w:t>
      </w:r>
      <w:r w:rsidR="00283C08" w:rsidRPr="00BD076E">
        <w:rPr>
          <w:rFonts w:ascii="Times New Roman" w:hAnsi="Times New Roman" w:cs="Times New Roman"/>
        </w:rPr>
        <w:t>anti-</w:t>
      </w:r>
      <w:r w:rsidR="00A50838" w:rsidRPr="00BD076E">
        <w:rPr>
          <w:rFonts w:ascii="Times New Roman" w:hAnsi="Times New Roman" w:cs="Times New Roman"/>
        </w:rPr>
        <w:t>discrimination laws</w:t>
      </w:r>
      <w:r w:rsidRPr="00BD076E">
        <w:rPr>
          <w:rFonts w:ascii="Times New Roman" w:hAnsi="Times New Roman" w:cs="Times New Roman"/>
        </w:rPr>
        <w:t>.</w:t>
      </w:r>
      <w:r w:rsidR="00283C08" w:rsidRPr="00BD076E">
        <w:rPr>
          <w:rStyle w:val="FootnoteReference"/>
          <w:rFonts w:ascii="Times New Roman" w:hAnsi="Times New Roman" w:cs="Times New Roman"/>
        </w:rPr>
        <w:footnoteReference w:id="1"/>
      </w:r>
      <w:r w:rsidRPr="00BD076E">
        <w:rPr>
          <w:rFonts w:ascii="Times New Roman" w:hAnsi="Times New Roman" w:cs="Times New Roman"/>
        </w:rPr>
        <w:t xml:space="preserve"> The aspects of the Interim Report </w:t>
      </w:r>
      <w:r w:rsidR="00283C08" w:rsidRPr="00BD076E">
        <w:rPr>
          <w:rFonts w:ascii="Times New Roman" w:hAnsi="Times New Roman" w:cs="Times New Roman"/>
        </w:rPr>
        <w:t xml:space="preserve">on which </w:t>
      </w:r>
      <w:r w:rsidRPr="00BD076E">
        <w:rPr>
          <w:rFonts w:ascii="Times New Roman" w:hAnsi="Times New Roman" w:cs="Times New Roman"/>
        </w:rPr>
        <w:t xml:space="preserve">we </w:t>
      </w:r>
      <w:r w:rsidR="00283C08" w:rsidRPr="00BD076E">
        <w:rPr>
          <w:rFonts w:ascii="Times New Roman" w:hAnsi="Times New Roman" w:cs="Times New Roman"/>
        </w:rPr>
        <w:t xml:space="preserve">provide </w:t>
      </w:r>
      <w:r w:rsidRPr="00BD076E">
        <w:rPr>
          <w:rFonts w:ascii="Times New Roman" w:hAnsi="Times New Roman" w:cs="Times New Roman"/>
        </w:rPr>
        <w:t xml:space="preserve">comment </w:t>
      </w:r>
      <w:r w:rsidR="00283C08" w:rsidRPr="00BD076E">
        <w:rPr>
          <w:rFonts w:ascii="Times New Roman" w:hAnsi="Times New Roman" w:cs="Times New Roman"/>
        </w:rPr>
        <w:t xml:space="preserve">are those in which we have </w:t>
      </w:r>
      <w:r w:rsidRPr="00BD076E">
        <w:rPr>
          <w:rFonts w:ascii="Times New Roman" w:hAnsi="Times New Roman" w:cs="Times New Roman"/>
        </w:rPr>
        <w:t xml:space="preserve">particular expertise. </w:t>
      </w:r>
    </w:p>
    <w:p w:rsidR="00AF56DF" w:rsidRPr="00BD076E" w:rsidRDefault="00AF56DF" w:rsidP="00AF56DF">
      <w:pPr>
        <w:rPr>
          <w:rFonts w:ascii="Times New Roman" w:hAnsi="Times New Roman" w:cs="Times New Roman"/>
        </w:rPr>
      </w:pPr>
      <w:r w:rsidRPr="00BD076E">
        <w:rPr>
          <w:rFonts w:ascii="Times New Roman" w:hAnsi="Times New Roman" w:cs="Times New Roman"/>
        </w:rPr>
        <w:t xml:space="preserve">The submission draws on several years of research into the operation of the General Protections framework, both in terms of case decisions and also how the law operates in practice. This research, which commenced in 2011 and is ongoing, is funded by the Australian Research Council. Further information on this project is available from: </w:t>
      </w:r>
      <w:hyperlink r:id="rId7" w:history="1">
        <w:r w:rsidRPr="00BD076E">
          <w:rPr>
            <w:rStyle w:val="Hyperlink"/>
            <w:rFonts w:ascii="Times New Roman" w:hAnsi="Times New Roman" w:cs="Times New Roman"/>
          </w:rPr>
          <w:t>http://www.law.unimelb.edu.au/celrl/research/current-research-projects/reshaping-employment-discrimination-law-towards-substantive-equality-at-work</w:t>
        </w:r>
      </w:hyperlink>
    </w:p>
    <w:p w:rsidR="003D55B2" w:rsidRPr="00BD076E" w:rsidRDefault="003D55B2">
      <w:pPr>
        <w:rPr>
          <w:rFonts w:ascii="Times New Roman" w:hAnsi="Times New Roman" w:cs="Times New Roman"/>
        </w:rPr>
      </w:pPr>
      <w:r w:rsidRPr="00BD076E">
        <w:rPr>
          <w:rFonts w:ascii="Times New Roman" w:hAnsi="Times New Roman" w:cs="Times New Roman"/>
        </w:rPr>
        <w:t xml:space="preserve">The material in the submission regarding anti-discrimination laws also draws on the long-standing research interests of Professor Gaze and Associate Professor Chapman in equality and anti-discrimination laws. For a list of their publications in this field, see: </w:t>
      </w:r>
      <w:hyperlink r:id="rId8" w:history="1">
        <w:r w:rsidRPr="00BD076E">
          <w:rPr>
            <w:rStyle w:val="Hyperlink"/>
            <w:rFonts w:ascii="Times New Roman" w:hAnsi="Times New Roman" w:cs="Times New Roman"/>
          </w:rPr>
          <w:t>http://www.law.unimelb.edu.au/melbourne-law-school/community/our-staff/staff-profile/username/Beth%20Gaze/Pub/1</w:t>
        </w:r>
      </w:hyperlink>
      <w:r w:rsidRPr="00BD076E">
        <w:rPr>
          <w:rFonts w:ascii="Times New Roman" w:hAnsi="Times New Roman" w:cs="Times New Roman"/>
        </w:rPr>
        <w:t xml:space="preserve"> and </w:t>
      </w:r>
      <w:hyperlink r:id="rId9" w:history="1">
        <w:r w:rsidRPr="00BD076E">
          <w:rPr>
            <w:rStyle w:val="Hyperlink"/>
            <w:rFonts w:ascii="Times New Roman" w:hAnsi="Times New Roman" w:cs="Times New Roman"/>
          </w:rPr>
          <w:t>http://www.law.unimelb.edu.au/melbourne-law-school/community/our-staff/staff-profile/username/Anna%20Chapman</w:t>
        </w:r>
      </w:hyperlink>
    </w:p>
    <w:p w:rsidR="00A50838" w:rsidRPr="00BD076E" w:rsidRDefault="00283C08">
      <w:pPr>
        <w:rPr>
          <w:rFonts w:ascii="Times New Roman" w:hAnsi="Times New Roman" w:cs="Times New Roman"/>
        </w:rPr>
      </w:pPr>
      <w:r w:rsidRPr="00BD076E">
        <w:rPr>
          <w:rFonts w:ascii="Times New Roman" w:hAnsi="Times New Roman" w:cs="Times New Roman"/>
        </w:rPr>
        <w:t xml:space="preserve">At the outset we wish to </w:t>
      </w:r>
      <w:r w:rsidR="00A50838" w:rsidRPr="00BD076E">
        <w:rPr>
          <w:rFonts w:ascii="Times New Roman" w:hAnsi="Times New Roman" w:cs="Times New Roman"/>
        </w:rPr>
        <w:t xml:space="preserve">commend the </w:t>
      </w:r>
      <w:r w:rsidRPr="00BD076E">
        <w:rPr>
          <w:rFonts w:ascii="Times New Roman" w:hAnsi="Times New Roman" w:cs="Times New Roman"/>
        </w:rPr>
        <w:t xml:space="preserve">evidence-based </w:t>
      </w:r>
      <w:r w:rsidR="00A50838" w:rsidRPr="00BD076E">
        <w:rPr>
          <w:rFonts w:ascii="Times New Roman" w:hAnsi="Times New Roman" w:cs="Times New Roman"/>
        </w:rPr>
        <w:t xml:space="preserve">approach </w:t>
      </w:r>
      <w:r w:rsidRPr="00BD076E">
        <w:rPr>
          <w:rFonts w:ascii="Times New Roman" w:hAnsi="Times New Roman" w:cs="Times New Roman"/>
        </w:rPr>
        <w:t xml:space="preserve">taken by the ALRC in </w:t>
      </w:r>
      <w:r w:rsidR="00A50838" w:rsidRPr="00BD076E">
        <w:rPr>
          <w:rFonts w:ascii="Times New Roman" w:hAnsi="Times New Roman" w:cs="Times New Roman"/>
        </w:rPr>
        <w:t>the Interim Report</w:t>
      </w:r>
      <w:r w:rsidRPr="00BD076E">
        <w:rPr>
          <w:rFonts w:ascii="Times New Roman" w:hAnsi="Times New Roman" w:cs="Times New Roman"/>
        </w:rPr>
        <w:t>.</w:t>
      </w:r>
    </w:p>
    <w:p w:rsidR="00283C08" w:rsidRPr="00BD076E" w:rsidRDefault="00283C08" w:rsidP="00AF56DF">
      <w:pPr>
        <w:rPr>
          <w:rFonts w:ascii="Times New Roman" w:hAnsi="Times New Roman" w:cs="Times New Roman"/>
        </w:rPr>
      </w:pPr>
      <w:r w:rsidRPr="00BD076E">
        <w:rPr>
          <w:rFonts w:ascii="Times New Roman" w:hAnsi="Times New Roman" w:cs="Times New Roman"/>
        </w:rPr>
        <w:t xml:space="preserve">In our view, the reverse onus of proof under </w:t>
      </w:r>
      <w:r w:rsidR="007F770D" w:rsidRPr="00BD076E">
        <w:rPr>
          <w:rFonts w:ascii="Times New Roman" w:hAnsi="Times New Roman" w:cs="Times New Roman"/>
        </w:rPr>
        <w:t>FW Act s 361</w:t>
      </w:r>
      <w:r w:rsidRPr="00BD076E">
        <w:rPr>
          <w:rFonts w:ascii="Times New Roman" w:hAnsi="Times New Roman" w:cs="Times New Roman"/>
        </w:rPr>
        <w:t xml:space="preserve"> should be maintained. </w:t>
      </w:r>
      <w:r w:rsidR="00AF56DF" w:rsidRPr="00BD076E">
        <w:rPr>
          <w:rFonts w:ascii="Times New Roman" w:hAnsi="Times New Roman" w:cs="Times New Roman"/>
        </w:rPr>
        <w:t xml:space="preserve">In the absence of the reverse onus of proof, it would be extremely difficult, if not impossible, for claimants to establish that a respondent employer acted for an unlawful reason. </w:t>
      </w:r>
    </w:p>
    <w:p w:rsidR="00AF56DF" w:rsidRPr="00BD076E" w:rsidRDefault="00AF56DF" w:rsidP="00AF56DF">
      <w:pPr>
        <w:rPr>
          <w:rFonts w:ascii="Times New Roman" w:hAnsi="Times New Roman" w:cs="Times New Roman"/>
        </w:rPr>
      </w:pPr>
      <w:r w:rsidRPr="00BD076E">
        <w:rPr>
          <w:rFonts w:ascii="Times New Roman" w:hAnsi="Times New Roman" w:cs="Times New Roman"/>
        </w:rPr>
        <w:t>Furthermore, the reverse onus of proof has long been a</w:t>
      </w:r>
      <w:r w:rsidR="0059526F" w:rsidRPr="00BD076E">
        <w:rPr>
          <w:rFonts w:ascii="Times New Roman" w:hAnsi="Times New Roman" w:cs="Times New Roman"/>
        </w:rPr>
        <w:t>n important</w:t>
      </w:r>
      <w:r w:rsidRPr="00BD076E">
        <w:rPr>
          <w:rFonts w:ascii="Times New Roman" w:hAnsi="Times New Roman" w:cs="Times New Roman"/>
        </w:rPr>
        <w:t xml:space="preserve"> feature of protections with respect to freedom of association and unlawful termination under legislation preceding the FW Act.</w:t>
      </w:r>
      <w:r w:rsidR="0059526F" w:rsidRPr="00BD076E">
        <w:rPr>
          <w:rStyle w:val="FootnoteReference"/>
          <w:rFonts w:ascii="Times New Roman" w:hAnsi="Times New Roman" w:cs="Times New Roman"/>
        </w:rPr>
        <w:footnoteReference w:id="2"/>
      </w:r>
    </w:p>
    <w:p w:rsidR="0059526F" w:rsidRPr="00BD076E" w:rsidRDefault="004A403E">
      <w:pPr>
        <w:rPr>
          <w:rFonts w:ascii="Times New Roman" w:hAnsi="Times New Roman" w:cs="Times New Roman"/>
        </w:rPr>
      </w:pPr>
      <w:r w:rsidRPr="00BD076E">
        <w:rPr>
          <w:rFonts w:ascii="Times New Roman" w:hAnsi="Times New Roman" w:cs="Times New Roman"/>
        </w:rPr>
        <w:lastRenderedPageBreak/>
        <w:t>T</w:t>
      </w:r>
      <w:r w:rsidR="00AF56DF" w:rsidRPr="00BD076E">
        <w:rPr>
          <w:rFonts w:ascii="Times New Roman" w:hAnsi="Times New Roman" w:cs="Times New Roman"/>
        </w:rPr>
        <w:t xml:space="preserve">he </w:t>
      </w:r>
      <w:r w:rsidR="00B92D4C" w:rsidRPr="00BD076E">
        <w:rPr>
          <w:rFonts w:ascii="Times New Roman" w:hAnsi="Times New Roman" w:cs="Times New Roman"/>
        </w:rPr>
        <w:t xml:space="preserve">reverse onus of proof under section 361 of the FW Act has recently been considered by the </w:t>
      </w:r>
      <w:r w:rsidR="00283C08" w:rsidRPr="00BD076E">
        <w:rPr>
          <w:rFonts w:ascii="Times New Roman" w:hAnsi="Times New Roman" w:cs="Times New Roman"/>
        </w:rPr>
        <w:t xml:space="preserve">Draft Report prepared by the </w:t>
      </w:r>
      <w:r w:rsidR="009C4237" w:rsidRPr="00BD076E">
        <w:rPr>
          <w:rFonts w:ascii="Times New Roman" w:hAnsi="Times New Roman" w:cs="Times New Roman"/>
        </w:rPr>
        <w:t xml:space="preserve">Productivity Commission </w:t>
      </w:r>
      <w:r w:rsidR="00283C08" w:rsidRPr="00BD076E">
        <w:rPr>
          <w:rFonts w:ascii="Times New Roman" w:hAnsi="Times New Roman" w:cs="Times New Roman"/>
        </w:rPr>
        <w:t xml:space="preserve">as part of </w:t>
      </w:r>
      <w:r w:rsidR="00B92D4C" w:rsidRPr="00BD076E">
        <w:rPr>
          <w:rFonts w:ascii="Times New Roman" w:hAnsi="Times New Roman" w:cs="Times New Roman"/>
        </w:rPr>
        <w:t xml:space="preserve">its </w:t>
      </w:r>
      <w:r w:rsidR="009C4237" w:rsidRPr="00BD076E">
        <w:rPr>
          <w:rFonts w:ascii="Times New Roman" w:hAnsi="Times New Roman" w:cs="Times New Roman"/>
        </w:rPr>
        <w:t>inquiry into the Workplace Relations System.</w:t>
      </w:r>
      <w:r w:rsidR="00735F87" w:rsidRPr="00BD076E">
        <w:rPr>
          <w:rFonts w:ascii="Times New Roman" w:hAnsi="Times New Roman" w:cs="Times New Roman"/>
        </w:rPr>
        <w:t xml:space="preserve"> </w:t>
      </w:r>
    </w:p>
    <w:p w:rsidR="00735F87" w:rsidRPr="00BD076E" w:rsidRDefault="0059526F">
      <w:pPr>
        <w:rPr>
          <w:rFonts w:ascii="Times New Roman" w:hAnsi="Times New Roman" w:cs="Times New Roman"/>
        </w:rPr>
      </w:pPr>
      <w:r w:rsidRPr="00BD076E">
        <w:rPr>
          <w:rFonts w:ascii="Times New Roman" w:hAnsi="Times New Roman" w:cs="Times New Roman"/>
        </w:rPr>
        <w:t>The Productivity Commission did recommend that the FW  Act be amended to formally align the discovery processes used in general protections proceedings with those provided in the Federal Court’s Rules and Practice Note 5 CM5.</w:t>
      </w:r>
      <w:r w:rsidRPr="00BD076E">
        <w:rPr>
          <w:rStyle w:val="FootnoteReference"/>
          <w:rFonts w:ascii="Times New Roman" w:hAnsi="Times New Roman" w:cs="Times New Roman"/>
        </w:rPr>
        <w:footnoteReference w:id="3"/>
      </w:r>
      <w:r w:rsidRPr="00BD076E">
        <w:rPr>
          <w:rFonts w:ascii="Times New Roman" w:hAnsi="Times New Roman" w:cs="Times New Roman"/>
        </w:rPr>
        <w:t xml:space="preserve"> It did not, however, </w:t>
      </w:r>
      <w:r w:rsidR="00735F87" w:rsidRPr="00BD076E">
        <w:rPr>
          <w:rFonts w:ascii="Times New Roman" w:hAnsi="Times New Roman" w:cs="Times New Roman"/>
        </w:rPr>
        <w:t xml:space="preserve">recommend that the onus of proof </w:t>
      </w:r>
      <w:r w:rsidRPr="00BD076E">
        <w:rPr>
          <w:rFonts w:ascii="Times New Roman" w:hAnsi="Times New Roman" w:cs="Times New Roman"/>
        </w:rPr>
        <w:t xml:space="preserve">on the respondent under FW Act s 361(1) </w:t>
      </w:r>
      <w:r w:rsidR="00735F87" w:rsidRPr="00BD076E">
        <w:rPr>
          <w:rFonts w:ascii="Times New Roman" w:hAnsi="Times New Roman" w:cs="Times New Roman"/>
        </w:rPr>
        <w:t xml:space="preserve">be </w:t>
      </w:r>
      <w:r w:rsidRPr="00BD076E">
        <w:rPr>
          <w:rFonts w:ascii="Times New Roman" w:hAnsi="Times New Roman" w:cs="Times New Roman"/>
        </w:rPr>
        <w:t xml:space="preserve">reversed or </w:t>
      </w:r>
      <w:r w:rsidR="00735F87" w:rsidRPr="00BD076E">
        <w:rPr>
          <w:rFonts w:ascii="Times New Roman" w:hAnsi="Times New Roman" w:cs="Times New Roman"/>
        </w:rPr>
        <w:t>reformed.</w:t>
      </w:r>
      <w:r w:rsidR="00735F87" w:rsidRPr="00BD076E">
        <w:rPr>
          <w:rStyle w:val="FootnoteReference"/>
          <w:rFonts w:ascii="Times New Roman" w:hAnsi="Times New Roman" w:cs="Times New Roman"/>
        </w:rPr>
        <w:footnoteReference w:id="4"/>
      </w:r>
      <w:r w:rsidRPr="00BD076E">
        <w:rPr>
          <w:rFonts w:ascii="Times New Roman" w:hAnsi="Times New Roman" w:cs="Times New Roman"/>
        </w:rPr>
        <w:t xml:space="preserve"> </w:t>
      </w:r>
    </w:p>
    <w:p w:rsidR="007F770D" w:rsidRPr="00BD076E" w:rsidRDefault="004A403E" w:rsidP="00997E2A">
      <w:pPr>
        <w:rPr>
          <w:rFonts w:ascii="Times New Roman" w:hAnsi="Times New Roman" w:cs="Times New Roman"/>
        </w:rPr>
      </w:pPr>
      <w:r w:rsidRPr="00BD076E">
        <w:rPr>
          <w:rFonts w:ascii="Times New Roman" w:hAnsi="Times New Roman" w:cs="Times New Roman"/>
        </w:rPr>
        <w:t xml:space="preserve">We note for completeness that the </w:t>
      </w:r>
      <w:r w:rsidR="004E7BF7" w:rsidRPr="00BD076E">
        <w:rPr>
          <w:rFonts w:ascii="Times New Roman" w:hAnsi="Times New Roman" w:cs="Times New Roman"/>
        </w:rPr>
        <w:t>burden of proof on respondents to indirect discrimination claims</w:t>
      </w:r>
      <w:r w:rsidR="00156C38" w:rsidRPr="00BD076E">
        <w:rPr>
          <w:rFonts w:ascii="Times New Roman" w:hAnsi="Times New Roman" w:cs="Times New Roman"/>
        </w:rPr>
        <w:t>,</w:t>
      </w:r>
      <w:r w:rsidR="004E7BF7" w:rsidRPr="00BD076E">
        <w:rPr>
          <w:rFonts w:ascii="Times New Roman" w:hAnsi="Times New Roman" w:cs="Times New Roman"/>
        </w:rPr>
        <w:t xml:space="preserve"> arising under some anti-discrimination laws</w:t>
      </w:r>
      <w:r w:rsidR="00156C38" w:rsidRPr="00BD076E">
        <w:rPr>
          <w:rFonts w:ascii="Times New Roman" w:hAnsi="Times New Roman" w:cs="Times New Roman"/>
        </w:rPr>
        <w:t>,</w:t>
      </w:r>
      <w:r w:rsidR="004E7BF7" w:rsidRPr="00BD076E">
        <w:rPr>
          <w:rFonts w:ascii="Times New Roman" w:hAnsi="Times New Roman" w:cs="Times New Roman"/>
        </w:rPr>
        <w:t xml:space="preserve"> </w:t>
      </w:r>
      <w:r w:rsidR="00EC468B" w:rsidRPr="00BD076E">
        <w:rPr>
          <w:rFonts w:ascii="Times New Roman" w:hAnsi="Times New Roman" w:cs="Times New Roman"/>
        </w:rPr>
        <w:t xml:space="preserve">to show that the requirement or condition that has differential impact is reasonable </w:t>
      </w:r>
      <w:r w:rsidR="004E7BF7" w:rsidRPr="00BD076E">
        <w:rPr>
          <w:rFonts w:ascii="Times New Roman" w:hAnsi="Times New Roman" w:cs="Times New Roman"/>
        </w:rPr>
        <w:t xml:space="preserve">does not constitute a </w:t>
      </w:r>
      <w:r w:rsidR="00EC468B" w:rsidRPr="00BD076E">
        <w:rPr>
          <w:rFonts w:ascii="Times New Roman" w:hAnsi="Times New Roman" w:cs="Times New Roman"/>
        </w:rPr>
        <w:t xml:space="preserve">genuine </w:t>
      </w:r>
      <w:r w:rsidR="004E7BF7" w:rsidRPr="00BD076E">
        <w:rPr>
          <w:rFonts w:ascii="Times New Roman" w:hAnsi="Times New Roman" w:cs="Times New Roman"/>
        </w:rPr>
        <w:t xml:space="preserve">reverse onus of proof. Rather, </w:t>
      </w:r>
      <w:r w:rsidR="00EC468B" w:rsidRPr="00BD076E">
        <w:rPr>
          <w:rFonts w:ascii="Times New Roman" w:hAnsi="Times New Roman" w:cs="Times New Roman"/>
        </w:rPr>
        <w:t xml:space="preserve">it defines a </w:t>
      </w:r>
      <w:r w:rsidR="004E7BF7" w:rsidRPr="00BD076E">
        <w:rPr>
          <w:rFonts w:ascii="Times New Roman" w:hAnsi="Times New Roman" w:cs="Times New Roman"/>
        </w:rPr>
        <w:t>defence to a claim of indirect discrimination</w:t>
      </w:r>
      <w:r w:rsidR="00997E2A" w:rsidRPr="00BD076E">
        <w:rPr>
          <w:rFonts w:ascii="Times New Roman" w:hAnsi="Times New Roman" w:cs="Times New Roman"/>
        </w:rPr>
        <w:t>.</w:t>
      </w:r>
      <w:r w:rsidR="007F770D" w:rsidRPr="00BD076E">
        <w:rPr>
          <w:rStyle w:val="FootnoteReference"/>
          <w:rFonts w:ascii="Times New Roman" w:hAnsi="Times New Roman" w:cs="Times New Roman"/>
        </w:rPr>
        <w:footnoteReference w:id="5"/>
      </w:r>
      <w:r w:rsidR="00997E2A" w:rsidRPr="00BD076E">
        <w:rPr>
          <w:rFonts w:ascii="Times New Roman" w:hAnsi="Times New Roman" w:cs="Times New Roman"/>
        </w:rPr>
        <w:t xml:space="preserve"> </w:t>
      </w:r>
      <w:r w:rsidR="00EC5666" w:rsidRPr="00BD076E">
        <w:rPr>
          <w:rFonts w:ascii="Times New Roman" w:hAnsi="Times New Roman" w:cs="Times New Roman"/>
        </w:rPr>
        <w:t xml:space="preserve">This defence </w:t>
      </w:r>
      <w:r w:rsidR="00BA2327" w:rsidRPr="00BD076E">
        <w:rPr>
          <w:rFonts w:ascii="Times New Roman" w:hAnsi="Times New Roman" w:cs="Times New Roman"/>
        </w:rPr>
        <w:t xml:space="preserve">allows the respondent to show that there were good </w:t>
      </w:r>
      <w:r w:rsidR="00EC5666" w:rsidRPr="00BD076E">
        <w:rPr>
          <w:rFonts w:ascii="Times New Roman" w:hAnsi="Times New Roman" w:cs="Times New Roman"/>
        </w:rPr>
        <w:t>reasons for adopting the requirement or condition that is challenged as discriminatory</w:t>
      </w:r>
      <w:r w:rsidR="00BA2327" w:rsidRPr="00BD076E">
        <w:rPr>
          <w:rFonts w:ascii="Times New Roman" w:hAnsi="Times New Roman" w:cs="Times New Roman"/>
        </w:rPr>
        <w:t>, and that they outweigh the damage caused by its discriminatory effect.</w:t>
      </w:r>
      <w:r w:rsidR="00EC5666" w:rsidRPr="00BD076E">
        <w:rPr>
          <w:rFonts w:ascii="Times New Roman" w:hAnsi="Times New Roman" w:cs="Times New Roman"/>
        </w:rPr>
        <w:t xml:space="preserve"> </w:t>
      </w:r>
    </w:p>
    <w:p w:rsidR="007F770D" w:rsidRPr="00BD076E" w:rsidRDefault="007F770D" w:rsidP="00997E2A">
      <w:pPr>
        <w:rPr>
          <w:rFonts w:ascii="Times New Roman" w:hAnsi="Times New Roman" w:cs="Times New Roman"/>
        </w:rPr>
      </w:pPr>
      <w:r w:rsidRPr="00BD076E">
        <w:rPr>
          <w:rFonts w:ascii="Times New Roman" w:hAnsi="Times New Roman" w:cs="Times New Roman"/>
        </w:rPr>
        <w:t xml:space="preserve">In our view, </w:t>
      </w:r>
      <w:r w:rsidR="004E7BF7" w:rsidRPr="00BD076E">
        <w:rPr>
          <w:rFonts w:ascii="Times New Roman" w:hAnsi="Times New Roman" w:cs="Times New Roman"/>
        </w:rPr>
        <w:t xml:space="preserve">in this context, </w:t>
      </w:r>
      <w:r w:rsidRPr="00BD076E">
        <w:rPr>
          <w:rFonts w:ascii="Times New Roman" w:hAnsi="Times New Roman" w:cs="Times New Roman"/>
        </w:rPr>
        <w:t xml:space="preserve">it is appropriate for the respondent to have the onus of demonstrating that a condition, requirement or practice which it has imposed, or proposes to impose, on a claimant was reasonable.  Again, it would be difficult, if not impossible, for a claimant to access information or evidence to demonstrate that a respondent’s actions were not reasonable in the circumstances. </w:t>
      </w:r>
    </w:p>
    <w:p w:rsidR="00997E2A" w:rsidRPr="00BD076E" w:rsidRDefault="00997E2A" w:rsidP="00997E2A">
      <w:pPr>
        <w:rPr>
          <w:rFonts w:ascii="Times New Roman" w:hAnsi="Times New Roman" w:cs="Times New Roman"/>
        </w:rPr>
      </w:pPr>
    </w:p>
    <w:sectPr w:rsidR="00997E2A" w:rsidRPr="00BD076E" w:rsidSect="00CC5F6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0A8" w:rsidRDefault="00E270A8" w:rsidP="00283C08">
      <w:pPr>
        <w:spacing w:after="0" w:line="240" w:lineRule="auto"/>
      </w:pPr>
      <w:r>
        <w:separator/>
      </w:r>
    </w:p>
  </w:endnote>
  <w:endnote w:type="continuationSeparator" w:id="0">
    <w:p w:rsidR="00E270A8" w:rsidRDefault="00E270A8" w:rsidP="00283C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DCA" w:rsidRDefault="00870D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DCA" w:rsidRDefault="00870DC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DCA" w:rsidRDefault="00870D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0A8" w:rsidRDefault="00E270A8" w:rsidP="00283C08">
      <w:pPr>
        <w:spacing w:after="0" w:line="240" w:lineRule="auto"/>
      </w:pPr>
      <w:r>
        <w:separator/>
      </w:r>
    </w:p>
  </w:footnote>
  <w:footnote w:type="continuationSeparator" w:id="0">
    <w:p w:rsidR="00E270A8" w:rsidRDefault="00E270A8" w:rsidP="00283C08">
      <w:pPr>
        <w:spacing w:after="0" w:line="240" w:lineRule="auto"/>
      </w:pPr>
      <w:r>
        <w:continuationSeparator/>
      </w:r>
    </w:p>
  </w:footnote>
  <w:footnote w:id="1">
    <w:p w:rsidR="00283C08" w:rsidRPr="00BD076E" w:rsidRDefault="00283C08">
      <w:pPr>
        <w:pStyle w:val="FootnoteText"/>
        <w:rPr>
          <w:rFonts w:ascii="Times New Roman" w:hAnsi="Times New Roman" w:cs="Times New Roman"/>
        </w:rPr>
      </w:pPr>
      <w:r w:rsidRPr="00BD076E">
        <w:rPr>
          <w:rStyle w:val="FootnoteReference"/>
          <w:rFonts w:ascii="Times New Roman" w:hAnsi="Times New Roman" w:cs="Times New Roman"/>
        </w:rPr>
        <w:footnoteRef/>
      </w:r>
      <w:r w:rsidRPr="00BD076E">
        <w:rPr>
          <w:rFonts w:ascii="Times New Roman" w:hAnsi="Times New Roman" w:cs="Times New Roman"/>
        </w:rPr>
        <w:t xml:space="preserve"> Paragraphs [11.95-11.02]</w:t>
      </w:r>
    </w:p>
  </w:footnote>
  <w:footnote w:id="2">
    <w:p w:rsidR="0059526F" w:rsidRPr="00BD076E" w:rsidRDefault="0059526F">
      <w:pPr>
        <w:pStyle w:val="FootnoteText"/>
        <w:rPr>
          <w:rFonts w:ascii="Times New Roman" w:hAnsi="Times New Roman" w:cs="Times New Roman"/>
        </w:rPr>
      </w:pPr>
      <w:r w:rsidRPr="00BD076E">
        <w:rPr>
          <w:rStyle w:val="FootnoteReference"/>
          <w:rFonts w:ascii="Times New Roman" w:hAnsi="Times New Roman" w:cs="Times New Roman"/>
        </w:rPr>
        <w:footnoteRef/>
      </w:r>
      <w:r w:rsidRPr="00BD076E">
        <w:rPr>
          <w:rFonts w:ascii="Times New Roman" w:hAnsi="Times New Roman" w:cs="Times New Roman"/>
        </w:rPr>
        <w:t xml:space="preserve"> Love, K., Chapman, A. and Gaze. B. ‘The reverse onus of proof then and now: the Barclay case and the history of the Fair Work Act’s union victimisation and freedom of association provisions’ (2014) 37 </w:t>
      </w:r>
      <w:r w:rsidRPr="00BD076E">
        <w:rPr>
          <w:rFonts w:ascii="Times New Roman" w:hAnsi="Times New Roman" w:cs="Times New Roman"/>
          <w:i/>
        </w:rPr>
        <w:t>University of NSW Law Journal</w:t>
      </w:r>
      <w:r w:rsidRPr="00BD076E">
        <w:rPr>
          <w:rFonts w:ascii="Times New Roman" w:hAnsi="Times New Roman" w:cs="Times New Roman"/>
        </w:rPr>
        <w:t xml:space="preserve"> 471-506.</w:t>
      </w:r>
    </w:p>
  </w:footnote>
  <w:footnote w:id="3">
    <w:p w:rsidR="0059526F" w:rsidRPr="00BD076E" w:rsidRDefault="0059526F" w:rsidP="0059526F">
      <w:pPr>
        <w:pStyle w:val="FootnoteText"/>
        <w:rPr>
          <w:rFonts w:ascii="Times New Roman" w:hAnsi="Times New Roman" w:cs="Times New Roman"/>
        </w:rPr>
      </w:pPr>
      <w:r w:rsidRPr="00BD076E">
        <w:rPr>
          <w:rStyle w:val="FootnoteReference"/>
          <w:rFonts w:ascii="Times New Roman" w:hAnsi="Times New Roman" w:cs="Times New Roman"/>
        </w:rPr>
        <w:footnoteRef/>
      </w:r>
      <w:r w:rsidRPr="00BD076E">
        <w:rPr>
          <w:rFonts w:ascii="Times New Roman" w:hAnsi="Times New Roman" w:cs="Times New Roman"/>
        </w:rPr>
        <w:t xml:space="preserve"> Productivity Commission, above n 2, 262.</w:t>
      </w:r>
    </w:p>
  </w:footnote>
  <w:footnote w:id="4">
    <w:p w:rsidR="00735F87" w:rsidRPr="00BD076E" w:rsidRDefault="00735F87">
      <w:pPr>
        <w:pStyle w:val="FootnoteText"/>
        <w:rPr>
          <w:rFonts w:ascii="Times New Roman" w:hAnsi="Times New Roman" w:cs="Times New Roman"/>
        </w:rPr>
      </w:pPr>
      <w:r w:rsidRPr="00BD076E">
        <w:rPr>
          <w:rStyle w:val="FootnoteReference"/>
          <w:rFonts w:ascii="Times New Roman" w:hAnsi="Times New Roman" w:cs="Times New Roman"/>
        </w:rPr>
        <w:footnoteRef/>
      </w:r>
      <w:r w:rsidRPr="00BD076E">
        <w:rPr>
          <w:rFonts w:ascii="Times New Roman" w:hAnsi="Times New Roman" w:cs="Times New Roman"/>
        </w:rPr>
        <w:t xml:space="preserve"> </w:t>
      </w:r>
      <w:r w:rsidRPr="00BD076E">
        <w:rPr>
          <w:rFonts w:ascii="Times New Roman" w:hAnsi="Times New Roman" w:cs="Times New Roman"/>
          <w:i/>
        </w:rPr>
        <w:t>Productivity Commission, Workplace Relations Framework, Draft Report,</w:t>
      </w:r>
      <w:r w:rsidRPr="00BD076E">
        <w:rPr>
          <w:rFonts w:ascii="Times New Roman" w:hAnsi="Times New Roman" w:cs="Times New Roman"/>
        </w:rPr>
        <w:t xml:space="preserve"> August 2015, 260-262. </w:t>
      </w:r>
    </w:p>
  </w:footnote>
  <w:footnote w:id="5">
    <w:p w:rsidR="007F770D" w:rsidRPr="00BD076E" w:rsidRDefault="007F770D">
      <w:pPr>
        <w:pStyle w:val="FootnoteText"/>
        <w:rPr>
          <w:rFonts w:ascii="Times New Roman" w:hAnsi="Times New Roman" w:cs="Times New Roman"/>
        </w:rPr>
      </w:pPr>
      <w:r w:rsidRPr="00BD076E">
        <w:rPr>
          <w:rStyle w:val="FootnoteReference"/>
          <w:rFonts w:ascii="Times New Roman" w:hAnsi="Times New Roman" w:cs="Times New Roman"/>
        </w:rPr>
        <w:footnoteRef/>
      </w:r>
      <w:r w:rsidRPr="00BD076E">
        <w:rPr>
          <w:rFonts w:ascii="Times New Roman" w:hAnsi="Times New Roman" w:cs="Times New Roman"/>
        </w:rPr>
        <w:t xml:space="preserve"> </w:t>
      </w:r>
      <w:r w:rsidRPr="00BD076E">
        <w:rPr>
          <w:rFonts w:ascii="Times New Roman" w:hAnsi="Times New Roman" w:cs="Times New Roman"/>
          <w:i/>
        </w:rPr>
        <w:t xml:space="preserve">Sex Discrimination Act </w:t>
      </w:r>
      <w:r w:rsidRPr="00BD076E">
        <w:rPr>
          <w:rFonts w:ascii="Times New Roman" w:hAnsi="Times New Roman" w:cs="Times New Roman"/>
        </w:rPr>
        <w:t xml:space="preserve">1984 (Cth) s 7C; </w:t>
      </w:r>
      <w:r w:rsidRPr="00BD076E">
        <w:rPr>
          <w:rFonts w:ascii="Times New Roman" w:hAnsi="Times New Roman" w:cs="Times New Roman"/>
          <w:i/>
        </w:rPr>
        <w:t xml:space="preserve">Disability Discrimination Act </w:t>
      </w:r>
      <w:r w:rsidRPr="00BD076E">
        <w:rPr>
          <w:rFonts w:ascii="Times New Roman" w:hAnsi="Times New Roman" w:cs="Times New Roman"/>
        </w:rPr>
        <w:t xml:space="preserve">1992 (Cth) ss 6(4), 30; </w:t>
      </w:r>
      <w:r w:rsidRPr="00BD076E">
        <w:rPr>
          <w:rFonts w:ascii="Times New Roman" w:hAnsi="Times New Roman" w:cs="Times New Roman"/>
          <w:i/>
        </w:rPr>
        <w:t>Age Discrimination Act</w:t>
      </w:r>
      <w:r w:rsidRPr="00BD076E">
        <w:rPr>
          <w:rFonts w:ascii="Times New Roman" w:hAnsi="Times New Roman" w:cs="Times New Roman"/>
        </w:rPr>
        <w:t xml:space="preserve"> 2004 (Cth) s 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DCA" w:rsidRDefault="00870D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DCA" w:rsidRDefault="00870DCA" w:rsidP="00870DCA">
    <w:pPr>
      <w:rPr>
        <w:rFonts w:eastAsia="Times New Roman"/>
      </w:rPr>
    </w:pPr>
    <w:r>
      <w:rPr>
        <w:rFonts w:eastAsia="Times New Roman"/>
      </w:rPr>
      <w:t xml:space="preserve">86. Adriana Orifici, Professor Beth Gaze and Associate Professor Anna Chapman </w:t>
    </w:r>
  </w:p>
  <w:p w:rsidR="00870DCA" w:rsidRDefault="00870D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DCA" w:rsidRDefault="00870D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16229"/>
    <w:multiLevelType w:val="hybridMultilevel"/>
    <w:tmpl w:val="5FC0C358"/>
    <w:lvl w:ilvl="0" w:tplc="13BC884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9ED70A3"/>
    <w:multiLevelType w:val="hybridMultilevel"/>
    <w:tmpl w:val="B56C61F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06828"/>
    <w:rsid w:val="00092FC5"/>
    <w:rsid w:val="000A6AF9"/>
    <w:rsid w:val="00156C38"/>
    <w:rsid w:val="001775A4"/>
    <w:rsid w:val="00283C08"/>
    <w:rsid w:val="00306828"/>
    <w:rsid w:val="003D55B2"/>
    <w:rsid w:val="004A403E"/>
    <w:rsid w:val="004E7BF7"/>
    <w:rsid w:val="0059526F"/>
    <w:rsid w:val="00735F87"/>
    <w:rsid w:val="007F770D"/>
    <w:rsid w:val="00870DCA"/>
    <w:rsid w:val="009024FA"/>
    <w:rsid w:val="00997E2A"/>
    <w:rsid w:val="009C4237"/>
    <w:rsid w:val="00A50235"/>
    <w:rsid w:val="00A50838"/>
    <w:rsid w:val="00AF56DF"/>
    <w:rsid w:val="00B92D4C"/>
    <w:rsid w:val="00BA2327"/>
    <w:rsid w:val="00BD076E"/>
    <w:rsid w:val="00CC5F6A"/>
    <w:rsid w:val="00E270A8"/>
    <w:rsid w:val="00EC468B"/>
    <w:rsid w:val="00EC566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8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828"/>
    <w:pPr>
      <w:ind w:left="720"/>
      <w:contextualSpacing/>
    </w:pPr>
  </w:style>
  <w:style w:type="paragraph" w:styleId="FootnoteText">
    <w:name w:val="footnote text"/>
    <w:basedOn w:val="Normal"/>
    <w:link w:val="FootnoteTextChar"/>
    <w:uiPriority w:val="99"/>
    <w:semiHidden/>
    <w:unhideWhenUsed/>
    <w:rsid w:val="00283C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3C08"/>
    <w:rPr>
      <w:sz w:val="20"/>
      <w:szCs w:val="20"/>
    </w:rPr>
  </w:style>
  <w:style w:type="character" w:styleId="FootnoteReference">
    <w:name w:val="footnote reference"/>
    <w:basedOn w:val="DefaultParagraphFont"/>
    <w:uiPriority w:val="99"/>
    <w:semiHidden/>
    <w:unhideWhenUsed/>
    <w:rsid w:val="00283C08"/>
    <w:rPr>
      <w:vertAlign w:val="superscript"/>
    </w:rPr>
  </w:style>
  <w:style w:type="character" w:styleId="Hyperlink">
    <w:name w:val="Hyperlink"/>
    <w:basedOn w:val="DefaultParagraphFont"/>
    <w:uiPriority w:val="99"/>
    <w:unhideWhenUsed/>
    <w:rsid w:val="00AF56DF"/>
    <w:rPr>
      <w:color w:val="0000FF" w:themeColor="hyperlink"/>
      <w:u w:val="single"/>
    </w:rPr>
  </w:style>
  <w:style w:type="paragraph" w:styleId="Header">
    <w:name w:val="header"/>
    <w:basedOn w:val="Normal"/>
    <w:link w:val="HeaderChar"/>
    <w:uiPriority w:val="99"/>
    <w:semiHidden/>
    <w:unhideWhenUsed/>
    <w:rsid w:val="00870DC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70DCA"/>
  </w:style>
  <w:style w:type="paragraph" w:styleId="Footer">
    <w:name w:val="footer"/>
    <w:basedOn w:val="Normal"/>
    <w:link w:val="FooterChar"/>
    <w:uiPriority w:val="99"/>
    <w:semiHidden/>
    <w:unhideWhenUsed/>
    <w:rsid w:val="00870DC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70D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8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828"/>
    <w:pPr>
      <w:ind w:left="720"/>
      <w:contextualSpacing/>
    </w:pPr>
  </w:style>
  <w:style w:type="paragraph" w:styleId="FootnoteText">
    <w:name w:val="footnote text"/>
    <w:basedOn w:val="Normal"/>
    <w:link w:val="FootnoteTextChar"/>
    <w:uiPriority w:val="99"/>
    <w:semiHidden/>
    <w:unhideWhenUsed/>
    <w:rsid w:val="00283C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3C08"/>
    <w:rPr>
      <w:sz w:val="20"/>
      <w:szCs w:val="20"/>
    </w:rPr>
  </w:style>
  <w:style w:type="character" w:styleId="FootnoteReference">
    <w:name w:val="footnote reference"/>
    <w:basedOn w:val="DefaultParagraphFont"/>
    <w:uiPriority w:val="99"/>
    <w:semiHidden/>
    <w:unhideWhenUsed/>
    <w:rsid w:val="00283C08"/>
    <w:rPr>
      <w:vertAlign w:val="superscript"/>
    </w:rPr>
  </w:style>
  <w:style w:type="character" w:styleId="Hyperlink">
    <w:name w:val="Hyperlink"/>
    <w:basedOn w:val="DefaultParagraphFont"/>
    <w:uiPriority w:val="99"/>
    <w:unhideWhenUsed/>
    <w:rsid w:val="00AF56D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3825876">
      <w:bodyDiv w:val="1"/>
      <w:marLeft w:val="0"/>
      <w:marRight w:val="0"/>
      <w:marTop w:val="0"/>
      <w:marBottom w:val="0"/>
      <w:divBdr>
        <w:top w:val="none" w:sz="0" w:space="0" w:color="auto"/>
        <w:left w:val="none" w:sz="0" w:space="0" w:color="auto"/>
        <w:bottom w:val="none" w:sz="0" w:space="0" w:color="auto"/>
        <w:right w:val="none" w:sz="0" w:space="0" w:color="auto"/>
      </w:divBdr>
    </w:div>
    <w:div w:id="37416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w.unimelb.edu.au/melbourne-law-school/community/our-staff/staff-profile/username/Beth%20Gaze/Pub/1"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law.unimelb.edu.au/celrl/research/current-research-projects/reshaping-employment-discrimination-law-towards-substantive-equality-at-wor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w.unimelb.edu.au/melbourne-law-school/community/our-staff/staff-profile/username/Anna%20Chapma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3704</Characters>
  <Application>Microsoft Office Word</Application>
  <DocSecurity>4</DocSecurity>
  <Lines>52</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Orifici</dc:creator>
  <cp:lastModifiedBy>tina.obrien</cp:lastModifiedBy>
  <cp:revision>2</cp:revision>
  <dcterms:created xsi:type="dcterms:W3CDTF">2015-09-10T01:08:00Z</dcterms:created>
  <dcterms:modified xsi:type="dcterms:W3CDTF">2015-09-10T01:08:00Z</dcterms:modified>
</cp:coreProperties>
</file>