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27" w:rsidRDefault="005B4827" w:rsidP="004765BE">
      <w:pPr>
        <w:autoSpaceDE w:val="0"/>
        <w:autoSpaceDN w:val="0"/>
        <w:adjustRightInd w:val="0"/>
        <w:spacing w:beforeLines="120" w:afterLines="120"/>
        <w:jc w:val="center"/>
        <w:rPr>
          <w:b/>
        </w:rPr>
      </w:pPr>
      <w:r>
        <w:rPr>
          <w:b/>
        </w:rPr>
        <w:t xml:space="preserve">I </w:t>
      </w:r>
      <w:r w:rsidRPr="006A3CA8">
        <w:rPr>
          <w:b/>
          <w:sz w:val="30"/>
          <w:szCs w:val="30"/>
        </w:rPr>
        <w:t>A</w:t>
      </w:r>
      <w:r>
        <w:rPr>
          <w:b/>
        </w:rPr>
        <w:t xml:space="preserve">USTRALIAN </w:t>
      </w:r>
      <w:r w:rsidRPr="006A3CA8">
        <w:rPr>
          <w:b/>
          <w:sz w:val="30"/>
          <w:szCs w:val="30"/>
        </w:rPr>
        <w:t>L</w:t>
      </w:r>
      <w:r>
        <w:rPr>
          <w:b/>
        </w:rPr>
        <w:t xml:space="preserve">AW </w:t>
      </w:r>
      <w:r w:rsidRPr="006A3CA8">
        <w:rPr>
          <w:b/>
          <w:sz w:val="30"/>
          <w:szCs w:val="30"/>
        </w:rPr>
        <w:t>R</w:t>
      </w:r>
      <w:r>
        <w:rPr>
          <w:b/>
        </w:rPr>
        <w:t xml:space="preserve">EFORM </w:t>
      </w:r>
      <w:r w:rsidRPr="006A3CA8">
        <w:rPr>
          <w:b/>
          <w:sz w:val="30"/>
          <w:szCs w:val="30"/>
        </w:rPr>
        <w:t>C</w:t>
      </w:r>
      <w:r>
        <w:rPr>
          <w:b/>
        </w:rPr>
        <w:t>OMMISSION</w:t>
      </w:r>
      <w:r w:rsidR="00F07CE3">
        <w:rPr>
          <w:b/>
        </w:rPr>
        <w:t xml:space="preserve">: </w:t>
      </w:r>
      <w:r w:rsidR="00F07CE3" w:rsidRPr="00F07CE3">
        <w:rPr>
          <w:b/>
          <w:sz w:val="30"/>
          <w:szCs w:val="30"/>
        </w:rPr>
        <w:t>I</w:t>
      </w:r>
      <w:r w:rsidR="00F07CE3">
        <w:rPr>
          <w:b/>
        </w:rPr>
        <w:t xml:space="preserve">SSUES </w:t>
      </w:r>
      <w:r w:rsidR="00F07CE3" w:rsidRPr="00F07CE3">
        <w:rPr>
          <w:b/>
          <w:sz w:val="30"/>
          <w:szCs w:val="30"/>
        </w:rPr>
        <w:t>P</w:t>
      </w:r>
      <w:r w:rsidR="00F07CE3">
        <w:rPr>
          <w:b/>
        </w:rPr>
        <w:t xml:space="preserve">APER 47 </w:t>
      </w:r>
      <w:r w:rsidR="00F07CE3" w:rsidRPr="00F07CE3">
        <w:rPr>
          <w:b/>
          <w:sz w:val="30"/>
          <w:szCs w:val="30"/>
        </w:rPr>
        <w:t>E</w:t>
      </w:r>
      <w:r w:rsidR="00F07CE3">
        <w:rPr>
          <w:b/>
        </w:rPr>
        <w:t xml:space="preserve">LDER </w:t>
      </w:r>
      <w:proofErr w:type="gramStart"/>
      <w:r w:rsidR="00F07CE3" w:rsidRPr="00F07CE3">
        <w:rPr>
          <w:b/>
          <w:sz w:val="30"/>
          <w:szCs w:val="30"/>
        </w:rPr>
        <w:t>A</w:t>
      </w:r>
      <w:r w:rsidR="00F07CE3">
        <w:rPr>
          <w:b/>
        </w:rPr>
        <w:t>BUSE</w:t>
      </w:r>
      <w:proofErr w:type="gramEnd"/>
    </w:p>
    <w:p w:rsidR="005B4827" w:rsidRDefault="006A3CA8" w:rsidP="004765BE">
      <w:pPr>
        <w:autoSpaceDE w:val="0"/>
        <w:autoSpaceDN w:val="0"/>
        <w:adjustRightInd w:val="0"/>
        <w:spacing w:beforeLines="120" w:afterLines="120"/>
        <w:jc w:val="center"/>
        <w:rPr>
          <w:b/>
        </w:rPr>
      </w:pPr>
      <w:r w:rsidRPr="006A3CA8">
        <w:rPr>
          <w:b/>
          <w:sz w:val="30"/>
          <w:szCs w:val="30"/>
        </w:rPr>
        <w:t>Q</w:t>
      </w:r>
      <w:r w:rsidR="007848E9">
        <w:rPr>
          <w:b/>
        </w:rPr>
        <w:t>UESTION 21</w:t>
      </w:r>
    </w:p>
    <w:p w:rsidR="007848E9" w:rsidRDefault="007848E9" w:rsidP="004765BE">
      <w:pPr>
        <w:autoSpaceDE w:val="0"/>
        <w:autoSpaceDN w:val="0"/>
        <w:adjustRightInd w:val="0"/>
        <w:spacing w:beforeLines="120" w:afterLines="120"/>
        <w:jc w:val="center"/>
        <w:rPr>
          <w:b/>
        </w:rPr>
      </w:pPr>
      <w:r w:rsidRPr="007848E9">
        <w:rPr>
          <w:b/>
        </w:rPr>
        <w:t>What other changes should be made to aged care laws and legal frameworks to identify, provide safeguards agains</w:t>
      </w:r>
      <w:bookmarkStart w:id="0" w:name="_GoBack"/>
      <w:bookmarkEnd w:id="0"/>
      <w:r w:rsidRPr="007848E9">
        <w:rPr>
          <w:b/>
        </w:rPr>
        <w:t>t and respond to elder abuse?</w:t>
      </w:r>
    </w:p>
    <w:p w:rsidR="00B53DBB" w:rsidRPr="001C18E1" w:rsidRDefault="005B4827" w:rsidP="004765BE">
      <w:pPr>
        <w:autoSpaceDE w:val="0"/>
        <w:autoSpaceDN w:val="0"/>
        <w:adjustRightInd w:val="0"/>
        <w:spacing w:beforeLines="120" w:afterLines="120"/>
        <w:jc w:val="center"/>
        <w:rPr>
          <w:b/>
        </w:rPr>
      </w:pPr>
      <w:proofErr w:type="gramStart"/>
      <w:r>
        <w:rPr>
          <w:b/>
        </w:rPr>
        <w:t>A</w:t>
      </w:r>
      <w:proofErr w:type="gramEnd"/>
      <w:r>
        <w:rPr>
          <w:b/>
        </w:rPr>
        <w:t xml:space="preserve"> </w:t>
      </w:r>
      <w:r w:rsidR="00B53DBB" w:rsidRPr="005B4827">
        <w:rPr>
          <w:b/>
          <w:i/>
        </w:rPr>
        <w:t>Introduction</w:t>
      </w:r>
    </w:p>
    <w:p w:rsidR="00ED4DFC" w:rsidRPr="001C18E1" w:rsidRDefault="00ED4A2C" w:rsidP="004765BE">
      <w:pPr>
        <w:pStyle w:val="ListParagraph"/>
        <w:numPr>
          <w:ilvl w:val="0"/>
          <w:numId w:val="2"/>
        </w:numPr>
        <w:autoSpaceDE w:val="0"/>
        <w:autoSpaceDN w:val="0"/>
        <w:adjustRightInd w:val="0"/>
        <w:spacing w:beforeLines="120" w:afterLines="120"/>
        <w:contextualSpacing w:val="0"/>
      </w:pPr>
      <w:r>
        <w:t xml:space="preserve">My name is Tom </w:t>
      </w:r>
      <w:proofErr w:type="spellStart"/>
      <w:r w:rsidR="00E326FF">
        <w:t>Lettenmaier</w:t>
      </w:r>
      <w:proofErr w:type="spellEnd"/>
      <w:r w:rsidR="00E326FF">
        <w:t>;</w:t>
      </w:r>
      <w:r>
        <w:t xml:space="preserve"> </w:t>
      </w:r>
      <w:r w:rsidR="00ED4DFC" w:rsidRPr="001C18E1">
        <w:t xml:space="preserve">I have a Bachelor of Philosophy from the University </w:t>
      </w:r>
      <w:proofErr w:type="gramStart"/>
      <w:r w:rsidR="00ED4DFC" w:rsidRPr="001C18E1">
        <w:t>of</w:t>
      </w:r>
      <w:proofErr w:type="gramEnd"/>
      <w:r w:rsidR="00ED4DFC" w:rsidRPr="001C18E1">
        <w:t xml:space="preserve"> Notre Dame</w:t>
      </w:r>
      <w:r w:rsidR="001F43CE" w:rsidRPr="001C18E1">
        <w:t xml:space="preserve"> </w:t>
      </w:r>
      <w:r w:rsidR="00ED4DFC" w:rsidRPr="001C18E1">
        <w:t>and am in my final year of study of a Bachelor of Laws from Murdoch University.</w:t>
      </w:r>
      <w:r w:rsidR="00A845D0" w:rsidRPr="001C18E1">
        <w:t xml:space="preserve"> </w:t>
      </w:r>
      <w:r w:rsidR="00F0746E">
        <w:t>I am</w:t>
      </w:r>
      <w:r w:rsidR="00A845D0" w:rsidRPr="001C18E1">
        <w:t xml:space="preserve"> interest</w:t>
      </w:r>
      <w:r w:rsidR="00F0746E">
        <w:t>ed</w:t>
      </w:r>
      <w:r w:rsidR="00A845D0" w:rsidRPr="001C18E1">
        <w:t xml:space="preserve"> in e</w:t>
      </w:r>
      <w:r w:rsidR="00F0746E">
        <w:t>thics and human rights</w:t>
      </w:r>
      <w:r w:rsidR="00A845D0" w:rsidRPr="001C18E1">
        <w:t>.</w:t>
      </w:r>
    </w:p>
    <w:p w:rsidR="001C18E1" w:rsidRPr="005B4827" w:rsidRDefault="005B4827" w:rsidP="004765BE">
      <w:pPr>
        <w:autoSpaceDE w:val="0"/>
        <w:autoSpaceDN w:val="0"/>
        <w:adjustRightInd w:val="0"/>
        <w:spacing w:beforeLines="120" w:afterLines="120"/>
        <w:jc w:val="center"/>
        <w:rPr>
          <w:b/>
          <w:i/>
        </w:rPr>
      </w:pPr>
      <w:r>
        <w:rPr>
          <w:b/>
        </w:rPr>
        <w:t xml:space="preserve">B </w:t>
      </w:r>
      <w:r w:rsidR="001C18E1" w:rsidRPr="005B4827">
        <w:rPr>
          <w:b/>
          <w:i/>
        </w:rPr>
        <w:t>Submissions</w:t>
      </w:r>
    </w:p>
    <w:p w:rsidR="00EB4954" w:rsidRDefault="00ED4DFC" w:rsidP="004765BE">
      <w:pPr>
        <w:pStyle w:val="ListParagraph"/>
        <w:numPr>
          <w:ilvl w:val="0"/>
          <w:numId w:val="2"/>
        </w:numPr>
        <w:autoSpaceDE w:val="0"/>
        <w:autoSpaceDN w:val="0"/>
        <w:adjustRightInd w:val="0"/>
        <w:spacing w:beforeLines="120" w:afterLines="120"/>
        <w:contextualSpacing w:val="0"/>
      </w:pPr>
      <w:r w:rsidRPr="001C18E1">
        <w:t>The following submissions</w:t>
      </w:r>
      <w:r w:rsidR="007923BE">
        <w:t xml:space="preserve"> to the Australian Law Reform Commission</w:t>
      </w:r>
      <w:r w:rsidR="00F07CE3">
        <w:t xml:space="preserve"> (the “ALRC”)</w:t>
      </w:r>
      <w:r w:rsidR="006A3CA8">
        <w:t xml:space="preserve"> </w:t>
      </w:r>
      <w:r w:rsidRPr="001C18E1">
        <w:t>address q</w:t>
      </w:r>
      <w:r w:rsidR="001C18E1">
        <w:t>uestion 21.</w:t>
      </w:r>
    </w:p>
    <w:p w:rsidR="005B4827" w:rsidRDefault="005B4827" w:rsidP="004765BE">
      <w:pPr>
        <w:pStyle w:val="ListParagraph"/>
        <w:numPr>
          <w:ilvl w:val="0"/>
          <w:numId w:val="2"/>
        </w:numPr>
        <w:autoSpaceDE w:val="0"/>
        <w:autoSpaceDN w:val="0"/>
        <w:adjustRightInd w:val="0"/>
        <w:spacing w:beforeLines="120" w:afterLines="120"/>
        <w:contextualSpacing w:val="0"/>
      </w:pPr>
      <w:r>
        <w:t>Aged care’s</w:t>
      </w:r>
      <w:r w:rsidR="00E326FF">
        <w:t xml:space="preserve"> legal</w:t>
      </w:r>
      <w:r w:rsidRPr="001C18E1">
        <w:t xml:space="preserve"> framework</w:t>
      </w:r>
      <w:r>
        <w:t xml:space="preserve"> inadequately protects </w:t>
      </w:r>
      <w:r w:rsidRPr="001C18E1">
        <w:t>the sexual rights, and therefore sexual health, of</w:t>
      </w:r>
      <w:r w:rsidR="001E5D8C">
        <w:t xml:space="preserve"> aged care users</w:t>
      </w:r>
      <w:r w:rsidRPr="001C18E1">
        <w:t>.</w:t>
      </w:r>
      <w:r>
        <w:t xml:space="preserve"> This fail</w:t>
      </w:r>
      <w:r w:rsidR="001E5D8C">
        <w:t xml:space="preserve">ure causes harm and distress </w:t>
      </w:r>
      <w:r>
        <w:t>and constitutes an abuse.</w:t>
      </w:r>
      <w:r w:rsidRPr="00ED4A2C">
        <w:t xml:space="preserve"> </w:t>
      </w:r>
    </w:p>
    <w:p w:rsidR="005B4827" w:rsidRPr="001C18E1" w:rsidRDefault="005B4827" w:rsidP="004765BE">
      <w:pPr>
        <w:pStyle w:val="ListParagraph"/>
        <w:numPr>
          <w:ilvl w:val="0"/>
          <w:numId w:val="2"/>
        </w:numPr>
        <w:autoSpaceDE w:val="0"/>
        <w:autoSpaceDN w:val="0"/>
        <w:adjustRightInd w:val="0"/>
        <w:spacing w:beforeLines="120" w:afterLines="120"/>
        <w:contextualSpacing w:val="0"/>
      </w:pPr>
      <w:r>
        <w:t>The law surrounding sexual rights and aged care should be reformed</w:t>
      </w:r>
      <w:r w:rsidR="007848E9">
        <w:t xml:space="preserve"> to provide a safeguard </w:t>
      </w:r>
      <w:r w:rsidR="001E5D8C">
        <w:t>against</w:t>
      </w:r>
      <w:r w:rsidR="007848E9">
        <w:t xml:space="preserve"> </w:t>
      </w:r>
      <w:r>
        <w:t xml:space="preserve">elder abuse. </w:t>
      </w:r>
    </w:p>
    <w:p w:rsidR="005B4827" w:rsidRPr="005B4827" w:rsidRDefault="005B4827" w:rsidP="004765BE">
      <w:pPr>
        <w:autoSpaceDE w:val="0"/>
        <w:autoSpaceDN w:val="0"/>
        <w:adjustRightInd w:val="0"/>
        <w:spacing w:beforeLines="120" w:afterLines="120"/>
        <w:rPr>
          <w:b/>
        </w:rPr>
      </w:pPr>
      <w:r>
        <w:rPr>
          <w:b/>
        </w:rPr>
        <w:t xml:space="preserve">1 </w:t>
      </w:r>
      <w:r w:rsidRPr="005B4827">
        <w:rPr>
          <w:b/>
          <w:i/>
        </w:rPr>
        <w:t>Legislative framework</w:t>
      </w:r>
    </w:p>
    <w:p w:rsidR="005B4827" w:rsidRDefault="001E5D8C" w:rsidP="004765BE">
      <w:pPr>
        <w:pStyle w:val="ListParagraph"/>
        <w:numPr>
          <w:ilvl w:val="0"/>
          <w:numId w:val="2"/>
        </w:numPr>
        <w:autoSpaceDE w:val="0"/>
        <w:autoSpaceDN w:val="0"/>
        <w:adjustRightInd w:val="0"/>
        <w:spacing w:beforeLines="120" w:afterLines="120"/>
        <w:contextualSpacing w:val="0"/>
      </w:pPr>
      <w:r>
        <w:t>A</w:t>
      </w:r>
      <w:r w:rsidR="00ED4A2C">
        <w:t xml:space="preserve">ged care is regulated by the </w:t>
      </w:r>
      <w:r w:rsidR="00ED4A2C" w:rsidRPr="00674A4A">
        <w:rPr>
          <w:i/>
        </w:rPr>
        <w:t xml:space="preserve">Aged Care Act 1997 </w:t>
      </w:r>
      <w:r w:rsidR="00ED4A2C">
        <w:t>(</w:t>
      </w:r>
      <w:proofErr w:type="spellStart"/>
      <w:r w:rsidR="00ED4A2C">
        <w:t>Cth</w:t>
      </w:r>
      <w:proofErr w:type="spellEnd"/>
      <w:r w:rsidR="00ED4A2C">
        <w:t>)</w:t>
      </w:r>
      <w:r w:rsidR="007848E9">
        <w:t xml:space="preserve"> (the “AC Act”)</w:t>
      </w:r>
      <w:r w:rsidR="00455F0D">
        <w:t xml:space="preserve">. The </w:t>
      </w:r>
      <w:r w:rsidR="00455F0D" w:rsidRPr="00674A4A">
        <w:rPr>
          <w:i/>
        </w:rPr>
        <w:t>User Rights Principles 2014</w:t>
      </w:r>
      <w:r w:rsidR="007848E9">
        <w:rPr>
          <w:i/>
        </w:rPr>
        <w:t xml:space="preserve"> </w:t>
      </w:r>
      <w:r w:rsidR="00455F0D">
        <w:t xml:space="preserve">and </w:t>
      </w:r>
      <w:r w:rsidR="00455F0D" w:rsidRPr="00674A4A">
        <w:rPr>
          <w:i/>
        </w:rPr>
        <w:t>Quality of Care Principles 2014</w:t>
      </w:r>
      <w:r w:rsidR="007848E9">
        <w:rPr>
          <w:i/>
        </w:rPr>
        <w:t xml:space="preserve"> </w:t>
      </w:r>
      <w:r w:rsidR="007848E9">
        <w:t>(the “UR Principles” and “QC Principles” respectively)</w:t>
      </w:r>
      <w:r w:rsidR="00455F0D" w:rsidRPr="00674A4A">
        <w:rPr>
          <w:i/>
        </w:rPr>
        <w:t xml:space="preserve"> </w:t>
      </w:r>
      <w:r w:rsidR="00283DEF">
        <w:t>are legislative instruments made under the AC Act.</w:t>
      </w:r>
      <w:r w:rsidR="00674A4A">
        <w:t xml:space="preserve"> </w:t>
      </w:r>
      <w:r w:rsidR="00283DEF">
        <w:t>Section 54-1 of the AC Act requires aged care providers to provide care and services in accordance with the UR and QC Principles.</w:t>
      </w:r>
      <w:r w:rsidR="006A3CA8">
        <w:rPr>
          <w:rStyle w:val="FootnoteReference"/>
        </w:rPr>
        <w:footnoteReference w:id="1"/>
      </w:r>
      <w:r w:rsidR="00346DC4">
        <w:t xml:space="preserve"> </w:t>
      </w:r>
    </w:p>
    <w:p w:rsidR="00455F0D" w:rsidRPr="005B4827" w:rsidRDefault="005B4827" w:rsidP="004765BE">
      <w:pPr>
        <w:autoSpaceDE w:val="0"/>
        <w:autoSpaceDN w:val="0"/>
        <w:adjustRightInd w:val="0"/>
        <w:spacing w:beforeLines="120" w:afterLines="120"/>
        <w:rPr>
          <w:b/>
          <w:i/>
        </w:rPr>
      </w:pPr>
      <w:r>
        <w:rPr>
          <w:b/>
        </w:rPr>
        <w:t>2</w:t>
      </w:r>
      <w:r w:rsidRPr="005B4827">
        <w:rPr>
          <w:b/>
        </w:rPr>
        <w:t xml:space="preserve"> </w:t>
      </w:r>
      <w:r w:rsidRPr="005B4827">
        <w:rPr>
          <w:b/>
          <w:i/>
        </w:rPr>
        <w:t>Sexual rights</w:t>
      </w:r>
    </w:p>
    <w:p w:rsidR="001C18E1" w:rsidRDefault="006A3CA8" w:rsidP="004765BE">
      <w:pPr>
        <w:pStyle w:val="ListParagraph"/>
        <w:numPr>
          <w:ilvl w:val="0"/>
          <w:numId w:val="2"/>
        </w:numPr>
        <w:autoSpaceDE w:val="0"/>
        <w:autoSpaceDN w:val="0"/>
        <w:adjustRightInd w:val="0"/>
        <w:spacing w:beforeLines="120" w:afterLines="120"/>
        <w:contextualSpacing w:val="0"/>
      </w:pPr>
      <w:r>
        <w:t>E</w:t>
      </w:r>
      <w:r w:rsidR="002C0D49" w:rsidRPr="001C18E1">
        <w:t xml:space="preserve">lderly </w:t>
      </w:r>
      <w:r>
        <w:t xml:space="preserve">people </w:t>
      </w:r>
      <w:r w:rsidR="002C0D49" w:rsidRPr="001C18E1">
        <w:t>have sexual</w:t>
      </w:r>
      <w:r w:rsidR="00A845D0" w:rsidRPr="001C18E1">
        <w:t xml:space="preserve"> </w:t>
      </w:r>
      <w:r w:rsidR="002C0D49" w:rsidRPr="001C18E1">
        <w:t>needs.</w:t>
      </w:r>
      <w:r w:rsidR="002C0D49" w:rsidRPr="001C18E1">
        <w:rPr>
          <w:rStyle w:val="FootnoteReference"/>
        </w:rPr>
        <w:footnoteReference w:id="2"/>
      </w:r>
      <w:r w:rsidR="00B53DBB" w:rsidRPr="001C18E1">
        <w:t xml:space="preserve"> </w:t>
      </w:r>
      <w:r w:rsidR="00A845D0" w:rsidRPr="001C18E1">
        <w:t>Sexuality</w:t>
      </w:r>
      <w:r w:rsidR="002C0D49" w:rsidRPr="001C18E1">
        <w:t xml:space="preserve"> and intimacy are fundamentally important to a person’s life. The World Health Organisation </w:t>
      </w:r>
      <w:r w:rsidR="001E5741">
        <w:t>d</w:t>
      </w:r>
      <w:r w:rsidR="00F95391" w:rsidRPr="001C18E1">
        <w:t xml:space="preserve">escribed </w:t>
      </w:r>
      <w:r w:rsidR="00F95391" w:rsidRPr="001C18E1">
        <w:lastRenderedPageBreak/>
        <w:t>sexuality as</w:t>
      </w:r>
      <w:r w:rsidR="00F95391" w:rsidRPr="005B4827">
        <w:rPr>
          <w:color w:val="000000"/>
        </w:rPr>
        <w:t xml:space="preserve"> </w:t>
      </w:r>
      <w:r w:rsidR="00F95391" w:rsidRPr="001C18E1">
        <w:t xml:space="preserve">“a central aspect of being human throughout life </w:t>
      </w:r>
      <w:r w:rsidR="001E5741">
        <w:t>intimacy</w:t>
      </w:r>
      <w:r w:rsidR="00F95391" w:rsidRPr="001C18E1">
        <w:t>”</w:t>
      </w:r>
      <w:r w:rsidR="00F95391" w:rsidRPr="001C18E1">
        <w:rPr>
          <w:rStyle w:val="FootnoteReference"/>
        </w:rPr>
        <w:footnoteReference w:id="3"/>
      </w:r>
      <w:r w:rsidR="00B53DBB" w:rsidRPr="001C18E1">
        <w:t xml:space="preserve"> In the same repo</w:t>
      </w:r>
      <w:r w:rsidR="007848E9">
        <w:t xml:space="preserve">rt, sexual health was defined as requiring </w:t>
      </w:r>
      <w:r w:rsidR="007848E9" w:rsidRPr="001C18E1">
        <w:t>a positive and respectful approach to sexual relationships, and the possibility of having pleasurable and safe sexual experience</w:t>
      </w:r>
      <w:r w:rsidR="007848E9">
        <w:t xml:space="preserve">s, as well as </w:t>
      </w:r>
      <w:r w:rsidR="00B53DBB" w:rsidRPr="001C18E1">
        <w:t>the absence disease or dysfunction</w:t>
      </w:r>
      <w:r w:rsidR="007848E9">
        <w:t>.</w:t>
      </w:r>
      <w:r w:rsidR="001C18E1">
        <w:t xml:space="preserve"> </w:t>
      </w:r>
    </w:p>
    <w:p w:rsidR="005B4827" w:rsidRPr="005B4827" w:rsidRDefault="006A3CA8" w:rsidP="004765BE">
      <w:pPr>
        <w:autoSpaceDE w:val="0"/>
        <w:autoSpaceDN w:val="0"/>
        <w:adjustRightInd w:val="0"/>
        <w:spacing w:beforeLines="120" w:afterLines="120"/>
        <w:rPr>
          <w:b/>
          <w:i/>
        </w:rPr>
      </w:pPr>
      <w:r>
        <w:rPr>
          <w:b/>
        </w:rPr>
        <w:t>3</w:t>
      </w:r>
      <w:r w:rsidR="005B4827" w:rsidRPr="005B4827">
        <w:rPr>
          <w:b/>
        </w:rPr>
        <w:t xml:space="preserve"> </w:t>
      </w:r>
      <w:r w:rsidR="005B4827" w:rsidRPr="005B4827">
        <w:rPr>
          <w:b/>
          <w:i/>
        </w:rPr>
        <w:t xml:space="preserve">Elder </w:t>
      </w:r>
      <w:proofErr w:type="gramStart"/>
      <w:r w:rsidR="005B4827" w:rsidRPr="005B4827">
        <w:rPr>
          <w:b/>
          <w:i/>
        </w:rPr>
        <w:t>abuse</w:t>
      </w:r>
      <w:proofErr w:type="gramEnd"/>
    </w:p>
    <w:p w:rsidR="0041015A" w:rsidRDefault="0041015A" w:rsidP="004765BE">
      <w:pPr>
        <w:pStyle w:val="ListParagraph"/>
        <w:numPr>
          <w:ilvl w:val="0"/>
          <w:numId w:val="2"/>
        </w:numPr>
        <w:autoSpaceDE w:val="0"/>
        <w:autoSpaceDN w:val="0"/>
        <w:adjustRightInd w:val="0"/>
        <w:spacing w:beforeLines="120" w:afterLines="120"/>
        <w:contextualSpacing w:val="0"/>
      </w:pPr>
      <w:r>
        <w:t xml:space="preserve">As set out </w:t>
      </w:r>
      <w:r w:rsidR="001E5741">
        <w:t>by the ALRC</w:t>
      </w:r>
      <w:r w:rsidR="007848E9">
        <w:t>,</w:t>
      </w:r>
      <w:r>
        <w:t xml:space="preserve"> the World Health Organisations defin</w:t>
      </w:r>
      <w:r w:rsidR="001E5741">
        <w:t xml:space="preserve">ed </w:t>
      </w:r>
      <w:r>
        <w:t>elder abuse as</w:t>
      </w:r>
      <w:r w:rsidR="001E5741">
        <w:t>:</w:t>
      </w:r>
      <w:r w:rsidR="007848E9">
        <w:rPr>
          <w:rStyle w:val="FootnoteReference"/>
        </w:rPr>
        <w:footnoteReference w:id="4"/>
      </w:r>
    </w:p>
    <w:p w:rsidR="0041015A" w:rsidRPr="0041015A" w:rsidRDefault="0041015A" w:rsidP="004765BE">
      <w:pPr>
        <w:autoSpaceDE w:val="0"/>
        <w:autoSpaceDN w:val="0"/>
        <w:adjustRightInd w:val="0"/>
        <w:spacing w:beforeLines="120" w:afterLines="120"/>
        <w:ind w:left="1440"/>
      </w:pPr>
      <w:r w:rsidRPr="0041015A">
        <w:t>Elder abuse can be defined as ‘a single, or repeated act, or lack of appropriate action, occurring within any relationship where there is an expectation of trust which causes harm or distress to a</w:t>
      </w:r>
      <w:r w:rsidR="00C12092">
        <w:t>n older person’.</w:t>
      </w:r>
    </w:p>
    <w:p w:rsidR="0043737B" w:rsidRDefault="001C18E1" w:rsidP="004765BE">
      <w:pPr>
        <w:pStyle w:val="ListParagraph"/>
        <w:numPr>
          <w:ilvl w:val="0"/>
          <w:numId w:val="2"/>
        </w:numPr>
        <w:autoSpaceDE w:val="0"/>
        <w:autoSpaceDN w:val="0"/>
        <w:adjustRightInd w:val="0"/>
        <w:spacing w:beforeLines="120" w:afterLines="120"/>
        <w:contextualSpacing w:val="0"/>
      </w:pPr>
      <w:r>
        <w:t>Presently the</w:t>
      </w:r>
      <w:r w:rsidR="0043737B" w:rsidRPr="001C18E1">
        <w:t xml:space="preserve"> law </w:t>
      </w:r>
      <w:r>
        <w:t xml:space="preserve">fails to protect the </w:t>
      </w:r>
      <w:proofErr w:type="spellStart"/>
      <w:r>
        <w:t>elderly’s</w:t>
      </w:r>
      <w:proofErr w:type="spellEnd"/>
      <w:r>
        <w:t xml:space="preserve"> sexual rights whilst in aged care. </w:t>
      </w:r>
      <w:r w:rsidR="0043737B" w:rsidRPr="001C18E1">
        <w:t>Regardless of whether by intentional act or omission the failure to meet a basic need causes ha</w:t>
      </w:r>
      <w:r w:rsidR="007848E9">
        <w:t xml:space="preserve">rm and distress and is </w:t>
      </w:r>
      <w:r w:rsidR="005B4827">
        <w:t>abuse. This is because</w:t>
      </w:r>
      <w:r w:rsidR="0043737B" w:rsidRPr="001C18E1">
        <w:t xml:space="preserve"> </w:t>
      </w:r>
      <w:r w:rsidR="005B4827">
        <w:t>s</w:t>
      </w:r>
      <w:r w:rsidR="0043737B" w:rsidRPr="001C18E1">
        <w:t xml:space="preserve">exual </w:t>
      </w:r>
      <w:r w:rsidR="002C0D49" w:rsidRPr="001C18E1">
        <w:t>health is</w:t>
      </w:r>
      <w:r w:rsidR="0043737B" w:rsidRPr="001C18E1">
        <w:t xml:space="preserve"> </w:t>
      </w:r>
      <w:r w:rsidR="00455F0D">
        <w:t xml:space="preserve">fundamentally </w:t>
      </w:r>
      <w:r w:rsidR="0043737B" w:rsidRPr="001C18E1">
        <w:t xml:space="preserve">linked to </w:t>
      </w:r>
      <w:r w:rsidR="002C0D49" w:rsidRPr="001C18E1">
        <w:t>the</w:t>
      </w:r>
      <w:r w:rsidR="00674A4A">
        <w:t xml:space="preserve"> </w:t>
      </w:r>
      <w:r w:rsidR="007848E9">
        <w:t>physical</w:t>
      </w:r>
      <w:r w:rsidR="00674A4A">
        <w:t xml:space="preserve"> and</w:t>
      </w:r>
      <w:r w:rsidR="002C0D49" w:rsidRPr="001C18E1">
        <w:t xml:space="preserve"> </w:t>
      </w:r>
      <w:r w:rsidR="0043737B" w:rsidRPr="001C18E1">
        <w:t xml:space="preserve">mental health </w:t>
      </w:r>
      <w:r w:rsidR="005B4827">
        <w:t xml:space="preserve">of all </w:t>
      </w:r>
      <w:r w:rsidR="002C0D49" w:rsidRPr="001C18E1">
        <w:t>people</w:t>
      </w:r>
      <w:r w:rsidR="005B4827">
        <w:t>, including the elderly</w:t>
      </w:r>
      <w:r w:rsidR="002C0D49" w:rsidRPr="001C18E1">
        <w:t>.</w:t>
      </w:r>
      <w:r w:rsidR="002C0D49" w:rsidRPr="001C18E1">
        <w:rPr>
          <w:rStyle w:val="FootnoteReference"/>
        </w:rPr>
        <w:footnoteReference w:id="5"/>
      </w:r>
      <w:r w:rsidR="0041015A">
        <w:t xml:space="preserve"> </w:t>
      </w:r>
      <w:r w:rsidR="007848E9">
        <w:t>N</w:t>
      </w:r>
      <w:r w:rsidR="0041015A">
        <w:t>egatively affected sexual activity is a strong predictor of depression.</w:t>
      </w:r>
      <w:r w:rsidR="0041015A">
        <w:rPr>
          <w:rStyle w:val="FootnoteReference"/>
        </w:rPr>
        <w:footnoteReference w:id="6"/>
      </w:r>
      <w:r w:rsidR="005B4827">
        <w:t xml:space="preserve"> </w:t>
      </w:r>
      <w:r w:rsidR="00455F0D">
        <w:t>It should</w:t>
      </w:r>
      <w:r w:rsidR="0043737B" w:rsidRPr="001C18E1">
        <w:t xml:space="preserve"> </w:t>
      </w:r>
      <w:r w:rsidR="00455F0D">
        <w:t xml:space="preserve">be </w:t>
      </w:r>
      <w:r w:rsidR="0043737B" w:rsidRPr="001C18E1">
        <w:t xml:space="preserve">given the utmost consideration when </w:t>
      </w:r>
      <w:r w:rsidR="0050419E">
        <w:t xml:space="preserve">determining adequacy of care </w:t>
      </w:r>
      <w:r w:rsidR="0043737B" w:rsidRPr="001C18E1">
        <w:t>for the elderly.</w:t>
      </w:r>
      <w:r w:rsidR="00ED4A2C">
        <w:t xml:space="preserve"> </w:t>
      </w:r>
    </w:p>
    <w:p w:rsidR="00735B6D" w:rsidRDefault="00735B6D" w:rsidP="004765BE">
      <w:pPr>
        <w:pStyle w:val="ListParagraph"/>
        <w:numPr>
          <w:ilvl w:val="0"/>
          <w:numId w:val="2"/>
        </w:numPr>
        <w:autoSpaceDE w:val="0"/>
        <w:autoSpaceDN w:val="0"/>
        <w:adjustRightInd w:val="0"/>
        <w:spacing w:beforeLines="120" w:afterLines="120"/>
        <w:contextualSpacing w:val="0"/>
      </w:pPr>
      <w:r>
        <w:t>Some examples of failures by aged care providers are:</w:t>
      </w:r>
    </w:p>
    <w:p w:rsidR="00735B6D" w:rsidRDefault="00735B6D" w:rsidP="004765BE">
      <w:pPr>
        <w:pStyle w:val="ListParagraph"/>
        <w:numPr>
          <w:ilvl w:val="1"/>
          <w:numId w:val="2"/>
        </w:numPr>
        <w:autoSpaceDE w:val="0"/>
        <w:autoSpaceDN w:val="0"/>
        <w:adjustRightInd w:val="0"/>
        <w:spacing w:beforeLines="120" w:afterLines="120"/>
        <w:contextualSpacing w:val="0"/>
      </w:pPr>
      <w:r>
        <w:t xml:space="preserve">separating </w:t>
      </w:r>
      <w:r w:rsidR="001E5741">
        <w:t>partnered</w:t>
      </w:r>
      <w:r>
        <w:t xml:space="preserve"> residents into different rooms or single beds;</w:t>
      </w:r>
    </w:p>
    <w:p w:rsidR="00735B6D" w:rsidRDefault="001E5741" w:rsidP="004765BE">
      <w:pPr>
        <w:pStyle w:val="ListParagraph"/>
        <w:numPr>
          <w:ilvl w:val="1"/>
          <w:numId w:val="2"/>
        </w:numPr>
        <w:autoSpaceDE w:val="0"/>
        <w:autoSpaceDN w:val="0"/>
        <w:adjustRightInd w:val="0"/>
        <w:spacing w:beforeLines="120" w:afterLines="120"/>
        <w:contextualSpacing w:val="0"/>
      </w:pPr>
      <w:proofErr w:type="gramStart"/>
      <w:r>
        <w:t>not</w:t>
      </w:r>
      <w:proofErr w:type="gramEnd"/>
      <w:r w:rsidR="00735B6D">
        <w:t xml:space="preserve"> </w:t>
      </w:r>
      <w:r>
        <w:t>respecting</w:t>
      </w:r>
      <w:r w:rsidR="00735B6D">
        <w:t xml:space="preserve"> privacy </w:t>
      </w:r>
      <w:proofErr w:type="spellStart"/>
      <w:r w:rsidR="00735B6D">
        <w:t>eg</w:t>
      </w:r>
      <w:proofErr w:type="spellEnd"/>
      <w:r w:rsidR="00735B6D">
        <w:t>. refusing to allow doors to be closed, ignoring ‘do not disturb’ signs; and</w:t>
      </w:r>
    </w:p>
    <w:p w:rsidR="00735B6D" w:rsidRDefault="00735B6D" w:rsidP="004765BE">
      <w:pPr>
        <w:pStyle w:val="ListParagraph"/>
        <w:numPr>
          <w:ilvl w:val="1"/>
          <w:numId w:val="2"/>
        </w:numPr>
        <w:autoSpaceDE w:val="0"/>
        <w:autoSpaceDN w:val="0"/>
        <w:adjustRightInd w:val="0"/>
        <w:spacing w:beforeLines="120" w:afterLines="120"/>
        <w:contextualSpacing w:val="0"/>
      </w:pPr>
      <w:proofErr w:type="gramStart"/>
      <w:r>
        <w:t>chemical</w:t>
      </w:r>
      <w:proofErr w:type="gramEnd"/>
      <w:r>
        <w:t xml:space="preserve"> depression of sexual activity.</w:t>
      </w:r>
      <w:r w:rsidRPr="00735B6D">
        <w:rPr>
          <w:rStyle w:val="FootnoteReference"/>
        </w:rPr>
        <w:t xml:space="preserve"> </w:t>
      </w:r>
      <w:r>
        <w:rPr>
          <w:rStyle w:val="FootnoteReference"/>
        </w:rPr>
        <w:footnoteReference w:id="7"/>
      </w:r>
    </w:p>
    <w:p w:rsidR="00201579" w:rsidRDefault="006A3CA8" w:rsidP="004765BE">
      <w:pPr>
        <w:pStyle w:val="ListParagraph"/>
        <w:numPr>
          <w:ilvl w:val="0"/>
          <w:numId w:val="2"/>
        </w:numPr>
        <w:autoSpaceDE w:val="0"/>
        <w:autoSpaceDN w:val="0"/>
        <w:adjustRightInd w:val="0"/>
        <w:spacing w:beforeLines="120" w:afterLines="120"/>
        <w:contextualSpacing w:val="0"/>
      </w:pPr>
      <w:r>
        <w:t>The majority of aged care providers do not have any institutional policy or information regarding sexual rights. Sexual rights are not being given institutional recognition.</w:t>
      </w:r>
      <w:r w:rsidR="001E5741">
        <w:rPr>
          <w:rStyle w:val="FootnoteReference"/>
        </w:rPr>
        <w:footnoteReference w:id="8"/>
      </w:r>
    </w:p>
    <w:p w:rsidR="00201579" w:rsidRDefault="00201579">
      <w:r>
        <w:br w:type="page"/>
      </w:r>
    </w:p>
    <w:p w:rsidR="007923BE" w:rsidRPr="007923BE" w:rsidRDefault="006A3CA8" w:rsidP="004765BE">
      <w:pPr>
        <w:shd w:val="clear" w:color="auto" w:fill="FFFFFF"/>
        <w:spacing w:beforeLines="120" w:afterLines="120"/>
        <w:rPr>
          <w:b/>
        </w:rPr>
      </w:pPr>
      <w:r>
        <w:rPr>
          <w:b/>
        </w:rPr>
        <w:lastRenderedPageBreak/>
        <w:t>4</w:t>
      </w:r>
      <w:r w:rsidR="007923BE" w:rsidRPr="007923BE">
        <w:rPr>
          <w:b/>
        </w:rPr>
        <w:t xml:space="preserve"> </w:t>
      </w:r>
      <w:proofErr w:type="gramStart"/>
      <w:r w:rsidR="007923BE" w:rsidRPr="007923BE">
        <w:rPr>
          <w:b/>
          <w:i/>
        </w:rPr>
        <w:t>Reform</w:t>
      </w:r>
      <w:proofErr w:type="gramEnd"/>
    </w:p>
    <w:p w:rsidR="002500EC" w:rsidRPr="001C18E1" w:rsidRDefault="007923BE" w:rsidP="004765BE">
      <w:pPr>
        <w:pStyle w:val="ListParagraph"/>
        <w:numPr>
          <w:ilvl w:val="0"/>
          <w:numId w:val="2"/>
        </w:numPr>
        <w:shd w:val="clear" w:color="auto" w:fill="FFFFFF"/>
        <w:spacing w:beforeLines="120" w:afterLines="120"/>
        <w:contextualSpacing w:val="0"/>
      </w:pPr>
      <w:r>
        <w:t xml:space="preserve">The </w:t>
      </w:r>
      <w:r w:rsidR="002500EC" w:rsidRPr="001C18E1">
        <w:t>ALRC</w:t>
      </w:r>
      <w:r>
        <w:t xml:space="preserve"> </w:t>
      </w:r>
      <w:r w:rsidR="002500EC" w:rsidRPr="001C18E1">
        <w:t xml:space="preserve">has </w:t>
      </w:r>
      <w:r w:rsidR="00C978A7" w:rsidRPr="001C18E1">
        <w:t>already</w:t>
      </w:r>
      <w:r w:rsidR="002500EC" w:rsidRPr="001C18E1">
        <w:t xml:space="preserve"> recognised the importance of protecting a person’s sexual rights in their investigation into Equality, Capacity and </w:t>
      </w:r>
      <w:r>
        <w:t>Disability</w:t>
      </w:r>
      <w:r w:rsidR="007848E9">
        <w:t>.</w:t>
      </w:r>
      <w:r>
        <w:t xml:space="preserve"> </w:t>
      </w:r>
      <w:r w:rsidR="007848E9">
        <w:t>T</w:t>
      </w:r>
      <w:r w:rsidR="002500EC" w:rsidRPr="001C18E1">
        <w:t>hese submissions draw on those comments.</w:t>
      </w:r>
      <w:r w:rsidR="002500EC" w:rsidRPr="001C18E1">
        <w:rPr>
          <w:rStyle w:val="FootnoteReference"/>
        </w:rPr>
        <w:footnoteReference w:id="9"/>
      </w:r>
      <w:r w:rsidR="002500EC" w:rsidRPr="001C18E1">
        <w:t xml:space="preserve"> However, in that report the Commission did not make recommendations </w:t>
      </w:r>
      <w:r w:rsidR="001E5741">
        <w:t>as</w:t>
      </w:r>
      <w:r w:rsidR="002500EC" w:rsidRPr="001C18E1">
        <w:t xml:space="preserve"> the issues arose at a state and territory level and therefore</w:t>
      </w:r>
      <w:r>
        <w:t xml:space="preserve"> were</w:t>
      </w:r>
      <w:r w:rsidR="002500EC" w:rsidRPr="001C18E1">
        <w:t xml:space="preserve"> out of the scope of the report</w:t>
      </w:r>
      <w:r w:rsidR="007848E9">
        <w:t>, and</w:t>
      </w:r>
      <w:r w:rsidR="002500EC" w:rsidRPr="001C18E1">
        <w:t xml:space="preserve"> the key to addressing them </w:t>
      </w:r>
      <w:r w:rsidR="007848E9">
        <w:t>was</w:t>
      </w:r>
      <w:r w:rsidR="002500EC" w:rsidRPr="001C18E1">
        <w:t xml:space="preserve"> outside th</w:t>
      </w:r>
      <w:r w:rsidR="001E5D8C">
        <w:t>e limits of the law and required</w:t>
      </w:r>
      <w:r w:rsidR="002500EC" w:rsidRPr="001C18E1">
        <w:t xml:space="preserve"> cultural change.</w:t>
      </w:r>
      <w:r w:rsidR="002500EC" w:rsidRPr="001C18E1">
        <w:rPr>
          <w:rStyle w:val="FootnoteReference"/>
        </w:rPr>
        <w:footnoteReference w:id="10"/>
      </w:r>
      <w:r w:rsidR="002500EC" w:rsidRPr="001C18E1">
        <w:t xml:space="preserve"> </w:t>
      </w:r>
    </w:p>
    <w:p w:rsidR="00CF2712" w:rsidRDefault="007848E9" w:rsidP="004765BE">
      <w:pPr>
        <w:pStyle w:val="ListParagraph"/>
        <w:numPr>
          <w:ilvl w:val="0"/>
          <w:numId w:val="2"/>
        </w:numPr>
        <w:autoSpaceDE w:val="0"/>
        <w:autoSpaceDN w:val="0"/>
        <w:adjustRightInd w:val="0"/>
        <w:spacing w:beforeLines="120" w:afterLines="120"/>
        <w:contextualSpacing w:val="0"/>
      </w:pPr>
      <w:r>
        <w:t>However, t</w:t>
      </w:r>
      <w:r w:rsidR="002500EC" w:rsidRPr="001C18E1">
        <w:t>he ALRC</w:t>
      </w:r>
      <w:r w:rsidR="008C6ABE">
        <w:t xml:space="preserve"> should make recommendations in this case</w:t>
      </w:r>
      <w:r w:rsidR="002500EC" w:rsidRPr="001C18E1">
        <w:t>. Firstly</w:t>
      </w:r>
      <w:r w:rsidR="00674A4A">
        <w:t>, the issue is within the responsibility of the ALRC</w:t>
      </w:r>
      <w:r w:rsidR="001E5D8C">
        <w:t>,</w:t>
      </w:r>
      <w:r w:rsidR="00674A4A">
        <w:t xml:space="preserve"> as </w:t>
      </w:r>
      <w:r w:rsidR="002500EC" w:rsidRPr="001C18E1">
        <w:t xml:space="preserve">Commonwealth law plays a significant role in aged care. </w:t>
      </w:r>
      <w:r w:rsidR="00674A4A">
        <w:t xml:space="preserve">Secondly, </w:t>
      </w:r>
      <w:r w:rsidR="00C17C33">
        <w:t xml:space="preserve">whilst </w:t>
      </w:r>
      <w:r w:rsidR="002500EC" w:rsidRPr="001C18E1">
        <w:t xml:space="preserve">countering </w:t>
      </w:r>
      <w:r w:rsidR="001E5741">
        <w:t>prejudicial attitudes does require</w:t>
      </w:r>
      <w:r w:rsidR="00C17C33">
        <w:t xml:space="preserve"> cultural </w:t>
      </w:r>
      <w:r w:rsidR="00CF2712">
        <w:t>change;</w:t>
      </w:r>
      <w:r w:rsidR="002500EC" w:rsidRPr="001C18E1">
        <w:t xml:space="preserve"> </w:t>
      </w:r>
      <w:r w:rsidR="00C17C33">
        <w:t>l</w:t>
      </w:r>
      <w:r w:rsidR="002500EC" w:rsidRPr="001C18E1">
        <w:t xml:space="preserve">egislative change </w:t>
      </w:r>
      <w:r w:rsidR="00C978A7" w:rsidRPr="001C18E1">
        <w:t>is a</w:t>
      </w:r>
      <w:r w:rsidR="00C17C33">
        <w:t>n important</w:t>
      </w:r>
      <w:r w:rsidR="00C978A7" w:rsidRPr="001C18E1">
        <w:t xml:space="preserve"> lever on </w:t>
      </w:r>
      <w:r w:rsidR="00674A4A">
        <w:t>society</w:t>
      </w:r>
      <w:r w:rsidR="00C17C33">
        <w:t xml:space="preserve"> and can be a step to engender</w:t>
      </w:r>
      <w:r>
        <w:t>ing</w:t>
      </w:r>
      <w:r w:rsidR="00C17C33">
        <w:t xml:space="preserve"> </w:t>
      </w:r>
      <w:r w:rsidR="001E5741">
        <w:t>cultural change</w:t>
      </w:r>
      <w:r w:rsidR="00674A4A">
        <w:t>.</w:t>
      </w:r>
      <w:r w:rsidR="00674A4A">
        <w:rPr>
          <w:rStyle w:val="FootnoteReference"/>
        </w:rPr>
        <w:footnoteReference w:id="11"/>
      </w:r>
      <w:r w:rsidR="00C17C33">
        <w:t xml:space="preserve"> </w:t>
      </w:r>
      <w:r w:rsidR="00CF2712">
        <w:t>In that respect it should be noted that t</w:t>
      </w:r>
      <w:r w:rsidR="007923BE" w:rsidRPr="001C18E1">
        <w:t>he legislation already works to protect two impo</w:t>
      </w:r>
      <w:r w:rsidR="00CF2712">
        <w:t xml:space="preserve">rtant aspects of sexual rights: </w:t>
      </w:r>
    </w:p>
    <w:p w:rsidR="00CF2712" w:rsidRDefault="007923BE" w:rsidP="004765BE">
      <w:pPr>
        <w:pStyle w:val="ListParagraph"/>
        <w:numPr>
          <w:ilvl w:val="1"/>
          <w:numId w:val="2"/>
        </w:numPr>
        <w:autoSpaceDE w:val="0"/>
        <w:autoSpaceDN w:val="0"/>
        <w:adjustRightInd w:val="0"/>
        <w:spacing w:beforeLines="120" w:afterLines="120"/>
        <w:contextualSpacing w:val="0"/>
      </w:pPr>
      <w:r w:rsidRPr="001C18E1">
        <w:t xml:space="preserve"> </w:t>
      </w:r>
      <w:r w:rsidR="001E5741">
        <w:t xml:space="preserve">reporting </w:t>
      </w:r>
      <w:r w:rsidRPr="001C18E1">
        <w:t>sexual assaults</w:t>
      </w:r>
      <w:r w:rsidR="00CF2712">
        <w:t>;</w:t>
      </w:r>
      <w:r w:rsidRPr="001C18E1">
        <w:rPr>
          <w:rStyle w:val="FootnoteReference"/>
        </w:rPr>
        <w:footnoteReference w:id="12"/>
      </w:r>
      <w:r w:rsidR="00CF2712">
        <w:t xml:space="preserve"> and</w:t>
      </w:r>
    </w:p>
    <w:p w:rsidR="007923BE" w:rsidRDefault="007923BE" w:rsidP="004765BE">
      <w:pPr>
        <w:pStyle w:val="ListParagraph"/>
        <w:numPr>
          <w:ilvl w:val="1"/>
          <w:numId w:val="2"/>
        </w:numPr>
        <w:autoSpaceDE w:val="0"/>
        <w:autoSpaceDN w:val="0"/>
        <w:adjustRightInd w:val="0"/>
        <w:spacing w:beforeLines="120" w:afterLines="120"/>
        <w:contextualSpacing w:val="0"/>
      </w:pPr>
      <w:r w:rsidRPr="001C18E1">
        <w:t xml:space="preserve"> </w:t>
      </w:r>
      <w:proofErr w:type="gramStart"/>
      <w:r w:rsidRPr="001C18E1">
        <w:t>the</w:t>
      </w:r>
      <w:proofErr w:type="gramEnd"/>
      <w:r w:rsidRPr="001C18E1">
        <w:t xml:space="preserve"> special needs of LGBTI people</w:t>
      </w:r>
      <w:r w:rsidR="001E5741">
        <w:t xml:space="preserve"> in aged care</w:t>
      </w:r>
      <w:r w:rsidRPr="001C18E1">
        <w:t>.</w:t>
      </w:r>
      <w:r w:rsidR="00CF2712">
        <w:rPr>
          <w:rStyle w:val="FootnoteReference"/>
        </w:rPr>
        <w:footnoteReference w:id="13"/>
      </w:r>
    </w:p>
    <w:p w:rsidR="00674A4A" w:rsidRDefault="00674A4A" w:rsidP="004765BE">
      <w:pPr>
        <w:pStyle w:val="ListParagraph"/>
        <w:numPr>
          <w:ilvl w:val="0"/>
          <w:numId w:val="2"/>
        </w:numPr>
        <w:autoSpaceDE w:val="0"/>
        <w:autoSpaceDN w:val="0"/>
        <w:adjustRightInd w:val="0"/>
        <w:spacing w:beforeLines="120" w:afterLines="120"/>
        <w:contextualSpacing w:val="0"/>
      </w:pPr>
      <w:r w:rsidRPr="001C18E1">
        <w:t>The ALRC should have serious regard to the following</w:t>
      </w:r>
      <w:r w:rsidR="00CF2712">
        <w:t xml:space="preserve"> government sources</w:t>
      </w:r>
      <w:r>
        <w:t xml:space="preserve"> as set out in the article </w:t>
      </w:r>
      <w:r>
        <w:rPr>
          <w:i/>
        </w:rPr>
        <w:t>Conflicting Agendas: The Politics of Sex in Aged Care</w:t>
      </w:r>
      <w:r>
        <w:rPr>
          <w:rStyle w:val="FootnoteReference"/>
          <w:i/>
        </w:rPr>
        <w:footnoteReference w:id="14"/>
      </w:r>
      <w:r w:rsidRPr="001C18E1">
        <w:t xml:space="preserve">: </w:t>
      </w:r>
    </w:p>
    <w:p w:rsidR="00CF2712" w:rsidRDefault="00CF2712" w:rsidP="004765BE">
      <w:pPr>
        <w:pStyle w:val="ListParagraph"/>
        <w:numPr>
          <w:ilvl w:val="1"/>
          <w:numId w:val="2"/>
        </w:numPr>
        <w:autoSpaceDE w:val="0"/>
        <w:autoSpaceDN w:val="0"/>
        <w:adjustRightInd w:val="0"/>
        <w:spacing w:beforeLines="120" w:afterLines="120"/>
        <w:contextualSpacing w:val="0"/>
      </w:pPr>
      <w:r>
        <w:t>1974-77: Royal Commission on Human Relationships in which</w:t>
      </w:r>
      <w:r w:rsidR="007848E9">
        <w:t xml:space="preserve"> </w:t>
      </w:r>
      <w:r>
        <w:t>former High Court Justice</w:t>
      </w:r>
      <w:r w:rsidR="007848E9">
        <w:t>,</w:t>
      </w:r>
      <w:r>
        <w:t xml:space="preserve"> Commissioner Evatt found that aged care </w:t>
      </w:r>
      <w:r w:rsidR="007848E9">
        <w:t xml:space="preserve"> providers </w:t>
      </w:r>
      <w:r>
        <w:t>“too often ignore [old people’s] sexual needs, even to the point of separating husbands and wives” recommending</w:t>
      </w:r>
      <w:r w:rsidR="007848E9">
        <w:t xml:space="preserve"> that</w:t>
      </w:r>
      <w:r>
        <w:t xml:space="preserve"> institutions provide information, rehabilitation and education in sexual matters;</w:t>
      </w:r>
      <w:r w:rsidR="007848E9">
        <w:t xml:space="preserve"> and</w:t>
      </w:r>
    </w:p>
    <w:p w:rsidR="00346DC4" w:rsidRDefault="00CF2712" w:rsidP="004765BE">
      <w:pPr>
        <w:pStyle w:val="ListParagraph"/>
        <w:numPr>
          <w:ilvl w:val="1"/>
          <w:numId w:val="2"/>
        </w:numPr>
        <w:autoSpaceDE w:val="0"/>
        <w:autoSpaceDN w:val="0"/>
        <w:adjustRightInd w:val="0"/>
        <w:spacing w:beforeLines="120" w:afterLines="120"/>
        <w:contextualSpacing w:val="0"/>
      </w:pPr>
      <w:r>
        <w:t>1982-87: Residents’ rights which found that partnered residents in aged care had the right to have their sexual needs ac</w:t>
      </w:r>
      <w:r w:rsidR="007848E9">
        <w:t>cepted and treated with respect.</w:t>
      </w:r>
    </w:p>
    <w:p w:rsidR="00F0746E" w:rsidRDefault="00E326FF" w:rsidP="004765BE">
      <w:pPr>
        <w:pStyle w:val="ListParagraph"/>
        <w:numPr>
          <w:ilvl w:val="0"/>
          <w:numId w:val="2"/>
        </w:numPr>
        <w:autoSpaceDE w:val="0"/>
        <w:autoSpaceDN w:val="0"/>
        <w:adjustRightInd w:val="0"/>
        <w:spacing w:beforeLines="120" w:afterLines="120"/>
        <w:contextualSpacing w:val="0"/>
      </w:pPr>
      <w:r>
        <w:t>Despite the findings of those</w:t>
      </w:r>
      <w:r w:rsidR="00F0746E">
        <w:t xml:space="preserve"> two commissions </w:t>
      </w:r>
      <w:r w:rsidR="001E5741">
        <w:t xml:space="preserve">there has been </w:t>
      </w:r>
      <w:r w:rsidR="00F0746E">
        <w:t xml:space="preserve">no substantial </w:t>
      </w:r>
      <w:r w:rsidR="001E5D8C">
        <w:t xml:space="preserve">improvement in </w:t>
      </w:r>
      <w:r w:rsidR="00F0746E">
        <w:t>regulatory protection</w:t>
      </w:r>
      <w:r w:rsidR="001E5741">
        <w:t xml:space="preserve"> of</w:t>
      </w:r>
      <w:r w:rsidR="00F0746E">
        <w:t xml:space="preserve"> sexual rights of</w:t>
      </w:r>
      <w:r w:rsidR="001E5741">
        <w:t xml:space="preserve"> the elderly</w:t>
      </w:r>
      <w:r w:rsidR="00F0746E">
        <w:t xml:space="preserve">: the </w:t>
      </w:r>
      <w:r w:rsidR="001E5D8C">
        <w:t>legal framework for aged care</w:t>
      </w:r>
      <w:r w:rsidR="00F0746E">
        <w:t xml:space="preserve"> </w:t>
      </w:r>
      <w:r w:rsidR="001E5D8C">
        <w:t>still fails</w:t>
      </w:r>
      <w:r w:rsidR="00F0746E">
        <w:t xml:space="preserve"> </w:t>
      </w:r>
      <w:r w:rsidR="001E5D8C">
        <w:t>to adequately protect</w:t>
      </w:r>
      <w:r w:rsidR="00F0746E">
        <w:t xml:space="preserve"> </w:t>
      </w:r>
      <w:r w:rsidR="001E5D8C">
        <w:t xml:space="preserve">the </w:t>
      </w:r>
      <w:r w:rsidR="00F0746E">
        <w:t xml:space="preserve">sexual rights of </w:t>
      </w:r>
      <w:r w:rsidR="00F07CE3">
        <w:t>aged care users</w:t>
      </w:r>
      <w:r w:rsidR="00F0746E">
        <w:t xml:space="preserve">. </w:t>
      </w:r>
    </w:p>
    <w:p w:rsidR="00E326FF" w:rsidRDefault="00E326FF" w:rsidP="004765BE">
      <w:pPr>
        <w:pStyle w:val="ListParagraph"/>
        <w:numPr>
          <w:ilvl w:val="0"/>
          <w:numId w:val="2"/>
        </w:numPr>
        <w:autoSpaceDE w:val="0"/>
        <w:autoSpaceDN w:val="0"/>
        <w:adjustRightInd w:val="0"/>
        <w:spacing w:beforeLines="120" w:afterLines="120"/>
        <w:contextualSpacing w:val="0"/>
      </w:pPr>
      <w:r>
        <w:lastRenderedPageBreak/>
        <w:t>The following recommendations should be considered:</w:t>
      </w:r>
    </w:p>
    <w:p w:rsidR="00E326FF" w:rsidRDefault="00E326FF" w:rsidP="004765BE">
      <w:pPr>
        <w:pStyle w:val="ListParagraph"/>
        <w:numPr>
          <w:ilvl w:val="1"/>
          <w:numId w:val="2"/>
        </w:numPr>
        <w:autoSpaceDE w:val="0"/>
        <w:autoSpaceDN w:val="0"/>
        <w:adjustRightInd w:val="0"/>
        <w:spacing w:beforeLines="120" w:afterLines="120"/>
        <w:contextualSpacing w:val="0"/>
      </w:pPr>
      <w:r>
        <w:t>t</w:t>
      </w:r>
      <w:r w:rsidR="00346DC4">
        <w:t>he AC Act and UR and QC Principles should be amended to expressly provide for care and considera</w:t>
      </w:r>
      <w:r w:rsidR="001E5741">
        <w:t xml:space="preserve">tion to be given to </w:t>
      </w:r>
      <w:r w:rsidR="00346DC4">
        <w:t>sexual rights</w:t>
      </w:r>
      <w:r>
        <w:t>;</w:t>
      </w:r>
      <w:r w:rsidR="006A3CA8">
        <w:rPr>
          <w:rStyle w:val="FootnoteReference"/>
        </w:rPr>
        <w:footnoteReference w:id="15"/>
      </w:r>
      <w:r w:rsidR="00346DC4">
        <w:t xml:space="preserve"> </w:t>
      </w:r>
      <w:r>
        <w:t>a</w:t>
      </w:r>
      <w:r w:rsidR="001E5741">
        <w:t>nd</w:t>
      </w:r>
    </w:p>
    <w:p w:rsidR="00346DC4" w:rsidRPr="001C18E1" w:rsidRDefault="001E5741" w:rsidP="004765BE">
      <w:pPr>
        <w:pStyle w:val="ListParagraph"/>
        <w:numPr>
          <w:ilvl w:val="1"/>
          <w:numId w:val="2"/>
        </w:numPr>
        <w:autoSpaceDE w:val="0"/>
        <w:autoSpaceDN w:val="0"/>
        <w:adjustRightInd w:val="0"/>
        <w:spacing w:beforeLines="120" w:afterLines="120"/>
        <w:contextualSpacing w:val="0"/>
      </w:pPr>
      <w:proofErr w:type="gramStart"/>
      <w:r>
        <w:t>government</w:t>
      </w:r>
      <w:proofErr w:type="gramEnd"/>
      <w:r>
        <w:t xml:space="preserve"> policy </w:t>
      </w:r>
      <w:r w:rsidR="00E326FF">
        <w:t>should promote</w:t>
      </w:r>
      <w:r w:rsidR="00346DC4">
        <w:t xml:space="preserve"> aged care providers having comprehensive </w:t>
      </w:r>
      <w:r w:rsidR="00E326FF">
        <w:t>in</w:t>
      </w:r>
      <w:r w:rsidR="00C12092">
        <w:t>stituti</w:t>
      </w:r>
      <w:r w:rsidR="00E326FF">
        <w:t xml:space="preserve">onal </w:t>
      </w:r>
      <w:r w:rsidR="00346DC4">
        <w:t>policies to promote and respect sexual rights.</w:t>
      </w:r>
      <w:r w:rsidR="00346DC4">
        <w:rPr>
          <w:rStyle w:val="FootnoteReference"/>
        </w:rPr>
        <w:footnoteReference w:id="16"/>
      </w:r>
    </w:p>
    <w:p w:rsidR="003D67F9" w:rsidRDefault="003D67F9">
      <w:r>
        <w:br w:type="page"/>
      </w:r>
    </w:p>
    <w:p w:rsidR="003D67F9" w:rsidRDefault="003D67F9" w:rsidP="003D67F9">
      <w:pPr>
        <w:pStyle w:val="FootnoteText"/>
        <w:spacing w:before="120" w:after="120"/>
        <w:jc w:val="center"/>
        <w:rPr>
          <w:b/>
          <w:sz w:val="24"/>
          <w:szCs w:val="24"/>
        </w:rPr>
      </w:pPr>
      <w:r w:rsidRPr="00E57DB2">
        <w:rPr>
          <w:b/>
          <w:sz w:val="30"/>
          <w:szCs w:val="30"/>
        </w:rPr>
        <w:lastRenderedPageBreak/>
        <w:t>B</w:t>
      </w:r>
      <w:r w:rsidRPr="00E57DB2">
        <w:rPr>
          <w:b/>
          <w:sz w:val="24"/>
          <w:szCs w:val="24"/>
        </w:rPr>
        <w:t>IBLIOGRAPHY</w:t>
      </w:r>
    </w:p>
    <w:p w:rsidR="003D67F9" w:rsidRPr="00E57DB2" w:rsidRDefault="003D67F9" w:rsidP="003D67F9">
      <w:pPr>
        <w:pStyle w:val="FootnoteText"/>
        <w:spacing w:before="120" w:after="120"/>
        <w:jc w:val="center"/>
        <w:rPr>
          <w:b/>
          <w:i/>
          <w:sz w:val="24"/>
          <w:szCs w:val="24"/>
        </w:rPr>
      </w:pPr>
      <w:proofErr w:type="gramStart"/>
      <w:r>
        <w:rPr>
          <w:b/>
          <w:sz w:val="24"/>
          <w:szCs w:val="24"/>
        </w:rPr>
        <w:t>A</w:t>
      </w:r>
      <w:proofErr w:type="gramEnd"/>
      <w:r>
        <w:rPr>
          <w:b/>
          <w:sz w:val="24"/>
          <w:szCs w:val="24"/>
        </w:rPr>
        <w:t xml:space="preserve"> </w:t>
      </w:r>
      <w:r>
        <w:rPr>
          <w:b/>
          <w:i/>
          <w:sz w:val="24"/>
          <w:szCs w:val="24"/>
        </w:rPr>
        <w:t>Articles/Books/Reports</w:t>
      </w:r>
    </w:p>
    <w:p w:rsidR="003D67F9" w:rsidRPr="00E57DB2" w:rsidRDefault="003D67F9" w:rsidP="003D67F9">
      <w:pPr>
        <w:pStyle w:val="FootnoteText"/>
        <w:spacing w:before="120" w:after="120"/>
        <w:rPr>
          <w:sz w:val="24"/>
          <w:szCs w:val="24"/>
        </w:rPr>
      </w:pPr>
      <w:r w:rsidRPr="00E57DB2">
        <w:rPr>
          <w:sz w:val="24"/>
          <w:szCs w:val="24"/>
        </w:rPr>
        <w:t xml:space="preserve">Alison </w:t>
      </w:r>
      <w:proofErr w:type="spellStart"/>
      <w:r w:rsidRPr="00E57DB2">
        <w:rPr>
          <w:sz w:val="24"/>
          <w:szCs w:val="24"/>
        </w:rPr>
        <w:t>Rahn</w:t>
      </w:r>
      <w:proofErr w:type="spellEnd"/>
      <w:r w:rsidRPr="00E57DB2">
        <w:rPr>
          <w:sz w:val="24"/>
          <w:szCs w:val="24"/>
        </w:rPr>
        <w:t xml:space="preserve"> et al, ‘</w:t>
      </w:r>
      <w:r w:rsidRPr="00E57DB2">
        <w:rPr>
          <w:i/>
          <w:sz w:val="24"/>
          <w:szCs w:val="24"/>
        </w:rPr>
        <w:t>Conflicting agendas: the politics of sex in aged care</w:t>
      </w:r>
      <w:r w:rsidRPr="00E57DB2">
        <w:rPr>
          <w:sz w:val="24"/>
          <w:szCs w:val="24"/>
        </w:rPr>
        <w:t xml:space="preserve">’ 10 </w:t>
      </w:r>
      <w:r w:rsidRPr="00E57DB2">
        <w:rPr>
          <w:i/>
          <w:sz w:val="24"/>
          <w:szCs w:val="24"/>
        </w:rPr>
        <w:t xml:space="preserve">Elder Law Review </w:t>
      </w:r>
      <w:r w:rsidRPr="00E57DB2">
        <w:rPr>
          <w:sz w:val="24"/>
          <w:szCs w:val="24"/>
        </w:rPr>
        <w:t>1, 3 and 7</w:t>
      </w:r>
    </w:p>
    <w:p w:rsidR="003D67F9" w:rsidRPr="00E57DB2" w:rsidRDefault="003D67F9" w:rsidP="003D67F9">
      <w:pPr>
        <w:pStyle w:val="FootnoteText"/>
        <w:spacing w:before="120" w:after="120"/>
        <w:rPr>
          <w:sz w:val="24"/>
          <w:szCs w:val="24"/>
        </w:rPr>
      </w:pPr>
      <w:r w:rsidRPr="00E57DB2">
        <w:rPr>
          <w:sz w:val="24"/>
          <w:szCs w:val="24"/>
        </w:rPr>
        <w:t xml:space="preserve">Catherine Barrett, ‘Auditing organisational capacity to promote the sexual health of older people’ (2011) 7(1) </w:t>
      </w:r>
      <w:r w:rsidRPr="00E57DB2">
        <w:rPr>
          <w:i/>
          <w:sz w:val="24"/>
          <w:szCs w:val="24"/>
        </w:rPr>
        <w:t xml:space="preserve">Electronic Journal of Applied Psychology </w:t>
      </w:r>
      <w:r w:rsidRPr="00E57DB2">
        <w:rPr>
          <w:sz w:val="24"/>
          <w:szCs w:val="24"/>
        </w:rPr>
        <w:t>31</w:t>
      </w:r>
    </w:p>
    <w:p w:rsidR="003D67F9" w:rsidRDefault="003D67F9" w:rsidP="003D67F9">
      <w:pPr>
        <w:pStyle w:val="FootnoteText"/>
        <w:spacing w:before="120" w:after="120"/>
        <w:rPr>
          <w:sz w:val="24"/>
          <w:szCs w:val="24"/>
        </w:rPr>
      </w:pPr>
      <w:proofErr w:type="spellStart"/>
      <w:r w:rsidRPr="00E57DB2">
        <w:rPr>
          <w:sz w:val="24"/>
          <w:szCs w:val="24"/>
        </w:rPr>
        <w:t>Kenworthey</w:t>
      </w:r>
      <w:proofErr w:type="spellEnd"/>
      <w:r w:rsidRPr="00E57DB2">
        <w:rPr>
          <w:sz w:val="24"/>
          <w:szCs w:val="24"/>
        </w:rPr>
        <w:t xml:space="preserve"> Blitz and Janice Nadler, ‘Law, Moral Attitudes and </w:t>
      </w:r>
      <w:proofErr w:type="spellStart"/>
      <w:r w:rsidRPr="00E57DB2">
        <w:rPr>
          <w:sz w:val="24"/>
          <w:szCs w:val="24"/>
        </w:rPr>
        <w:t>Behavioral</w:t>
      </w:r>
      <w:proofErr w:type="spellEnd"/>
      <w:r w:rsidRPr="00E57DB2">
        <w:rPr>
          <w:sz w:val="24"/>
          <w:szCs w:val="24"/>
        </w:rPr>
        <w:t xml:space="preserve"> Change to </w:t>
      </w:r>
      <w:r w:rsidR="00E326FF" w:rsidRPr="00E57DB2">
        <w:rPr>
          <w:sz w:val="24"/>
          <w:szCs w:val="24"/>
        </w:rPr>
        <w:t>appear in</w:t>
      </w:r>
      <w:r w:rsidRPr="00E57DB2">
        <w:rPr>
          <w:sz w:val="24"/>
          <w:szCs w:val="24"/>
        </w:rPr>
        <w:t xml:space="preserve"> the Oxford Handbook of </w:t>
      </w:r>
      <w:proofErr w:type="spellStart"/>
      <w:r w:rsidRPr="00E57DB2">
        <w:rPr>
          <w:sz w:val="24"/>
          <w:szCs w:val="24"/>
        </w:rPr>
        <w:t>Behavioral</w:t>
      </w:r>
      <w:proofErr w:type="spellEnd"/>
      <w:r w:rsidRPr="00E57DB2">
        <w:rPr>
          <w:sz w:val="24"/>
          <w:szCs w:val="24"/>
        </w:rPr>
        <w:t xml:space="preserve"> Economics and the Law’ (Public law and Legal Theory Research Paper 13-25, </w:t>
      </w:r>
      <w:proofErr w:type="spellStart"/>
      <w:r w:rsidRPr="00E57DB2">
        <w:rPr>
          <w:sz w:val="24"/>
          <w:szCs w:val="24"/>
        </w:rPr>
        <w:t>Northwestern</w:t>
      </w:r>
      <w:proofErr w:type="spellEnd"/>
      <w:r w:rsidRPr="00E57DB2">
        <w:rPr>
          <w:sz w:val="24"/>
          <w:szCs w:val="24"/>
        </w:rPr>
        <w:t xml:space="preserve"> University School of Law, June 2013)</w:t>
      </w:r>
    </w:p>
    <w:p w:rsidR="003D67F9" w:rsidRPr="00E57DB2" w:rsidRDefault="003D67F9" w:rsidP="003D67F9">
      <w:pPr>
        <w:pStyle w:val="FootnoteText"/>
        <w:spacing w:before="120" w:after="120"/>
        <w:rPr>
          <w:sz w:val="24"/>
          <w:szCs w:val="24"/>
        </w:rPr>
      </w:pPr>
      <w:proofErr w:type="spellStart"/>
      <w:r w:rsidRPr="00E57DB2">
        <w:rPr>
          <w:sz w:val="24"/>
          <w:szCs w:val="24"/>
        </w:rPr>
        <w:t>Lynelle</w:t>
      </w:r>
      <w:proofErr w:type="spellEnd"/>
      <w:r w:rsidRPr="00E57DB2">
        <w:rPr>
          <w:sz w:val="24"/>
          <w:szCs w:val="24"/>
        </w:rPr>
        <w:t xml:space="preserve"> Briggs, </w:t>
      </w:r>
      <w:r w:rsidRPr="00E57DB2">
        <w:rPr>
          <w:i/>
          <w:sz w:val="24"/>
          <w:szCs w:val="24"/>
        </w:rPr>
        <w:t>Changing behaviour: A public policy perspective</w:t>
      </w:r>
      <w:r w:rsidRPr="00E57DB2">
        <w:rPr>
          <w:sz w:val="24"/>
          <w:szCs w:val="24"/>
        </w:rPr>
        <w:t xml:space="preserve"> (14 December 2015) Australian Public Service Commission &lt; http://www.apsc.gov.au/publications-and-media/archive/publications-archive/changing-behaviour&gt;</w:t>
      </w:r>
    </w:p>
    <w:p w:rsidR="003D67F9" w:rsidRPr="00E57DB2" w:rsidRDefault="003D67F9" w:rsidP="003D67F9">
      <w:pPr>
        <w:pStyle w:val="FootnoteText"/>
        <w:spacing w:before="120" w:after="120"/>
        <w:rPr>
          <w:sz w:val="24"/>
          <w:szCs w:val="24"/>
        </w:rPr>
      </w:pPr>
      <w:r w:rsidRPr="00E57DB2">
        <w:rPr>
          <w:sz w:val="24"/>
          <w:szCs w:val="24"/>
        </w:rPr>
        <w:t>Michael Bauer et al, ‘</w:t>
      </w:r>
      <w:proofErr w:type="gramStart"/>
      <w:r w:rsidRPr="00E57DB2">
        <w:rPr>
          <w:sz w:val="24"/>
          <w:szCs w:val="24"/>
        </w:rPr>
        <w:t>Catering</w:t>
      </w:r>
      <w:proofErr w:type="gramEnd"/>
      <w:r w:rsidRPr="00E57DB2">
        <w:rPr>
          <w:sz w:val="24"/>
          <w:szCs w:val="24"/>
        </w:rPr>
        <w:t xml:space="preserve"> to Love, Sex and Intimacy in Residential Aged Care: What Information is Provided to Consumers?’ (2009) 27(1) </w:t>
      </w:r>
      <w:r w:rsidRPr="00E57DB2">
        <w:rPr>
          <w:i/>
          <w:sz w:val="24"/>
          <w:szCs w:val="24"/>
        </w:rPr>
        <w:t xml:space="preserve">Sexuality and Disability </w:t>
      </w:r>
      <w:r w:rsidRPr="00E57DB2">
        <w:rPr>
          <w:sz w:val="24"/>
          <w:szCs w:val="24"/>
        </w:rPr>
        <w:t>3-9</w:t>
      </w:r>
    </w:p>
    <w:p w:rsidR="003D67F9" w:rsidRPr="00E57DB2" w:rsidRDefault="003D67F9" w:rsidP="003D67F9">
      <w:pPr>
        <w:pStyle w:val="FootnoteText"/>
        <w:spacing w:before="120" w:after="120"/>
        <w:rPr>
          <w:sz w:val="24"/>
          <w:szCs w:val="24"/>
        </w:rPr>
      </w:pPr>
      <w:r w:rsidRPr="00E57DB2">
        <w:rPr>
          <w:i/>
          <w:sz w:val="24"/>
          <w:szCs w:val="24"/>
        </w:rPr>
        <w:t>Old-age ‘tsar promotes sex</w:t>
      </w:r>
      <w:r w:rsidRPr="00E57DB2">
        <w:rPr>
          <w:sz w:val="24"/>
          <w:szCs w:val="24"/>
        </w:rPr>
        <w:t xml:space="preserve"> (13 September 2001) BBC News &lt; http://news.bbc.co.uk/2/hi/health/1541706.stm&gt;</w:t>
      </w:r>
    </w:p>
    <w:p w:rsidR="003D67F9" w:rsidRPr="00E57DB2" w:rsidRDefault="003D67F9" w:rsidP="003D67F9">
      <w:pPr>
        <w:pStyle w:val="FootnoteText"/>
        <w:spacing w:before="120" w:after="120"/>
        <w:rPr>
          <w:sz w:val="24"/>
          <w:szCs w:val="24"/>
        </w:rPr>
      </w:pPr>
      <w:r w:rsidRPr="00E57DB2">
        <w:rPr>
          <w:sz w:val="24"/>
          <w:szCs w:val="24"/>
        </w:rPr>
        <w:t xml:space="preserve">Samantha </w:t>
      </w:r>
      <w:proofErr w:type="spellStart"/>
      <w:r w:rsidRPr="00E57DB2">
        <w:rPr>
          <w:sz w:val="24"/>
          <w:szCs w:val="24"/>
        </w:rPr>
        <w:t>Selinger</w:t>
      </w:r>
      <w:proofErr w:type="spellEnd"/>
      <w:r w:rsidRPr="00E57DB2">
        <w:rPr>
          <w:sz w:val="24"/>
          <w:szCs w:val="24"/>
        </w:rPr>
        <w:t xml:space="preserve">-Morris, </w:t>
      </w:r>
      <w:r w:rsidRPr="00E57DB2">
        <w:rPr>
          <w:i/>
          <w:sz w:val="24"/>
          <w:szCs w:val="24"/>
        </w:rPr>
        <w:t>The seniors leading Australia’s latest sexual revolution</w:t>
      </w:r>
      <w:r w:rsidRPr="00E57DB2">
        <w:rPr>
          <w:sz w:val="24"/>
          <w:szCs w:val="24"/>
        </w:rPr>
        <w:t xml:space="preserve"> (2 August 2016) ABC News &lt; </w:t>
      </w:r>
      <w:hyperlink r:id="rId8" w:history="1">
        <w:r w:rsidRPr="00E57DB2">
          <w:rPr>
            <w:rStyle w:val="Hyperlink"/>
            <w:sz w:val="24"/>
            <w:szCs w:val="24"/>
          </w:rPr>
          <w:t>http://www.abc.net.au/news/2016-08-02/seniors-leading-australias-sexual-revolution/7681008</w:t>
        </w:r>
      </w:hyperlink>
      <w:r w:rsidRPr="00E57DB2">
        <w:rPr>
          <w:sz w:val="24"/>
          <w:szCs w:val="24"/>
        </w:rPr>
        <w:t>&gt;;</w:t>
      </w:r>
    </w:p>
    <w:p w:rsidR="003D67F9" w:rsidRPr="00E57DB2" w:rsidRDefault="003D67F9" w:rsidP="003D67F9">
      <w:pPr>
        <w:pStyle w:val="FootnoteText"/>
        <w:spacing w:before="120" w:after="120"/>
        <w:rPr>
          <w:sz w:val="24"/>
          <w:szCs w:val="24"/>
        </w:rPr>
      </w:pPr>
      <w:r w:rsidRPr="00E57DB2">
        <w:rPr>
          <w:sz w:val="24"/>
          <w:szCs w:val="24"/>
        </w:rPr>
        <w:t xml:space="preserve">Sharron </w:t>
      </w:r>
      <w:proofErr w:type="spellStart"/>
      <w:r w:rsidRPr="00E57DB2">
        <w:rPr>
          <w:sz w:val="24"/>
          <w:szCs w:val="24"/>
        </w:rPr>
        <w:t>Hinchcliff</w:t>
      </w:r>
      <w:proofErr w:type="spellEnd"/>
      <w:r w:rsidRPr="00E57DB2">
        <w:rPr>
          <w:sz w:val="24"/>
          <w:szCs w:val="24"/>
        </w:rPr>
        <w:t xml:space="preserve">, </w:t>
      </w:r>
      <w:r w:rsidRPr="00E57DB2">
        <w:rPr>
          <w:i/>
          <w:sz w:val="24"/>
          <w:szCs w:val="24"/>
        </w:rPr>
        <w:t>When it comes to older people and sex, doctors put their heads in the sand</w:t>
      </w:r>
      <w:r w:rsidRPr="00E57DB2">
        <w:rPr>
          <w:sz w:val="24"/>
          <w:szCs w:val="24"/>
        </w:rPr>
        <w:t xml:space="preserve"> (19 June 2015) The Conversation &lt; https://theconversation.com/when-it-comes-to-older-people-and-sex-doctors-put-their-heads-in-the-sand-43556&gt;  </w:t>
      </w:r>
    </w:p>
    <w:p w:rsidR="003D67F9" w:rsidRPr="00E57DB2" w:rsidRDefault="003D67F9" w:rsidP="003D67F9">
      <w:pPr>
        <w:pStyle w:val="FootnoteText"/>
        <w:spacing w:before="120" w:after="120"/>
        <w:rPr>
          <w:sz w:val="24"/>
          <w:szCs w:val="24"/>
        </w:rPr>
      </w:pPr>
      <w:proofErr w:type="spellStart"/>
      <w:proofErr w:type="gramStart"/>
      <w:r w:rsidRPr="00E57DB2">
        <w:rPr>
          <w:sz w:val="24"/>
          <w:szCs w:val="24"/>
        </w:rPr>
        <w:t>Winnie</w:t>
      </w:r>
      <w:proofErr w:type="spellEnd"/>
      <w:r w:rsidRPr="00E57DB2">
        <w:rPr>
          <w:sz w:val="24"/>
          <w:szCs w:val="24"/>
        </w:rPr>
        <w:t xml:space="preserve"> </w:t>
      </w:r>
      <w:proofErr w:type="spellStart"/>
      <w:r w:rsidRPr="00E57DB2">
        <w:rPr>
          <w:sz w:val="24"/>
          <w:szCs w:val="24"/>
        </w:rPr>
        <w:t>Hu</w:t>
      </w:r>
      <w:proofErr w:type="spellEnd"/>
      <w:r w:rsidRPr="00E57DB2">
        <w:rPr>
          <w:sz w:val="24"/>
          <w:szCs w:val="24"/>
        </w:rPr>
        <w:t>, ‘Too Old for Sex?</w:t>
      </w:r>
      <w:proofErr w:type="gramEnd"/>
      <w:r w:rsidRPr="00E57DB2">
        <w:rPr>
          <w:sz w:val="24"/>
          <w:szCs w:val="24"/>
        </w:rPr>
        <w:t xml:space="preserve"> Not at this </w:t>
      </w:r>
      <w:proofErr w:type="gramStart"/>
      <w:r w:rsidRPr="00E57DB2">
        <w:rPr>
          <w:sz w:val="24"/>
          <w:szCs w:val="24"/>
        </w:rPr>
        <w:t>Nursing</w:t>
      </w:r>
      <w:proofErr w:type="gramEnd"/>
      <w:r w:rsidRPr="00E57DB2">
        <w:rPr>
          <w:sz w:val="24"/>
          <w:szCs w:val="24"/>
        </w:rPr>
        <w:t xml:space="preserve"> Home’, </w:t>
      </w:r>
      <w:r w:rsidRPr="00E57DB2">
        <w:rPr>
          <w:i/>
          <w:sz w:val="24"/>
          <w:szCs w:val="24"/>
        </w:rPr>
        <w:t xml:space="preserve">The New York Times </w:t>
      </w:r>
      <w:r w:rsidRPr="00E57DB2">
        <w:rPr>
          <w:sz w:val="24"/>
          <w:szCs w:val="24"/>
        </w:rPr>
        <w:t>(online), 12 July 2016 &lt; http://www.nytimes.com/2016/07/13/nyregion/too-old-for-sex-not-at-this-nursing-home.html?_r=1&gt;</w:t>
      </w:r>
    </w:p>
    <w:p w:rsidR="003D67F9" w:rsidRPr="00E57DB2" w:rsidRDefault="003D67F9" w:rsidP="003D67F9">
      <w:pPr>
        <w:pStyle w:val="FootnoteText"/>
        <w:spacing w:before="120" w:after="120"/>
        <w:jc w:val="center"/>
        <w:rPr>
          <w:b/>
          <w:i/>
          <w:sz w:val="24"/>
          <w:szCs w:val="24"/>
        </w:rPr>
      </w:pPr>
      <w:r>
        <w:rPr>
          <w:b/>
          <w:sz w:val="24"/>
          <w:szCs w:val="24"/>
        </w:rPr>
        <w:t>B</w:t>
      </w:r>
      <w:r w:rsidRPr="00E57DB2">
        <w:rPr>
          <w:b/>
          <w:sz w:val="24"/>
          <w:szCs w:val="24"/>
        </w:rPr>
        <w:t xml:space="preserve"> </w:t>
      </w:r>
      <w:r w:rsidRPr="00E57DB2">
        <w:rPr>
          <w:b/>
          <w:i/>
          <w:sz w:val="24"/>
          <w:szCs w:val="24"/>
        </w:rPr>
        <w:t xml:space="preserve">Legislation </w:t>
      </w:r>
    </w:p>
    <w:p w:rsidR="003D67F9" w:rsidRDefault="003D67F9" w:rsidP="003D67F9">
      <w:pPr>
        <w:pStyle w:val="FootnoteText"/>
        <w:spacing w:before="120" w:after="120"/>
        <w:rPr>
          <w:sz w:val="24"/>
          <w:szCs w:val="24"/>
        </w:rPr>
      </w:pPr>
      <w:r w:rsidRPr="00E57DB2">
        <w:rPr>
          <w:i/>
          <w:sz w:val="24"/>
          <w:szCs w:val="24"/>
        </w:rPr>
        <w:t xml:space="preserve">Aged Care Act 1997 </w:t>
      </w:r>
      <w:r w:rsidRPr="00E57DB2">
        <w:rPr>
          <w:sz w:val="24"/>
          <w:szCs w:val="24"/>
        </w:rPr>
        <w:t>(</w:t>
      </w:r>
      <w:proofErr w:type="spellStart"/>
      <w:r w:rsidRPr="00E57DB2">
        <w:rPr>
          <w:sz w:val="24"/>
          <w:szCs w:val="24"/>
        </w:rPr>
        <w:t>Cth</w:t>
      </w:r>
      <w:proofErr w:type="spellEnd"/>
      <w:r w:rsidRPr="00E57DB2">
        <w:rPr>
          <w:sz w:val="24"/>
          <w:szCs w:val="24"/>
        </w:rPr>
        <w:t xml:space="preserve">) </w:t>
      </w:r>
    </w:p>
    <w:p w:rsidR="003D67F9" w:rsidRDefault="003D67F9" w:rsidP="003D67F9">
      <w:pPr>
        <w:pStyle w:val="FootnoteText"/>
        <w:spacing w:before="120" w:after="120"/>
        <w:rPr>
          <w:sz w:val="24"/>
          <w:szCs w:val="24"/>
        </w:rPr>
      </w:pPr>
      <w:r>
        <w:rPr>
          <w:i/>
          <w:sz w:val="24"/>
          <w:szCs w:val="24"/>
        </w:rPr>
        <w:t xml:space="preserve">User Rights Principles 2014 </w:t>
      </w:r>
      <w:r>
        <w:rPr>
          <w:sz w:val="24"/>
          <w:szCs w:val="24"/>
        </w:rPr>
        <w:t>(</w:t>
      </w:r>
      <w:proofErr w:type="spellStart"/>
      <w:r>
        <w:rPr>
          <w:sz w:val="24"/>
          <w:szCs w:val="24"/>
        </w:rPr>
        <w:t>Cth</w:t>
      </w:r>
      <w:proofErr w:type="spellEnd"/>
      <w:r>
        <w:rPr>
          <w:sz w:val="24"/>
          <w:szCs w:val="24"/>
        </w:rPr>
        <w:t>)</w:t>
      </w:r>
    </w:p>
    <w:p w:rsidR="003D67F9" w:rsidRDefault="003D67F9" w:rsidP="003D67F9">
      <w:pPr>
        <w:pStyle w:val="FootnoteText"/>
        <w:spacing w:before="120" w:after="120"/>
        <w:rPr>
          <w:sz w:val="24"/>
          <w:szCs w:val="24"/>
        </w:rPr>
      </w:pPr>
      <w:r>
        <w:rPr>
          <w:i/>
          <w:sz w:val="24"/>
          <w:szCs w:val="24"/>
        </w:rPr>
        <w:t xml:space="preserve">Quality of Care Principles 2014 </w:t>
      </w:r>
      <w:r>
        <w:rPr>
          <w:sz w:val="24"/>
          <w:szCs w:val="24"/>
        </w:rPr>
        <w:t>(</w:t>
      </w:r>
      <w:proofErr w:type="spellStart"/>
      <w:r>
        <w:rPr>
          <w:sz w:val="24"/>
          <w:szCs w:val="24"/>
        </w:rPr>
        <w:t>Cth</w:t>
      </w:r>
      <w:proofErr w:type="spellEnd"/>
      <w:r>
        <w:rPr>
          <w:sz w:val="24"/>
          <w:szCs w:val="24"/>
        </w:rPr>
        <w:t>)</w:t>
      </w:r>
    </w:p>
    <w:p w:rsidR="003D67F9" w:rsidRPr="00E57DB2" w:rsidRDefault="003D67F9" w:rsidP="003D67F9">
      <w:pPr>
        <w:pStyle w:val="FootnoteText"/>
        <w:spacing w:before="120" w:after="120"/>
        <w:jc w:val="center"/>
        <w:rPr>
          <w:b/>
          <w:i/>
          <w:sz w:val="24"/>
          <w:szCs w:val="24"/>
        </w:rPr>
      </w:pPr>
      <w:r>
        <w:rPr>
          <w:b/>
          <w:sz w:val="24"/>
          <w:szCs w:val="24"/>
        </w:rPr>
        <w:t>C</w:t>
      </w:r>
      <w:r w:rsidRPr="00E57DB2">
        <w:rPr>
          <w:b/>
          <w:sz w:val="24"/>
          <w:szCs w:val="24"/>
        </w:rPr>
        <w:t xml:space="preserve"> </w:t>
      </w:r>
      <w:r w:rsidRPr="00E57DB2">
        <w:rPr>
          <w:b/>
          <w:i/>
          <w:sz w:val="24"/>
          <w:szCs w:val="24"/>
        </w:rPr>
        <w:t>Other</w:t>
      </w:r>
    </w:p>
    <w:p w:rsidR="003D67F9" w:rsidRPr="00E57DB2" w:rsidRDefault="003D67F9" w:rsidP="003D67F9">
      <w:pPr>
        <w:pStyle w:val="FootnoteText"/>
        <w:spacing w:before="120" w:after="120"/>
        <w:rPr>
          <w:sz w:val="24"/>
          <w:szCs w:val="24"/>
        </w:rPr>
      </w:pPr>
      <w:r w:rsidRPr="00E57DB2">
        <w:rPr>
          <w:sz w:val="24"/>
          <w:szCs w:val="24"/>
        </w:rPr>
        <w:t>‘Defining sexual health: Report of a technical consultation on sexual health’ (Research Report, World Health Organisation</w:t>
      </w:r>
      <w:r>
        <w:rPr>
          <w:sz w:val="24"/>
          <w:szCs w:val="24"/>
        </w:rPr>
        <w:t xml:space="preserve">, 28-31 January 2002) </w:t>
      </w:r>
    </w:p>
    <w:p w:rsidR="003D67F9" w:rsidRPr="00E57DB2" w:rsidRDefault="003D67F9" w:rsidP="003D67F9">
      <w:pPr>
        <w:pStyle w:val="FootnoteText"/>
        <w:spacing w:before="120" w:after="120"/>
        <w:rPr>
          <w:sz w:val="24"/>
          <w:szCs w:val="24"/>
        </w:rPr>
      </w:pPr>
      <w:r w:rsidRPr="00E57DB2">
        <w:rPr>
          <w:sz w:val="24"/>
          <w:szCs w:val="24"/>
        </w:rPr>
        <w:t xml:space="preserve">Australian Law Reform Commission, </w:t>
      </w:r>
      <w:r w:rsidRPr="00E57DB2">
        <w:rPr>
          <w:i/>
          <w:sz w:val="24"/>
          <w:szCs w:val="24"/>
        </w:rPr>
        <w:t xml:space="preserve">Elder Abuse </w:t>
      </w:r>
      <w:r w:rsidRPr="00E57DB2">
        <w:rPr>
          <w:sz w:val="24"/>
          <w:szCs w:val="24"/>
        </w:rPr>
        <w:t>Issues Paper No 47 (2016)</w:t>
      </w:r>
    </w:p>
    <w:p w:rsidR="003D67F9" w:rsidRPr="00E57DB2" w:rsidRDefault="003D67F9" w:rsidP="003D67F9">
      <w:pPr>
        <w:pStyle w:val="FootnoteText"/>
        <w:spacing w:before="120" w:after="120"/>
        <w:rPr>
          <w:i/>
          <w:sz w:val="24"/>
          <w:szCs w:val="24"/>
        </w:rPr>
      </w:pPr>
      <w:r w:rsidRPr="00E57DB2">
        <w:rPr>
          <w:sz w:val="24"/>
          <w:szCs w:val="24"/>
        </w:rPr>
        <w:t xml:space="preserve">Australian Law Reform Commission, </w:t>
      </w:r>
      <w:r w:rsidRPr="00E57DB2">
        <w:rPr>
          <w:i/>
          <w:sz w:val="24"/>
          <w:szCs w:val="24"/>
        </w:rPr>
        <w:t xml:space="preserve">Equality, Capacity and </w:t>
      </w:r>
      <w:r w:rsidR="00E326FF" w:rsidRPr="00E57DB2">
        <w:rPr>
          <w:i/>
          <w:sz w:val="24"/>
          <w:szCs w:val="24"/>
        </w:rPr>
        <w:t>Disability</w:t>
      </w:r>
      <w:r w:rsidRPr="00E57DB2">
        <w:rPr>
          <w:i/>
          <w:sz w:val="24"/>
          <w:szCs w:val="24"/>
        </w:rPr>
        <w:t xml:space="preserve"> in Commonwealth Laws </w:t>
      </w:r>
      <w:r w:rsidRPr="00E57DB2">
        <w:rPr>
          <w:sz w:val="24"/>
          <w:szCs w:val="24"/>
        </w:rPr>
        <w:t>Report No 124 (2014)</w:t>
      </w:r>
      <w:r w:rsidRPr="00E57DB2">
        <w:rPr>
          <w:i/>
          <w:sz w:val="24"/>
          <w:szCs w:val="24"/>
        </w:rPr>
        <w:t xml:space="preserve"> </w:t>
      </w:r>
    </w:p>
    <w:p w:rsidR="003D67F9" w:rsidRDefault="003D67F9" w:rsidP="003D67F9">
      <w:pPr>
        <w:pStyle w:val="FootnoteText"/>
        <w:spacing w:before="120" w:after="120"/>
        <w:rPr>
          <w:sz w:val="24"/>
          <w:szCs w:val="24"/>
        </w:rPr>
      </w:pPr>
      <w:r w:rsidRPr="00E57DB2">
        <w:rPr>
          <w:sz w:val="24"/>
          <w:szCs w:val="24"/>
        </w:rPr>
        <w:t xml:space="preserve">Policies and Procedures concerning sexual expression at the Hebrew Home at Riverdale April 2013, Bauer, M., </w:t>
      </w:r>
      <w:proofErr w:type="spellStart"/>
      <w:r w:rsidRPr="00E57DB2">
        <w:rPr>
          <w:sz w:val="24"/>
          <w:szCs w:val="24"/>
        </w:rPr>
        <w:t>Fetherstonhaugh</w:t>
      </w:r>
      <w:proofErr w:type="spellEnd"/>
      <w:r w:rsidRPr="00E57DB2">
        <w:rPr>
          <w:sz w:val="24"/>
          <w:szCs w:val="24"/>
        </w:rPr>
        <w:t xml:space="preserve">, D., Nay, R., </w:t>
      </w:r>
      <w:proofErr w:type="spellStart"/>
      <w:r w:rsidRPr="00E57DB2">
        <w:rPr>
          <w:sz w:val="24"/>
          <w:szCs w:val="24"/>
        </w:rPr>
        <w:t>Tarzia</w:t>
      </w:r>
      <w:proofErr w:type="spellEnd"/>
      <w:r w:rsidRPr="00E57DB2">
        <w:rPr>
          <w:sz w:val="24"/>
          <w:szCs w:val="24"/>
        </w:rPr>
        <w:t>, L. &amp; Beattie, E (2013). Sexuality Assessment Tool (</w:t>
      </w:r>
      <w:proofErr w:type="spellStart"/>
      <w:r w:rsidRPr="00E57DB2">
        <w:rPr>
          <w:sz w:val="24"/>
          <w:szCs w:val="24"/>
        </w:rPr>
        <w:t>SexAT</w:t>
      </w:r>
      <w:proofErr w:type="spellEnd"/>
      <w:r w:rsidRPr="00E57DB2">
        <w:rPr>
          <w:sz w:val="24"/>
          <w:szCs w:val="24"/>
        </w:rPr>
        <w:t xml:space="preserve">) for residential aged care facilities </w:t>
      </w:r>
    </w:p>
    <w:p w:rsidR="003D67F9" w:rsidRPr="00E57DB2" w:rsidRDefault="003D67F9" w:rsidP="003D67F9">
      <w:pPr>
        <w:spacing w:before="120" w:after="120"/>
      </w:pPr>
    </w:p>
    <w:sectPr w:rsidR="003D67F9" w:rsidRPr="00E57DB2" w:rsidSect="00BF468B">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36C" w:rsidRDefault="006F436C" w:rsidP="002C0D49">
      <w:r>
        <w:separator/>
      </w:r>
    </w:p>
  </w:endnote>
  <w:endnote w:type="continuationSeparator" w:id="0">
    <w:p w:rsidR="006F436C" w:rsidRDefault="006F436C" w:rsidP="002C0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D1" w:rsidRDefault="000242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D1" w:rsidRDefault="000242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D1" w:rsidRDefault="000242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36C" w:rsidRDefault="006F436C" w:rsidP="002C0D49">
      <w:r>
        <w:separator/>
      </w:r>
    </w:p>
  </w:footnote>
  <w:footnote w:type="continuationSeparator" w:id="0">
    <w:p w:rsidR="006F436C" w:rsidRDefault="006F436C" w:rsidP="002C0D49">
      <w:r>
        <w:continuationSeparator/>
      </w:r>
    </w:p>
  </w:footnote>
  <w:footnote w:id="1">
    <w:p w:rsidR="006A3CA8" w:rsidRDefault="006A3CA8">
      <w:pPr>
        <w:pStyle w:val="FootnoteText"/>
      </w:pPr>
      <w:r>
        <w:rPr>
          <w:rStyle w:val="FootnoteReference"/>
        </w:rPr>
        <w:footnoteRef/>
      </w:r>
      <w:r>
        <w:t xml:space="preserve"> See </w:t>
      </w:r>
      <w:proofErr w:type="spellStart"/>
      <w:r w:rsidR="00F07CE3">
        <w:t>eg</w:t>
      </w:r>
      <w:proofErr w:type="spellEnd"/>
      <w:r w:rsidR="00F07CE3">
        <w:t xml:space="preserve">. </w:t>
      </w:r>
      <w:r>
        <w:t>QC Principles Sch.1</w:t>
      </w:r>
    </w:p>
  </w:footnote>
  <w:footnote w:id="2">
    <w:p w:rsidR="002C0D49" w:rsidRPr="00524888" w:rsidRDefault="002C0D49">
      <w:pPr>
        <w:pStyle w:val="FootnoteText"/>
      </w:pPr>
      <w:r>
        <w:rPr>
          <w:rStyle w:val="FootnoteReference"/>
        </w:rPr>
        <w:footnoteRef/>
      </w:r>
      <w:r>
        <w:t xml:space="preserve"> See </w:t>
      </w:r>
      <w:r w:rsidR="00F95391">
        <w:t xml:space="preserve">Samantha </w:t>
      </w:r>
      <w:proofErr w:type="spellStart"/>
      <w:r w:rsidR="00F95391">
        <w:t>Selinger</w:t>
      </w:r>
      <w:proofErr w:type="spellEnd"/>
      <w:r w:rsidR="00F95391">
        <w:t xml:space="preserve">-Morris, </w:t>
      </w:r>
      <w:r w:rsidR="00F95391">
        <w:rPr>
          <w:i/>
        </w:rPr>
        <w:t>The seniors leading Australia’s latest sexual revolution</w:t>
      </w:r>
      <w:r w:rsidR="00F95391">
        <w:t xml:space="preserve"> (2 August 2016) ABC News &lt;</w:t>
      </w:r>
      <w:r w:rsidR="00F95391" w:rsidRPr="00F95391">
        <w:t xml:space="preserve"> </w:t>
      </w:r>
      <w:hyperlink r:id="rId1" w:history="1">
        <w:r w:rsidR="00524888" w:rsidRPr="009B162C">
          <w:rPr>
            <w:rStyle w:val="Hyperlink"/>
          </w:rPr>
          <w:t>http://www.abc.net.au/news/2016-08-02/seniors-leading-australias-sexual-revolution/7681008</w:t>
        </w:r>
      </w:hyperlink>
      <w:r w:rsidR="00524888">
        <w:t xml:space="preserve">&gt;; Sharron </w:t>
      </w:r>
      <w:proofErr w:type="spellStart"/>
      <w:r w:rsidR="00524888">
        <w:t>Hinchcliff</w:t>
      </w:r>
      <w:proofErr w:type="spellEnd"/>
      <w:r w:rsidR="00524888">
        <w:t xml:space="preserve">, </w:t>
      </w:r>
      <w:r w:rsidR="00524888">
        <w:rPr>
          <w:i/>
        </w:rPr>
        <w:t>When it comes to older people and sex, doctors put their heads in the sand</w:t>
      </w:r>
      <w:r w:rsidR="00524888">
        <w:t xml:space="preserve"> (19 June 2015) The Conversation &lt;</w:t>
      </w:r>
      <w:r w:rsidR="00524888" w:rsidRPr="00524888">
        <w:t xml:space="preserve"> https://theconversation.com/when-it-comes-to-older-people-and-sex-doctors-put-their-heads-in-the-sand-43556</w:t>
      </w:r>
      <w:r w:rsidR="00F07CE3">
        <w:t xml:space="preserve">&gt; </w:t>
      </w:r>
      <w:r w:rsidR="00524888">
        <w:t xml:space="preserve"> and </w:t>
      </w:r>
      <w:proofErr w:type="spellStart"/>
      <w:r w:rsidR="00524888">
        <w:t>Winnie</w:t>
      </w:r>
      <w:proofErr w:type="spellEnd"/>
      <w:r w:rsidR="00524888">
        <w:t xml:space="preserve"> </w:t>
      </w:r>
      <w:proofErr w:type="spellStart"/>
      <w:r w:rsidR="00524888">
        <w:t>Hu</w:t>
      </w:r>
      <w:proofErr w:type="spellEnd"/>
      <w:r w:rsidR="00524888">
        <w:t>, ‘</w:t>
      </w:r>
      <w:r w:rsidR="00524888" w:rsidRPr="00524888">
        <w:t>Too Old for Sex? Not at this Nursing Home</w:t>
      </w:r>
      <w:r w:rsidR="00524888">
        <w:t xml:space="preserve">’, </w:t>
      </w:r>
      <w:r w:rsidR="00524888">
        <w:rPr>
          <w:i/>
        </w:rPr>
        <w:t xml:space="preserve">The New York Times </w:t>
      </w:r>
      <w:r w:rsidR="00524888">
        <w:t>(online), 12 July 2016 &lt;</w:t>
      </w:r>
      <w:r w:rsidR="00524888" w:rsidRPr="00524888">
        <w:t xml:space="preserve"> http://www.nytimes.com/2016/07/13/nyregion/too-old-for-sex-not-at-this-nursing-home.html?_r=1</w:t>
      </w:r>
      <w:r w:rsidR="00524888">
        <w:t>&gt;</w:t>
      </w:r>
    </w:p>
  </w:footnote>
  <w:footnote w:id="3">
    <w:p w:rsidR="00F95391" w:rsidRDefault="00F95391">
      <w:pPr>
        <w:pStyle w:val="FootnoteText"/>
      </w:pPr>
      <w:r>
        <w:rPr>
          <w:rStyle w:val="FootnoteReference"/>
        </w:rPr>
        <w:footnoteRef/>
      </w:r>
      <w:r>
        <w:t xml:space="preserve">‘Defining sexual health: Report of a technical consultation on sexual health’ (Research Report, World Health Organisation, 28-31 January 2002) 5 quoted in Catherine Barrett, ‘Auditing organisational capacity to promote the sexual health of older people’ (2011) 7(1) </w:t>
      </w:r>
      <w:r>
        <w:rPr>
          <w:i/>
        </w:rPr>
        <w:t xml:space="preserve">Electronic Journal of Applied Psychology </w:t>
      </w:r>
      <w:r>
        <w:t>31</w:t>
      </w:r>
    </w:p>
  </w:footnote>
  <w:footnote w:id="4">
    <w:p w:rsidR="007848E9" w:rsidRPr="007848E9" w:rsidRDefault="007848E9">
      <w:pPr>
        <w:pStyle w:val="FootnoteText"/>
      </w:pPr>
      <w:r>
        <w:rPr>
          <w:rStyle w:val="FootnoteReference"/>
        </w:rPr>
        <w:footnoteRef/>
      </w:r>
      <w:r>
        <w:t xml:space="preserve"> Australian Law Reform Commission, </w:t>
      </w:r>
      <w:r>
        <w:rPr>
          <w:i/>
        </w:rPr>
        <w:t xml:space="preserve">Elder Abuse </w:t>
      </w:r>
      <w:r>
        <w:t xml:space="preserve">Issues Paper No </w:t>
      </w:r>
      <w:r w:rsidRPr="007848E9">
        <w:t>47</w:t>
      </w:r>
      <w:r>
        <w:t xml:space="preserve"> (2016), [15]</w:t>
      </w:r>
    </w:p>
  </w:footnote>
  <w:footnote w:id="5">
    <w:p w:rsidR="002C0D49" w:rsidRPr="00674A4A" w:rsidRDefault="002C0D49">
      <w:pPr>
        <w:pStyle w:val="FootnoteText"/>
      </w:pPr>
      <w:r>
        <w:rPr>
          <w:rStyle w:val="FootnoteReference"/>
        </w:rPr>
        <w:footnoteRef/>
      </w:r>
      <w:r>
        <w:t xml:space="preserve"> Catherine Barrett, ‘Auditing organisational capacity to promote the sexual health of older people’ (2011) 7(1) </w:t>
      </w:r>
      <w:r>
        <w:rPr>
          <w:i/>
        </w:rPr>
        <w:t xml:space="preserve">Electronic Journal of Applied Psychology </w:t>
      </w:r>
      <w:r>
        <w:t>31, 31</w:t>
      </w:r>
      <w:r w:rsidR="00674A4A">
        <w:t xml:space="preserve">, see also </w:t>
      </w:r>
      <w:r w:rsidR="00674A4A">
        <w:rPr>
          <w:i/>
        </w:rPr>
        <w:t>Old-age ‘tsar promotes sex</w:t>
      </w:r>
      <w:r w:rsidR="00674A4A">
        <w:t xml:space="preserve"> (13 September 2001) BBC News &lt;</w:t>
      </w:r>
      <w:r w:rsidR="00674A4A" w:rsidRPr="00674A4A">
        <w:t xml:space="preserve"> http://news.bbc.co.uk/2/hi/health/1541706.stm</w:t>
      </w:r>
      <w:r w:rsidR="00674A4A">
        <w:t>&gt;</w:t>
      </w:r>
    </w:p>
  </w:footnote>
  <w:footnote w:id="6">
    <w:p w:rsidR="0041015A" w:rsidRDefault="0041015A">
      <w:pPr>
        <w:pStyle w:val="FootnoteText"/>
      </w:pPr>
      <w:r>
        <w:rPr>
          <w:rStyle w:val="FootnoteReference"/>
        </w:rPr>
        <w:footnoteRef/>
      </w:r>
      <w:r w:rsidR="00E326FF">
        <w:t xml:space="preserve"> </w:t>
      </w:r>
      <w:proofErr w:type="gramStart"/>
      <w:r w:rsidR="00E326FF">
        <w:t xml:space="preserve">Ibid, </w:t>
      </w:r>
      <w:r>
        <w:t>32.</w:t>
      </w:r>
      <w:proofErr w:type="gramEnd"/>
    </w:p>
  </w:footnote>
  <w:footnote w:id="7">
    <w:p w:rsidR="00735B6D" w:rsidRDefault="00735B6D" w:rsidP="00735B6D">
      <w:pPr>
        <w:pStyle w:val="FootnoteText"/>
      </w:pPr>
      <w:r>
        <w:rPr>
          <w:rStyle w:val="FootnoteReference"/>
        </w:rPr>
        <w:footnoteRef/>
      </w:r>
      <w:r>
        <w:t xml:space="preserve"> Alison </w:t>
      </w:r>
      <w:proofErr w:type="spellStart"/>
      <w:r>
        <w:t>Rahn</w:t>
      </w:r>
      <w:proofErr w:type="spellEnd"/>
      <w:r>
        <w:t xml:space="preserve"> et al, ‘</w:t>
      </w:r>
      <w:r>
        <w:rPr>
          <w:i/>
        </w:rPr>
        <w:t>Conflicting agendas: the politics of sex in aged care</w:t>
      </w:r>
      <w:r>
        <w:t xml:space="preserve">’ 10 </w:t>
      </w:r>
      <w:r>
        <w:rPr>
          <w:i/>
        </w:rPr>
        <w:t xml:space="preserve">Elder Law Review </w:t>
      </w:r>
      <w:r>
        <w:t>1, 3 and 7</w:t>
      </w:r>
    </w:p>
  </w:footnote>
  <w:footnote w:id="8">
    <w:p w:rsidR="001E5741" w:rsidRPr="001E5741" w:rsidRDefault="001E5741">
      <w:pPr>
        <w:pStyle w:val="FootnoteText"/>
      </w:pPr>
      <w:r>
        <w:rPr>
          <w:rStyle w:val="FootnoteReference"/>
        </w:rPr>
        <w:footnoteRef/>
      </w:r>
      <w:r>
        <w:t xml:space="preserve"> Michael Bauer et al, ‘</w:t>
      </w:r>
      <w:proofErr w:type="gramStart"/>
      <w:r>
        <w:t>Catering</w:t>
      </w:r>
      <w:proofErr w:type="gramEnd"/>
      <w:r>
        <w:t xml:space="preserve"> to Love, Sex and Intimacy in Residential Aged Care: What Information is Provided to Consumers?’ (2009) 27(1) </w:t>
      </w:r>
      <w:r>
        <w:rPr>
          <w:i/>
        </w:rPr>
        <w:t xml:space="preserve">Sexuality and Disability </w:t>
      </w:r>
      <w:r>
        <w:t>3-9</w:t>
      </w:r>
    </w:p>
  </w:footnote>
  <w:footnote w:id="9">
    <w:p w:rsidR="002500EC" w:rsidRPr="002A7873" w:rsidRDefault="002500EC" w:rsidP="002500EC">
      <w:pPr>
        <w:pStyle w:val="FootnoteText"/>
        <w:rPr>
          <w:i/>
        </w:rPr>
      </w:pPr>
      <w:r>
        <w:rPr>
          <w:rStyle w:val="FootnoteReference"/>
        </w:rPr>
        <w:footnoteRef/>
      </w:r>
      <w:r>
        <w:t xml:space="preserve"> Australian Law Reform Commission, </w:t>
      </w:r>
      <w:r>
        <w:rPr>
          <w:i/>
        </w:rPr>
        <w:t xml:space="preserve">Equality, Capacity and </w:t>
      </w:r>
      <w:r w:rsidR="00E326FF">
        <w:rPr>
          <w:i/>
        </w:rPr>
        <w:t>Disability</w:t>
      </w:r>
      <w:r>
        <w:rPr>
          <w:i/>
        </w:rPr>
        <w:t xml:space="preserve"> in Commonwealth Laws </w:t>
      </w:r>
      <w:r>
        <w:t>Report No 124 (2014), 11.47-11.49</w:t>
      </w:r>
      <w:r>
        <w:rPr>
          <w:i/>
        </w:rPr>
        <w:t xml:space="preserve"> </w:t>
      </w:r>
    </w:p>
  </w:footnote>
  <w:footnote w:id="10">
    <w:p w:rsidR="002500EC" w:rsidRDefault="002500EC" w:rsidP="002500EC">
      <w:pPr>
        <w:pStyle w:val="FootnoteText"/>
      </w:pPr>
      <w:r>
        <w:rPr>
          <w:rStyle w:val="FootnoteReference"/>
        </w:rPr>
        <w:footnoteRef/>
      </w:r>
      <w:r>
        <w:t xml:space="preserve"> Ibid</w:t>
      </w:r>
    </w:p>
  </w:footnote>
  <w:footnote w:id="11">
    <w:p w:rsidR="00674A4A" w:rsidRPr="00C17C33" w:rsidRDefault="00674A4A">
      <w:pPr>
        <w:pStyle w:val="FootnoteText"/>
      </w:pPr>
      <w:r>
        <w:rPr>
          <w:rStyle w:val="FootnoteReference"/>
        </w:rPr>
        <w:footnoteRef/>
      </w:r>
      <w:r>
        <w:t xml:space="preserve"> </w:t>
      </w:r>
      <w:proofErr w:type="spellStart"/>
      <w:r>
        <w:t>Kenworthey</w:t>
      </w:r>
      <w:proofErr w:type="spellEnd"/>
      <w:r>
        <w:t xml:space="preserve"> Blitz and Janice Nadler, ‘Law, Moral Attitudes and </w:t>
      </w:r>
      <w:proofErr w:type="spellStart"/>
      <w:r>
        <w:t>Behavioral</w:t>
      </w:r>
      <w:proofErr w:type="spellEnd"/>
      <w:r>
        <w:t xml:space="preserve"> Change</w:t>
      </w:r>
      <w:r w:rsidR="00C17C33">
        <w:t xml:space="preserve"> to appear  in the Oxford Handbook of </w:t>
      </w:r>
      <w:proofErr w:type="spellStart"/>
      <w:r w:rsidR="00C17C33">
        <w:t>Behavioral</w:t>
      </w:r>
      <w:proofErr w:type="spellEnd"/>
      <w:r w:rsidR="00C17C33">
        <w:t xml:space="preserve"> Economics and the Law</w:t>
      </w:r>
      <w:r>
        <w:t xml:space="preserve">’ </w:t>
      </w:r>
      <w:r w:rsidR="00C17C33">
        <w:t xml:space="preserve">(Public law and Legal Theory Research Paper 13-25, </w:t>
      </w:r>
      <w:proofErr w:type="spellStart"/>
      <w:r w:rsidR="00C17C33">
        <w:t>Northwestern</w:t>
      </w:r>
      <w:proofErr w:type="spellEnd"/>
      <w:r w:rsidR="00C17C33">
        <w:t xml:space="preserve"> University School of Law, June 2013), 1 and </w:t>
      </w:r>
      <w:proofErr w:type="spellStart"/>
      <w:r w:rsidR="00C17C33">
        <w:t>Lynelle</w:t>
      </w:r>
      <w:proofErr w:type="spellEnd"/>
      <w:r w:rsidR="00C17C33">
        <w:t xml:space="preserve"> Briggs, </w:t>
      </w:r>
      <w:r w:rsidR="00C17C33" w:rsidRPr="00C17C33">
        <w:rPr>
          <w:i/>
        </w:rPr>
        <w:t xml:space="preserve">Changing </w:t>
      </w:r>
      <w:r w:rsidR="00C17C33">
        <w:rPr>
          <w:i/>
        </w:rPr>
        <w:t>behaviour: A public policy perspective</w:t>
      </w:r>
      <w:r w:rsidR="00C17C33">
        <w:t xml:space="preserve"> (14 December 2015) Australian Public Service Commission &lt;</w:t>
      </w:r>
      <w:r w:rsidR="00C17C33" w:rsidRPr="00C17C33">
        <w:t xml:space="preserve"> http://www.apsc.gov.au/publications-and-media/archive/publications-archive/changing-behaviour</w:t>
      </w:r>
      <w:r w:rsidR="00C17C33">
        <w:t>&gt;</w:t>
      </w:r>
    </w:p>
  </w:footnote>
  <w:footnote w:id="12">
    <w:p w:rsidR="007923BE" w:rsidRPr="00C978A7" w:rsidRDefault="007923BE" w:rsidP="007923BE">
      <w:pPr>
        <w:pStyle w:val="FootnoteText"/>
      </w:pPr>
      <w:r>
        <w:rPr>
          <w:rStyle w:val="FootnoteReference"/>
        </w:rPr>
        <w:footnoteRef/>
      </w:r>
      <w:r>
        <w:t xml:space="preserve"> </w:t>
      </w:r>
      <w:r w:rsidR="003D67F9">
        <w:t>AC Act</w:t>
      </w:r>
      <w:r>
        <w:t xml:space="preserve"> Part 4.3</w:t>
      </w:r>
    </w:p>
  </w:footnote>
  <w:footnote w:id="13">
    <w:p w:rsidR="00CF2712" w:rsidRPr="00CF2712" w:rsidRDefault="00CF2712">
      <w:pPr>
        <w:pStyle w:val="FootnoteText"/>
        <w:rPr>
          <w:i/>
        </w:rPr>
      </w:pPr>
      <w:r>
        <w:rPr>
          <w:rStyle w:val="FootnoteReference"/>
        </w:rPr>
        <w:footnoteRef/>
      </w:r>
      <w:r>
        <w:t xml:space="preserve"> </w:t>
      </w:r>
      <w:r w:rsidR="00F07CE3">
        <w:t xml:space="preserve">Ibid </w:t>
      </w:r>
      <w:r>
        <w:t>s.11-3</w:t>
      </w:r>
    </w:p>
  </w:footnote>
  <w:footnote w:id="14">
    <w:p w:rsidR="00674A4A" w:rsidRPr="007923BE" w:rsidRDefault="00674A4A" w:rsidP="00674A4A">
      <w:pPr>
        <w:pStyle w:val="FootnoteText"/>
      </w:pPr>
      <w:r>
        <w:rPr>
          <w:rStyle w:val="FootnoteReference"/>
        </w:rPr>
        <w:footnoteRef/>
      </w:r>
      <w:r>
        <w:t xml:space="preserve"> </w:t>
      </w:r>
      <w:proofErr w:type="spellStart"/>
      <w:r w:rsidR="00F07CE3">
        <w:t>Rahn</w:t>
      </w:r>
      <w:proofErr w:type="spellEnd"/>
      <w:r w:rsidR="00F07CE3">
        <w:t xml:space="preserve"> et al, above n 7, 8-11</w:t>
      </w:r>
    </w:p>
  </w:footnote>
  <w:footnote w:id="15">
    <w:p w:rsidR="006A3CA8" w:rsidRDefault="006A3CA8">
      <w:pPr>
        <w:pStyle w:val="FootnoteText"/>
      </w:pPr>
      <w:r>
        <w:rPr>
          <w:rStyle w:val="FootnoteReference"/>
        </w:rPr>
        <w:footnoteRef/>
      </w:r>
      <w:r w:rsidR="00F07CE3">
        <w:t xml:space="preserve"> See </w:t>
      </w:r>
      <w:proofErr w:type="spellStart"/>
      <w:r w:rsidR="00F07CE3">
        <w:t>Rahn</w:t>
      </w:r>
      <w:proofErr w:type="spellEnd"/>
      <w:r w:rsidR="00F07CE3">
        <w:t xml:space="preserve"> et al, above n7</w:t>
      </w:r>
      <w:r>
        <w:t xml:space="preserve"> 21</w:t>
      </w:r>
    </w:p>
  </w:footnote>
  <w:footnote w:id="16">
    <w:p w:rsidR="006A3CA8" w:rsidRPr="00674A4A" w:rsidRDefault="00346DC4" w:rsidP="006A3CA8">
      <w:pPr>
        <w:pStyle w:val="FootnoteText"/>
      </w:pPr>
      <w:r>
        <w:rPr>
          <w:rStyle w:val="FootnoteReference"/>
        </w:rPr>
        <w:footnoteRef/>
      </w:r>
      <w:r>
        <w:t xml:space="preserve"> </w:t>
      </w:r>
      <w:r w:rsidR="003D67F9">
        <w:t>S</w:t>
      </w:r>
      <w:r w:rsidRPr="00346DC4">
        <w:t xml:space="preserve">ee </w:t>
      </w:r>
      <w:proofErr w:type="spellStart"/>
      <w:r w:rsidRPr="00346DC4">
        <w:t>eg</w:t>
      </w:r>
      <w:proofErr w:type="spellEnd"/>
      <w:r w:rsidRPr="00346DC4">
        <w:t>. Policies and Procedures concerning sexual expression at the Hebrew Home at Riverdale April 20</w:t>
      </w:r>
      <w:r w:rsidR="006A3CA8">
        <w:t>13</w:t>
      </w:r>
      <w:r w:rsidRPr="00346DC4">
        <w:t xml:space="preserve">, Bauer, M., </w:t>
      </w:r>
      <w:proofErr w:type="spellStart"/>
      <w:r w:rsidRPr="00346DC4">
        <w:t>Fetherstonhaugh</w:t>
      </w:r>
      <w:proofErr w:type="spellEnd"/>
      <w:r w:rsidRPr="00346DC4">
        <w:t xml:space="preserve">, D., Nay, R., </w:t>
      </w:r>
      <w:proofErr w:type="spellStart"/>
      <w:r w:rsidRPr="00346DC4">
        <w:t>Tarzia</w:t>
      </w:r>
      <w:proofErr w:type="spellEnd"/>
      <w:r w:rsidRPr="00346DC4">
        <w:t>, L. &amp; Beattie, E (2013). Sexuality Assessment Tool (</w:t>
      </w:r>
      <w:proofErr w:type="spellStart"/>
      <w:r w:rsidRPr="00346DC4">
        <w:t>SexAT</w:t>
      </w:r>
      <w:proofErr w:type="spellEnd"/>
      <w:r w:rsidRPr="00346DC4">
        <w:t>) for residential aged care facilities</w:t>
      </w:r>
      <w:r w:rsidR="006A3CA8">
        <w:t xml:space="preserve"> and Barrett, </w:t>
      </w:r>
      <w:r w:rsidR="003D67F9">
        <w:t xml:space="preserve">as above n 5, </w:t>
      </w:r>
      <w:r w:rsidR="006A3CA8">
        <w:t>Appendix A</w:t>
      </w:r>
    </w:p>
    <w:p w:rsidR="00346DC4" w:rsidRDefault="00346DC4" w:rsidP="003D67F9">
      <w:pPr>
        <w:autoSpaceDE w:val="0"/>
        <w:autoSpaceDN w:val="0"/>
        <w:adjustRightInd w:val="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D1" w:rsidRDefault="000242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D1" w:rsidRDefault="000242D1">
    <w:pPr>
      <w:pStyle w:val="Header"/>
    </w:pPr>
    <w:r>
      <w:t xml:space="preserve">85. T </w:t>
    </w:r>
    <w:proofErr w:type="spellStart"/>
    <w:r>
      <w:t>Lettenmaier</w:t>
    </w:r>
    <w:proofErr w:type="spellEnd"/>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2D1" w:rsidRDefault="000242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124C1"/>
    <w:multiLevelType w:val="hybridMultilevel"/>
    <w:tmpl w:val="6A4E99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34A74D"/>
    <w:multiLevelType w:val="hybridMultilevel"/>
    <w:tmpl w:val="D230EE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2D0E6A"/>
    <w:rsid w:val="000033C3"/>
    <w:rsid w:val="00005246"/>
    <w:rsid w:val="000242D1"/>
    <w:rsid w:val="00081723"/>
    <w:rsid w:val="00143E3F"/>
    <w:rsid w:val="001C18E1"/>
    <w:rsid w:val="001E5741"/>
    <w:rsid w:val="001E5D8C"/>
    <w:rsid w:val="001F43CE"/>
    <w:rsid w:val="00201579"/>
    <w:rsid w:val="00216D44"/>
    <w:rsid w:val="002500EC"/>
    <w:rsid w:val="00271712"/>
    <w:rsid w:val="00283DEF"/>
    <w:rsid w:val="002A7873"/>
    <w:rsid w:val="002C0D49"/>
    <w:rsid w:val="002D0E6A"/>
    <w:rsid w:val="00346DC4"/>
    <w:rsid w:val="003D1F91"/>
    <w:rsid w:val="003D67F9"/>
    <w:rsid w:val="0041015A"/>
    <w:rsid w:val="00422F87"/>
    <w:rsid w:val="0043737B"/>
    <w:rsid w:val="00455F0D"/>
    <w:rsid w:val="004765BE"/>
    <w:rsid w:val="004971A0"/>
    <w:rsid w:val="004E627F"/>
    <w:rsid w:val="0050419E"/>
    <w:rsid w:val="00524888"/>
    <w:rsid w:val="005B4827"/>
    <w:rsid w:val="00637E3E"/>
    <w:rsid w:val="006430EB"/>
    <w:rsid w:val="00674A4A"/>
    <w:rsid w:val="006A3CA8"/>
    <w:rsid w:val="006F436C"/>
    <w:rsid w:val="00735B6D"/>
    <w:rsid w:val="007362A2"/>
    <w:rsid w:val="007848E9"/>
    <w:rsid w:val="007923BE"/>
    <w:rsid w:val="00803031"/>
    <w:rsid w:val="008A289B"/>
    <w:rsid w:val="008C6ABE"/>
    <w:rsid w:val="009E331F"/>
    <w:rsid w:val="00A4500D"/>
    <w:rsid w:val="00A845D0"/>
    <w:rsid w:val="00B53DBB"/>
    <w:rsid w:val="00BD530E"/>
    <w:rsid w:val="00BF468B"/>
    <w:rsid w:val="00BF74F7"/>
    <w:rsid w:val="00C12092"/>
    <w:rsid w:val="00C17C33"/>
    <w:rsid w:val="00C35567"/>
    <w:rsid w:val="00C978A7"/>
    <w:rsid w:val="00CD4B8A"/>
    <w:rsid w:val="00CF2712"/>
    <w:rsid w:val="00E326FF"/>
    <w:rsid w:val="00EB4954"/>
    <w:rsid w:val="00ED4A2C"/>
    <w:rsid w:val="00ED4DFC"/>
    <w:rsid w:val="00F0746E"/>
    <w:rsid w:val="00F07CE3"/>
    <w:rsid w:val="00F677BA"/>
    <w:rsid w:val="00F801CC"/>
    <w:rsid w:val="00F953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4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00D"/>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2C0D49"/>
    <w:rPr>
      <w:sz w:val="20"/>
      <w:szCs w:val="20"/>
    </w:rPr>
  </w:style>
  <w:style w:type="character" w:customStyle="1" w:styleId="FootnoteTextChar">
    <w:name w:val="Footnote Text Char"/>
    <w:basedOn w:val="DefaultParagraphFont"/>
    <w:link w:val="FootnoteText"/>
    <w:rsid w:val="002C0D49"/>
  </w:style>
  <w:style w:type="character" w:styleId="FootnoteReference">
    <w:name w:val="footnote reference"/>
    <w:basedOn w:val="DefaultParagraphFont"/>
    <w:rsid w:val="002C0D49"/>
    <w:rPr>
      <w:vertAlign w:val="superscript"/>
    </w:rPr>
  </w:style>
  <w:style w:type="character" w:styleId="Hyperlink">
    <w:name w:val="Hyperlink"/>
    <w:basedOn w:val="DefaultParagraphFont"/>
    <w:rsid w:val="00524888"/>
    <w:rPr>
      <w:color w:val="0000FF" w:themeColor="hyperlink"/>
      <w:u w:val="single"/>
    </w:rPr>
  </w:style>
  <w:style w:type="paragraph" w:styleId="ListParagraph">
    <w:name w:val="List Paragraph"/>
    <w:basedOn w:val="Normal"/>
    <w:uiPriority w:val="34"/>
    <w:qFormat/>
    <w:rsid w:val="005B4827"/>
    <w:pPr>
      <w:ind w:left="720"/>
      <w:contextualSpacing/>
    </w:pPr>
  </w:style>
  <w:style w:type="paragraph" w:styleId="NormalWeb">
    <w:name w:val="Normal (Web)"/>
    <w:basedOn w:val="Normal"/>
    <w:uiPriority w:val="99"/>
    <w:unhideWhenUsed/>
    <w:rsid w:val="0041015A"/>
    <w:pPr>
      <w:spacing w:before="100" w:beforeAutospacing="1" w:after="100" w:afterAutospacing="1"/>
    </w:pPr>
  </w:style>
  <w:style w:type="paragraph" w:styleId="BalloonText">
    <w:name w:val="Balloon Text"/>
    <w:basedOn w:val="Normal"/>
    <w:link w:val="BalloonTextChar"/>
    <w:rsid w:val="008C6ABE"/>
    <w:rPr>
      <w:rFonts w:ascii="Tahoma" w:hAnsi="Tahoma" w:cs="Tahoma"/>
      <w:sz w:val="16"/>
      <w:szCs w:val="16"/>
    </w:rPr>
  </w:style>
  <w:style w:type="character" w:customStyle="1" w:styleId="BalloonTextChar">
    <w:name w:val="Balloon Text Char"/>
    <w:basedOn w:val="DefaultParagraphFont"/>
    <w:link w:val="BalloonText"/>
    <w:rsid w:val="008C6ABE"/>
    <w:rPr>
      <w:rFonts w:ascii="Tahoma" w:hAnsi="Tahoma" w:cs="Tahoma"/>
      <w:sz w:val="16"/>
      <w:szCs w:val="16"/>
    </w:rPr>
  </w:style>
  <w:style w:type="character" w:customStyle="1" w:styleId="apple-converted-space">
    <w:name w:val="apple-converted-space"/>
    <w:basedOn w:val="DefaultParagraphFont"/>
    <w:rsid w:val="007848E9"/>
  </w:style>
  <w:style w:type="paragraph" w:styleId="Header">
    <w:name w:val="header"/>
    <w:basedOn w:val="Normal"/>
    <w:link w:val="HeaderChar"/>
    <w:rsid w:val="00422F87"/>
    <w:pPr>
      <w:tabs>
        <w:tab w:val="center" w:pos="4513"/>
        <w:tab w:val="right" w:pos="9026"/>
      </w:tabs>
    </w:pPr>
  </w:style>
  <w:style w:type="character" w:customStyle="1" w:styleId="HeaderChar">
    <w:name w:val="Header Char"/>
    <w:basedOn w:val="DefaultParagraphFont"/>
    <w:link w:val="Header"/>
    <w:rsid w:val="00422F87"/>
    <w:rPr>
      <w:sz w:val="24"/>
      <w:szCs w:val="24"/>
    </w:rPr>
  </w:style>
  <w:style w:type="paragraph" w:styleId="Footer">
    <w:name w:val="footer"/>
    <w:basedOn w:val="Normal"/>
    <w:link w:val="FooterChar"/>
    <w:rsid w:val="00422F87"/>
    <w:pPr>
      <w:tabs>
        <w:tab w:val="center" w:pos="4513"/>
        <w:tab w:val="right" w:pos="9026"/>
      </w:tabs>
    </w:pPr>
  </w:style>
  <w:style w:type="character" w:customStyle="1" w:styleId="FooterChar">
    <w:name w:val="Footer Char"/>
    <w:basedOn w:val="DefaultParagraphFont"/>
    <w:link w:val="Footer"/>
    <w:rsid w:val="00422F8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500D"/>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2C0D49"/>
    <w:rPr>
      <w:sz w:val="20"/>
      <w:szCs w:val="20"/>
    </w:rPr>
  </w:style>
  <w:style w:type="character" w:customStyle="1" w:styleId="FootnoteTextChar">
    <w:name w:val="Footnote Text Char"/>
    <w:basedOn w:val="DefaultParagraphFont"/>
    <w:link w:val="FootnoteText"/>
    <w:rsid w:val="002C0D49"/>
  </w:style>
  <w:style w:type="character" w:styleId="FootnoteReference">
    <w:name w:val="footnote reference"/>
    <w:basedOn w:val="DefaultParagraphFont"/>
    <w:rsid w:val="002C0D49"/>
    <w:rPr>
      <w:vertAlign w:val="superscript"/>
    </w:rPr>
  </w:style>
  <w:style w:type="character" w:styleId="Hyperlink">
    <w:name w:val="Hyperlink"/>
    <w:basedOn w:val="DefaultParagraphFont"/>
    <w:rsid w:val="00524888"/>
    <w:rPr>
      <w:color w:val="0000FF" w:themeColor="hyperlink"/>
      <w:u w:val="single"/>
    </w:rPr>
  </w:style>
  <w:style w:type="paragraph" w:styleId="ListParagraph">
    <w:name w:val="List Paragraph"/>
    <w:basedOn w:val="Normal"/>
    <w:uiPriority w:val="34"/>
    <w:qFormat/>
    <w:rsid w:val="005B4827"/>
    <w:pPr>
      <w:ind w:left="720"/>
      <w:contextualSpacing/>
    </w:pPr>
  </w:style>
  <w:style w:type="paragraph" w:styleId="NormalWeb">
    <w:name w:val="Normal (Web)"/>
    <w:basedOn w:val="Normal"/>
    <w:uiPriority w:val="99"/>
    <w:unhideWhenUsed/>
    <w:rsid w:val="0041015A"/>
    <w:pPr>
      <w:spacing w:before="100" w:beforeAutospacing="1" w:after="100" w:afterAutospacing="1"/>
    </w:pPr>
  </w:style>
  <w:style w:type="paragraph" w:styleId="BalloonText">
    <w:name w:val="Balloon Text"/>
    <w:basedOn w:val="Normal"/>
    <w:link w:val="BalloonTextChar"/>
    <w:rsid w:val="008C6ABE"/>
    <w:rPr>
      <w:rFonts w:ascii="Tahoma" w:hAnsi="Tahoma" w:cs="Tahoma"/>
      <w:sz w:val="16"/>
      <w:szCs w:val="16"/>
    </w:rPr>
  </w:style>
  <w:style w:type="character" w:customStyle="1" w:styleId="BalloonTextChar">
    <w:name w:val="Balloon Text Char"/>
    <w:basedOn w:val="DefaultParagraphFont"/>
    <w:link w:val="BalloonText"/>
    <w:rsid w:val="008C6ABE"/>
    <w:rPr>
      <w:rFonts w:ascii="Tahoma" w:hAnsi="Tahoma" w:cs="Tahoma"/>
      <w:sz w:val="16"/>
      <w:szCs w:val="16"/>
    </w:rPr>
  </w:style>
  <w:style w:type="character" w:customStyle="1" w:styleId="apple-converted-space">
    <w:name w:val="apple-converted-space"/>
    <w:basedOn w:val="DefaultParagraphFont"/>
    <w:rsid w:val="007848E9"/>
  </w:style>
  <w:style w:type="paragraph" w:styleId="Header">
    <w:name w:val="header"/>
    <w:basedOn w:val="Normal"/>
    <w:link w:val="HeaderChar"/>
    <w:rsid w:val="00422F87"/>
    <w:pPr>
      <w:tabs>
        <w:tab w:val="center" w:pos="4513"/>
        <w:tab w:val="right" w:pos="9026"/>
      </w:tabs>
    </w:pPr>
  </w:style>
  <w:style w:type="character" w:customStyle="1" w:styleId="HeaderChar">
    <w:name w:val="Header Char"/>
    <w:basedOn w:val="DefaultParagraphFont"/>
    <w:link w:val="Header"/>
    <w:rsid w:val="00422F87"/>
    <w:rPr>
      <w:sz w:val="24"/>
      <w:szCs w:val="24"/>
    </w:rPr>
  </w:style>
  <w:style w:type="paragraph" w:styleId="Footer">
    <w:name w:val="footer"/>
    <w:basedOn w:val="Normal"/>
    <w:link w:val="FooterChar"/>
    <w:rsid w:val="00422F87"/>
    <w:pPr>
      <w:tabs>
        <w:tab w:val="center" w:pos="4513"/>
        <w:tab w:val="right" w:pos="9026"/>
      </w:tabs>
    </w:pPr>
  </w:style>
  <w:style w:type="character" w:customStyle="1" w:styleId="FooterChar">
    <w:name w:val="Footer Char"/>
    <w:basedOn w:val="DefaultParagraphFont"/>
    <w:link w:val="Footer"/>
    <w:rsid w:val="00422F87"/>
    <w:rPr>
      <w:sz w:val="24"/>
      <w:szCs w:val="24"/>
    </w:rPr>
  </w:style>
</w:styles>
</file>

<file path=word/webSettings.xml><?xml version="1.0" encoding="utf-8"?>
<w:webSettings xmlns:r="http://schemas.openxmlformats.org/officeDocument/2006/relationships" xmlns:w="http://schemas.openxmlformats.org/wordprocessingml/2006/main">
  <w:divs>
    <w:div w:id="130483972">
      <w:bodyDiv w:val="1"/>
      <w:marLeft w:val="0"/>
      <w:marRight w:val="0"/>
      <w:marTop w:val="0"/>
      <w:marBottom w:val="0"/>
      <w:divBdr>
        <w:top w:val="none" w:sz="0" w:space="0" w:color="auto"/>
        <w:left w:val="none" w:sz="0" w:space="0" w:color="auto"/>
        <w:bottom w:val="none" w:sz="0" w:space="0" w:color="auto"/>
        <w:right w:val="none" w:sz="0" w:space="0" w:color="auto"/>
      </w:divBdr>
      <w:divsChild>
        <w:div w:id="1152597580">
          <w:blockQuote w:val="1"/>
          <w:marLeft w:val="0"/>
          <w:marRight w:val="0"/>
          <w:marTop w:val="0"/>
          <w:marBottom w:val="315"/>
          <w:divBdr>
            <w:top w:val="none" w:sz="0" w:space="0" w:color="auto"/>
            <w:left w:val="none" w:sz="0" w:space="18" w:color="auto"/>
            <w:bottom w:val="none" w:sz="0" w:space="0" w:color="auto"/>
            <w:right w:val="none" w:sz="0" w:space="0" w:color="auto"/>
          </w:divBdr>
        </w:div>
      </w:divsChild>
    </w:div>
    <w:div w:id="2002081389">
      <w:bodyDiv w:val="1"/>
      <w:marLeft w:val="0"/>
      <w:marRight w:val="0"/>
      <w:marTop w:val="0"/>
      <w:marBottom w:val="0"/>
      <w:divBdr>
        <w:top w:val="none" w:sz="0" w:space="0" w:color="auto"/>
        <w:left w:val="none" w:sz="0" w:space="0" w:color="auto"/>
        <w:bottom w:val="none" w:sz="0" w:space="0" w:color="auto"/>
        <w:right w:val="none" w:sz="0" w:space="0" w:color="auto"/>
      </w:divBdr>
      <w:divsChild>
        <w:div w:id="1312372700">
          <w:marLeft w:val="0"/>
          <w:marRight w:val="0"/>
          <w:marTop w:val="0"/>
          <w:marBottom w:val="0"/>
          <w:divBdr>
            <w:top w:val="none" w:sz="0" w:space="0" w:color="auto"/>
            <w:left w:val="none" w:sz="0" w:space="0" w:color="auto"/>
            <w:bottom w:val="none" w:sz="0" w:space="0" w:color="auto"/>
            <w:right w:val="none" w:sz="0" w:space="0" w:color="auto"/>
          </w:divBdr>
        </w:div>
        <w:div w:id="279186239">
          <w:marLeft w:val="0"/>
          <w:marRight w:val="0"/>
          <w:marTop w:val="0"/>
          <w:marBottom w:val="0"/>
          <w:divBdr>
            <w:top w:val="none" w:sz="0" w:space="0" w:color="auto"/>
            <w:left w:val="none" w:sz="0" w:space="0" w:color="auto"/>
            <w:bottom w:val="none" w:sz="0" w:space="0" w:color="auto"/>
            <w:right w:val="none" w:sz="0" w:space="0" w:color="auto"/>
          </w:divBdr>
        </w:div>
        <w:div w:id="64691993">
          <w:marLeft w:val="0"/>
          <w:marRight w:val="0"/>
          <w:marTop w:val="0"/>
          <w:marBottom w:val="0"/>
          <w:divBdr>
            <w:top w:val="none" w:sz="0" w:space="0" w:color="auto"/>
            <w:left w:val="none" w:sz="0" w:space="0" w:color="auto"/>
            <w:bottom w:val="none" w:sz="0" w:space="0" w:color="auto"/>
            <w:right w:val="none" w:sz="0" w:space="0" w:color="auto"/>
          </w:divBdr>
        </w:div>
        <w:div w:id="476336012">
          <w:marLeft w:val="0"/>
          <w:marRight w:val="0"/>
          <w:marTop w:val="0"/>
          <w:marBottom w:val="0"/>
          <w:divBdr>
            <w:top w:val="none" w:sz="0" w:space="0" w:color="auto"/>
            <w:left w:val="none" w:sz="0" w:space="0" w:color="auto"/>
            <w:bottom w:val="none" w:sz="0" w:space="0" w:color="auto"/>
            <w:right w:val="none" w:sz="0" w:space="0" w:color="auto"/>
          </w:divBdr>
        </w:div>
        <w:div w:id="1306546708">
          <w:marLeft w:val="0"/>
          <w:marRight w:val="0"/>
          <w:marTop w:val="0"/>
          <w:marBottom w:val="0"/>
          <w:divBdr>
            <w:top w:val="none" w:sz="0" w:space="0" w:color="auto"/>
            <w:left w:val="none" w:sz="0" w:space="0" w:color="auto"/>
            <w:bottom w:val="none" w:sz="0" w:space="0" w:color="auto"/>
            <w:right w:val="none" w:sz="0" w:space="0" w:color="auto"/>
          </w:divBdr>
        </w:div>
        <w:div w:id="1514954526">
          <w:marLeft w:val="0"/>
          <w:marRight w:val="0"/>
          <w:marTop w:val="0"/>
          <w:marBottom w:val="0"/>
          <w:divBdr>
            <w:top w:val="none" w:sz="0" w:space="0" w:color="auto"/>
            <w:left w:val="none" w:sz="0" w:space="0" w:color="auto"/>
            <w:bottom w:val="none" w:sz="0" w:space="0" w:color="auto"/>
            <w:right w:val="none" w:sz="0" w:space="0" w:color="auto"/>
          </w:divBdr>
        </w:div>
        <w:div w:id="695272387">
          <w:marLeft w:val="0"/>
          <w:marRight w:val="0"/>
          <w:marTop w:val="0"/>
          <w:marBottom w:val="0"/>
          <w:divBdr>
            <w:top w:val="none" w:sz="0" w:space="0" w:color="auto"/>
            <w:left w:val="none" w:sz="0" w:space="0" w:color="auto"/>
            <w:bottom w:val="none" w:sz="0" w:space="0" w:color="auto"/>
            <w:right w:val="none" w:sz="0" w:space="0" w:color="auto"/>
          </w:divBdr>
        </w:div>
        <w:div w:id="1359089116">
          <w:marLeft w:val="0"/>
          <w:marRight w:val="0"/>
          <w:marTop w:val="0"/>
          <w:marBottom w:val="0"/>
          <w:divBdr>
            <w:top w:val="none" w:sz="0" w:space="0" w:color="auto"/>
            <w:left w:val="none" w:sz="0" w:space="0" w:color="auto"/>
            <w:bottom w:val="none" w:sz="0" w:space="0" w:color="auto"/>
            <w:right w:val="none" w:sz="0" w:space="0" w:color="auto"/>
          </w:divBdr>
        </w:div>
        <w:div w:id="1026634053">
          <w:marLeft w:val="0"/>
          <w:marRight w:val="0"/>
          <w:marTop w:val="0"/>
          <w:marBottom w:val="0"/>
          <w:divBdr>
            <w:top w:val="none" w:sz="0" w:space="0" w:color="auto"/>
            <w:left w:val="none" w:sz="0" w:space="0" w:color="auto"/>
            <w:bottom w:val="none" w:sz="0" w:space="0" w:color="auto"/>
            <w:right w:val="none" w:sz="0" w:space="0" w:color="auto"/>
          </w:divBdr>
        </w:div>
        <w:div w:id="859776686">
          <w:marLeft w:val="0"/>
          <w:marRight w:val="0"/>
          <w:marTop w:val="0"/>
          <w:marBottom w:val="0"/>
          <w:divBdr>
            <w:top w:val="none" w:sz="0" w:space="0" w:color="auto"/>
            <w:left w:val="none" w:sz="0" w:space="0" w:color="auto"/>
            <w:bottom w:val="none" w:sz="0" w:space="0" w:color="auto"/>
            <w:right w:val="none" w:sz="0" w:space="0" w:color="auto"/>
          </w:divBdr>
        </w:div>
        <w:div w:id="1859082963">
          <w:marLeft w:val="0"/>
          <w:marRight w:val="0"/>
          <w:marTop w:val="0"/>
          <w:marBottom w:val="0"/>
          <w:divBdr>
            <w:top w:val="none" w:sz="0" w:space="0" w:color="auto"/>
            <w:left w:val="none" w:sz="0" w:space="0" w:color="auto"/>
            <w:bottom w:val="none" w:sz="0" w:space="0" w:color="auto"/>
            <w:right w:val="none" w:sz="0" w:space="0" w:color="auto"/>
          </w:divBdr>
        </w:div>
        <w:div w:id="1955214548">
          <w:marLeft w:val="0"/>
          <w:marRight w:val="0"/>
          <w:marTop w:val="0"/>
          <w:marBottom w:val="0"/>
          <w:divBdr>
            <w:top w:val="none" w:sz="0" w:space="0" w:color="auto"/>
            <w:left w:val="none" w:sz="0" w:space="0" w:color="auto"/>
            <w:bottom w:val="none" w:sz="0" w:space="0" w:color="auto"/>
            <w:right w:val="none" w:sz="0" w:space="0" w:color="auto"/>
          </w:divBdr>
        </w:div>
        <w:div w:id="1262957779">
          <w:marLeft w:val="0"/>
          <w:marRight w:val="0"/>
          <w:marTop w:val="0"/>
          <w:marBottom w:val="0"/>
          <w:divBdr>
            <w:top w:val="none" w:sz="0" w:space="0" w:color="auto"/>
            <w:left w:val="none" w:sz="0" w:space="0" w:color="auto"/>
            <w:bottom w:val="none" w:sz="0" w:space="0" w:color="auto"/>
            <w:right w:val="none" w:sz="0" w:space="0" w:color="auto"/>
          </w:divBdr>
        </w:div>
        <w:div w:id="306446503">
          <w:marLeft w:val="0"/>
          <w:marRight w:val="0"/>
          <w:marTop w:val="0"/>
          <w:marBottom w:val="0"/>
          <w:divBdr>
            <w:top w:val="none" w:sz="0" w:space="0" w:color="auto"/>
            <w:left w:val="none" w:sz="0" w:space="0" w:color="auto"/>
            <w:bottom w:val="none" w:sz="0" w:space="0" w:color="auto"/>
            <w:right w:val="none" w:sz="0" w:space="0" w:color="auto"/>
          </w:divBdr>
        </w:div>
        <w:div w:id="499470673">
          <w:marLeft w:val="0"/>
          <w:marRight w:val="0"/>
          <w:marTop w:val="0"/>
          <w:marBottom w:val="0"/>
          <w:divBdr>
            <w:top w:val="none" w:sz="0" w:space="0" w:color="auto"/>
            <w:left w:val="none" w:sz="0" w:space="0" w:color="auto"/>
            <w:bottom w:val="none" w:sz="0" w:space="0" w:color="auto"/>
            <w:right w:val="none" w:sz="0" w:space="0" w:color="auto"/>
          </w:divBdr>
        </w:div>
        <w:div w:id="76673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c.net.au/news/2016-08-02/seniors-leading-australias-sexual-revolution/768100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abc.net.au/news/2016-08-02/seniors-leading-australias-sexual-revolution/7681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FAC3B-D00E-49E3-9581-3DB58DF4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Courts</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Lettenmaier</dc:creator>
  <cp:lastModifiedBy>marie-claire.muir</cp:lastModifiedBy>
  <cp:revision>2</cp:revision>
  <cp:lastPrinted>2016-08-15T00:16:00Z</cp:lastPrinted>
  <dcterms:created xsi:type="dcterms:W3CDTF">2016-08-23T01:55:00Z</dcterms:created>
  <dcterms:modified xsi:type="dcterms:W3CDTF">2016-08-23T01:55:00Z</dcterms:modified>
</cp:coreProperties>
</file>