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A2" w:rsidRDefault="00E73AA2" w:rsidP="00E73AA2">
      <w:pPr>
        <w:spacing w:after="0"/>
        <w:jc w:val="right"/>
        <w:rPr>
          <w:lang w:val="en-GB"/>
        </w:rPr>
      </w:pPr>
    </w:p>
    <w:p w:rsidR="007F3CF7" w:rsidRDefault="007F3CF7" w:rsidP="007F3CF7">
      <w:pPr>
        <w:spacing w:after="0" w:line="240" w:lineRule="auto"/>
        <w:jc w:val="right"/>
        <w:rPr>
          <w:lang w:val="en-GB"/>
        </w:rPr>
      </w:pPr>
      <w:r>
        <w:rPr>
          <w:lang w:val="en-GB"/>
        </w:rPr>
        <w:t>14 August 2015</w:t>
      </w:r>
    </w:p>
    <w:p w:rsidR="00F3522D" w:rsidRDefault="00F3522D" w:rsidP="007F3CF7">
      <w:pPr>
        <w:spacing w:after="0" w:line="240" w:lineRule="auto"/>
        <w:rPr>
          <w:lang w:val="en-GB"/>
        </w:rPr>
      </w:pPr>
    </w:p>
    <w:p w:rsidR="00F3522D" w:rsidRDefault="00F3522D" w:rsidP="007F3CF7">
      <w:pPr>
        <w:spacing w:after="0" w:line="240" w:lineRule="auto"/>
        <w:rPr>
          <w:lang w:val="en-GB"/>
        </w:rPr>
      </w:pPr>
    </w:p>
    <w:p w:rsidR="00D90D15" w:rsidRDefault="004069CF" w:rsidP="007F3CF7">
      <w:pPr>
        <w:spacing w:after="0" w:line="240" w:lineRule="auto"/>
        <w:rPr>
          <w:lang w:val="en-GB"/>
        </w:rPr>
      </w:pPr>
      <w:r>
        <w:rPr>
          <w:lang w:val="en-GB"/>
        </w:rPr>
        <w:t>The Executive Director</w:t>
      </w:r>
    </w:p>
    <w:p w:rsidR="004069CF" w:rsidRDefault="004069CF" w:rsidP="007F3CF7">
      <w:pPr>
        <w:spacing w:after="0" w:line="240" w:lineRule="auto"/>
        <w:rPr>
          <w:lang w:val="en-GB"/>
        </w:rPr>
      </w:pPr>
      <w:r>
        <w:rPr>
          <w:lang w:val="en-GB"/>
        </w:rPr>
        <w:t>Australian Law Reform Commission</w:t>
      </w:r>
    </w:p>
    <w:p w:rsidR="004069CF" w:rsidRDefault="004069CF" w:rsidP="007F3CF7">
      <w:pPr>
        <w:spacing w:after="0" w:line="240" w:lineRule="auto"/>
        <w:rPr>
          <w:lang w:val="en-GB"/>
        </w:rPr>
      </w:pPr>
      <w:r>
        <w:rPr>
          <w:lang w:val="en-GB"/>
        </w:rPr>
        <w:t xml:space="preserve">Email:  </w:t>
      </w:r>
      <w:hyperlink r:id="rId7" w:history="1">
        <w:r w:rsidR="007F3CF7" w:rsidRPr="00295A24">
          <w:rPr>
            <w:rStyle w:val="Hyperlink"/>
            <w:lang w:val="en-GB"/>
          </w:rPr>
          <w:t>info@alrc.gov.au</w:t>
        </w:r>
      </w:hyperlink>
    </w:p>
    <w:p w:rsidR="007F3CF7" w:rsidRDefault="007F3CF7" w:rsidP="007F3CF7">
      <w:pPr>
        <w:spacing w:after="0" w:line="240" w:lineRule="auto"/>
        <w:rPr>
          <w:lang w:val="en-GB"/>
        </w:rPr>
      </w:pPr>
    </w:p>
    <w:p w:rsidR="00722EDD" w:rsidRDefault="00722EDD" w:rsidP="007F3CF7">
      <w:pPr>
        <w:spacing w:after="0" w:line="240" w:lineRule="auto"/>
        <w:rPr>
          <w:lang w:val="en-GB"/>
        </w:rPr>
      </w:pPr>
    </w:p>
    <w:p w:rsidR="007F3CF7" w:rsidRDefault="007F3CF7" w:rsidP="007F3CF7">
      <w:pPr>
        <w:spacing w:after="0" w:line="240" w:lineRule="auto"/>
        <w:rPr>
          <w:lang w:val="en-GB"/>
        </w:rPr>
      </w:pPr>
      <w:r>
        <w:rPr>
          <w:lang w:val="en-GB"/>
        </w:rPr>
        <w:t xml:space="preserve">Dear </w:t>
      </w:r>
      <w:r w:rsidR="00901270">
        <w:rPr>
          <w:lang w:val="en-GB"/>
        </w:rPr>
        <w:t xml:space="preserve">Executive </w:t>
      </w:r>
      <w:r>
        <w:rPr>
          <w:lang w:val="en-GB"/>
        </w:rPr>
        <w:t>Director</w:t>
      </w:r>
      <w:r w:rsidR="00722EDD">
        <w:rPr>
          <w:lang w:val="en-GB"/>
        </w:rPr>
        <w:t>,</w:t>
      </w:r>
    </w:p>
    <w:p w:rsidR="007F3CF7" w:rsidRDefault="007F3CF7" w:rsidP="007F3CF7">
      <w:pPr>
        <w:spacing w:after="0" w:line="240" w:lineRule="auto"/>
        <w:rPr>
          <w:lang w:val="en-GB"/>
        </w:rPr>
      </w:pPr>
    </w:p>
    <w:p w:rsidR="00901270" w:rsidRDefault="00901270" w:rsidP="007F3CF7">
      <w:pPr>
        <w:spacing w:after="0" w:line="240" w:lineRule="auto"/>
        <w:rPr>
          <w:b/>
          <w:lang w:val="en-GB"/>
        </w:rPr>
      </w:pPr>
    </w:p>
    <w:p w:rsidR="007F3CF7" w:rsidRPr="007F3CF7" w:rsidRDefault="007F3CF7" w:rsidP="00F3522D">
      <w:pPr>
        <w:spacing w:after="0" w:line="240" w:lineRule="auto"/>
        <w:rPr>
          <w:b/>
          <w:lang w:val="en-GB"/>
        </w:rPr>
      </w:pPr>
      <w:r w:rsidRPr="007F3CF7">
        <w:rPr>
          <w:b/>
          <w:lang w:val="en-GB"/>
        </w:rPr>
        <w:t>Traditional Rights and Freedoms –</w:t>
      </w:r>
    </w:p>
    <w:p w:rsidR="007F3CF7" w:rsidRPr="007F3CF7" w:rsidRDefault="007F3CF7" w:rsidP="00F3522D">
      <w:pPr>
        <w:spacing w:after="0" w:line="240" w:lineRule="auto"/>
        <w:rPr>
          <w:b/>
          <w:lang w:val="en-GB"/>
        </w:rPr>
      </w:pPr>
      <w:r w:rsidRPr="007F3CF7">
        <w:rPr>
          <w:b/>
          <w:lang w:val="en-GB"/>
        </w:rPr>
        <w:t>Encroachments by Commonwealth Laws (ALRC Interim Report 127)</w:t>
      </w:r>
    </w:p>
    <w:p w:rsidR="001B0B12" w:rsidRPr="00901270" w:rsidRDefault="00901270" w:rsidP="00F3522D">
      <w:pPr>
        <w:spacing w:after="0" w:line="240" w:lineRule="auto"/>
        <w:rPr>
          <w:b/>
          <w:lang w:val="en-GB"/>
        </w:rPr>
      </w:pPr>
      <w:r w:rsidRPr="00901270">
        <w:rPr>
          <w:b/>
          <w:lang w:val="en-GB"/>
        </w:rPr>
        <w:t xml:space="preserve">Submission </w:t>
      </w:r>
      <w:r w:rsidR="002A0D59">
        <w:rPr>
          <w:b/>
          <w:lang w:val="en-GB"/>
        </w:rPr>
        <w:t>with</w:t>
      </w:r>
      <w:r w:rsidR="001B0B12" w:rsidRPr="00901270">
        <w:rPr>
          <w:b/>
          <w:lang w:val="en-GB"/>
        </w:rPr>
        <w:t xml:space="preserve"> re</w:t>
      </w:r>
      <w:r w:rsidR="002A0D59">
        <w:rPr>
          <w:b/>
          <w:lang w:val="en-GB"/>
        </w:rPr>
        <w:t>spect to</w:t>
      </w:r>
      <w:r w:rsidR="00A30E36">
        <w:rPr>
          <w:b/>
          <w:lang w:val="en-GB"/>
        </w:rPr>
        <w:t xml:space="preserve"> Freedom of Speech and Secrecy L</w:t>
      </w:r>
      <w:r w:rsidR="001B0B12" w:rsidRPr="00901270">
        <w:rPr>
          <w:b/>
          <w:lang w:val="en-GB"/>
        </w:rPr>
        <w:t>aws</w:t>
      </w:r>
    </w:p>
    <w:p w:rsidR="001B0B12" w:rsidRDefault="001B0B12" w:rsidP="007F3CF7">
      <w:pPr>
        <w:spacing w:after="0" w:line="240" w:lineRule="auto"/>
        <w:rPr>
          <w:lang w:val="en-GB"/>
        </w:rPr>
      </w:pPr>
    </w:p>
    <w:p w:rsidR="00901270" w:rsidRDefault="00901270" w:rsidP="007F3CF7">
      <w:pPr>
        <w:spacing w:after="0" w:line="240" w:lineRule="auto"/>
        <w:rPr>
          <w:lang w:val="en-GB"/>
        </w:rPr>
      </w:pPr>
    </w:p>
    <w:p w:rsidR="007F3CF7" w:rsidRDefault="007F3CF7" w:rsidP="007F3CF7">
      <w:pPr>
        <w:spacing w:after="0" w:line="240" w:lineRule="auto"/>
        <w:rPr>
          <w:lang w:val="en-GB"/>
        </w:rPr>
      </w:pPr>
      <w:r>
        <w:rPr>
          <w:lang w:val="en-GB"/>
        </w:rPr>
        <w:t>The ALRC has been charged with</w:t>
      </w:r>
      <w:r w:rsidR="005E68C2">
        <w:rPr>
          <w:lang w:val="en-GB"/>
        </w:rPr>
        <w:t>:</w:t>
      </w:r>
    </w:p>
    <w:p w:rsidR="005E68C2" w:rsidRDefault="005E68C2" w:rsidP="007F3CF7">
      <w:pPr>
        <w:spacing w:after="0" w:line="240" w:lineRule="auto"/>
        <w:rPr>
          <w:lang w:val="en-GB"/>
        </w:rPr>
      </w:pPr>
    </w:p>
    <w:p w:rsidR="007F3CF7" w:rsidRDefault="007F3CF7" w:rsidP="007F3CF7">
      <w:pPr>
        <w:pStyle w:val="ListParagraph"/>
        <w:numPr>
          <w:ilvl w:val="0"/>
          <w:numId w:val="1"/>
        </w:numPr>
        <w:spacing w:after="0" w:line="240" w:lineRule="auto"/>
        <w:rPr>
          <w:lang w:val="en-GB"/>
        </w:rPr>
      </w:pPr>
      <w:r>
        <w:rPr>
          <w:lang w:val="en-GB"/>
        </w:rPr>
        <w:t>Identifying laws that encroach upon traditional rights and freedoms, and then</w:t>
      </w:r>
    </w:p>
    <w:p w:rsidR="007F3CF7" w:rsidRDefault="005E68C2" w:rsidP="007F3CF7">
      <w:pPr>
        <w:pStyle w:val="ListParagraph"/>
        <w:numPr>
          <w:ilvl w:val="0"/>
          <w:numId w:val="1"/>
        </w:numPr>
        <w:spacing w:after="0" w:line="240" w:lineRule="auto"/>
        <w:rPr>
          <w:lang w:val="en-GB"/>
        </w:rPr>
      </w:pPr>
      <w:proofErr w:type="gramStart"/>
      <w:r>
        <w:rPr>
          <w:lang w:val="en-GB"/>
        </w:rPr>
        <w:t>e</w:t>
      </w:r>
      <w:r w:rsidR="007F3CF7">
        <w:rPr>
          <w:lang w:val="en-GB"/>
        </w:rPr>
        <w:t>xamining</w:t>
      </w:r>
      <w:proofErr w:type="gramEnd"/>
      <w:r w:rsidR="007F3CF7">
        <w:rPr>
          <w:lang w:val="en-GB"/>
        </w:rPr>
        <w:t xml:space="preserve"> whether that encroachment is justified.</w:t>
      </w:r>
    </w:p>
    <w:p w:rsidR="007F3CF7" w:rsidRPr="006744E0" w:rsidRDefault="007F3CF7" w:rsidP="007F3CF7">
      <w:pPr>
        <w:pStyle w:val="ListParagraph"/>
        <w:numPr>
          <w:ilvl w:val="0"/>
          <w:numId w:val="1"/>
        </w:numPr>
        <w:spacing w:after="0" w:line="240" w:lineRule="auto"/>
        <w:rPr>
          <w:lang w:val="en-GB"/>
        </w:rPr>
      </w:pPr>
      <w:r>
        <w:rPr>
          <w:lang w:val="en-GB"/>
        </w:rPr>
        <w:t xml:space="preserve">Also, in considering what, or if any, changes to law should be made, you are tasked to take into </w:t>
      </w:r>
      <w:proofErr w:type="gramStart"/>
      <w:r>
        <w:rPr>
          <w:lang w:val="en-GB"/>
        </w:rPr>
        <w:t>account</w:t>
      </w:r>
      <w:proofErr w:type="gramEnd"/>
      <w:r>
        <w:rPr>
          <w:lang w:val="en-GB"/>
        </w:rPr>
        <w:t xml:space="preserve">, inter alia, </w:t>
      </w:r>
      <w:r w:rsidRPr="006744E0">
        <w:rPr>
          <w:lang w:val="en-GB"/>
        </w:rPr>
        <w:t>how laws operate in practice.</w:t>
      </w:r>
    </w:p>
    <w:p w:rsidR="007F3CF7" w:rsidRDefault="007F3CF7" w:rsidP="007F3CF7">
      <w:pPr>
        <w:spacing w:after="0" w:line="240" w:lineRule="auto"/>
        <w:rPr>
          <w:lang w:val="en-GB"/>
        </w:rPr>
      </w:pPr>
    </w:p>
    <w:p w:rsidR="007F3CF7" w:rsidRDefault="007F3CF7" w:rsidP="007F3CF7">
      <w:pPr>
        <w:spacing w:after="0" w:line="240" w:lineRule="auto"/>
        <w:rPr>
          <w:lang w:val="en-GB"/>
        </w:rPr>
      </w:pPr>
      <w:r>
        <w:rPr>
          <w:lang w:val="en-GB"/>
        </w:rPr>
        <w:t>You have identified one of the rights/freedoms as “freedom of speech”</w:t>
      </w:r>
      <w:r w:rsidR="005E68C2">
        <w:rPr>
          <w:lang w:val="en-GB"/>
        </w:rPr>
        <w:t>, and two of the laws that encroach upon, or interfere with, freedom of speech as The Crimes Act 1914 s.70 and The Australian Border Force Act 2015, Part 6.</w:t>
      </w:r>
    </w:p>
    <w:p w:rsidR="005E68C2" w:rsidRDefault="005E68C2" w:rsidP="007F3CF7">
      <w:pPr>
        <w:spacing w:after="0" w:line="240" w:lineRule="auto"/>
        <w:rPr>
          <w:lang w:val="en-GB"/>
        </w:rPr>
      </w:pPr>
    </w:p>
    <w:p w:rsidR="001B0B12" w:rsidRDefault="005E68C2" w:rsidP="007F3CF7">
      <w:pPr>
        <w:spacing w:after="0" w:line="240" w:lineRule="auto"/>
        <w:rPr>
          <w:lang w:val="en-GB"/>
        </w:rPr>
      </w:pPr>
      <w:r>
        <w:rPr>
          <w:lang w:val="en-GB"/>
        </w:rPr>
        <w:t xml:space="preserve">I </w:t>
      </w:r>
      <w:r w:rsidR="001B0B12">
        <w:rPr>
          <w:lang w:val="en-GB"/>
        </w:rPr>
        <w:t>would set</w:t>
      </w:r>
      <w:r>
        <w:rPr>
          <w:lang w:val="en-GB"/>
        </w:rPr>
        <w:t xml:space="preserve"> out my arguments in fa</w:t>
      </w:r>
      <w:r w:rsidR="006744E0">
        <w:rPr>
          <w:lang w:val="en-GB"/>
        </w:rPr>
        <w:t xml:space="preserve">vour of repealing, or amending </w:t>
      </w:r>
      <w:r>
        <w:rPr>
          <w:lang w:val="en-GB"/>
        </w:rPr>
        <w:t>as set out in 3.68 and 3.</w:t>
      </w:r>
      <w:r w:rsidR="006744E0">
        <w:rPr>
          <w:lang w:val="en-GB"/>
        </w:rPr>
        <w:t>69 of your Interim Report, these two laws</w:t>
      </w:r>
      <w:r w:rsidR="001B0B12">
        <w:rPr>
          <w:lang w:val="en-GB"/>
        </w:rPr>
        <w:t xml:space="preserve"> but h</w:t>
      </w:r>
      <w:r w:rsidR="00D42F0E">
        <w:rPr>
          <w:lang w:val="en-GB"/>
        </w:rPr>
        <w:t>aving read, and without legal training struggled to absorb, the two Acts, the P</w:t>
      </w:r>
      <w:r w:rsidR="00901270">
        <w:rPr>
          <w:lang w:val="en-GB"/>
        </w:rPr>
        <w:t>ublic Interest Disclosure Act, your paper IP46 and IR127</w:t>
      </w:r>
      <w:r w:rsidR="00D42F0E">
        <w:rPr>
          <w:lang w:val="en-GB"/>
        </w:rPr>
        <w:t xml:space="preserve"> and many articles, opinions, etc</w:t>
      </w:r>
      <w:r w:rsidR="001B0B12">
        <w:rPr>
          <w:lang w:val="en-GB"/>
        </w:rPr>
        <w:t>,</w:t>
      </w:r>
      <w:r w:rsidR="00D42F0E">
        <w:rPr>
          <w:lang w:val="en-GB"/>
        </w:rPr>
        <w:t xml:space="preserve"> etc</w:t>
      </w:r>
      <w:r w:rsidR="00901270">
        <w:rPr>
          <w:lang w:val="en-GB"/>
        </w:rPr>
        <w:t>,</w:t>
      </w:r>
      <w:r w:rsidR="00D42F0E">
        <w:rPr>
          <w:lang w:val="en-GB"/>
        </w:rPr>
        <w:t xml:space="preserve"> on this subject, it is obvious I can add nothing to the debate by </w:t>
      </w:r>
      <w:r w:rsidR="001B0B12">
        <w:rPr>
          <w:lang w:val="en-GB"/>
        </w:rPr>
        <w:t>attempting</w:t>
      </w:r>
      <w:r w:rsidR="00D42F0E">
        <w:rPr>
          <w:lang w:val="en-GB"/>
        </w:rPr>
        <w:t xml:space="preserve"> involved </w:t>
      </w:r>
      <w:r w:rsidR="001B0B12">
        <w:rPr>
          <w:lang w:val="en-GB"/>
        </w:rPr>
        <w:t xml:space="preserve">legal and moral </w:t>
      </w:r>
      <w:r w:rsidR="00D42F0E">
        <w:rPr>
          <w:lang w:val="en-GB"/>
        </w:rPr>
        <w:t xml:space="preserve">argument.  </w:t>
      </w:r>
      <w:r w:rsidR="001B0B12">
        <w:rPr>
          <w:lang w:val="en-GB"/>
        </w:rPr>
        <w:t xml:space="preserve">You must know it all already.  </w:t>
      </w:r>
    </w:p>
    <w:p w:rsidR="001B0B12" w:rsidRDefault="001B0B12" w:rsidP="007F3CF7">
      <w:pPr>
        <w:spacing w:after="0" w:line="240" w:lineRule="auto"/>
        <w:rPr>
          <w:lang w:val="en-GB"/>
        </w:rPr>
      </w:pPr>
    </w:p>
    <w:p w:rsidR="001B0B12" w:rsidRDefault="001B0B12" w:rsidP="007F3CF7">
      <w:pPr>
        <w:spacing w:after="0" w:line="240" w:lineRule="auto"/>
        <w:rPr>
          <w:lang w:val="en-GB"/>
        </w:rPr>
      </w:pPr>
      <w:r>
        <w:rPr>
          <w:lang w:val="en-GB"/>
        </w:rPr>
        <w:t>Therefore,</w:t>
      </w:r>
      <w:r w:rsidR="00D42F0E">
        <w:rPr>
          <w:lang w:val="en-GB"/>
        </w:rPr>
        <w:t xml:space="preserve"> I give </w:t>
      </w:r>
      <w:r w:rsidR="00F256CE">
        <w:rPr>
          <w:lang w:val="en-GB"/>
        </w:rPr>
        <w:t xml:space="preserve">here </w:t>
      </w:r>
      <w:r w:rsidR="00D42F0E">
        <w:rPr>
          <w:lang w:val="en-GB"/>
        </w:rPr>
        <w:t xml:space="preserve">the essence of my argument which </w:t>
      </w:r>
      <w:r w:rsidR="00901270">
        <w:rPr>
          <w:lang w:val="en-GB"/>
        </w:rPr>
        <w:t xml:space="preserve">I am convinced </w:t>
      </w:r>
      <w:r w:rsidR="00D42F0E">
        <w:rPr>
          <w:lang w:val="en-GB"/>
        </w:rPr>
        <w:t xml:space="preserve">stands alone, irrespective of any </w:t>
      </w:r>
      <w:r w:rsidR="00901270">
        <w:rPr>
          <w:lang w:val="en-GB"/>
        </w:rPr>
        <w:t>PID</w:t>
      </w:r>
      <w:r w:rsidR="006744E0">
        <w:rPr>
          <w:lang w:val="en-GB"/>
        </w:rPr>
        <w:t xml:space="preserve"> Act</w:t>
      </w:r>
      <w:r w:rsidR="00D42F0E">
        <w:rPr>
          <w:lang w:val="en-GB"/>
        </w:rPr>
        <w:t xml:space="preserve"> </w:t>
      </w:r>
      <w:r w:rsidR="00901270">
        <w:rPr>
          <w:lang w:val="en-GB"/>
        </w:rPr>
        <w:t xml:space="preserve">provisions </w:t>
      </w:r>
      <w:r w:rsidR="006744E0">
        <w:rPr>
          <w:lang w:val="en-GB"/>
        </w:rPr>
        <w:t>or qualifying provisions in</w:t>
      </w:r>
      <w:r w:rsidR="00D42F0E">
        <w:rPr>
          <w:lang w:val="en-GB"/>
        </w:rPr>
        <w:t xml:space="preserve"> </w:t>
      </w:r>
      <w:r w:rsidR="006744E0">
        <w:rPr>
          <w:lang w:val="en-GB"/>
        </w:rPr>
        <w:t>either the ABF or the Crimes Act</w:t>
      </w:r>
      <w:r w:rsidR="00B767EC">
        <w:rPr>
          <w:lang w:val="en-GB"/>
        </w:rPr>
        <w:t>:</w:t>
      </w:r>
      <w:r w:rsidR="00D42F0E">
        <w:rPr>
          <w:lang w:val="en-GB"/>
        </w:rPr>
        <w:t xml:space="preserve">   </w:t>
      </w:r>
    </w:p>
    <w:p w:rsidR="001B0B12" w:rsidRDefault="001B0B12" w:rsidP="007F3CF7">
      <w:pPr>
        <w:spacing w:after="0" w:line="240" w:lineRule="auto"/>
        <w:rPr>
          <w:lang w:val="en-G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1"/>
      </w:tblGrid>
      <w:tr w:rsidR="001B0B12" w:rsidTr="00E73AA2">
        <w:tc>
          <w:tcPr>
            <w:tcW w:w="8931" w:type="dxa"/>
          </w:tcPr>
          <w:p w:rsidR="001B0B12" w:rsidRPr="001B0B12" w:rsidRDefault="001B0B12" w:rsidP="001B0B12">
            <w:pPr>
              <w:rPr>
                <w:sz w:val="24"/>
                <w:szCs w:val="24"/>
                <w:lang w:val="en-GB"/>
              </w:rPr>
            </w:pPr>
          </w:p>
          <w:p w:rsidR="00535C14" w:rsidRPr="0004520B" w:rsidRDefault="001B0B12" w:rsidP="001B0B12">
            <w:pPr>
              <w:rPr>
                <w:color w:val="793905"/>
                <w:lang w:val="en-GB"/>
              </w:rPr>
            </w:pPr>
            <w:r w:rsidRPr="0004520B">
              <w:rPr>
                <w:color w:val="793905"/>
                <w:lang w:val="en-GB"/>
              </w:rPr>
              <w:t>It is well known</w:t>
            </w:r>
            <w:r w:rsidR="00E73AA2" w:rsidRPr="0004520B">
              <w:rPr>
                <w:color w:val="793905"/>
                <w:lang w:val="en-GB"/>
              </w:rPr>
              <w:t xml:space="preserve"> that “Not only must justice be </w:t>
            </w:r>
            <w:proofErr w:type="gramStart"/>
            <w:r w:rsidRPr="0004520B">
              <w:rPr>
                <w:color w:val="793905"/>
                <w:lang w:val="en-GB"/>
              </w:rPr>
              <w:t>done,</w:t>
            </w:r>
            <w:proofErr w:type="gramEnd"/>
            <w:r w:rsidRPr="0004520B">
              <w:rPr>
                <w:color w:val="793905"/>
                <w:lang w:val="en-GB"/>
              </w:rPr>
              <w:t xml:space="preserve"> it must also be seen to be done”</w:t>
            </w:r>
            <w:r w:rsidR="00826D40" w:rsidRPr="0004520B">
              <w:rPr>
                <w:color w:val="793905"/>
                <w:lang w:val="en-GB"/>
              </w:rPr>
              <w:t xml:space="preserve">.   The </w:t>
            </w:r>
            <w:r w:rsidR="00232BF1" w:rsidRPr="0004520B">
              <w:rPr>
                <w:color w:val="793905"/>
                <w:lang w:val="en-GB"/>
              </w:rPr>
              <w:t xml:space="preserve">UK’s </w:t>
            </w:r>
            <w:r w:rsidR="00826D40" w:rsidRPr="0004520B">
              <w:rPr>
                <w:color w:val="793905"/>
                <w:lang w:val="en-GB"/>
              </w:rPr>
              <w:t xml:space="preserve">Lord Chief Justice </w:t>
            </w:r>
            <w:proofErr w:type="spellStart"/>
            <w:r w:rsidR="00826D40" w:rsidRPr="0004520B">
              <w:rPr>
                <w:color w:val="793905"/>
                <w:lang w:val="en-GB"/>
              </w:rPr>
              <w:t>Hewart</w:t>
            </w:r>
            <w:proofErr w:type="spellEnd"/>
            <w:r w:rsidR="00826D40" w:rsidRPr="0004520B">
              <w:rPr>
                <w:color w:val="793905"/>
                <w:lang w:val="en-GB"/>
              </w:rPr>
              <w:t xml:space="preserve"> </w:t>
            </w:r>
            <w:r w:rsidRPr="0004520B">
              <w:rPr>
                <w:color w:val="793905"/>
                <w:lang w:val="en-GB"/>
              </w:rPr>
              <w:t xml:space="preserve">recognised that </w:t>
            </w:r>
            <w:r w:rsidRPr="0004520B">
              <w:rPr>
                <w:b/>
                <w:i/>
                <w:color w:val="793905"/>
                <w:lang w:val="en-GB"/>
              </w:rPr>
              <w:t>the perception of law</w:t>
            </w:r>
            <w:r w:rsidRPr="0004520B">
              <w:rPr>
                <w:color w:val="793905"/>
                <w:lang w:val="en-GB"/>
              </w:rPr>
              <w:t xml:space="preserve"> is just as important as the conduct of the law.</w:t>
            </w:r>
          </w:p>
          <w:p w:rsidR="00535C14" w:rsidRPr="0004520B" w:rsidRDefault="00535C14" w:rsidP="006744E0">
            <w:pPr>
              <w:spacing w:before="240"/>
              <w:rPr>
                <w:color w:val="793905"/>
                <w:lang w:val="en-GB"/>
              </w:rPr>
            </w:pPr>
            <w:r w:rsidRPr="0004520B">
              <w:rPr>
                <w:color w:val="793905"/>
                <w:lang w:val="en-GB"/>
              </w:rPr>
              <w:t xml:space="preserve">The SMH quotes Sir Garfield </w:t>
            </w:r>
            <w:proofErr w:type="spellStart"/>
            <w:r w:rsidRPr="0004520B">
              <w:rPr>
                <w:color w:val="793905"/>
                <w:lang w:val="en-GB"/>
              </w:rPr>
              <w:t>Barwick</w:t>
            </w:r>
            <w:proofErr w:type="spellEnd"/>
            <w:r w:rsidRPr="0004520B">
              <w:rPr>
                <w:color w:val="793905"/>
                <w:lang w:val="en-GB"/>
              </w:rPr>
              <w:t xml:space="preserve"> as ruling in 1976 that: “....the question is not whether there is a real likelihood that a judge is biased</w:t>
            </w:r>
            <w:r w:rsidRPr="0004520B">
              <w:rPr>
                <w:b/>
                <w:color w:val="793905"/>
                <w:lang w:val="en-GB"/>
              </w:rPr>
              <w:t xml:space="preserve"> </w:t>
            </w:r>
            <w:r w:rsidRPr="0004520B">
              <w:rPr>
                <w:color w:val="793905"/>
                <w:lang w:val="en-GB"/>
              </w:rPr>
              <w:t>but rather</w:t>
            </w:r>
            <w:r w:rsidRPr="0004520B">
              <w:rPr>
                <w:b/>
                <w:i/>
                <w:color w:val="793905"/>
                <w:lang w:val="en-GB"/>
              </w:rPr>
              <w:t xml:space="preserve"> whether it might reasonably be suspected by fair-minded persons</w:t>
            </w:r>
            <w:r w:rsidRPr="0004520B">
              <w:rPr>
                <w:i/>
                <w:color w:val="793905"/>
                <w:lang w:val="en-GB"/>
              </w:rPr>
              <w:t xml:space="preserve"> </w:t>
            </w:r>
            <w:r w:rsidR="006744E0" w:rsidRPr="0004520B">
              <w:rPr>
                <w:color w:val="793905"/>
                <w:lang w:val="en-GB"/>
              </w:rPr>
              <w:t>th</w:t>
            </w:r>
            <w:r w:rsidRPr="0004520B">
              <w:rPr>
                <w:color w:val="793905"/>
                <w:lang w:val="en-GB"/>
              </w:rPr>
              <w:t>at a judge might not rule with a fair and unprejudiced mind.”</w:t>
            </w:r>
          </w:p>
          <w:p w:rsidR="001B0B12" w:rsidRPr="0004520B" w:rsidRDefault="00535C14" w:rsidP="006744E0">
            <w:pPr>
              <w:spacing w:before="240"/>
              <w:rPr>
                <w:b/>
                <w:i/>
                <w:color w:val="793905"/>
                <w:lang w:val="en-GB"/>
              </w:rPr>
            </w:pPr>
            <w:r w:rsidRPr="0004520B">
              <w:rPr>
                <w:color w:val="793905"/>
                <w:lang w:val="en-GB"/>
              </w:rPr>
              <w:t xml:space="preserve">Justice Dyson </w:t>
            </w:r>
            <w:proofErr w:type="spellStart"/>
            <w:r w:rsidRPr="0004520B">
              <w:rPr>
                <w:color w:val="793905"/>
                <w:lang w:val="en-GB"/>
              </w:rPr>
              <w:t>Heydon</w:t>
            </w:r>
            <w:proofErr w:type="spellEnd"/>
            <w:r w:rsidRPr="0004520B">
              <w:rPr>
                <w:color w:val="793905"/>
                <w:lang w:val="en-GB"/>
              </w:rPr>
              <w:t>: “...</w:t>
            </w:r>
            <w:r w:rsidRPr="0004520B">
              <w:rPr>
                <w:b/>
                <w:i/>
                <w:color w:val="793905"/>
                <w:lang w:val="en-GB"/>
              </w:rPr>
              <w:t>the appearance</w:t>
            </w:r>
            <w:r w:rsidRPr="0004520B">
              <w:rPr>
                <w:color w:val="793905"/>
                <w:lang w:val="en-GB"/>
              </w:rPr>
              <w:t xml:space="preserve"> of departure from neutrality is a ground of disqualification ... because </w:t>
            </w:r>
            <w:r w:rsidRPr="0004520B">
              <w:rPr>
                <w:b/>
                <w:i/>
                <w:color w:val="793905"/>
                <w:lang w:val="en-GB"/>
              </w:rPr>
              <w:t>the rule is concerned with the appearance</w:t>
            </w:r>
            <w:r w:rsidRPr="0004520B">
              <w:rPr>
                <w:color w:val="793905"/>
                <w:lang w:val="en-GB"/>
              </w:rPr>
              <w:t xml:space="preserve"> of bias, and not the actuality, </w:t>
            </w:r>
            <w:r w:rsidRPr="0004520B">
              <w:rPr>
                <w:b/>
                <w:i/>
                <w:color w:val="793905"/>
                <w:lang w:val="en-GB"/>
              </w:rPr>
              <w:t>it is the perception of the hypothetical observer that provides the yardstick.”</w:t>
            </w:r>
          </w:p>
          <w:p w:rsidR="00E73AA2" w:rsidRPr="0004520B" w:rsidRDefault="00E73AA2" w:rsidP="006744E0">
            <w:pPr>
              <w:spacing w:before="240"/>
              <w:rPr>
                <w:b/>
                <w:i/>
                <w:color w:val="793905"/>
                <w:lang w:val="en-GB"/>
              </w:rPr>
            </w:pPr>
          </w:p>
          <w:p w:rsidR="00E73AA2" w:rsidRPr="0004520B" w:rsidRDefault="00E73AA2" w:rsidP="006744E0">
            <w:pPr>
              <w:spacing w:before="240"/>
              <w:rPr>
                <w:color w:val="793905"/>
                <w:lang w:val="en-GB"/>
              </w:rPr>
            </w:pPr>
          </w:p>
          <w:p w:rsidR="001B0B12" w:rsidRPr="0004520B" w:rsidRDefault="001B0B12" w:rsidP="001B0B12">
            <w:pPr>
              <w:rPr>
                <w:color w:val="793905"/>
                <w:lang w:val="en-GB"/>
              </w:rPr>
            </w:pPr>
          </w:p>
          <w:p w:rsidR="00B827AE" w:rsidRDefault="00B827AE" w:rsidP="001B0B12">
            <w:pPr>
              <w:rPr>
                <w:color w:val="793905"/>
                <w:lang w:val="en-GB"/>
              </w:rPr>
            </w:pPr>
          </w:p>
          <w:p w:rsidR="00B827AE" w:rsidRDefault="00B827AE" w:rsidP="001B0B12">
            <w:pPr>
              <w:rPr>
                <w:color w:val="793905"/>
                <w:lang w:val="en-GB"/>
              </w:rPr>
            </w:pPr>
          </w:p>
          <w:p w:rsidR="00722EDD" w:rsidRPr="0004520B" w:rsidRDefault="00125E1A" w:rsidP="001B0B12">
            <w:pPr>
              <w:rPr>
                <w:color w:val="793905"/>
                <w:lang w:val="en-GB"/>
              </w:rPr>
            </w:pPr>
            <w:r w:rsidRPr="0004520B">
              <w:rPr>
                <w:color w:val="793905"/>
                <w:lang w:val="en-GB"/>
              </w:rPr>
              <w:t>These thoughts on the importance of how the law appears to the common man accord exactly with my argument</w:t>
            </w:r>
            <w:r w:rsidR="00E73AA2" w:rsidRPr="0004520B">
              <w:rPr>
                <w:color w:val="793905"/>
                <w:lang w:val="en-GB"/>
              </w:rPr>
              <w:t xml:space="preserve"> that</w:t>
            </w:r>
            <w:r w:rsidRPr="0004520B">
              <w:rPr>
                <w:color w:val="793905"/>
                <w:lang w:val="en-GB"/>
              </w:rPr>
              <w:t>:</w:t>
            </w:r>
          </w:p>
          <w:p w:rsidR="00125E1A" w:rsidRPr="0004520B" w:rsidRDefault="00125E1A" w:rsidP="001B0B12">
            <w:pPr>
              <w:rPr>
                <w:color w:val="793905"/>
                <w:sz w:val="24"/>
                <w:szCs w:val="24"/>
                <w:lang w:val="en-GB"/>
              </w:rPr>
            </w:pPr>
          </w:p>
          <w:p w:rsidR="001B0B12" w:rsidRPr="0004520B" w:rsidRDefault="00722EDD" w:rsidP="001B0B12">
            <w:pPr>
              <w:rPr>
                <w:b/>
                <w:color w:val="793905"/>
                <w:sz w:val="32"/>
                <w:szCs w:val="32"/>
                <w:lang w:val="en-GB"/>
              </w:rPr>
            </w:pPr>
            <w:r w:rsidRPr="0004520B">
              <w:rPr>
                <w:b/>
                <w:color w:val="793905"/>
                <w:sz w:val="32"/>
                <w:szCs w:val="32"/>
                <w:lang w:val="en-GB"/>
              </w:rPr>
              <w:t>I</w:t>
            </w:r>
            <w:r w:rsidR="001B0B12" w:rsidRPr="0004520B">
              <w:rPr>
                <w:b/>
                <w:color w:val="793905"/>
                <w:sz w:val="32"/>
                <w:szCs w:val="32"/>
                <w:lang w:val="en-GB"/>
              </w:rPr>
              <w:t>f these two Acts - The Crimes Act 1914 s.70 and The Australian Border Force Act 2015, Part 6 – are perceived by the people to intimidate, to conceal abuse and wrongdoing, then that is exactly what they will be used for and that is precisely the effect they will have.</w:t>
            </w:r>
          </w:p>
          <w:p w:rsidR="001B0B12" w:rsidRPr="001B0B12" w:rsidRDefault="001B0B12" w:rsidP="007F3CF7">
            <w:pPr>
              <w:rPr>
                <w:sz w:val="24"/>
                <w:szCs w:val="24"/>
                <w:lang w:val="en-GB"/>
              </w:rPr>
            </w:pPr>
          </w:p>
        </w:tc>
      </w:tr>
    </w:tbl>
    <w:p w:rsidR="005E68C2" w:rsidRDefault="005E68C2" w:rsidP="007F3CF7">
      <w:pPr>
        <w:spacing w:after="0" w:line="240" w:lineRule="auto"/>
        <w:rPr>
          <w:lang w:val="en-GB"/>
        </w:rPr>
      </w:pPr>
      <w:r>
        <w:rPr>
          <w:lang w:val="en-GB"/>
        </w:rPr>
        <w:lastRenderedPageBreak/>
        <w:t>Laws are written to safeguard the people against wrongdoing.  They present the framework for the protection and conduct of a decent and honourable society.</w:t>
      </w:r>
    </w:p>
    <w:p w:rsidR="005E68C2" w:rsidRDefault="005E68C2" w:rsidP="007F3CF7">
      <w:pPr>
        <w:spacing w:after="0" w:line="240" w:lineRule="auto"/>
        <w:rPr>
          <w:lang w:val="en-GB"/>
        </w:rPr>
      </w:pPr>
    </w:p>
    <w:p w:rsidR="005E68C2" w:rsidRDefault="005E68C2" w:rsidP="007F3CF7">
      <w:pPr>
        <w:spacing w:after="0" w:line="240" w:lineRule="auto"/>
        <w:rPr>
          <w:lang w:val="en-GB"/>
        </w:rPr>
      </w:pPr>
      <w:r>
        <w:rPr>
          <w:lang w:val="en-GB"/>
        </w:rPr>
        <w:t xml:space="preserve">Laws </w:t>
      </w:r>
      <w:r w:rsidR="00257AA7">
        <w:rPr>
          <w:lang w:val="en-GB"/>
        </w:rPr>
        <w:t>that threaten with criminal charges in order to suppress free speech in the pursuit of honourable conduct</w:t>
      </w:r>
      <w:r>
        <w:rPr>
          <w:lang w:val="en-GB"/>
        </w:rPr>
        <w:t xml:space="preserve">, that protect and conceal those who would abuse, corrupt and intimidate, not only </w:t>
      </w:r>
      <w:r w:rsidR="00257AA7">
        <w:rPr>
          <w:lang w:val="en-GB"/>
        </w:rPr>
        <w:t>encroach upon but annihilate this</w:t>
      </w:r>
      <w:r>
        <w:rPr>
          <w:lang w:val="en-GB"/>
        </w:rPr>
        <w:t xml:space="preserve"> most basic of human rights</w:t>
      </w:r>
      <w:r w:rsidR="00257AA7">
        <w:rPr>
          <w:lang w:val="en-GB"/>
        </w:rPr>
        <w:t xml:space="preserve"> – freedom </w:t>
      </w:r>
      <w:r w:rsidR="001B0B12">
        <w:rPr>
          <w:lang w:val="en-GB"/>
        </w:rPr>
        <w:t xml:space="preserve">of speech - </w:t>
      </w:r>
      <w:r w:rsidR="00257AA7">
        <w:rPr>
          <w:lang w:val="en-GB"/>
        </w:rPr>
        <w:t>without which all other rights and freedoms are compromised.</w:t>
      </w:r>
    </w:p>
    <w:p w:rsidR="00722EDD" w:rsidRDefault="00722EDD" w:rsidP="007F3CF7">
      <w:pPr>
        <w:spacing w:after="0" w:line="240" w:lineRule="auto"/>
        <w:rPr>
          <w:lang w:val="en-GB"/>
        </w:rPr>
      </w:pPr>
    </w:p>
    <w:p w:rsidR="00722EDD" w:rsidRDefault="00722EDD" w:rsidP="007F3CF7">
      <w:pPr>
        <w:spacing w:after="0" w:line="240" w:lineRule="auto"/>
        <w:rPr>
          <w:b/>
          <w:lang w:val="en-GB"/>
        </w:rPr>
      </w:pPr>
      <w:r w:rsidRPr="00722EDD">
        <w:rPr>
          <w:b/>
          <w:lang w:val="en-GB"/>
        </w:rPr>
        <w:t>Can this encroachment be justified?</w:t>
      </w:r>
    </w:p>
    <w:p w:rsidR="00722EDD" w:rsidRPr="00722EDD" w:rsidRDefault="00722EDD" w:rsidP="007F3CF7">
      <w:pPr>
        <w:spacing w:after="0" w:line="240" w:lineRule="auto"/>
        <w:rPr>
          <w:b/>
          <w:lang w:val="en-GB"/>
        </w:rPr>
      </w:pPr>
    </w:p>
    <w:p w:rsidR="00722EDD" w:rsidRDefault="00722EDD" w:rsidP="007F3CF7">
      <w:pPr>
        <w:spacing w:after="0" w:line="240" w:lineRule="auto"/>
        <w:rPr>
          <w:lang w:val="en-GB"/>
        </w:rPr>
      </w:pPr>
      <w:r>
        <w:rPr>
          <w:lang w:val="en-GB"/>
        </w:rPr>
        <w:t xml:space="preserve">I can think of no circumstance in detention centres here or offshore that </w:t>
      </w:r>
      <w:r w:rsidR="00F3522D">
        <w:rPr>
          <w:lang w:val="en-GB"/>
        </w:rPr>
        <w:t xml:space="preserve">could justify these obnoxious Acts or that </w:t>
      </w:r>
      <w:r>
        <w:rPr>
          <w:lang w:val="en-GB"/>
        </w:rPr>
        <w:t xml:space="preserve">has any bearing on Australia’s Border Security.  Nor can I understand the need for secrecy surrounding detention centres </w:t>
      </w:r>
      <w:r w:rsidRPr="00722EDD">
        <w:rPr>
          <w:b/>
          <w:lang w:val="en-GB"/>
        </w:rPr>
        <w:t>other than</w:t>
      </w:r>
      <w:r>
        <w:rPr>
          <w:lang w:val="en-GB"/>
        </w:rPr>
        <w:t xml:space="preserve"> (because of the very real threat of retribution to returned detainees and to their families remaining in the originating country) the need for a prohibition against identifying by name individual detainees.</w:t>
      </w:r>
    </w:p>
    <w:p w:rsidR="00F3522D" w:rsidRDefault="00F3522D" w:rsidP="007F3CF7">
      <w:pPr>
        <w:spacing w:after="0" w:line="240" w:lineRule="auto"/>
        <w:rPr>
          <w:lang w:val="en-GB"/>
        </w:rPr>
      </w:pPr>
    </w:p>
    <w:p w:rsidR="00F3522D" w:rsidRDefault="00F3522D" w:rsidP="007F3CF7">
      <w:pPr>
        <w:spacing w:after="0" w:line="240" w:lineRule="auto"/>
        <w:rPr>
          <w:lang w:val="en-GB"/>
        </w:rPr>
      </w:pPr>
      <w:r>
        <w:rPr>
          <w:lang w:val="en-GB"/>
        </w:rPr>
        <w:t xml:space="preserve">I respectfully submit </w:t>
      </w:r>
      <w:r w:rsidR="00E73AA2">
        <w:rPr>
          <w:lang w:val="en-GB"/>
        </w:rPr>
        <w:t xml:space="preserve">that so long as these two Acts remain in their present form they facilitate abuse, corruption and intimidation and should therefore </w:t>
      </w:r>
      <w:r>
        <w:rPr>
          <w:lang w:val="en-GB"/>
        </w:rPr>
        <w:t>be repealed.</w:t>
      </w:r>
    </w:p>
    <w:p w:rsidR="00F3522D" w:rsidRDefault="00F3522D" w:rsidP="007F3CF7">
      <w:pPr>
        <w:spacing w:after="0" w:line="240" w:lineRule="auto"/>
        <w:rPr>
          <w:lang w:val="en-GB"/>
        </w:rPr>
      </w:pPr>
    </w:p>
    <w:p w:rsidR="00E73AA2" w:rsidRDefault="00E73AA2" w:rsidP="007F3CF7">
      <w:pPr>
        <w:spacing w:after="0" w:line="240" w:lineRule="auto"/>
        <w:rPr>
          <w:lang w:val="en-GB"/>
        </w:rPr>
      </w:pPr>
    </w:p>
    <w:p w:rsidR="00F3522D" w:rsidRDefault="00F3522D" w:rsidP="007F3CF7">
      <w:pPr>
        <w:spacing w:after="0" w:line="240" w:lineRule="auto"/>
        <w:rPr>
          <w:lang w:val="en-GB"/>
        </w:rPr>
      </w:pPr>
      <w:r>
        <w:rPr>
          <w:lang w:val="en-GB"/>
        </w:rPr>
        <w:t>Yours sincerely,</w:t>
      </w:r>
    </w:p>
    <w:p w:rsidR="00A30E36" w:rsidRDefault="00A30E36" w:rsidP="007F3CF7">
      <w:pPr>
        <w:spacing w:after="0" w:line="240" w:lineRule="auto"/>
        <w:rPr>
          <w:lang w:val="en-GB"/>
        </w:rPr>
      </w:pPr>
    </w:p>
    <w:p w:rsidR="00A6220C" w:rsidRDefault="00A6220C" w:rsidP="007F3CF7">
      <w:pPr>
        <w:spacing w:after="0" w:line="240" w:lineRule="auto"/>
        <w:rPr>
          <w:lang w:val="en-GB"/>
        </w:rPr>
      </w:pPr>
    </w:p>
    <w:p w:rsidR="00A30E36" w:rsidRDefault="00A30E36" w:rsidP="007F3CF7">
      <w:pPr>
        <w:spacing w:after="0" w:line="240" w:lineRule="auto"/>
        <w:rPr>
          <w:lang w:val="en-GB"/>
        </w:rPr>
      </w:pPr>
      <w:r>
        <w:rPr>
          <w:lang w:val="en-GB"/>
        </w:rPr>
        <w:t>Susan Newman</w:t>
      </w:r>
    </w:p>
    <w:p w:rsidR="00C604E7" w:rsidRDefault="00C604E7" w:rsidP="007F3CF7">
      <w:pPr>
        <w:spacing w:after="0" w:line="240" w:lineRule="auto"/>
        <w:rPr>
          <w:lang w:val="en-GB"/>
        </w:rPr>
      </w:pPr>
    </w:p>
    <w:p w:rsidR="00A6220C" w:rsidRDefault="00A6220C" w:rsidP="007F3CF7">
      <w:pPr>
        <w:spacing w:after="0" w:line="240" w:lineRule="auto"/>
        <w:rPr>
          <w:lang w:val="en-GB"/>
        </w:rPr>
      </w:pPr>
    </w:p>
    <w:p w:rsidR="00602436" w:rsidRDefault="00602436" w:rsidP="007F3CF7">
      <w:pPr>
        <w:spacing w:after="0" w:line="240" w:lineRule="auto"/>
        <w:rPr>
          <w:lang w:val="en-GB"/>
        </w:rPr>
      </w:pPr>
    </w:p>
    <w:p w:rsidR="00257AA7" w:rsidRPr="00602436" w:rsidRDefault="00257AA7" w:rsidP="007F3CF7">
      <w:pPr>
        <w:spacing w:after="0" w:line="240" w:lineRule="auto"/>
        <w:rPr>
          <w:sz w:val="18"/>
          <w:szCs w:val="18"/>
          <w:lang w:val="en-GB"/>
        </w:rPr>
      </w:pPr>
    </w:p>
    <w:sectPr w:rsidR="00257AA7" w:rsidRPr="00602436" w:rsidSect="00B767EC">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47B" w:rsidRDefault="0081247B" w:rsidP="00B767EC">
      <w:pPr>
        <w:spacing w:after="0" w:line="240" w:lineRule="auto"/>
      </w:pPr>
      <w:r>
        <w:separator/>
      </w:r>
    </w:p>
  </w:endnote>
  <w:endnote w:type="continuationSeparator" w:id="0">
    <w:p w:rsidR="0081247B" w:rsidRDefault="0081247B" w:rsidP="00B7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0E" w:rsidRDefault="00A70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0E" w:rsidRDefault="00A702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0E" w:rsidRDefault="00A70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47B" w:rsidRDefault="0081247B" w:rsidP="00B767EC">
      <w:pPr>
        <w:spacing w:after="0" w:line="240" w:lineRule="auto"/>
      </w:pPr>
      <w:r>
        <w:separator/>
      </w:r>
    </w:p>
  </w:footnote>
  <w:footnote w:type="continuationSeparator" w:id="0">
    <w:p w:rsidR="0081247B" w:rsidRDefault="0081247B" w:rsidP="00B76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0E" w:rsidRDefault="00A702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EC" w:rsidRPr="00252096" w:rsidRDefault="00B767EC">
    <w:pPr>
      <w:pStyle w:val="Header"/>
      <w:rPr>
        <w:bCs/>
        <w:sz w:val="20"/>
        <w:szCs w:val="20"/>
      </w:rPr>
    </w:pPr>
    <w:r w:rsidRPr="00252096">
      <w:rPr>
        <w:bCs/>
        <w:sz w:val="20"/>
        <w:szCs w:val="20"/>
      </w:rPr>
      <w:t xml:space="preserve">Traditional Rights and Freedoms – Encroachments by </w:t>
    </w:r>
    <w:proofErr w:type="spellStart"/>
    <w:r w:rsidRPr="00252096">
      <w:rPr>
        <w:bCs/>
        <w:sz w:val="20"/>
        <w:szCs w:val="20"/>
      </w:rPr>
      <w:t>C’wlth</w:t>
    </w:r>
    <w:proofErr w:type="spellEnd"/>
    <w:r w:rsidRPr="00252096">
      <w:rPr>
        <w:bCs/>
        <w:sz w:val="20"/>
        <w:szCs w:val="20"/>
      </w:rPr>
      <w:t xml:space="preserve"> Laws (ALRC IR 127)</w:t>
    </w:r>
  </w:p>
  <w:p w:rsidR="00B767EC" w:rsidRPr="00252096" w:rsidRDefault="00B767EC">
    <w:pPr>
      <w:pStyle w:val="Header"/>
      <w:rPr>
        <w:sz w:val="20"/>
        <w:szCs w:val="20"/>
        <w:u w:val="single"/>
      </w:rPr>
    </w:pPr>
    <w:r w:rsidRPr="00252096">
      <w:rPr>
        <w:bCs/>
        <w:sz w:val="20"/>
        <w:szCs w:val="20"/>
        <w:u w:val="single"/>
      </w:rPr>
      <w:t>Submission in respect of Freedom of Speech and Secrecy Laws</w:t>
    </w:r>
    <w:r w:rsidRPr="00252096">
      <w:rPr>
        <w:sz w:val="20"/>
        <w:szCs w:val="20"/>
        <w:u w:val="single"/>
      </w:rPr>
      <w:t xml:space="preserve">                                          </w:t>
    </w:r>
    <w:r w:rsidR="00252096" w:rsidRPr="00252096">
      <w:rPr>
        <w:sz w:val="20"/>
        <w:szCs w:val="20"/>
        <w:u w:val="single"/>
      </w:rPr>
      <w:t xml:space="preserve">                                         </w:t>
    </w:r>
    <w:r w:rsidRPr="00252096">
      <w:rPr>
        <w:sz w:val="20"/>
        <w:szCs w:val="20"/>
        <w:u w:val="single"/>
      </w:rPr>
      <w:t xml:space="preserve">  2.</w:t>
    </w:r>
  </w:p>
  <w:p w:rsidR="00B767EC" w:rsidRDefault="00B767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0E" w:rsidRDefault="00A7020E">
    <w:pPr>
      <w:pStyle w:val="Header"/>
    </w:pPr>
    <w:r>
      <w:rPr>
        <w:lang w:val="en-GB"/>
      </w:rPr>
      <w:t>78. S Newman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87CF7"/>
    <w:multiLevelType w:val="hybridMultilevel"/>
    <w:tmpl w:val="E3722F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69CF"/>
    <w:rsid w:val="0004520B"/>
    <w:rsid w:val="00125E1A"/>
    <w:rsid w:val="0012760B"/>
    <w:rsid w:val="0016354A"/>
    <w:rsid w:val="00196D4E"/>
    <w:rsid w:val="001B0B12"/>
    <w:rsid w:val="00232BF1"/>
    <w:rsid w:val="002373FF"/>
    <w:rsid w:val="00252096"/>
    <w:rsid w:val="00257AA7"/>
    <w:rsid w:val="002A0D59"/>
    <w:rsid w:val="004066FB"/>
    <w:rsid w:val="004069CF"/>
    <w:rsid w:val="00517A77"/>
    <w:rsid w:val="00535C14"/>
    <w:rsid w:val="005E68C2"/>
    <w:rsid w:val="00602436"/>
    <w:rsid w:val="006744E0"/>
    <w:rsid w:val="00722EDD"/>
    <w:rsid w:val="0075497E"/>
    <w:rsid w:val="007F3CF7"/>
    <w:rsid w:val="0081247B"/>
    <w:rsid w:val="00826D40"/>
    <w:rsid w:val="00901270"/>
    <w:rsid w:val="009F303F"/>
    <w:rsid w:val="00A30E36"/>
    <w:rsid w:val="00A6220C"/>
    <w:rsid w:val="00A7020E"/>
    <w:rsid w:val="00B767EC"/>
    <w:rsid w:val="00B827AE"/>
    <w:rsid w:val="00C5161D"/>
    <w:rsid w:val="00C604E7"/>
    <w:rsid w:val="00D42F0E"/>
    <w:rsid w:val="00D90D15"/>
    <w:rsid w:val="00DA003E"/>
    <w:rsid w:val="00E73AA2"/>
    <w:rsid w:val="00E86826"/>
    <w:rsid w:val="00F256CE"/>
    <w:rsid w:val="00F3522D"/>
    <w:rsid w:val="00F521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CF7"/>
    <w:rPr>
      <w:color w:val="0000FF" w:themeColor="hyperlink"/>
      <w:u w:val="single"/>
    </w:rPr>
  </w:style>
  <w:style w:type="paragraph" w:styleId="ListParagraph">
    <w:name w:val="List Paragraph"/>
    <w:basedOn w:val="Normal"/>
    <w:uiPriority w:val="34"/>
    <w:qFormat/>
    <w:rsid w:val="007F3CF7"/>
    <w:pPr>
      <w:ind w:left="720"/>
      <w:contextualSpacing/>
    </w:pPr>
  </w:style>
  <w:style w:type="table" w:styleId="TableGrid">
    <w:name w:val="Table Grid"/>
    <w:basedOn w:val="TableNormal"/>
    <w:uiPriority w:val="59"/>
    <w:rsid w:val="001B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7EC"/>
  </w:style>
  <w:style w:type="paragraph" w:styleId="Footer">
    <w:name w:val="footer"/>
    <w:basedOn w:val="Normal"/>
    <w:link w:val="FooterChar"/>
    <w:uiPriority w:val="99"/>
    <w:semiHidden/>
    <w:unhideWhenUsed/>
    <w:rsid w:val="00B767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67EC"/>
  </w:style>
  <w:style w:type="paragraph" w:styleId="BalloonText">
    <w:name w:val="Balloon Text"/>
    <w:basedOn w:val="Normal"/>
    <w:link w:val="BalloonTextChar"/>
    <w:uiPriority w:val="99"/>
    <w:semiHidden/>
    <w:unhideWhenUsed/>
    <w:rsid w:val="00B7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alrc.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3253</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 in respect of Freedom of Speech and Se</dc:subject>
  <dc:creator>Sue Newman</dc:creator>
  <cp:lastModifiedBy>marie-claire.muir</cp:lastModifiedBy>
  <cp:revision>2</cp:revision>
  <cp:lastPrinted>2015-08-14T02:47:00Z</cp:lastPrinted>
  <dcterms:created xsi:type="dcterms:W3CDTF">2015-09-04T02:46:00Z</dcterms:created>
  <dcterms:modified xsi:type="dcterms:W3CDTF">2015-09-04T02:46:00Z</dcterms:modified>
</cp:coreProperties>
</file>