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CB8" w:rsidRDefault="00E01CB8" w:rsidP="00E01CB8">
      <w:r>
        <w:rPr>
          <w:rFonts w:ascii="Helvetica" w:hAnsi="Helvetica"/>
          <w:noProof/>
        </w:rPr>
        <w:drawing>
          <wp:inline distT="0" distB="0" distL="0" distR="0">
            <wp:extent cx="5724525" cy="1685925"/>
            <wp:effectExtent l="19050" t="0" r="9525" b="0"/>
            <wp:docPr id="3" name="Picture 3" descr="http://www.musicvictoria.com.au/css/newslette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usicvictoria.com.au/css/newsletter/header.jpg"/>
                    <pic:cNvPicPr>
                      <a:picLocks noChangeAspect="1" noChangeArrowheads="1"/>
                    </pic:cNvPicPr>
                  </pic:nvPicPr>
                  <pic:blipFill>
                    <a:blip r:embed="rId5" r:link="rId6" cstate="print"/>
                    <a:srcRect/>
                    <a:stretch>
                      <a:fillRect/>
                    </a:stretch>
                  </pic:blipFill>
                  <pic:spPr bwMode="auto">
                    <a:xfrm>
                      <a:off x="0" y="0"/>
                      <a:ext cx="5724525" cy="1685925"/>
                    </a:xfrm>
                    <a:prstGeom prst="rect">
                      <a:avLst/>
                    </a:prstGeom>
                    <a:noFill/>
                    <a:ln w="9525">
                      <a:noFill/>
                      <a:miter lim="800000"/>
                      <a:headEnd/>
                      <a:tailEnd/>
                    </a:ln>
                  </pic:spPr>
                </pic:pic>
              </a:graphicData>
            </a:graphic>
          </wp:inline>
        </w:drawing>
      </w:r>
    </w:p>
    <w:p w:rsidR="00E01CB8" w:rsidRDefault="00E01CB8" w:rsidP="00E01CB8"/>
    <w:p w:rsidR="00E01CB8" w:rsidRDefault="00E01CB8" w:rsidP="00E01CB8"/>
    <w:p w:rsidR="00E01CB8" w:rsidRDefault="00E01CB8" w:rsidP="00E01CB8">
      <w:r>
        <w:t>Professor Jill McKeough</w:t>
      </w:r>
    </w:p>
    <w:p w:rsidR="00E01CB8" w:rsidRDefault="00E01CB8" w:rsidP="00E01CB8">
      <w:r>
        <w:t>Commissioner</w:t>
      </w:r>
    </w:p>
    <w:p w:rsidR="00E01CB8" w:rsidRDefault="00E01CB8" w:rsidP="00E01CB8">
      <w:r>
        <w:t>Australian Law Reform Commission</w:t>
      </w:r>
    </w:p>
    <w:p w:rsidR="00E01CB8" w:rsidRDefault="00E01CB8" w:rsidP="00E01CB8">
      <w:r>
        <w:t>GPO Box 3708</w:t>
      </w:r>
    </w:p>
    <w:p w:rsidR="00E01CB8" w:rsidRDefault="00E01CB8" w:rsidP="00E01CB8">
      <w:r>
        <w:t xml:space="preserve">SYDNEY </w:t>
      </w:r>
      <w:proofErr w:type="gramStart"/>
      <w:r>
        <w:t>NSW  2001</w:t>
      </w:r>
      <w:proofErr w:type="gramEnd"/>
    </w:p>
    <w:p w:rsidR="00E01CB8" w:rsidRDefault="00E01CB8" w:rsidP="00E01CB8"/>
    <w:p w:rsidR="00E01CB8" w:rsidRDefault="00E01CB8" w:rsidP="00E01CB8">
      <w:pPr>
        <w:rPr>
          <w:lang w:val="en-US"/>
        </w:rPr>
      </w:pPr>
    </w:p>
    <w:p w:rsidR="00E01CB8" w:rsidRDefault="00E01CB8" w:rsidP="00E01CB8">
      <w:pPr>
        <w:rPr>
          <w:lang w:val="en-US"/>
        </w:rPr>
      </w:pPr>
      <w:r>
        <w:rPr>
          <w:lang w:val="en-US"/>
        </w:rPr>
        <w:t>Dear Madam</w:t>
      </w:r>
    </w:p>
    <w:p w:rsidR="00E01CB8" w:rsidRDefault="00E01CB8" w:rsidP="00E01CB8">
      <w:pPr>
        <w:rPr>
          <w:lang w:val="en-US"/>
        </w:rPr>
      </w:pPr>
    </w:p>
    <w:p w:rsidR="00E01CB8" w:rsidRDefault="00E01CB8" w:rsidP="00E01CB8">
      <w:pPr>
        <w:rPr>
          <w:lang w:val="en-US"/>
        </w:rPr>
      </w:pPr>
      <w:r>
        <w:rPr>
          <w:lang w:val="en-US"/>
        </w:rPr>
        <w:t xml:space="preserve">Thank you for the opportunity to respond to the proposals and questions set out in the Australian Law Reform Commission’s Discussion Paper, </w:t>
      </w:r>
      <w:r>
        <w:rPr>
          <w:i/>
          <w:iCs/>
          <w:lang w:val="en-US"/>
        </w:rPr>
        <w:t>Copyright and the Digital Economy</w:t>
      </w:r>
      <w:r>
        <w:rPr>
          <w:lang w:val="en-US"/>
        </w:rPr>
        <w:t xml:space="preserve">.  </w:t>
      </w:r>
    </w:p>
    <w:p w:rsidR="00E01CB8" w:rsidRDefault="00E01CB8" w:rsidP="00E01CB8">
      <w:pPr>
        <w:rPr>
          <w:lang w:val="en-US"/>
        </w:rPr>
      </w:pPr>
    </w:p>
    <w:p w:rsidR="00E01CB8" w:rsidRDefault="00E01CB8" w:rsidP="00E01CB8">
      <w:pPr>
        <w:rPr>
          <w:lang w:val="en-US"/>
        </w:rPr>
      </w:pPr>
      <w:r>
        <w:rPr>
          <w:lang w:val="en-US"/>
        </w:rPr>
        <w:t>We refer to our earlier submission to the Issues Paper and ask that it be read in conjunction with this letter.</w:t>
      </w:r>
    </w:p>
    <w:p w:rsidR="00E01CB8" w:rsidRDefault="00E01CB8" w:rsidP="00E01CB8">
      <w:pPr>
        <w:rPr>
          <w:lang w:val="en-US"/>
        </w:rPr>
      </w:pPr>
    </w:p>
    <w:p w:rsidR="00E01CB8" w:rsidRDefault="00E01CB8" w:rsidP="00E01CB8">
      <w:pPr>
        <w:rPr>
          <w:lang w:val="en-US"/>
        </w:rPr>
      </w:pPr>
      <w:r>
        <w:rPr>
          <w:lang w:val="en-US"/>
        </w:rPr>
        <w:t xml:space="preserve">Music Victoria is the independent representative </w:t>
      </w:r>
      <w:proofErr w:type="spellStart"/>
      <w:r>
        <w:rPr>
          <w:lang w:val="en-US"/>
        </w:rPr>
        <w:t>organisation</w:t>
      </w:r>
      <w:proofErr w:type="spellEnd"/>
      <w:r>
        <w:rPr>
          <w:lang w:val="en-US"/>
        </w:rPr>
        <w:t xml:space="preserve"> for conte</w:t>
      </w:r>
      <w:r w:rsidR="002243F3">
        <w:rPr>
          <w:lang w:val="en-US"/>
        </w:rPr>
        <w:t>mporary music in Victoria. Its 8</w:t>
      </w:r>
      <w:r>
        <w:rPr>
          <w:lang w:val="en-US"/>
        </w:rPr>
        <w:t>00 members include music fans, musicians, small businesses, live music venues, tour managers, band bookers, promoters and other industry employees.</w:t>
      </w:r>
    </w:p>
    <w:p w:rsidR="00E01CB8" w:rsidRDefault="00E01CB8" w:rsidP="00E01CB8">
      <w:pPr>
        <w:rPr>
          <w:lang w:val="en-US"/>
        </w:rPr>
      </w:pPr>
    </w:p>
    <w:p w:rsidR="00E01CB8" w:rsidRDefault="00E01CB8" w:rsidP="00E01CB8">
      <w:pPr>
        <w:rPr>
          <w:lang w:val="en-US"/>
        </w:rPr>
      </w:pPr>
      <w:r>
        <w:rPr>
          <w:lang w:val="en-US"/>
        </w:rPr>
        <w:t>Due to limited resources, Music Victoria is not in a position to lodge detailed submissions on all the points raised in the Discussion Paper.  We have, however, had an opportunity to review the submissions of the Phonographic Performance Company of Australia (PPCA) and the Australian Recording Industry Association (ARIA) and endorse those submissions.</w:t>
      </w:r>
    </w:p>
    <w:p w:rsidR="00E01CB8" w:rsidRDefault="00E01CB8" w:rsidP="00E01CB8">
      <w:pPr>
        <w:rPr>
          <w:lang w:val="en-US"/>
        </w:rPr>
      </w:pPr>
    </w:p>
    <w:p w:rsidR="00E01CB8" w:rsidRDefault="00E01CB8" w:rsidP="00E01CB8">
      <w:pPr>
        <w:rPr>
          <w:lang w:val="en-US"/>
        </w:rPr>
      </w:pPr>
      <w:r>
        <w:rPr>
          <w:lang w:val="en-US"/>
        </w:rPr>
        <w:t>In summary:</w:t>
      </w:r>
    </w:p>
    <w:p w:rsidR="00E01CB8" w:rsidRDefault="00E01CB8" w:rsidP="00E01CB8">
      <w:pPr>
        <w:rPr>
          <w:lang w:val="en-US"/>
        </w:rPr>
      </w:pPr>
    </w:p>
    <w:p w:rsidR="00E01CB8" w:rsidRDefault="00E01CB8" w:rsidP="00E01CB8">
      <w:pPr>
        <w:pStyle w:val="ListParagraph"/>
        <w:numPr>
          <w:ilvl w:val="0"/>
          <w:numId w:val="1"/>
        </w:numPr>
        <w:rPr>
          <w:lang w:val="en-US"/>
        </w:rPr>
      </w:pPr>
      <w:r>
        <w:rPr>
          <w:b/>
          <w:bCs/>
          <w:lang w:val="en-US"/>
        </w:rPr>
        <w:t>Repeal of section 152 caps</w:t>
      </w:r>
      <w:r>
        <w:rPr>
          <w:lang w:val="en-US"/>
        </w:rPr>
        <w:t>:  We wel</w:t>
      </w:r>
      <w:r w:rsidR="00CF45A4">
        <w:rPr>
          <w:lang w:val="en-US"/>
        </w:rPr>
        <w:t xml:space="preserve">come the Commission’s question </w:t>
      </w:r>
      <w:r>
        <w:rPr>
          <w:lang w:val="en-US"/>
        </w:rPr>
        <w:t xml:space="preserve">in respect of the artificial ceiling imposed on artist and label revenues through the operation of sections 152 and 199 of the Copyright Act.   We are in </w:t>
      </w:r>
      <w:proofErr w:type="spellStart"/>
      <w:r>
        <w:rPr>
          <w:lang w:val="en-US"/>
        </w:rPr>
        <w:t>favour</w:t>
      </w:r>
      <w:proofErr w:type="spellEnd"/>
      <w:r>
        <w:rPr>
          <w:lang w:val="en-US"/>
        </w:rPr>
        <w:t xml:space="preserve"> of the repeal of these provisions which unfairly discriminate against sound recording rights holders and recording artists, and provide an unnecessary and inequitable subsidy to the radio broadcast sector.</w:t>
      </w:r>
    </w:p>
    <w:p w:rsidR="00E01CB8" w:rsidRDefault="00E01CB8" w:rsidP="00E01CB8">
      <w:pPr>
        <w:pStyle w:val="ListParagraph"/>
        <w:rPr>
          <w:lang w:val="en-US"/>
        </w:rPr>
      </w:pPr>
    </w:p>
    <w:p w:rsidR="00E01CB8" w:rsidRDefault="00E01CB8" w:rsidP="00E01CB8">
      <w:pPr>
        <w:pStyle w:val="ListParagraph"/>
        <w:numPr>
          <w:ilvl w:val="0"/>
          <w:numId w:val="1"/>
        </w:numPr>
        <w:rPr>
          <w:lang w:val="en-US"/>
        </w:rPr>
      </w:pPr>
      <w:r>
        <w:rPr>
          <w:b/>
          <w:bCs/>
          <w:lang w:val="en-US"/>
        </w:rPr>
        <w:t>Support of voluntary licensing</w:t>
      </w:r>
      <w:r>
        <w:rPr>
          <w:lang w:val="en-US"/>
        </w:rPr>
        <w:t>:  In our view the significant development of music services in the digital economy through voluntary licensing means that further copyrigh</w:t>
      </w:r>
      <w:r w:rsidR="00CF45A4">
        <w:rPr>
          <w:lang w:val="en-US"/>
        </w:rPr>
        <w:t>t exceptions or statutory licens</w:t>
      </w:r>
      <w:r>
        <w:rPr>
          <w:lang w:val="en-US"/>
        </w:rPr>
        <w:t xml:space="preserve">es are unnecessary.  The music industry has responded to the developing market and related services with innovative licensing </w:t>
      </w:r>
      <w:proofErr w:type="gramStart"/>
      <w:r>
        <w:rPr>
          <w:lang w:val="en-US"/>
        </w:rPr>
        <w:t>models,</w:t>
      </w:r>
      <w:proofErr w:type="gramEnd"/>
      <w:r>
        <w:rPr>
          <w:lang w:val="en-US"/>
        </w:rPr>
        <w:t xml:space="preserve"> and these have resulted in increased access to music for consumers.  Despite the growth in the digital sector industry revenues have severely declined over the last decade, and recording artists and independent labels continue to struggle to build sustainable careers.  Investment in the sector is likely to </w:t>
      </w:r>
      <w:r>
        <w:rPr>
          <w:lang w:val="en-US"/>
        </w:rPr>
        <w:lastRenderedPageBreak/>
        <w:t>be further undermined by any amendments that reduce the protection sound recordings currently enjoy, or increase uncertainty in this already highly risky environment.</w:t>
      </w:r>
    </w:p>
    <w:p w:rsidR="00E01CB8" w:rsidRDefault="00E01CB8" w:rsidP="00E01CB8">
      <w:pPr>
        <w:rPr>
          <w:lang w:val="en-US"/>
        </w:rPr>
      </w:pPr>
    </w:p>
    <w:p w:rsidR="00E01CB8" w:rsidRDefault="00E01CB8" w:rsidP="00E01CB8">
      <w:pPr>
        <w:rPr>
          <w:lang w:val="en-US"/>
        </w:rPr>
      </w:pPr>
      <w:r>
        <w:rPr>
          <w:lang w:val="en-US"/>
        </w:rPr>
        <w:t>We look forward to seeing the Commission’s Final Report and trust that our concerns will be considered in your final recommendations.</w:t>
      </w:r>
    </w:p>
    <w:p w:rsidR="00E01CB8" w:rsidRDefault="00E01CB8" w:rsidP="00E01CB8">
      <w:pPr>
        <w:rPr>
          <w:lang w:val="en-US"/>
        </w:rPr>
      </w:pPr>
    </w:p>
    <w:p w:rsidR="00E01CB8" w:rsidRDefault="00E01CB8" w:rsidP="00E01CB8">
      <w:pPr>
        <w:rPr>
          <w:lang w:val="en-US"/>
        </w:rPr>
      </w:pPr>
      <w:r>
        <w:rPr>
          <w:lang w:val="en-US"/>
        </w:rPr>
        <w:t>Yours Faithfully</w:t>
      </w:r>
    </w:p>
    <w:p w:rsidR="00E01CB8" w:rsidRDefault="00E01CB8" w:rsidP="00E01CB8">
      <w:pPr>
        <w:rPr>
          <w:lang w:val="en-US"/>
        </w:rPr>
      </w:pPr>
    </w:p>
    <w:p w:rsidR="00E01CB8" w:rsidRDefault="00E01CB8" w:rsidP="00E01CB8"/>
    <w:p w:rsidR="00CF45A4" w:rsidRPr="00CF45A4" w:rsidRDefault="00067BCE" w:rsidP="00CF45A4">
      <w:pPr>
        <w:jc w:val="center"/>
        <w:rPr>
          <w:rFonts w:ascii="Arial" w:eastAsia="Times New Roman" w:hAnsi="Arial" w:cs="Arial"/>
          <w:color w:val="808080"/>
          <w:sz w:val="20"/>
          <w:szCs w:val="20"/>
        </w:rPr>
      </w:pPr>
      <w:r w:rsidRPr="00067BCE">
        <w:rPr>
          <w:rFonts w:ascii="Arial" w:eastAsia="Times New Roman" w:hAnsi="Arial" w:cs="Arial"/>
          <w:color w:val="808080"/>
          <w:sz w:val="20"/>
          <w:szCs w:val="20"/>
        </w:rPr>
        <w:pict>
          <v:rect id="_x0000_i1025" style="width:451.3pt;height:2.25pt" o:hralign="center" o:hrstd="t" o:hrnoshade="t" o:hr="t" stroked="f"/>
        </w:pict>
      </w:r>
    </w:p>
    <w:p w:rsidR="00A90C8A" w:rsidRDefault="002243F3">
      <w:r>
        <w:rPr>
          <w:rFonts w:ascii="Arial" w:hAnsi="Arial" w:cs="Arial"/>
          <w:noProof/>
          <w:color w:val="7F7F7F"/>
          <w:sz w:val="18"/>
          <w:szCs w:val="18"/>
        </w:rPr>
        <w:drawing>
          <wp:inline distT="0" distB="0" distL="0" distR="0">
            <wp:extent cx="2362200" cy="495300"/>
            <wp:effectExtent l="19050" t="0" r="0" b="0"/>
            <wp:docPr id="6" name="Picture 2" descr="PatrickDonovan_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rickDonovan_sig"/>
                    <pic:cNvPicPr>
                      <a:picLocks noChangeAspect="1" noChangeArrowheads="1"/>
                    </pic:cNvPicPr>
                  </pic:nvPicPr>
                  <pic:blipFill>
                    <a:blip r:embed="rId7" r:link="rId8" cstate="print"/>
                    <a:srcRect/>
                    <a:stretch>
                      <a:fillRect/>
                    </a:stretch>
                  </pic:blipFill>
                  <pic:spPr bwMode="auto">
                    <a:xfrm>
                      <a:off x="0" y="0"/>
                      <a:ext cx="2362200" cy="495300"/>
                    </a:xfrm>
                    <a:prstGeom prst="rect">
                      <a:avLst/>
                    </a:prstGeom>
                    <a:noFill/>
                    <a:ln w="9525">
                      <a:noFill/>
                      <a:miter lim="800000"/>
                      <a:headEnd/>
                      <a:tailEnd/>
                    </a:ln>
                  </pic:spPr>
                </pic:pic>
              </a:graphicData>
            </a:graphic>
          </wp:inline>
        </w:drawing>
      </w:r>
    </w:p>
    <w:p w:rsidR="00CF45A4" w:rsidRDefault="00CF45A4"/>
    <w:p w:rsidR="00CF45A4" w:rsidRDefault="00CF45A4"/>
    <w:p w:rsidR="00CF45A4" w:rsidRDefault="00CF45A4" w:rsidP="00CF45A4">
      <w:pPr>
        <w:rPr>
          <w:rFonts w:ascii="Arial" w:hAnsi="Arial" w:cs="Arial"/>
          <w:sz w:val="18"/>
          <w:szCs w:val="18"/>
          <w:lang w:val="en-US"/>
        </w:rPr>
      </w:pPr>
      <w:r>
        <w:rPr>
          <w:rFonts w:ascii="Arial" w:hAnsi="Arial" w:cs="Arial"/>
          <w:sz w:val="18"/>
          <w:szCs w:val="18"/>
          <w:lang w:val="en-US"/>
        </w:rPr>
        <w:t>Patrick Donovan CEO</w:t>
      </w:r>
    </w:p>
    <w:p w:rsidR="00CF45A4" w:rsidRDefault="00CF45A4" w:rsidP="00CF45A4">
      <w:pPr>
        <w:rPr>
          <w:rFonts w:ascii="Arial" w:hAnsi="Arial" w:cs="Arial"/>
          <w:color w:val="7F7F7F"/>
          <w:sz w:val="18"/>
          <w:szCs w:val="18"/>
          <w:lang w:val="en-US"/>
        </w:rPr>
      </w:pPr>
    </w:p>
    <w:p w:rsidR="00CF45A4" w:rsidRDefault="00CF45A4" w:rsidP="00CF45A4">
      <w:pPr>
        <w:rPr>
          <w:rFonts w:ascii="Arial" w:hAnsi="Arial" w:cs="Arial"/>
          <w:color w:val="7F7F7F"/>
          <w:sz w:val="18"/>
          <w:szCs w:val="18"/>
          <w:lang w:val="en-US"/>
        </w:rPr>
      </w:pPr>
      <w:r>
        <w:rPr>
          <w:rFonts w:ascii="Arial" w:hAnsi="Arial" w:cs="Arial"/>
          <w:color w:val="7F7F7F"/>
          <w:sz w:val="18"/>
          <w:szCs w:val="18"/>
          <w:lang w:val="en-US"/>
        </w:rPr>
        <w:t>Music Victoria</w:t>
      </w:r>
    </w:p>
    <w:p w:rsidR="00CF45A4" w:rsidRDefault="00CF45A4" w:rsidP="00CF45A4">
      <w:pPr>
        <w:rPr>
          <w:rFonts w:ascii="Arial" w:hAnsi="Arial" w:cs="Arial"/>
          <w:color w:val="7F7F7F"/>
          <w:sz w:val="18"/>
          <w:szCs w:val="18"/>
          <w:lang w:val="en-US"/>
        </w:rPr>
      </w:pPr>
      <w:r>
        <w:rPr>
          <w:rFonts w:ascii="Arial" w:hAnsi="Arial" w:cs="Arial"/>
          <w:color w:val="7F7F7F"/>
          <w:sz w:val="18"/>
          <w:szCs w:val="18"/>
          <w:lang w:val="en-US"/>
        </w:rPr>
        <w:t>PO Box 220</w:t>
      </w:r>
    </w:p>
    <w:p w:rsidR="00CF45A4" w:rsidRDefault="00CF45A4" w:rsidP="00CF45A4">
      <w:pPr>
        <w:rPr>
          <w:rFonts w:ascii="Arial" w:hAnsi="Arial" w:cs="Arial"/>
          <w:color w:val="7F7F7F"/>
          <w:sz w:val="18"/>
          <w:szCs w:val="18"/>
          <w:lang w:val="en-US"/>
        </w:rPr>
      </w:pPr>
      <w:r>
        <w:rPr>
          <w:rFonts w:ascii="Arial" w:hAnsi="Arial" w:cs="Arial"/>
          <w:color w:val="7F7F7F"/>
          <w:sz w:val="18"/>
          <w:szCs w:val="18"/>
          <w:lang w:val="en-US"/>
        </w:rPr>
        <w:t>Level 1, 233 Sydney Rd</w:t>
      </w:r>
    </w:p>
    <w:p w:rsidR="00CF45A4" w:rsidRDefault="00CF45A4" w:rsidP="00CF45A4">
      <w:pPr>
        <w:rPr>
          <w:rFonts w:ascii="Arial" w:hAnsi="Arial" w:cs="Arial"/>
          <w:color w:val="7F7F7F"/>
          <w:sz w:val="18"/>
          <w:szCs w:val="18"/>
          <w:lang w:val="en-US"/>
        </w:rPr>
      </w:pPr>
      <w:r>
        <w:rPr>
          <w:rFonts w:ascii="Arial" w:hAnsi="Arial" w:cs="Arial"/>
          <w:color w:val="7F7F7F"/>
          <w:sz w:val="18"/>
          <w:szCs w:val="18"/>
          <w:lang w:val="en-US"/>
        </w:rPr>
        <w:t>Brunswick VIC 3056</w:t>
      </w:r>
    </w:p>
    <w:p w:rsidR="00CF45A4" w:rsidRDefault="00CF45A4" w:rsidP="00CF45A4">
      <w:pPr>
        <w:rPr>
          <w:rFonts w:ascii="Arial" w:hAnsi="Arial" w:cs="Arial"/>
          <w:color w:val="7F7F7F"/>
          <w:sz w:val="18"/>
          <w:szCs w:val="18"/>
          <w:lang w:val="en-US"/>
        </w:rPr>
      </w:pPr>
      <w:proofErr w:type="gramStart"/>
      <w:r>
        <w:rPr>
          <w:rFonts w:ascii="Arial" w:hAnsi="Arial" w:cs="Arial"/>
          <w:color w:val="7F7F7F"/>
          <w:sz w:val="18"/>
          <w:szCs w:val="18"/>
          <w:lang w:val="en-US"/>
        </w:rPr>
        <w:t>ph</w:t>
      </w:r>
      <w:proofErr w:type="gramEnd"/>
      <w:r>
        <w:rPr>
          <w:rFonts w:ascii="Arial" w:hAnsi="Arial" w:cs="Arial"/>
          <w:color w:val="7F7F7F"/>
          <w:sz w:val="18"/>
          <w:szCs w:val="18"/>
          <w:lang w:val="en-US"/>
        </w:rPr>
        <w:t>: +613 9380 1566</w:t>
      </w:r>
    </w:p>
    <w:p w:rsidR="00CF45A4" w:rsidRDefault="00CF45A4" w:rsidP="00CF45A4">
      <w:pPr>
        <w:rPr>
          <w:rFonts w:ascii="Arial" w:hAnsi="Arial" w:cs="Arial"/>
          <w:color w:val="7F7F7F"/>
          <w:sz w:val="18"/>
          <w:szCs w:val="18"/>
          <w:lang w:val="en-US"/>
        </w:rPr>
      </w:pPr>
      <w:proofErr w:type="spellStart"/>
      <w:proofErr w:type="gramStart"/>
      <w:r>
        <w:rPr>
          <w:rFonts w:ascii="Arial" w:hAnsi="Arial" w:cs="Arial"/>
          <w:color w:val="7F7F7F"/>
          <w:sz w:val="18"/>
          <w:szCs w:val="18"/>
          <w:lang w:val="en-US"/>
        </w:rPr>
        <w:t>fx</w:t>
      </w:r>
      <w:proofErr w:type="spellEnd"/>
      <w:proofErr w:type="gramEnd"/>
      <w:r>
        <w:rPr>
          <w:rFonts w:ascii="Arial" w:hAnsi="Arial" w:cs="Arial"/>
          <w:color w:val="7F7F7F"/>
          <w:sz w:val="18"/>
          <w:szCs w:val="18"/>
          <w:lang w:val="en-US"/>
        </w:rPr>
        <w:t>: +613 9380 9044</w:t>
      </w:r>
    </w:p>
    <w:p w:rsidR="00CF45A4" w:rsidRDefault="00CF45A4"/>
    <w:sectPr w:rsidR="00CF45A4" w:rsidSect="00A07A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314F6"/>
    <w:multiLevelType w:val="hybridMultilevel"/>
    <w:tmpl w:val="A4EC6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1CB8"/>
    <w:rsid w:val="00067BCE"/>
    <w:rsid w:val="002243F3"/>
    <w:rsid w:val="007114DF"/>
    <w:rsid w:val="009C7B9F"/>
    <w:rsid w:val="00A07A5F"/>
    <w:rsid w:val="00B17140"/>
    <w:rsid w:val="00C652B7"/>
    <w:rsid w:val="00CF45A4"/>
    <w:rsid w:val="00E01CB8"/>
    <w:rsid w:val="00F738F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CB8"/>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1CB8"/>
    <w:rPr>
      <w:color w:val="0000FF"/>
      <w:u w:val="single"/>
    </w:rPr>
  </w:style>
  <w:style w:type="paragraph" w:styleId="ListParagraph">
    <w:name w:val="List Paragraph"/>
    <w:basedOn w:val="Normal"/>
    <w:uiPriority w:val="34"/>
    <w:qFormat/>
    <w:rsid w:val="00E01CB8"/>
    <w:pPr>
      <w:ind w:left="720"/>
    </w:pPr>
  </w:style>
  <w:style w:type="paragraph" w:styleId="BalloonText">
    <w:name w:val="Balloon Text"/>
    <w:basedOn w:val="Normal"/>
    <w:link w:val="BalloonTextChar"/>
    <w:uiPriority w:val="99"/>
    <w:semiHidden/>
    <w:unhideWhenUsed/>
    <w:rsid w:val="00E01CB8"/>
    <w:rPr>
      <w:rFonts w:ascii="Tahoma" w:hAnsi="Tahoma" w:cs="Tahoma"/>
      <w:sz w:val="16"/>
      <w:szCs w:val="16"/>
    </w:rPr>
  </w:style>
  <w:style w:type="character" w:customStyle="1" w:styleId="BalloonTextChar">
    <w:name w:val="Balloon Text Char"/>
    <w:basedOn w:val="DefaultParagraphFont"/>
    <w:link w:val="BalloonText"/>
    <w:uiPriority w:val="99"/>
    <w:semiHidden/>
    <w:rsid w:val="00E01CB8"/>
    <w:rPr>
      <w:rFonts w:ascii="Tahoma" w:hAnsi="Tahoma" w:cs="Tahoma"/>
      <w:sz w:val="16"/>
      <w:szCs w:val="16"/>
      <w:lang w:eastAsia="en-AU"/>
    </w:rPr>
  </w:style>
</w:styles>
</file>

<file path=word/webSettings.xml><?xml version="1.0" encoding="utf-8"?>
<w:webSettings xmlns:r="http://schemas.openxmlformats.org/officeDocument/2006/relationships" xmlns:w="http://schemas.openxmlformats.org/wordprocessingml/2006/main">
  <w:divs>
    <w:div w:id="740325525">
      <w:bodyDiv w:val="1"/>
      <w:marLeft w:val="0"/>
      <w:marRight w:val="0"/>
      <w:marTop w:val="0"/>
      <w:marBottom w:val="0"/>
      <w:divBdr>
        <w:top w:val="none" w:sz="0" w:space="0" w:color="auto"/>
        <w:left w:val="none" w:sz="0" w:space="0" w:color="auto"/>
        <w:bottom w:val="none" w:sz="0" w:space="0" w:color="auto"/>
        <w:right w:val="none" w:sz="0" w:space="0" w:color="auto"/>
      </w:divBdr>
    </w:div>
    <w:div w:id="170632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CCED8A.58B66540"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CCED8A.58B6654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marie-claire.muir</cp:lastModifiedBy>
  <cp:revision>2</cp:revision>
  <dcterms:created xsi:type="dcterms:W3CDTF">2013-08-13T00:37:00Z</dcterms:created>
  <dcterms:modified xsi:type="dcterms:W3CDTF">2013-08-13T00:37:00Z</dcterms:modified>
</cp:coreProperties>
</file>