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4E8" w:rsidRPr="00311F7B" w:rsidRDefault="006E7E9C" w:rsidP="00374E3E">
      <w:pPr>
        <w:ind w:left="2160" w:firstLine="720"/>
        <w:jc w:val="both"/>
        <w:rPr>
          <w:b/>
        </w:rPr>
      </w:pPr>
      <w:r w:rsidRPr="00311F7B">
        <w:rPr>
          <w:b/>
        </w:rPr>
        <w:t xml:space="preserve">Law Reform Submission </w:t>
      </w:r>
      <w:r w:rsidR="00374E3E">
        <w:rPr>
          <w:b/>
        </w:rPr>
        <w:t xml:space="preserve">– Question 26 </w:t>
      </w:r>
    </w:p>
    <w:p w:rsidR="00D50739" w:rsidRDefault="00D50739" w:rsidP="00B0593E">
      <w:pPr>
        <w:jc w:val="both"/>
      </w:pPr>
      <w:r>
        <w:t xml:space="preserve">Why my Submission? </w:t>
      </w:r>
    </w:p>
    <w:p w:rsidR="000E66FF" w:rsidRDefault="003C1AA3" w:rsidP="00B0593E">
      <w:pPr>
        <w:jc w:val="both"/>
      </w:pPr>
      <w:r>
        <w:t>I have chosen to submit</w:t>
      </w:r>
      <w:r w:rsidR="00D55991">
        <w:t xml:space="preserve"> the following </w:t>
      </w:r>
      <w:r>
        <w:t>proposal</w:t>
      </w:r>
      <w:r w:rsidR="00D55991">
        <w:t xml:space="preserve"> in relation to elder abuse due to the importance </w:t>
      </w:r>
      <w:r w:rsidR="00FE7722">
        <w:t xml:space="preserve">and respect </w:t>
      </w:r>
      <w:r w:rsidR="00B0593E">
        <w:t>I hold for</w:t>
      </w:r>
      <w:r w:rsidR="00D55991">
        <w:t xml:space="preserve"> protecting the interests </w:t>
      </w:r>
      <w:r w:rsidR="00B0593E">
        <w:t xml:space="preserve">of older Australians. I am currently undertaking a Bachelor of Laws at Murdoch University, Western Australia </w:t>
      </w:r>
      <w:r w:rsidR="0036347D">
        <w:t xml:space="preserve">(WA) </w:t>
      </w:r>
      <w:r w:rsidR="00B0593E">
        <w:t>and have completed units such as Criminal Law and Legal Systems where I have examined elder abuse and whether current laws sufficiently protect the</w:t>
      </w:r>
      <w:r w:rsidR="00E41AC0">
        <w:t>ir</w:t>
      </w:r>
      <w:r w:rsidR="00B0593E">
        <w:t xml:space="preserve"> rights and int</w:t>
      </w:r>
      <w:r w:rsidR="00E41AC0">
        <w:t>erests</w:t>
      </w:r>
      <w:r w:rsidR="00FE7722">
        <w:t>. I concluded that</w:t>
      </w:r>
      <w:r w:rsidR="00B0593E">
        <w:t xml:space="preserve"> </w:t>
      </w:r>
      <w:r w:rsidR="00311F7B">
        <w:t>there were fissures</w:t>
      </w:r>
      <w:r w:rsidR="00FE7722">
        <w:t xml:space="preserve"> and some </w:t>
      </w:r>
      <w:r w:rsidR="00B0593E">
        <w:t xml:space="preserve">law reform is required. In my professional career, as a Community Corrections Officer, I have supervised offenders who have </w:t>
      </w:r>
      <w:r w:rsidR="00FE7722">
        <w:t>committed criminal offences against older pe</w:t>
      </w:r>
      <w:r w:rsidR="008203C8">
        <w:t>ople. Of particular interest are</w:t>
      </w:r>
      <w:r w:rsidR="00FE7722">
        <w:t xml:space="preserve"> those offenders</w:t>
      </w:r>
      <w:r w:rsidR="00FE0DAA">
        <w:t>, either on Parole or Court Orders,</w:t>
      </w:r>
      <w:r w:rsidR="00FE7722">
        <w:t xml:space="preserve"> who had defrauded/stolen significant </w:t>
      </w:r>
      <w:r w:rsidR="00634281">
        <w:t>amounts of money from older people</w:t>
      </w:r>
      <w:r w:rsidR="008B79E9">
        <w:t>, some</w:t>
      </w:r>
      <w:r w:rsidR="00634281">
        <w:t xml:space="preserve"> family a</w:t>
      </w:r>
      <w:r w:rsidR="008B79E9">
        <w:t>n</w:t>
      </w:r>
      <w:r w:rsidR="00FE0DAA">
        <w:t>d close friends and others virtual</w:t>
      </w:r>
      <w:r w:rsidR="00634281">
        <w:t xml:space="preserve"> strangers. </w:t>
      </w:r>
      <w:r w:rsidR="00E41AC0">
        <w:t xml:space="preserve">I have read a number of victim impact statements and how such offences can be cataclysmic for older people. </w:t>
      </w:r>
      <w:r w:rsidR="008B79E9">
        <w:t>In almost all cases large amounts of funds were transferred through financial institutions, either by large lump sums or numerous and regular</w:t>
      </w:r>
      <w:r w:rsidR="00E41AC0">
        <w:t xml:space="preserve"> transactions</w:t>
      </w:r>
      <w:r w:rsidR="008B79E9">
        <w:t xml:space="preserve">. </w:t>
      </w:r>
      <w:r w:rsidR="00E41AC0">
        <w:t xml:space="preserve">I often thought of what measures, if any, did the financial institutions undertake to </w:t>
      </w:r>
      <w:r w:rsidR="005647B1">
        <w:t>report suspicious transactions in an attempt to protect the victims</w:t>
      </w:r>
      <w:r w:rsidR="00BA7E1B">
        <w:t xml:space="preserve"> and </w:t>
      </w:r>
      <w:proofErr w:type="gramStart"/>
      <w:r w:rsidR="00BA7E1B">
        <w:t>were</w:t>
      </w:r>
      <w:proofErr w:type="gramEnd"/>
      <w:r w:rsidR="00BA7E1B">
        <w:t xml:space="preserve"> they obligated</w:t>
      </w:r>
      <w:r w:rsidR="005647B1">
        <w:t>. For these reasons I feel that Question 26, in particular whether reporting requirements should be imposed on financial institutions</w:t>
      </w:r>
      <w:r w:rsidR="000E11F2">
        <w:t>,</w:t>
      </w:r>
      <w:r w:rsidR="005647B1">
        <w:t xml:space="preserve"> is important to address.</w:t>
      </w:r>
    </w:p>
    <w:p w:rsidR="00D55991" w:rsidRDefault="00D50739">
      <w:r>
        <w:t xml:space="preserve">Financial abuse and the role of financial institutions </w:t>
      </w:r>
    </w:p>
    <w:p w:rsidR="0025649C" w:rsidRDefault="0025649C" w:rsidP="00A11A4D">
      <w:pPr>
        <w:jc w:val="both"/>
      </w:pPr>
      <w:r>
        <w:t>Financial abuse is the illegal use, improper use or mismanagement of an older person’s financial resources or assets without their knowledge or consent.</w:t>
      </w:r>
      <w:r>
        <w:rPr>
          <w:rStyle w:val="FootnoteReference"/>
        </w:rPr>
        <w:footnoteReference w:id="1"/>
      </w:r>
      <w:r w:rsidR="002105F1">
        <w:t xml:space="preserve"> </w:t>
      </w:r>
      <w:r w:rsidR="00B12DCB">
        <w:t xml:space="preserve">Financial abuse </w:t>
      </w:r>
      <w:r w:rsidR="00A11A4D">
        <w:t>of</w:t>
      </w:r>
      <w:r w:rsidR="00B12DCB">
        <w:t xml:space="preserve"> older Australians has been reported as one of the top categories of elder abuse</w:t>
      </w:r>
      <w:r w:rsidR="00B12DCB">
        <w:rPr>
          <w:rStyle w:val="FootnoteReference"/>
        </w:rPr>
        <w:footnoteReference w:id="2"/>
      </w:r>
      <w:r>
        <w:t xml:space="preserve"> which has been</w:t>
      </w:r>
      <w:r w:rsidR="00C970E7">
        <w:t xml:space="preserve"> </w:t>
      </w:r>
      <w:r w:rsidR="008E6CF3">
        <w:t>fu</w:t>
      </w:r>
      <w:r w:rsidR="00A11A4D">
        <w:t>rther supported</w:t>
      </w:r>
      <w:r w:rsidR="00C970E7">
        <w:t xml:space="preserve"> in interviews and</w:t>
      </w:r>
      <w:r w:rsidR="008E6CF3">
        <w:t xml:space="preserve"> case studies </w:t>
      </w:r>
      <w:r w:rsidR="00C970E7">
        <w:t>of participants.</w:t>
      </w:r>
      <w:r w:rsidR="00C970E7">
        <w:rPr>
          <w:rStyle w:val="FootnoteReference"/>
        </w:rPr>
        <w:footnoteReference w:id="3"/>
      </w:r>
      <w:r w:rsidR="00A11A4D">
        <w:t xml:space="preserve"> Given society continues to become less reliant on cash and more </w:t>
      </w:r>
      <w:r w:rsidR="00582EAB">
        <w:t>dependent</w:t>
      </w:r>
      <w:r w:rsidR="00A11A4D">
        <w:t xml:space="preserve"> on electronic transactions, financial institutions including banks have a</w:t>
      </w:r>
      <w:r w:rsidR="00D50739">
        <w:t xml:space="preserve"> greater role to play in protecting the elderly and their financial assets.</w:t>
      </w:r>
      <w:r w:rsidR="00D50739">
        <w:rPr>
          <w:rStyle w:val="FootnoteReference"/>
        </w:rPr>
        <w:footnoteReference w:id="4"/>
      </w:r>
      <w:r w:rsidR="00D50739">
        <w:t xml:space="preserve"> </w:t>
      </w:r>
      <w:r w:rsidR="007F660F">
        <w:t xml:space="preserve">If financial institutions suspect or are put on notice that elder financial abuse is taking place then should they </w:t>
      </w:r>
      <w:r w:rsidR="00F25A1D">
        <w:t>be mandated to report</w:t>
      </w:r>
      <w:r w:rsidR="000D40A5">
        <w:t xml:space="preserve"> it</w:t>
      </w:r>
      <w:r w:rsidR="00F25A1D">
        <w:t xml:space="preserve">, as at present they have no statutory </w:t>
      </w:r>
      <w:proofErr w:type="gramStart"/>
      <w:r w:rsidR="00F25A1D">
        <w:t>obligation.</w:t>
      </w:r>
      <w:proofErr w:type="gramEnd"/>
      <w:r w:rsidR="00F25A1D">
        <w:rPr>
          <w:rStyle w:val="FootnoteReference"/>
        </w:rPr>
        <w:footnoteReference w:id="5"/>
      </w:r>
      <w:r w:rsidR="00F63766">
        <w:t xml:space="preserve"> </w:t>
      </w:r>
    </w:p>
    <w:p w:rsidR="007F660F" w:rsidRDefault="00874A57" w:rsidP="00A11A4D">
      <w:pPr>
        <w:jc w:val="both"/>
      </w:pPr>
      <w:r>
        <w:t xml:space="preserve">Mandatory reporting </w:t>
      </w:r>
    </w:p>
    <w:p w:rsidR="009E1767" w:rsidRDefault="00E06039" w:rsidP="009E1767">
      <w:pPr>
        <w:jc w:val="both"/>
      </w:pPr>
      <w:r>
        <w:t xml:space="preserve">Although mandatory reporting aims to protect the vulnerable, </w:t>
      </w:r>
      <w:r w:rsidR="00420E5E">
        <w:t>it can impact on</w:t>
      </w:r>
      <w:r w:rsidR="003F650E">
        <w:t xml:space="preserve"> older people</w:t>
      </w:r>
      <w:r>
        <w:t>’s right to autonomy and self-determination</w:t>
      </w:r>
      <w:r w:rsidR="00C67D5E">
        <w:t>.</w:t>
      </w:r>
      <w:r>
        <w:rPr>
          <w:rStyle w:val="FootnoteReference"/>
        </w:rPr>
        <w:footnoteReference w:id="6"/>
      </w:r>
      <w:r>
        <w:t xml:space="preserve"> </w:t>
      </w:r>
      <w:r w:rsidR="00F25A1D">
        <w:t xml:space="preserve">In other </w:t>
      </w:r>
      <w:r w:rsidR="008203C8">
        <w:t>countries</w:t>
      </w:r>
      <w:r w:rsidR="00F25A1D">
        <w:t xml:space="preserve"> like the United </w:t>
      </w:r>
      <w:r w:rsidR="000D40A5">
        <w:t>States, Israel and South Africa</w:t>
      </w:r>
      <w:r w:rsidR="00F25A1D">
        <w:t xml:space="preserve"> </w:t>
      </w:r>
      <w:r w:rsidR="008203C8">
        <w:lastRenderedPageBreak/>
        <w:t xml:space="preserve">some jurisdictions have </w:t>
      </w:r>
      <w:r w:rsidR="00F25A1D">
        <w:t>mandatory</w:t>
      </w:r>
      <w:r w:rsidR="008203C8">
        <w:t xml:space="preserve"> reporting</w:t>
      </w:r>
      <w:r w:rsidR="00C67D5E">
        <w:t xml:space="preserve"> legislation</w:t>
      </w:r>
      <w:r w:rsidR="000D40A5">
        <w:t xml:space="preserve"> however it questionable how effective it is</w:t>
      </w:r>
      <w:r w:rsidR="00514580">
        <w:t>,</w:t>
      </w:r>
      <w:r w:rsidR="000D40A5">
        <w:rPr>
          <w:rStyle w:val="FootnoteReference"/>
        </w:rPr>
        <w:footnoteReference w:id="7"/>
      </w:r>
      <w:r w:rsidR="006F4493">
        <w:t xml:space="preserve"> research suggests it doesn’t impact positively on outcomes</w:t>
      </w:r>
      <w:r w:rsidR="0009583F">
        <w:rPr>
          <w:rStyle w:val="FootnoteReference"/>
        </w:rPr>
        <w:footnoteReference w:id="8"/>
      </w:r>
      <w:r w:rsidR="006F4493">
        <w:t xml:space="preserve"> </w:t>
      </w:r>
      <w:r w:rsidR="00514580">
        <w:t>and</w:t>
      </w:r>
      <w:r w:rsidR="000D40A5">
        <w:t xml:space="preserve"> mandatory reporting alone </w:t>
      </w:r>
      <w:r w:rsidR="00514580">
        <w:t>may not significantly increase</w:t>
      </w:r>
      <w:r w:rsidR="000D40A5">
        <w:t xml:space="preserve"> reporting of financial abuse by banks</w:t>
      </w:r>
      <w:r w:rsidR="009C5AB5">
        <w:t>.</w:t>
      </w:r>
      <w:r w:rsidR="000D40A5">
        <w:rPr>
          <w:rStyle w:val="FootnoteReference"/>
        </w:rPr>
        <w:footnoteReference w:id="9"/>
      </w:r>
      <w:r w:rsidR="0040708E">
        <w:t xml:space="preserve"> </w:t>
      </w:r>
      <w:r w:rsidR="00091D54">
        <w:t>In Australia, a</w:t>
      </w:r>
      <w:r w:rsidR="00C67D5E">
        <w:t xml:space="preserve"> Commonwealth House of Representative </w:t>
      </w:r>
      <w:proofErr w:type="gramStart"/>
      <w:r w:rsidR="00C67D5E">
        <w:t>report</w:t>
      </w:r>
      <w:r w:rsidR="0009583F">
        <w:t>,</w:t>
      </w:r>
      <w:proofErr w:type="gramEnd"/>
      <w:r w:rsidR="00C67D5E">
        <w:rPr>
          <w:rStyle w:val="FootnoteReference"/>
        </w:rPr>
        <w:footnoteReference w:id="10"/>
      </w:r>
      <w:r w:rsidR="00C67D5E">
        <w:t xml:space="preserve"> canvassed mandatory reporting. </w:t>
      </w:r>
      <w:r w:rsidR="009E0C0D">
        <w:t xml:space="preserve">Some </w:t>
      </w:r>
      <w:r w:rsidR="00C324EF">
        <w:t>support</w:t>
      </w:r>
      <w:r w:rsidR="002D1D9E">
        <w:t xml:space="preserve"> was expressed for it,</w:t>
      </w:r>
      <w:r w:rsidR="00C324EF">
        <w:t xml:space="preserve"> in the aged care </w:t>
      </w:r>
      <w:proofErr w:type="gramStart"/>
      <w:r w:rsidR="00C324EF">
        <w:t>industry</w:t>
      </w:r>
      <w:r w:rsidR="002D1D9E">
        <w:t>,</w:t>
      </w:r>
      <w:proofErr w:type="gramEnd"/>
      <w:r w:rsidR="0027232E">
        <w:rPr>
          <w:rStyle w:val="FootnoteReference"/>
        </w:rPr>
        <w:footnoteReference w:id="11"/>
      </w:r>
      <w:r w:rsidR="00C324EF">
        <w:t xml:space="preserve"> </w:t>
      </w:r>
      <w:r w:rsidR="0027232E">
        <w:t xml:space="preserve">however the majority of submissions did not. </w:t>
      </w:r>
      <w:r w:rsidR="0009583F">
        <w:t>A theme</w:t>
      </w:r>
      <w:r w:rsidR="00B72812">
        <w:t xml:space="preserve"> for not supporting it included diminishing rights and decision making of older people</w:t>
      </w:r>
      <w:r w:rsidR="0009583F">
        <w:t xml:space="preserve"> however the most compelling reason is felt to be that </w:t>
      </w:r>
      <w:r w:rsidR="00420E5E">
        <w:t>it only creates an offence</w:t>
      </w:r>
      <w:r w:rsidR="0009583F">
        <w:t xml:space="preserve"> for the person failing to report </w:t>
      </w:r>
      <w:r w:rsidR="009029D8">
        <w:t>it</w:t>
      </w:r>
      <w:r w:rsidR="009029D8">
        <w:rPr>
          <w:rStyle w:val="FootnoteReference"/>
        </w:rPr>
        <w:footnoteReference w:id="12"/>
      </w:r>
      <w:r w:rsidR="009029D8">
        <w:t xml:space="preserve"> </w:t>
      </w:r>
      <w:r w:rsidR="00582EAB">
        <w:t xml:space="preserve">and the complexities of legislation </w:t>
      </w:r>
      <w:r w:rsidR="00B73433">
        <w:t xml:space="preserve">such as </w:t>
      </w:r>
      <w:r w:rsidR="00582EAB">
        <w:t>needing to define what is a reportable and non-reportable offence. It is felt that this</w:t>
      </w:r>
      <w:r w:rsidR="009029D8">
        <w:t xml:space="preserve"> would not </w:t>
      </w:r>
      <w:r w:rsidR="00582EAB">
        <w:t xml:space="preserve">necessarily lead to increased reports of suspected financial abuse </w:t>
      </w:r>
      <w:r w:rsidR="003F650E">
        <w:t xml:space="preserve">by financial institutions </w:t>
      </w:r>
      <w:r w:rsidR="00582EAB">
        <w:t xml:space="preserve">although </w:t>
      </w:r>
      <w:r w:rsidR="006B5BB3">
        <w:t>fear of reprisal</w:t>
      </w:r>
      <w:r w:rsidR="009E1767">
        <w:t xml:space="preserve"> by </w:t>
      </w:r>
      <w:r w:rsidR="00311F7B">
        <w:t>employees could increase reporting</w:t>
      </w:r>
      <w:r w:rsidR="009E1767">
        <w:t xml:space="preserve"> for</w:t>
      </w:r>
      <w:r w:rsidR="00B73433">
        <w:t xml:space="preserve"> </w:t>
      </w:r>
      <w:r w:rsidR="00311F7B">
        <w:t>the wrong reasons</w:t>
      </w:r>
      <w:r w:rsidR="003F650E">
        <w:t>. A</w:t>
      </w:r>
      <w:r w:rsidR="00582EAB">
        <w:t xml:space="preserve">n enhanced approach </w:t>
      </w:r>
      <w:r w:rsidR="003F650E">
        <w:t>c</w:t>
      </w:r>
      <w:r w:rsidR="00582EAB">
        <w:t xml:space="preserve">ould be working with the financial industry rather than imposing </w:t>
      </w:r>
      <w:r w:rsidR="003F650E">
        <w:t xml:space="preserve">mandatory </w:t>
      </w:r>
      <w:r w:rsidR="00582EAB">
        <w:t>reporting obligations</w:t>
      </w:r>
      <w:r w:rsidR="00582EAB">
        <w:rPr>
          <w:rStyle w:val="FootnoteReference"/>
        </w:rPr>
        <w:footnoteReference w:id="13"/>
      </w:r>
      <w:r w:rsidR="009E1767">
        <w:t xml:space="preserve"> a</w:t>
      </w:r>
      <w:r w:rsidR="003F650E">
        <w:t xml:space="preserve">nd there </w:t>
      </w:r>
      <w:proofErr w:type="gramStart"/>
      <w:r w:rsidR="003F650E">
        <w:t>appears forums</w:t>
      </w:r>
      <w:proofErr w:type="gramEnd"/>
      <w:r w:rsidR="003F650E">
        <w:t xml:space="preserve"> in place </w:t>
      </w:r>
      <w:r w:rsidR="009E1767">
        <w:t>such as the Financial Ombudsman Service</w:t>
      </w:r>
      <w:r w:rsidR="009E1767">
        <w:rPr>
          <w:rStyle w:val="FootnoteReference"/>
        </w:rPr>
        <w:footnoteReference w:id="14"/>
      </w:r>
      <w:r w:rsidR="003F650E">
        <w:t xml:space="preserve"> to communicate and develop a consistent approach. </w:t>
      </w:r>
    </w:p>
    <w:p w:rsidR="009E1767" w:rsidRDefault="00BA7D7F" w:rsidP="009E1767">
      <w:pPr>
        <w:jc w:val="both"/>
      </w:pPr>
      <w:r>
        <w:t xml:space="preserve">Reporting (mandatory or not) and associated issues </w:t>
      </w:r>
    </w:p>
    <w:p w:rsidR="003F650E" w:rsidRDefault="00420E5E" w:rsidP="009E1767">
      <w:pPr>
        <w:jc w:val="both"/>
      </w:pPr>
      <w:r>
        <w:t xml:space="preserve">At present in Australia, regardless of whether reporting </w:t>
      </w:r>
      <w:r w:rsidR="00C167E1">
        <w:t>is made mandatory or not by financial institutions, there are some keys issues which are prevalent and will challenge Government. There appears to be a lack of consistency with how financial institutions report financial abu</w:t>
      </w:r>
      <w:r w:rsidR="0056108D">
        <w:t xml:space="preserve">se and this could contribute to the low incidences of abuse </w:t>
      </w:r>
      <w:r w:rsidR="00311F7B">
        <w:t xml:space="preserve">reported </w:t>
      </w:r>
      <w:r w:rsidR="0056108D">
        <w:t>in this sector.</w:t>
      </w:r>
      <w:r w:rsidR="0056108D">
        <w:rPr>
          <w:rStyle w:val="FootnoteReference"/>
        </w:rPr>
        <w:footnoteReference w:id="15"/>
      </w:r>
      <w:r w:rsidR="0056108D">
        <w:t xml:space="preserve"> A consistent nationwide approach to how institutions report alleged abuse is required. This </w:t>
      </w:r>
      <w:r w:rsidR="0036347D">
        <w:t>then leads to a further issue</w:t>
      </w:r>
      <w:r w:rsidR="00C93BE4">
        <w:t xml:space="preserve"> of what Government/</w:t>
      </w:r>
      <w:r w:rsidR="0036347D">
        <w:t>non-Government</w:t>
      </w:r>
      <w:r w:rsidR="005418CE">
        <w:t xml:space="preserve"> bodies</w:t>
      </w:r>
      <w:r w:rsidR="00C93BE4">
        <w:t xml:space="preserve"> </w:t>
      </w:r>
      <w:r w:rsidR="0036347D">
        <w:t>will deal with referrals</w:t>
      </w:r>
      <w:r w:rsidR="00D07187">
        <w:t xml:space="preserve"> and are current laws sufficient</w:t>
      </w:r>
      <w:r w:rsidR="0036347D">
        <w:t xml:space="preserve">. In </w:t>
      </w:r>
      <w:r w:rsidR="005418CE">
        <w:t>WA there is</w:t>
      </w:r>
      <w:r w:rsidR="0036347D">
        <w:t xml:space="preserve"> </w:t>
      </w:r>
      <w:r w:rsidR="005418CE">
        <w:t>legislation and</w:t>
      </w:r>
      <w:r w:rsidR="0036347D">
        <w:t xml:space="preserve"> provisions to allow reporting </w:t>
      </w:r>
      <w:r w:rsidR="005418CE">
        <w:t>of such abuse however in contrast South Australia does not have the power to investigate unless the Guardianship Board is involved.</w:t>
      </w:r>
      <w:r w:rsidR="005418CE">
        <w:rPr>
          <w:rStyle w:val="FootnoteReference"/>
        </w:rPr>
        <w:footnoteReference w:id="16"/>
      </w:r>
      <w:r w:rsidR="005418CE">
        <w:t xml:space="preserve"> Consistent legislation across states which gives the power for a specified body to investigate alleged financial abuse could give financial institutions more clarity and assurance </w:t>
      </w:r>
      <w:r w:rsidR="00D07187">
        <w:t xml:space="preserve">with the reporting process. </w:t>
      </w:r>
    </w:p>
    <w:p w:rsidR="000E66FF" w:rsidRDefault="000E66FF" w:rsidP="009967F8">
      <w:pPr>
        <w:jc w:val="both"/>
      </w:pPr>
    </w:p>
    <w:sectPr w:rsidR="000E66FF" w:rsidSect="00EC16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496" w:rsidRDefault="00EB1496" w:rsidP="00B12DCB">
      <w:pPr>
        <w:spacing w:after="0" w:line="240" w:lineRule="auto"/>
      </w:pPr>
      <w:r>
        <w:separator/>
      </w:r>
    </w:p>
  </w:endnote>
  <w:endnote w:type="continuationSeparator" w:id="0">
    <w:p w:rsidR="00EB1496" w:rsidRDefault="00EB1496" w:rsidP="00B12D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50" w:rsidRDefault="00C635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50" w:rsidRDefault="00C635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50" w:rsidRDefault="00C635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496" w:rsidRDefault="00EB1496" w:rsidP="00B12DCB">
      <w:pPr>
        <w:spacing w:after="0" w:line="240" w:lineRule="auto"/>
      </w:pPr>
      <w:r>
        <w:separator/>
      </w:r>
    </w:p>
  </w:footnote>
  <w:footnote w:type="continuationSeparator" w:id="0">
    <w:p w:rsidR="00EB1496" w:rsidRDefault="00EB1496" w:rsidP="00B12DCB">
      <w:pPr>
        <w:spacing w:after="0" w:line="240" w:lineRule="auto"/>
      </w:pPr>
      <w:r>
        <w:continuationSeparator/>
      </w:r>
    </w:p>
  </w:footnote>
  <w:footnote w:id="1">
    <w:p w:rsidR="00EB1496" w:rsidRDefault="00EB1496" w:rsidP="0025649C">
      <w:pPr>
        <w:pStyle w:val="FootnoteText"/>
      </w:pPr>
      <w:r>
        <w:rPr>
          <w:rStyle w:val="FootnoteReference"/>
        </w:rPr>
        <w:footnoteRef/>
      </w:r>
      <w:r>
        <w:t xml:space="preserve"> </w:t>
      </w:r>
      <w:proofErr w:type="gramStart"/>
      <w:r>
        <w:t xml:space="preserve">New South Wales, </w:t>
      </w:r>
      <w:r w:rsidRPr="00773CD8">
        <w:rPr>
          <w:i/>
        </w:rPr>
        <w:t>Elder abuse in New South Wales</w:t>
      </w:r>
      <w:r>
        <w:t xml:space="preserve">, </w:t>
      </w:r>
      <w:proofErr w:type="spellStart"/>
      <w:r>
        <w:t>Parl</w:t>
      </w:r>
      <w:proofErr w:type="spellEnd"/>
      <w:r>
        <w:t xml:space="preserve"> Paper No 44 (2016) 77.</w:t>
      </w:r>
      <w:proofErr w:type="gramEnd"/>
    </w:p>
  </w:footnote>
  <w:footnote w:id="2">
    <w:p w:rsidR="00EB1496" w:rsidRDefault="00EB1496">
      <w:pPr>
        <w:pStyle w:val="FootnoteText"/>
      </w:pPr>
      <w:r>
        <w:rPr>
          <w:rStyle w:val="FootnoteReference"/>
        </w:rPr>
        <w:footnoteRef/>
      </w:r>
      <w:r>
        <w:t xml:space="preserve"> </w:t>
      </w:r>
      <w:proofErr w:type="spellStart"/>
      <w:r>
        <w:t>Peteris</w:t>
      </w:r>
      <w:proofErr w:type="spellEnd"/>
      <w:r>
        <w:t xml:space="preserve"> </w:t>
      </w:r>
      <w:proofErr w:type="spellStart"/>
      <w:r>
        <w:t>Darzins</w:t>
      </w:r>
      <w:proofErr w:type="spellEnd"/>
      <w:r>
        <w:t xml:space="preserve">, Georgia Lowndes and Jo </w:t>
      </w:r>
      <w:proofErr w:type="spellStart"/>
      <w:r>
        <w:t>Wainer</w:t>
      </w:r>
      <w:proofErr w:type="spellEnd"/>
      <w:r>
        <w:t xml:space="preserve">, ‘Financial abuse of elders: a review of the evidence’ (Protecting Elders’ Assets Study, </w:t>
      </w:r>
      <w:proofErr w:type="spellStart"/>
      <w:r>
        <w:t>Monash</w:t>
      </w:r>
      <w:proofErr w:type="spellEnd"/>
      <w:r>
        <w:t xml:space="preserve"> University, 2009) 8. </w:t>
      </w:r>
    </w:p>
  </w:footnote>
  <w:footnote w:id="3">
    <w:p w:rsidR="00EB1496" w:rsidRDefault="00EB1496">
      <w:pPr>
        <w:pStyle w:val="FootnoteText"/>
      </w:pPr>
      <w:r>
        <w:rPr>
          <w:rStyle w:val="FootnoteReference"/>
        </w:rPr>
        <w:footnoteRef/>
      </w:r>
      <w:r>
        <w:t xml:space="preserve"> Mike Clare, Barbara Black Blundell and Joseph Clare, ‘Examination of the extent of elder abuse in Western Australia’ (A qualitative and quantitative investigation of existing agency policy, service responses and recorded data, The University of Western Australia, 2011) 48. </w:t>
      </w:r>
    </w:p>
  </w:footnote>
  <w:footnote w:id="4">
    <w:p w:rsidR="00EB1496" w:rsidRDefault="00EB1496">
      <w:pPr>
        <w:pStyle w:val="FootnoteText"/>
      </w:pPr>
      <w:r>
        <w:rPr>
          <w:rStyle w:val="FootnoteReference"/>
        </w:rPr>
        <w:footnoteRef/>
      </w:r>
      <w:r>
        <w:t xml:space="preserve"> </w:t>
      </w:r>
      <w:proofErr w:type="spellStart"/>
      <w:proofErr w:type="gramStart"/>
      <w:r>
        <w:t>Peteris</w:t>
      </w:r>
      <w:proofErr w:type="spellEnd"/>
      <w:r>
        <w:t xml:space="preserve"> </w:t>
      </w:r>
      <w:proofErr w:type="spellStart"/>
      <w:r>
        <w:t>Darzins</w:t>
      </w:r>
      <w:proofErr w:type="spellEnd"/>
      <w:r>
        <w:t xml:space="preserve">, Georgia Lowndes and Jo </w:t>
      </w:r>
      <w:proofErr w:type="spellStart"/>
      <w:r>
        <w:t>Wainer</w:t>
      </w:r>
      <w:proofErr w:type="spellEnd"/>
      <w:r>
        <w:t>, above n 2, 19.</w:t>
      </w:r>
      <w:proofErr w:type="gramEnd"/>
    </w:p>
  </w:footnote>
  <w:footnote w:id="5">
    <w:p w:rsidR="00EB1496" w:rsidRDefault="00EB1496">
      <w:pPr>
        <w:pStyle w:val="FootnoteText"/>
      </w:pPr>
      <w:r>
        <w:rPr>
          <w:rStyle w:val="FootnoteReference"/>
        </w:rPr>
        <w:footnoteRef/>
      </w:r>
      <w:r>
        <w:t xml:space="preserve"> Rae </w:t>
      </w:r>
      <w:proofErr w:type="spellStart"/>
      <w:r>
        <w:t>Kaspiew</w:t>
      </w:r>
      <w:proofErr w:type="spellEnd"/>
      <w:r>
        <w:t>, Rachel Carson and Helen Rhoades, Submission to Attorney General’s Department</w:t>
      </w:r>
      <w:r w:rsidRPr="00AA0F99">
        <w:rPr>
          <w:i/>
        </w:rPr>
        <w:t>, Elder abuse; Understanding issues, frameworks and responses</w:t>
      </w:r>
      <w:r>
        <w:t xml:space="preserve">, 2015, 26. </w:t>
      </w:r>
    </w:p>
  </w:footnote>
  <w:footnote w:id="6">
    <w:p w:rsidR="00EB1496" w:rsidRPr="001D1B5B" w:rsidRDefault="00EB1496">
      <w:pPr>
        <w:pStyle w:val="FootnoteText"/>
      </w:pPr>
      <w:r>
        <w:rPr>
          <w:rStyle w:val="FootnoteReference"/>
        </w:rPr>
        <w:footnoteRef/>
      </w:r>
      <w:r>
        <w:t xml:space="preserve"> New South Wales, </w:t>
      </w:r>
      <w:r w:rsidRPr="00773CD8">
        <w:rPr>
          <w:i/>
        </w:rPr>
        <w:t>Elder abuse in New South Wales</w:t>
      </w:r>
      <w:r>
        <w:rPr>
          <w:i/>
        </w:rPr>
        <w:t xml:space="preserve">, </w:t>
      </w:r>
      <w:r>
        <w:t xml:space="preserve">above n 1, 20. </w:t>
      </w:r>
    </w:p>
  </w:footnote>
  <w:footnote w:id="7">
    <w:p w:rsidR="00EB1496" w:rsidRDefault="00EB1496">
      <w:pPr>
        <w:pStyle w:val="FootnoteText"/>
      </w:pPr>
      <w:r>
        <w:rPr>
          <w:rStyle w:val="FootnoteReference"/>
        </w:rPr>
        <w:footnoteRef/>
      </w:r>
      <w:r>
        <w:t xml:space="preserve"> Judith A Davey and Jayne </w:t>
      </w:r>
      <w:proofErr w:type="spellStart"/>
      <w:r>
        <w:t>McKendry</w:t>
      </w:r>
      <w:proofErr w:type="spellEnd"/>
      <w:r>
        <w:t xml:space="preserve">, ‘Financial Abuse of Older People in New Zealand – A Working Paper’ (Working Paper No 11/10, Institute of Policy Studies, Victoria University of Wellington and Age Concern New Zealand, November 2011), 15. </w:t>
      </w:r>
    </w:p>
  </w:footnote>
  <w:footnote w:id="8">
    <w:p w:rsidR="00EB1496" w:rsidRDefault="00EB1496">
      <w:pPr>
        <w:pStyle w:val="FootnoteText"/>
      </w:pPr>
      <w:r>
        <w:rPr>
          <w:rStyle w:val="FootnoteReference"/>
        </w:rPr>
        <w:footnoteRef/>
      </w:r>
      <w:r>
        <w:t xml:space="preserve"> </w:t>
      </w:r>
      <w:proofErr w:type="gramStart"/>
      <w:r w:rsidR="009B35AC">
        <w:t>House of Representatives Standing Committee on legal and Constitutional Affairs, Parliament of Australia,</w:t>
      </w:r>
      <w:r>
        <w:t xml:space="preserve"> </w:t>
      </w:r>
      <w:r w:rsidRPr="00EB1496">
        <w:rPr>
          <w:i/>
        </w:rPr>
        <w:t>Older People and the Law</w:t>
      </w:r>
      <w:r>
        <w:t xml:space="preserve"> </w:t>
      </w:r>
      <w:r w:rsidR="009B35AC">
        <w:t>(2007) 36.</w:t>
      </w:r>
      <w:proofErr w:type="gramEnd"/>
    </w:p>
  </w:footnote>
  <w:footnote w:id="9">
    <w:p w:rsidR="00EB1496" w:rsidRDefault="00EB1496">
      <w:pPr>
        <w:pStyle w:val="FootnoteText"/>
      </w:pPr>
      <w:r>
        <w:rPr>
          <w:rStyle w:val="FootnoteReference"/>
        </w:rPr>
        <w:footnoteRef/>
      </w:r>
      <w:r w:rsidR="00E06034">
        <w:t xml:space="preserve"> Sandra L Hughes, ‘Can Bankers Tell? </w:t>
      </w:r>
      <w:proofErr w:type="gramStart"/>
      <w:r w:rsidR="00E06034">
        <w:t xml:space="preserve">– Legal Issues relating </w:t>
      </w:r>
      <w:r w:rsidR="00F33B67">
        <w:t>to Banks Reporting Financial Abuse of the Elderly’ (American Bar Association, 2003).</w:t>
      </w:r>
      <w:proofErr w:type="gramEnd"/>
      <w:r w:rsidR="00F33B67">
        <w:t xml:space="preserve"> </w:t>
      </w:r>
    </w:p>
  </w:footnote>
  <w:footnote w:id="10">
    <w:p w:rsidR="00EB1496" w:rsidRPr="00F33B67" w:rsidRDefault="00EB1496">
      <w:pPr>
        <w:pStyle w:val="FootnoteText"/>
      </w:pPr>
      <w:r>
        <w:rPr>
          <w:rStyle w:val="FootnoteReference"/>
        </w:rPr>
        <w:footnoteRef/>
      </w:r>
      <w:r w:rsidR="00F33B67">
        <w:t xml:space="preserve"> House of Representatives Standing Committee on legal and Constitutional </w:t>
      </w:r>
      <w:r w:rsidR="00091D54">
        <w:t>Affairs,</w:t>
      </w:r>
      <w:r w:rsidR="00F33B67">
        <w:rPr>
          <w:i/>
        </w:rPr>
        <w:t xml:space="preserve"> </w:t>
      </w:r>
      <w:r w:rsidR="00F33B67">
        <w:t xml:space="preserve">above n 8, </w:t>
      </w:r>
      <w:r w:rsidR="00091D54">
        <w:t>33.</w:t>
      </w:r>
    </w:p>
  </w:footnote>
  <w:footnote w:id="11">
    <w:p w:rsidR="00EB1496" w:rsidRDefault="00EB1496">
      <w:pPr>
        <w:pStyle w:val="FootnoteText"/>
      </w:pPr>
      <w:r>
        <w:rPr>
          <w:rStyle w:val="FootnoteReference"/>
        </w:rPr>
        <w:footnoteRef/>
      </w:r>
      <w:r w:rsidR="00091D54">
        <w:t xml:space="preserve"> </w:t>
      </w:r>
      <w:proofErr w:type="gramStart"/>
      <w:r w:rsidR="00091D54">
        <w:t>Ibid 34.</w:t>
      </w:r>
      <w:proofErr w:type="gramEnd"/>
    </w:p>
  </w:footnote>
  <w:footnote w:id="12">
    <w:p w:rsidR="00EB1496" w:rsidRDefault="00EB1496">
      <w:pPr>
        <w:pStyle w:val="FootnoteText"/>
      </w:pPr>
      <w:r>
        <w:rPr>
          <w:rStyle w:val="FootnoteReference"/>
        </w:rPr>
        <w:footnoteRef/>
      </w:r>
      <w:r w:rsidR="00091D54">
        <w:t xml:space="preserve"> </w:t>
      </w:r>
      <w:proofErr w:type="gramStart"/>
      <w:r w:rsidR="00091D54">
        <w:t>Ibid 36.</w:t>
      </w:r>
      <w:proofErr w:type="gramEnd"/>
    </w:p>
  </w:footnote>
  <w:footnote w:id="13">
    <w:p w:rsidR="00EB1496" w:rsidRDefault="00EB1496">
      <w:pPr>
        <w:pStyle w:val="FootnoteText"/>
      </w:pPr>
      <w:r>
        <w:rPr>
          <w:rStyle w:val="FootnoteReference"/>
        </w:rPr>
        <w:footnoteRef/>
      </w:r>
      <w:r>
        <w:t xml:space="preserve"> </w:t>
      </w:r>
      <w:r w:rsidR="00091D54">
        <w:t xml:space="preserve">Louise Kyle, </w:t>
      </w:r>
      <w:r w:rsidR="00C60280">
        <w:t xml:space="preserve">‘Out of the Shadows: A Discussion on Law Reform for the Prevention of Financial Abuse of Older People’ (2013) 7 </w:t>
      </w:r>
      <w:r w:rsidR="00C60280" w:rsidRPr="00C60280">
        <w:rPr>
          <w:i/>
        </w:rPr>
        <w:t>Elder Law Review</w:t>
      </w:r>
      <w:r w:rsidR="00C60280">
        <w:t xml:space="preserve"> 12. </w:t>
      </w:r>
    </w:p>
  </w:footnote>
  <w:footnote w:id="14">
    <w:p w:rsidR="00EB1496" w:rsidRDefault="00EB1496">
      <w:pPr>
        <w:pStyle w:val="FootnoteText"/>
      </w:pPr>
      <w:r>
        <w:rPr>
          <w:rStyle w:val="FootnoteReference"/>
        </w:rPr>
        <w:footnoteRef/>
      </w:r>
      <w:r>
        <w:t xml:space="preserve"> F</w:t>
      </w:r>
      <w:r w:rsidR="00C60280">
        <w:t xml:space="preserve">inancial </w:t>
      </w:r>
      <w:r>
        <w:t>O</w:t>
      </w:r>
      <w:r w:rsidR="009967F8">
        <w:t>m</w:t>
      </w:r>
      <w:r w:rsidR="00C60280">
        <w:t xml:space="preserve">budsman </w:t>
      </w:r>
      <w:r>
        <w:t>S</w:t>
      </w:r>
      <w:r w:rsidR="009967F8">
        <w:t xml:space="preserve">ervice, </w:t>
      </w:r>
      <w:r w:rsidR="009967F8" w:rsidRPr="009967F8">
        <w:rPr>
          <w:i/>
        </w:rPr>
        <w:t>Banking and Finance</w:t>
      </w:r>
      <w:r w:rsidR="009967F8">
        <w:t>, Bulletin 56, (at December 2007) 2.</w:t>
      </w:r>
    </w:p>
  </w:footnote>
  <w:footnote w:id="15">
    <w:p w:rsidR="00EB1496" w:rsidRDefault="00EB1496">
      <w:pPr>
        <w:pStyle w:val="FootnoteText"/>
      </w:pPr>
      <w:r>
        <w:rPr>
          <w:rStyle w:val="FootnoteReference"/>
        </w:rPr>
        <w:footnoteRef/>
      </w:r>
      <w:r>
        <w:t xml:space="preserve"> </w:t>
      </w:r>
      <w:r w:rsidR="009967F8">
        <w:t>House of Representatives Standing Committee on legal and Constitutional Affairs,</w:t>
      </w:r>
      <w:r w:rsidR="009967F8">
        <w:rPr>
          <w:i/>
        </w:rPr>
        <w:t xml:space="preserve"> </w:t>
      </w:r>
      <w:r w:rsidR="009967F8">
        <w:t>above n 8, 39.</w:t>
      </w:r>
    </w:p>
  </w:footnote>
  <w:footnote w:id="16">
    <w:p w:rsidR="00EB1496" w:rsidRDefault="00EB1496">
      <w:pPr>
        <w:pStyle w:val="FootnoteText"/>
      </w:pPr>
      <w:r>
        <w:rPr>
          <w:rStyle w:val="FootnoteReference"/>
        </w:rPr>
        <w:footnoteRef/>
      </w:r>
      <w:r>
        <w:t xml:space="preserve"> </w:t>
      </w:r>
      <w:proofErr w:type="gramStart"/>
      <w:r w:rsidR="009967F8">
        <w:t xml:space="preserve">Ibid </w:t>
      </w:r>
      <w:r>
        <w:t>43</w:t>
      </w:r>
      <w:r w:rsidR="009967F8">
        <w:t>.</w:t>
      </w:r>
      <w:proofErr w:type="gramEnd"/>
      <w:r w:rsidR="009967F8">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50" w:rsidRDefault="00C635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50" w:rsidRPr="00C63550" w:rsidRDefault="00C63550">
    <w:pPr>
      <w:pStyle w:val="Header"/>
      <w:rPr>
        <w:sz w:val="32"/>
        <w:szCs w:val="32"/>
        <w:lang w:val="en-AU"/>
      </w:rPr>
    </w:pPr>
    <w:r w:rsidRPr="00C63550">
      <w:rPr>
        <w:sz w:val="32"/>
        <w:szCs w:val="32"/>
        <w:lang w:val="en-AU"/>
      </w:rPr>
      <w:t xml:space="preserve">72. S Giles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50" w:rsidRDefault="00C635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F19EE"/>
    <w:multiLevelType w:val="hybridMultilevel"/>
    <w:tmpl w:val="C9B4716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7E9C"/>
    <w:rsid w:val="00091D54"/>
    <w:rsid w:val="0009583F"/>
    <w:rsid w:val="000B43D5"/>
    <w:rsid w:val="000D40A5"/>
    <w:rsid w:val="000E11F2"/>
    <w:rsid w:val="000E66FF"/>
    <w:rsid w:val="001D1B5B"/>
    <w:rsid w:val="001E1102"/>
    <w:rsid w:val="002105F1"/>
    <w:rsid w:val="0025649C"/>
    <w:rsid w:val="0027232E"/>
    <w:rsid w:val="002D1D9E"/>
    <w:rsid w:val="002E14AB"/>
    <w:rsid w:val="00311F7B"/>
    <w:rsid w:val="00321957"/>
    <w:rsid w:val="00321A1A"/>
    <w:rsid w:val="0036347D"/>
    <w:rsid w:val="00374E3E"/>
    <w:rsid w:val="003C1AA3"/>
    <w:rsid w:val="003D0731"/>
    <w:rsid w:val="003F631E"/>
    <w:rsid w:val="003F650E"/>
    <w:rsid w:val="0040708E"/>
    <w:rsid w:val="00420E5E"/>
    <w:rsid w:val="004F5BAB"/>
    <w:rsid w:val="00514580"/>
    <w:rsid w:val="005418CE"/>
    <w:rsid w:val="0056108D"/>
    <w:rsid w:val="00562501"/>
    <w:rsid w:val="005647B1"/>
    <w:rsid w:val="00582EAB"/>
    <w:rsid w:val="00634281"/>
    <w:rsid w:val="006B5BB3"/>
    <w:rsid w:val="006E7E9C"/>
    <w:rsid w:val="006F4493"/>
    <w:rsid w:val="00773CD8"/>
    <w:rsid w:val="007F660F"/>
    <w:rsid w:val="008203C8"/>
    <w:rsid w:val="00874A57"/>
    <w:rsid w:val="00881833"/>
    <w:rsid w:val="008924E8"/>
    <w:rsid w:val="008B79E9"/>
    <w:rsid w:val="008E6CF3"/>
    <w:rsid w:val="009029D8"/>
    <w:rsid w:val="00921A8A"/>
    <w:rsid w:val="009442FF"/>
    <w:rsid w:val="00992E5A"/>
    <w:rsid w:val="009967F8"/>
    <w:rsid w:val="009B35AC"/>
    <w:rsid w:val="009C5AB5"/>
    <w:rsid w:val="009E0C0D"/>
    <w:rsid w:val="009E1767"/>
    <w:rsid w:val="00A11A4D"/>
    <w:rsid w:val="00AA0F99"/>
    <w:rsid w:val="00B0593E"/>
    <w:rsid w:val="00B12DCB"/>
    <w:rsid w:val="00B72812"/>
    <w:rsid w:val="00B73433"/>
    <w:rsid w:val="00BA7D7F"/>
    <w:rsid w:val="00BA7E1B"/>
    <w:rsid w:val="00C167E1"/>
    <w:rsid w:val="00C324EF"/>
    <w:rsid w:val="00C428CC"/>
    <w:rsid w:val="00C60280"/>
    <w:rsid w:val="00C63550"/>
    <w:rsid w:val="00C67D5E"/>
    <w:rsid w:val="00C93BE4"/>
    <w:rsid w:val="00C970E7"/>
    <w:rsid w:val="00CC47D1"/>
    <w:rsid w:val="00CC5C91"/>
    <w:rsid w:val="00CD792A"/>
    <w:rsid w:val="00D07187"/>
    <w:rsid w:val="00D50739"/>
    <w:rsid w:val="00D55991"/>
    <w:rsid w:val="00E06034"/>
    <w:rsid w:val="00E06039"/>
    <w:rsid w:val="00E41AC0"/>
    <w:rsid w:val="00E5215D"/>
    <w:rsid w:val="00E84072"/>
    <w:rsid w:val="00EB1496"/>
    <w:rsid w:val="00EC16D7"/>
    <w:rsid w:val="00F25A1D"/>
    <w:rsid w:val="00F33B67"/>
    <w:rsid w:val="00F443FD"/>
    <w:rsid w:val="00F63766"/>
    <w:rsid w:val="00FE0DAA"/>
    <w:rsid w:val="00FE77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6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6FF"/>
    <w:rPr>
      <w:color w:val="0000FF" w:themeColor="hyperlink"/>
      <w:u w:val="single"/>
    </w:rPr>
  </w:style>
  <w:style w:type="character" w:styleId="FollowedHyperlink">
    <w:name w:val="FollowedHyperlink"/>
    <w:basedOn w:val="DefaultParagraphFont"/>
    <w:uiPriority w:val="99"/>
    <w:semiHidden/>
    <w:unhideWhenUsed/>
    <w:rsid w:val="000E66FF"/>
    <w:rPr>
      <w:color w:val="800080" w:themeColor="followedHyperlink"/>
      <w:u w:val="single"/>
    </w:rPr>
  </w:style>
  <w:style w:type="paragraph" w:styleId="FootnoteText">
    <w:name w:val="footnote text"/>
    <w:basedOn w:val="Normal"/>
    <w:link w:val="FootnoteTextChar"/>
    <w:uiPriority w:val="99"/>
    <w:semiHidden/>
    <w:unhideWhenUsed/>
    <w:rsid w:val="00B12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DCB"/>
    <w:rPr>
      <w:sz w:val="20"/>
      <w:szCs w:val="20"/>
    </w:rPr>
  </w:style>
  <w:style w:type="character" w:styleId="FootnoteReference">
    <w:name w:val="footnote reference"/>
    <w:basedOn w:val="DefaultParagraphFont"/>
    <w:uiPriority w:val="99"/>
    <w:semiHidden/>
    <w:unhideWhenUsed/>
    <w:rsid w:val="00B12DCB"/>
    <w:rPr>
      <w:vertAlign w:val="superscript"/>
    </w:rPr>
  </w:style>
  <w:style w:type="paragraph" w:styleId="BodyText">
    <w:name w:val="Body Text"/>
    <w:basedOn w:val="Normal"/>
    <w:link w:val="BodyTextChar"/>
    <w:unhideWhenUsed/>
    <w:rsid w:val="00E5215D"/>
    <w:pPr>
      <w:spacing w:after="0" w:line="240" w:lineRule="auto"/>
    </w:pPr>
    <w:rPr>
      <w:rFonts w:ascii="Arial" w:eastAsia="Times New Roman" w:hAnsi="Arial" w:cs="Arial"/>
      <w:sz w:val="24"/>
      <w:szCs w:val="24"/>
      <w:lang w:bidi="en-US"/>
    </w:rPr>
  </w:style>
  <w:style w:type="character" w:customStyle="1" w:styleId="BodyTextChar">
    <w:name w:val="Body Text Char"/>
    <w:basedOn w:val="DefaultParagraphFont"/>
    <w:link w:val="BodyText"/>
    <w:rsid w:val="00E5215D"/>
    <w:rPr>
      <w:rFonts w:ascii="Arial" w:eastAsia="Times New Roman" w:hAnsi="Arial" w:cs="Arial"/>
      <w:sz w:val="24"/>
      <w:szCs w:val="24"/>
      <w:lang w:bidi="en-US"/>
    </w:rPr>
  </w:style>
  <w:style w:type="paragraph" w:styleId="BalloonText">
    <w:name w:val="Balloon Text"/>
    <w:basedOn w:val="Normal"/>
    <w:link w:val="BalloonTextChar"/>
    <w:uiPriority w:val="99"/>
    <w:semiHidden/>
    <w:unhideWhenUsed/>
    <w:rsid w:val="00E5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5D"/>
    <w:rPr>
      <w:rFonts w:ascii="Tahoma" w:hAnsi="Tahoma" w:cs="Tahoma"/>
      <w:sz w:val="16"/>
      <w:szCs w:val="16"/>
    </w:rPr>
  </w:style>
  <w:style w:type="paragraph" w:styleId="Header">
    <w:name w:val="header"/>
    <w:basedOn w:val="Normal"/>
    <w:link w:val="HeaderChar"/>
    <w:uiPriority w:val="99"/>
    <w:semiHidden/>
    <w:unhideWhenUsed/>
    <w:rsid w:val="00C635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3550"/>
  </w:style>
  <w:style w:type="paragraph" w:styleId="Footer">
    <w:name w:val="footer"/>
    <w:basedOn w:val="Normal"/>
    <w:link w:val="FooterChar"/>
    <w:uiPriority w:val="99"/>
    <w:semiHidden/>
    <w:unhideWhenUsed/>
    <w:rsid w:val="00C635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635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66FF"/>
    <w:rPr>
      <w:color w:val="0000FF" w:themeColor="hyperlink"/>
      <w:u w:val="single"/>
    </w:rPr>
  </w:style>
  <w:style w:type="character" w:styleId="FollowedHyperlink">
    <w:name w:val="FollowedHyperlink"/>
    <w:basedOn w:val="DefaultParagraphFont"/>
    <w:uiPriority w:val="99"/>
    <w:semiHidden/>
    <w:unhideWhenUsed/>
    <w:rsid w:val="000E66FF"/>
    <w:rPr>
      <w:color w:val="800080" w:themeColor="followedHyperlink"/>
      <w:u w:val="single"/>
    </w:rPr>
  </w:style>
  <w:style w:type="paragraph" w:styleId="FootnoteText">
    <w:name w:val="footnote text"/>
    <w:basedOn w:val="Normal"/>
    <w:link w:val="FootnoteTextChar"/>
    <w:uiPriority w:val="99"/>
    <w:semiHidden/>
    <w:unhideWhenUsed/>
    <w:rsid w:val="00B12D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2DCB"/>
    <w:rPr>
      <w:sz w:val="20"/>
      <w:szCs w:val="20"/>
    </w:rPr>
  </w:style>
  <w:style w:type="character" w:styleId="FootnoteReference">
    <w:name w:val="footnote reference"/>
    <w:basedOn w:val="DefaultParagraphFont"/>
    <w:uiPriority w:val="99"/>
    <w:semiHidden/>
    <w:unhideWhenUsed/>
    <w:rsid w:val="00B12DCB"/>
    <w:rPr>
      <w:vertAlign w:val="superscript"/>
    </w:rPr>
  </w:style>
  <w:style w:type="paragraph" w:styleId="BodyText">
    <w:name w:val="Body Text"/>
    <w:basedOn w:val="Normal"/>
    <w:link w:val="BodyTextChar"/>
    <w:unhideWhenUsed/>
    <w:rsid w:val="00E5215D"/>
    <w:pPr>
      <w:spacing w:after="0" w:line="240" w:lineRule="auto"/>
    </w:pPr>
    <w:rPr>
      <w:rFonts w:ascii="Arial" w:eastAsia="Times New Roman" w:hAnsi="Arial" w:cs="Arial"/>
      <w:sz w:val="24"/>
      <w:szCs w:val="24"/>
      <w:lang w:bidi="en-US"/>
    </w:rPr>
  </w:style>
  <w:style w:type="character" w:customStyle="1" w:styleId="BodyTextChar">
    <w:name w:val="Body Text Char"/>
    <w:basedOn w:val="DefaultParagraphFont"/>
    <w:link w:val="BodyText"/>
    <w:rsid w:val="00E5215D"/>
    <w:rPr>
      <w:rFonts w:ascii="Arial" w:eastAsia="Times New Roman" w:hAnsi="Arial" w:cs="Arial"/>
      <w:sz w:val="24"/>
      <w:szCs w:val="24"/>
      <w:lang w:bidi="en-US"/>
    </w:rPr>
  </w:style>
  <w:style w:type="paragraph" w:styleId="BalloonText">
    <w:name w:val="Balloon Text"/>
    <w:basedOn w:val="Normal"/>
    <w:link w:val="BalloonTextChar"/>
    <w:uiPriority w:val="99"/>
    <w:semiHidden/>
    <w:unhideWhenUsed/>
    <w:rsid w:val="00E52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334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66748-3E5B-4124-A0E5-B60786EB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Giles</dc:creator>
  <cp:lastModifiedBy>marie-claire.muir</cp:lastModifiedBy>
  <cp:revision>2</cp:revision>
  <dcterms:created xsi:type="dcterms:W3CDTF">2016-08-22T07:14:00Z</dcterms:created>
  <dcterms:modified xsi:type="dcterms:W3CDTF">2016-08-22T07:14:00Z</dcterms:modified>
</cp:coreProperties>
</file>