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40" w:rsidRDefault="00A04840" w:rsidP="00D62050">
      <w:pPr>
        <w:spacing w:before="100" w:beforeAutospacing="1" w:after="100" w:afterAutospacing="1" w:line="240" w:lineRule="auto"/>
        <w:jc w:val="center"/>
        <w:rPr>
          <w:rFonts w:ascii="Helvetica" w:eastAsia="Times New Roman" w:hAnsi="Helvetica" w:cs="Helvetica"/>
          <w:color w:val="444444"/>
          <w:sz w:val="24"/>
          <w:szCs w:val="24"/>
          <w:lang w:eastAsia="en-AU"/>
        </w:rPr>
      </w:pPr>
      <w:r>
        <w:rPr>
          <w:noProof/>
          <w:lang w:eastAsia="en-AU"/>
        </w:rPr>
        <w:drawing>
          <wp:inline distT="0" distB="0" distL="0" distR="0">
            <wp:extent cx="1143000" cy="1345557"/>
            <wp:effectExtent l="19050" t="0" r="0" b="0"/>
            <wp:docPr id="1" name="Picture 1" descr="C:\Users\rod.ERA\AppData\Local\Microsoft\Windows\Temporary Internet Files\Content.Word\ADPG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ERA\AppData\Local\Microsoft\Windows\Temporary Internet Files\Content.Word\ADPG logo 3.jpg"/>
                    <pic:cNvPicPr>
                      <a:picLocks noChangeAspect="1" noChangeArrowheads="1"/>
                    </pic:cNvPicPr>
                  </pic:nvPicPr>
                  <pic:blipFill>
                    <a:blip r:embed="rId7" cstate="print"/>
                    <a:srcRect/>
                    <a:stretch>
                      <a:fillRect/>
                    </a:stretch>
                  </pic:blipFill>
                  <pic:spPr bwMode="auto">
                    <a:xfrm>
                      <a:off x="0" y="0"/>
                      <a:ext cx="1143000" cy="1345557"/>
                    </a:xfrm>
                    <a:prstGeom prst="rect">
                      <a:avLst/>
                    </a:prstGeom>
                    <a:noFill/>
                    <a:ln w="9525">
                      <a:noFill/>
                      <a:miter lim="800000"/>
                      <a:headEnd/>
                      <a:tailEnd/>
                    </a:ln>
                  </pic:spPr>
                </pic:pic>
              </a:graphicData>
            </a:graphic>
          </wp:inline>
        </w:drawing>
      </w:r>
    </w:p>
    <w:p w:rsidR="00A04840" w:rsidRPr="00D62050" w:rsidRDefault="00A04840" w:rsidP="00D62050">
      <w:pPr>
        <w:spacing w:after="0" w:line="240" w:lineRule="auto"/>
        <w:jc w:val="center"/>
        <w:rPr>
          <w:rFonts w:ascii="Helvetica" w:eastAsia="Times New Roman" w:hAnsi="Helvetica" w:cs="Helvetica"/>
          <w:b/>
          <w:color w:val="444444"/>
          <w:sz w:val="28"/>
          <w:szCs w:val="28"/>
          <w:lang w:eastAsia="en-AU"/>
        </w:rPr>
      </w:pPr>
      <w:r w:rsidRPr="00D62050">
        <w:rPr>
          <w:rFonts w:ascii="Helvetica" w:eastAsia="Times New Roman" w:hAnsi="Helvetica" w:cs="Helvetica"/>
          <w:b/>
          <w:color w:val="444444"/>
          <w:sz w:val="28"/>
          <w:szCs w:val="28"/>
          <w:lang w:eastAsia="en-AU"/>
        </w:rPr>
        <w:t>SUBMISSION TO THE AUSTRALIAN LAW REFORM COMMISSION</w:t>
      </w:r>
    </w:p>
    <w:p w:rsidR="00A04840" w:rsidRPr="00D62050" w:rsidRDefault="00D62050" w:rsidP="00D62050">
      <w:pPr>
        <w:spacing w:after="100" w:afterAutospacing="1" w:line="240" w:lineRule="auto"/>
        <w:jc w:val="center"/>
        <w:rPr>
          <w:rFonts w:ascii="Helvetica" w:eastAsia="Times New Roman" w:hAnsi="Helvetica" w:cs="Helvetica"/>
          <w:b/>
          <w:color w:val="444444"/>
          <w:sz w:val="24"/>
          <w:szCs w:val="24"/>
          <w:lang w:eastAsia="en-AU"/>
        </w:rPr>
      </w:pPr>
      <w:r w:rsidRPr="00D62050">
        <w:rPr>
          <w:rFonts w:ascii="Helvetica" w:eastAsia="Times New Roman" w:hAnsi="Helvetica" w:cs="Helvetica"/>
          <w:b/>
          <w:color w:val="444444"/>
          <w:sz w:val="28"/>
          <w:szCs w:val="28"/>
          <w:lang w:eastAsia="en-AU"/>
        </w:rPr>
        <w:t>b</w:t>
      </w:r>
      <w:r w:rsidR="00A04840" w:rsidRPr="00D62050">
        <w:rPr>
          <w:rFonts w:ascii="Helvetica" w:eastAsia="Times New Roman" w:hAnsi="Helvetica" w:cs="Helvetica"/>
          <w:b/>
          <w:color w:val="444444"/>
          <w:sz w:val="28"/>
          <w:szCs w:val="28"/>
          <w:lang w:eastAsia="en-AU"/>
        </w:rPr>
        <w:t xml:space="preserve">y the </w:t>
      </w:r>
      <w:r w:rsidRPr="00D62050">
        <w:rPr>
          <w:rFonts w:ascii="Helvetica" w:eastAsia="Times New Roman" w:hAnsi="Helvetica" w:cs="Helvetica"/>
          <w:b/>
          <w:color w:val="444444"/>
          <w:sz w:val="28"/>
          <w:szCs w:val="28"/>
          <w:lang w:eastAsia="en-AU"/>
        </w:rPr>
        <w:t>Adelaide Digital Publishing Group</w:t>
      </w:r>
    </w:p>
    <w:p w:rsidR="00D62050" w:rsidRPr="008C33C9" w:rsidRDefault="008C33C9" w:rsidP="00D62050">
      <w:pPr>
        <w:spacing w:before="100" w:beforeAutospacing="1" w:after="100" w:afterAutospacing="1" w:line="240" w:lineRule="auto"/>
        <w:rPr>
          <w:rFonts w:ascii="Helvetica" w:eastAsia="Times New Roman" w:hAnsi="Helvetica" w:cs="Helvetica"/>
          <w:color w:val="444444"/>
          <w:sz w:val="24"/>
          <w:szCs w:val="24"/>
          <w:lang w:eastAsia="en-AU"/>
        </w:rPr>
      </w:pPr>
      <w:r w:rsidRPr="008C33C9">
        <w:rPr>
          <w:rFonts w:ascii="Helvetica" w:eastAsia="Times New Roman" w:hAnsi="Helvetica" w:cs="Helvetica"/>
          <w:color w:val="444444"/>
          <w:sz w:val="24"/>
          <w:szCs w:val="24"/>
          <w:lang w:eastAsia="en-AU"/>
        </w:rPr>
        <w:t>This is a collective submission</w:t>
      </w:r>
      <w:r>
        <w:rPr>
          <w:rFonts w:ascii="Helvetica" w:eastAsia="Times New Roman" w:hAnsi="Helvetica" w:cs="Helvetica"/>
          <w:color w:val="444444"/>
          <w:sz w:val="24"/>
          <w:szCs w:val="24"/>
          <w:lang w:eastAsia="en-AU"/>
        </w:rPr>
        <w:t xml:space="preserve"> to the </w:t>
      </w:r>
      <w:r w:rsidRPr="008C33C9">
        <w:rPr>
          <w:rFonts w:ascii="Helvetica" w:eastAsia="Times New Roman" w:hAnsi="Helvetica" w:cs="Helvetica"/>
          <w:color w:val="444444"/>
          <w:sz w:val="24"/>
          <w:szCs w:val="24"/>
          <w:lang w:eastAsia="en-AU"/>
        </w:rPr>
        <w:t>Australian Law Reform Commission</w:t>
      </w:r>
      <w:r>
        <w:rPr>
          <w:rFonts w:ascii="Helvetica" w:eastAsia="Times New Roman" w:hAnsi="Helvetica" w:cs="Helvetica"/>
          <w:color w:val="444444"/>
          <w:sz w:val="24"/>
          <w:szCs w:val="24"/>
          <w:lang w:eastAsia="en-AU"/>
        </w:rPr>
        <w:t xml:space="preserve"> by the Adelaide Digital Publishing Group</w:t>
      </w:r>
      <w:r w:rsidR="00BD1BCC">
        <w:rPr>
          <w:rFonts w:ascii="Helvetica" w:eastAsia="Times New Roman" w:hAnsi="Helvetica" w:cs="Helvetica"/>
          <w:color w:val="444444"/>
          <w:sz w:val="24"/>
          <w:szCs w:val="24"/>
          <w:lang w:eastAsia="en-AU"/>
        </w:rPr>
        <w:t xml:space="preserve"> (ADPG)</w:t>
      </w:r>
      <w:r>
        <w:rPr>
          <w:rFonts w:ascii="Helvetica" w:eastAsia="Times New Roman" w:hAnsi="Helvetica" w:cs="Helvetica"/>
          <w:color w:val="444444"/>
          <w:sz w:val="24"/>
          <w:szCs w:val="24"/>
          <w:lang w:eastAsia="en-AU"/>
        </w:rPr>
        <w:t>. Statistics on the publishing activity of this group are provided to give a clear picture of what is happening within the industry in certain respects.</w:t>
      </w:r>
      <w:r w:rsidR="00BD1BCC">
        <w:rPr>
          <w:rFonts w:ascii="Helvetica" w:eastAsia="Times New Roman" w:hAnsi="Helvetica" w:cs="Helvetica"/>
          <w:color w:val="444444"/>
          <w:sz w:val="24"/>
          <w:szCs w:val="24"/>
          <w:lang w:eastAsia="en-AU"/>
        </w:rPr>
        <w:t xml:space="preserve"> The views of the group members are based on this evidence.</w:t>
      </w:r>
    </w:p>
    <w:p w:rsidR="00A04840" w:rsidRPr="00D62050" w:rsidRDefault="00D62050" w:rsidP="00D62050">
      <w:pPr>
        <w:pStyle w:val="ListParagraph"/>
        <w:numPr>
          <w:ilvl w:val="0"/>
          <w:numId w:val="2"/>
        </w:numPr>
        <w:spacing w:before="100" w:beforeAutospacing="1" w:after="100" w:afterAutospacing="1" w:line="240" w:lineRule="auto"/>
        <w:rPr>
          <w:rFonts w:ascii="Helvetica" w:eastAsia="Times New Roman" w:hAnsi="Helvetica" w:cs="Helvetica"/>
          <w:b/>
          <w:color w:val="444444"/>
          <w:sz w:val="24"/>
          <w:szCs w:val="24"/>
          <w:lang w:eastAsia="en-AU"/>
        </w:rPr>
      </w:pPr>
      <w:r w:rsidRPr="00D62050">
        <w:rPr>
          <w:rFonts w:ascii="Helvetica" w:eastAsia="Times New Roman" w:hAnsi="Helvetica" w:cs="Helvetica"/>
          <w:b/>
          <w:color w:val="444444"/>
          <w:sz w:val="24"/>
          <w:szCs w:val="24"/>
          <w:lang w:eastAsia="en-AU"/>
        </w:rPr>
        <w:t>A</w:t>
      </w:r>
      <w:r w:rsidR="00A04840" w:rsidRPr="00D62050">
        <w:rPr>
          <w:rFonts w:ascii="Helvetica" w:eastAsia="Times New Roman" w:hAnsi="Helvetica" w:cs="Helvetica"/>
          <w:b/>
          <w:color w:val="444444"/>
          <w:sz w:val="24"/>
          <w:szCs w:val="24"/>
          <w:lang w:eastAsia="en-AU"/>
        </w:rPr>
        <w:t xml:space="preserve">bout </w:t>
      </w:r>
      <w:r w:rsidRPr="00D62050">
        <w:rPr>
          <w:rFonts w:ascii="Helvetica" w:eastAsia="Times New Roman" w:hAnsi="Helvetica" w:cs="Helvetica"/>
          <w:b/>
          <w:color w:val="444444"/>
          <w:sz w:val="24"/>
          <w:szCs w:val="24"/>
          <w:lang w:eastAsia="en-AU"/>
        </w:rPr>
        <w:t>the Adelaide Digital Publishing Group (ADPG)</w:t>
      </w:r>
    </w:p>
    <w:p w:rsidR="00D62050" w:rsidRPr="00A04840" w:rsidRDefault="00D62050" w:rsidP="00D62050">
      <w:pPr>
        <w:spacing w:before="100" w:beforeAutospacing="1" w:after="100" w:afterAutospacing="1" w:line="240" w:lineRule="auto"/>
        <w:ind w:left="360"/>
        <w:rPr>
          <w:rFonts w:ascii="Helvetica" w:eastAsia="Times New Roman" w:hAnsi="Helvetica" w:cs="Helvetica"/>
          <w:color w:val="444444"/>
          <w:sz w:val="24"/>
          <w:szCs w:val="24"/>
          <w:lang w:eastAsia="en-AU"/>
        </w:rPr>
      </w:pPr>
      <w:r>
        <w:rPr>
          <w:rFonts w:ascii="Helvetica" w:eastAsia="Times New Roman" w:hAnsi="Helvetica" w:cs="Helvetica"/>
          <w:b/>
          <w:i/>
          <w:color w:val="444444"/>
          <w:sz w:val="24"/>
          <w:szCs w:val="24"/>
          <w:lang w:eastAsia="en-AU"/>
        </w:rPr>
        <w:t xml:space="preserve">1.1 </w:t>
      </w:r>
      <w:r w:rsidRPr="00D62050">
        <w:rPr>
          <w:rFonts w:ascii="Helvetica" w:eastAsia="Times New Roman" w:hAnsi="Helvetica" w:cs="Helvetica"/>
          <w:b/>
          <w:i/>
          <w:color w:val="444444"/>
          <w:sz w:val="24"/>
          <w:szCs w:val="24"/>
          <w:lang w:eastAsia="en-AU"/>
        </w:rPr>
        <w:t>Members</w:t>
      </w:r>
    </w:p>
    <w:p w:rsidR="00D62050" w:rsidRDefault="008C33C9" w:rsidP="004B767F">
      <w:pPr>
        <w:spacing w:before="100" w:beforeAutospacing="1" w:after="100" w:afterAutospacing="1"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w:t>
      </w:r>
      <w:r w:rsidR="004B767F">
        <w:rPr>
          <w:rFonts w:ascii="Helvetica" w:eastAsia="Times New Roman" w:hAnsi="Helvetica" w:cs="Helvetica"/>
          <w:color w:val="444444"/>
          <w:sz w:val="24"/>
          <w:szCs w:val="24"/>
          <w:lang w:eastAsia="en-AU"/>
        </w:rPr>
        <w:t>he members of the ADPG</w:t>
      </w:r>
      <w:r>
        <w:rPr>
          <w:rFonts w:ascii="Helvetica" w:eastAsia="Times New Roman" w:hAnsi="Helvetica" w:cs="Helvetica"/>
          <w:color w:val="444444"/>
          <w:sz w:val="24"/>
          <w:szCs w:val="24"/>
          <w:lang w:eastAsia="en-AU"/>
        </w:rPr>
        <w:t xml:space="preserve"> are</w:t>
      </w:r>
      <w:r w:rsidR="004B767F">
        <w:rPr>
          <w:rFonts w:ascii="Helvetica" w:eastAsia="Times New Roman" w:hAnsi="Helvetica" w:cs="Helvetica"/>
          <w:color w:val="444444"/>
          <w:sz w:val="24"/>
          <w:szCs w:val="24"/>
          <w:lang w:eastAsia="en-AU"/>
        </w:rPr>
        <w:t>:</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ATF</w:t>
      </w:r>
      <w:r w:rsidR="00656A10">
        <w:rPr>
          <w:rFonts w:ascii="Helvetica" w:eastAsia="Times New Roman" w:hAnsi="Helvetica" w:cs="Helvetica"/>
          <w:b/>
          <w:color w:val="444444"/>
          <w:sz w:val="24"/>
          <w:szCs w:val="24"/>
          <w:lang w:eastAsia="en-AU"/>
        </w:rPr>
        <w:t xml:space="preserve"> Press</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2D090B" w:rsidRPr="002D090B">
        <w:rPr>
          <w:rFonts w:ascii="Helvetica" w:eastAsia="Times New Roman" w:hAnsi="Helvetica" w:cs="Helvetica"/>
          <w:color w:val="444444"/>
          <w:sz w:val="24"/>
          <w:szCs w:val="24"/>
          <w:lang w:eastAsia="en-AU"/>
        </w:rPr>
        <w:t xml:space="preserve"> </w:t>
      </w:r>
      <w:r w:rsidR="005E024A">
        <w:rPr>
          <w:rFonts w:ascii="Helvetica" w:eastAsia="Times New Roman" w:hAnsi="Helvetica" w:cs="Helvetica"/>
          <w:color w:val="444444"/>
          <w:sz w:val="24"/>
          <w:szCs w:val="24"/>
          <w:lang w:eastAsia="en-AU"/>
        </w:rPr>
        <w:t>1993</w:t>
      </w:r>
      <w:r w:rsidR="002D090B" w:rsidRPr="002D090B">
        <w:rPr>
          <w:rFonts w:ascii="Helvetica" w:eastAsia="Times New Roman" w:hAnsi="Helvetica" w:cs="Helvetica"/>
          <w:color w:val="444444"/>
          <w:sz w:val="24"/>
          <w:szCs w:val="24"/>
          <w:lang w:eastAsia="en-AU"/>
        </w:rPr>
        <w:t>)</w:t>
      </w:r>
      <w:r>
        <w:rPr>
          <w:rFonts w:ascii="Helvetica" w:eastAsia="Times New Roman" w:hAnsi="Helvetica" w:cs="Helvetica"/>
          <w:color w:val="444444"/>
          <w:sz w:val="24"/>
          <w:szCs w:val="24"/>
          <w:lang w:eastAsia="en-AU"/>
        </w:rPr>
        <w:t xml:space="preserve">: </w:t>
      </w:r>
      <w:r w:rsidR="007577BC">
        <w:rPr>
          <w:rFonts w:ascii="Helvetica" w:eastAsia="Times New Roman" w:hAnsi="Helvetica" w:cs="Helvetica"/>
          <w:color w:val="444444"/>
          <w:sz w:val="24"/>
          <w:szCs w:val="24"/>
          <w:lang w:eastAsia="en-AU"/>
        </w:rPr>
        <w:t>religious and</w:t>
      </w:r>
      <w:r w:rsidR="005E024A">
        <w:rPr>
          <w:rFonts w:ascii="Helvetica" w:eastAsia="Times New Roman" w:hAnsi="Helvetica" w:cs="Helvetica"/>
          <w:color w:val="444444"/>
          <w:sz w:val="24"/>
          <w:szCs w:val="24"/>
          <w:lang w:eastAsia="en-AU"/>
        </w:rPr>
        <w:t xml:space="preserve"> general </w:t>
      </w:r>
      <w:r w:rsidR="00563E87">
        <w:rPr>
          <w:rFonts w:ascii="Helvetica" w:eastAsia="Times New Roman" w:hAnsi="Helvetica" w:cs="Helvetica"/>
          <w:color w:val="444444"/>
          <w:sz w:val="24"/>
          <w:szCs w:val="24"/>
          <w:lang w:eastAsia="en-AU"/>
        </w:rPr>
        <w:t xml:space="preserve">publisher </w:t>
      </w:r>
    </w:p>
    <w:p w:rsidR="00656A10" w:rsidRPr="00656A10" w:rsidRDefault="00656A10" w:rsidP="00563E87">
      <w:pPr>
        <w:spacing w:after="0"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b/>
          <w:color w:val="444444"/>
          <w:sz w:val="24"/>
          <w:szCs w:val="24"/>
          <w:lang w:eastAsia="en-AU"/>
        </w:rPr>
        <w:t>DoctorZed Publishing</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2D090B" w:rsidRPr="002D090B">
        <w:rPr>
          <w:rFonts w:ascii="Helvetica" w:eastAsia="Times New Roman" w:hAnsi="Helvetica" w:cs="Helvetica"/>
          <w:color w:val="444444"/>
          <w:sz w:val="24"/>
          <w:szCs w:val="24"/>
          <w:lang w:eastAsia="en-AU"/>
        </w:rPr>
        <w:t xml:space="preserve"> </w:t>
      </w:r>
      <w:r w:rsidR="004701B2">
        <w:rPr>
          <w:rFonts w:ascii="Helvetica" w:eastAsia="Times New Roman" w:hAnsi="Helvetica" w:cs="Helvetica"/>
          <w:color w:val="444444"/>
          <w:sz w:val="24"/>
          <w:szCs w:val="24"/>
          <w:lang w:eastAsia="en-AU"/>
        </w:rPr>
        <w:t>2006</w:t>
      </w:r>
      <w:r w:rsidR="002D090B" w:rsidRPr="002D090B">
        <w:rPr>
          <w:rFonts w:ascii="Helvetica" w:eastAsia="Times New Roman" w:hAnsi="Helvetica" w:cs="Helvetica"/>
          <w:color w:val="444444"/>
          <w:sz w:val="24"/>
          <w:szCs w:val="24"/>
          <w:lang w:eastAsia="en-AU"/>
        </w:rPr>
        <w:t>)</w:t>
      </w:r>
      <w:r>
        <w:rPr>
          <w:rFonts w:ascii="Helvetica" w:eastAsia="Times New Roman" w:hAnsi="Helvetica" w:cs="Helvetica"/>
          <w:color w:val="444444"/>
          <w:sz w:val="24"/>
          <w:szCs w:val="24"/>
          <w:lang w:eastAsia="en-AU"/>
        </w:rPr>
        <w:t>: digital publisher and distributor</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Era Publications</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2D090B" w:rsidRPr="002D090B">
        <w:rPr>
          <w:rFonts w:ascii="Helvetica" w:eastAsia="Times New Roman" w:hAnsi="Helvetica" w:cs="Helvetica"/>
          <w:color w:val="444444"/>
          <w:sz w:val="24"/>
          <w:szCs w:val="24"/>
          <w:lang w:eastAsia="en-AU"/>
        </w:rPr>
        <w:t xml:space="preserve"> 1971)</w:t>
      </w:r>
      <w:r w:rsidR="00563E87">
        <w:rPr>
          <w:rFonts w:ascii="Helvetica" w:eastAsia="Times New Roman" w:hAnsi="Helvetica" w:cs="Helvetica"/>
          <w:color w:val="444444"/>
          <w:sz w:val="24"/>
          <w:szCs w:val="24"/>
          <w:lang w:eastAsia="en-AU"/>
        </w:rPr>
        <w:t>: educational publisher</w:t>
      </w:r>
      <w:r>
        <w:rPr>
          <w:rFonts w:ascii="Helvetica" w:eastAsia="Times New Roman" w:hAnsi="Helvetica" w:cs="Helvetica"/>
          <w:color w:val="444444"/>
          <w:sz w:val="24"/>
          <w:szCs w:val="24"/>
          <w:lang w:eastAsia="en-AU"/>
        </w:rPr>
        <w:t xml:space="preserve"> specialising in K-8 literacy</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Haese Mathematics</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F63D61">
        <w:rPr>
          <w:rFonts w:ascii="Helvetica" w:eastAsia="Times New Roman" w:hAnsi="Helvetica" w:cs="Helvetica"/>
          <w:color w:val="444444"/>
          <w:sz w:val="24"/>
          <w:szCs w:val="24"/>
          <w:lang w:eastAsia="en-AU"/>
        </w:rPr>
        <w:t xml:space="preserve"> 1979</w:t>
      </w:r>
      <w:r w:rsidR="002D090B" w:rsidRPr="002D090B">
        <w:rPr>
          <w:rFonts w:ascii="Helvetica" w:eastAsia="Times New Roman" w:hAnsi="Helvetica" w:cs="Helvetica"/>
          <w:color w:val="444444"/>
          <w:sz w:val="24"/>
          <w:szCs w:val="24"/>
          <w:lang w:eastAsia="en-AU"/>
        </w:rPr>
        <w:t>)</w:t>
      </w:r>
      <w:r w:rsidR="00563E87">
        <w:rPr>
          <w:rFonts w:ascii="Helvetica" w:eastAsia="Times New Roman" w:hAnsi="Helvetica" w:cs="Helvetica"/>
          <w:color w:val="444444"/>
          <w:sz w:val="24"/>
          <w:szCs w:val="24"/>
          <w:lang w:eastAsia="en-AU"/>
        </w:rPr>
        <w:t>: educational publisher</w:t>
      </w:r>
      <w:r>
        <w:rPr>
          <w:rFonts w:ascii="Helvetica" w:eastAsia="Times New Roman" w:hAnsi="Helvetica" w:cs="Helvetica"/>
          <w:color w:val="444444"/>
          <w:sz w:val="24"/>
          <w:szCs w:val="24"/>
          <w:lang w:eastAsia="en-AU"/>
        </w:rPr>
        <w:t xml:space="preserve"> specialising in 4-12 mathematics</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NOI Group</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2D090B" w:rsidRPr="002D090B">
        <w:rPr>
          <w:rFonts w:ascii="Helvetica" w:eastAsia="Times New Roman" w:hAnsi="Helvetica" w:cs="Helvetica"/>
          <w:color w:val="444444"/>
          <w:sz w:val="24"/>
          <w:szCs w:val="24"/>
          <w:lang w:eastAsia="en-AU"/>
        </w:rPr>
        <w:t xml:space="preserve"> </w:t>
      </w:r>
      <w:r w:rsidR="000B0AAB">
        <w:rPr>
          <w:rFonts w:ascii="Helvetica" w:eastAsia="Times New Roman" w:hAnsi="Helvetica" w:cs="Helvetica"/>
          <w:color w:val="444444"/>
          <w:sz w:val="24"/>
          <w:szCs w:val="24"/>
          <w:lang w:eastAsia="en-AU"/>
        </w:rPr>
        <w:t>1991</w:t>
      </w:r>
      <w:r w:rsidR="002D090B" w:rsidRPr="002D090B">
        <w:rPr>
          <w:rFonts w:ascii="Helvetica" w:eastAsia="Times New Roman" w:hAnsi="Helvetica" w:cs="Helvetica"/>
          <w:color w:val="444444"/>
          <w:sz w:val="24"/>
          <w:szCs w:val="24"/>
          <w:lang w:eastAsia="en-AU"/>
        </w:rPr>
        <w:t>)</w:t>
      </w:r>
      <w:r w:rsidR="00563E87" w:rsidRPr="002D090B">
        <w:rPr>
          <w:rFonts w:ascii="Helvetica" w:eastAsia="Times New Roman" w:hAnsi="Helvetica" w:cs="Helvetica"/>
          <w:color w:val="444444"/>
          <w:sz w:val="24"/>
          <w:szCs w:val="24"/>
          <w:lang w:eastAsia="en-AU"/>
        </w:rPr>
        <w:t>:</w:t>
      </w:r>
      <w:r w:rsidR="00563E87">
        <w:rPr>
          <w:rFonts w:ascii="Helvetica" w:eastAsia="Times New Roman" w:hAnsi="Helvetica" w:cs="Helvetica"/>
          <w:color w:val="444444"/>
          <w:sz w:val="24"/>
          <w:szCs w:val="24"/>
          <w:lang w:eastAsia="en-AU"/>
        </w:rPr>
        <w:t xml:space="preserve"> medical publisher</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Wakefield Press</w:t>
      </w:r>
      <w:r w:rsidR="002D090B">
        <w:rPr>
          <w:rFonts w:ascii="Helvetica" w:eastAsia="Times New Roman" w:hAnsi="Helvetica" w:cs="Helvetica"/>
          <w:b/>
          <w:color w:val="444444"/>
          <w:sz w:val="24"/>
          <w:szCs w:val="24"/>
          <w:lang w:eastAsia="en-AU"/>
        </w:rPr>
        <w:t xml:space="preserve"> </w:t>
      </w:r>
      <w:r w:rsidR="002D090B" w:rsidRPr="002D090B">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2D090B" w:rsidRPr="002D090B">
        <w:rPr>
          <w:rFonts w:ascii="Helvetica" w:eastAsia="Times New Roman" w:hAnsi="Helvetica" w:cs="Helvetica"/>
          <w:color w:val="444444"/>
          <w:sz w:val="24"/>
          <w:szCs w:val="24"/>
          <w:lang w:eastAsia="en-AU"/>
        </w:rPr>
        <w:t xml:space="preserve"> </w:t>
      </w:r>
      <w:r w:rsidR="00F8100E">
        <w:rPr>
          <w:rFonts w:ascii="Helvetica" w:eastAsia="Times New Roman" w:hAnsi="Helvetica" w:cs="Helvetica"/>
          <w:color w:val="444444"/>
          <w:sz w:val="24"/>
          <w:szCs w:val="24"/>
          <w:lang w:eastAsia="en-AU"/>
        </w:rPr>
        <w:t>1987</w:t>
      </w:r>
      <w:r w:rsidR="002D090B" w:rsidRPr="002D090B">
        <w:rPr>
          <w:rFonts w:ascii="Helvetica" w:eastAsia="Times New Roman" w:hAnsi="Helvetica" w:cs="Helvetica"/>
          <w:color w:val="444444"/>
          <w:sz w:val="24"/>
          <w:szCs w:val="24"/>
          <w:lang w:eastAsia="en-AU"/>
        </w:rPr>
        <w:t>)</w:t>
      </w:r>
      <w:r w:rsidRPr="002D090B">
        <w:rPr>
          <w:rFonts w:ascii="Helvetica" w:eastAsia="Times New Roman" w:hAnsi="Helvetica" w:cs="Helvetica"/>
          <w:color w:val="444444"/>
          <w:sz w:val="24"/>
          <w:szCs w:val="24"/>
          <w:lang w:eastAsia="en-AU"/>
        </w:rPr>
        <w:t>:</w:t>
      </w:r>
      <w:r>
        <w:rPr>
          <w:rFonts w:ascii="Helvetica" w:eastAsia="Times New Roman" w:hAnsi="Helvetica" w:cs="Helvetica"/>
          <w:color w:val="444444"/>
          <w:sz w:val="24"/>
          <w:szCs w:val="24"/>
          <w:lang w:eastAsia="en-AU"/>
        </w:rPr>
        <w:t xml:space="preserve"> trade publisher</w:t>
      </w:r>
      <w:r w:rsidR="00563E87">
        <w:rPr>
          <w:rFonts w:ascii="Helvetica" w:eastAsia="Times New Roman" w:hAnsi="Helvetica" w:cs="Helvetica"/>
          <w:color w:val="444444"/>
          <w:sz w:val="24"/>
          <w:szCs w:val="24"/>
          <w:lang w:eastAsia="en-AU"/>
        </w:rPr>
        <w:t xml:space="preserve"> – fiction and nonfiction</w:t>
      </w:r>
    </w:p>
    <w:p w:rsidR="004B767F" w:rsidRDefault="004B767F" w:rsidP="00563E87">
      <w:pPr>
        <w:spacing w:after="0" w:line="240" w:lineRule="auto"/>
        <w:ind w:left="720"/>
        <w:rPr>
          <w:rFonts w:ascii="Helvetica" w:eastAsia="Times New Roman" w:hAnsi="Helvetica" w:cs="Helvetica"/>
          <w:color w:val="444444"/>
          <w:sz w:val="24"/>
          <w:szCs w:val="24"/>
          <w:lang w:eastAsia="en-AU"/>
        </w:rPr>
      </w:pPr>
      <w:r w:rsidRPr="00563E87">
        <w:rPr>
          <w:rFonts w:ascii="Helvetica" w:eastAsia="Times New Roman" w:hAnsi="Helvetica" w:cs="Helvetica"/>
          <w:b/>
          <w:color w:val="444444"/>
          <w:sz w:val="24"/>
          <w:szCs w:val="24"/>
          <w:lang w:eastAsia="en-AU"/>
        </w:rPr>
        <w:t>Working Title Press</w:t>
      </w:r>
      <w:r w:rsidR="002D090B">
        <w:rPr>
          <w:rFonts w:ascii="Helvetica" w:eastAsia="Times New Roman" w:hAnsi="Helvetica" w:cs="Helvetica"/>
          <w:b/>
          <w:color w:val="444444"/>
          <w:sz w:val="24"/>
          <w:szCs w:val="24"/>
          <w:lang w:eastAsia="en-AU"/>
        </w:rPr>
        <w:t xml:space="preserve"> </w:t>
      </w:r>
      <w:r w:rsidR="00177E75">
        <w:rPr>
          <w:rFonts w:ascii="Helvetica" w:eastAsia="Times New Roman" w:hAnsi="Helvetica" w:cs="Helvetica"/>
          <w:color w:val="444444"/>
          <w:sz w:val="24"/>
          <w:szCs w:val="24"/>
          <w:lang w:eastAsia="en-AU"/>
        </w:rPr>
        <w:t>(Estab</w:t>
      </w:r>
      <w:r w:rsidR="00B16668">
        <w:rPr>
          <w:rFonts w:ascii="Helvetica" w:eastAsia="Times New Roman" w:hAnsi="Helvetica" w:cs="Helvetica"/>
          <w:color w:val="444444"/>
          <w:sz w:val="24"/>
          <w:szCs w:val="24"/>
          <w:lang w:eastAsia="en-AU"/>
        </w:rPr>
        <w:t>.</w:t>
      </w:r>
      <w:r w:rsidR="00177E75">
        <w:rPr>
          <w:rFonts w:ascii="Helvetica" w:eastAsia="Times New Roman" w:hAnsi="Helvetica" w:cs="Helvetica"/>
          <w:color w:val="444444"/>
          <w:sz w:val="24"/>
          <w:szCs w:val="24"/>
          <w:lang w:eastAsia="en-AU"/>
        </w:rPr>
        <w:t xml:space="preserve"> 1997</w:t>
      </w:r>
      <w:r w:rsidR="002D090B" w:rsidRPr="002D090B">
        <w:rPr>
          <w:rFonts w:ascii="Helvetica" w:eastAsia="Times New Roman" w:hAnsi="Helvetica" w:cs="Helvetica"/>
          <w:color w:val="444444"/>
          <w:sz w:val="24"/>
          <w:szCs w:val="24"/>
          <w:lang w:eastAsia="en-AU"/>
        </w:rPr>
        <w:t>)</w:t>
      </w:r>
      <w:r>
        <w:rPr>
          <w:rFonts w:ascii="Helvetica" w:eastAsia="Times New Roman" w:hAnsi="Helvetica" w:cs="Helvetica"/>
          <w:color w:val="444444"/>
          <w:sz w:val="24"/>
          <w:szCs w:val="24"/>
          <w:lang w:eastAsia="en-AU"/>
        </w:rPr>
        <w:t>: children’s publisher specialising in picture books</w:t>
      </w:r>
    </w:p>
    <w:p w:rsidR="00563E87" w:rsidRDefault="00563E87" w:rsidP="00563E87">
      <w:pPr>
        <w:spacing w:after="0" w:line="240" w:lineRule="auto"/>
        <w:ind w:left="720"/>
        <w:rPr>
          <w:rFonts w:ascii="Helvetica" w:eastAsia="Times New Roman" w:hAnsi="Helvetica" w:cs="Helvetica"/>
          <w:color w:val="444444"/>
          <w:sz w:val="24"/>
          <w:szCs w:val="24"/>
          <w:lang w:eastAsia="en-AU"/>
        </w:rPr>
      </w:pPr>
    </w:p>
    <w:p w:rsidR="00563E87" w:rsidRDefault="00563E87" w:rsidP="00563E87">
      <w:pPr>
        <w:spacing w:after="0"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By virtue of the</w:t>
      </w:r>
      <w:r w:rsidR="00656A10">
        <w:rPr>
          <w:rFonts w:ascii="Helvetica" w:eastAsia="Times New Roman" w:hAnsi="Helvetica" w:cs="Helvetica"/>
          <w:color w:val="444444"/>
          <w:sz w:val="24"/>
          <w:szCs w:val="24"/>
          <w:lang w:eastAsia="en-AU"/>
        </w:rPr>
        <w:t>ir areas of specialisation, the members of the group are not in direct competition with each other but have concerns in common about survival within an industry that is in the midst of historically very high levels of change.</w:t>
      </w:r>
      <w:r w:rsidR="00067DC9">
        <w:rPr>
          <w:rFonts w:ascii="Helvetica" w:eastAsia="Times New Roman" w:hAnsi="Helvetica" w:cs="Helvetica"/>
          <w:color w:val="444444"/>
          <w:sz w:val="24"/>
          <w:szCs w:val="24"/>
          <w:lang w:eastAsia="en-AU"/>
        </w:rPr>
        <w:t xml:space="preserve"> Each is an independent, self-owned publisher – mostly family businesses.</w:t>
      </w:r>
    </w:p>
    <w:p w:rsidR="00067DC9" w:rsidRDefault="00067DC9" w:rsidP="00563E87">
      <w:pPr>
        <w:spacing w:after="0" w:line="240" w:lineRule="auto"/>
        <w:ind w:left="720"/>
        <w:rPr>
          <w:rFonts w:ascii="Helvetica" w:eastAsia="Times New Roman" w:hAnsi="Helvetica" w:cs="Helvetica"/>
          <w:color w:val="444444"/>
          <w:sz w:val="24"/>
          <w:szCs w:val="24"/>
          <w:lang w:eastAsia="en-AU"/>
        </w:rPr>
      </w:pPr>
    </w:p>
    <w:p w:rsidR="00067DC9" w:rsidRDefault="00067DC9" w:rsidP="00563E87">
      <w:pPr>
        <w:spacing w:after="0"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Thi</w:t>
      </w:r>
      <w:r w:rsidR="008C33C9">
        <w:rPr>
          <w:rFonts w:ascii="Helvetica" w:eastAsia="Times New Roman" w:hAnsi="Helvetica" w:cs="Helvetica"/>
          <w:color w:val="444444"/>
          <w:sz w:val="24"/>
          <w:szCs w:val="24"/>
          <w:lang w:eastAsia="en-AU"/>
        </w:rPr>
        <w:t>s group is the majority of book</w:t>
      </w:r>
      <w:r>
        <w:rPr>
          <w:rFonts w:ascii="Helvetica" w:eastAsia="Times New Roman" w:hAnsi="Helvetica" w:cs="Helvetica"/>
          <w:color w:val="444444"/>
          <w:sz w:val="24"/>
          <w:szCs w:val="24"/>
          <w:lang w:eastAsia="en-AU"/>
        </w:rPr>
        <w:t xml:space="preserve"> publishers in Adelaide and therefore represents a significant portion of the publishing that takes place as part of the creative and cultural dimension of this city and </w:t>
      </w:r>
      <w:r w:rsidR="001770B3">
        <w:rPr>
          <w:rFonts w:ascii="Helvetica" w:eastAsia="Times New Roman" w:hAnsi="Helvetica" w:cs="Helvetica"/>
          <w:color w:val="444444"/>
          <w:sz w:val="24"/>
          <w:szCs w:val="24"/>
          <w:lang w:eastAsia="en-AU"/>
        </w:rPr>
        <w:t>South Australia</w:t>
      </w:r>
      <w:r>
        <w:rPr>
          <w:rFonts w:ascii="Helvetica" w:eastAsia="Times New Roman" w:hAnsi="Helvetica" w:cs="Helvetica"/>
          <w:color w:val="444444"/>
          <w:sz w:val="24"/>
          <w:szCs w:val="24"/>
          <w:lang w:eastAsia="en-AU"/>
        </w:rPr>
        <w:t>.</w:t>
      </w:r>
    </w:p>
    <w:p w:rsidR="00067DC9" w:rsidRDefault="00067DC9" w:rsidP="00E84AFA">
      <w:pPr>
        <w:spacing w:after="0" w:line="240" w:lineRule="auto"/>
        <w:rPr>
          <w:rFonts w:ascii="Helvetica" w:eastAsia="Times New Roman" w:hAnsi="Helvetica" w:cs="Helvetica"/>
          <w:color w:val="444444"/>
          <w:sz w:val="24"/>
          <w:szCs w:val="24"/>
          <w:lang w:eastAsia="en-AU"/>
        </w:rPr>
      </w:pPr>
    </w:p>
    <w:p w:rsidR="00067DC9" w:rsidRDefault="001770B3" w:rsidP="00563E87">
      <w:pPr>
        <w:spacing w:after="0"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capacity of the members for creating international standard literary and educational works and going beyond their state and national borders is proven. </w:t>
      </w:r>
      <w:r w:rsidR="00067DC9">
        <w:rPr>
          <w:rFonts w:ascii="Helvetica" w:eastAsia="Times New Roman" w:hAnsi="Helvetica" w:cs="Helvetica"/>
          <w:color w:val="444444"/>
          <w:sz w:val="24"/>
          <w:szCs w:val="24"/>
          <w:lang w:eastAsia="en-AU"/>
        </w:rPr>
        <w:t>The group includes publishers who have won national and international recognition in publishing</w:t>
      </w:r>
      <w:r w:rsidR="00E84AFA">
        <w:rPr>
          <w:rFonts w:ascii="Helvetica" w:eastAsia="Times New Roman" w:hAnsi="Helvetica" w:cs="Helvetica"/>
          <w:color w:val="444444"/>
          <w:sz w:val="24"/>
          <w:szCs w:val="24"/>
          <w:lang w:eastAsia="en-AU"/>
        </w:rPr>
        <w:t xml:space="preserve"> including:</w:t>
      </w:r>
    </w:p>
    <w:p w:rsidR="00E84AFA" w:rsidRDefault="001770B3"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Numerous </w:t>
      </w:r>
      <w:r w:rsidR="00E84AFA">
        <w:rPr>
          <w:rFonts w:ascii="Helvetica" w:eastAsia="Times New Roman" w:hAnsi="Helvetica" w:cs="Helvetica"/>
          <w:color w:val="444444"/>
          <w:sz w:val="24"/>
          <w:szCs w:val="24"/>
          <w:lang w:eastAsia="en-AU"/>
        </w:rPr>
        <w:t>Children’s Book Council of Australia awards</w:t>
      </w:r>
    </w:p>
    <w:p w:rsidR="00E84AFA" w:rsidRDefault="00E84AFA"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UK Children’s Award</w:t>
      </w:r>
    </w:p>
    <w:p w:rsidR="00E84AFA" w:rsidRDefault="00E84AFA"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lastRenderedPageBreak/>
        <w:t>Australia’s largest selling children’s book</w:t>
      </w:r>
    </w:p>
    <w:p w:rsidR="001770B3" w:rsidRDefault="001770B3"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First-ever readers in the 3 Sami dialects in the Arctic Circle</w:t>
      </w:r>
    </w:p>
    <w:p w:rsidR="001770B3" w:rsidRDefault="001770B3"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First-ever readers in the Tetun language for East Timorese children</w:t>
      </w:r>
    </w:p>
    <w:p w:rsidR="001770B3" w:rsidRDefault="001770B3" w:rsidP="00E84AFA">
      <w:pPr>
        <w:pStyle w:val="ListParagraph"/>
        <w:numPr>
          <w:ilvl w:val="0"/>
          <w:numId w:val="5"/>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Numerous export awards</w:t>
      </w:r>
    </w:p>
    <w:p w:rsidR="00EF1803" w:rsidRPr="00EF1803" w:rsidRDefault="00EF1803" w:rsidP="00EF1803">
      <w:pPr>
        <w:spacing w:after="0" w:line="240" w:lineRule="auto"/>
        <w:rPr>
          <w:rFonts w:ascii="Helvetica" w:eastAsia="Times New Roman" w:hAnsi="Helvetica" w:cs="Helvetica"/>
          <w:color w:val="444444"/>
          <w:sz w:val="24"/>
          <w:szCs w:val="24"/>
          <w:lang w:eastAsia="en-AU"/>
        </w:rPr>
      </w:pPr>
    </w:p>
    <w:p w:rsidR="00D62050" w:rsidRPr="00D62050" w:rsidRDefault="00D62050" w:rsidP="00D62050">
      <w:pPr>
        <w:spacing w:after="100" w:afterAutospacing="1" w:line="240" w:lineRule="auto"/>
        <w:ind w:left="360"/>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 xml:space="preserve">1.2 </w:t>
      </w:r>
      <w:r w:rsidRPr="00D62050">
        <w:rPr>
          <w:rFonts w:ascii="Helvetica" w:eastAsia="Times New Roman" w:hAnsi="Helvetica" w:cs="Helvetica"/>
          <w:b/>
          <w:i/>
          <w:color w:val="444444"/>
          <w:sz w:val="24"/>
          <w:szCs w:val="24"/>
          <w:lang w:eastAsia="en-AU"/>
        </w:rPr>
        <w:t>Economic impact</w:t>
      </w:r>
    </w:p>
    <w:p w:rsidR="00E84AFA" w:rsidRDefault="001770B3" w:rsidP="001770B3">
      <w:pPr>
        <w:spacing w:before="100" w:beforeAutospacing="1" w:after="100" w:afterAutospacing="1" w:line="240" w:lineRule="auto"/>
        <w:ind w:left="1134" w:hanging="414"/>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 xml:space="preserve">1.2.1   </w:t>
      </w:r>
      <w:r w:rsidR="00D62050" w:rsidRPr="00D62050">
        <w:rPr>
          <w:rFonts w:ascii="Helvetica" w:eastAsia="Times New Roman" w:hAnsi="Helvetica" w:cs="Helvetica"/>
          <w:i/>
          <w:color w:val="444444"/>
          <w:sz w:val="24"/>
          <w:szCs w:val="24"/>
          <w:lang w:eastAsia="en-AU"/>
        </w:rPr>
        <w:t>Employment</w:t>
      </w:r>
    </w:p>
    <w:p w:rsidR="001770B3" w:rsidRDefault="00880860" w:rsidP="00880860">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7 member</w:t>
      </w:r>
      <w:r w:rsidR="002D090B">
        <w:rPr>
          <w:rFonts w:ascii="Helvetica" w:eastAsia="Times New Roman" w:hAnsi="Helvetica" w:cs="Helvetica"/>
          <w:color w:val="444444"/>
          <w:sz w:val="24"/>
          <w:szCs w:val="24"/>
          <w:lang w:eastAsia="en-AU"/>
        </w:rPr>
        <w:t xml:space="preserve"> publishers of the ADPG employ</w:t>
      </w:r>
      <w:r>
        <w:rPr>
          <w:rFonts w:ascii="Helvetica" w:eastAsia="Times New Roman" w:hAnsi="Helvetica" w:cs="Helvetica"/>
          <w:color w:val="444444"/>
          <w:sz w:val="24"/>
          <w:szCs w:val="24"/>
          <w:lang w:eastAsia="en-AU"/>
        </w:rPr>
        <w:t xml:space="preserve"> a total of </w:t>
      </w:r>
      <w:r w:rsidR="002D090B">
        <w:rPr>
          <w:rFonts w:ascii="Helvetica" w:eastAsia="Times New Roman" w:hAnsi="Helvetica" w:cs="Helvetica"/>
          <w:color w:val="444444"/>
          <w:sz w:val="24"/>
          <w:szCs w:val="24"/>
          <w:lang w:eastAsia="en-AU"/>
        </w:rPr>
        <w:t xml:space="preserve">between </w:t>
      </w:r>
      <w:r w:rsidR="000B0AAB">
        <w:rPr>
          <w:rFonts w:ascii="Helvetica" w:eastAsia="Times New Roman" w:hAnsi="Helvetica" w:cs="Helvetica"/>
          <w:color w:val="444444"/>
          <w:sz w:val="24"/>
          <w:szCs w:val="24"/>
          <w:lang w:eastAsia="en-AU"/>
        </w:rPr>
        <w:t>45</w:t>
      </w:r>
      <w:r w:rsidR="002D090B">
        <w:rPr>
          <w:rFonts w:ascii="Helvetica" w:eastAsia="Times New Roman" w:hAnsi="Helvetica" w:cs="Helvetica"/>
          <w:color w:val="444444"/>
          <w:sz w:val="24"/>
          <w:szCs w:val="24"/>
          <w:lang w:eastAsia="en-AU"/>
        </w:rPr>
        <w:t xml:space="preserve"> and</w:t>
      </w:r>
      <w:r>
        <w:rPr>
          <w:rFonts w:ascii="Helvetica" w:eastAsia="Times New Roman" w:hAnsi="Helvetica" w:cs="Helvetica"/>
          <w:color w:val="444444"/>
          <w:sz w:val="24"/>
          <w:szCs w:val="24"/>
          <w:lang w:eastAsia="en-AU"/>
        </w:rPr>
        <w:t xml:space="preserve"> </w:t>
      </w:r>
      <w:r w:rsidR="000B0AAB">
        <w:rPr>
          <w:rFonts w:ascii="Helvetica" w:eastAsia="Times New Roman" w:hAnsi="Helvetica" w:cs="Helvetica"/>
          <w:color w:val="444444"/>
          <w:sz w:val="24"/>
          <w:szCs w:val="24"/>
          <w:lang w:eastAsia="en-AU"/>
        </w:rPr>
        <w:t>46</w:t>
      </w:r>
      <w:r>
        <w:rPr>
          <w:rFonts w:ascii="Helvetica" w:eastAsia="Times New Roman" w:hAnsi="Helvetica" w:cs="Helvetica"/>
          <w:color w:val="444444"/>
          <w:sz w:val="24"/>
          <w:szCs w:val="24"/>
          <w:lang w:eastAsia="en-AU"/>
        </w:rPr>
        <w:t xml:space="preserve"> full-time employees.</w:t>
      </w:r>
      <w:r w:rsidR="00643B97">
        <w:rPr>
          <w:rFonts w:ascii="Helvetica" w:eastAsia="Times New Roman" w:hAnsi="Helvetica" w:cs="Helvetica"/>
          <w:color w:val="444444"/>
          <w:sz w:val="24"/>
          <w:szCs w:val="24"/>
          <w:lang w:eastAsia="en-AU"/>
        </w:rPr>
        <w:t xml:space="preserve"> This number has fallen slightly </w:t>
      </w:r>
      <w:r w:rsidR="002D090B">
        <w:rPr>
          <w:rFonts w:ascii="Helvetica" w:eastAsia="Times New Roman" w:hAnsi="Helvetica" w:cs="Helvetica"/>
          <w:color w:val="444444"/>
          <w:sz w:val="24"/>
          <w:szCs w:val="24"/>
          <w:lang w:eastAsia="en-AU"/>
        </w:rPr>
        <w:t>in recent years due to the general economic downturn</w:t>
      </w:r>
      <w:r w:rsidR="00643B97">
        <w:rPr>
          <w:rFonts w:ascii="Helvetica" w:eastAsia="Times New Roman" w:hAnsi="Helvetica" w:cs="Helvetica"/>
          <w:color w:val="444444"/>
          <w:sz w:val="24"/>
          <w:szCs w:val="24"/>
          <w:lang w:eastAsia="en-AU"/>
        </w:rPr>
        <w:t>.</w:t>
      </w:r>
    </w:p>
    <w:p w:rsidR="007A0605" w:rsidRPr="001770B3" w:rsidRDefault="007A0605" w:rsidP="00880860">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When the lifetime of the individual ADPG members is considered, with some companies operating for more than 40 years, the employment years then amount to the thousands. </w:t>
      </w:r>
    </w:p>
    <w:p w:rsidR="001770B3" w:rsidRDefault="001770B3" w:rsidP="00880860">
      <w:pPr>
        <w:pStyle w:val="ListParagraph"/>
        <w:numPr>
          <w:ilvl w:val="2"/>
          <w:numId w:val="4"/>
        </w:numPr>
        <w:spacing w:before="100" w:beforeAutospacing="1" w:after="100" w:afterAutospacing="1" w:line="36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R</w:t>
      </w:r>
      <w:r w:rsidR="00656A10" w:rsidRPr="00E84AFA">
        <w:rPr>
          <w:rFonts w:ascii="Helvetica" w:eastAsia="Times New Roman" w:hAnsi="Helvetica" w:cs="Helvetica"/>
          <w:i/>
          <w:color w:val="444444"/>
          <w:sz w:val="24"/>
          <w:szCs w:val="24"/>
          <w:lang w:eastAsia="en-AU"/>
        </w:rPr>
        <w:t>oyalties</w:t>
      </w:r>
    </w:p>
    <w:p w:rsidR="001770B3" w:rsidRPr="001770B3" w:rsidRDefault="00643B97" w:rsidP="001770B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Although their full-time employee numbers are relatively low, t</w:t>
      </w:r>
      <w:r w:rsidR="00880860">
        <w:rPr>
          <w:rFonts w:ascii="Helvetica" w:eastAsia="Times New Roman" w:hAnsi="Helvetica" w:cs="Helvetica"/>
          <w:color w:val="444444"/>
          <w:sz w:val="24"/>
          <w:szCs w:val="24"/>
          <w:lang w:eastAsia="en-AU"/>
        </w:rPr>
        <w:t>he 7 member publishers pay royalties to 517 authors, illustrators and other rights holders.</w:t>
      </w:r>
      <w:r w:rsidR="0030005A">
        <w:rPr>
          <w:rFonts w:ascii="Helvetica" w:eastAsia="Times New Roman" w:hAnsi="Helvetica" w:cs="Helvetica"/>
          <w:color w:val="444444"/>
          <w:sz w:val="24"/>
          <w:szCs w:val="24"/>
          <w:lang w:eastAsia="en-AU"/>
        </w:rPr>
        <w:t xml:space="preserve"> </w:t>
      </w:r>
      <w:r w:rsidR="00880860">
        <w:rPr>
          <w:rFonts w:ascii="Helvetica" w:eastAsia="Times New Roman" w:hAnsi="Helvetica" w:cs="Helvetica"/>
          <w:color w:val="444444"/>
          <w:sz w:val="24"/>
          <w:szCs w:val="24"/>
          <w:lang w:eastAsia="en-AU"/>
        </w:rPr>
        <w:t>This is a significant influence on the income of creative members of Australian society</w:t>
      </w:r>
      <w:r w:rsidR="007A0605">
        <w:rPr>
          <w:rFonts w:ascii="Helvetica" w:eastAsia="Times New Roman" w:hAnsi="Helvetica" w:cs="Helvetica"/>
          <w:color w:val="444444"/>
          <w:sz w:val="24"/>
          <w:szCs w:val="24"/>
          <w:lang w:eastAsia="en-AU"/>
        </w:rPr>
        <w:t>, especially when the lifetime of the publishing entities is considered</w:t>
      </w:r>
      <w:r w:rsidR="00880860">
        <w:rPr>
          <w:rFonts w:ascii="Helvetica" w:eastAsia="Times New Roman" w:hAnsi="Helvetica" w:cs="Helvetica"/>
          <w:color w:val="444444"/>
          <w:sz w:val="24"/>
          <w:szCs w:val="24"/>
          <w:lang w:eastAsia="en-AU"/>
        </w:rPr>
        <w:t>.</w:t>
      </w:r>
    </w:p>
    <w:p w:rsidR="001770B3" w:rsidRPr="001770B3" w:rsidRDefault="001770B3" w:rsidP="001770B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D62050" w:rsidRDefault="001770B3" w:rsidP="00E84AFA">
      <w:pPr>
        <w:pStyle w:val="ListParagraph"/>
        <w:numPr>
          <w:ilvl w:val="2"/>
          <w:numId w:val="4"/>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O</w:t>
      </w:r>
      <w:r w:rsidR="00656A10" w:rsidRPr="00E84AFA">
        <w:rPr>
          <w:rFonts w:ascii="Helvetica" w:eastAsia="Times New Roman" w:hAnsi="Helvetica" w:cs="Helvetica"/>
          <w:i/>
          <w:color w:val="444444"/>
          <w:sz w:val="24"/>
          <w:szCs w:val="24"/>
          <w:lang w:eastAsia="en-AU"/>
        </w:rPr>
        <w:t>utsourcing</w:t>
      </w:r>
    </w:p>
    <w:p w:rsidR="001770B3" w:rsidRPr="00880860" w:rsidRDefault="001770B3" w:rsidP="001770B3">
      <w:pPr>
        <w:pStyle w:val="ListParagraph"/>
        <w:rPr>
          <w:rFonts w:ascii="Helvetica" w:eastAsia="Times New Roman" w:hAnsi="Helvetica" w:cs="Helvetica"/>
          <w:i/>
          <w:color w:val="444444"/>
          <w:sz w:val="16"/>
          <w:szCs w:val="16"/>
          <w:lang w:eastAsia="en-AU"/>
        </w:rPr>
      </w:pPr>
    </w:p>
    <w:p w:rsidR="001770B3" w:rsidRPr="001770B3" w:rsidRDefault="00880860" w:rsidP="001770B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Among these businesses, work is </w:t>
      </w:r>
      <w:r w:rsidR="00643B97">
        <w:rPr>
          <w:rFonts w:ascii="Helvetica" w:eastAsia="Times New Roman" w:hAnsi="Helvetica" w:cs="Helvetica"/>
          <w:color w:val="444444"/>
          <w:sz w:val="24"/>
          <w:szCs w:val="24"/>
          <w:lang w:eastAsia="en-AU"/>
        </w:rPr>
        <w:t xml:space="preserve">also </w:t>
      </w:r>
      <w:r>
        <w:rPr>
          <w:rFonts w:ascii="Helvetica" w:eastAsia="Times New Roman" w:hAnsi="Helvetica" w:cs="Helvetica"/>
          <w:color w:val="444444"/>
          <w:sz w:val="24"/>
          <w:szCs w:val="24"/>
          <w:lang w:eastAsia="en-AU"/>
        </w:rPr>
        <w:t>outsourced regularly to local editors, designers, audio-engineers</w:t>
      </w:r>
      <w:r w:rsidR="00643B97">
        <w:rPr>
          <w:rFonts w:ascii="Helvetica" w:eastAsia="Times New Roman" w:hAnsi="Helvetica" w:cs="Helvetica"/>
          <w:color w:val="444444"/>
          <w:sz w:val="24"/>
          <w:szCs w:val="24"/>
          <w:lang w:eastAsia="en-AU"/>
        </w:rPr>
        <w:t>, printers, musicians, voice actors, programmers, etc.</w:t>
      </w:r>
    </w:p>
    <w:p w:rsidR="00E84AFA" w:rsidRPr="00E84AFA" w:rsidRDefault="00E84AFA" w:rsidP="00E84AFA">
      <w:pPr>
        <w:pStyle w:val="ListParagraph"/>
        <w:spacing w:before="100" w:beforeAutospacing="1" w:after="100" w:afterAutospacing="1" w:line="240" w:lineRule="auto"/>
        <w:ind w:left="1224"/>
        <w:rPr>
          <w:rFonts w:ascii="Helvetica" w:eastAsia="Times New Roman" w:hAnsi="Helvetica" w:cs="Helvetica"/>
          <w:i/>
          <w:color w:val="444444"/>
          <w:sz w:val="24"/>
          <w:szCs w:val="24"/>
          <w:lang w:eastAsia="en-AU"/>
        </w:rPr>
      </w:pPr>
    </w:p>
    <w:p w:rsidR="00D62050" w:rsidRDefault="00D62050" w:rsidP="00E84AFA">
      <w:pPr>
        <w:pStyle w:val="ListParagraph"/>
        <w:numPr>
          <w:ilvl w:val="2"/>
          <w:numId w:val="4"/>
        </w:numPr>
        <w:spacing w:before="100" w:beforeAutospacing="1" w:after="100" w:afterAutospacing="1" w:line="240" w:lineRule="auto"/>
        <w:rPr>
          <w:rFonts w:ascii="Helvetica" w:eastAsia="Times New Roman" w:hAnsi="Helvetica" w:cs="Helvetica"/>
          <w:i/>
          <w:color w:val="444444"/>
          <w:sz w:val="24"/>
          <w:szCs w:val="24"/>
          <w:lang w:eastAsia="en-AU"/>
        </w:rPr>
      </w:pPr>
      <w:r w:rsidRPr="00E84AFA">
        <w:rPr>
          <w:rFonts w:ascii="Helvetica" w:eastAsia="Times New Roman" w:hAnsi="Helvetica" w:cs="Helvetica"/>
          <w:i/>
          <w:color w:val="444444"/>
          <w:sz w:val="24"/>
          <w:szCs w:val="24"/>
          <w:lang w:eastAsia="en-AU"/>
        </w:rPr>
        <w:t>Export</w:t>
      </w:r>
    </w:p>
    <w:p w:rsidR="001770B3" w:rsidRPr="001770B3" w:rsidRDefault="001770B3" w:rsidP="001770B3">
      <w:pPr>
        <w:pStyle w:val="ListParagraph"/>
        <w:rPr>
          <w:rFonts w:ascii="Helvetica" w:eastAsia="Times New Roman" w:hAnsi="Helvetica" w:cs="Helvetica"/>
          <w:i/>
          <w:color w:val="444444"/>
          <w:sz w:val="24"/>
          <w:szCs w:val="24"/>
          <w:lang w:eastAsia="en-AU"/>
        </w:rPr>
      </w:pPr>
    </w:p>
    <w:p w:rsidR="001770B3" w:rsidRDefault="00880860" w:rsidP="001770B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All 7 member publishers are involved in the export of printed books </w:t>
      </w:r>
      <w:r w:rsidR="0030005A">
        <w:rPr>
          <w:rFonts w:ascii="Helvetica" w:eastAsia="Times New Roman" w:hAnsi="Helvetica" w:cs="Helvetica"/>
          <w:color w:val="444444"/>
          <w:sz w:val="24"/>
          <w:szCs w:val="24"/>
          <w:lang w:eastAsia="en-AU"/>
        </w:rPr>
        <w:t xml:space="preserve">and/ or </w:t>
      </w:r>
      <w:r>
        <w:rPr>
          <w:rFonts w:ascii="Helvetica" w:eastAsia="Times New Roman" w:hAnsi="Helvetica" w:cs="Helvetica"/>
          <w:color w:val="444444"/>
          <w:sz w:val="24"/>
          <w:szCs w:val="24"/>
          <w:lang w:eastAsia="en-AU"/>
        </w:rPr>
        <w:t>digital books</w:t>
      </w:r>
      <w:r w:rsidR="0030005A">
        <w:rPr>
          <w:rFonts w:ascii="Helvetica" w:eastAsia="Times New Roman" w:hAnsi="Helvetica" w:cs="Helvetica"/>
          <w:color w:val="444444"/>
          <w:sz w:val="24"/>
          <w:szCs w:val="24"/>
          <w:lang w:eastAsia="en-AU"/>
        </w:rPr>
        <w:t xml:space="preserve"> and</w:t>
      </w:r>
      <w:r w:rsidR="00643B97">
        <w:rPr>
          <w:rFonts w:ascii="Helvetica" w:eastAsia="Times New Roman" w:hAnsi="Helvetica" w:cs="Helvetica"/>
          <w:color w:val="444444"/>
          <w:sz w:val="24"/>
          <w:szCs w:val="24"/>
          <w:lang w:eastAsia="en-AU"/>
        </w:rPr>
        <w:t xml:space="preserve"> </w:t>
      </w:r>
      <w:r>
        <w:rPr>
          <w:rFonts w:ascii="Helvetica" w:eastAsia="Times New Roman" w:hAnsi="Helvetica" w:cs="Helvetica"/>
          <w:color w:val="444444"/>
          <w:sz w:val="24"/>
          <w:szCs w:val="24"/>
          <w:lang w:eastAsia="en-AU"/>
        </w:rPr>
        <w:t>the licensing of their intellectual property. Among the companies</w:t>
      </w:r>
      <w:r w:rsidRPr="00617C71">
        <w:rPr>
          <w:rFonts w:ascii="Helvetica" w:eastAsia="Times New Roman" w:hAnsi="Helvetica" w:cs="Helvetica"/>
          <w:color w:val="444444"/>
          <w:sz w:val="24"/>
          <w:szCs w:val="24"/>
          <w:lang w:eastAsia="en-AU"/>
        </w:rPr>
        <w:t xml:space="preserve">, </w:t>
      </w:r>
      <w:r w:rsidR="00617C71">
        <w:rPr>
          <w:rFonts w:ascii="Helvetica" w:eastAsia="Times New Roman" w:hAnsi="Helvetica" w:cs="Helvetica"/>
          <w:color w:val="444444"/>
          <w:sz w:val="24"/>
          <w:szCs w:val="24"/>
          <w:lang w:eastAsia="en-AU"/>
        </w:rPr>
        <w:t>122</w:t>
      </w:r>
      <w:r>
        <w:rPr>
          <w:rFonts w:ascii="Helvetica" w:eastAsia="Times New Roman" w:hAnsi="Helvetica" w:cs="Helvetica"/>
          <w:color w:val="444444"/>
          <w:sz w:val="24"/>
          <w:szCs w:val="24"/>
          <w:lang w:eastAsia="en-AU"/>
        </w:rPr>
        <w:t xml:space="preserve"> countries around the world are the</w:t>
      </w:r>
      <w:r w:rsidR="00643B97">
        <w:rPr>
          <w:rFonts w:ascii="Helvetica" w:eastAsia="Times New Roman" w:hAnsi="Helvetica" w:cs="Helvetica"/>
          <w:color w:val="444444"/>
          <w:sz w:val="24"/>
          <w:szCs w:val="24"/>
          <w:lang w:eastAsia="en-AU"/>
        </w:rPr>
        <w:t>ir</w:t>
      </w:r>
      <w:r w:rsidR="001B2C7B">
        <w:rPr>
          <w:rFonts w:ascii="Helvetica" w:eastAsia="Times New Roman" w:hAnsi="Helvetica" w:cs="Helvetica"/>
          <w:color w:val="444444"/>
          <w:sz w:val="24"/>
          <w:szCs w:val="24"/>
          <w:lang w:eastAsia="en-AU"/>
        </w:rPr>
        <w:t xml:space="preserve"> export destinations (s</w:t>
      </w:r>
      <w:r w:rsidR="00617C71">
        <w:rPr>
          <w:rFonts w:ascii="Helvetica" w:eastAsia="Times New Roman" w:hAnsi="Helvetica" w:cs="Helvetica"/>
          <w:color w:val="444444"/>
          <w:sz w:val="24"/>
          <w:szCs w:val="24"/>
          <w:lang w:eastAsia="en-AU"/>
        </w:rPr>
        <w:t xml:space="preserve">ee </w:t>
      </w:r>
      <w:hyperlink w:anchor="_APPENDIX_1:_Countries" w:history="1">
        <w:r w:rsidR="00617C71" w:rsidRPr="00551165">
          <w:rPr>
            <w:rStyle w:val="Hyperlink"/>
            <w:rFonts w:ascii="Helvetica" w:eastAsia="Times New Roman" w:hAnsi="Helvetica" w:cs="Helvetica"/>
            <w:i/>
            <w:sz w:val="24"/>
            <w:szCs w:val="24"/>
            <w:lang w:eastAsia="en-AU"/>
          </w:rPr>
          <w:t>Appendix 1</w:t>
        </w:r>
      </w:hyperlink>
      <w:r w:rsidR="00617C71">
        <w:rPr>
          <w:rFonts w:ascii="Helvetica" w:eastAsia="Times New Roman" w:hAnsi="Helvetica" w:cs="Helvetica"/>
          <w:color w:val="444444"/>
          <w:sz w:val="24"/>
          <w:szCs w:val="24"/>
          <w:lang w:eastAsia="en-AU"/>
        </w:rPr>
        <w:t>)</w:t>
      </w:r>
      <w:r w:rsidR="001B2C7B">
        <w:rPr>
          <w:rFonts w:ascii="Helvetica" w:eastAsia="Times New Roman" w:hAnsi="Helvetica" w:cs="Helvetica"/>
          <w:color w:val="444444"/>
          <w:sz w:val="24"/>
          <w:szCs w:val="24"/>
          <w:lang w:eastAsia="en-AU"/>
        </w:rPr>
        <w:t>. Export is a significant part of the group’s revenue (see 2.4).</w:t>
      </w:r>
    </w:p>
    <w:p w:rsidR="00643B97" w:rsidRDefault="00643B97" w:rsidP="001770B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643B97" w:rsidRDefault="00643B97" w:rsidP="00643B97">
      <w:pPr>
        <w:pStyle w:val="ListParagraph"/>
        <w:numPr>
          <w:ilvl w:val="2"/>
          <w:numId w:val="4"/>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Investment</w:t>
      </w:r>
    </w:p>
    <w:p w:rsidR="00643B97" w:rsidRDefault="00643B97" w:rsidP="00643B97">
      <w:pPr>
        <w:pStyle w:val="ListParagraph"/>
        <w:spacing w:before="100" w:beforeAutospacing="1" w:after="100" w:afterAutospacing="1" w:line="240" w:lineRule="auto"/>
        <w:ind w:left="1224"/>
        <w:rPr>
          <w:rFonts w:ascii="Helvetica" w:eastAsia="Times New Roman" w:hAnsi="Helvetica" w:cs="Helvetica"/>
          <w:color w:val="444444"/>
          <w:sz w:val="24"/>
          <w:szCs w:val="24"/>
          <w:lang w:eastAsia="en-AU"/>
        </w:rPr>
      </w:pPr>
    </w:p>
    <w:p w:rsidR="00643B97" w:rsidRDefault="00643B97" w:rsidP="003550E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major investment made by publishers is in the creation and development of intellectual property. The investment is in the highly skilled workforce members they employ or outsource to edit, design and refine manuscripts to a publishable state and then market these works. They are able to sustain such investment only because</w:t>
      </w:r>
      <w:r w:rsidR="003550E3">
        <w:rPr>
          <w:rFonts w:ascii="Helvetica" w:eastAsia="Times New Roman" w:hAnsi="Helvetica" w:cs="Helvetica"/>
          <w:color w:val="444444"/>
          <w:sz w:val="24"/>
          <w:szCs w:val="24"/>
          <w:lang w:eastAsia="en-AU"/>
        </w:rPr>
        <w:t xml:space="preserve"> of the existence of copyright l</w:t>
      </w:r>
      <w:r>
        <w:rPr>
          <w:rFonts w:ascii="Helvetica" w:eastAsia="Times New Roman" w:hAnsi="Helvetica" w:cs="Helvetica"/>
          <w:color w:val="444444"/>
          <w:sz w:val="24"/>
          <w:szCs w:val="24"/>
          <w:lang w:eastAsia="en-AU"/>
        </w:rPr>
        <w:t>aw.</w:t>
      </w:r>
      <w:r w:rsidR="003550E3">
        <w:rPr>
          <w:rFonts w:ascii="Helvetica" w:eastAsia="Times New Roman" w:hAnsi="Helvetica" w:cs="Helvetica"/>
          <w:color w:val="444444"/>
          <w:sz w:val="24"/>
          <w:szCs w:val="24"/>
          <w:lang w:eastAsia="en-AU"/>
        </w:rPr>
        <w:t xml:space="preserve"> Their investment is at risk due to the competitive nature of the industry and its domination by multi-national companies.</w:t>
      </w:r>
    </w:p>
    <w:p w:rsidR="003550E3" w:rsidRDefault="003550E3" w:rsidP="003550E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7577BC" w:rsidRDefault="007577BC" w:rsidP="003550E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3550E3" w:rsidRDefault="003550E3" w:rsidP="003550E3">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economic advantage to Australia with such companies is that: </w:t>
      </w:r>
    </w:p>
    <w:p w:rsidR="003550E3" w:rsidRDefault="003550E3" w:rsidP="003550E3">
      <w:pPr>
        <w:pStyle w:val="ListParagraph"/>
        <w:numPr>
          <w:ilvl w:val="0"/>
          <w:numId w:val="6"/>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they are invariably family business</w:t>
      </w:r>
      <w:r w:rsidR="00BD1BCC">
        <w:rPr>
          <w:rFonts w:ascii="Helvetica" w:eastAsia="Times New Roman" w:hAnsi="Helvetica" w:cs="Helvetica"/>
          <w:color w:val="444444"/>
          <w:sz w:val="24"/>
          <w:szCs w:val="24"/>
          <w:lang w:eastAsia="en-AU"/>
        </w:rPr>
        <w:t>es</w:t>
      </w:r>
      <w:r>
        <w:rPr>
          <w:rFonts w:ascii="Helvetica" w:eastAsia="Times New Roman" w:hAnsi="Helvetica" w:cs="Helvetica"/>
          <w:color w:val="444444"/>
          <w:sz w:val="24"/>
          <w:szCs w:val="24"/>
          <w:lang w:eastAsia="en-AU"/>
        </w:rPr>
        <w:t xml:space="preserve"> that rarely relocate</w:t>
      </w:r>
      <w:r w:rsidR="00BD1BCC">
        <w:rPr>
          <w:rFonts w:ascii="Helvetica" w:eastAsia="Times New Roman" w:hAnsi="Helvetica" w:cs="Helvetica"/>
          <w:color w:val="444444"/>
          <w:sz w:val="24"/>
          <w:szCs w:val="24"/>
          <w:lang w:eastAsia="en-AU"/>
        </w:rPr>
        <w:t xml:space="preserve"> to another state or country</w:t>
      </w:r>
      <w:r>
        <w:rPr>
          <w:rFonts w:ascii="Helvetica" w:eastAsia="Times New Roman" w:hAnsi="Helvetica" w:cs="Helvetica"/>
          <w:color w:val="444444"/>
          <w:sz w:val="24"/>
          <w:szCs w:val="24"/>
          <w:lang w:eastAsia="en-AU"/>
        </w:rPr>
        <w:t xml:space="preserve"> and so do not require government incentives to remain in a particular geographical location</w:t>
      </w:r>
    </w:p>
    <w:p w:rsidR="003550E3" w:rsidRPr="003550E3" w:rsidRDefault="003550E3" w:rsidP="003550E3">
      <w:pPr>
        <w:pStyle w:val="ListParagraph"/>
        <w:numPr>
          <w:ilvl w:val="0"/>
          <w:numId w:val="6"/>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they involve very little financial support from government compared to industries such as the motor vehicle industry</w:t>
      </w:r>
    </w:p>
    <w:p w:rsidR="00C85075" w:rsidRDefault="00C85075" w:rsidP="00C85075">
      <w:pPr>
        <w:spacing w:before="100" w:beforeAutospacing="1" w:after="100" w:afterAutospacing="1" w:line="240" w:lineRule="auto"/>
        <w:ind w:left="426"/>
        <w:rPr>
          <w:rFonts w:ascii="Helvetica" w:eastAsia="Times New Roman" w:hAnsi="Helvetica" w:cs="Helvetica"/>
          <w:b/>
          <w:i/>
          <w:color w:val="444444"/>
          <w:sz w:val="24"/>
          <w:szCs w:val="24"/>
          <w:lang w:eastAsia="en-AU"/>
        </w:rPr>
      </w:pPr>
      <w:r w:rsidRPr="00C85075">
        <w:rPr>
          <w:rFonts w:ascii="Helvetica" w:eastAsia="Times New Roman" w:hAnsi="Helvetica" w:cs="Helvetica"/>
          <w:b/>
          <w:i/>
          <w:color w:val="444444"/>
          <w:sz w:val="24"/>
          <w:szCs w:val="24"/>
          <w:lang w:eastAsia="en-AU"/>
        </w:rPr>
        <w:t>1.3 Cultural impact</w:t>
      </w:r>
    </w:p>
    <w:p w:rsidR="00C85075" w:rsidRDefault="00C85075" w:rsidP="00C85075">
      <w:pPr>
        <w:spacing w:before="100" w:beforeAutospacing="1" w:after="100" w:afterAutospacing="1" w:line="240" w:lineRule="auto"/>
        <w:ind w:left="720"/>
        <w:rPr>
          <w:rFonts w:ascii="Helvetica" w:eastAsia="Times New Roman" w:hAnsi="Helvetica" w:cs="Helvetica"/>
          <w:i/>
          <w:color w:val="444444"/>
          <w:sz w:val="24"/>
          <w:szCs w:val="24"/>
          <w:lang w:eastAsia="en-AU"/>
        </w:rPr>
      </w:pPr>
      <w:r w:rsidRPr="00C85075">
        <w:rPr>
          <w:rFonts w:ascii="Helvetica" w:eastAsia="Times New Roman" w:hAnsi="Helvetica" w:cs="Helvetica"/>
          <w:i/>
          <w:color w:val="444444"/>
          <w:sz w:val="24"/>
          <w:szCs w:val="24"/>
          <w:lang w:eastAsia="en-AU"/>
        </w:rPr>
        <w:t>1.3.1</w:t>
      </w:r>
      <w:r>
        <w:rPr>
          <w:rFonts w:ascii="Helvetica" w:eastAsia="Times New Roman" w:hAnsi="Helvetica" w:cs="Helvetica"/>
          <w:i/>
          <w:color w:val="444444"/>
          <w:sz w:val="24"/>
          <w:szCs w:val="24"/>
          <w:lang w:eastAsia="en-AU"/>
        </w:rPr>
        <w:t xml:space="preserve"> Domestic market</w:t>
      </w:r>
    </w:p>
    <w:p w:rsidR="003550E3" w:rsidRDefault="00A94C46" w:rsidP="003550E3">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baby-boomer generation went to school with learning materials that we</w:t>
      </w:r>
      <w:r w:rsidR="00BD1BCC">
        <w:rPr>
          <w:rFonts w:ascii="Helvetica" w:eastAsia="Times New Roman" w:hAnsi="Helvetica" w:cs="Helvetica"/>
          <w:color w:val="444444"/>
          <w:sz w:val="24"/>
          <w:szCs w:val="24"/>
          <w:lang w:eastAsia="en-AU"/>
        </w:rPr>
        <w:t>re created either in the UK or</w:t>
      </w:r>
      <w:r>
        <w:rPr>
          <w:rFonts w:ascii="Helvetica" w:eastAsia="Times New Roman" w:hAnsi="Helvetica" w:cs="Helvetica"/>
          <w:color w:val="444444"/>
          <w:sz w:val="24"/>
          <w:szCs w:val="24"/>
          <w:lang w:eastAsia="en-AU"/>
        </w:rPr>
        <w:t xml:space="preserve"> the US. There was precious little content that reflected the Australian culture. So children learned about UK and US history, literature, customs, </w:t>
      </w:r>
      <w:r w:rsidR="00BD1BCC">
        <w:rPr>
          <w:rFonts w:ascii="Helvetica" w:eastAsia="Times New Roman" w:hAnsi="Helvetica" w:cs="Helvetica"/>
          <w:color w:val="444444"/>
          <w:sz w:val="24"/>
          <w:szCs w:val="24"/>
          <w:lang w:eastAsia="en-AU"/>
        </w:rPr>
        <w:t xml:space="preserve">culture, </w:t>
      </w:r>
      <w:r>
        <w:rPr>
          <w:rFonts w:ascii="Helvetica" w:eastAsia="Times New Roman" w:hAnsi="Helvetica" w:cs="Helvetica"/>
          <w:color w:val="444444"/>
          <w:sz w:val="24"/>
          <w:szCs w:val="24"/>
          <w:lang w:eastAsia="en-AU"/>
        </w:rPr>
        <w:t>places and images</w:t>
      </w:r>
      <w:r w:rsidR="00BD1BCC">
        <w:rPr>
          <w:rFonts w:ascii="Helvetica" w:eastAsia="Times New Roman" w:hAnsi="Helvetica" w:cs="Helvetica"/>
          <w:color w:val="444444"/>
          <w:sz w:val="24"/>
          <w:szCs w:val="24"/>
          <w:lang w:eastAsia="en-AU"/>
        </w:rPr>
        <w:t xml:space="preserve"> (Christmas scenes always had snow)</w:t>
      </w:r>
      <w:r>
        <w:rPr>
          <w:rFonts w:ascii="Helvetica" w:eastAsia="Times New Roman" w:hAnsi="Helvetica" w:cs="Helvetica"/>
          <w:color w:val="444444"/>
          <w:sz w:val="24"/>
          <w:szCs w:val="24"/>
          <w:lang w:eastAsia="en-AU"/>
        </w:rPr>
        <w:t>.</w:t>
      </w:r>
    </w:p>
    <w:p w:rsidR="00A94C46" w:rsidRDefault="00A94C46" w:rsidP="003550E3">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Australian publishing industry began to address this situation in the 1970s and 1980s in children’s literature and content for teaching reading. The content that children meet in their formative years at school influence the way they think about the world. </w:t>
      </w:r>
      <w:r w:rsidR="009D3298">
        <w:rPr>
          <w:rFonts w:ascii="Helvetica" w:eastAsia="Times New Roman" w:hAnsi="Helvetica" w:cs="Helvetica"/>
          <w:color w:val="444444"/>
          <w:sz w:val="24"/>
          <w:szCs w:val="24"/>
          <w:lang w:eastAsia="en-AU"/>
        </w:rPr>
        <w:t>Australian content published for Australian schools over the last 30+ years has given Australian children a view that their multi-cultural nation is something worth reading about. This cultural impact from our creative industries is of great importance where young minds are concerned.</w:t>
      </w:r>
    </w:p>
    <w:p w:rsidR="00617C71" w:rsidRDefault="00617C71" w:rsidP="00617C71">
      <w:pPr>
        <w:spacing w:before="100" w:beforeAutospacing="1" w:after="0"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Members of the ADPG also sponsor various social, educational and literary entities within South Australia, including:</w:t>
      </w:r>
    </w:p>
    <w:p w:rsidR="00617C71" w:rsidRDefault="00617C71" w:rsidP="00617C71">
      <w:pPr>
        <w:pStyle w:val="ListParagraph"/>
        <w:numPr>
          <w:ilvl w:val="0"/>
          <w:numId w:val="15"/>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Independent Arts Foundation literary club</w:t>
      </w:r>
    </w:p>
    <w:p w:rsidR="00617C71" w:rsidRDefault="00617C71" w:rsidP="00617C71">
      <w:pPr>
        <w:pStyle w:val="ListParagraph"/>
        <w:numPr>
          <w:ilvl w:val="0"/>
          <w:numId w:val="15"/>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History Council </w:t>
      </w:r>
    </w:p>
    <w:p w:rsidR="00617C71" w:rsidRDefault="00617C71" w:rsidP="00617C71">
      <w:pPr>
        <w:pStyle w:val="ListParagraph"/>
        <w:numPr>
          <w:ilvl w:val="0"/>
          <w:numId w:val="15"/>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Children’s Book Council of Australia </w:t>
      </w:r>
    </w:p>
    <w:p w:rsidR="00617C71" w:rsidRPr="00617C71" w:rsidRDefault="00617C71" w:rsidP="00617C71">
      <w:pPr>
        <w:pStyle w:val="ListParagraph"/>
        <w:numPr>
          <w:ilvl w:val="0"/>
          <w:numId w:val="15"/>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Lawrence and Haese Scholarship for Mathematics</w:t>
      </w:r>
    </w:p>
    <w:p w:rsidR="00C85075" w:rsidRDefault="00C85075" w:rsidP="00C85075">
      <w:pPr>
        <w:spacing w:before="100" w:beforeAutospacing="1" w:after="100" w:afterAutospacing="1" w:line="240" w:lineRule="auto"/>
        <w:ind w:left="720"/>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1.3.2 International markets</w:t>
      </w:r>
    </w:p>
    <w:p w:rsidR="00BB39F3" w:rsidRDefault="009D3298" w:rsidP="009D3298">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Since the 1980s, Australian publishers have been actively pursuing export markets and managed t</w:t>
      </w:r>
      <w:r w:rsidR="00BD1BCC">
        <w:rPr>
          <w:rFonts w:ascii="Helvetica" w:eastAsia="Times New Roman" w:hAnsi="Helvetica" w:cs="Helvetica"/>
          <w:color w:val="444444"/>
          <w:sz w:val="24"/>
          <w:szCs w:val="24"/>
          <w:lang w:eastAsia="en-AU"/>
        </w:rPr>
        <w:t>o reverse the trend of imported</w:t>
      </w:r>
      <w:r>
        <w:rPr>
          <w:rFonts w:ascii="Helvetica" w:eastAsia="Times New Roman" w:hAnsi="Helvetica" w:cs="Helvetica"/>
          <w:color w:val="444444"/>
          <w:sz w:val="24"/>
          <w:szCs w:val="24"/>
          <w:lang w:eastAsia="en-AU"/>
        </w:rPr>
        <w:t xml:space="preserve"> learning materials</w:t>
      </w:r>
      <w:r w:rsidR="00BD1BCC">
        <w:rPr>
          <w:rFonts w:ascii="Helvetica" w:eastAsia="Times New Roman" w:hAnsi="Helvetica" w:cs="Helvetica"/>
          <w:color w:val="444444"/>
          <w:sz w:val="24"/>
          <w:szCs w:val="24"/>
          <w:lang w:eastAsia="en-AU"/>
        </w:rPr>
        <w:t xml:space="preserve"> and pedagogy. They created an Australian identity</w:t>
      </w:r>
      <w:r w:rsidR="00BB39F3">
        <w:rPr>
          <w:rFonts w:ascii="Helvetica" w:eastAsia="Times New Roman" w:hAnsi="Helvetica" w:cs="Helvetica"/>
          <w:color w:val="444444"/>
          <w:sz w:val="24"/>
          <w:szCs w:val="24"/>
          <w:lang w:eastAsia="en-AU"/>
        </w:rPr>
        <w:t xml:space="preserve"> in learning materials</w:t>
      </w:r>
      <w:r>
        <w:rPr>
          <w:rFonts w:ascii="Helvetica" w:eastAsia="Times New Roman" w:hAnsi="Helvetica" w:cs="Helvetica"/>
          <w:color w:val="444444"/>
          <w:sz w:val="24"/>
          <w:szCs w:val="24"/>
          <w:lang w:eastAsia="en-AU"/>
        </w:rPr>
        <w:t xml:space="preserve"> together with new pedagogies that had been developed in Australia and New Zealand. The UK, the US and other English-speaking markets </w:t>
      </w:r>
      <w:r w:rsidR="00BB39F3">
        <w:rPr>
          <w:rFonts w:ascii="Helvetica" w:eastAsia="Times New Roman" w:hAnsi="Helvetica" w:cs="Helvetica"/>
          <w:color w:val="444444"/>
          <w:sz w:val="24"/>
          <w:szCs w:val="24"/>
          <w:lang w:eastAsia="en-AU"/>
        </w:rPr>
        <w:t xml:space="preserve">and, for 30+ years now </w:t>
      </w:r>
      <w:r>
        <w:rPr>
          <w:rFonts w:ascii="Helvetica" w:eastAsia="Times New Roman" w:hAnsi="Helvetica" w:cs="Helvetica"/>
          <w:color w:val="444444"/>
          <w:sz w:val="24"/>
          <w:szCs w:val="24"/>
          <w:lang w:eastAsia="en-AU"/>
        </w:rPr>
        <w:t xml:space="preserve">have been exporting Australian learning materials and pedagogy. </w:t>
      </w:r>
    </w:p>
    <w:p w:rsidR="009D3298" w:rsidRPr="003550E3" w:rsidRDefault="009D3298" w:rsidP="009D3298">
      <w:pPr>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To succeed, the publishers had to improve on the existing materials available, and in doing so, demonstrated to the world that Australia was capable of producing world-class products in sophisticated areas of industry. The wine industry took a similar path in those years.</w:t>
      </w:r>
    </w:p>
    <w:p w:rsidR="003550E3" w:rsidRDefault="009D3298" w:rsidP="003550E3">
      <w:pPr>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lastRenderedPageBreak/>
        <w:t>This demonstration of capability and sophistication is part of the overall image-building of a competent nation and marketing this sense of confidence to the world. Publishing is an industry that does more than create content – it has a cultural impact on its audience. That which is published carries with it an aura of credibility, albeit subject to professional criticism.</w:t>
      </w:r>
      <w:r w:rsidR="00BB39F3">
        <w:rPr>
          <w:rFonts w:ascii="Helvetica" w:eastAsia="Times New Roman" w:hAnsi="Helvetica" w:cs="Helvetica"/>
          <w:color w:val="444444"/>
          <w:sz w:val="24"/>
          <w:szCs w:val="24"/>
          <w:lang w:eastAsia="en-AU"/>
        </w:rPr>
        <w:t xml:space="preserve"> This is an often unrecognised benefit of the publishing industry to Australia.</w:t>
      </w:r>
    </w:p>
    <w:p w:rsidR="00617C71" w:rsidRDefault="00617C71" w:rsidP="00617C71">
      <w:pPr>
        <w:spacing w:before="100" w:beforeAutospacing="1" w:after="0"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Members of the ADPG also </w:t>
      </w:r>
      <w:r w:rsidR="00177E75">
        <w:rPr>
          <w:rFonts w:ascii="Helvetica" w:eastAsia="Times New Roman" w:hAnsi="Helvetica" w:cs="Helvetica"/>
          <w:color w:val="444444"/>
          <w:sz w:val="24"/>
          <w:szCs w:val="24"/>
          <w:lang w:eastAsia="en-AU"/>
        </w:rPr>
        <w:t>support</w:t>
      </w:r>
      <w:r>
        <w:rPr>
          <w:rFonts w:ascii="Helvetica" w:eastAsia="Times New Roman" w:hAnsi="Helvetica" w:cs="Helvetica"/>
          <w:color w:val="444444"/>
          <w:sz w:val="24"/>
          <w:szCs w:val="24"/>
          <w:lang w:eastAsia="en-AU"/>
        </w:rPr>
        <w:t xml:space="preserve"> various </w:t>
      </w:r>
      <w:r w:rsidR="00177E75">
        <w:rPr>
          <w:rFonts w:ascii="Helvetica" w:eastAsia="Times New Roman" w:hAnsi="Helvetica" w:cs="Helvetica"/>
          <w:color w:val="444444"/>
          <w:sz w:val="24"/>
          <w:szCs w:val="24"/>
          <w:lang w:eastAsia="en-AU"/>
        </w:rPr>
        <w:t>cultural causes overseas</w:t>
      </w:r>
      <w:r>
        <w:rPr>
          <w:rFonts w:ascii="Helvetica" w:eastAsia="Times New Roman" w:hAnsi="Helvetica" w:cs="Helvetica"/>
          <w:color w:val="444444"/>
          <w:sz w:val="24"/>
          <w:szCs w:val="24"/>
          <w:lang w:eastAsia="en-AU"/>
        </w:rPr>
        <w:t>, including:</w:t>
      </w:r>
    </w:p>
    <w:p w:rsidR="00177E75" w:rsidRDefault="00177E75" w:rsidP="00177E75">
      <w:pPr>
        <w:pStyle w:val="ListParagraph"/>
        <w:numPr>
          <w:ilvl w:val="0"/>
          <w:numId w:val="16"/>
        </w:numPr>
        <w:spacing w:after="0"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Central Asia Institute (education for girls in Central Asian communities</w:t>
      </w:r>
    </w:p>
    <w:p w:rsidR="00BB39F3" w:rsidRPr="00177E75" w:rsidRDefault="00177E75" w:rsidP="00177E75">
      <w:pPr>
        <w:pStyle w:val="ListParagraph"/>
        <w:numPr>
          <w:ilvl w:val="0"/>
          <w:numId w:val="16"/>
        </w:numPr>
        <w:spacing w:line="48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Alola Foundation, East Timor</w:t>
      </w:r>
    </w:p>
    <w:p w:rsidR="00D62050" w:rsidRDefault="00C85075" w:rsidP="00C85075">
      <w:pPr>
        <w:pStyle w:val="ListParagraph"/>
        <w:numPr>
          <w:ilvl w:val="1"/>
          <w:numId w:val="3"/>
        </w:numPr>
        <w:spacing w:before="100" w:beforeAutospacing="1"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Reasons for collaboration</w:t>
      </w:r>
    </w:p>
    <w:p w:rsidR="00C85075" w:rsidRPr="0016421B" w:rsidRDefault="00C85075" w:rsidP="00C85075">
      <w:pPr>
        <w:pStyle w:val="ListParagraph"/>
        <w:spacing w:before="100" w:beforeAutospacing="1" w:after="100" w:afterAutospacing="1" w:line="240" w:lineRule="auto"/>
        <w:ind w:left="792"/>
        <w:rPr>
          <w:rFonts w:ascii="Helvetica" w:eastAsia="Times New Roman" w:hAnsi="Helvetica" w:cs="Helvetica"/>
          <w:b/>
          <w:color w:val="444444"/>
          <w:sz w:val="24"/>
          <w:szCs w:val="24"/>
          <w:lang w:eastAsia="en-AU"/>
        </w:rPr>
      </w:pPr>
    </w:p>
    <w:p w:rsidR="00C85075" w:rsidRDefault="00340D24" w:rsidP="00C85075">
      <w:pPr>
        <w:pStyle w:val="ListParagraph"/>
        <w:numPr>
          <w:ilvl w:val="2"/>
          <w:numId w:val="3"/>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Addressing t</w:t>
      </w:r>
      <w:r w:rsidR="00C85075">
        <w:rPr>
          <w:rFonts w:ascii="Helvetica" w:eastAsia="Times New Roman" w:hAnsi="Helvetica" w:cs="Helvetica"/>
          <w:i/>
          <w:color w:val="444444"/>
          <w:sz w:val="24"/>
          <w:szCs w:val="24"/>
          <w:lang w:eastAsia="en-AU"/>
        </w:rPr>
        <w:t>he digital revolution</w:t>
      </w:r>
    </w:p>
    <w:p w:rsidR="00656A10" w:rsidRDefault="00656A10" w:rsidP="00656A10">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For most businesses the digital revolution is impacting their administrative, production</w:t>
      </w:r>
      <w:r w:rsidR="00340D24">
        <w:rPr>
          <w:rFonts w:ascii="Helvetica" w:eastAsia="Times New Roman" w:hAnsi="Helvetica" w:cs="Helvetica"/>
          <w:color w:val="444444"/>
          <w:sz w:val="24"/>
          <w:szCs w:val="24"/>
          <w:lang w:eastAsia="en-AU"/>
        </w:rPr>
        <w:t xml:space="preserve">, </w:t>
      </w:r>
      <w:r>
        <w:rPr>
          <w:rFonts w:ascii="Helvetica" w:eastAsia="Times New Roman" w:hAnsi="Helvetica" w:cs="Helvetica"/>
          <w:color w:val="444444"/>
          <w:sz w:val="24"/>
          <w:szCs w:val="24"/>
          <w:lang w:eastAsia="en-AU"/>
        </w:rPr>
        <w:t>marketing</w:t>
      </w:r>
      <w:r w:rsidR="00340D24">
        <w:rPr>
          <w:rFonts w:ascii="Helvetica" w:eastAsia="Times New Roman" w:hAnsi="Helvetica" w:cs="Helvetica"/>
          <w:color w:val="444444"/>
          <w:sz w:val="24"/>
          <w:szCs w:val="24"/>
          <w:lang w:eastAsia="en-AU"/>
        </w:rPr>
        <w:t xml:space="preserve"> and distribution</w:t>
      </w:r>
      <w:r>
        <w:rPr>
          <w:rFonts w:ascii="Helvetica" w:eastAsia="Times New Roman" w:hAnsi="Helvetica" w:cs="Helvetica"/>
          <w:color w:val="444444"/>
          <w:sz w:val="24"/>
          <w:szCs w:val="24"/>
          <w:lang w:eastAsia="en-AU"/>
        </w:rPr>
        <w:t xml:space="preserve"> functions, but they still make and innovate </w:t>
      </w:r>
      <w:r w:rsidR="00340D24">
        <w:rPr>
          <w:rFonts w:ascii="Helvetica" w:eastAsia="Times New Roman" w:hAnsi="Helvetica" w:cs="Helvetica"/>
          <w:color w:val="444444"/>
          <w:sz w:val="24"/>
          <w:szCs w:val="24"/>
          <w:lang w:eastAsia="en-AU"/>
        </w:rPr>
        <w:t xml:space="preserve">on </w:t>
      </w:r>
      <w:r>
        <w:rPr>
          <w:rFonts w:ascii="Helvetica" w:eastAsia="Times New Roman" w:hAnsi="Helvetica" w:cs="Helvetica"/>
          <w:color w:val="444444"/>
          <w:sz w:val="24"/>
          <w:szCs w:val="24"/>
          <w:lang w:eastAsia="en-AU"/>
        </w:rPr>
        <w:t>the same prod</w:t>
      </w:r>
      <w:r w:rsidR="00340D24">
        <w:rPr>
          <w:rFonts w:ascii="Helvetica" w:eastAsia="Times New Roman" w:hAnsi="Helvetica" w:cs="Helvetica"/>
          <w:color w:val="444444"/>
          <w:sz w:val="24"/>
          <w:szCs w:val="24"/>
          <w:lang w:eastAsia="en-AU"/>
        </w:rPr>
        <w:t>uct types</w:t>
      </w:r>
      <w:r>
        <w:rPr>
          <w:rFonts w:ascii="Helvetica" w:eastAsia="Times New Roman" w:hAnsi="Helvetica" w:cs="Helvetica"/>
          <w:color w:val="444444"/>
          <w:sz w:val="24"/>
          <w:szCs w:val="24"/>
          <w:lang w:eastAsia="en-AU"/>
        </w:rPr>
        <w:t>. Even so, such businesses be</w:t>
      </w:r>
      <w:r w:rsidR="00340D24">
        <w:rPr>
          <w:rFonts w:ascii="Helvetica" w:eastAsia="Times New Roman" w:hAnsi="Helvetica" w:cs="Helvetica"/>
          <w:color w:val="444444"/>
          <w:sz w:val="24"/>
          <w:szCs w:val="24"/>
          <w:lang w:eastAsia="en-AU"/>
        </w:rPr>
        <w:t>moan the constant change in technology, and the cost of hardware and software upgrades and service.</w:t>
      </w:r>
    </w:p>
    <w:p w:rsidR="00340D24" w:rsidRDefault="00340D24" w:rsidP="00656A10">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340D24" w:rsidRPr="00656A10" w:rsidRDefault="00340D24" w:rsidP="00656A10">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For publishers, the digital revolution presents all of those concerns but also a fundamental shift in the product types, production functions, distribution channels and means, and the security of their Intellectual Property that is the basis of their business.</w:t>
      </w:r>
      <w:r w:rsidR="00BB39F3">
        <w:rPr>
          <w:rFonts w:ascii="Helvetica" w:eastAsia="Times New Roman" w:hAnsi="Helvetica" w:cs="Helvetica"/>
          <w:color w:val="444444"/>
          <w:sz w:val="24"/>
          <w:szCs w:val="24"/>
          <w:lang w:eastAsia="en-AU"/>
        </w:rPr>
        <w:t xml:space="preserve"> Hundreds of years of print technology is being influenced by digitisation of books and their means of distribution and consumption.</w:t>
      </w:r>
    </w:p>
    <w:p w:rsidR="00C85075" w:rsidRPr="0016421B" w:rsidRDefault="00C85075" w:rsidP="00C85075">
      <w:pPr>
        <w:pStyle w:val="ListParagraph"/>
        <w:spacing w:before="100" w:beforeAutospacing="1" w:after="100" w:afterAutospacing="1" w:line="240" w:lineRule="auto"/>
        <w:ind w:left="1224"/>
        <w:rPr>
          <w:rFonts w:ascii="Helvetica" w:eastAsia="Times New Roman" w:hAnsi="Helvetica" w:cs="Helvetica"/>
          <w:color w:val="444444"/>
          <w:sz w:val="24"/>
          <w:szCs w:val="24"/>
          <w:lang w:eastAsia="en-AU"/>
        </w:rPr>
      </w:pPr>
    </w:p>
    <w:p w:rsidR="00C85075" w:rsidRDefault="00340D24" w:rsidP="00C85075">
      <w:pPr>
        <w:pStyle w:val="ListParagraph"/>
        <w:numPr>
          <w:ilvl w:val="2"/>
          <w:numId w:val="3"/>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Training and learning</w:t>
      </w:r>
    </w:p>
    <w:p w:rsidR="00340D24" w:rsidRDefault="00340D24" w:rsidP="00340D24">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cost of the steep learning curve in the digital world is debilitating for small publishers. So the ADPG members collaborate to share knowledge on the technical and distribution functions associated with digital publishing. Effectively we learn from each other and combine to share the costs of training where </w:t>
      </w:r>
      <w:r w:rsidR="00BB39F3">
        <w:rPr>
          <w:rFonts w:ascii="Helvetica" w:eastAsia="Times New Roman" w:hAnsi="Helvetica" w:cs="Helvetica"/>
          <w:color w:val="444444"/>
          <w:sz w:val="24"/>
          <w:szCs w:val="24"/>
          <w:lang w:eastAsia="en-AU"/>
        </w:rPr>
        <w:t>possible</w:t>
      </w:r>
      <w:r>
        <w:rPr>
          <w:rFonts w:ascii="Helvetica" w:eastAsia="Times New Roman" w:hAnsi="Helvetica" w:cs="Helvetica"/>
          <w:color w:val="444444"/>
          <w:sz w:val="24"/>
          <w:szCs w:val="24"/>
          <w:lang w:eastAsia="en-AU"/>
        </w:rPr>
        <w:t>.</w:t>
      </w:r>
    </w:p>
    <w:p w:rsidR="00340D24" w:rsidRPr="00340D24" w:rsidRDefault="00340D24" w:rsidP="00340D24">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340D24" w:rsidRDefault="00340D24" w:rsidP="00C85075">
      <w:pPr>
        <w:pStyle w:val="ListParagraph"/>
        <w:numPr>
          <w:ilvl w:val="2"/>
          <w:numId w:val="3"/>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Global marketing</w:t>
      </w:r>
    </w:p>
    <w:p w:rsidR="00340D24" w:rsidRDefault="00BB28C5" w:rsidP="00340D24">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With the difficulty of surviving in a domestic market that is dominated by a few multi-national publishers, small publishers need to ‘swim in a bigger market pool’ by seeking specialised markets overseas. This is demonstrated in the evidence provided in this submission regarding export activity as a share of total revenue.</w:t>
      </w:r>
    </w:p>
    <w:p w:rsidR="00BB28C5" w:rsidRDefault="00BB28C5" w:rsidP="00340D24">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BB28C5" w:rsidRDefault="00BB28C5" w:rsidP="00A231C2">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members of the ADPG share global market knowledge and promote or recommend each other to relevant overseas contacts. Collectively, the group’s market reach is globally greater than many of the Australian offices of our multi-national competitors.</w:t>
      </w:r>
    </w:p>
    <w:p w:rsidR="00A231C2" w:rsidRDefault="00A231C2" w:rsidP="00A231C2">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p>
    <w:p w:rsidR="00D62050" w:rsidRDefault="00D62050" w:rsidP="00A231C2">
      <w:pPr>
        <w:pStyle w:val="ListParagraph"/>
        <w:numPr>
          <w:ilvl w:val="0"/>
          <w:numId w:val="3"/>
        </w:numPr>
        <w:spacing w:before="100" w:beforeAutospacing="1" w:after="100" w:afterAutospacing="1" w:line="240" w:lineRule="auto"/>
        <w:rPr>
          <w:rFonts w:ascii="Helvetica" w:eastAsia="Times New Roman" w:hAnsi="Helvetica" w:cs="Helvetica"/>
          <w:b/>
          <w:color w:val="444444"/>
          <w:sz w:val="24"/>
          <w:szCs w:val="24"/>
          <w:lang w:eastAsia="en-AU"/>
        </w:rPr>
      </w:pPr>
      <w:r w:rsidRPr="00067DC9">
        <w:rPr>
          <w:rFonts w:ascii="Helvetica" w:eastAsia="Times New Roman" w:hAnsi="Helvetica" w:cs="Helvetica"/>
          <w:b/>
          <w:color w:val="444444"/>
          <w:sz w:val="24"/>
          <w:szCs w:val="24"/>
          <w:lang w:eastAsia="en-AU"/>
        </w:rPr>
        <w:t>S</w:t>
      </w:r>
      <w:r w:rsidR="00A04840" w:rsidRPr="00067DC9">
        <w:rPr>
          <w:rFonts w:ascii="Helvetica" w:eastAsia="Times New Roman" w:hAnsi="Helvetica" w:cs="Helvetica"/>
          <w:b/>
          <w:color w:val="444444"/>
          <w:sz w:val="24"/>
          <w:szCs w:val="24"/>
          <w:lang w:eastAsia="en-AU"/>
        </w:rPr>
        <w:t xml:space="preserve">ources of income </w:t>
      </w:r>
    </w:p>
    <w:p w:rsidR="0030005A" w:rsidRDefault="0030005A" w:rsidP="0030005A">
      <w:pPr>
        <w:pStyle w:val="ListParagraph"/>
        <w:spacing w:before="100" w:beforeAutospacing="1" w:after="100" w:afterAutospacing="1" w:line="240" w:lineRule="auto"/>
        <w:ind w:left="360"/>
        <w:rPr>
          <w:rFonts w:ascii="Helvetica" w:eastAsia="Times New Roman" w:hAnsi="Helvetica" w:cs="Helvetica"/>
          <w:b/>
          <w:color w:val="444444"/>
          <w:sz w:val="24"/>
          <w:szCs w:val="24"/>
          <w:lang w:eastAsia="en-AU"/>
        </w:rPr>
      </w:pPr>
    </w:p>
    <w:p w:rsidR="003550E3" w:rsidRDefault="003550E3" w:rsidP="003550E3">
      <w:pPr>
        <w:pStyle w:val="ListParagraph"/>
        <w:numPr>
          <w:ilvl w:val="1"/>
          <w:numId w:val="3"/>
        </w:numPr>
        <w:spacing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Domestic vs export revenue</w:t>
      </w:r>
    </w:p>
    <w:p w:rsidR="0030005A" w:rsidRDefault="0030005A" w:rsidP="0030005A">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Fig.1 demonstrates:</w:t>
      </w:r>
    </w:p>
    <w:p w:rsidR="0030005A" w:rsidRDefault="0030005A" w:rsidP="0030005A">
      <w:pPr>
        <w:pStyle w:val="ListParagraph"/>
        <w:numPr>
          <w:ilvl w:val="0"/>
          <w:numId w:val="9"/>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relative importance of export revenue to the ADPG members</w:t>
      </w:r>
    </w:p>
    <w:p w:rsidR="0030005A" w:rsidRDefault="0030005A" w:rsidP="0030005A">
      <w:pPr>
        <w:pStyle w:val="ListParagraph"/>
        <w:numPr>
          <w:ilvl w:val="0"/>
          <w:numId w:val="9"/>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members’ contribution to the state and national economy through exports</w:t>
      </w:r>
    </w:p>
    <w:p w:rsidR="0030005A" w:rsidRDefault="0030005A" w:rsidP="0030005A">
      <w:pPr>
        <w:pStyle w:val="ListParagraph"/>
        <w:numPr>
          <w:ilvl w:val="0"/>
          <w:numId w:val="9"/>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effect of the current global economic crisis on their exports and hence their overall revenue. In ‘normal’ economic conditions their </w:t>
      </w:r>
      <w:r w:rsidR="00A231C2">
        <w:rPr>
          <w:rFonts w:ascii="Helvetica" w:eastAsia="Times New Roman" w:hAnsi="Helvetica" w:cs="Helvetica"/>
          <w:color w:val="444444"/>
          <w:sz w:val="24"/>
          <w:szCs w:val="24"/>
          <w:lang w:eastAsia="en-AU"/>
        </w:rPr>
        <w:t xml:space="preserve">average </w:t>
      </w:r>
      <w:r>
        <w:rPr>
          <w:rFonts w:ascii="Helvetica" w:eastAsia="Times New Roman" w:hAnsi="Helvetica" w:cs="Helvetica"/>
          <w:color w:val="444444"/>
          <w:sz w:val="24"/>
          <w:szCs w:val="24"/>
          <w:lang w:eastAsia="en-AU"/>
        </w:rPr>
        <w:t xml:space="preserve">export success is considerably higher in value and </w:t>
      </w:r>
      <w:r w:rsidR="009D3298">
        <w:rPr>
          <w:rFonts w:ascii="Helvetica" w:eastAsia="Times New Roman" w:hAnsi="Helvetica" w:cs="Helvetica"/>
          <w:color w:val="444444"/>
          <w:sz w:val="24"/>
          <w:szCs w:val="24"/>
          <w:lang w:eastAsia="en-AU"/>
        </w:rPr>
        <w:t xml:space="preserve">higher </w:t>
      </w:r>
      <w:r>
        <w:rPr>
          <w:rFonts w:ascii="Helvetica" w:eastAsia="Times New Roman" w:hAnsi="Helvetica" w:cs="Helvetica"/>
          <w:color w:val="444444"/>
          <w:sz w:val="24"/>
          <w:szCs w:val="24"/>
          <w:lang w:eastAsia="en-AU"/>
        </w:rPr>
        <w:t>as a percentage of their overall revenue.</w:t>
      </w:r>
    </w:p>
    <w:p w:rsidR="0030005A" w:rsidRPr="00290035" w:rsidRDefault="0030005A" w:rsidP="00A231C2">
      <w:pPr>
        <w:spacing w:line="240" w:lineRule="auto"/>
        <w:jc w:val="center"/>
        <w:rPr>
          <w:rFonts w:ascii="Helvetica" w:eastAsia="Times New Roman" w:hAnsi="Helvetica" w:cs="Helvetica"/>
          <w:color w:val="444444"/>
          <w:sz w:val="20"/>
          <w:szCs w:val="20"/>
          <w:lang w:eastAsia="en-AU"/>
        </w:rPr>
      </w:pPr>
      <w:r w:rsidRPr="0030005A">
        <w:rPr>
          <w:rFonts w:ascii="Helvetica" w:eastAsia="Times New Roman" w:hAnsi="Helvetica" w:cs="Helvetica"/>
          <w:noProof/>
          <w:color w:val="444444"/>
          <w:sz w:val="24"/>
          <w:szCs w:val="24"/>
          <w:lang w:eastAsia="en-AU"/>
        </w:rPr>
        <w:drawing>
          <wp:inline distT="0" distB="0" distL="0" distR="0">
            <wp:extent cx="3943350" cy="20383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5EAB" w:rsidRPr="00A55EAB" w:rsidRDefault="00A55EAB" w:rsidP="00A55EAB">
      <w:pPr>
        <w:spacing w:after="0" w:line="240" w:lineRule="auto"/>
        <w:jc w:val="center"/>
        <w:rPr>
          <w:rFonts w:ascii="Helvetica" w:eastAsia="Times New Roman" w:hAnsi="Helvetica" w:cs="Helvetica"/>
          <w:color w:val="444444"/>
          <w:sz w:val="16"/>
          <w:szCs w:val="16"/>
          <w:lang w:eastAsia="en-AU"/>
        </w:rPr>
      </w:pPr>
    </w:p>
    <w:p w:rsidR="00A231C2" w:rsidRPr="00A231C2" w:rsidRDefault="00A231C2" w:rsidP="00A55EAB">
      <w:pPr>
        <w:spacing w:after="0" w:line="240" w:lineRule="auto"/>
        <w:rPr>
          <w:rFonts w:ascii="Helvetica" w:eastAsia="Times New Roman" w:hAnsi="Helvetica" w:cs="Helvetica"/>
          <w:i/>
          <w:color w:val="444444"/>
          <w:sz w:val="20"/>
          <w:szCs w:val="20"/>
          <w:lang w:eastAsia="en-AU"/>
        </w:rPr>
      </w:pPr>
      <w:r w:rsidRPr="00A231C2">
        <w:rPr>
          <w:rFonts w:ascii="Helvetica" w:eastAsia="Times New Roman" w:hAnsi="Helvetica" w:cs="Helvetica"/>
          <w:i/>
          <w:color w:val="444444"/>
          <w:sz w:val="20"/>
          <w:szCs w:val="20"/>
          <w:lang w:eastAsia="en-AU"/>
        </w:rPr>
        <w:t>Fig.1: Export sales as a percentage of total revenue among ADPG members FYE2011-2013.</w:t>
      </w:r>
    </w:p>
    <w:p w:rsidR="003550E3" w:rsidRDefault="003550E3" w:rsidP="003550E3">
      <w:pPr>
        <w:pStyle w:val="ListParagraph"/>
        <w:numPr>
          <w:ilvl w:val="1"/>
          <w:numId w:val="3"/>
        </w:numPr>
        <w:spacing w:before="100" w:beforeAutospacing="1"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Print vs digital revenue</w:t>
      </w:r>
    </w:p>
    <w:p w:rsidR="0030005A" w:rsidRDefault="00A231C2" w:rsidP="0030005A">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Fig.2</w:t>
      </w:r>
      <w:r w:rsidR="0030005A">
        <w:rPr>
          <w:rFonts w:ascii="Helvetica" w:eastAsia="Times New Roman" w:hAnsi="Helvetica" w:cs="Helvetica"/>
          <w:color w:val="444444"/>
          <w:sz w:val="24"/>
          <w:szCs w:val="24"/>
          <w:lang w:eastAsia="en-AU"/>
        </w:rPr>
        <w:t xml:space="preserve"> demonstrates:</w:t>
      </w:r>
    </w:p>
    <w:p w:rsidR="00A231C2" w:rsidRDefault="00A231C2" w:rsidP="0030005A">
      <w:pPr>
        <w:pStyle w:val="ListParagraph"/>
        <w:numPr>
          <w:ilvl w:val="0"/>
          <w:numId w:val="10"/>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effect of ADPG member investment in digital publishing </w:t>
      </w:r>
    </w:p>
    <w:p w:rsidR="0030005A" w:rsidRDefault="00A231C2" w:rsidP="0030005A">
      <w:pPr>
        <w:pStyle w:val="ListParagraph"/>
        <w:numPr>
          <w:ilvl w:val="0"/>
          <w:numId w:val="10"/>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growth in sales of digital products versus print products </w:t>
      </w:r>
      <w:r w:rsidR="00BB39F3">
        <w:rPr>
          <w:rFonts w:ascii="Helvetica" w:eastAsia="Times New Roman" w:hAnsi="Helvetica" w:cs="Helvetica"/>
          <w:color w:val="444444"/>
          <w:sz w:val="24"/>
          <w:szCs w:val="24"/>
          <w:lang w:eastAsia="en-AU"/>
        </w:rPr>
        <w:t xml:space="preserve">as a portion </w:t>
      </w:r>
      <w:r>
        <w:rPr>
          <w:rFonts w:ascii="Helvetica" w:eastAsia="Times New Roman" w:hAnsi="Helvetica" w:cs="Helvetica"/>
          <w:color w:val="444444"/>
          <w:sz w:val="24"/>
          <w:szCs w:val="24"/>
          <w:lang w:eastAsia="en-AU"/>
        </w:rPr>
        <w:t>of the total revenue of ADPG members FYE2011-2013.</w:t>
      </w:r>
    </w:p>
    <w:p w:rsidR="000B36C2" w:rsidRPr="000B36C2" w:rsidRDefault="000B36C2" w:rsidP="000B36C2">
      <w:pPr>
        <w:spacing w:before="100" w:beforeAutospacing="1" w:after="100" w:afterAutospacing="1" w:line="240" w:lineRule="auto"/>
        <w:ind w:left="115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Member investment in digital publishing is producing positive results, but the growth does not make up for the downturn in print sales.</w:t>
      </w:r>
    </w:p>
    <w:p w:rsidR="00D62050" w:rsidRDefault="000B36C2" w:rsidP="00A231C2">
      <w:pPr>
        <w:spacing w:before="100" w:beforeAutospacing="1" w:after="100" w:afterAutospacing="1" w:line="240" w:lineRule="auto"/>
        <w:jc w:val="center"/>
        <w:rPr>
          <w:rFonts w:ascii="Helvetica" w:eastAsia="Times New Roman" w:hAnsi="Helvetica" w:cs="Helvetica"/>
          <w:color w:val="444444"/>
          <w:sz w:val="24"/>
          <w:szCs w:val="24"/>
          <w:lang w:eastAsia="en-AU"/>
        </w:rPr>
      </w:pPr>
      <w:r w:rsidRPr="000B36C2">
        <w:rPr>
          <w:rFonts w:ascii="Helvetica" w:eastAsia="Times New Roman" w:hAnsi="Helvetica" w:cs="Helvetica"/>
          <w:noProof/>
          <w:color w:val="444444"/>
          <w:sz w:val="24"/>
          <w:szCs w:val="24"/>
          <w:lang w:eastAsia="en-AU"/>
        </w:rPr>
        <w:drawing>
          <wp:inline distT="0" distB="0" distL="0" distR="0">
            <wp:extent cx="3759320" cy="1863305"/>
            <wp:effectExtent l="19050" t="0" r="12580" b="359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1C2" w:rsidRPr="00A231C2" w:rsidRDefault="00A231C2" w:rsidP="00A231C2">
      <w:pPr>
        <w:spacing w:after="100" w:afterAutospacing="1" w:line="240" w:lineRule="auto"/>
        <w:rPr>
          <w:rFonts w:ascii="Helvetica" w:eastAsia="Times New Roman" w:hAnsi="Helvetica" w:cs="Helvetica"/>
          <w:i/>
          <w:color w:val="444444"/>
          <w:sz w:val="20"/>
          <w:szCs w:val="20"/>
          <w:lang w:eastAsia="en-AU"/>
        </w:rPr>
      </w:pPr>
      <w:r>
        <w:rPr>
          <w:rFonts w:ascii="Helvetica" w:eastAsia="Times New Roman" w:hAnsi="Helvetica" w:cs="Helvetica"/>
          <w:i/>
          <w:color w:val="444444"/>
          <w:sz w:val="20"/>
          <w:szCs w:val="20"/>
          <w:lang w:eastAsia="en-AU"/>
        </w:rPr>
        <w:t>Fig.2</w:t>
      </w:r>
      <w:r w:rsidRPr="00A231C2">
        <w:rPr>
          <w:rFonts w:ascii="Helvetica" w:eastAsia="Times New Roman" w:hAnsi="Helvetica" w:cs="Helvetica"/>
          <w:i/>
          <w:color w:val="444444"/>
          <w:sz w:val="20"/>
          <w:szCs w:val="20"/>
          <w:lang w:eastAsia="en-AU"/>
        </w:rPr>
        <w:t xml:space="preserve">: </w:t>
      </w:r>
      <w:r>
        <w:rPr>
          <w:rFonts w:ascii="Helvetica" w:eastAsia="Times New Roman" w:hAnsi="Helvetica" w:cs="Helvetica"/>
          <w:i/>
          <w:color w:val="444444"/>
          <w:sz w:val="20"/>
          <w:szCs w:val="20"/>
          <w:lang w:eastAsia="en-AU"/>
        </w:rPr>
        <w:t>Digital product</w:t>
      </w:r>
      <w:r w:rsidRPr="00A231C2">
        <w:rPr>
          <w:rFonts w:ascii="Helvetica" w:eastAsia="Times New Roman" w:hAnsi="Helvetica" w:cs="Helvetica"/>
          <w:i/>
          <w:color w:val="444444"/>
          <w:sz w:val="20"/>
          <w:szCs w:val="20"/>
          <w:lang w:eastAsia="en-AU"/>
        </w:rPr>
        <w:t xml:space="preserve"> sales as a percentage of total revenue among ADPG members FYE2011-2013.</w:t>
      </w:r>
    </w:p>
    <w:p w:rsidR="00A231C2" w:rsidRDefault="00A231C2" w:rsidP="00A231C2">
      <w:pPr>
        <w:spacing w:before="100" w:beforeAutospacing="1" w:after="0"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Fig 3 demonstrates:</w:t>
      </w:r>
    </w:p>
    <w:p w:rsidR="00A04840" w:rsidRDefault="00A7244B" w:rsidP="00A231C2">
      <w:pPr>
        <w:pStyle w:val="ListParagraph"/>
        <w:numPr>
          <w:ilvl w:val="0"/>
          <w:numId w:val="11"/>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lastRenderedPageBreak/>
        <w:t>T</w:t>
      </w:r>
      <w:r w:rsidR="00A04840" w:rsidRPr="00A231C2">
        <w:rPr>
          <w:rFonts w:ascii="Helvetica" w:eastAsia="Times New Roman" w:hAnsi="Helvetica" w:cs="Helvetica"/>
          <w:color w:val="444444"/>
          <w:sz w:val="24"/>
          <w:szCs w:val="24"/>
          <w:lang w:eastAsia="en-AU"/>
        </w:rPr>
        <w:t xml:space="preserve">he proportion </w:t>
      </w:r>
      <w:r>
        <w:rPr>
          <w:rFonts w:ascii="Helvetica" w:eastAsia="Times New Roman" w:hAnsi="Helvetica" w:cs="Helvetica"/>
          <w:color w:val="444444"/>
          <w:sz w:val="24"/>
          <w:szCs w:val="24"/>
          <w:lang w:eastAsia="en-AU"/>
        </w:rPr>
        <w:t xml:space="preserve">of revenue among members </w:t>
      </w:r>
      <w:r w:rsidR="00A04840" w:rsidRPr="00A231C2">
        <w:rPr>
          <w:rFonts w:ascii="Helvetica" w:eastAsia="Times New Roman" w:hAnsi="Helvetica" w:cs="Helvetica"/>
          <w:color w:val="444444"/>
          <w:sz w:val="24"/>
          <w:szCs w:val="24"/>
          <w:lang w:eastAsia="en-AU"/>
        </w:rPr>
        <w:t xml:space="preserve">that is </w:t>
      </w:r>
      <w:r>
        <w:rPr>
          <w:rFonts w:ascii="Helvetica" w:eastAsia="Times New Roman" w:hAnsi="Helvetica" w:cs="Helvetica"/>
          <w:color w:val="444444"/>
          <w:sz w:val="24"/>
          <w:szCs w:val="24"/>
          <w:lang w:eastAsia="en-AU"/>
        </w:rPr>
        <w:t xml:space="preserve">print </w:t>
      </w:r>
      <w:r w:rsidR="00BB39F3">
        <w:rPr>
          <w:rFonts w:ascii="Helvetica" w:eastAsia="Times New Roman" w:hAnsi="Helvetica" w:cs="Helvetica"/>
          <w:color w:val="444444"/>
          <w:sz w:val="24"/>
          <w:szCs w:val="24"/>
          <w:lang w:eastAsia="en-AU"/>
        </w:rPr>
        <w:t>versus</w:t>
      </w:r>
      <w:r>
        <w:rPr>
          <w:rFonts w:ascii="Helvetica" w:eastAsia="Times New Roman" w:hAnsi="Helvetica" w:cs="Helvetica"/>
          <w:color w:val="444444"/>
          <w:sz w:val="24"/>
          <w:szCs w:val="24"/>
          <w:lang w:eastAsia="en-AU"/>
        </w:rPr>
        <w:t xml:space="preserve"> digital based</w:t>
      </w:r>
      <w:r w:rsidR="00AE29E7">
        <w:rPr>
          <w:rFonts w:ascii="Helvetica" w:eastAsia="Times New Roman" w:hAnsi="Helvetica" w:cs="Helvetica"/>
          <w:color w:val="444444"/>
          <w:sz w:val="24"/>
          <w:szCs w:val="24"/>
          <w:lang w:eastAsia="en-AU"/>
        </w:rPr>
        <w:t xml:space="preserve"> and the total revenue</w:t>
      </w:r>
    </w:p>
    <w:p w:rsidR="00A7244B" w:rsidRDefault="00A7244B" w:rsidP="00A231C2">
      <w:pPr>
        <w:pStyle w:val="ListParagraph"/>
        <w:numPr>
          <w:ilvl w:val="0"/>
          <w:numId w:val="11"/>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Rapidly falling print sales</w:t>
      </w:r>
      <w:r w:rsidR="00AE29E7">
        <w:rPr>
          <w:rFonts w:ascii="Helvetica" w:eastAsia="Times New Roman" w:hAnsi="Helvetica" w:cs="Helvetica"/>
          <w:color w:val="444444"/>
          <w:sz w:val="24"/>
          <w:szCs w:val="24"/>
          <w:lang w:eastAsia="en-AU"/>
        </w:rPr>
        <w:t xml:space="preserve"> (also </w:t>
      </w:r>
      <w:r>
        <w:rPr>
          <w:rFonts w:ascii="Helvetica" w:eastAsia="Times New Roman" w:hAnsi="Helvetica" w:cs="Helvetica"/>
          <w:color w:val="444444"/>
          <w:sz w:val="24"/>
          <w:szCs w:val="24"/>
          <w:lang w:eastAsia="en-AU"/>
        </w:rPr>
        <w:t>supported by industry figures</w:t>
      </w:r>
      <w:r w:rsidR="00AE29E7">
        <w:rPr>
          <w:rFonts w:ascii="Helvetica" w:eastAsia="Times New Roman" w:hAnsi="Helvetica" w:cs="Helvetica"/>
          <w:color w:val="444444"/>
          <w:sz w:val="24"/>
          <w:szCs w:val="24"/>
          <w:lang w:eastAsia="en-AU"/>
        </w:rPr>
        <w:t>)</w:t>
      </w:r>
    </w:p>
    <w:p w:rsidR="00A7244B" w:rsidRDefault="00A7244B" w:rsidP="00A231C2">
      <w:pPr>
        <w:pStyle w:val="ListParagraph"/>
        <w:numPr>
          <w:ilvl w:val="0"/>
          <w:numId w:val="11"/>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Slowly increasing value of digital sales. The public perception is that ‘digital products should be cheaper than print because they are cheaper to produce’. This assumption is fallacious. The cost of development of intellectual property is the same for both outputs, but the technology cost of development and maintenance of educational products due to their often multimedia nature is higher than print.</w:t>
      </w:r>
    </w:p>
    <w:p w:rsidR="00A7244B" w:rsidRPr="000B36C2" w:rsidRDefault="00A7244B" w:rsidP="00756413">
      <w:pPr>
        <w:spacing w:after="100" w:afterAutospacing="1" w:line="240" w:lineRule="auto"/>
        <w:ind w:left="720"/>
        <w:rPr>
          <w:rFonts w:ascii="Helvetica" w:eastAsia="Times New Roman" w:hAnsi="Helvetica" w:cs="Helvetica"/>
          <w:color w:val="444444"/>
          <w:sz w:val="24"/>
          <w:szCs w:val="24"/>
          <w:lang w:eastAsia="en-AU"/>
        </w:rPr>
      </w:pPr>
      <w:r w:rsidRPr="000B36C2">
        <w:rPr>
          <w:rFonts w:ascii="Helvetica" w:eastAsia="Times New Roman" w:hAnsi="Helvetica" w:cs="Helvetica"/>
          <w:color w:val="444444"/>
          <w:sz w:val="24"/>
          <w:szCs w:val="24"/>
          <w:lang w:eastAsia="en-AU"/>
        </w:rPr>
        <w:t xml:space="preserve">The overall diminishing </w:t>
      </w:r>
      <w:r w:rsidR="000B36C2">
        <w:rPr>
          <w:rFonts w:ascii="Helvetica" w:eastAsia="Times New Roman" w:hAnsi="Helvetica" w:cs="Helvetica"/>
          <w:color w:val="444444"/>
          <w:sz w:val="24"/>
          <w:szCs w:val="24"/>
          <w:lang w:eastAsia="en-AU"/>
        </w:rPr>
        <w:t>revenues of the ADPG publishers</w:t>
      </w:r>
      <w:r w:rsidRPr="000B36C2">
        <w:rPr>
          <w:rFonts w:ascii="Helvetica" w:eastAsia="Times New Roman" w:hAnsi="Helvetica" w:cs="Helvetica"/>
          <w:color w:val="444444"/>
          <w:sz w:val="24"/>
          <w:szCs w:val="24"/>
          <w:lang w:eastAsia="en-AU"/>
        </w:rPr>
        <w:t xml:space="preserve"> eventually must impact on employment numbers</w:t>
      </w:r>
      <w:r w:rsidR="000B36C2">
        <w:rPr>
          <w:rFonts w:ascii="Helvetica" w:eastAsia="Times New Roman" w:hAnsi="Helvetica" w:cs="Helvetica"/>
          <w:color w:val="444444"/>
          <w:sz w:val="24"/>
          <w:szCs w:val="24"/>
          <w:lang w:eastAsia="en-AU"/>
        </w:rPr>
        <w:t>.</w:t>
      </w:r>
      <w:r w:rsidR="00290035">
        <w:rPr>
          <w:rFonts w:ascii="Helvetica" w:eastAsia="Times New Roman" w:hAnsi="Helvetica" w:cs="Helvetica"/>
          <w:color w:val="444444"/>
          <w:sz w:val="24"/>
          <w:szCs w:val="24"/>
          <w:lang w:eastAsia="en-AU"/>
        </w:rPr>
        <w:t xml:space="preserve"> This is already beginning to happen.</w:t>
      </w:r>
    </w:p>
    <w:p w:rsidR="00A7244B" w:rsidRPr="007577BC" w:rsidRDefault="00B76170" w:rsidP="00350163">
      <w:pPr>
        <w:spacing w:line="240" w:lineRule="auto"/>
        <w:ind w:left="1080"/>
        <w:rPr>
          <w:rFonts w:ascii="Helvetica" w:eastAsia="Times New Roman" w:hAnsi="Helvetica" w:cs="Helvetica"/>
          <w:b/>
          <w:sz w:val="24"/>
          <w:szCs w:val="24"/>
          <w:lang w:eastAsia="en-AU"/>
        </w:rPr>
      </w:pPr>
      <w:r w:rsidRPr="007577BC">
        <w:rPr>
          <w:rFonts w:ascii="Helvetica" w:eastAsia="Times New Roman" w:hAnsi="Helvetica" w:cs="Helvetica"/>
          <w:b/>
          <w:sz w:val="28"/>
          <w:szCs w:val="28"/>
          <w:lang w:eastAsia="en-AU"/>
        </w:rPr>
        <w:t xml:space="preserve">         </w:t>
      </w:r>
      <w:r w:rsidR="00A7244B" w:rsidRPr="007577BC">
        <w:rPr>
          <w:rFonts w:ascii="Helvetica" w:eastAsia="Times New Roman" w:hAnsi="Helvetica" w:cs="Helvetica"/>
          <w:b/>
          <w:sz w:val="24"/>
          <w:szCs w:val="24"/>
          <w:lang w:eastAsia="en-AU"/>
        </w:rPr>
        <w:t>Fig 3: Print sales vs digital sales value</w:t>
      </w:r>
    </w:p>
    <w:p w:rsidR="00D62050" w:rsidRDefault="00AE29E7" w:rsidP="00A7244B">
      <w:pPr>
        <w:spacing w:before="100" w:beforeAutospacing="1" w:after="100" w:afterAutospacing="1" w:line="240" w:lineRule="auto"/>
        <w:jc w:val="center"/>
        <w:rPr>
          <w:rFonts w:ascii="Helvetica" w:eastAsia="Times New Roman" w:hAnsi="Helvetica" w:cs="Helvetica"/>
          <w:color w:val="444444"/>
          <w:sz w:val="24"/>
          <w:szCs w:val="24"/>
          <w:lang w:eastAsia="en-AU"/>
        </w:rPr>
      </w:pPr>
      <w:r w:rsidRPr="00AE29E7">
        <w:rPr>
          <w:rFonts w:ascii="Helvetica" w:eastAsia="Times New Roman" w:hAnsi="Helvetica" w:cs="Helvetica"/>
          <w:noProof/>
          <w:color w:val="444444"/>
          <w:sz w:val="24"/>
          <w:szCs w:val="24"/>
          <w:lang w:eastAsia="en-AU"/>
        </w:rPr>
        <w:drawing>
          <wp:inline distT="0" distB="0" distL="0" distR="0">
            <wp:extent cx="3952875" cy="2057400"/>
            <wp:effectExtent l="19050" t="0" r="9525"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44B" w:rsidRDefault="00A7244B" w:rsidP="00B76170">
      <w:pPr>
        <w:spacing w:before="100" w:beforeAutospacing="1" w:after="100" w:afterAutospacing="1" w:line="240" w:lineRule="auto"/>
        <w:ind w:left="720"/>
        <w:rPr>
          <w:rFonts w:ascii="Helvetica" w:eastAsia="Times New Roman" w:hAnsi="Helvetica" w:cs="Helvetica"/>
          <w:i/>
          <w:color w:val="444444"/>
          <w:sz w:val="20"/>
          <w:szCs w:val="20"/>
          <w:lang w:eastAsia="en-AU"/>
        </w:rPr>
      </w:pPr>
      <w:r>
        <w:rPr>
          <w:rFonts w:ascii="Helvetica" w:eastAsia="Times New Roman" w:hAnsi="Helvetica" w:cs="Helvetica"/>
          <w:i/>
          <w:color w:val="444444"/>
          <w:sz w:val="20"/>
          <w:szCs w:val="20"/>
          <w:lang w:eastAsia="en-AU"/>
        </w:rPr>
        <w:t>Fig.3</w:t>
      </w:r>
      <w:r w:rsidRPr="00A231C2">
        <w:rPr>
          <w:rFonts w:ascii="Helvetica" w:eastAsia="Times New Roman" w:hAnsi="Helvetica" w:cs="Helvetica"/>
          <w:i/>
          <w:color w:val="444444"/>
          <w:sz w:val="20"/>
          <w:szCs w:val="20"/>
          <w:lang w:eastAsia="en-AU"/>
        </w:rPr>
        <w:t xml:space="preserve">: </w:t>
      </w:r>
      <w:r>
        <w:rPr>
          <w:rFonts w:ascii="Helvetica" w:eastAsia="Times New Roman" w:hAnsi="Helvetica" w:cs="Helvetica"/>
          <w:i/>
          <w:color w:val="444444"/>
          <w:sz w:val="20"/>
          <w:szCs w:val="20"/>
          <w:lang w:eastAsia="en-AU"/>
        </w:rPr>
        <w:t>Digital product</w:t>
      </w:r>
      <w:r w:rsidRPr="00A231C2">
        <w:rPr>
          <w:rFonts w:ascii="Helvetica" w:eastAsia="Times New Roman" w:hAnsi="Helvetica" w:cs="Helvetica"/>
          <w:i/>
          <w:color w:val="444444"/>
          <w:sz w:val="20"/>
          <w:szCs w:val="20"/>
          <w:lang w:eastAsia="en-AU"/>
        </w:rPr>
        <w:t xml:space="preserve"> </w:t>
      </w:r>
      <w:r w:rsidR="00B76170">
        <w:rPr>
          <w:rFonts w:ascii="Helvetica" w:eastAsia="Times New Roman" w:hAnsi="Helvetica" w:cs="Helvetica"/>
          <w:i/>
          <w:color w:val="444444"/>
          <w:sz w:val="20"/>
          <w:szCs w:val="20"/>
          <w:lang w:eastAsia="en-AU"/>
        </w:rPr>
        <w:t xml:space="preserve">vs print </w:t>
      </w:r>
      <w:r w:rsidRPr="00A231C2">
        <w:rPr>
          <w:rFonts w:ascii="Helvetica" w:eastAsia="Times New Roman" w:hAnsi="Helvetica" w:cs="Helvetica"/>
          <w:i/>
          <w:color w:val="444444"/>
          <w:sz w:val="20"/>
          <w:szCs w:val="20"/>
          <w:lang w:eastAsia="en-AU"/>
        </w:rPr>
        <w:t xml:space="preserve">sales </w:t>
      </w:r>
      <w:r w:rsidR="00B76170">
        <w:rPr>
          <w:rFonts w:ascii="Helvetica" w:eastAsia="Times New Roman" w:hAnsi="Helvetica" w:cs="Helvetica"/>
          <w:i/>
          <w:color w:val="444444"/>
          <w:sz w:val="20"/>
          <w:szCs w:val="20"/>
          <w:lang w:eastAsia="en-AU"/>
        </w:rPr>
        <w:t xml:space="preserve">value </w:t>
      </w:r>
      <w:r w:rsidRPr="00A231C2">
        <w:rPr>
          <w:rFonts w:ascii="Helvetica" w:eastAsia="Times New Roman" w:hAnsi="Helvetica" w:cs="Helvetica"/>
          <w:i/>
          <w:color w:val="444444"/>
          <w:sz w:val="20"/>
          <w:szCs w:val="20"/>
          <w:lang w:eastAsia="en-AU"/>
        </w:rPr>
        <w:t>among ADPG members FYE2011-2013.</w:t>
      </w:r>
    </w:p>
    <w:p w:rsidR="00B76170" w:rsidRDefault="004F28DC" w:rsidP="00B76170">
      <w:pPr>
        <w:spacing w:before="100" w:beforeAutospacing="1" w:after="100" w:afterAutospacing="1"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What these figures also demonstrate is that the ADPG members as small publishers are investing in the research, development and global marketing of digital products that are sufficiently innovative to attract the attention of the markets. However, profitability in this space is problematic at this stage in the industry’s development – it is marginal at best. Any move to weaken copyright law in education will have a significant impact on the viability of such investment. </w:t>
      </w:r>
    </w:p>
    <w:p w:rsidR="004F28DC" w:rsidRPr="00B76170" w:rsidRDefault="004F28DC" w:rsidP="00B76170">
      <w:pPr>
        <w:spacing w:before="100" w:beforeAutospacing="1" w:after="100" w:afterAutospacing="1" w:line="240" w:lineRule="auto"/>
        <w:ind w:left="72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Furthermore, the fall in print sales means the members must hold fewer print copies of any title in inventory. This has the effect of increasing the unit cost of printing. So profitability is being squeezed at both ends of the product spectrum at the moment for the ADPG members.</w:t>
      </w:r>
    </w:p>
    <w:p w:rsidR="00A04840" w:rsidRDefault="00D62050" w:rsidP="00067DC9">
      <w:pPr>
        <w:pStyle w:val="ListParagraph"/>
        <w:numPr>
          <w:ilvl w:val="0"/>
          <w:numId w:val="3"/>
        </w:numPr>
        <w:spacing w:before="100" w:beforeAutospacing="1" w:after="100" w:afterAutospacing="1" w:line="240" w:lineRule="auto"/>
        <w:rPr>
          <w:rFonts w:ascii="Helvetica" w:eastAsia="Times New Roman" w:hAnsi="Helvetica" w:cs="Helvetica"/>
          <w:b/>
          <w:color w:val="444444"/>
          <w:sz w:val="24"/>
          <w:szCs w:val="24"/>
          <w:lang w:eastAsia="en-AU"/>
        </w:rPr>
      </w:pPr>
      <w:r w:rsidRPr="00067DC9">
        <w:rPr>
          <w:rFonts w:ascii="Helvetica" w:eastAsia="Times New Roman" w:hAnsi="Helvetica" w:cs="Helvetica"/>
          <w:b/>
          <w:color w:val="444444"/>
          <w:sz w:val="24"/>
          <w:szCs w:val="24"/>
          <w:lang w:eastAsia="en-AU"/>
        </w:rPr>
        <w:t>Copyright Agency payments</w:t>
      </w:r>
    </w:p>
    <w:p w:rsidR="006458DD" w:rsidRDefault="006458DD" w:rsidP="006458DD">
      <w:pPr>
        <w:pStyle w:val="ListParagraph"/>
        <w:spacing w:before="100" w:beforeAutospacing="1" w:after="100" w:afterAutospacing="1" w:line="240" w:lineRule="auto"/>
        <w:ind w:left="360"/>
        <w:rPr>
          <w:rFonts w:ascii="Helvetica" w:eastAsia="Times New Roman" w:hAnsi="Helvetica" w:cs="Helvetica"/>
          <w:b/>
          <w:color w:val="444444"/>
          <w:sz w:val="24"/>
          <w:szCs w:val="24"/>
          <w:lang w:eastAsia="en-AU"/>
        </w:rPr>
      </w:pPr>
    </w:p>
    <w:p w:rsidR="006458DD" w:rsidRDefault="006458DD" w:rsidP="00C81A16">
      <w:pPr>
        <w:pStyle w:val="ListParagraph"/>
        <w:numPr>
          <w:ilvl w:val="1"/>
          <w:numId w:val="14"/>
        </w:numPr>
        <w:spacing w:before="100" w:beforeAutospacing="1"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Benefits to smaller publishers and creators</w:t>
      </w:r>
    </w:p>
    <w:p w:rsidR="004F28DC" w:rsidRPr="0016421B" w:rsidRDefault="004F28DC" w:rsidP="004F28DC">
      <w:pPr>
        <w:pStyle w:val="ListParagraph"/>
        <w:spacing w:before="100" w:beforeAutospacing="1" w:after="100" w:afterAutospacing="1" w:line="240" w:lineRule="auto"/>
        <w:ind w:left="792"/>
        <w:rPr>
          <w:rFonts w:ascii="Helvetica" w:eastAsia="Times New Roman" w:hAnsi="Helvetica" w:cs="Helvetica"/>
          <w:b/>
          <w:color w:val="444444"/>
          <w:sz w:val="24"/>
          <w:szCs w:val="24"/>
          <w:lang w:eastAsia="en-AU"/>
        </w:rPr>
      </w:pPr>
    </w:p>
    <w:p w:rsidR="004F28DC" w:rsidRDefault="004F28DC" w:rsidP="00C81A16">
      <w:pPr>
        <w:pStyle w:val="ListParagraph"/>
        <w:numPr>
          <w:ilvl w:val="2"/>
          <w:numId w:val="14"/>
        </w:numPr>
        <w:spacing w:before="100" w:beforeAutospacing="1" w:after="100" w:afterAutospacing="1" w:line="240" w:lineRule="auto"/>
        <w:rPr>
          <w:rFonts w:ascii="Helvetica" w:eastAsia="Times New Roman" w:hAnsi="Helvetica" w:cs="Helvetica"/>
          <w:i/>
          <w:color w:val="444444"/>
          <w:sz w:val="24"/>
          <w:szCs w:val="24"/>
          <w:lang w:eastAsia="en-AU"/>
        </w:rPr>
      </w:pPr>
      <w:r w:rsidRPr="004F28DC">
        <w:rPr>
          <w:rFonts w:ascii="Helvetica" w:eastAsia="Times New Roman" w:hAnsi="Helvetica" w:cs="Helvetica"/>
          <w:i/>
          <w:color w:val="444444"/>
          <w:sz w:val="24"/>
          <w:szCs w:val="24"/>
          <w:lang w:eastAsia="en-AU"/>
        </w:rPr>
        <w:t>Royalty revenues outside publisher sales</w:t>
      </w:r>
    </w:p>
    <w:p w:rsidR="004F28DC" w:rsidRDefault="0024275B" w:rsidP="004F28DC">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royalty revenues that publishers receive outside their normal domestic and international sales are Public Lending Rights (PLR), </w:t>
      </w:r>
      <w:r>
        <w:rPr>
          <w:rFonts w:ascii="Helvetica" w:eastAsia="Times New Roman" w:hAnsi="Helvetica" w:cs="Helvetica"/>
          <w:color w:val="444444"/>
          <w:sz w:val="24"/>
          <w:szCs w:val="24"/>
          <w:lang w:eastAsia="en-AU"/>
        </w:rPr>
        <w:lastRenderedPageBreak/>
        <w:t>Educational Lending Rights (ELR) and Copyright Agency (CA) royalties the latter two being more to education publishers, authors, illustrators and photographers.</w:t>
      </w:r>
    </w:p>
    <w:p w:rsidR="0024275B" w:rsidRPr="00350163" w:rsidRDefault="0024275B" w:rsidP="004F28DC">
      <w:pPr>
        <w:pStyle w:val="ListParagraph"/>
        <w:spacing w:before="100" w:beforeAutospacing="1" w:after="100" w:afterAutospacing="1" w:line="240" w:lineRule="auto"/>
        <w:ind w:left="1440"/>
        <w:rPr>
          <w:rFonts w:ascii="Helvetica" w:eastAsia="Times New Roman" w:hAnsi="Helvetica" w:cs="Helvetica"/>
          <w:color w:val="444444"/>
          <w:sz w:val="16"/>
          <w:szCs w:val="16"/>
          <w:lang w:eastAsia="en-AU"/>
        </w:rPr>
      </w:pPr>
    </w:p>
    <w:p w:rsidR="0024275B" w:rsidRDefault="0024275B" w:rsidP="004F28DC">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These royalties all recognise the use of published works beyond the scope of their original purchase. Each is quantified through the use of statistical sampling</w:t>
      </w:r>
      <w:r w:rsidR="00300437">
        <w:rPr>
          <w:rFonts w:ascii="Helvetica" w:eastAsia="Times New Roman" w:hAnsi="Helvetica" w:cs="Helvetica"/>
          <w:color w:val="444444"/>
          <w:sz w:val="24"/>
          <w:szCs w:val="24"/>
          <w:lang w:eastAsia="en-AU"/>
        </w:rPr>
        <w:t xml:space="preserve"> and so is seen as the most equitable and practical method of assessing the disbursement of royalties for such use.</w:t>
      </w:r>
    </w:p>
    <w:p w:rsidR="00300437" w:rsidRPr="00350163" w:rsidRDefault="00300437" w:rsidP="004F28DC">
      <w:pPr>
        <w:pStyle w:val="ListParagraph"/>
        <w:spacing w:before="100" w:beforeAutospacing="1" w:after="100" w:afterAutospacing="1" w:line="240" w:lineRule="auto"/>
        <w:ind w:left="1440"/>
        <w:rPr>
          <w:rFonts w:ascii="Helvetica" w:eastAsia="Times New Roman" w:hAnsi="Helvetica" w:cs="Helvetica"/>
          <w:color w:val="444444"/>
          <w:sz w:val="16"/>
          <w:szCs w:val="16"/>
          <w:lang w:eastAsia="en-AU"/>
        </w:rPr>
      </w:pPr>
    </w:p>
    <w:p w:rsidR="004F28DC" w:rsidRDefault="00300437" w:rsidP="00C81A16">
      <w:pPr>
        <w:pStyle w:val="ListParagraph"/>
        <w:numPr>
          <w:ilvl w:val="2"/>
          <w:numId w:val="14"/>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CA Royalties to ADPG Members and their authors</w:t>
      </w:r>
    </w:p>
    <w:p w:rsidR="00300437" w:rsidRDefault="00AB5968" w:rsidP="00300437">
      <w:pPr>
        <w:pStyle w:val="ListParagraph"/>
        <w:spacing w:before="100" w:beforeAutospacing="1"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Fig.4 shows:</w:t>
      </w:r>
    </w:p>
    <w:p w:rsidR="00300437" w:rsidRDefault="00300437" w:rsidP="00300437">
      <w:pPr>
        <w:pStyle w:val="ListParagraph"/>
        <w:numPr>
          <w:ilvl w:val="0"/>
          <w:numId w:val="12"/>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value of CA royalties paid to ADPG members and their authors during the FYE2011-2013 period</w:t>
      </w:r>
    </w:p>
    <w:p w:rsidR="00300437" w:rsidRDefault="00300437" w:rsidP="00300437">
      <w:pPr>
        <w:pStyle w:val="ListParagraph"/>
        <w:numPr>
          <w:ilvl w:val="0"/>
          <w:numId w:val="12"/>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degree of penetration into the education market and the resulting use by schools and teachers</w:t>
      </w:r>
    </w:p>
    <w:p w:rsidR="00300437" w:rsidRDefault="00300437" w:rsidP="00300437">
      <w:pPr>
        <w:pStyle w:val="ListParagraph"/>
        <w:numPr>
          <w:ilvl w:val="0"/>
          <w:numId w:val="12"/>
        </w:numPr>
        <w:spacing w:before="100" w:beforeAutospacing="1"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A </w:t>
      </w:r>
      <w:r w:rsidR="00AB5968">
        <w:rPr>
          <w:rFonts w:ascii="Helvetica" w:eastAsia="Times New Roman" w:hAnsi="Helvetica" w:cs="Helvetica"/>
          <w:color w:val="444444"/>
          <w:sz w:val="24"/>
          <w:szCs w:val="24"/>
          <w:lang w:eastAsia="en-AU"/>
        </w:rPr>
        <w:t xml:space="preserve">significant </w:t>
      </w:r>
      <w:r>
        <w:rPr>
          <w:rFonts w:ascii="Helvetica" w:eastAsia="Times New Roman" w:hAnsi="Helvetica" w:cs="Helvetica"/>
          <w:color w:val="444444"/>
          <w:sz w:val="24"/>
          <w:szCs w:val="24"/>
          <w:lang w:eastAsia="en-AU"/>
        </w:rPr>
        <w:t xml:space="preserve">decline in CA payments to </w:t>
      </w:r>
      <w:r w:rsidR="00B16668">
        <w:rPr>
          <w:rFonts w:ascii="Helvetica" w:eastAsia="Times New Roman" w:hAnsi="Helvetica" w:cs="Helvetica"/>
          <w:color w:val="444444"/>
          <w:sz w:val="24"/>
          <w:szCs w:val="24"/>
          <w:lang w:eastAsia="en-AU"/>
        </w:rPr>
        <w:t xml:space="preserve">ADPG </w:t>
      </w:r>
      <w:r>
        <w:rPr>
          <w:rFonts w:ascii="Helvetica" w:eastAsia="Times New Roman" w:hAnsi="Helvetica" w:cs="Helvetica"/>
          <w:color w:val="444444"/>
          <w:sz w:val="24"/>
          <w:szCs w:val="24"/>
          <w:lang w:eastAsia="en-AU"/>
        </w:rPr>
        <w:t>members over the last 3 financial years</w:t>
      </w:r>
    </w:p>
    <w:p w:rsidR="00300437" w:rsidRPr="00300437" w:rsidRDefault="00B16668" w:rsidP="00300437">
      <w:pPr>
        <w:spacing w:before="100" w:beforeAutospacing="1" w:after="100" w:afterAutospacing="1" w:line="240" w:lineRule="auto"/>
        <w:jc w:val="center"/>
        <w:rPr>
          <w:rFonts w:ascii="Helvetica" w:eastAsia="Times New Roman" w:hAnsi="Helvetica" w:cs="Helvetica"/>
          <w:color w:val="444444"/>
          <w:sz w:val="24"/>
          <w:szCs w:val="24"/>
          <w:lang w:eastAsia="en-AU"/>
        </w:rPr>
      </w:pPr>
      <w:r w:rsidRPr="00B16668">
        <w:rPr>
          <w:rFonts w:ascii="Helvetica" w:eastAsia="Times New Roman" w:hAnsi="Helvetica" w:cs="Helvetica"/>
          <w:noProof/>
          <w:color w:val="444444"/>
          <w:sz w:val="24"/>
          <w:szCs w:val="24"/>
          <w:lang w:eastAsia="en-AU"/>
        </w:rPr>
        <w:drawing>
          <wp:inline distT="0" distB="0" distL="0" distR="0">
            <wp:extent cx="3388229" cy="2093679"/>
            <wp:effectExtent l="19050" t="0" r="21721" b="1821"/>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58DD" w:rsidRPr="004F28DC" w:rsidRDefault="00300437" w:rsidP="00300437">
      <w:pPr>
        <w:pStyle w:val="ListParagraph"/>
        <w:spacing w:before="100" w:beforeAutospacing="1" w:after="100" w:afterAutospacing="1" w:line="240" w:lineRule="auto"/>
        <w:ind w:left="1440"/>
        <w:rPr>
          <w:rFonts w:ascii="Helvetica" w:eastAsia="Times New Roman" w:hAnsi="Helvetica" w:cs="Helvetica"/>
          <w:i/>
          <w:color w:val="444444"/>
          <w:sz w:val="24"/>
          <w:szCs w:val="24"/>
          <w:lang w:eastAsia="en-AU"/>
        </w:rPr>
      </w:pPr>
      <w:r>
        <w:rPr>
          <w:rFonts w:ascii="Helvetica" w:eastAsia="Times New Roman" w:hAnsi="Helvetica" w:cs="Helvetica"/>
          <w:i/>
          <w:color w:val="444444"/>
          <w:sz w:val="20"/>
          <w:szCs w:val="20"/>
          <w:lang w:eastAsia="en-AU"/>
        </w:rPr>
        <w:t>Fig.4</w:t>
      </w:r>
      <w:r w:rsidRPr="00A231C2">
        <w:rPr>
          <w:rFonts w:ascii="Helvetica" w:eastAsia="Times New Roman" w:hAnsi="Helvetica" w:cs="Helvetica"/>
          <w:i/>
          <w:color w:val="444444"/>
          <w:sz w:val="20"/>
          <w:szCs w:val="20"/>
          <w:lang w:eastAsia="en-AU"/>
        </w:rPr>
        <w:t xml:space="preserve">: </w:t>
      </w:r>
      <w:r>
        <w:rPr>
          <w:rFonts w:ascii="Helvetica" w:eastAsia="Times New Roman" w:hAnsi="Helvetica" w:cs="Helvetica"/>
          <w:i/>
          <w:color w:val="444444"/>
          <w:sz w:val="20"/>
          <w:szCs w:val="20"/>
          <w:lang w:eastAsia="en-AU"/>
        </w:rPr>
        <w:t>CA royalties paid to ADPG members during</w:t>
      </w:r>
      <w:r w:rsidRPr="00A231C2">
        <w:rPr>
          <w:rFonts w:ascii="Helvetica" w:eastAsia="Times New Roman" w:hAnsi="Helvetica" w:cs="Helvetica"/>
          <w:i/>
          <w:color w:val="444444"/>
          <w:sz w:val="20"/>
          <w:szCs w:val="20"/>
          <w:lang w:eastAsia="en-AU"/>
        </w:rPr>
        <w:t xml:space="preserve"> FYE2011-2013.</w:t>
      </w:r>
    </w:p>
    <w:p w:rsidR="00300437" w:rsidRDefault="00350163" w:rsidP="00350163">
      <w:pPr>
        <w:spacing w:before="100" w:beforeAutospacing="1" w:after="0"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Fig.5 shows:</w:t>
      </w:r>
    </w:p>
    <w:p w:rsidR="00350163" w:rsidRDefault="00350163" w:rsidP="00350163">
      <w:pPr>
        <w:pStyle w:val="ListParagraph"/>
        <w:numPr>
          <w:ilvl w:val="0"/>
          <w:numId w:val="13"/>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value of CA royalties paid to ADPG members as a percentage of their total revenue during the FYE2011-2013 period</w:t>
      </w:r>
    </w:p>
    <w:p w:rsidR="00350163" w:rsidRDefault="00350163" w:rsidP="00350163">
      <w:pPr>
        <w:pStyle w:val="ListParagraph"/>
        <w:numPr>
          <w:ilvl w:val="0"/>
          <w:numId w:val="13"/>
        </w:numPr>
        <w:spacing w:after="100" w:afterAutospacing="1" w:line="240" w:lineRule="auto"/>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A significant decrease in this revenue to the ADPG members</w:t>
      </w:r>
    </w:p>
    <w:p w:rsidR="00350163" w:rsidRDefault="00B16668" w:rsidP="00350163">
      <w:pPr>
        <w:spacing w:after="100" w:afterAutospacing="1" w:line="240" w:lineRule="auto"/>
        <w:jc w:val="center"/>
        <w:rPr>
          <w:rFonts w:ascii="Helvetica" w:eastAsia="Times New Roman" w:hAnsi="Helvetica" w:cs="Helvetica"/>
          <w:color w:val="444444"/>
          <w:sz w:val="24"/>
          <w:szCs w:val="24"/>
          <w:lang w:eastAsia="en-AU"/>
        </w:rPr>
      </w:pPr>
      <w:r w:rsidRPr="00B16668">
        <w:rPr>
          <w:rFonts w:ascii="Helvetica" w:eastAsia="Times New Roman" w:hAnsi="Helvetica" w:cs="Helvetica"/>
          <w:noProof/>
          <w:color w:val="444444"/>
          <w:sz w:val="24"/>
          <w:szCs w:val="24"/>
          <w:lang w:eastAsia="en-AU"/>
        </w:rPr>
        <w:drawing>
          <wp:inline distT="0" distB="0" distL="0" distR="0">
            <wp:extent cx="3345252" cy="1807737"/>
            <wp:effectExtent l="19050" t="0" r="26598" b="2013"/>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0163" w:rsidRDefault="00350163" w:rsidP="00350163">
      <w:pPr>
        <w:spacing w:after="100" w:afterAutospacing="1" w:line="240" w:lineRule="auto"/>
        <w:ind w:left="792"/>
        <w:rPr>
          <w:rFonts w:ascii="Helvetica" w:eastAsia="Times New Roman" w:hAnsi="Helvetica" w:cs="Helvetica"/>
          <w:i/>
          <w:color w:val="444444"/>
          <w:sz w:val="20"/>
          <w:szCs w:val="20"/>
          <w:lang w:eastAsia="en-AU"/>
        </w:rPr>
      </w:pPr>
      <w:r>
        <w:rPr>
          <w:rFonts w:ascii="Helvetica" w:eastAsia="Times New Roman" w:hAnsi="Helvetica" w:cs="Helvetica"/>
          <w:i/>
          <w:color w:val="444444"/>
          <w:sz w:val="20"/>
          <w:szCs w:val="20"/>
          <w:lang w:eastAsia="en-AU"/>
        </w:rPr>
        <w:t>Fig.4</w:t>
      </w:r>
      <w:r w:rsidRPr="00A231C2">
        <w:rPr>
          <w:rFonts w:ascii="Helvetica" w:eastAsia="Times New Roman" w:hAnsi="Helvetica" w:cs="Helvetica"/>
          <w:i/>
          <w:color w:val="444444"/>
          <w:sz w:val="20"/>
          <w:szCs w:val="20"/>
          <w:lang w:eastAsia="en-AU"/>
        </w:rPr>
        <w:t xml:space="preserve">: </w:t>
      </w:r>
      <w:r>
        <w:rPr>
          <w:rFonts w:ascii="Helvetica" w:eastAsia="Times New Roman" w:hAnsi="Helvetica" w:cs="Helvetica"/>
          <w:i/>
          <w:color w:val="444444"/>
          <w:sz w:val="20"/>
          <w:szCs w:val="20"/>
          <w:lang w:eastAsia="en-AU"/>
        </w:rPr>
        <w:t xml:space="preserve">CA royalties paid to ADPG members </w:t>
      </w:r>
      <w:r w:rsidRPr="00350163">
        <w:rPr>
          <w:rFonts w:ascii="Helvetica" w:eastAsia="Times New Roman" w:hAnsi="Helvetica" w:cs="Helvetica"/>
          <w:i/>
          <w:color w:val="444444"/>
          <w:sz w:val="20"/>
          <w:szCs w:val="20"/>
          <w:lang w:val="en-US" w:eastAsia="en-AU"/>
        </w:rPr>
        <w:t>as % of total revenue</w:t>
      </w:r>
      <w:r>
        <w:rPr>
          <w:rFonts w:ascii="Helvetica" w:eastAsia="Times New Roman" w:hAnsi="Helvetica" w:cs="Helvetica"/>
          <w:i/>
          <w:color w:val="444444"/>
          <w:sz w:val="20"/>
          <w:szCs w:val="20"/>
          <w:lang w:val="en-US" w:eastAsia="en-AU"/>
        </w:rPr>
        <w:t xml:space="preserve"> </w:t>
      </w:r>
      <w:r>
        <w:rPr>
          <w:rFonts w:ascii="Helvetica" w:eastAsia="Times New Roman" w:hAnsi="Helvetica" w:cs="Helvetica"/>
          <w:i/>
          <w:color w:val="444444"/>
          <w:sz w:val="20"/>
          <w:szCs w:val="20"/>
          <w:lang w:eastAsia="en-AU"/>
        </w:rPr>
        <w:t>during</w:t>
      </w:r>
      <w:r w:rsidRPr="00A231C2">
        <w:rPr>
          <w:rFonts w:ascii="Helvetica" w:eastAsia="Times New Roman" w:hAnsi="Helvetica" w:cs="Helvetica"/>
          <w:i/>
          <w:color w:val="444444"/>
          <w:sz w:val="20"/>
          <w:szCs w:val="20"/>
          <w:lang w:eastAsia="en-AU"/>
        </w:rPr>
        <w:t xml:space="preserve"> FYE2011-2013.</w:t>
      </w:r>
    </w:p>
    <w:p w:rsidR="00E84B8E" w:rsidRDefault="00E84B8E" w:rsidP="00E84B8E">
      <w:pPr>
        <w:spacing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lastRenderedPageBreak/>
        <w:t>ADPG</w:t>
      </w:r>
      <w:r w:rsidR="00AB5968">
        <w:rPr>
          <w:rFonts w:ascii="Helvetica" w:eastAsia="Times New Roman" w:hAnsi="Helvetica" w:cs="Helvetica"/>
          <w:color w:val="444444"/>
          <w:sz w:val="24"/>
          <w:szCs w:val="24"/>
          <w:lang w:eastAsia="en-AU"/>
        </w:rPr>
        <w:t xml:space="preserve"> members</w:t>
      </w:r>
      <w:r>
        <w:rPr>
          <w:rFonts w:ascii="Helvetica" w:eastAsia="Times New Roman" w:hAnsi="Helvetica" w:cs="Helvetica"/>
          <w:color w:val="444444"/>
          <w:sz w:val="24"/>
          <w:szCs w:val="24"/>
          <w:lang w:eastAsia="en-AU"/>
        </w:rPr>
        <w:t xml:space="preserve"> were asked to rate the significance of CA royalties to the profitability of their businesses. Table 1 indicates the degree of importance publishers place on royalties for copying of works in education as a contribution to their net profit.</w:t>
      </w:r>
    </w:p>
    <w:tbl>
      <w:tblPr>
        <w:tblStyle w:val="TableGrid"/>
        <w:tblW w:w="0" w:type="auto"/>
        <w:tblInd w:w="2235" w:type="dxa"/>
        <w:tblLook w:val="04A0"/>
      </w:tblPr>
      <w:tblGrid>
        <w:gridCol w:w="3106"/>
        <w:gridCol w:w="1713"/>
      </w:tblGrid>
      <w:tr w:rsidR="00E84B8E" w:rsidTr="00E84B8E">
        <w:tc>
          <w:tcPr>
            <w:tcW w:w="3106" w:type="dxa"/>
          </w:tcPr>
          <w:p w:rsidR="00E84B8E" w:rsidRDefault="00E84B8E" w:rsidP="00E84B8E">
            <w:pPr>
              <w:spacing w:after="100" w:afterAutospacing="1"/>
              <w:rPr>
                <w:rFonts w:ascii="Helvetica" w:eastAsia="Times New Roman" w:hAnsi="Helvetica" w:cs="Helvetica"/>
                <w:color w:val="444444"/>
                <w:sz w:val="24"/>
                <w:szCs w:val="24"/>
                <w:lang w:eastAsia="en-AU"/>
              </w:rPr>
            </w:pPr>
            <w:r w:rsidRPr="00E84B8E">
              <w:rPr>
                <w:rFonts w:ascii="Helvetica" w:eastAsia="Times New Roman" w:hAnsi="Helvetica" w:cs="Helvetica"/>
                <w:b/>
                <w:color w:val="444444"/>
                <w:sz w:val="24"/>
                <w:szCs w:val="24"/>
                <w:lang w:eastAsia="en-AU"/>
              </w:rPr>
              <w:t>Rating</w:t>
            </w:r>
          </w:p>
        </w:tc>
        <w:tc>
          <w:tcPr>
            <w:tcW w:w="1713" w:type="dxa"/>
          </w:tcPr>
          <w:p w:rsidR="00E84B8E" w:rsidRDefault="00E84B8E" w:rsidP="00E84B8E">
            <w:pPr>
              <w:spacing w:after="100" w:afterAutospacing="1"/>
              <w:jc w:val="center"/>
              <w:rPr>
                <w:rFonts w:ascii="Helvetica" w:eastAsia="Times New Roman" w:hAnsi="Helvetica" w:cs="Helvetica"/>
                <w:color w:val="444444"/>
                <w:sz w:val="24"/>
                <w:szCs w:val="24"/>
                <w:lang w:eastAsia="en-AU"/>
              </w:rPr>
            </w:pPr>
            <w:r w:rsidRPr="00E84B8E">
              <w:rPr>
                <w:rFonts w:ascii="Helvetica" w:eastAsia="Times New Roman" w:hAnsi="Helvetica" w:cs="Helvetica"/>
                <w:b/>
                <w:color w:val="444444"/>
                <w:sz w:val="24"/>
                <w:szCs w:val="24"/>
                <w:lang w:eastAsia="en-AU"/>
              </w:rPr>
              <w:t>No. of Publishers</w:t>
            </w:r>
          </w:p>
        </w:tc>
      </w:tr>
      <w:tr w:rsidR="00E84B8E" w:rsidTr="00E84B8E">
        <w:tc>
          <w:tcPr>
            <w:tcW w:w="3106" w:type="dxa"/>
          </w:tcPr>
          <w:p w:rsidR="00E84B8E" w:rsidRDefault="00E84B8E" w:rsidP="00E84B8E">
            <w:pPr>
              <w:spacing w:after="100" w:afterAutospacing="1"/>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Minor significance</w:t>
            </w:r>
          </w:p>
        </w:tc>
        <w:tc>
          <w:tcPr>
            <w:tcW w:w="1713" w:type="dxa"/>
          </w:tcPr>
          <w:p w:rsidR="00E84B8E" w:rsidRDefault="00E84B8E" w:rsidP="00E84B8E">
            <w:pPr>
              <w:spacing w:after="100" w:afterAutospacing="1"/>
              <w:jc w:val="center"/>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2</w:t>
            </w:r>
          </w:p>
        </w:tc>
      </w:tr>
      <w:tr w:rsidR="00E84B8E" w:rsidTr="00E84B8E">
        <w:tc>
          <w:tcPr>
            <w:tcW w:w="3106" w:type="dxa"/>
          </w:tcPr>
          <w:p w:rsidR="00E84B8E" w:rsidRDefault="004B6947" w:rsidP="00E84B8E">
            <w:pPr>
              <w:spacing w:after="100" w:afterAutospacing="1"/>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S</w:t>
            </w:r>
            <w:r w:rsidR="00E84B8E">
              <w:rPr>
                <w:rFonts w:ascii="Helvetica" w:eastAsia="Times New Roman" w:hAnsi="Helvetica" w:cs="Helvetica"/>
                <w:color w:val="444444"/>
                <w:sz w:val="24"/>
                <w:szCs w:val="24"/>
                <w:lang w:eastAsia="en-AU"/>
              </w:rPr>
              <w:t>ignificant</w:t>
            </w:r>
          </w:p>
        </w:tc>
        <w:tc>
          <w:tcPr>
            <w:tcW w:w="1713" w:type="dxa"/>
          </w:tcPr>
          <w:p w:rsidR="00E84B8E" w:rsidRDefault="00B16668" w:rsidP="00E84B8E">
            <w:pPr>
              <w:spacing w:after="100" w:afterAutospacing="1"/>
              <w:jc w:val="center"/>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3</w:t>
            </w:r>
          </w:p>
        </w:tc>
      </w:tr>
      <w:tr w:rsidR="00E84B8E" w:rsidTr="00E84B8E">
        <w:tc>
          <w:tcPr>
            <w:tcW w:w="3106" w:type="dxa"/>
          </w:tcPr>
          <w:p w:rsidR="00E84B8E" w:rsidRDefault="00E84B8E" w:rsidP="00E84B8E">
            <w:pPr>
              <w:spacing w:after="100" w:afterAutospacing="1"/>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Very significant</w:t>
            </w:r>
          </w:p>
        </w:tc>
        <w:tc>
          <w:tcPr>
            <w:tcW w:w="1713" w:type="dxa"/>
          </w:tcPr>
          <w:p w:rsidR="00E84B8E" w:rsidRDefault="00E84B8E" w:rsidP="00E84B8E">
            <w:pPr>
              <w:spacing w:after="100" w:afterAutospacing="1"/>
              <w:jc w:val="center"/>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2</w:t>
            </w:r>
          </w:p>
        </w:tc>
      </w:tr>
    </w:tbl>
    <w:p w:rsidR="004B6947" w:rsidRPr="004B6947" w:rsidRDefault="004B6947" w:rsidP="004B6947">
      <w:pPr>
        <w:spacing w:after="0" w:line="240" w:lineRule="auto"/>
        <w:ind w:left="1440"/>
        <w:rPr>
          <w:rFonts w:ascii="Helvetica" w:eastAsia="Times New Roman" w:hAnsi="Helvetica" w:cs="Helvetica"/>
          <w:i/>
          <w:color w:val="444444"/>
          <w:sz w:val="16"/>
          <w:szCs w:val="16"/>
          <w:lang w:eastAsia="en-AU"/>
        </w:rPr>
      </w:pPr>
    </w:p>
    <w:p w:rsidR="00E84B8E" w:rsidRPr="00E84B8E" w:rsidRDefault="00E84B8E" w:rsidP="004B6947">
      <w:pPr>
        <w:spacing w:after="0" w:line="240" w:lineRule="auto"/>
        <w:ind w:left="1440"/>
        <w:rPr>
          <w:rFonts w:ascii="Helvetica" w:eastAsia="Times New Roman" w:hAnsi="Helvetica" w:cs="Helvetica"/>
          <w:i/>
          <w:color w:val="444444"/>
          <w:sz w:val="20"/>
          <w:szCs w:val="20"/>
          <w:lang w:eastAsia="en-AU"/>
        </w:rPr>
      </w:pPr>
      <w:r w:rsidRPr="00E84B8E">
        <w:rPr>
          <w:rFonts w:ascii="Helvetica" w:eastAsia="Times New Roman" w:hAnsi="Helvetica" w:cs="Helvetica"/>
          <w:i/>
          <w:color w:val="444444"/>
          <w:sz w:val="20"/>
          <w:szCs w:val="20"/>
          <w:lang w:eastAsia="en-AU"/>
        </w:rPr>
        <w:t xml:space="preserve">Table 1: Importance of CA royalties to </w:t>
      </w:r>
      <w:r w:rsidR="004B6947" w:rsidRPr="00E84B8E">
        <w:rPr>
          <w:rFonts w:ascii="Helvetica" w:eastAsia="Times New Roman" w:hAnsi="Helvetica" w:cs="Helvetica"/>
          <w:i/>
          <w:color w:val="444444"/>
          <w:sz w:val="20"/>
          <w:szCs w:val="20"/>
          <w:lang w:eastAsia="en-AU"/>
        </w:rPr>
        <w:t>bottom-line</w:t>
      </w:r>
      <w:r w:rsidRPr="00E84B8E">
        <w:rPr>
          <w:rFonts w:ascii="Helvetica" w:eastAsia="Times New Roman" w:hAnsi="Helvetica" w:cs="Helvetica"/>
          <w:i/>
          <w:color w:val="444444"/>
          <w:sz w:val="20"/>
          <w:szCs w:val="20"/>
          <w:lang w:eastAsia="en-AU"/>
        </w:rPr>
        <w:t xml:space="preserve"> profit of ADPG publishers</w:t>
      </w:r>
    </w:p>
    <w:p w:rsidR="00350163" w:rsidRPr="00E84B8E" w:rsidRDefault="00E84B8E" w:rsidP="00E84B8E">
      <w:pPr>
        <w:spacing w:after="0" w:line="240" w:lineRule="auto"/>
        <w:ind w:left="1440"/>
        <w:rPr>
          <w:rFonts w:ascii="Helvetica" w:eastAsia="Times New Roman" w:hAnsi="Helvetica" w:cs="Helvetica"/>
          <w:b/>
          <w:color w:val="444444"/>
          <w:sz w:val="24"/>
          <w:szCs w:val="24"/>
          <w:lang w:eastAsia="en-AU"/>
        </w:rPr>
      </w:pPr>
      <w:r w:rsidRPr="00E84B8E">
        <w:rPr>
          <w:rFonts w:ascii="Helvetica" w:eastAsia="Times New Roman" w:hAnsi="Helvetica" w:cs="Helvetica"/>
          <w:b/>
          <w:color w:val="444444"/>
          <w:sz w:val="24"/>
          <w:szCs w:val="24"/>
          <w:lang w:eastAsia="en-AU"/>
        </w:rPr>
        <w:tab/>
      </w:r>
      <w:r w:rsidRPr="00E84B8E">
        <w:rPr>
          <w:rFonts w:ascii="Helvetica" w:eastAsia="Times New Roman" w:hAnsi="Helvetica" w:cs="Helvetica"/>
          <w:b/>
          <w:color w:val="444444"/>
          <w:sz w:val="24"/>
          <w:szCs w:val="24"/>
          <w:lang w:eastAsia="en-AU"/>
        </w:rPr>
        <w:tab/>
      </w:r>
      <w:r w:rsidRPr="00E84B8E">
        <w:rPr>
          <w:rFonts w:ascii="Helvetica" w:eastAsia="Times New Roman" w:hAnsi="Helvetica" w:cs="Helvetica"/>
          <w:b/>
          <w:color w:val="444444"/>
          <w:sz w:val="24"/>
          <w:szCs w:val="24"/>
          <w:lang w:eastAsia="en-AU"/>
        </w:rPr>
        <w:tab/>
      </w:r>
      <w:r w:rsidRPr="00E84B8E">
        <w:rPr>
          <w:rFonts w:ascii="Helvetica" w:eastAsia="Times New Roman" w:hAnsi="Helvetica" w:cs="Helvetica"/>
          <w:b/>
          <w:color w:val="444444"/>
          <w:sz w:val="24"/>
          <w:szCs w:val="24"/>
          <w:lang w:eastAsia="en-AU"/>
        </w:rPr>
        <w:tab/>
      </w:r>
    </w:p>
    <w:p w:rsidR="00E84B8E" w:rsidRDefault="004B6947" w:rsidP="00E84B8E">
      <w:pPr>
        <w:spacing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Given the low percentage of total revenue that CA royalties represent for these publishers, the fact that </w:t>
      </w:r>
      <w:r w:rsidR="00B16668">
        <w:rPr>
          <w:rFonts w:ascii="Helvetica" w:eastAsia="Times New Roman" w:hAnsi="Helvetica" w:cs="Helvetica"/>
          <w:color w:val="444444"/>
          <w:sz w:val="24"/>
          <w:szCs w:val="24"/>
          <w:lang w:eastAsia="en-AU"/>
        </w:rPr>
        <w:t>5/7</w:t>
      </w:r>
      <w:r>
        <w:rPr>
          <w:rFonts w:ascii="Helvetica" w:eastAsia="Times New Roman" w:hAnsi="Helvetica" w:cs="Helvetica"/>
          <w:color w:val="444444"/>
          <w:sz w:val="24"/>
          <w:szCs w:val="24"/>
          <w:lang w:eastAsia="en-AU"/>
        </w:rPr>
        <w:t xml:space="preserve"> of the publishers regard these receipts as significant </w:t>
      </w:r>
      <w:r w:rsidR="00AB5968">
        <w:rPr>
          <w:rFonts w:ascii="Helvetica" w:eastAsia="Times New Roman" w:hAnsi="Helvetica" w:cs="Helvetica"/>
          <w:color w:val="444444"/>
          <w:sz w:val="24"/>
          <w:szCs w:val="24"/>
          <w:lang w:eastAsia="en-AU"/>
        </w:rPr>
        <w:t>/</w:t>
      </w:r>
      <w:r>
        <w:rPr>
          <w:rFonts w:ascii="Helvetica" w:eastAsia="Times New Roman" w:hAnsi="Helvetica" w:cs="Helvetica"/>
          <w:color w:val="444444"/>
          <w:sz w:val="24"/>
          <w:szCs w:val="24"/>
          <w:lang w:eastAsia="en-AU"/>
        </w:rPr>
        <w:t xml:space="preserve"> very significant to their final profitability indicates the low margins under which publishers operate when the research and development, operational overheads, royalties and production costs are subtracted from the total revenue. This is not an industry that is excessively rewarding financially for small publishers, in spite of their contribution to the economy. When asked why they persist in operating within the publishing industry, most educational publishers (invariably ex-teachers) respond that they see it as a worthwhile and fulfilling profession in terms of its effect on the quality of education.</w:t>
      </w:r>
    </w:p>
    <w:p w:rsidR="0064147F" w:rsidRDefault="0064147F" w:rsidP="00E84B8E">
      <w:pPr>
        <w:spacing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publishers are also aware as a result of direct feedback from their authors and illustrators that CA royalties are very important to the viability of their income as creators. CA royalties, ELR and PLR have become very significant to the income of authors and illustrators – the same creators who are responsible for the publishers’ export products.</w:t>
      </w:r>
    </w:p>
    <w:p w:rsidR="00C30804" w:rsidRDefault="00114617" w:rsidP="00C30804">
      <w:pPr>
        <w:pStyle w:val="ListParagraph"/>
        <w:numPr>
          <w:ilvl w:val="2"/>
          <w:numId w:val="14"/>
        </w:numPr>
        <w:spacing w:before="100" w:beforeAutospacing="1" w:after="100" w:afterAutospacing="1" w:line="240" w:lineRule="auto"/>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The ‘Fair use’ clause</w:t>
      </w:r>
    </w:p>
    <w:p w:rsidR="00C30804" w:rsidRDefault="00114617" w:rsidP="00C30804">
      <w:pPr>
        <w:spacing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interpretation of the ‘Fair use’ clause to allow free copying of intellectual property in educational institutions in the US needs to be viewed with a recognition of the size of the US market compared to the Australian market. US publishers swim in a very big market pool where schools are adequately funded for learning materials.</w:t>
      </w:r>
    </w:p>
    <w:p w:rsidR="00114617" w:rsidRDefault="00114617" w:rsidP="00C30804">
      <w:pPr>
        <w:spacing w:after="100" w:afterAutospacing="1" w:line="240" w:lineRule="auto"/>
        <w:ind w:left="144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By comparison, the Australian market is very small, yet demands purpose built content to serve the Australian curriculum. A small market</w:t>
      </w:r>
      <w:r w:rsidR="00AB5968">
        <w:rPr>
          <w:rFonts w:ascii="Helvetica" w:eastAsia="Times New Roman" w:hAnsi="Helvetica" w:cs="Helvetica"/>
          <w:color w:val="444444"/>
          <w:sz w:val="24"/>
          <w:szCs w:val="24"/>
          <w:lang w:eastAsia="en-AU"/>
        </w:rPr>
        <w:t xml:space="preserve"> that has been shrinking in terms of spending on learning materials over the last decade (APA figures – Horsley report)</w:t>
      </w:r>
      <w:r>
        <w:rPr>
          <w:rFonts w:ascii="Helvetica" w:eastAsia="Times New Roman" w:hAnsi="Helvetica" w:cs="Helvetica"/>
          <w:color w:val="444444"/>
          <w:sz w:val="24"/>
          <w:szCs w:val="24"/>
          <w:lang w:eastAsia="en-AU"/>
        </w:rPr>
        <w:t xml:space="preserve"> together with free copying in schools of texts produced by an industry that is already seeing radical changes through technology and experiencing marginal profitability as demonstrated earlier, cannot sustain such an interpretation of the ‘Fair use’ clause. Nor can individual publishers make equitable individual rights agreements with education authorities and manage the measurement of copying of their works. The only way </w:t>
      </w:r>
      <w:r>
        <w:rPr>
          <w:rFonts w:ascii="Helvetica" w:eastAsia="Times New Roman" w:hAnsi="Helvetica" w:cs="Helvetica"/>
          <w:color w:val="444444"/>
          <w:sz w:val="24"/>
          <w:szCs w:val="24"/>
          <w:lang w:eastAsia="en-AU"/>
        </w:rPr>
        <w:lastRenderedPageBreak/>
        <w:t>this can be done efficiently for all concerned is through the statutory licence as it is currently implemented.</w:t>
      </w:r>
    </w:p>
    <w:p w:rsidR="00C81A16" w:rsidRDefault="00C81A16" w:rsidP="00C81A16">
      <w:pPr>
        <w:pStyle w:val="ListParagraph"/>
        <w:numPr>
          <w:ilvl w:val="1"/>
          <w:numId w:val="14"/>
        </w:numPr>
        <w:spacing w:before="100" w:beforeAutospacing="1"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Benefits to schools</w:t>
      </w:r>
    </w:p>
    <w:p w:rsidR="007A0605" w:rsidRDefault="007A0605" w:rsidP="007A0605">
      <w:pPr>
        <w:pStyle w:val="ListParagraph"/>
        <w:spacing w:before="100" w:beforeAutospacing="1" w:after="100" w:afterAutospacing="1" w:line="240" w:lineRule="auto"/>
        <w:ind w:left="792"/>
        <w:rPr>
          <w:rFonts w:ascii="Helvetica" w:eastAsia="Times New Roman" w:hAnsi="Helvetica" w:cs="Helvetica"/>
          <w:b/>
          <w:i/>
          <w:color w:val="444444"/>
          <w:sz w:val="24"/>
          <w:szCs w:val="24"/>
          <w:lang w:eastAsia="en-AU"/>
        </w:rPr>
      </w:pPr>
    </w:p>
    <w:p w:rsidR="00C81A16" w:rsidRPr="00C81A16" w:rsidRDefault="00C81A16" w:rsidP="0016421B">
      <w:pPr>
        <w:pStyle w:val="ListParagraph"/>
        <w:numPr>
          <w:ilvl w:val="2"/>
          <w:numId w:val="14"/>
        </w:numPr>
        <w:spacing w:before="100" w:beforeAutospacing="1" w:after="100" w:afterAutospacing="1" w:line="240" w:lineRule="auto"/>
        <w:ind w:left="1418" w:hanging="698"/>
        <w:rPr>
          <w:rFonts w:ascii="Helvetica" w:eastAsia="Times New Roman" w:hAnsi="Helvetica" w:cs="Helvetica"/>
          <w:i/>
          <w:color w:val="444444"/>
          <w:sz w:val="24"/>
          <w:szCs w:val="24"/>
          <w:lang w:eastAsia="en-AU"/>
        </w:rPr>
      </w:pPr>
      <w:r>
        <w:rPr>
          <w:rFonts w:ascii="Helvetica" w:eastAsia="Times New Roman" w:hAnsi="Helvetica" w:cs="Helvetica"/>
          <w:color w:val="444444"/>
          <w:sz w:val="24"/>
          <w:szCs w:val="24"/>
          <w:lang w:eastAsia="en-AU"/>
        </w:rPr>
        <w:t>Fig. 4</w:t>
      </w:r>
      <w:r w:rsidR="007A0605">
        <w:rPr>
          <w:rFonts w:ascii="Helvetica" w:eastAsia="Times New Roman" w:hAnsi="Helvetica" w:cs="Helvetica"/>
          <w:color w:val="444444"/>
          <w:sz w:val="24"/>
          <w:szCs w:val="24"/>
          <w:lang w:eastAsia="en-AU"/>
        </w:rPr>
        <w:t>, Fig.</w:t>
      </w:r>
      <w:r>
        <w:rPr>
          <w:rFonts w:ascii="Helvetica" w:eastAsia="Times New Roman" w:hAnsi="Helvetica" w:cs="Helvetica"/>
          <w:color w:val="444444"/>
          <w:sz w:val="24"/>
          <w:szCs w:val="24"/>
          <w:lang w:eastAsia="en-AU"/>
        </w:rPr>
        <w:t xml:space="preserve"> 5 and Table 1 point to the importance of CA to the ongoing innovation and investment of competing Australian-owned </w:t>
      </w:r>
      <w:r w:rsidR="0016421B">
        <w:rPr>
          <w:rFonts w:ascii="Helvetica" w:eastAsia="Times New Roman" w:hAnsi="Helvetica" w:cs="Helvetica"/>
          <w:color w:val="444444"/>
          <w:sz w:val="24"/>
          <w:szCs w:val="24"/>
          <w:lang w:eastAsia="en-AU"/>
        </w:rPr>
        <w:t>publishers towards</w:t>
      </w:r>
      <w:r>
        <w:rPr>
          <w:rFonts w:ascii="Helvetica" w:eastAsia="Times New Roman" w:hAnsi="Helvetica" w:cs="Helvetica"/>
          <w:color w:val="444444"/>
          <w:sz w:val="24"/>
          <w:szCs w:val="24"/>
          <w:lang w:eastAsia="en-AU"/>
        </w:rPr>
        <w:t xml:space="preserve"> Australian education. Prior to the emergence of this industry sector in the 1970s and 1980s, learning materials in schools were largely sourced from the UK and US. It is only Australian-based companies that will serve the particular requirements of the Australian curriculum.</w:t>
      </w:r>
    </w:p>
    <w:p w:rsidR="00C81A16" w:rsidRPr="0016421B" w:rsidRDefault="00C81A16" w:rsidP="00C81A16">
      <w:pPr>
        <w:pStyle w:val="ListParagraph"/>
        <w:spacing w:before="100" w:beforeAutospacing="1" w:after="100" w:afterAutospacing="1" w:line="240" w:lineRule="auto"/>
        <w:ind w:left="1224"/>
        <w:rPr>
          <w:rFonts w:ascii="Helvetica" w:eastAsia="Times New Roman" w:hAnsi="Helvetica" w:cs="Helvetica"/>
          <w:color w:val="444444"/>
          <w:sz w:val="24"/>
          <w:szCs w:val="24"/>
          <w:lang w:eastAsia="en-AU"/>
        </w:rPr>
      </w:pPr>
    </w:p>
    <w:p w:rsidR="00C81A16" w:rsidRPr="007A0605" w:rsidRDefault="00BA6C1E" w:rsidP="007A0605">
      <w:pPr>
        <w:pStyle w:val="ListParagraph"/>
        <w:numPr>
          <w:ilvl w:val="2"/>
          <w:numId w:val="14"/>
        </w:numPr>
        <w:spacing w:before="100" w:beforeAutospacing="1" w:after="100" w:afterAutospacing="1" w:line="240" w:lineRule="auto"/>
        <w:ind w:left="1418" w:hanging="698"/>
        <w:rPr>
          <w:rFonts w:ascii="Helvetica" w:eastAsia="Times New Roman" w:hAnsi="Helvetica" w:cs="Helvetica"/>
          <w:i/>
          <w:color w:val="444444"/>
          <w:sz w:val="24"/>
          <w:szCs w:val="24"/>
          <w:lang w:eastAsia="en-AU"/>
        </w:rPr>
      </w:pPr>
      <w:r>
        <w:rPr>
          <w:rFonts w:ascii="Helvetica" w:eastAsia="Times New Roman" w:hAnsi="Helvetica" w:cs="Helvetica"/>
          <w:color w:val="444444"/>
          <w:sz w:val="24"/>
          <w:szCs w:val="24"/>
          <w:lang w:eastAsia="en-AU"/>
        </w:rPr>
        <w:t>Th</w:t>
      </w:r>
      <w:r w:rsidR="00AB5968">
        <w:rPr>
          <w:rFonts w:ascii="Helvetica" w:eastAsia="Times New Roman" w:hAnsi="Helvetica" w:cs="Helvetica"/>
          <w:color w:val="444444"/>
          <w:sz w:val="24"/>
          <w:szCs w:val="24"/>
          <w:lang w:eastAsia="en-AU"/>
        </w:rPr>
        <w:t>os</w:t>
      </w:r>
      <w:r>
        <w:rPr>
          <w:rFonts w:ascii="Helvetica" w:eastAsia="Times New Roman" w:hAnsi="Helvetica" w:cs="Helvetica"/>
          <w:color w:val="444444"/>
          <w:sz w:val="24"/>
          <w:szCs w:val="24"/>
          <w:lang w:eastAsia="en-AU"/>
        </w:rPr>
        <w:t xml:space="preserve">e group members whose market is predominantly schools and libraries have, through their teacher-authors and sales representatives frequent and intimate relationships with those institutions. This also occurs in schools in which materials are trialled and educational publishers are aware of teacher attitudes regarding the current copyright regime. </w:t>
      </w:r>
      <w:r w:rsidR="007A0605">
        <w:rPr>
          <w:rFonts w:ascii="Helvetica" w:eastAsia="Times New Roman" w:hAnsi="Helvetica" w:cs="Helvetica"/>
          <w:color w:val="444444"/>
          <w:sz w:val="24"/>
          <w:szCs w:val="24"/>
          <w:lang w:eastAsia="en-AU"/>
        </w:rPr>
        <w:t>In particular, teachers are aware of copyright law and plagiarism as they also explain this to students as part of their understanding of the writing process and publishing</w:t>
      </w:r>
      <w:r w:rsidR="00AB5968">
        <w:rPr>
          <w:rFonts w:ascii="Helvetica" w:eastAsia="Times New Roman" w:hAnsi="Helvetica" w:cs="Helvetica"/>
          <w:color w:val="444444"/>
          <w:sz w:val="24"/>
          <w:szCs w:val="24"/>
          <w:lang w:eastAsia="en-AU"/>
        </w:rPr>
        <w:t xml:space="preserve"> in classrooms</w:t>
      </w:r>
      <w:r w:rsidR="007A0605">
        <w:rPr>
          <w:rFonts w:ascii="Helvetica" w:eastAsia="Times New Roman" w:hAnsi="Helvetica" w:cs="Helvetica"/>
          <w:color w:val="444444"/>
          <w:sz w:val="24"/>
          <w:szCs w:val="24"/>
          <w:lang w:eastAsia="en-AU"/>
        </w:rPr>
        <w:t>.</w:t>
      </w:r>
    </w:p>
    <w:p w:rsidR="007A0605" w:rsidRPr="007A0605" w:rsidRDefault="007A0605" w:rsidP="007A0605">
      <w:pPr>
        <w:pStyle w:val="ListParagraph"/>
        <w:rPr>
          <w:rFonts w:ascii="Helvetica" w:eastAsia="Times New Roman" w:hAnsi="Helvetica" w:cs="Helvetica"/>
          <w:i/>
          <w:color w:val="444444"/>
          <w:sz w:val="24"/>
          <w:szCs w:val="24"/>
          <w:lang w:eastAsia="en-AU"/>
        </w:rPr>
      </w:pPr>
    </w:p>
    <w:p w:rsidR="007A0605" w:rsidRDefault="00BA6C1E" w:rsidP="007A0605">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educational publisher members of the ADPG are aware that teachers value the fact that they can copy any material they require for their lesson planning because it is accounted for by the statutory licence. Furthermore, very few of those same teachers have ever been involved in the sampling process undertaken by CA to establish which works are being copied or used in various ways.</w:t>
      </w:r>
    </w:p>
    <w:p w:rsidR="00BA6C1E" w:rsidRDefault="00BA6C1E" w:rsidP="007A0605">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p>
    <w:p w:rsidR="00BA6C1E" w:rsidRDefault="00BA6C1E" w:rsidP="00BA6C1E">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When schools and libraries are unsure of their rights regarding use of copyright material in special circumstances, the experience of the educational publishers is that they frequently approach the publishers and seek permission to use their works in a particular manner that is not simply making multiple copies for classroom use. </w:t>
      </w:r>
    </w:p>
    <w:p w:rsidR="00BA6C1E" w:rsidRDefault="00BA6C1E" w:rsidP="00BA6C1E">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p>
    <w:p w:rsidR="00BA6C1E" w:rsidRDefault="00BA6C1E" w:rsidP="00BA6C1E">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One such example </w:t>
      </w:r>
      <w:r w:rsidR="00AB5968">
        <w:rPr>
          <w:rFonts w:ascii="Helvetica" w:eastAsia="Times New Roman" w:hAnsi="Helvetica" w:cs="Helvetica"/>
          <w:color w:val="444444"/>
          <w:sz w:val="24"/>
          <w:szCs w:val="24"/>
          <w:lang w:eastAsia="en-AU"/>
        </w:rPr>
        <w:t xml:space="preserve">of this </w:t>
      </w:r>
      <w:r>
        <w:rPr>
          <w:rFonts w:ascii="Helvetica" w:eastAsia="Times New Roman" w:hAnsi="Helvetica" w:cs="Helvetica"/>
          <w:color w:val="444444"/>
          <w:sz w:val="24"/>
          <w:szCs w:val="24"/>
          <w:lang w:eastAsia="en-AU"/>
        </w:rPr>
        <w:t xml:space="preserve">was the use by a primary school teacher and his class of particular images and text from the award-winning picture book </w:t>
      </w:r>
      <w:r w:rsidRPr="00626E4F">
        <w:rPr>
          <w:rFonts w:ascii="Helvetica" w:eastAsia="Times New Roman" w:hAnsi="Helvetica" w:cs="Helvetica"/>
          <w:i/>
          <w:color w:val="444444"/>
          <w:sz w:val="24"/>
          <w:szCs w:val="24"/>
          <w:lang w:eastAsia="en-AU"/>
        </w:rPr>
        <w:t>The Watertower</w:t>
      </w:r>
      <w:r>
        <w:rPr>
          <w:rFonts w:ascii="Helvetica" w:eastAsia="Times New Roman" w:hAnsi="Helvetica" w:cs="Helvetica"/>
          <w:color w:val="444444"/>
          <w:sz w:val="24"/>
          <w:szCs w:val="24"/>
          <w:lang w:eastAsia="en-AU"/>
        </w:rPr>
        <w:t xml:space="preserve"> by Gary Crew and Steven Woolman. The request was for students to create a persuasive multi-modal text in the form of a video. The publisher gave permission for this use without fee. The result was a well-crafted video promotion of the book and was launched by the school on YouTube with considerable success. In such cases, both the school students and the publisher benefited and the publisher, in turn, asked the school teacher for permission to use the children’s video. </w:t>
      </w:r>
    </w:p>
    <w:p w:rsidR="00BA6C1E" w:rsidRDefault="00BA6C1E" w:rsidP="00BA6C1E">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p>
    <w:p w:rsidR="00C81A16" w:rsidRPr="00C30804" w:rsidRDefault="00BA6C1E" w:rsidP="00C30804">
      <w:pPr>
        <w:pStyle w:val="ListParagraph"/>
        <w:spacing w:before="100" w:beforeAutospacing="1" w:after="100" w:afterAutospacing="1" w:line="240" w:lineRule="auto"/>
        <w:ind w:left="1418"/>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Publishers do often cooperate with individual schools on the use of copyright material for no fee. However, there are so many common-place uses of publishers’ copyright materials in schools that publishers cannot manage all these uses individually. The only system the ADPG </w:t>
      </w:r>
      <w:r>
        <w:rPr>
          <w:rFonts w:ascii="Helvetica" w:eastAsia="Times New Roman" w:hAnsi="Helvetica" w:cs="Helvetica"/>
          <w:color w:val="444444"/>
          <w:sz w:val="24"/>
          <w:szCs w:val="24"/>
          <w:lang w:eastAsia="en-AU"/>
        </w:rPr>
        <w:lastRenderedPageBreak/>
        <w:t>members see as capable of effectively and efficiently enabling a form of authorised use for schools and libraries is that of the statutory licence</w:t>
      </w:r>
      <w:r w:rsidR="00C30804">
        <w:rPr>
          <w:rFonts w:ascii="Helvetica" w:eastAsia="Times New Roman" w:hAnsi="Helvetica" w:cs="Helvetica"/>
          <w:color w:val="444444"/>
          <w:sz w:val="24"/>
          <w:szCs w:val="24"/>
          <w:lang w:eastAsia="en-AU"/>
        </w:rPr>
        <w:t xml:space="preserve"> enacted through CA</w:t>
      </w:r>
      <w:r>
        <w:rPr>
          <w:rFonts w:ascii="Helvetica" w:eastAsia="Times New Roman" w:hAnsi="Helvetica" w:cs="Helvetica"/>
          <w:color w:val="444444"/>
          <w:sz w:val="24"/>
          <w:szCs w:val="24"/>
          <w:lang w:eastAsia="en-AU"/>
        </w:rPr>
        <w:t>.</w:t>
      </w:r>
    </w:p>
    <w:p w:rsidR="00C81A16" w:rsidRPr="00C81A16" w:rsidRDefault="00C81A16" w:rsidP="00C81A16">
      <w:pPr>
        <w:pStyle w:val="ListParagraph"/>
        <w:rPr>
          <w:rFonts w:ascii="Helvetica" w:eastAsia="Times New Roman" w:hAnsi="Helvetica" w:cs="Helvetica"/>
          <w:i/>
          <w:color w:val="444444"/>
          <w:sz w:val="24"/>
          <w:szCs w:val="24"/>
          <w:lang w:eastAsia="en-AU"/>
        </w:rPr>
      </w:pPr>
    </w:p>
    <w:p w:rsidR="006458DD" w:rsidRDefault="006458DD" w:rsidP="00C81A16">
      <w:pPr>
        <w:pStyle w:val="ListParagraph"/>
        <w:numPr>
          <w:ilvl w:val="1"/>
          <w:numId w:val="14"/>
        </w:numPr>
        <w:spacing w:before="100" w:beforeAutospacing="1" w:after="100" w:afterAutospacing="1" w:line="240" w:lineRule="auto"/>
        <w:rPr>
          <w:rFonts w:ascii="Helvetica" w:eastAsia="Times New Roman" w:hAnsi="Helvetica" w:cs="Helvetica"/>
          <w:b/>
          <w:i/>
          <w:color w:val="444444"/>
          <w:sz w:val="24"/>
          <w:szCs w:val="24"/>
          <w:lang w:eastAsia="en-AU"/>
        </w:rPr>
      </w:pPr>
      <w:r>
        <w:rPr>
          <w:rFonts w:ascii="Helvetica" w:eastAsia="Times New Roman" w:hAnsi="Helvetica" w:cs="Helvetica"/>
          <w:b/>
          <w:i/>
          <w:color w:val="444444"/>
          <w:sz w:val="24"/>
          <w:szCs w:val="24"/>
          <w:lang w:eastAsia="en-AU"/>
        </w:rPr>
        <w:t>Relation to exports</w:t>
      </w:r>
    </w:p>
    <w:p w:rsidR="00AB5968" w:rsidRPr="00B16668" w:rsidRDefault="00C30804" w:rsidP="00B16668">
      <w:pPr>
        <w:spacing w:before="100" w:beforeAutospacing="1" w:after="100" w:afterAutospacing="1" w:line="240" w:lineRule="auto"/>
        <w:ind w:left="720"/>
        <w:rPr>
          <w:rFonts w:ascii="Helvetica" w:eastAsia="Times New Roman" w:hAnsi="Helvetica" w:cs="Helvetica"/>
          <w:color w:val="444444"/>
          <w:sz w:val="24"/>
          <w:szCs w:val="24"/>
          <w:lang w:eastAsia="en-AU"/>
        </w:rPr>
      </w:pPr>
      <w:r w:rsidRPr="00C30804">
        <w:rPr>
          <w:rFonts w:ascii="Helvetica" w:eastAsia="Times New Roman" w:hAnsi="Helvetica" w:cs="Helvetica"/>
          <w:color w:val="444444"/>
          <w:sz w:val="24"/>
          <w:szCs w:val="24"/>
          <w:lang w:eastAsia="en-AU"/>
        </w:rPr>
        <w:t>The copying of Australian works that have been exported is also reported on by CA as a result of the many agreements it has signed with RROs around the world. As a result, photocopying and digital use royalties also arise from the efforts of export activity undertaken by the publishers.</w:t>
      </w:r>
    </w:p>
    <w:p w:rsidR="00D62050" w:rsidRDefault="00D62050" w:rsidP="006458DD">
      <w:pPr>
        <w:pStyle w:val="ListParagraph"/>
        <w:numPr>
          <w:ilvl w:val="0"/>
          <w:numId w:val="8"/>
        </w:numPr>
        <w:spacing w:before="100" w:beforeAutospacing="1" w:after="100" w:afterAutospacing="1" w:line="240" w:lineRule="auto"/>
        <w:rPr>
          <w:rFonts w:ascii="Helvetica" w:eastAsia="Times New Roman" w:hAnsi="Helvetica" w:cs="Helvetica"/>
          <w:b/>
          <w:color w:val="444444"/>
          <w:sz w:val="24"/>
          <w:szCs w:val="24"/>
          <w:lang w:eastAsia="en-AU"/>
        </w:rPr>
      </w:pPr>
      <w:r w:rsidRPr="006458DD">
        <w:rPr>
          <w:rFonts w:ascii="Helvetica" w:eastAsia="Times New Roman" w:hAnsi="Helvetica" w:cs="Helvetica"/>
          <w:b/>
          <w:color w:val="444444"/>
          <w:sz w:val="24"/>
          <w:szCs w:val="24"/>
          <w:lang w:eastAsia="en-AU"/>
        </w:rPr>
        <w:t xml:space="preserve">Unauthorised Use of Copyright  </w:t>
      </w:r>
    </w:p>
    <w:p w:rsidR="0035522A" w:rsidRPr="007502B8" w:rsidRDefault="0035522A" w:rsidP="007502B8">
      <w:pPr>
        <w:spacing w:before="100" w:beforeAutospacing="1" w:after="100" w:afterAutospacing="1" w:line="240" w:lineRule="auto"/>
        <w:ind w:left="360"/>
        <w:rPr>
          <w:rFonts w:ascii="Helvetica" w:eastAsia="Times New Roman" w:hAnsi="Helvetica" w:cs="Helvetica"/>
          <w:b/>
          <w:i/>
          <w:color w:val="444444"/>
          <w:sz w:val="24"/>
          <w:szCs w:val="24"/>
          <w:lang w:eastAsia="en-AU"/>
        </w:rPr>
      </w:pPr>
      <w:r w:rsidRPr="007502B8">
        <w:rPr>
          <w:rFonts w:ascii="Helvetica" w:eastAsia="Times New Roman" w:hAnsi="Helvetica" w:cs="Helvetica"/>
          <w:b/>
          <w:i/>
          <w:color w:val="444444"/>
          <w:sz w:val="24"/>
          <w:szCs w:val="24"/>
          <w:lang w:eastAsia="en-AU"/>
        </w:rPr>
        <w:t>Piracy</w:t>
      </w:r>
    </w:p>
    <w:p w:rsidR="00C178CF" w:rsidRDefault="00C178CF" w:rsidP="007502B8">
      <w:pPr>
        <w:pStyle w:val="ListParagraph"/>
        <w:spacing w:before="100" w:beforeAutospacing="1" w:after="100" w:afterAutospacing="1" w:line="240" w:lineRule="auto"/>
        <w:ind w:left="36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Two of the publisher members of ADPG are aware of the pirated use of their works internationally. One member is aware of pirated editions of </w:t>
      </w:r>
      <w:r w:rsidR="002D090B">
        <w:rPr>
          <w:rFonts w:ascii="Helvetica" w:eastAsia="Times New Roman" w:hAnsi="Helvetica" w:cs="Helvetica"/>
          <w:color w:val="444444"/>
          <w:sz w:val="24"/>
          <w:szCs w:val="24"/>
          <w:lang w:eastAsia="en-AU"/>
        </w:rPr>
        <w:t>its</w:t>
      </w:r>
      <w:r>
        <w:rPr>
          <w:rFonts w:ascii="Helvetica" w:eastAsia="Times New Roman" w:hAnsi="Helvetica" w:cs="Helvetica"/>
          <w:color w:val="444444"/>
          <w:sz w:val="24"/>
          <w:szCs w:val="24"/>
          <w:lang w:eastAsia="en-AU"/>
        </w:rPr>
        <w:t xml:space="preserve"> large educational series in China. Another has had its main publication pirated digitally</w:t>
      </w:r>
      <w:r w:rsidR="002D090B">
        <w:rPr>
          <w:rFonts w:ascii="Helvetica" w:eastAsia="Times New Roman" w:hAnsi="Helvetica" w:cs="Helvetica"/>
          <w:color w:val="444444"/>
          <w:sz w:val="24"/>
          <w:szCs w:val="24"/>
          <w:lang w:eastAsia="en-AU"/>
        </w:rPr>
        <w:t xml:space="preserve"> through the practice of ‘torrenting’</w:t>
      </w:r>
      <w:r>
        <w:rPr>
          <w:rFonts w:ascii="Helvetica" w:eastAsia="Times New Roman" w:hAnsi="Helvetica" w:cs="Helvetica"/>
          <w:color w:val="444444"/>
          <w:sz w:val="24"/>
          <w:szCs w:val="24"/>
          <w:lang w:eastAsia="en-AU"/>
        </w:rPr>
        <w:t>.</w:t>
      </w:r>
    </w:p>
    <w:p w:rsidR="00C178CF" w:rsidRDefault="00C178CF" w:rsidP="007502B8">
      <w:pPr>
        <w:pStyle w:val="ListParagraph"/>
        <w:spacing w:before="100" w:beforeAutospacing="1" w:after="100" w:afterAutospacing="1" w:line="240" w:lineRule="auto"/>
        <w:ind w:left="360"/>
        <w:rPr>
          <w:rFonts w:ascii="Helvetica" w:eastAsia="Times New Roman" w:hAnsi="Helvetica" w:cs="Helvetica"/>
          <w:color w:val="444444"/>
          <w:sz w:val="24"/>
          <w:szCs w:val="24"/>
          <w:lang w:eastAsia="en-AU"/>
        </w:rPr>
      </w:pPr>
    </w:p>
    <w:p w:rsidR="00C178CF" w:rsidRPr="00C178CF" w:rsidRDefault="00C178CF" w:rsidP="007502B8">
      <w:pPr>
        <w:pStyle w:val="ListParagraph"/>
        <w:spacing w:before="100" w:beforeAutospacing="1" w:after="100" w:afterAutospacing="1" w:line="240" w:lineRule="auto"/>
        <w:ind w:left="36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As small publishers, the members are not able to confront piracy t</w:t>
      </w:r>
      <w:r w:rsidR="002D090B">
        <w:rPr>
          <w:rFonts w:ascii="Helvetica" w:eastAsia="Times New Roman" w:hAnsi="Helvetica" w:cs="Helvetica"/>
          <w:color w:val="444444"/>
          <w:sz w:val="24"/>
          <w:szCs w:val="24"/>
          <w:lang w:eastAsia="en-AU"/>
        </w:rPr>
        <w:t>h</w:t>
      </w:r>
      <w:r>
        <w:rPr>
          <w:rFonts w:ascii="Helvetica" w:eastAsia="Times New Roman" w:hAnsi="Helvetica" w:cs="Helvetica"/>
          <w:color w:val="444444"/>
          <w:sz w:val="24"/>
          <w:szCs w:val="24"/>
          <w:lang w:eastAsia="en-AU"/>
        </w:rPr>
        <w:t xml:space="preserve">rough their own resources. The primary tool they have for this is through their membership of Copyright Agency, which has developed strong links with other </w:t>
      </w:r>
      <w:r w:rsidR="00626E4F">
        <w:rPr>
          <w:rFonts w:ascii="Helvetica" w:eastAsia="Times New Roman" w:hAnsi="Helvetica" w:cs="Helvetica"/>
          <w:color w:val="444444"/>
          <w:sz w:val="24"/>
          <w:szCs w:val="24"/>
          <w:lang w:eastAsia="en-AU"/>
        </w:rPr>
        <w:t xml:space="preserve">reprographic rights organisations throughout the world. In fact, through the International Federation of Reprographic Rights Organisations (IFRRO), Australia’s Copyright Agency holds a high level of recognition and influence, and in Asia in particular is involved in educating and supporting nascent RROs in the whole region. The members of ADPG </w:t>
      </w:r>
      <w:r w:rsidR="00C30804">
        <w:rPr>
          <w:rFonts w:ascii="Helvetica" w:eastAsia="Times New Roman" w:hAnsi="Helvetica" w:cs="Helvetica"/>
          <w:color w:val="444444"/>
          <w:sz w:val="24"/>
          <w:szCs w:val="24"/>
          <w:lang w:eastAsia="en-AU"/>
        </w:rPr>
        <w:t xml:space="preserve">note that CA has a staff member on the board of IFRRO and therefore </w:t>
      </w:r>
      <w:r w:rsidR="00626E4F">
        <w:rPr>
          <w:rFonts w:ascii="Helvetica" w:eastAsia="Times New Roman" w:hAnsi="Helvetica" w:cs="Helvetica"/>
          <w:color w:val="444444"/>
          <w:sz w:val="24"/>
          <w:szCs w:val="24"/>
          <w:lang w:eastAsia="en-AU"/>
        </w:rPr>
        <w:t>consider CA as the most likely long-term solution to their problem of piracy due to their specialist legal knowledge in this area and their degree of influence internationally.</w:t>
      </w:r>
    </w:p>
    <w:p w:rsidR="0035522A" w:rsidRDefault="002D090B" w:rsidP="002D090B">
      <w:pPr>
        <w:spacing w:before="100" w:beforeAutospacing="1" w:after="100" w:afterAutospacing="1" w:line="240" w:lineRule="auto"/>
        <w:ind w:left="360"/>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ADPG members, through their export activity, become aware of alternative interpretations of the Copyright law. For example, the application of the ‘Fair Use’ clause in the US can and does result in legal actions in that country when schools assume a right to go beyond ‘fair use’. One case in recent years occurred in Birmingham, Alabama with the wholesale copying and distribution of a textbook throughout a school district. Small publishers cannot mount legal actions to counter such blatant transgressions of Copyright.</w:t>
      </w:r>
      <w:r w:rsidR="00C30804">
        <w:rPr>
          <w:rFonts w:ascii="Helvetica" w:eastAsia="Times New Roman" w:hAnsi="Helvetica" w:cs="Helvetica"/>
          <w:color w:val="444444"/>
          <w:sz w:val="24"/>
          <w:szCs w:val="24"/>
          <w:lang w:eastAsia="en-AU"/>
        </w:rPr>
        <w:t xml:space="preserve"> They would need to rely on an industry body or CA with its international influence and expert legal knowledge on international copyright law to advise on such matters.</w:t>
      </w:r>
    </w:p>
    <w:p w:rsidR="00114617" w:rsidRDefault="00114617" w:rsidP="00114617">
      <w:pPr>
        <w:pStyle w:val="ListParagraph"/>
        <w:numPr>
          <w:ilvl w:val="0"/>
          <w:numId w:val="8"/>
        </w:numPr>
        <w:spacing w:before="100" w:beforeAutospacing="1" w:after="100" w:afterAutospacing="1" w:line="240" w:lineRule="auto"/>
        <w:rPr>
          <w:rFonts w:ascii="Helvetica" w:eastAsia="Times New Roman" w:hAnsi="Helvetica" w:cs="Helvetica"/>
          <w:b/>
          <w:color w:val="444444"/>
          <w:sz w:val="24"/>
          <w:szCs w:val="24"/>
          <w:lang w:eastAsia="en-AU"/>
        </w:rPr>
      </w:pPr>
      <w:r>
        <w:rPr>
          <w:rFonts w:ascii="Helvetica" w:eastAsia="Times New Roman" w:hAnsi="Helvetica" w:cs="Helvetica"/>
          <w:b/>
          <w:color w:val="444444"/>
          <w:sz w:val="24"/>
          <w:szCs w:val="24"/>
          <w:lang w:eastAsia="en-AU"/>
        </w:rPr>
        <w:t>Summary</w:t>
      </w:r>
    </w:p>
    <w:p w:rsidR="00D66914" w:rsidRDefault="00D66914" w:rsidP="00D66914">
      <w:pPr>
        <w:pStyle w:val="ListParagraph"/>
        <w:spacing w:before="100" w:beforeAutospacing="1" w:after="100" w:afterAutospacing="1" w:line="240" w:lineRule="auto"/>
        <w:ind w:left="360"/>
        <w:rPr>
          <w:rFonts w:ascii="Helvetica" w:eastAsia="Times New Roman" w:hAnsi="Helvetica" w:cs="Helvetica"/>
          <w:b/>
          <w:color w:val="444444"/>
          <w:sz w:val="24"/>
          <w:szCs w:val="24"/>
          <w:lang w:eastAsia="en-AU"/>
        </w:rPr>
      </w:pPr>
    </w:p>
    <w:p w:rsidR="00D66914" w:rsidRPr="000A03BA" w:rsidRDefault="00D66914" w:rsidP="00D66914">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Efficiency</w:t>
      </w: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current system of use of statutory licence implemented by a highly effective organisation such as Copyright Agency is regarded as the most efficient way to properly recompense intellectual property owners for use of their work in various ways. </w:t>
      </w: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lastRenderedPageBreak/>
        <w:t>Teachers and librarians have equal access to any content. This is especially important for small publishers such as members of the Adelaide Digital Publishing Group.</w:t>
      </w:r>
    </w:p>
    <w:p w:rsidR="00D66914" w:rsidRP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Pr="000A03BA" w:rsidRDefault="00D66914" w:rsidP="00D66914">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Export</w:t>
      </w: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professionalism on legal matters, national and international, and the degree of influence wielded by Copyright Agency through the International Federation of Reprographic Rights Organisations is an important support agency for publishers who invest in export activity.</w:t>
      </w: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Default="00D66914"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Copyright Agency is a knowledgeable and efficient source of information to publisher members and is responsible for </w:t>
      </w:r>
      <w:r w:rsidR="001B7EA7">
        <w:rPr>
          <w:rFonts w:ascii="Helvetica" w:eastAsia="Times New Roman" w:hAnsi="Helvetica" w:cs="Helvetica"/>
          <w:color w:val="444444"/>
          <w:sz w:val="24"/>
          <w:szCs w:val="24"/>
          <w:lang w:eastAsia="en-AU"/>
        </w:rPr>
        <w:t>collecting and paying reprographic and digital use royalties that arise from the successful placement of Australian published content in international markets. It increases the period of reward for investment in export activity.</w:t>
      </w:r>
    </w:p>
    <w:p w:rsidR="001B7EA7" w:rsidRPr="00D66914" w:rsidRDefault="001B7EA7" w:rsidP="00D66914">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Pr="000A03BA" w:rsidRDefault="001B7EA7" w:rsidP="00D66914">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Teacher interests</w:t>
      </w:r>
    </w:p>
    <w:p w:rsidR="001B7EA7" w:rsidRDefault="001B7EA7"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Time-poor teachers need the assurance that the statutory licence affords them when they identify elements of content that they need to use in the lesson plans. </w:t>
      </w:r>
    </w:p>
    <w:p w:rsidR="001B7EA7" w:rsidRDefault="001B7EA7"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1B7EA7" w:rsidRDefault="001B7EA7"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Publishers see the current system as the most practical way of achieving this for teachers and schools. Teachers do not have the expertise or time to source the owners of copyright in every instance and seek permission to use their work. Publishers and authors equally do not have the time to administer the many thousands of requests for permissions. It would interrupt the development of products that not only serve the national needs, but also provide export revenue.</w:t>
      </w:r>
    </w:p>
    <w:p w:rsidR="001B7EA7" w:rsidRPr="001B7EA7" w:rsidRDefault="001B7EA7"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Pr="000A03BA" w:rsidRDefault="001B7EA7" w:rsidP="00D66914">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Cultural impact</w:t>
      </w:r>
    </w:p>
    <w:p w:rsidR="001B7EA7" w:rsidRDefault="001B7EA7"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Australian content for schools and libra</w:t>
      </w:r>
      <w:r w:rsidR="00A27969">
        <w:rPr>
          <w:rFonts w:ascii="Helvetica" w:eastAsia="Times New Roman" w:hAnsi="Helvetica" w:cs="Helvetica"/>
          <w:color w:val="444444"/>
          <w:sz w:val="24"/>
          <w:szCs w:val="24"/>
          <w:lang w:eastAsia="en-AU"/>
        </w:rPr>
        <w:t>ries has a high cultural value that contributes to our national sense of identity. It also has an effect on Australia’s identity internationally in very powerful ways on young minds. The industry sector that produces and exports such material needs to be viable. It is vital that the copyright law is not changed in ways that serve to undermine the value of that intellectual property in its domestic setting. A viable domestic market is a requisite for the research and development of content that meets international standards and can achieve export success and international cultural influence.</w:t>
      </w:r>
    </w:p>
    <w:p w:rsidR="00A51476" w:rsidRDefault="00A51476"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A51476" w:rsidRDefault="00A51476"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The cultural impact of the group is also felt both domestically and overseas through members’ various sponsorships and philanthropic work.</w:t>
      </w:r>
    </w:p>
    <w:p w:rsidR="00A27969" w:rsidRPr="001B7EA7" w:rsidRDefault="00A27969" w:rsidP="001B7EA7">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66914" w:rsidRPr="000A03BA" w:rsidRDefault="00A27969" w:rsidP="00D66914">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Comparing apples with apples</w:t>
      </w:r>
    </w:p>
    <w:p w:rsidR="00A27969" w:rsidRDefault="006771B7"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Modelling the application of copyright law on interpretations adopted by much larger markets with radically different funding models for the supply of learning materials in schools and culturally different understandings of equity and social justice is a recipe for problems. Australia already has a system that works. </w:t>
      </w:r>
      <w:r w:rsidR="00D03C24">
        <w:rPr>
          <w:rFonts w:ascii="Helvetica" w:eastAsia="Times New Roman" w:hAnsi="Helvetica" w:cs="Helvetica"/>
          <w:color w:val="444444"/>
          <w:sz w:val="24"/>
          <w:szCs w:val="24"/>
          <w:lang w:eastAsia="en-AU"/>
        </w:rPr>
        <w:t>P</w:t>
      </w:r>
      <w:r>
        <w:rPr>
          <w:rFonts w:ascii="Helvetica" w:eastAsia="Times New Roman" w:hAnsi="Helvetica" w:cs="Helvetica"/>
          <w:color w:val="444444"/>
          <w:sz w:val="24"/>
          <w:szCs w:val="24"/>
          <w:lang w:eastAsia="en-AU"/>
        </w:rPr>
        <w:t xml:space="preserve">olitical aspirations of finding a silver bullet solution to </w:t>
      </w:r>
      <w:r w:rsidR="00D03C24">
        <w:rPr>
          <w:rFonts w:ascii="Helvetica" w:eastAsia="Times New Roman" w:hAnsi="Helvetica" w:cs="Helvetica"/>
          <w:color w:val="444444"/>
          <w:sz w:val="24"/>
          <w:szCs w:val="24"/>
          <w:lang w:eastAsia="en-AU"/>
        </w:rPr>
        <w:t>lowering the</w:t>
      </w:r>
      <w:r>
        <w:rPr>
          <w:rFonts w:ascii="Helvetica" w:eastAsia="Times New Roman" w:hAnsi="Helvetica" w:cs="Helvetica"/>
          <w:color w:val="444444"/>
          <w:sz w:val="24"/>
          <w:szCs w:val="24"/>
          <w:lang w:eastAsia="en-AU"/>
        </w:rPr>
        <w:t xml:space="preserve"> cost of education, or legal opinions that have scant practical </w:t>
      </w:r>
      <w:r>
        <w:rPr>
          <w:rFonts w:ascii="Helvetica" w:eastAsia="Times New Roman" w:hAnsi="Helvetica" w:cs="Helvetica"/>
          <w:color w:val="444444"/>
          <w:sz w:val="24"/>
          <w:szCs w:val="24"/>
          <w:lang w:eastAsia="en-AU"/>
        </w:rPr>
        <w:lastRenderedPageBreak/>
        <w:t xml:space="preserve">understanding of the implementation of education as it is faced by teachers </w:t>
      </w:r>
      <w:r w:rsidR="007577BC">
        <w:rPr>
          <w:rFonts w:ascii="Helvetica" w:eastAsia="Times New Roman" w:hAnsi="Helvetica" w:cs="Helvetica"/>
          <w:color w:val="444444"/>
          <w:sz w:val="24"/>
          <w:szCs w:val="24"/>
          <w:lang w:eastAsia="en-AU"/>
        </w:rPr>
        <w:t>today</w:t>
      </w:r>
      <w:r>
        <w:rPr>
          <w:rFonts w:ascii="Helvetica" w:eastAsia="Times New Roman" w:hAnsi="Helvetica" w:cs="Helvetica"/>
          <w:color w:val="444444"/>
          <w:sz w:val="24"/>
          <w:szCs w:val="24"/>
          <w:lang w:eastAsia="en-AU"/>
        </w:rPr>
        <w:t xml:space="preserve"> are fraught with danger.</w:t>
      </w:r>
    </w:p>
    <w:p w:rsidR="00D03C24" w:rsidRDefault="00D03C24"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03C24" w:rsidRDefault="00D03C24"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The ADPG is a very small subsection of publishing in Australia. If the economic realities of this small group are scaled out to the industry as a whole, the cost of the statutory licence becomes small indeed at $16 per school student for teachers to have </w:t>
      </w:r>
      <w:r w:rsidR="007577BC">
        <w:rPr>
          <w:rFonts w:ascii="Helvetica" w:eastAsia="Times New Roman" w:hAnsi="Helvetica" w:cs="Helvetica"/>
          <w:color w:val="444444"/>
          <w:sz w:val="24"/>
          <w:szCs w:val="24"/>
          <w:lang w:eastAsia="en-AU"/>
        </w:rPr>
        <w:t>ready</w:t>
      </w:r>
      <w:r>
        <w:rPr>
          <w:rFonts w:ascii="Helvetica" w:eastAsia="Times New Roman" w:hAnsi="Helvetica" w:cs="Helvetica"/>
          <w:color w:val="444444"/>
          <w:sz w:val="24"/>
          <w:szCs w:val="24"/>
          <w:lang w:eastAsia="en-AU"/>
        </w:rPr>
        <w:t xml:space="preserve"> access to any content they choose</w:t>
      </w:r>
      <w:r w:rsidR="007577BC">
        <w:rPr>
          <w:rFonts w:ascii="Helvetica" w:eastAsia="Times New Roman" w:hAnsi="Helvetica" w:cs="Helvetica"/>
          <w:color w:val="444444"/>
          <w:sz w:val="24"/>
          <w:szCs w:val="24"/>
          <w:lang w:eastAsia="en-AU"/>
        </w:rPr>
        <w:t xml:space="preserve"> from the whole of the publishing industry</w:t>
      </w:r>
      <w:r>
        <w:rPr>
          <w:rFonts w:ascii="Helvetica" w:eastAsia="Times New Roman" w:hAnsi="Helvetica" w:cs="Helvetica"/>
          <w:color w:val="444444"/>
          <w:sz w:val="24"/>
          <w:szCs w:val="24"/>
          <w:lang w:eastAsia="en-AU"/>
        </w:rPr>
        <w:t>.</w:t>
      </w:r>
    </w:p>
    <w:p w:rsidR="00D03C24" w:rsidRDefault="00D03C24"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D03C24" w:rsidRDefault="00D03C24"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Pr>
          <w:rFonts w:ascii="Helvetica" w:eastAsia="Times New Roman" w:hAnsi="Helvetica" w:cs="Helvetica"/>
          <w:color w:val="444444"/>
          <w:sz w:val="24"/>
          <w:szCs w:val="24"/>
          <w:lang w:eastAsia="en-AU"/>
        </w:rPr>
        <w:t xml:space="preserve">To tell teachers that </w:t>
      </w:r>
      <w:r w:rsidR="007577BC">
        <w:rPr>
          <w:rFonts w:ascii="Helvetica" w:eastAsia="Times New Roman" w:hAnsi="Helvetica" w:cs="Helvetica"/>
          <w:color w:val="444444"/>
          <w:sz w:val="24"/>
          <w:szCs w:val="24"/>
          <w:lang w:eastAsia="en-AU"/>
        </w:rPr>
        <w:t xml:space="preserve">serving </w:t>
      </w:r>
      <w:r>
        <w:rPr>
          <w:rFonts w:ascii="Helvetica" w:eastAsia="Times New Roman" w:hAnsi="Helvetica" w:cs="Helvetica"/>
          <w:color w:val="444444"/>
          <w:sz w:val="24"/>
          <w:szCs w:val="24"/>
          <w:lang w:eastAsia="en-AU"/>
        </w:rPr>
        <w:t>their needs in this way is too expensive, or to tell the creators that their works are not worth $16 per student would appear parsimonious at least.</w:t>
      </w:r>
    </w:p>
    <w:p w:rsidR="006771B7" w:rsidRDefault="006771B7" w:rsidP="00A27969">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6771B7" w:rsidRPr="000A03BA" w:rsidRDefault="006771B7" w:rsidP="006771B7">
      <w:pPr>
        <w:pStyle w:val="ListParagraph"/>
        <w:numPr>
          <w:ilvl w:val="1"/>
          <w:numId w:val="8"/>
        </w:numPr>
        <w:spacing w:before="100" w:beforeAutospacing="1" w:after="100" w:afterAutospacing="1" w:line="240" w:lineRule="auto"/>
        <w:rPr>
          <w:rFonts w:ascii="Helvetica" w:eastAsia="Times New Roman" w:hAnsi="Helvetica" w:cs="Helvetica"/>
          <w:b/>
          <w:i/>
          <w:color w:val="444444"/>
          <w:sz w:val="24"/>
          <w:szCs w:val="24"/>
          <w:lang w:eastAsia="en-AU"/>
        </w:rPr>
      </w:pPr>
      <w:r w:rsidRPr="000A03BA">
        <w:rPr>
          <w:rFonts w:ascii="Helvetica" w:eastAsia="Times New Roman" w:hAnsi="Helvetica" w:cs="Helvetica"/>
          <w:b/>
          <w:i/>
          <w:color w:val="444444"/>
          <w:sz w:val="24"/>
          <w:szCs w:val="24"/>
          <w:lang w:eastAsia="en-AU"/>
        </w:rPr>
        <w:t>Practicality</w:t>
      </w:r>
    </w:p>
    <w:p w:rsidR="00454BAF" w:rsidRDefault="006771B7" w:rsidP="00454BAF">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r w:rsidRPr="006771B7">
        <w:rPr>
          <w:rFonts w:ascii="Helvetica" w:eastAsia="Times New Roman" w:hAnsi="Helvetica" w:cs="Helvetica"/>
          <w:color w:val="444444"/>
          <w:sz w:val="24"/>
          <w:szCs w:val="24"/>
          <w:lang w:eastAsia="en-AU"/>
        </w:rPr>
        <w:t xml:space="preserve">The Members of the Adelaide Digital Publishing Cluster are representative of many businesses throughout Australia that have to deal with </w:t>
      </w:r>
      <w:r>
        <w:rPr>
          <w:rFonts w:ascii="Helvetica" w:eastAsia="Times New Roman" w:hAnsi="Helvetica" w:cs="Helvetica"/>
          <w:color w:val="444444"/>
          <w:sz w:val="24"/>
          <w:szCs w:val="24"/>
          <w:lang w:eastAsia="en-AU"/>
        </w:rPr>
        <w:t xml:space="preserve">the current upheaval in an industry undergoing </w:t>
      </w:r>
      <w:r w:rsidR="000A03BA">
        <w:rPr>
          <w:rFonts w:ascii="Helvetica" w:eastAsia="Times New Roman" w:hAnsi="Helvetica" w:cs="Helvetica"/>
          <w:color w:val="444444"/>
          <w:sz w:val="24"/>
          <w:szCs w:val="24"/>
          <w:lang w:eastAsia="en-AU"/>
        </w:rPr>
        <w:t xml:space="preserve">a </w:t>
      </w:r>
      <w:r>
        <w:rPr>
          <w:rFonts w:ascii="Helvetica" w:eastAsia="Times New Roman" w:hAnsi="Helvetica" w:cs="Helvetica"/>
          <w:color w:val="444444"/>
          <w:sz w:val="24"/>
          <w:szCs w:val="24"/>
          <w:lang w:eastAsia="en-AU"/>
        </w:rPr>
        <w:t xml:space="preserve">historically </w:t>
      </w:r>
      <w:r w:rsidR="000A03BA">
        <w:rPr>
          <w:rFonts w:ascii="Helvetica" w:eastAsia="Times New Roman" w:hAnsi="Helvetica" w:cs="Helvetica"/>
          <w:color w:val="444444"/>
          <w:sz w:val="24"/>
          <w:szCs w:val="24"/>
          <w:lang w:eastAsia="en-AU"/>
        </w:rPr>
        <w:t>rapid rate and nature of change. To enable industry to navigate this difficult terrain and at the same time provide the market with what it needs and wants, we need government policy that maintains a practical system that already works and does not introduce further disruption to an already very disruptive commercial and technological environment.</w:t>
      </w:r>
    </w:p>
    <w:p w:rsidR="00617C71" w:rsidRDefault="00617C71" w:rsidP="00454BAF">
      <w:pPr>
        <w:pStyle w:val="ListParagraph"/>
        <w:spacing w:before="100" w:beforeAutospacing="1" w:after="100" w:afterAutospacing="1" w:line="240" w:lineRule="auto"/>
        <w:ind w:left="792"/>
        <w:rPr>
          <w:rFonts w:ascii="Helvetica" w:eastAsia="Times New Roman" w:hAnsi="Helvetica" w:cs="Helvetica"/>
          <w:color w:val="444444"/>
          <w:sz w:val="24"/>
          <w:szCs w:val="24"/>
          <w:lang w:eastAsia="en-AU"/>
        </w:rPr>
      </w:pPr>
    </w:p>
    <w:p w:rsidR="00617C71" w:rsidRDefault="00617C71" w:rsidP="00556667">
      <w:pPr>
        <w:pStyle w:val="ListParagraph"/>
        <w:spacing w:before="100" w:beforeAutospacing="1" w:after="100" w:afterAutospacing="1" w:line="240" w:lineRule="auto"/>
        <w:ind w:left="426"/>
        <w:rPr>
          <w:rFonts w:ascii="Helvetica" w:eastAsia="Times New Roman" w:hAnsi="Helvetica" w:cs="Helvetica"/>
          <w:color w:val="444444"/>
          <w:sz w:val="24"/>
          <w:szCs w:val="24"/>
          <w:lang w:eastAsia="en-AU"/>
        </w:rPr>
      </w:pPr>
    </w:p>
    <w:p w:rsid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r w:rsidRPr="00556667">
        <w:rPr>
          <w:rFonts w:ascii="Helvetica" w:eastAsia="Times New Roman" w:hAnsi="Helvetica" w:cs="Helvetica"/>
          <w:i/>
          <w:color w:val="444444"/>
          <w:sz w:val="24"/>
          <w:szCs w:val="24"/>
          <w:lang w:eastAsia="en-AU"/>
        </w:rPr>
        <w:t>Submission written by Rodney Martin</w:t>
      </w:r>
      <w:r>
        <w:rPr>
          <w:rFonts w:ascii="Helvetica" w:eastAsia="Times New Roman" w:hAnsi="Helvetica" w:cs="Helvetica"/>
          <w:i/>
          <w:color w:val="444444"/>
          <w:sz w:val="24"/>
          <w:szCs w:val="24"/>
          <w:lang w:eastAsia="en-AU"/>
        </w:rPr>
        <w:t xml:space="preserve"> of Era Publications</w:t>
      </w:r>
      <w:r w:rsidRPr="00556667">
        <w:rPr>
          <w:rFonts w:ascii="Helvetica" w:eastAsia="Times New Roman" w:hAnsi="Helvetica" w:cs="Helvetica"/>
          <w:i/>
          <w:color w:val="444444"/>
          <w:sz w:val="24"/>
          <w:szCs w:val="24"/>
          <w:lang w:eastAsia="en-AU"/>
        </w:rPr>
        <w:t xml:space="preserve"> on behalf of the Adelaide Digital Publishers Group</w:t>
      </w:r>
      <w:r>
        <w:rPr>
          <w:rFonts w:ascii="Helvetica" w:eastAsia="Times New Roman" w:hAnsi="Helvetica" w:cs="Helvetica"/>
          <w:i/>
          <w:color w:val="444444"/>
          <w:sz w:val="24"/>
          <w:szCs w:val="24"/>
          <w:lang w:eastAsia="en-AU"/>
        </w:rPr>
        <w:t xml:space="preserve"> (ADPG)</w:t>
      </w:r>
    </w:p>
    <w:p w:rsid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p>
    <w:p w:rsid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Data from ADPG members was collected and aggregated by the ADPG secretariat, Shepard International.</w:t>
      </w:r>
    </w:p>
    <w:p w:rsid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p>
    <w:p w:rsid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r>
        <w:rPr>
          <w:rFonts w:ascii="Helvetica" w:eastAsia="Times New Roman" w:hAnsi="Helvetica" w:cs="Helvetica"/>
          <w:i/>
          <w:color w:val="444444"/>
          <w:sz w:val="24"/>
          <w:szCs w:val="24"/>
          <w:lang w:eastAsia="en-AU"/>
        </w:rPr>
        <w:t>31 July 2013</w:t>
      </w:r>
    </w:p>
    <w:p w:rsidR="00556667" w:rsidRPr="00556667" w:rsidRDefault="00556667" w:rsidP="00556667">
      <w:pPr>
        <w:pStyle w:val="ListParagraph"/>
        <w:spacing w:before="100" w:beforeAutospacing="1" w:after="100" w:afterAutospacing="1" w:line="240" w:lineRule="auto"/>
        <w:ind w:left="426"/>
        <w:rPr>
          <w:rFonts w:ascii="Helvetica" w:eastAsia="Times New Roman" w:hAnsi="Helvetica" w:cs="Helvetica"/>
          <w:i/>
          <w:color w:val="444444"/>
          <w:sz w:val="24"/>
          <w:szCs w:val="24"/>
          <w:lang w:eastAsia="en-AU"/>
        </w:rPr>
      </w:pPr>
    </w:p>
    <w:tbl>
      <w:tblPr>
        <w:tblW w:w="8917" w:type="dxa"/>
        <w:tblInd w:w="93" w:type="dxa"/>
        <w:tblLook w:val="04A0"/>
      </w:tblPr>
      <w:tblGrid>
        <w:gridCol w:w="8917"/>
      </w:tblGrid>
      <w:tr w:rsidR="00617C71" w:rsidRPr="00617C71" w:rsidTr="00A51476">
        <w:trPr>
          <w:trHeight w:val="300"/>
        </w:trPr>
        <w:tc>
          <w:tcPr>
            <w:tcW w:w="8917" w:type="dxa"/>
            <w:tcBorders>
              <w:top w:val="nil"/>
              <w:left w:val="nil"/>
              <w:bottom w:val="nil"/>
              <w:right w:val="nil"/>
            </w:tcBorders>
            <w:shd w:val="clear" w:color="auto" w:fill="auto"/>
            <w:noWrap/>
            <w:vAlign w:val="bottom"/>
            <w:hideMark/>
          </w:tcPr>
          <w:tbl>
            <w:tblPr>
              <w:tblStyle w:val="TableGrid"/>
              <w:tblpPr w:leftFromText="180" w:rightFromText="180" w:vertAnchor="page" w:horzAnchor="margin" w:tblpY="631"/>
              <w:tblOverlap w:val="never"/>
              <w:tblW w:w="8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3"/>
              <w:gridCol w:w="3260"/>
              <w:gridCol w:w="2268"/>
            </w:tblGrid>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lastRenderedPageBreak/>
                    <w:t>Angola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Greece</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Oman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Antigua &amp; Barbuda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Guam</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Pakistan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Argentina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Guatemala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Palestinian Territories</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Austria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Honduras</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Panama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Azerbaijan</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Hong Kong</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Papua New Guinea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Bahamas</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Hungary</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Peru</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Bahrain</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Iceland</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Philippines</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Bangladesh</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India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Poland</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Barbados</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Indonesia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Portugal</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Belgium</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Iran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Qatar</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Bermuda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Israel</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Romania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Bolivia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Italy</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Russian Federation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Bosnia &amp; Herzegovina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Jamaica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Saudi Arabia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Botswana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Japan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Serbia &amp; Montenegro</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Brazil</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Jordan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Singapore</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Brunei Darussalam</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Kazakhstan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Slovak Republic</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Bulgaria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Kenya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South Africa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Burkina Faso</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Kuwait</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South Korea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Cambodia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Lao People’s Democratic Republic</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Spain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Canada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Latvia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Sudan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Chile</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Lebanon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Sweden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China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Lesotho</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Switzerland</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Colombia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Liechtenstein</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Syrian Arab Republic</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Costa Rica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Lithuania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Taiwan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Croatia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Luxembourg</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Tanzania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Cuba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Macedonia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Thailand</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Cyprus</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Malaysia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Timor-Leste</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Czech Republic</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Malta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Turkey</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Denmark</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Mauritius</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Uganda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Dominican Republic</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Mexico</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United Arab Emirates</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Ecuador</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Monaco</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United Kingdom</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Egypt</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Mongolia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Uruguay</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El Salvador</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Morocco</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USA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bookmarkStart w:id="0" w:name="RANGE!A34"/>
                  <w:r w:rsidRPr="00617C71">
                    <w:rPr>
                      <w:rFonts w:ascii="Calibri" w:eastAsia="Times New Roman" w:hAnsi="Calibri" w:cs="Calibri"/>
                      <w:color w:val="000000"/>
                      <w:lang w:eastAsia="en-AU"/>
                    </w:rPr>
                    <w:t>Estonia</w:t>
                  </w:r>
                  <w:bookmarkEnd w:id="0"/>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Mozambique</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Uzbekistan</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Ethiopia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Myanmar</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Venezuela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Fiji</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Namibia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Vietnam</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Finland</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Netherlands</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Virgin Islands, British</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France</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Netherlands Antilles</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Virgin Islands, US</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Georgia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New Zealand</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Zambia</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Germany</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Nigeria</w:t>
                  </w:r>
                </w:p>
              </w:tc>
              <w:tc>
                <w:tcPr>
                  <w:tcW w:w="2268"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Zimbabwe</w:t>
                  </w:r>
                </w:p>
              </w:tc>
            </w:tr>
            <w:tr w:rsidR="00551165" w:rsidTr="00551165">
              <w:tc>
                <w:tcPr>
                  <w:tcW w:w="3163"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Ghana</w:t>
                  </w:r>
                </w:p>
              </w:tc>
              <w:tc>
                <w:tcPr>
                  <w:tcW w:w="3260" w:type="dxa"/>
                  <w:vAlign w:val="bottom"/>
                </w:tcPr>
                <w:p w:rsidR="00551165" w:rsidRPr="00617C71" w:rsidRDefault="00551165" w:rsidP="00551165">
                  <w:pPr>
                    <w:rPr>
                      <w:rFonts w:ascii="Calibri" w:eastAsia="Times New Roman" w:hAnsi="Calibri" w:cs="Calibri"/>
                      <w:color w:val="000000"/>
                      <w:lang w:eastAsia="en-AU"/>
                    </w:rPr>
                  </w:pPr>
                  <w:r w:rsidRPr="00617C71">
                    <w:rPr>
                      <w:rFonts w:ascii="Calibri" w:eastAsia="Times New Roman" w:hAnsi="Calibri" w:cs="Calibri"/>
                      <w:color w:val="000000"/>
                      <w:lang w:eastAsia="en-AU"/>
                    </w:rPr>
                    <w:t>Norway</w:t>
                  </w:r>
                </w:p>
              </w:tc>
              <w:tc>
                <w:tcPr>
                  <w:tcW w:w="2268" w:type="dxa"/>
                </w:tcPr>
                <w:p w:rsidR="00551165" w:rsidRDefault="00551165" w:rsidP="00551165">
                  <w:pPr>
                    <w:rPr>
                      <w:rFonts w:ascii="Calibri" w:eastAsia="Times New Roman" w:hAnsi="Calibri" w:cs="Calibri"/>
                      <w:color w:val="000000"/>
                      <w:lang w:eastAsia="en-AU"/>
                    </w:rPr>
                  </w:pPr>
                </w:p>
              </w:tc>
            </w:tr>
          </w:tbl>
          <w:p w:rsidR="00617C71" w:rsidRPr="00D03C24" w:rsidRDefault="00617C71" w:rsidP="001B2C7B">
            <w:pPr>
              <w:pStyle w:val="Heading2"/>
              <w:rPr>
                <w:rFonts w:eastAsia="Times New Roman"/>
                <w:lang w:eastAsia="en-AU"/>
              </w:rPr>
            </w:pPr>
            <w:bookmarkStart w:id="1" w:name="_APPENDIX_1:_Countries"/>
            <w:bookmarkEnd w:id="1"/>
            <w:r w:rsidRPr="00D03C24">
              <w:rPr>
                <w:rFonts w:eastAsia="Times New Roman"/>
                <w:lang w:eastAsia="en-AU"/>
              </w:rPr>
              <w:t>APPENDIX 1: Countries to which ADPG members export</w:t>
            </w:r>
          </w:p>
          <w:p w:rsidR="00617C71" w:rsidRPr="00617C71" w:rsidRDefault="00617C71" w:rsidP="00617C71">
            <w:pPr>
              <w:spacing w:after="0" w:line="240" w:lineRule="auto"/>
              <w:rPr>
                <w:rFonts w:ascii="Calibri" w:eastAsia="Times New Roman" w:hAnsi="Calibri" w:cs="Calibri"/>
                <w:color w:val="000000"/>
                <w:lang w:eastAsia="en-AU"/>
              </w:rPr>
            </w:pPr>
          </w:p>
        </w:tc>
      </w:tr>
    </w:tbl>
    <w:p w:rsidR="00617C71" w:rsidRPr="00A51476" w:rsidRDefault="00617C71" w:rsidP="00A51476">
      <w:pPr>
        <w:spacing w:before="100" w:beforeAutospacing="1" w:after="100" w:afterAutospacing="1" w:line="240" w:lineRule="auto"/>
        <w:rPr>
          <w:rFonts w:ascii="Helvetica" w:eastAsia="Times New Roman" w:hAnsi="Helvetica" w:cs="Helvetica"/>
          <w:color w:val="444444"/>
          <w:sz w:val="24"/>
          <w:szCs w:val="24"/>
          <w:lang w:eastAsia="en-AU"/>
        </w:rPr>
      </w:pPr>
    </w:p>
    <w:sectPr w:rsidR="00617C71" w:rsidRPr="00A51476" w:rsidSect="00F113B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D3" w:rsidRDefault="00094BD3" w:rsidP="00BA401B">
      <w:pPr>
        <w:spacing w:after="0" w:line="240" w:lineRule="auto"/>
      </w:pPr>
      <w:r>
        <w:separator/>
      </w:r>
    </w:p>
  </w:endnote>
  <w:endnote w:type="continuationSeparator" w:id="0">
    <w:p w:rsidR="00094BD3" w:rsidRDefault="00094BD3" w:rsidP="00BA4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EA" w:rsidRDefault="00310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5912078"/>
      <w:docPartObj>
        <w:docPartGallery w:val="Page Numbers (Bottom of Page)"/>
        <w:docPartUnique/>
      </w:docPartObj>
    </w:sdtPr>
    <w:sdtContent>
      <w:p w:rsidR="00A55EAB" w:rsidRPr="00AB1EB0" w:rsidRDefault="00373B43">
        <w:pPr>
          <w:pStyle w:val="Footer"/>
          <w:rPr>
            <w:sz w:val="18"/>
            <w:szCs w:val="18"/>
          </w:rPr>
        </w:pPr>
        <w:r w:rsidRPr="00AB1EB0">
          <w:rPr>
            <w:sz w:val="18"/>
            <w:szCs w:val="18"/>
          </w:rPr>
          <w:fldChar w:fldCharType="begin"/>
        </w:r>
        <w:r w:rsidR="00A55EAB" w:rsidRPr="00AB1EB0">
          <w:rPr>
            <w:sz w:val="18"/>
            <w:szCs w:val="18"/>
          </w:rPr>
          <w:instrText xml:space="preserve"> PAGE   \* MERGEFORMAT </w:instrText>
        </w:r>
        <w:r w:rsidRPr="00AB1EB0">
          <w:rPr>
            <w:sz w:val="18"/>
            <w:szCs w:val="18"/>
          </w:rPr>
          <w:fldChar w:fldCharType="separate"/>
        </w:r>
        <w:r w:rsidR="00345A67">
          <w:rPr>
            <w:noProof/>
            <w:sz w:val="18"/>
            <w:szCs w:val="18"/>
          </w:rPr>
          <w:t>1</w:t>
        </w:r>
        <w:r w:rsidRPr="00AB1EB0">
          <w:rPr>
            <w:sz w:val="18"/>
            <w:szCs w:val="18"/>
          </w:rPr>
          <w:fldChar w:fldCharType="end"/>
        </w:r>
        <w:r w:rsidR="00A55EAB" w:rsidRPr="00AB1EB0">
          <w:rPr>
            <w:sz w:val="18"/>
            <w:szCs w:val="18"/>
          </w:rPr>
          <w:t xml:space="preserve">               </w:t>
        </w:r>
        <w:r w:rsidR="00A55EAB">
          <w:rPr>
            <w:sz w:val="18"/>
            <w:szCs w:val="18"/>
          </w:rPr>
          <w:t xml:space="preserve">             </w:t>
        </w:r>
        <w:r w:rsidR="00A55EAB" w:rsidRPr="00AB1EB0">
          <w:rPr>
            <w:sz w:val="18"/>
            <w:szCs w:val="18"/>
          </w:rPr>
          <w:t>ADPG Secretariat: Shepard International, 9 Lewis Ave</w:t>
        </w:r>
        <w:r w:rsidR="00A55EAB">
          <w:rPr>
            <w:sz w:val="18"/>
            <w:szCs w:val="18"/>
          </w:rPr>
          <w:t>nue</w:t>
        </w:r>
        <w:r w:rsidR="00A55EAB" w:rsidRPr="00AB1EB0">
          <w:rPr>
            <w:sz w:val="18"/>
            <w:szCs w:val="18"/>
          </w:rPr>
          <w:t>, Glen Osmond SA 5064 Australia</w:t>
        </w:r>
      </w:p>
      <w:p w:rsidR="00A55EAB" w:rsidRPr="00AB1EB0" w:rsidRDefault="00A55EAB" w:rsidP="00F5388F">
        <w:pPr>
          <w:pStyle w:val="Footer"/>
          <w:jc w:val="center"/>
          <w:rPr>
            <w:sz w:val="18"/>
            <w:szCs w:val="18"/>
          </w:rPr>
        </w:pPr>
        <w:r w:rsidRPr="00AB1EB0">
          <w:rPr>
            <w:sz w:val="18"/>
            <w:szCs w:val="18"/>
          </w:rPr>
          <w:t>A.B.N.  24 076 683 853</w:t>
        </w:r>
        <w:r w:rsidRPr="00AB1EB0">
          <w:rPr>
            <w:b/>
            <w:sz w:val="18"/>
            <w:szCs w:val="18"/>
          </w:rPr>
          <w:t xml:space="preserve"> </w:t>
        </w:r>
        <w:r>
          <w:rPr>
            <w:b/>
            <w:sz w:val="18"/>
            <w:szCs w:val="18"/>
          </w:rPr>
          <w:t xml:space="preserve">     </w:t>
        </w:r>
        <w:r w:rsidRPr="00AB1EB0">
          <w:rPr>
            <w:sz w:val="18"/>
            <w:szCs w:val="18"/>
          </w:rPr>
          <w:t xml:space="preserve">Phone: +61 (0)8 8379 3787      Email: </w:t>
        </w:r>
        <w:hyperlink r:id="rId1" w:history="1">
          <w:r w:rsidRPr="00AB1EB0">
            <w:rPr>
              <w:rStyle w:val="Hyperlink"/>
              <w:sz w:val="18"/>
              <w:szCs w:val="18"/>
            </w:rPr>
            <w:t>shepard@shepard.net.au</w:t>
          </w:r>
        </w:hyperlink>
        <w:r w:rsidRPr="00AB1EB0">
          <w:rPr>
            <w:sz w:val="18"/>
            <w:szCs w:val="18"/>
          </w:rPr>
          <w:t xml:space="preserve"> </w:t>
        </w:r>
      </w:p>
    </w:sdtContent>
  </w:sdt>
  <w:p w:rsidR="00A55EAB" w:rsidRPr="004B767F" w:rsidRDefault="00A55EAB" w:rsidP="004B767F">
    <w:pPr>
      <w:spacing w:after="0" w:line="196" w:lineRule="exact"/>
      <w:ind w:right="72"/>
      <w:jc w:val="both"/>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EA" w:rsidRDefault="00310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D3" w:rsidRDefault="00094BD3" w:rsidP="00BA401B">
      <w:pPr>
        <w:spacing w:after="0" w:line="240" w:lineRule="auto"/>
      </w:pPr>
      <w:r>
        <w:separator/>
      </w:r>
    </w:p>
  </w:footnote>
  <w:footnote w:type="continuationSeparator" w:id="0">
    <w:p w:rsidR="00094BD3" w:rsidRDefault="00094BD3" w:rsidP="00BA4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EA" w:rsidRDefault="00310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EA" w:rsidRDefault="00310FEA">
    <w:pPr>
      <w:pStyle w:val="Header"/>
    </w:pPr>
    <w:r>
      <w:t xml:space="preserve">599._org_ </w:t>
    </w:r>
    <w:r w:rsidRPr="00310FEA">
      <w:t>Adelaide Digital Publishing Group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EA" w:rsidRDefault="00310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F26"/>
    <w:multiLevelType w:val="hybridMultilevel"/>
    <w:tmpl w:val="FE7C99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0F52063"/>
    <w:multiLevelType w:val="multilevel"/>
    <w:tmpl w:val="75F0E15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11335D"/>
    <w:multiLevelType w:val="multilevel"/>
    <w:tmpl w:val="56BC01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D6E0A52"/>
    <w:multiLevelType w:val="hybridMultilevel"/>
    <w:tmpl w:val="25046BF2"/>
    <w:lvl w:ilvl="0" w:tplc="0C090019">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
    <w:nsid w:val="355C4D3E"/>
    <w:multiLevelType w:val="hybridMultilevel"/>
    <w:tmpl w:val="2938AB6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3BED36DD"/>
    <w:multiLevelType w:val="hybridMultilevel"/>
    <w:tmpl w:val="FFFCFB5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nsid w:val="50754F28"/>
    <w:multiLevelType w:val="multilevel"/>
    <w:tmpl w:val="10A4CCF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CA467A"/>
    <w:multiLevelType w:val="hybridMultilevel"/>
    <w:tmpl w:val="099605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8D641B4"/>
    <w:multiLevelType w:val="multilevel"/>
    <w:tmpl w:val="983810D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C35250A"/>
    <w:multiLevelType w:val="hybridMultilevel"/>
    <w:tmpl w:val="601C700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654E1BBA"/>
    <w:multiLevelType w:val="hybridMultilevel"/>
    <w:tmpl w:val="C390F6FA"/>
    <w:lvl w:ilvl="0" w:tplc="0C090019">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1">
    <w:nsid w:val="6677329B"/>
    <w:multiLevelType w:val="hybridMultilevel"/>
    <w:tmpl w:val="34B42BC0"/>
    <w:lvl w:ilvl="0" w:tplc="F7BCAC26">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2A10E9"/>
    <w:multiLevelType w:val="hybridMultilevel"/>
    <w:tmpl w:val="C83636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6C0E3487"/>
    <w:multiLevelType w:val="hybridMultilevel"/>
    <w:tmpl w:val="9B1288C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6E2146BF"/>
    <w:multiLevelType w:val="hybridMultilevel"/>
    <w:tmpl w:val="0C9ADD5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1411EF3"/>
    <w:multiLevelType w:val="multilevel"/>
    <w:tmpl w:val="5F9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1"/>
  </w:num>
  <w:num w:numId="5">
    <w:abstractNumId w:val="0"/>
  </w:num>
  <w:num w:numId="6">
    <w:abstractNumId w:val="12"/>
  </w:num>
  <w:num w:numId="7">
    <w:abstractNumId w:val="11"/>
  </w:num>
  <w:num w:numId="8">
    <w:abstractNumId w:val="6"/>
  </w:num>
  <w:num w:numId="9">
    <w:abstractNumId w:val="3"/>
  </w:num>
  <w:num w:numId="10">
    <w:abstractNumId w:val="10"/>
  </w:num>
  <w:num w:numId="11">
    <w:abstractNumId w:val="7"/>
  </w:num>
  <w:num w:numId="12">
    <w:abstractNumId w:val="9"/>
  </w:num>
  <w:num w:numId="13">
    <w:abstractNumId w:val="13"/>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4840"/>
    <w:rsid w:val="00013B46"/>
    <w:rsid w:val="00067DC9"/>
    <w:rsid w:val="00094BD3"/>
    <w:rsid w:val="000A03BA"/>
    <w:rsid w:val="000B0AAB"/>
    <w:rsid w:val="000B36C2"/>
    <w:rsid w:val="000B57C2"/>
    <w:rsid w:val="00114617"/>
    <w:rsid w:val="001220E3"/>
    <w:rsid w:val="00155499"/>
    <w:rsid w:val="0016421B"/>
    <w:rsid w:val="001770B3"/>
    <w:rsid w:val="00177E75"/>
    <w:rsid w:val="001B156A"/>
    <w:rsid w:val="001B2C7B"/>
    <w:rsid w:val="001B7EA7"/>
    <w:rsid w:val="002349C4"/>
    <w:rsid w:val="0024275B"/>
    <w:rsid w:val="0027047E"/>
    <w:rsid w:val="00290035"/>
    <w:rsid w:val="002C4C10"/>
    <w:rsid w:val="002D090B"/>
    <w:rsid w:val="0030005A"/>
    <w:rsid w:val="00300437"/>
    <w:rsid w:val="00310FEA"/>
    <w:rsid w:val="00340D24"/>
    <w:rsid w:val="00345A67"/>
    <w:rsid w:val="00350163"/>
    <w:rsid w:val="003550E3"/>
    <w:rsid w:val="0035522A"/>
    <w:rsid w:val="00373B43"/>
    <w:rsid w:val="003F1024"/>
    <w:rsid w:val="0043566C"/>
    <w:rsid w:val="00454BAF"/>
    <w:rsid w:val="004701B2"/>
    <w:rsid w:val="004B6947"/>
    <w:rsid w:val="004B767F"/>
    <w:rsid w:val="004C4ABD"/>
    <w:rsid w:val="004F28DC"/>
    <w:rsid w:val="00551165"/>
    <w:rsid w:val="00556429"/>
    <w:rsid w:val="00556667"/>
    <w:rsid w:val="00563E87"/>
    <w:rsid w:val="005E024A"/>
    <w:rsid w:val="00617C71"/>
    <w:rsid w:val="00626E4F"/>
    <w:rsid w:val="0064147F"/>
    <w:rsid w:val="00643B97"/>
    <w:rsid w:val="006458DD"/>
    <w:rsid w:val="00656A10"/>
    <w:rsid w:val="006771B7"/>
    <w:rsid w:val="007502B8"/>
    <w:rsid w:val="00756413"/>
    <w:rsid w:val="007577BC"/>
    <w:rsid w:val="00760FC6"/>
    <w:rsid w:val="00773CCD"/>
    <w:rsid w:val="007A0605"/>
    <w:rsid w:val="00810409"/>
    <w:rsid w:val="0086789F"/>
    <w:rsid w:val="00880860"/>
    <w:rsid w:val="0088459E"/>
    <w:rsid w:val="00887A04"/>
    <w:rsid w:val="008B1B3C"/>
    <w:rsid w:val="008C33C9"/>
    <w:rsid w:val="008E219B"/>
    <w:rsid w:val="009D3298"/>
    <w:rsid w:val="00A04840"/>
    <w:rsid w:val="00A231C2"/>
    <w:rsid w:val="00A27969"/>
    <w:rsid w:val="00A51476"/>
    <w:rsid w:val="00A55EAB"/>
    <w:rsid w:val="00A6243C"/>
    <w:rsid w:val="00A7244B"/>
    <w:rsid w:val="00A94C46"/>
    <w:rsid w:val="00AA2C06"/>
    <w:rsid w:val="00AB1EB0"/>
    <w:rsid w:val="00AB5968"/>
    <w:rsid w:val="00AE29E7"/>
    <w:rsid w:val="00B16668"/>
    <w:rsid w:val="00B76170"/>
    <w:rsid w:val="00BA401B"/>
    <w:rsid w:val="00BA6C1E"/>
    <w:rsid w:val="00BB28C5"/>
    <w:rsid w:val="00BB39F3"/>
    <w:rsid w:val="00BD1BCC"/>
    <w:rsid w:val="00C178CF"/>
    <w:rsid w:val="00C30804"/>
    <w:rsid w:val="00C81A16"/>
    <w:rsid w:val="00C85075"/>
    <w:rsid w:val="00C95004"/>
    <w:rsid w:val="00CD722F"/>
    <w:rsid w:val="00D03C24"/>
    <w:rsid w:val="00D62050"/>
    <w:rsid w:val="00D66914"/>
    <w:rsid w:val="00D851FB"/>
    <w:rsid w:val="00DB27A6"/>
    <w:rsid w:val="00E84AFA"/>
    <w:rsid w:val="00E84B8E"/>
    <w:rsid w:val="00EF1803"/>
    <w:rsid w:val="00F113B9"/>
    <w:rsid w:val="00F5388F"/>
    <w:rsid w:val="00F63D61"/>
    <w:rsid w:val="00F810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B9"/>
  </w:style>
  <w:style w:type="paragraph" w:styleId="Heading2">
    <w:name w:val="heading 2"/>
    <w:basedOn w:val="Normal"/>
    <w:next w:val="Normal"/>
    <w:link w:val="Heading2Char"/>
    <w:uiPriority w:val="9"/>
    <w:unhideWhenUsed/>
    <w:qFormat/>
    <w:rsid w:val="001B2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40"/>
    <w:rPr>
      <w:rFonts w:ascii="Tahoma" w:hAnsi="Tahoma" w:cs="Tahoma"/>
      <w:sz w:val="16"/>
      <w:szCs w:val="16"/>
    </w:rPr>
  </w:style>
  <w:style w:type="paragraph" w:styleId="ListParagraph">
    <w:name w:val="List Paragraph"/>
    <w:basedOn w:val="Normal"/>
    <w:uiPriority w:val="34"/>
    <w:qFormat/>
    <w:rsid w:val="00D62050"/>
    <w:pPr>
      <w:ind w:left="720"/>
      <w:contextualSpacing/>
    </w:pPr>
  </w:style>
  <w:style w:type="paragraph" w:styleId="Header">
    <w:name w:val="header"/>
    <w:basedOn w:val="Normal"/>
    <w:link w:val="HeaderChar"/>
    <w:uiPriority w:val="99"/>
    <w:semiHidden/>
    <w:unhideWhenUsed/>
    <w:rsid w:val="00BA40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01B"/>
  </w:style>
  <w:style w:type="paragraph" w:styleId="Footer">
    <w:name w:val="footer"/>
    <w:basedOn w:val="Normal"/>
    <w:link w:val="FooterChar"/>
    <w:uiPriority w:val="99"/>
    <w:unhideWhenUsed/>
    <w:rsid w:val="00BA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1B"/>
  </w:style>
  <w:style w:type="character" w:styleId="Hyperlink">
    <w:name w:val="Hyperlink"/>
    <w:basedOn w:val="DefaultParagraphFont"/>
    <w:rsid w:val="00BA401B"/>
    <w:rPr>
      <w:color w:val="0000FF"/>
      <w:u w:val="single"/>
    </w:rPr>
  </w:style>
  <w:style w:type="table" w:styleId="TableGrid">
    <w:name w:val="Table Grid"/>
    <w:basedOn w:val="TableNormal"/>
    <w:uiPriority w:val="59"/>
    <w:rsid w:val="00E8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2C7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511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57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hepard@shepard.net.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bs2008\shares\data\MARKETING\Organisations,%20Networks,%20Conferences\Cluster\Digital%20sub%20group\2013%20ALRC%20Submission%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bs2008\shares\data\MARKETING\Organisations,%20Networks,%20Conferences\Cluster\Digital%20sub%20group\2013%20ALRC%20Submission%20sta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bs2008\shares\data\MARKETING\Organisations,%20Networks,%20Conferences\Cluster\Digital%20sub%20group\2013%20ALRC%20Submission%20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bs2008\shares\data\MARKETING\Organisations,%20Networks,%20Conferences\Cluster\Digital%20sub%20group\2013%20ALRC%20Submission%20stats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bs2008\shares\data\MARKETING\Organisations,%20Networks,%20Conferences\Cluster\Digital%20sub%20group\2013%20ALRC%20Submission%20stat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1200"/>
              <a:t>Fig. 1: Export as % of revenue</a:t>
            </a:r>
          </a:p>
        </c:rich>
      </c:tx>
    </c:title>
    <c:plotArea>
      <c:layout/>
      <c:lineChart>
        <c:grouping val="standard"/>
        <c:ser>
          <c:idx val="0"/>
          <c:order val="0"/>
          <c:tx>
            <c:strRef>
              <c:f>'Export %'!$A$2</c:f>
              <c:strCache>
                <c:ptCount val="1"/>
                <c:pt idx="0">
                  <c:v>Export as % of revenue</c:v>
                </c:pt>
              </c:strCache>
            </c:strRef>
          </c:tx>
          <c:marker>
            <c:symbol val="none"/>
          </c:marker>
          <c:cat>
            <c:numRef>
              <c:f>'Export %'!$B$1:$D$1</c:f>
              <c:numCache>
                <c:formatCode>General</c:formatCode>
                <c:ptCount val="3"/>
                <c:pt idx="0">
                  <c:v>2011</c:v>
                </c:pt>
                <c:pt idx="1">
                  <c:v>2012</c:v>
                </c:pt>
                <c:pt idx="2">
                  <c:v>2013</c:v>
                </c:pt>
              </c:numCache>
            </c:numRef>
          </c:cat>
          <c:val>
            <c:numRef>
              <c:f>'Export %'!$B$2:$D$2</c:f>
              <c:numCache>
                <c:formatCode>0.0%</c:formatCode>
                <c:ptCount val="3"/>
                <c:pt idx="0">
                  <c:v>0.43230000000000063</c:v>
                </c:pt>
                <c:pt idx="1">
                  <c:v>0.4224000000000005</c:v>
                </c:pt>
                <c:pt idx="2">
                  <c:v>0.35520000000000002</c:v>
                </c:pt>
              </c:numCache>
            </c:numRef>
          </c:val>
        </c:ser>
        <c:marker val="1"/>
        <c:axId val="68066688"/>
        <c:axId val="68093056"/>
      </c:lineChart>
      <c:catAx>
        <c:axId val="68066688"/>
        <c:scaling>
          <c:orientation val="minMax"/>
        </c:scaling>
        <c:axPos val="b"/>
        <c:numFmt formatCode="General" sourceLinked="1"/>
        <c:tickLblPos val="nextTo"/>
        <c:crossAx val="68093056"/>
        <c:crosses val="autoZero"/>
        <c:auto val="1"/>
        <c:lblAlgn val="ctr"/>
        <c:lblOffset val="100"/>
      </c:catAx>
      <c:valAx>
        <c:axId val="68093056"/>
        <c:scaling>
          <c:orientation val="minMax"/>
        </c:scaling>
        <c:axPos val="l"/>
        <c:majorGridlines/>
        <c:numFmt formatCode="0.0%" sourceLinked="1"/>
        <c:tickLblPos val="nextTo"/>
        <c:crossAx val="680666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AU"/>
  <c:chart>
    <c:title/>
    <c:plotArea>
      <c:layout/>
      <c:lineChart>
        <c:grouping val="standard"/>
        <c:ser>
          <c:idx val="0"/>
          <c:order val="0"/>
          <c:tx>
            <c:strRef>
              <c:f>'Digital %'!$A$2</c:f>
              <c:strCache>
                <c:ptCount val="1"/>
                <c:pt idx="0">
                  <c:v>Digital Publishing % of total revenue</c:v>
                </c:pt>
              </c:strCache>
            </c:strRef>
          </c:tx>
          <c:marker>
            <c:symbol val="none"/>
          </c:marker>
          <c:cat>
            <c:numRef>
              <c:f>'Digital %'!$B$1:$D$1</c:f>
              <c:numCache>
                <c:formatCode>General</c:formatCode>
                <c:ptCount val="3"/>
                <c:pt idx="0">
                  <c:v>2011</c:v>
                </c:pt>
                <c:pt idx="1">
                  <c:v>2012</c:v>
                </c:pt>
                <c:pt idx="2">
                  <c:v>2013</c:v>
                </c:pt>
              </c:numCache>
            </c:numRef>
          </c:cat>
          <c:val>
            <c:numRef>
              <c:f>'Digital %'!$B$2:$D$2</c:f>
              <c:numCache>
                <c:formatCode>General</c:formatCode>
                <c:ptCount val="3"/>
                <c:pt idx="0">
                  <c:v>19.091000000000001</c:v>
                </c:pt>
                <c:pt idx="1">
                  <c:v>19.358000000000001</c:v>
                </c:pt>
                <c:pt idx="2">
                  <c:v>21.300999999999988</c:v>
                </c:pt>
              </c:numCache>
            </c:numRef>
          </c:val>
        </c:ser>
        <c:marker val="1"/>
        <c:axId val="68150400"/>
        <c:axId val="68151936"/>
      </c:lineChart>
      <c:catAx>
        <c:axId val="68150400"/>
        <c:scaling>
          <c:orientation val="minMax"/>
        </c:scaling>
        <c:axPos val="b"/>
        <c:numFmt formatCode="General" sourceLinked="1"/>
        <c:tickLblPos val="nextTo"/>
        <c:crossAx val="68151936"/>
        <c:crosses val="autoZero"/>
        <c:auto val="1"/>
        <c:lblAlgn val="ctr"/>
        <c:lblOffset val="100"/>
      </c:catAx>
      <c:valAx>
        <c:axId val="68151936"/>
        <c:scaling>
          <c:orientation val="minMax"/>
          <c:min val="0"/>
        </c:scaling>
        <c:axPos val="l"/>
        <c:majorGridlines/>
        <c:numFmt formatCode="General" sourceLinked="1"/>
        <c:tickLblPos val="nextTo"/>
        <c:crossAx val="681504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plotArea>
      <c:layout/>
      <c:lineChart>
        <c:grouping val="standard"/>
        <c:ser>
          <c:idx val="0"/>
          <c:order val="0"/>
          <c:tx>
            <c:strRef>
              <c:f>PrintDigital!$A$2</c:f>
              <c:strCache>
                <c:ptCount val="1"/>
                <c:pt idx="0">
                  <c:v>Print sales</c:v>
                </c:pt>
              </c:strCache>
            </c:strRef>
          </c:tx>
          <c:marker>
            <c:symbol val="none"/>
          </c:marker>
          <c:val>
            <c:numRef>
              <c:f>PrintDigital!$B$2:$D$2</c:f>
              <c:numCache>
                <c:formatCode>"$"#,##0.00;[Red]\-"$"#,##0.00</c:formatCode>
                <c:ptCount val="3"/>
                <c:pt idx="0">
                  <c:v>6733701</c:v>
                </c:pt>
                <c:pt idx="1">
                  <c:v>6578009</c:v>
                </c:pt>
                <c:pt idx="2">
                  <c:v>5828855</c:v>
                </c:pt>
              </c:numCache>
            </c:numRef>
          </c:val>
        </c:ser>
        <c:ser>
          <c:idx val="1"/>
          <c:order val="1"/>
          <c:tx>
            <c:strRef>
              <c:f>PrintDigital!$A$3</c:f>
              <c:strCache>
                <c:ptCount val="1"/>
                <c:pt idx="0">
                  <c:v>Digital sales</c:v>
                </c:pt>
              </c:strCache>
            </c:strRef>
          </c:tx>
          <c:marker>
            <c:symbol val="none"/>
          </c:marker>
          <c:val>
            <c:numRef>
              <c:f>PrintDigital!$B$3:$D$3</c:f>
              <c:numCache>
                <c:formatCode>"$"#,##0.00;[Red]\-"$"#,##0.00</c:formatCode>
                <c:ptCount val="3"/>
                <c:pt idx="0">
                  <c:v>106764</c:v>
                </c:pt>
                <c:pt idx="1">
                  <c:v>131666</c:v>
                </c:pt>
                <c:pt idx="2">
                  <c:v>135743</c:v>
                </c:pt>
              </c:numCache>
            </c:numRef>
          </c:val>
        </c:ser>
        <c:ser>
          <c:idx val="2"/>
          <c:order val="2"/>
          <c:tx>
            <c:strRef>
              <c:f>PrintDigital!$A$4</c:f>
              <c:strCache>
                <c:ptCount val="1"/>
                <c:pt idx="0">
                  <c:v>Total</c:v>
                </c:pt>
              </c:strCache>
            </c:strRef>
          </c:tx>
          <c:marker>
            <c:symbol val="none"/>
          </c:marker>
          <c:val>
            <c:numRef>
              <c:f>PrintDigital!$B$4:$D$4</c:f>
              <c:numCache>
                <c:formatCode>"$"#,##0.00;[Red]\-"$"#,##0.00</c:formatCode>
                <c:ptCount val="3"/>
                <c:pt idx="0">
                  <c:v>6840465</c:v>
                </c:pt>
                <c:pt idx="1">
                  <c:v>6709675</c:v>
                </c:pt>
                <c:pt idx="2">
                  <c:v>5964598</c:v>
                </c:pt>
              </c:numCache>
            </c:numRef>
          </c:val>
        </c:ser>
        <c:marker val="1"/>
        <c:axId val="70152192"/>
        <c:axId val="70153728"/>
      </c:lineChart>
      <c:catAx>
        <c:axId val="70152192"/>
        <c:scaling>
          <c:orientation val="minMax"/>
        </c:scaling>
        <c:axPos val="b"/>
        <c:tickLblPos val="nextTo"/>
        <c:crossAx val="70153728"/>
        <c:crosses val="autoZero"/>
        <c:auto val="1"/>
        <c:lblAlgn val="ctr"/>
        <c:lblOffset val="100"/>
      </c:catAx>
      <c:valAx>
        <c:axId val="70153728"/>
        <c:scaling>
          <c:orientation val="minMax"/>
        </c:scaling>
        <c:axPos val="l"/>
        <c:majorGridlines/>
        <c:numFmt formatCode="&quot;$&quot;#,##0.00;[Red]\-&quot;$&quot;#,##0.00" sourceLinked="1"/>
        <c:tickLblPos val="nextTo"/>
        <c:crossAx val="701521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a:pPr>
            <a:r>
              <a:rPr lang="en-US" sz="1400"/>
              <a:t>Copyright Agency Royalties</a:t>
            </a:r>
          </a:p>
        </c:rich>
      </c:tx>
    </c:title>
    <c:plotArea>
      <c:layout/>
      <c:lineChart>
        <c:grouping val="standard"/>
        <c:ser>
          <c:idx val="0"/>
          <c:order val="0"/>
          <c:tx>
            <c:strRef>
              <c:f>'CA ROYALTIES'!$A$1</c:f>
              <c:strCache>
                <c:ptCount val="1"/>
                <c:pt idx="0">
                  <c:v>Copyright Agency Royalties</c:v>
                </c:pt>
              </c:strCache>
            </c:strRef>
          </c:tx>
          <c:marker>
            <c:symbol val="none"/>
          </c:marker>
          <c:val>
            <c:numRef>
              <c:f>'CA ROYALTIES'!$A$2:$A$4</c:f>
              <c:numCache>
                <c:formatCode>"$"#,##0.00;[Red]\-"$"#,##0.00</c:formatCode>
                <c:ptCount val="3"/>
                <c:pt idx="0">
                  <c:v>176322.09</c:v>
                </c:pt>
                <c:pt idx="1">
                  <c:v>126084.15000000002</c:v>
                </c:pt>
                <c:pt idx="2">
                  <c:v>104404.61</c:v>
                </c:pt>
              </c:numCache>
            </c:numRef>
          </c:val>
        </c:ser>
        <c:marker val="1"/>
        <c:axId val="70170496"/>
        <c:axId val="70179840"/>
      </c:lineChart>
      <c:catAx>
        <c:axId val="70170496"/>
        <c:scaling>
          <c:orientation val="minMax"/>
        </c:scaling>
        <c:axPos val="b"/>
        <c:tickLblPos val="nextTo"/>
        <c:crossAx val="70179840"/>
        <c:crosses val="autoZero"/>
        <c:auto val="1"/>
        <c:lblAlgn val="ctr"/>
        <c:lblOffset val="100"/>
      </c:catAx>
      <c:valAx>
        <c:axId val="70179840"/>
        <c:scaling>
          <c:orientation val="minMax"/>
        </c:scaling>
        <c:axPos val="l"/>
        <c:majorGridlines/>
        <c:numFmt formatCode="&quot;$&quot;#,##0.00;[Red]\-&quot;$&quot;#,##0.00" sourceLinked="1"/>
        <c:tickLblPos val="nextTo"/>
        <c:crossAx val="701704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1400"/>
              <a:t>CA Royalties as % of total revenue</a:t>
            </a:r>
          </a:p>
        </c:rich>
      </c:tx>
    </c:title>
    <c:plotArea>
      <c:layout/>
      <c:lineChart>
        <c:grouping val="standard"/>
        <c:ser>
          <c:idx val="0"/>
          <c:order val="0"/>
          <c:tx>
            <c:strRef>
              <c:f>'CA ROYALTIES'!$A$5</c:f>
              <c:strCache>
                <c:ptCount val="1"/>
                <c:pt idx="0">
                  <c:v>CA Royalties as % of total revenue</c:v>
                </c:pt>
              </c:strCache>
            </c:strRef>
          </c:tx>
          <c:marker>
            <c:symbol val="none"/>
          </c:marker>
          <c:val>
            <c:numRef>
              <c:f>'CA ROYALTIES'!$A$6:$A$8</c:f>
              <c:numCache>
                <c:formatCode>0.0%</c:formatCode>
                <c:ptCount val="3"/>
                <c:pt idx="0">
                  <c:v>2.5776330995042004E-2</c:v>
                </c:pt>
                <c:pt idx="1">
                  <c:v>1.8791394516127841E-2</c:v>
                </c:pt>
                <c:pt idx="2">
                  <c:v>1.7504048051519984E-2</c:v>
                </c:pt>
              </c:numCache>
            </c:numRef>
          </c:val>
        </c:ser>
        <c:marker val="1"/>
        <c:axId val="70470272"/>
        <c:axId val="70480256"/>
      </c:lineChart>
      <c:catAx>
        <c:axId val="70470272"/>
        <c:scaling>
          <c:orientation val="minMax"/>
        </c:scaling>
        <c:axPos val="b"/>
        <c:tickLblPos val="nextTo"/>
        <c:crossAx val="70480256"/>
        <c:crosses val="autoZero"/>
        <c:auto val="1"/>
        <c:lblAlgn val="ctr"/>
        <c:lblOffset val="100"/>
      </c:catAx>
      <c:valAx>
        <c:axId val="70480256"/>
        <c:scaling>
          <c:orientation val="minMax"/>
        </c:scaling>
        <c:axPos val="l"/>
        <c:majorGridlines/>
        <c:numFmt formatCode="0.0%" sourceLinked="1"/>
        <c:tickLblPos val="nextTo"/>
        <c:crossAx val="704702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marie-claire.muir</cp:lastModifiedBy>
  <cp:revision>2</cp:revision>
  <dcterms:created xsi:type="dcterms:W3CDTF">2013-08-01T06:49:00Z</dcterms:created>
  <dcterms:modified xsi:type="dcterms:W3CDTF">2013-08-01T06:49:00Z</dcterms:modified>
</cp:coreProperties>
</file>