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87" w:rsidRDefault="00506087" w:rsidP="00663A90">
      <w:pPr>
        <w:tabs>
          <w:tab w:val="left" w:pos="851"/>
        </w:tabs>
        <w:jc w:val="center"/>
        <w:rPr>
          <w:b/>
          <w:sz w:val="28"/>
          <w:szCs w:val="28"/>
        </w:rPr>
      </w:pPr>
      <w:r>
        <w:rPr>
          <w:b/>
          <w:sz w:val="28"/>
          <w:szCs w:val="28"/>
        </w:rPr>
        <w:t>NATIONAL ARCHIVES OF AUSTRALIA</w:t>
      </w:r>
      <w:r w:rsidR="00E5741F">
        <w:rPr>
          <w:b/>
          <w:sz w:val="28"/>
          <w:szCs w:val="28"/>
        </w:rPr>
        <w:t xml:space="preserve"> </w:t>
      </w:r>
      <w:r>
        <w:rPr>
          <w:b/>
          <w:sz w:val="28"/>
          <w:szCs w:val="28"/>
        </w:rPr>
        <w:t>- SUBMISSION</w:t>
      </w:r>
    </w:p>
    <w:p w:rsidR="00506087" w:rsidRDefault="00506087" w:rsidP="00663A90">
      <w:pPr>
        <w:tabs>
          <w:tab w:val="left" w:pos="851"/>
        </w:tabs>
        <w:jc w:val="center"/>
        <w:rPr>
          <w:b/>
          <w:sz w:val="28"/>
          <w:szCs w:val="28"/>
        </w:rPr>
      </w:pPr>
      <w:r w:rsidRPr="00664B73">
        <w:rPr>
          <w:b/>
          <w:sz w:val="28"/>
          <w:szCs w:val="28"/>
        </w:rPr>
        <w:t>ALRC DISCUSSION PAPER</w:t>
      </w:r>
      <w:r w:rsidR="001F7461">
        <w:rPr>
          <w:b/>
          <w:sz w:val="28"/>
          <w:szCs w:val="28"/>
        </w:rPr>
        <w:t xml:space="preserve"> 79</w:t>
      </w:r>
      <w:r w:rsidR="00E5741F">
        <w:rPr>
          <w:b/>
          <w:sz w:val="28"/>
          <w:szCs w:val="28"/>
        </w:rPr>
        <w:t xml:space="preserve"> </w:t>
      </w:r>
      <w:r w:rsidRPr="00664B73">
        <w:rPr>
          <w:b/>
          <w:sz w:val="28"/>
          <w:szCs w:val="28"/>
        </w:rPr>
        <w:t>- COPYRIGHT AND THE DIGITAL ECONOMY</w:t>
      </w:r>
    </w:p>
    <w:p w:rsidR="0069236A" w:rsidRPr="0069236A" w:rsidRDefault="000A2604" w:rsidP="00663A90">
      <w:pPr>
        <w:tabs>
          <w:tab w:val="left" w:pos="851"/>
        </w:tabs>
        <w:spacing w:before="100" w:beforeAutospacing="1" w:after="100" w:afterAutospacing="1" w:line="240" w:lineRule="auto"/>
        <w:rPr>
          <w:rFonts w:eastAsia="Times New Roman" w:cs="Times New Roman"/>
          <w:b/>
          <w:lang w:eastAsia="en-AU"/>
        </w:rPr>
      </w:pPr>
      <w:r>
        <w:rPr>
          <w:rFonts w:eastAsia="Times New Roman" w:cs="Times New Roman"/>
          <w:b/>
          <w:lang w:eastAsia="en-AU"/>
        </w:rPr>
        <w:t>Introduction</w:t>
      </w:r>
    </w:p>
    <w:p w:rsidR="008470E7" w:rsidRDefault="008470E7" w:rsidP="00A559E3">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National Archives of Australia (the</w:t>
      </w:r>
      <w:r w:rsidR="00907ED2">
        <w:rPr>
          <w:rFonts w:eastAsia="Times New Roman" w:cs="Times New Roman"/>
          <w:lang w:eastAsia="en-AU"/>
        </w:rPr>
        <w:t xml:space="preserve"> </w:t>
      </w:r>
      <w:r>
        <w:rPr>
          <w:rFonts w:eastAsia="Times New Roman" w:cs="Times New Roman"/>
          <w:lang w:eastAsia="en-AU"/>
        </w:rPr>
        <w:t xml:space="preserve">Archives) is pleased to provide the following submission to the Australian Law Reform Commission’s </w:t>
      </w:r>
      <w:r w:rsidR="00BC519B">
        <w:rPr>
          <w:rFonts w:eastAsia="Times New Roman" w:cs="Times New Roman"/>
          <w:lang w:eastAsia="en-AU"/>
        </w:rPr>
        <w:t>(ALRC)</w:t>
      </w:r>
      <w:r>
        <w:rPr>
          <w:rFonts w:eastAsia="Times New Roman" w:cs="Times New Roman"/>
          <w:lang w:eastAsia="en-AU"/>
        </w:rPr>
        <w:t xml:space="preserve"> Discussion Paper on</w:t>
      </w:r>
      <w:r w:rsidRPr="00BC519B">
        <w:rPr>
          <w:rFonts w:eastAsia="Times New Roman" w:cs="Times New Roman"/>
          <w:i/>
          <w:lang w:eastAsia="en-AU"/>
        </w:rPr>
        <w:t xml:space="preserve"> Copyright and the Digital Economy</w:t>
      </w:r>
      <w:r w:rsidR="00BC519B">
        <w:rPr>
          <w:rFonts w:eastAsia="Times New Roman" w:cs="Times New Roman"/>
          <w:i/>
          <w:lang w:eastAsia="en-AU"/>
        </w:rPr>
        <w:t>, Discussion Paper 79</w:t>
      </w:r>
      <w:r>
        <w:rPr>
          <w:rFonts w:eastAsia="Times New Roman" w:cs="Times New Roman"/>
          <w:lang w:eastAsia="en-AU"/>
        </w:rPr>
        <w:t>.</w:t>
      </w:r>
    </w:p>
    <w:p w:rsidR="00D25C81" w:rsidRPr="00D25C81" w:rsidRDefault="00D25C81" w:rsidP="00A559E3">
      <w:pPr>
        <w:tabs>
          <w:tab w:val="left" w:pos="851"/>
        </w:tabs>
        <w:spacing w:before="100" w:beforeAutospacing="1" w:after="100" w:afterAutospacing="1" w:line="240" w:lineRule="auto"/>
        <w:rPr>
          <w:rFonts w:eastAsia="Times New Roman" w:cs="Times New Roman"/>
          <w:lang w:eastAsia="en-AU"/>
        </w:rPr>
      </w:pPr>
      <w:r w:rsidRPr="00D25C81">
        <w:rPr>
          <w:rFonts w:eastAsia="Times New Roman" w:cs="Times New Roman"/>
          <w:lang w:eastAsia="en-AU"/>
        </w:rPr>
        <w:t xml:space="preserve">The </w:t>
      </w:r>
      <w:r>
        <w:rPr>
          <w:rFonts w:eastAsia="Times New Roman" w:cs="Times New Roman"/>
          <w:lang w:eastAsia="en-AU"/>
        </w:rPr>
        <w:t>Archives</w:t>
      </w:r>
      <w:r w:rsidRPr="00D25C81">
        <w:rPr>
          <w:rFonts w:eastAsia="Times New Roman" w:cs="Times New Roman"/>
          <w:lang w:eastAsia="en-AU"/>
        </w:rPr>
        <w:t xml:space="preserve"> makes this submission to ensure that its important, independent role in regard to overseeing Commonwealth recordkeeping, identifying the Commonwealth’s archival resources and preserving and making those archival resources publicly available is:</w:t>
      </w:r>
    </w:p>
    <w:p w:rsidR="00D25C81" w:rsidRDefault="00D25C81" w:rsidP="00663A90">
      <w:pPr>
        <w:pStyle w:val="ListParagraph"/>
        <w:numPr>
          <w:ilvl w:val="0"/>
          <w:numId w:val="20"/>
        </w:numPr>
        <w:tabs>
          <w:tab w:val="left" w:pos="851"/>
        </w:tabs>
        <w:spacing w:before="100" w:beforeAutospacing="1" w:after="100" w:afterAutospacing="1" w:line="240" w:lineRule="auto"/>
        <w:rPr>
          <w:rFonts w:eastAsia="Times New Roman" w:cs="Times New Roman"/>
          <w:lang w:eastAsia="en-AU"/>
        </w:rPr>
      </w:pPr>
      <w:r w:rsidRPr="00D25C81">
        <w:rPr>
          <w:rFonts w:eastAsia="Times New Roman" w:cs="Times New Roman"/>
          <w:lang w:eastAsia="en-AU"/>
        </w:rPr>
        <w:t>t</w:t>
      </w:r>
      <w:r>
        <w:rPr>
          <w:rFonts w:eastAsia="Times New Roman" w:cs="Times New Roman"/>
          <w:lang w:eastAsia="en-AU"/>
        </w:rPr>
        <w:t>aken into account by the ALRC</w:t>
      </w:r>
      <w:r w:rsidRPr="00D25C81">
        <w:rPr>
          <w:rFonts w:eastAsia="Times New Roman" w:cs="Times New Roman"/>
          <w:lang w:eastAsia="en-AU"/>
        </w:rPr>
        <w:t xml:space="preserve">; and </w:t>
      </w:r>
    </w:p>
    <w:p w:rsidR="00D25C81" w:rsidRPr="00D25C81" w:rsidRDefault="00D25C81" w:rsidP="00663A90">
      <w:pPr>
        <w:pStyle w:val="ListParagraph"/>
        <w:numPr>
          <w:ilvl w:val="0"/>
          <w:numId w:val="20"/>
        </w:numPr>
        <w:tabs>
          <w:tab w:val="left" w:pos="851"/>
        </w:tabs>
        <w:spacing w:before="100" w:beforeAutospacing="1" w:after="100" w:afterAutospacing="1" w:line="240" w:lineRule="auto"/>
        <w:rPr>
          <w:rFonts w:eastAsia="Times New Roman" w:cs="Times New Roman"/>
          <w:lang w:eastAsia="en-AU"/>
        </w:rPr>
      </w:pPr>
      <w:r w:rsidRPr="00D25C81">
        <w:rPr>
          <w:rFonts w:eastAsia="Times New Roman" w:cs="Times New Roman"/>
          <w:lang w:eastAsia="en-AU"/>
        </w:rPr>
        <w:t xml:space="preserve">not affected inadvertently </w:t>
      </w:r>
      <w:r>
        <w:rPr>
          <w:rFonts w:eastAsia="Times New Roman" w:cs="Times New Roman"/>
          <w:lang w:eastAsia="en-AU"/>
        </w:rPr>
        <w:t>by the ALRC</w:t>
      </w:r>
      <w:r w:rsidRPr="00D25C81">
        <w:rPr>
          <w:rFonts w:eastAsia="Times New Roman" w:cs="Times New Roman"/>
          <w:lang w:eastAsia="en-AU"/>
        </w:rPr>
        <w:t>’s recommendations.</w:t>
      </w:r>
    </w:p>
    <w:p w:rsidR="000A2604" w:rsidRPr="000A2604" w:rsidRDefault="000A2604" w:rsidP="00663A90">
      <w:pPr>
        <w:tabs>
          <w:tab w:val="left" w:pos="851"/>
        </w:tabs>
        <w:spacing w:before="100" w:beforeAutospacing="1" w:after="100" w:afterAutospacing="1" w:line="240" w:lineRule="auto"/>
        <w:rPr>
          <w:rFonts w:eastAsia="Times New Roman" w:cs="Times New Roman"/>
          <w:b/>
          <w:lang w:eastAsia="en-AU"/>
        </w:rPr>
      </w:pPr>
      <w:r w:rsidRPr="000A2604">
        <w:rPr>
          <w:rFonts w:eastAsia="Times New Roman" w:cs="Times New Roman"/>
          <w:b/>
          <w:lang w:eastAsia="en-AU"/>
        </w:rPr>
        <w:t>Summary</w:t>
      </w:r>
      <w:r w:rsidR="00892527">
        <w:rPr>
          <w:rFonts w:eastAsia="Times New Roman" w:cs="Times New Roman"/>
          <w:b/>
          <w:lang w:eastAsia="en-AU"/>
        </w:rPr>
        <w:t xml:space="preserve"> of Key Points</w:t>
      </w:r>
    </w:p>
    <w:p w:rsidR="00892527" w:rsidRDefault="000A2604"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w:t>
      </w:r>
      <w:r w:rsidR="00892527">
        <w:rPr>
          <w:rFonts w:eastAsia="Times New Roman" w:cs="Times New Roman"/>
          <w:lang w:eastAsia="en-AU"/>
        </w:rPr>
        <w:t xml:space="preserve"> key points of the Archives’ submiss</w:t>
      </w:r>
      <w:r w:rsidR="001F5EF6">
        <w:rPr>
          <w:rFonts w:eastAsia="Times New Roman" w:cs="Times New Roman"/>
          <w:lang w:eastAsia="en-AU"/>
        </w:rPr>
        <w:t>ion are summarised below</w:t>
      </w:r>
      <w:r w:rsidR="00892527">
        <w:rPr>
          <w:rFonts w:eastAsia="Times New Roman" w:cs="Times New Roman"/>
          <w:lang w:eastAsia="en-AU"/>
        </w:rPr>
        <w:t>:</w:t>
      </w:r>
    </w:p>
    <w:p w:rsidR="004216DD" w:rsidRPr="00AB2E3A" w:rsidRDefault="004216DD" w:rsidP="00663A90">
      <w:pPr>
        <w:pStyle w:val="ListParagraph"/>
        <w:numPr>
          <w:ilvl w:val="0"/>
          <w:numId w:val="27"/>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w:t>
      </w:r>
      <w:r w:rsidRPr="00E62ECB">
        <w:rPr>
          <w:rFonts w:eastAsia="Times New Roman" w:cs="Times New Roman"/>
          <w:lang w:eastAsia="en-AU"/>
        </w:rPr>
        <w:t>he resources held in the</w:t>
      </w:r>
      <w:r>
        <w:rPr>
          <w:rFonts w:eastAsia="Times New Roman" w:cs="Times New Roman"/>
          <w:lang w:eastAsia="en-AU"/>
        </w:rPr>
        <w:t xml:space="preserve"> Archives’ collection are</w:t>
      </w:r>
      <w:r w:rsidRPr="00E62ECB">
        <w:rPr>
          <w:rFonts w:eastAsia="Times New Roman" w:cs="Times New Roman"/>
          <w:lang w:eastAsia="en-AU"/>
        </w:rPr>
        <w:t xml:space="preserve"> generally not created for commercial purposes or with</w:t>
      </w:r>
      <w:r>
        <w:rPr>
          <w:rFonts w:eastAsia="Times New Roman" w:cs="Times New Roman"/>
          <w:lang w:eastAsia="en-AU"/>
        </w:rPr>
        <w:t xml:space="preserve"> the</w:t>
      </w:r>
      <w:r w:rsidRPr="00E62ECB">
        <w:rPr>
          <w:rFonts w:eastAsia="Times New Roman" w:cs="Times New Roman"/>
          <w:lang w:eastAsia="en-AU"/>
        </w:rPr>
        <w:t xml:space="preserve"> intent of publication for monetary gain. </w:t>
      </w:r>
      <w:r>
        <w:rPr>
          <w:rFonts w:eastAsia="Times New Roman" w:cs="Times New Roman"/>
          <w:lang w:eastAsia="en-AU"/>
        </w:rPr>
        <w:t xml:space="preserve"> </w:t>
      </w:r>
      <w:r w:rsidRPr="00E62ECB">
        <w:rPr>
          <w:rFonts w:eastAsia="Times New Roman" w:cs="Times New Roman"/>
          <w:lang w:eastAsia="en-AU"/>
        </w:rPr>
        <w:t>The value in the</w:t>
      </w:r>
      <w:r>
        <w:rPr>
          <w:rFonts w:eastAsia="Times New Roman" w:cs="Times New Roman"/>
          <w:lang w:eastAsia="en-AU"/>
        </w:rPr>
        <w:t xml:space="preserve"> </w:t>
      </w:r>
      <w:r w:rsidRPr="00E62ECB">
        <w:rPr>
          <w:rFonts w:eastAsia="Times New Roman" w:cs="Times New Roman"/>
          <w:lang w:eastAsia="en-AU"/>
        </w:rPr>
        <w:t>Archives’ collection lies in the evidence it provides for historical and cultural research in relation to the recor</w:t>
      </w:r>
      <w:r>
        <w:rPr>
          <w:rFonts w:eastAsia="Times New Roman" w:cs="Times New Roman"/>
          <w:lang w:eastAsia="en-AU"/>
        </w:rPr>
        <w:t xml:space="preserve">ds of the Australian Government and government accountability; </w:t>
      </w:r>
    </w:p>
    <w:p w:rsidR="00141030" w:rsidRPr="00AB2E3A" w:rsidRDefault="00141030" w:rsidP="00663A90">
      <w:pPr>
        <w:pStyle w:val="ListParagraph"/>
        <w:numPr>
          <w:ilvl w:val="0"/>
          <w:numId w:val="27"/>
        </w:numPr>
        <w:tabs>
          <w:tab w:val="left" w:pos="851"/>
        </w:tabs>
        <w:spacing w:before="100" w:beforeAutospacing="1" w:after="100" w:afterAutospacing="1" w:line="240" w:lineRule="auto"/>
        <w:rPr>
          <w:rFonts w:eastAsia="Times New Roman" w:cs="Times New Roman"/>
          <w:lang w:eastAsia="en-AU"/>
        </w:rPr>
      </w:pPr>
      <w:r w:rsidRPr="00CC25A5">
        <w:rPr>
          <w:rFonts w:eastAsia="Times New Roman" w:cs="Times New Roman"/>
          <w:lang w:eastAsia="en-AU"/>
        </w:rPr>
        <w:t xml:space="preserve">some of the proposed reforms to the </w:t>
      </w:r>
      <w:r w:rsidRPr="00A402C9">
        <w:rPr>
          <w:rFonts w:eastAsia="Times New Roman" w:cs="Times New Roman"/>
          <w:i/>
          <w:lang w:eastAsia="en-AU"/>
        </w:rPr>
        <w:t>Copyright Act</w:t>
      </w:r>
      <w:r w:rsidR="00A402C9" w:rsidRPr="00A402C9">
        <w:rPr>
          <w:rFonts w:eastAsia="Times New Roman" w:cs="Times New Roman"/>
          <w:i/>
          <w:lang w:eastAsia="en-AU"/>
        </w:rPr>
        <w:t xml:space="preserve"> 1968</w:t>
      </w:r>
      <w:r w:rsidR="00A402C9">
        <w:rPr>
          <w:rFonts w:eastAsia="Times New Roman" w:cs="Times New Roman"/>
          <w:lang w:eastAsia="en-AU"/>
        </w:rPr>
        <w:t xml:space="preserve"> (Cth) (Copyright Act)</w:t>
      </w:r>
      <w:r>
        <w:rPr>
          <w:rFonts w:eastAsia="Times New Roman" w:cs="Times New Roman"/>
          <w:lang w:eastAsia="en-AU"/>
        </w:rPr>
        <w:t xml:space="preserve"> could inadvertently restrict the</w:t>
      </w:r>
      <w:r w:rsidRPr="00CC25A5">
        <w:rPr>
          <w:rFonts w:eastAsia="Times New Roman" w:cs="Times New Roman"/>
          <w:lang w:eastAsia="en-AU"/>
        </w:rPr>
        <w:t xml:space="preserve"> ability</w:t>
      </w:r>
      <w:r>
        <w:rPr>
          <w:rFonts w:eastAsia="Times New Roman" w:cs="Times New Roman"/>
          <w:lang w:eastAsia="en-AU"/>
        </w:rPr>
        <w:t xml:space="preserve"> of the Archives</w:t>
      </w:r>
      <w:r w:rsidRPr="00CC25A5">
        <w:rPr>
          <w:rFonts w:eastAsia="Times New Roman" w:cs="Times New Roman"/>
          <w:lang w:eastAsia="en-AU"/>
        </w:rPr>
        <w:t xml:space="preserve"> to fulfill its legislative ro</w:t>
      </w:r>
      <w:r>
        <w:rPr>
          <w:rFonts w:eastAsia="Times New Roman" w:cs="Times New Roman"/>
          <w:lang w:eastAsia="en-AU"/>
        </w:rPr>
        <w:t xml:space="preserve">le pursuant to the </w:t>
      </w:r>
      <w:r w:rsidRPr="00892527">
        <w:rPr>
          <w:rFonts w:eastAsia="Times New Roman" w:cs="Times New Roman"/>
          <w:i/>
          <w:lang w:eastAsia="en-AU"/>
        </w:rPr>
        <w:t>Archives Act</w:t>
      </w:r>
      <w:r w:rsidR="00A402C9" w:rsidRPr="00892527">
        <w:rPr>
          <w:rFonts w:eastAsia="Times New Roman" w:cs="Times New Roman"/>
          <w:i/>
          <w:lang w:eastAsia="en-AU"/>
        </w:rPr>
        <w:t xml:space="preserve"> 1983</w:t>
      </w:r>
      <w:r w:rsidR="00A402C9">
        <w:rPr>
          <w:rFonts w:eastAsia="Times New Roman" w:cs="Times New Roman"/>
          <w:lang w:eastAsia="en-AU"/>
        </w:rPr>
        <w:t xml:space="preserve"> (Cth)</w:t>
      </w:r>
      <w:r w:rsidR="00892527">
        <w:rPr>
          <w:rFonts w:eastAsia="Times New Roman" w:cs="Times New Roman"/>
          <w:lang w:eastAsia="en-AU"/>
        </w:rPr>
        <w:t xml:space="preserve"> (Archives Act)</w:t>
      </w:r>
      <w:r>
        <w:rPr>
          <w:rFonts w:eastAsia="Times New Roman" w:cs="Times New Roman"/>
          <w:lang w:eastAsia="en-AU"/>
        </w:rPr>
        <w:t>;</w:t>
      </w:r>
    </w:p>
    <w:p w:rsidR="00141030" w:rsidRPr="00AB2E3A" w:rsidRDefault="00141030" w:rsidP="00663A90">
      <w:pPr>
        <w:pStyle w:val="ListParagraph"/>
        <w:numPr>
          <w:ilvl w:val="0"/>
          <w:numId w:val="27"/>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a</w:t>
      </w:r>
      <w:r w:rsidRPr="00E62ECB">
        <w:rPr>
          <w:rFonts w:eastAsia="Times New Roman" w:cs="Times New Roman"/>
          <w:lang w:eastAsia="en-AU"/>
        </w:rPr>
        <w:t>ny restriction on the preservation and use of the</w:t>
      </w:r>
      <w:r w:rsidR="000E04AD">
        <w:rPr>
          <w:rFonts w:eastAsia="Times New Roman" w:cs="Times New Roman"/>
          <w:lang w:eastAsia="en-AU"/>
        </w:rPr>
        <w:t xml:space="preserve"> </w:t>
      </w:r>
      <w:r w:rsidRPr="00E62ECB">
        <w:rPr>
          <w:rFonts w:eastAsia="Times New Roman" w:cs="Times New Roman"/>
          <w:lang w:eastAsia="en-AU"/>
        </w:rPr>
        <w:t>Archives’ collection by the</w:t>
      </w:r>
      <w:r>
        <w:rPr>
          <w:rFonts w:eastAsia="Times New Roman" w:cs="Times New Roman"/>
          <w:lang w:eastAsia="en-AU"/>
        </w:rPr>
        <w:t xml:space="preserve"> </w:t>
      </w:r>
      <w:r w:rsidRPr="00E62ECB">
        <w:rPr>
          <w:rFonts w:eastAsia="Times New Roman" w:cs="Times New Roman"/>
          <w:lang w:eastAsia="en-AU"/>
        </w:rPr>
        <w:t xml:space="preserve">Archives will directly </w:t>
      </w:r>
      <w:r>
        <w:rPr>
          <w:rFonts w:eastAsia="Times New Roman" w:cs="Times New Roman"/>
          <w:lang w:eastAsia="en-AU"/>
        </w:rPr>
        <w:t>impact on the public;</w:t>
      </w:r>
    </w:p>
    <w:p w:rsidR="00141030" w:rsidRPr="00AB2E3A" w:rsidRDefault="00544F9C" w:rsidP="00663A90">
      <w:pPr>
        <w:pStyle w:val="ListParagraph"/>
        <w:numPr>
          <w:ilvl w:val="0"/>
          <w:numId w:val="27"/>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any </w:t>
      </w:r>
      <w:r w:rsidR="00141030">
        <w:rPr>
          <w:rFonts w:eastAsia="Times New Roman" w:cs="Times New Roman"/>
          <w:lang w:eastAsia="en-AU"/>
        </w:rPr>
        <w:t>usage or preservation fees and searches for non-Crown copyright will divert</w:t>
      </w:r>
      <w:r w:rsidR="001F5EF6">
        <w:rPr>
          <w:rFonts w:eastAsia="Times New Roman" w:cs="Times New Roman"/>
          <w:lang w:eastAsia="en-AU"/>
        </w:rPr>
        <w:t xml:space="preserve"> resources away from one of the Archives’</w:t>
      </w:r>
      <w:r w:rsidR="00141030" w:rsidRPr="00E62ECB">
        <w:rPr>
          <w:rFonts w:eastAsia="Times New Roman" w:cs="Times New Roman"/>
          <w:lang w:eastAsia="en-AU"/>
        </w:rPr>
        <w:t xml:space="preserve"> main functions - making its collection available to the</w:t>
      </w:r>
      <w:r w:rsidR="00141030">
        <w:rPr>
          <w:rFonts w:eastAsia="Times New Roman" w:cs="Times New Roman"/>
          <w:lang w:eastAsia="en-AU"/>
        </w:rPr>
        <w:t xml:space="preserve"> public; </w:t>
      </w:r>
      <w:r w:rsidR="004216DD">
        <w:rPr>
          <w:rFonts w:eastAsia="Times New Roman" w:cs="Times New Roman"/>
          <w:lang w:eastAsia="en-AU"/>
        </w:rPr>
        <w:t>and</w:t>
      </w:r>
    </w:p>
    <w:p w:rsidR="00141030" w:rsidRPr="00E62ECB" w:rsidRDefault="00141030" w:rsidP="00663A90">
      <w:pPr>
        <w:pStyle w:val="ListParagraph"/>
        <w:numPr>
          <w:ilvl w:val="0"/>
          <w:numId w:val="27"/>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c</w:t>
      </w:r>
      <w:r w:rsidRPr="00E62ECB">
        <w:rPr>
          <w:rFonts w:eastAsia="Times New Roman" w:cs="Times New Roman"/>
          <w:lang w:eastAsia="en-AU"/>
        </w:rPr>
        <w:t>opyright reforms should not</w:t>
      </w:r>
      <w:r>
        <w:rPr>
          <w:rFonts w:eastAsia="Times New Roman" w:cs="Times New Roman"/>
          <w:lang w:eastAsia="en-AU"/>
        </w:rPr>
        <w:t xml:space="preserve"> inadvertently</w:t>
      </w:r>
      <w:r w:rsidRPr="00E62ECB">
        <w:rPr>
          <w:rFonts w:eastAsia="Times New Roman" w:cs="Times New Roman"/>
          <w:lang w:eastAsia="en-AU"/>
        </w:rPr>
        <w:t xml:space="preserve"> inhibit public access to the archival resources of the Commonwea</w:t>
      </w:r>
      <w:r>
        <w:rPr>
          <w:rFonts w:eastAsia="Times New Roman" w:cs="Times New Roman"/>
          <w:lang w:eastAsia="en-AU"/>
        </w:rPr>
        <w:t>lth or deviate from the intentions of</w:t>
      </w:r>
      <w:r w:rsidR="001F5EF6">
        <w:rPr>
          <w:rFonts w:eastAsia="Times New Roman" w:cs="Times New Roman"/>
          <w:lang w:eastAsia="en-AU"/>
        </w:rPr>
        <w:t xml:space="preserve"> the </w:t>
      </w:r>
      <w:r w:rsidR="00E5741F">
        <w:rPr>
          <w:rFonts w:eastAsia="Times New Roman" w:cs="Times New Roman"/>
          <w:lang w:eastAsia="en-AU"/>
        </w:rPr>
        <w:t>Australian Government’s</w:t>
      </w:r>
      <w:r w:rsidR="001F5EF6">
        <w:rPr>
          <w:rFonts w:eastAsia="Times New Roman" w:cs="Times New Roman"/>
          <w:lang w:eastAsia="en-AU"/>
        </w:rPr>
        <w:t xml:space="preserve"> Open Government agenda</w:t>
      </w:r>
      <w:r w:rsidRPr="00E62ECB">
        <w:rPr>
          <w:rFonts w:eastAsia="Times New Roman" w:cs="Times New Roman"/>
          <w:lang w:eastAsia="en-AU"/>
        </w:rPr>
        <w:t>.</w:t>
      </w:r>
    </w:p>
    <w:p w:rsidR="007E5315" w:rsidRPr="00A06764" w:rsidRDefault="00AC20F5" w:rsidP="00663A90">
      <w:pPr>
        <w:tabs>
          <w:tab w:val="left" w:pos="851"/>
        </w:tabs>
        <w:spacing w:before="100" w:beforeAutospacing="1" w:after="100" w:afterAutospacing="1" w:line="240" w:lineRule="auto"/>
        <w:rPr>
          <w:rFonts w:eastAsia="Times New Roman" w:cs="Times New Roman"/>
          <w:b/>
          <w:lang w:eastAsia="en-AU"/>
        </w:rPr>
      </w:pPr>
      <w:r>
        <w:rPr>
          <w:rFonts w:eastAsia="Times New Roman" w:cs="Times New Roman"/>
          <w:b/>
          <w:lang w:eastAsia="en-AU"/>
        </w:rPr>
        <w:t>The</w:t>
      </w:r>
      <w:r w:rsidR="00F119E4">
        <w:rPr>
          <w:rFonts w:eastAsia="Times New Roman" w:cs="Times New Roman"/>
          <w:b/>
          <w:lang w:eastAsia="en-AU"/>
        </w:rPr>
        <w:t xml:space="preserve"> Role of the</w:t>
      </w:r>
      <w:r>
        <w:rPr>
          <w:rFonts w:eastAsia="Times New Roman" w:cs="Times New Roman"/>
          <w:b/>
          <w:lang w:eastAsia="en-AU"/>
        </w:rPr>
        <w:t xml:space="preserve"> National Archives of Australia </w:t>
      </w:r>
    </w:p>
    <w:p w:rsidR="007E5315" w:rsidRPr="00D25C81" w:rsidRDefault="00941812" w:rsidP="00663A90">
      <w:pPr>
        <w:tabs>
          <w:tab w:val="left" w:pos="851"/>
        </w:tabs>
        <w:spacing w:before="100" w:beforeAutospacing="1" w:after="100" w:afterAutospacing="1" w:line="240" w:lineRule="auto"/>
        <w:rPr>
          <w:rFonts w:eastAsia="Times New Roman" w:cs="Times New Roman"/>
          <w:lang w:eastAsia="en-AU"/>
        </w:rPr>
      </w:pPr>
      <w:r w:rsidRPr="00941812">
        <w:rPr>
          <w:rFonts w:eastAsia="Times New Roman" w:cs="Times New Roman"/>
          <w:lang w:eastAsia="en-AU"/>
        </w:rPr>
        <w:t>The objects of the Archives Act include preserving and making publicly available the archival resources of the Commonwealth</w:t>
      </w:r>
      <w:r w:rsidR="00E5741F">
        <w:rPr>
          <w:rFonts w:eastAsia="Times New Roman" w:cs="Times New Roman"/>
          <w:lang w:eastAsia="en-AU"/>
        </w:rPr>
        <w:t>.</w:t>
      </w:r>
      <w:r w:rsidR="004216DD">
        <w:rPr>
          <w:rStyle w:val="FootnoteReference"/>
          <w:rFonts w:eastAsia="Times New Roman" w:cs="Times New Roman"/>
          <w:lang w:eastAsia="en-AU"/>
        </w:rPr>
        <w:footnoteReference w:id="1"/>
      </w:r>
      <w:r w:rsidR="00E5741F">
        <w:rPr>
          <w:rFonts w:eastAsia="Times New Roman" w:cs="Times New Roman"/>
          <w:lang w:eastAsia="en-AU"/>
        </w:rPr>
        <w:t xml:space="preserve"> </w:t>
      </w:r>
      <w:r w:rsidR="004216DD">
        <w:rPr>
          <w:rFonts w:eastAsia="Times New Roman" w:cs="Times New Roman"/>
          <w:lang w:eastAsia="en-AU"/>
        </w:rPr>
        <w:t xml:space="preserve"> The functions of the Archives</w:t>
      </w:r>
      <w:r w:rsidR="007E5315" w:rsidRPr="00D25C81">
        <w:rPr>
          <w:rFonts w:eastAsia="Times New Roman" w:cs="Times New Roman"/>
          <w:lang w:eastAsia="en-AU"/>
        </w:rPr>
        <w:t xml:space="preserve"> include</w:t>
      </w:r>
      <w:r w:rsidR="00E5741F">
        <w:rPr>
          <w:rFonts w:eastAsia="Times New Roman" w:cs="Times New Roman"/>
          <w:lang w:eastAsia="en-AU"/>
        </w:rPr>
        <w:t>:</w:t>
      </w:r>
      <w:r w:rsidR="004216DD">
        <w:rPr>
          <w:rStyle w:val="FootnoteReference"/>
          <w:rFonts w:eastAsia="Times New Roman" w:cs="Times New Roman"/>
          <w:lang w:eastAsia="en-AU"/>
        </w:rPr>
        <w:footnoteReference w:id="2"/>
      </w:r>
    </w:p>
    <w:p w:rsidR="00941812" w:rsidRPr="00AB2E3A" w:rsidRDefault="00941812" w:rsidP="00663A90">
      <w:pPr>
        <w:pStyle w:val="ListParagraph"/>
        <w:numPr>
          <w:ilvl w:val="0"/>
          <w:numId w:val="22"/>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to identify the archival resources of the Commonwealth;</w:t>
      </w:r>
    </w:p>
    <w:p w:rsidR="00941812" w:rsidRPr="00AB2E3A" w:rsidRDefault="00941812" w:rsidP="00663A90">
      <w:pPr>
        <w:pStyle w:val="ListParagraph"/>
        <w:keepNext/>
        <w:numPr>
          <w:ilvl w:val="0"/>
          <w:numId w:val="29"/>
        </w:numPr>
        <w:tabs>
          <w:tab w:val="left" w:pos="851"/>
        </w:tabs>
        <w:rPr>
          <w:rFonts w:eastAsia="Times New Roman" w:cs="Times New Roman"/>
          <w:lang w:eastAsia="en-AU"/>
        </w:rPr>
      </w:pPr>
      <w:r>
        <w:rPr>
          <w:rFonts w:eastAsia="Times New Roman" w:cs="Times New Roman"/>
          <w:lang w:eastAsia="en-AU"/>
        </w:rPr>
        <w:t>to ensure conservation and preservation of the existing and future archival resources of the Commonwealth;</w:t>
      </w:r>
    </w:p>
    <w:p w:rsidR="00941812" w:rsidRPr="00AB2E3A" w:rsidRDefault="00941812" w:rsidP="00663A90">
      <w:pPr>
        <w:pStyle w:val="ListParagraph"/>
        <w:numPr>
          <w:ilvl w:val="0"/>
          <w:numId w:val="22"/>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to encourage and foster the preservation of all other archival resources relating to Australia;</w:t>
      </w:r>
    </w:p>
    <w:p w:rsidR="00941812" w:rsidRDefault="00941812" w:rsidP="00663A90">
      <w:pPr>
        <w:pStyle w:val="ListParagraph"/>
        <w:numPr>
          <w:ilvl w:val="0"/>
          <w:numId w:val="22"/>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lastRenderedPageBreak/>
        <w:t>to encourage, facilitate, publicise and sponsor t</w:t>
      </w:r>
      <w:r w:rsidR="00C652E1">
        <w:rPr>
          <w:rFonts w:eastAsia="Times New Roman" w:cs="Times New Roman"/>
          <w:lang w:eastAsia="en-AU"/>
        </w:rPr>
        <w:t>he use of archival material;</w:t>
      </w:r>
    </w:p>
    <w:p w:rsidR="00C652E1" w:rsidRPr="00AB2E3A" w:rsidRDefault="00C652E1" w:rsidP="00663A90">
      <w:pPr>
        <w:pStyle w:val="ListParagraph"/>
        <w:numPr>
          <w:ilvl w:val="0"/>
          <w:numId w:val="22"/>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to make Commonwealth records available for public access; and</w:t>
      </w:r>
    </w:p>
    <w:p w:rsidR="00941812" w:rsidRDefault="00D2144A" w:rsidP="00663A90">
      <w:pPr>
        <w:pStyle w:val="ListParagraph"/>
        <w:numPr>
          <w:ilvl w:val="0"/>
          <w:numId w:val="22"/>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to develop and foster the co</w:t>
      </w:r>
      <w:r w:rsidR="00941812">
        <w:rPr>
          <w:rFonts w:eastAsia="Times New Roman" w:cs="Times New Roman"/>
          <w:lang w:eastAsia="en-AU"/>
        </w:rPr>
        <w:t>ordination of activities relating to the preservation and use of the archival resources of the Commonwealth and other archival resources relating to Australia.</w:t>
      </w:r>
    </w:p>
    <w:p w:rsidR="004A480B" w:rsidRPr="00F119E4" w:rsidRDefault="00F119E4" w:rsidP="00663A90">
      <w:pPr>
        <w:tabs>
          <w:tab w:val="left" w:pos="851"/>
        </w:tabs>
        <w:spacing w:before="100" w:beforeAutospacing="1" w:after="100" w:afterAutospacing="1" w:line="240" w:lineRule="auto"/>
        <w:rPr>
          <w:rFonts w:eastAsia="Times New Roman" w:cs="Times New Roman"/>
          <w:lang w:eastAsia="en-AU"/>
        </w:rPr>
      </w:pPr>
      <w:r w:rsidRPr="00F119E4">
        <w:rPr>
          <w:rFonts w:eastAsia="Times New Roman" w:cs="Times New Roman"/>
          <w:lang w:eastAsia="en-AU"/>
        </w:rPr>
        <w:t>T</w:t>
      </w:r>
      <w:r w:rsidR="004A480B" w:rsidRPr="00F119E4">
        <w:rPr>
          <w:rFonts w:eastAsia="Times New Roman" w:cs="Times New Roman"/>
          <w:lang w:eastAsia="en-AU"/>
        </w:rPr>
        <w:t>he archival resources of the Commonwealth consist of such Commonwealth records and other material as are of national significance o</w:t>
      </w:r>
      <w:r>
        <w:rPr>
          <w:rFonts w:eastAsia="Times New Roman" w:cs="Times New Roman"/>
          <w:lang w:eastAsia="en-AU"/>
        </w:rPr>
        <w:t xml:space="preserve">r public interest and </w:t>
      </w:r>
      <w:r w:rsidR="00FA0038">
        <w:rPr>
          <w:rFonts w:eastAsia="Times New Roman" w:cs="Times New Roman"/>
          <w:lang w:eastAsia="en-AU"/>
        </w:rPr>
        <w:t>include</w:t>
      </w:r>
      <w:r>
        <w:rPr>
          <w:rFonts w:eastAsia="Times New Roman" w:cs="Times New Roman"/>
          <w:lang w:eastAsia="en-AU"/>
        </w:rPr>
        <w:t xml:space="preserve"> records that relate to </w:t>
      </w:r>
      <w:r w:rsidR="004A480B" w:rsidRPr="00F119E4">
        <w:rPr>
          <w:rFonts w:eastAsia="Times New Roman" w:cs="Times New Roman"/>
          <w:lang w:eastAsia="en-AU"/>
        </w:rPr>
        <w:t>the his</w:t>
      </w:r>
      <w:r>
        <w:rPr>
          <w:rFonts w:eastAsia="Times New Roman" w:cs="Times New Roman"/>
          <w:lang w:eastAsia="en-AU"/>
        </w:rPr>
        <w:t xml:space="preserve">tory or government of Australia and </w:t>
      </w:r>
      <w:r w:rsidR="004A480B" w:rsidRPr="00F119E4">
        <w:rPr>
          <w:rFonts w:eastAsia="Times New Roman" w:cs="Times New Roman"/>
          <w:lang w:eastAsia="en-AU"/>
        </w:rPr>
        <w:t xml:space="preserve">the legal basis, origin, development, organisation or </w:t>
      </w:r>
      <w:r>
        <w:rPr>
          <w:rFonts w:eastAsia="Times New Roman" w:cs="Times New Roman"/>
          <w:lang w:eastAsia="en-AU"/>
        </w:rPr>
        <w:t>activities of the Common</w:t>
      </w:r>
      <w:r w:rsidR="00CF7740">
        <w:rPr>
          <w:rFonts w:eastAsia="Times New Roman" w:cs="Times New Roman"/>
          <w:lang w:eastAsia="en-AU"/>
        </w:rPr>
        <w:t xml:space="preserve">wealth </w:t>
      </w:r>
      <w:r w:rsidR="00CF7740" w:rsidRPr="00CF7740">
        <w:rPr>
          <w:rFonts w:eastAsia="Times New Roman" w:cs="Times New Roman"/>
          <w:lang w:eastAsia="en-AU"/>
        </w:rPr>
        <w:t>or of a Commonwealth institution.  Archival resources can also include records created by a person who is, or has at any time been, associated with a Commonwealth institution.</w:t>
      </w:r>
      <w:r w:rsidRPr="00CF7740">
        <w:rPr>
          <w:rStyle w:val="FootnoteReference"/>
          <w:rFonts w:eastAsia="Times New Roman" w:cs="Times New Roman"/>
          <w:lang w:eastAsia="en-AU"/>
        </w:rPr>
        <w:footnoteReference w:id="3"/>
      </w:r>
    </w:p>
    <w:p w:rsidR="00A33474" w:rsidRPr="00A33474" w:rsidRDefault="00A33474" w:rsidP="00663A90">
      <w:pPr>
        <w:tabs>
          <w:tab w:val="left" w:pos="851"/>
        </w:tabs>
        <w:rPr>
          <w:rFonts w:eastAsia="Times New Roman" w:cs="Times New Roman"/>
          <w:b/>
          <w:lang w:eastAsia="en-AU"/>
        </w:rPr>
      </w:pPr>
      <w:r w:rsidRPr="00A33474">
        <w:rPr>
          <w:rFonts w:eastAsia="Times New Roman" w:cs="Times New Roman"/>
          <w:b/>
          <w:lang w:eastAsia="en-AU"/>
        </w:rPr>
        <w:t>The National Archives</w:t>
      </w:r>
      <w:r w:rsidR="00600EDE">
        <w:rPr>
          <w:rFonts w:eastAsia="Times New Roman" w:cs="Times New Roman"/>
          <w:b/>
          <w:lang w:eastAsia="en-AU"/>
        </w:rPr>
        <w:t xml:space="preserve"> of Australia</w:t>
      </w:r>
      <w:r w:rsidRPr="00A33474">
        <w:rPr>
          <w:rFonts w:eastAsia="Times New Roman" w:cs="Times New Roman"/>
          <w:b/>
          <w:lang w:eastAsia="en-AU"/>
        </w:rPr>
        <w:t xml:space="preserve"> and Copyright</w:t>
      </w:r>
    </w:p>
    <w:p w:rsidR="00FA0038" w:rsidRDefault="00FA0038" w:rsidP="00663A90">
      <w:pPr>
        <w:tabs>
          <w:tab w:val="left" w:pos="851"/>
        </w:tabs>
      </w:pPr>
      <w:r>
        <w:rPr>
          <w:rFonts w:eastAsia="Times New Roman" w:cs="Times New Roman"/>
          <w:lang w:eastAsia="en-AU"/>
        </w:rPr>
        <w:t xml:space="preserve">The Commonwealth owns the copyright in the majority of the Archives’ collection. </w:t>
      </w:r>
      <w:r w:rsidR="007E21B1">
        <w:rPr>
          <w:rFonts w:eastAsia="Times New Roman" w:cs="Times New Roman"/>
          <w:lang w:eastAsia="en-AU"/>
        </w:rPr>
        <w:t>T</w:t>
      </w:r>
      <w:r w:rsidR="002B3BEA" w:rsidRPr="002B3BEA">
        <w:t xml:space="preserve">he overwhelming majority of </w:t>
      </w:r>
      <w:r>
        <w:t xml:space="preserve">any </w:t>
      </w:r>
      <w:r w:rsidR="002B3BEA" w:rsidRPr="002B3BEA">
        <w:t>non-Crown copyright material in the</w:t>
      </w:r>
      <w:r w:rsidR="002B3BEA">
        <w:t xml:space="preserve"> </w:t>
      </w:r>
      <w:r w:rsidR="002B3BEA" w:rsidRPr="002B3BEA">
        <w:t xml:space="preserve">Archives’ collection documents interactions of private citizens with the government in relation to </w:t>
      </w:r>
      <w:r w:rsidR="006F2DDD">
        <w:t xml:space="preserve">the </w:t>
      </w:r>
      <w:r w:rsidR="002B3BEA" w:rsidRPr="002B3BEA">
        <w:t>routine business of government.</w:t>
      </w:r>
      <w:r w:rsidR="00462D34">
        <w:t xml:space="preserve"> </w:t>
      </w:r>
      <w:r w:rsidR="002B3BEA" w:rsidRPr="002B3BEA">
        <w:t xml:space="preserve"> After the business use of such material expires the main value of these records lies in their potential use for </w:t>
      </w:r>
      <w:r w:rsidR="00B43FA2">
        <w:t xml:space="preserve">research including </w:t>
      </w:r>
      <w:r w:rsidR="002B3BEA" w:rsidRPr="002B3BEA">
        <w:t xml:space="preserve">social, </w:t>
      </w:r>
      <w:r w:rsidR="008C0FF5">
        <w:t xml:space="preserve">education, </w:t>
      </w:r>
      <w:r w:rsidR="002B3BEA" w:rsidRPr="002B3BEA">
        <w:t>political, family</w:t>
      </w:r>
      <w:r w:rsidR="00B43FA2">
        <w:t>, evidence and accountability</w:t>
      </w:r>
      <w:r w:rsidR="002B3BEA" w:rsidRPr="002B3BEA">
        <w:t xml:space="preserve"> </w:t>
      </w:r>
      <w:r w:rsidR="00FF3CF2">
        <w:t xml:space="preserve">based </w:t>
      </w:r>
      <w:r w:rsidR="002B3BEA" w:rsidRPr="002B3BEA">
        <w:t>research.</w:t>
      </w:r>
      <w:r w:rsidR="002B3BEA">
        <w:t xml:space="preserve"> </w:t>
      </w:r>
      <w:r w:rsidR="00462D34">
        <w:t xml:space="preserve"> </w:t>
      </w:r>
    </w:p>
    <w:p w:rsidR="002B3BEA" w:rsidRPr="00FA0038" w:rsidRDefault="002B3BEA" w:rsidP="00663A90">
      <w:pPr>
        <w:tabs>
          <w:tab w:val="left" w:pos="851"/>
        </w:tabs>
        <w:rPr>
          <w:rFonts w:eastAsia="Times New Roman" w:cs="Times New Roman"/>
          <w:lang w:eastAsia="en-AU"/>
        </w:rPr>
      </w:pPr>
      <w:r>
        <w:t xml:space="preserve">It is the </w:t>
      </w:r>
      <w:r w:rsidR="008C0FF5">
        <w:t xml:space="preserve">statutory </w:t>
      </w:r>
      <w:r>
        <w:t>role of the Archives to make its archival resources available for public diss</w:t>
      </w:r>
      <w:r w:rsidR="00F02ABF">
        <w:t>emination and that includes any</w:t>
      </w:r>
      <w:r>
        <w:t xml:space="preserve"> non-Crown copyright documentation</w:t>
      </w:r>
      <w:r w:rsidR="00F02ABF">
        <w:t xml:space="preserve"> that forms part of its archival resources</w:t>
      </w:r>
      <w:r>
        <w:t>.</w:t>
      </w:r>
    </w:p>
    <w:p w:rsidR="00A33474" w:rsidRPr="00432493" w:rsidRDefault="00432493" w:rsidP="00663A90">
      <w:pPr>
        <w:tabs>
          <w:tab w:val="left" w:pos="851"/>
        </w:tabs>
        <w:spacing w:before="100" w:beforeAutospacing="1" w:after="100" w:afterAutospacing="1" w:line="240" w:lineRule="auto"/>
        <w:rPr>
          <w:rFonts w:eastAsia="Times New Roman" w:cs="Times New Roman"/>
          <w:lang w:eastAsia="en-AU"/>
        </w:rPr>
      </w:pPr>
      <w:r w:rsidRPr="00432493">
        <w:rPr>
          <w:rFonts w:eastAsia="Times New Roman" w:cs="Times New Roman"/>
          <w:lang w:eastAsia="en-AU"/>
        </w:rPr>
        <w:t>T</w:t>
      </w:r>
      <w:r w:rsidR="00A33474" w:rsidRPr="00432493">
        <w:rPr>
          <w:rFonts w:eastAsia="Times New Roman" w:cs="Times New Roman"/>
          <w:lang w:eastAsia="en-AU"/>
        </w:rPr>
        <w:t>he Arc</w:t>
      </w:r>
      <w:r w:rsidR="000D0F25">
        <w:rPr>
          <w:rFonts w:eastAsia="Times New Roman" w:cs="Times New Roman"/>
          <w:lang w:eastAsia="en-AU"/>
        </w:rPr>
        <w:t>hives Act provides that</w:t>
      </w:r>
      <w:r w:rsidRPr="00432493">
        <w:rPr>
          <w:rFonts w:eastAsia="Times New Roman" w:cs="Times New Roman"/>
          <w:lang w:eastAsia="en-AU"/>
        </w:rPr>
        <w:t xml:space="preserve"> where access is given to a Commonwealth record</w:t>
      </w:r>
      <w:r w:rsidR="000D0F25" w:rsidRPr="003273E2">
        <w:rPr>
          <w:rFonts w:eastAsia="Times New Roman" w:cs="Times New Roman"/>
          <w:lang w:eastAsia="en-AU"/>
        </w:rPr>
        <w:t xml:space="preserve"> </w:t>
      </w:r>
      <w:r w:rsidR="003273E2" w:rsidRPr="003273E2">
        <w:rPr>
          <w:lang/>
        </w:rPr>
        <w:t xml:space="preserve">in accordance with the Act </w:t>
      </w:r>
      <w:r w:rsidR="000D0F25">
        <w:rPr>
          <w:rFonts w:eastAsia="Times New Roman" w:cs="Times New Roman"/>
          <w:lang w:eastAsia="en-AU"/>
        </w:rPr>
        <w:t xml:space="preserve">no action for </w:t>
      </w:r>
      <w:r w:rsidRPr="00432493">
        <w:rPr>
          <w:rFonts w:eastAsia="Times New Roman" w:cs="Times New Roman"/>
          <w:lang w:eastAsia="en-AU"/>
        </w:rPr>
        <w:t xml:space="preserve">infringement of copyright </w:t>
      </w:r>
      <w:r w:rsidR="000D0F25">
        <w:rPr>
          <w:rFonts w:eastAsia="Times New Roman" w:cs="Times New Roman"/>
          <w:lang w:eastAsia="en-AU"/>
        </w:rPr>
        <w:t xml:space="preserve">lies, </w:t>
      </w:r>
      <w:r w:rsidRPr="00432493">
        <w:rPr>
          <w:rFonts w:eastAsia="Times New Roman" w:cs="Times New Roman"/>
          <w:lang w:eastAsia="en-AU"/>
        </w:rPr>
        <w:t>by reason of the authorising or giving of the access, against the Commonwealth or any person concerned in the authorising or giving of the access.</w:t>
      </w:r>
      <w:r>
        <w:rPr>
          <w:rStyle w:val="FootnoteReference"/>
          <w:rFonts w:eastAsia="Times New Roman" w:cs="Times New Roman"/>
          <w:lang w:eastAsia="en-AU"/>
        </w:rPr>
        <w:footnoteReference w:id="4"/>
      </w:r>
    </w:p>
    <w:p w:rsidR="00D25C81" w:rsidRPr="00D25C81" w:rsidRDefault="00F221ED" w:rsidP="00663A90">
      <w:pPr>
        <w:tabs>
          <w:tab w:val="left" w:pos="851"/>
        </w:tabs>
        <w:spacing w:before="100" w:beforeAutospacing="1" w:after="100" w:afterAutospacing="1" w:line="240" w:lineRule="auto"/>
        <w:rPr>
          <w:rFonts w:eastAsia="Times New Roman" w:cs="Times New Roman"/>
          <w:b/>
          <w:lang w:eastAsia="en-AU"/>
        </w:rPr>
      </w:pPr>
      <w:r>
        <w:rPr>
          <w:rFonts w:eastAsia="Times New Roman" w:cs="Times New Roman"/>
          <w:b/>
          <w:lang w:eastAsia="en-AU"/>
        </w:rPr>
        <w:t>The Commonwealth’</w:t>
      </w:r>
      <w:r w:rsidR="004F56F7">
        <w:rPr>
          <w:rFonts w:eastAsia="Times New Roman" w:cs="Times New Roman"/>
          <w:b/>
          <w:lang w:eastAsia="en-AU"/>
        </w:rPr>
        <w:t>s</w:t>
      </w:r>
      <w:r w:rsidR="007E5315">
        <w:rPr>
          <w:rFonts w:eastAsia="Times New Roman" w:cs="Times New Roman"/>
          <w:b/>
          <w:lang w:eastAsia="en-AU"/>
        </w:rPr>
        <w:t xml:space="preserve"> Open Government</w:t>
      </w:r>
      <w:r w:rsidR="004F56F7">
        <w:rPr>
          <w:rFonts w:eastAsia="Times New Roman" w:cs="Times New Roman"/>
          <w:b/>
          <w:lang w:eastAsia="en-AU"/>
        </w:rPr>
        <w:t xml:space="preserve"> Agenda</w:t>
      </w:r>
    </w:p>
    <w:p w:rsidR="007E5315" w:rsidRDefault="00E91117"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w:t>
      </w:r>
      <w:r w:rsidR="007E21B1">
        <w:rPr>
          <w:rFonts w:eastAsia="Times New Roman" w:cs="Times New Roman"/>
          <w:lang w:eastAsia="en-AU"/>
        </w:rPr>
        <w:t xml:space="preserve">role of the Archives is strongly supported and advanced by the </w:t>
      </w:r>
      <w:r w:rsidR="004F56F7">
        <w:rPr>
          <w:rFonts w:eastAsia="Times New Roman" w:cs="Times New Roman"/>
          <w:lang w:eastAsia="en-AU"/>
        </w:rPr>
        <w:t>principles</w:t>
      </w:r>
      <w:r w:rsidR="007E21B1">
        <w:rPr>
          <w:rFonts w:eastAsia="Times New Roman" w:cs="Times New Roman"/>
          <w:lang w:eastAsia="en-AU"/>
        </w:rPr>
        <w:t xml:space="preserve"> of open government reinforced by the </w:t>
      </w:r>
      <w:r>
        <w:rPr>
          <w:rFonts w:eastAsia="Times New Roman" w:cs="Times New Roman"/>
          <w:lang w:eastAsia="en-AU"/>
        </w:rPr>
        <w:t>Decl</w:t>
      </w:r>
      <w:r w:rsidR="007E21B1">
        <w:rPr>
          <w:rFonts w:eastAsia="Times New Roman" w:cs="Times New Roman"/>
          <w:lang w:eastAsia="en-AU"/>
        </w:rPr>
        <w:t>aration of Open Government</w:t>
      </w:r>
      <w:r w:rsidR="00E5741F">
        <w:rPr>
          <w:rFonts w:eastAsia="Times New Roman" w:cs="Times New Roman"/>
          <w:lang w:eastAsia="en-AU"/>
        </w:rPr>
        <w:t>:</w:t>
      </w:r>
      <w:r w:rsidR="00F64168">
        <w:rPr>
          <w:rStyle w:val="FootnoteReference"/>
          <w:rFonts w:eastAsia="Times New Roman" w:cs="Times New Roman"/>
          <w:lang w:eastAsia="en-AU"/>
        </w:rPr>
        <w:footnoteReference w:id="5"/>
      </w:r>
    </w:p>
    <w:p w:rsidR="00AB01B0" w:rsidRPr="00AB01B0" w:rsidRDefault="007E21B1" w:rsidP="00663A90">
      <w:pPr>
        <w:tabs>
          <w:tab w:val="left" w:pos="851"/>
        </w:tabs>
        <w:spacing w:before="100" w:beforeAutospacing="1" w:after="100" w:afterAutospacing="1" w:line="240" w:lineRule="auto"/>
        <w:ind w:left="720"/>
        <w:rPr>
          <w:rFonts w:eastAsia="Times New Roman" w:cs="Times New Roman"/>
          <w:i/>
          <w:lang w:eastAsia="en-AU"/>
        </w:rPr>
      </w:pPr>
      <w:r>
        <w:rPr>
          <w:rFonts w:eastAsia="Times New Roman" w:cs="Times New Roman"/>
          <w:i/>
          <w:lang w:eastAsia="en-AU"/>
        </w:rPr>
        <w:t>…..</w:t>
      </w:r>
      <w:r w:rsidR="00AB01B0" w:rsidRPr="00AB01B0">
        <w:rPr>
          <w:rFonts w:eastAsia="Times New Roman" w:cs="Times New Roman"/>
          <w:i/>
          <w:lang w:eastAsia="en-AU"/>
        </w:rPr>
        <w:t>The Australian Government’s support for openness and transparency in Government has three key principles:</w:t>
      </w:r>
    </w:p>
    <w:p w:rsidR="00AB01B0" w:rsidRPr="00AB01B0" w:rsidRDefault="00AB01B0" w:rsidP="00663A90">
      <w:pPr>
        <w:pStyle w:val="ListParagraph"/>
        <w:numPr>
          <w:ilvl w:val="0"/>
          <w:numId w:val="26"/>
        </w:numPr>
        <w:tabs>
          <w:tab w:val="left" w:pos="851"/>
        </w:tabs>
        <w:spacing w:before="100" w:beforeAutospacing="1" w:after="100" w:afterAutospacing="1" w:line="240" w:lineRule="auto"/>
        <w:ind w:left="851" w:hanging="284"/>
        <w:rPr>
          <w:rFonts w:eastAsia="Times New Roman" w:cs="Times New Roman"/>
          <w:i/>
          <w:lang w:eastAsia="en-AU"/>
        </w:rPr>
      </w:pPr>
      <w:r w:rsidRPr="00941159">
        <w:rPr>
          <w:rFonts w:eastAsia="Times New Roman" w:cs="Times New Roman"/>
          <w:b/>
          <w:i/>
          <w:lang w:eastAsia="en-AU"/>
        </w:rPr>
        <w:t>Informing</w:t>
      </w:r>
      <w:r w:rsidRPr="00AB01B0">
        <w:rPr>
          <w:rFonts w:eastAsia="Times New Roman" w:cs="Times New Roman"/>
          <w:i/>
          <w:lang w:eastAsia="en-AU"/>
        </w:rPr>
        <w:t xml:space="preserve">: strengthening citizen’s rights of access to information, establishing a </w:t>
      </w:r>
      <w:r w:rsidR="00E5741F">
        <w:rPr>
          <w:rFonts w:eastAsia="Times New Roman" w:cs="Times New Roman"/>
          <w:i/>
          <w:lang w:eastAsia="en-AU"/>
        </w:rPr>
        <w:br/>
      </w:r>
      <w:r w:rsidRPr="00AB01B0">
        <w:rPr>
          <w:rFonts w:eastAsia="Times New Roman" w:cs="Times New Roman"/>
          <w:i/>
          <w:lang w:eastAsia="en-AU"/>
        </w:rPr>
        <w:t>pro-disclosure culture across Australian Government agencies including through online innovation, and making government information more accessible and usable;</w:t>
      </w:r>
    </w:p>
    <w:p w:rsidR="00AB01B0" w:rsidRPr="00AB01B0" w:rsidRDefault="00AB01B0" w:rsidP="00663A90">
      <w:pPr>
        <w:pStyle w:val="ListParagraph"/>
        <w:numPr>
          <w:ilvl w:val="0"/>
          <w:numId w:val="26"/>
        </w:numPr>
        <w:tabs>
          <w:tab w:val="left" w:pos="851"/>
        </w:tabs>
        <w:spacing w:before="100" w:beforeAutospacing="1" w:after="100" w:afterAutospacing="1" w:line="240" w:lineRule="auto"/>
        <w:ind w:left="851" w:hanging="284"/>
        <w:rPr>
          <w:rFonts w:eastAsia="Times New Roman" w:cs="Times New Roman"/>
          <w:i/>
          <w:lang w:eastAsia="en-AU"/>
        </w:rPr>
      </w:pPr>
      <w:r w:rsidRPr="00941159">
        <w:rPr>
          <w:rFonts w:eastAsia="Times New Roman" w:cs="Times New Roman"/>
          <w:b/>
          <w:i/>
          <w:lang w:eastAsia="en-AU"/>
        </w:rPr>
        <w:t>Engaging</w:t>
      </w:r>
      <w:r w:rsidRPr="00AB01B0">
        <w:rPr>
          <w:rFonts w:eastAsia="Times New Roman" w:cs="Times New Roman"/>
          <w:i/>
          <w:lang w:eastAsia="en-AU"/>
        </w:rPr>
        <w:t>: collaborating with citizens on policy and service delivery to enhance the processes of government and improve the outcomes sought; and</w:t>
      </w:r>
    </w:p>
    <w:p w:rsidR="00AB01B0" w:rsidRDefault="00AB01B0" w:rsidP="00663A90">
      <w:pPr>
        <w:pStyle w:val="ListParagraph"/>
        <w:numPr>
          <w:ilvl w:val="0"/>
          <w:numId w:val="26"/>
        </w:numPr>
        <w:tabs>
          <w:tab w:val="left" w:pos="851"/>
        </w:tabs>
        <w:spacing w:before="100" w:beforeAutospacing="1" w:after="120" w:line="240" w:lineRule="auto"/>
        <w:ind w:left="851" w:hanging="284"/>
        <w:rPr>
          <w:rFonts w:eastAsia="Times New Roman" w:cs="Times New Roman"/>
          <w:i/>
          <w:lang w:eastAsia="en-AU"/>
        </w:rPr>
      </w:pPr>
      <w:r w:rsidRPr="00941159">
        <w:rPr>
          <w:rFonts w:eastAsia="Times New Roman" w:cs="Times New Roman"/>
          <w:b/>
          <w:i/>
          <w:lang w:eastAsia="en-AU"/>
        </w:rPr>
        <w:t>Participating</w:t>
      </w:r>
      <w:r w:rsidRPr="00AB01B0">
        <w:rPr>
          <w:rFonts w:eastAsia="Times New Roman" w:cs="Times New Roman"/>
          <w:i/>
          <w:lang w:eastAsia="en-AU"/>
        </w:rPr>
        <w:t>: making government more consultative and participative.</w:t>
      </w:r>
    </w:p>
    <w:p w:rsidR="00FA2883" w:rsidRDefault="00FA2883" w:rsidP="00663A90">
      <w:pPr>
        <w:tabs>
          <w:tab w:val="left" w:pos="851"/>
        </w:tabs>
        <w:spacing w:before="100" w:beforeAutospacing="1" w:after="120" w:line="240" w:lineRule="auto"/>
        <w:ind w:left="720"/>
        <w:rPr>
          <w:rFonts w:eastAsia="Times New Roman" w:cs="Times New Roman"/>
          <w:i/>
          <w:lang w:eastAsia="en-AU"/>
        </w:rPr>
      </w:pPr>
      <w:r w:rsidRPr="00FA2883">
        <w:rPr>
          <w:rFonts w:eastAsia="Times New Roman" w:cs="Times New Roman"/>
          <w:i/>
          <w:lang w:eastAsia="en-AU"/>
        </w:rPr>
        <w:lastRenderedPageBreak/>
        <w:t>Effective collaboration between citizens and government requires timely sharing of the information held by Government</w:t>
      </w:r>
      <w:r w:rsidR="007E21B1">
        <w:rPr>
          <w:rFonts w:eastAsia="Times New Roman" w:cs="Times New Roman"/>
          <w:i/>
          <w:lang w:eastAsia="en-AU"/>
        </w:rPr>
        <w:t>…..</w:t>
      </w:r>
    </w:p>
    <w:p w:rsidR="006B0560" w:rsidRDefault="006B0560"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Report of the Government</w:t>
      </w:r>
      <w:r w:rsidR="00637D9A">
        <w:rPr>
          <w:rFonts w:eastAsia="Times New Roman" w:cs="Times New Roman"/>
          <w:lang w:eastAsia="en-AU"/>
        </w:rPr>
        <w:t xml:space="preserve"> 2.0 Taskforce recommended that public sector information should be free, based on open standards, easily discoverable, understandable, machine-readable and freely reusable and transformable.</w:t>
      </w:r>
      <w:r w:rsidR="00254820">
        <w:rPr>
          <w:rStyle w:val="FootnoteReference"/>
          <w:rFonts w:eastAsia="Times New Roman" w:cs="Times New Roman"/>
          <w:lang w:eastAsia="en-AU"/>
        </w:rPr>
        <w:footnoteReference w:id="6"/>
      </w:r>
    </w:p>
    <w:p w:rsidR="00A06764" w:rsidRDefault="00A06764" w:rsidP="00663A90">
      <w:pPr>
        <w:keepNext/>
        <w:tabs>
          <w:tab w:val="left" w:pos="851"/>
        </w:tabs>
        <w:spacing w:before="100" w:beforeAutospacing="1" w:after="100" w:afterAutospacing="1" w:line="240" w:lineRule="auto"/>
        <w:rPr>
          <w:rFonts w:eastAsia="Times New Roman" w:cs="Times New Roman"/>
          <w:lang w:eastAsia="en-AU"/>
        </w:rPr>
      </w:pPr>
      <w:r w:rsidRPr="00D25C81">
        <w:rPr>
          <w:rFonts w:eastAsia="Times New Roman" w:cs="Times New Roman"/>
          <w:lang w:eastAsia="en-AU"/>
        </w:rPr>
        <w:t>The importance of the</w:t>
      </w:r>
      <w:r>
        <w:rPr>
          <w:rFonts w:eastAsia="Times New Roman" w:cs="Times New Roman"/>
          <w:lang w:eastAsia="en-AU"/>
        </w:rPr>
        <w:t xml:space="preserve"> </w:t>
      </w:r>
      <w:r w:rsidRPr="00D25C81">
        <w:rPr>
          <w:rFonts w:eastAsia="Times New Roman" w:cs="Times New Roman"/>
          <w:lang w:eastAsia="en-AU"/>
        </w:rPr>
        <w:t>Archives</w:t>
      </w:r>
      <w:r w:rsidR="00F221ED">
        <w:rPr>
          <w:rFonts w:eastAsia="Times New Roman" w:cs="Times New Roman"/>
          <w:lang w:eastAsia="en-AU"/>
        </w:rPr>
        <w:t>’</w:t>
      </w:r>
      <w:r w:rsidR="007E5315">
        <w:rPr>
          <w:rFonts w:eastAsia="Times New Roman" w:cs="Times New Roman"/>
          <w:lang w:eastAsia="en-AU"/>
        </w:rPr>
        <w:t xml:space="preserve"> role in the Open Government a</w:t>
      </w:r>
      <w:r w:rsidR="00F221ED">
        <w:rPr>
          <w:rFonts w:eastAsia="Times New Roman" w:cs="Times New Roman"/>
          <w:lang w:eastAsia="en-AU"/>
        </w:rPr>
        <w:t>genda</w:t>
      </w:r>
      <w:r w:rsidRPr="00D25C81">
        <w:rPr>
          <w:rFonts w:eastAsia="Times New Roman" w:cs="Times New Roman"/>
          <w:lang w:eastAsia="en-AU"/>
        </w:rPr>
        <w:t xml:space="preserve"> was highlighted by the </w:t>
      </w:r>
      <w:r w:rsidR="00E5741F">
        <w:rPr>
          <w:rFonts w:eastAsia="Times New Roman" w:cs="Times New Roman"/>
          <w:lang w:eastAsia="en-AU"/>
        </w:rPr>
        <w:br/>
      </w:r>
      <w:r w:rsidRPr="00D25C81">
        <w:rPr>
          <w:rFonts w:eastAsia="Times New Roman" w:cs="Times New Roman"/>
          <w:lang w:eastAsia="en-AU"/>
        </w:rPr>
        <w:t xml:space="preserve">Hon John Faulkner </w:t>
      </w:r>
      <w:r w:rsidR="00CB453D">
        <w:rPr>
          <w:rFonts w:eastAsia="Times New Roman" w:cs="Times New Roman"/>
          <w:lang w:eastAsia="en-AU"/>
        </w:rPr>
        <w:t>during his tenure as</w:t>
      </w:r>
      <w:r w:rsidRPr="00D25C81">
        <w:rPr>
          <w:rFonts w:eastAsia="Times New Roman" w:cs="Times New Roman"/>
          <w:lang w:eastAsia="en-AU"/>
        </w:rPr>
        <w:t xml:space="preserve"> Special Minister of State:</w:t>
      </w:r>
    </w:p>
    <w:p w:rsidR="00A06764" w:rsidRDefault="00A06764" w:rsidP="00663A90">
      <w:pPr>
        <w:keepNext/>
        <w:tabs>
          <w:tab w:val="left" w:pos="851"/>
        </w:tabs>
        <w:spacing w:before="100" w:beforeAutospacing="1" w:after="100" w:afterAutospacing="1" w:line="240" w:lineRule="auto"/>
        <w:ind w:left="720"/>
        <w:rPr>
          <w:rFonts w:eastAsia="Times New Roman" w:cs="Times New Roman"/>
          <w:i/>
          <w:lang w:eastAsia="en-AU"/>
        </w:rPr>
      </w:pPr>
      <w:r w:rsidRPr="00492331">
        <w:rPr>
          <w:rFonts w:eastAsia="Times New Roman" w:cs="Times New Roman"/>
          <w:i/>
          <w:lang w:eastAsia="en-AU"/>
        </w:rPr>
        <w:t>The National Archives ensures the accountability of Government to current and future generations through its critical role in identifying, managing and preserving information of enduring national significance</w:t>
      </w:r>
      <w:r w:rsidR="00E5741F">
        <w:rPr>
          <w:rFonts w:eastAsia="Times New Roman" w:cs="Times New Roman"/>
          <w:i/>
          <w:lang w:eastAsia="en-AU"/>
        </w:rPr>
        <w:t>.</w:t>
      </w:r>
      <w:r w:rsidRPr="00D25C81">
        <w:rPr>
          <w:vertAlign w:val="superscript"/>
          <w:lang w:eastAsia="en-AU"/>
        </w:rPr>
        <w:footnoteReference w:id="7"/>
      </w:r>
    </w:p>
    <w:p w:rsidR="00C63B37" w:rsidRPr="00DF5B57" w:rsidRDefault="00637D9A"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w:t>
      </w:r>
      <w:r w:rsidR="00462D34" w:rsidRPr="007A0495">
        <w:rPr>
          <w:rFonts w:eastAsia="Times New Roman" w:cs="Times New Roman"/>
          <w:lang w:eastAsia="en-AU"/>
        </w:rPr>
        <w:t>he</w:t>
      </w:r>
      <w:r w:rsidR="00CB453D" w:rsidRPr="007A0495">
        <w:rPr>
          <w:rFonts w:eastAsia="Times New Roman" w:cs="Times New Roman"/>
          <w:lang w:eastAsia="en-AU"/>
        </w:rPr>
        <w:t xml:space="preserve"> </w:t>
      </w:r>
      <w:r w:rsidR="00462D34" w:rsidRPr="007A0495">
        <w:rPr>
          <w:rFonts w:eastAsia="Times New Roman" w:cs="Times New Roman"/>
          <w:lang w:eastAsia="en-AU"/>
        </w:rPr>
        <w:t xml:space="preserve">Archives </w:t>
      </w:r>
      <w:r w:rsidR="006A609F">
        <w:rPr>
          <w:rFonts w:eastAsia="Times New Roman" w:cs="Times New Roman"/>
          <w:lang w:eastAsia="en-AU"/>
        </w:rPr>
        <w:t>has</w:t>
      </w:r>
      <w:r w:rsidR="006A609F" w:rsidRPr="007A0495">
        <w:rPr>
          <w:rFonts w:eastAsia="Times New Roman" w:cs="Times New Roman"/>
          <w:lang w:eastAsia="en-AU"/>
        </w:rPr>
        <w:t xml:space="preserve"> </w:t>
      </w:r>
      <w:r w:rsidR="00462D34" w:rsidRPr="007A0495">
        <w:rPr>
          <w:rFonts w:eastAsia="Times New Roman" w:cs="Times New Roman"/>
          <w:lang w:eastAsia="en-AU"/>
        </w:rPr>
        <w:t>embraced t</w:t>
      </w:r>
      <w:r>
        <w:rPr>
          <w:rFonts w:eastAsia="Times New Roman" w:cs="Times New Roman"/>
          <w:lang w:eastAsia="en-AU"/>
        </w:rPr>
        <w:t>he Open Government agenda and</w:t>
      </w:r>
      <w:r w:rsidR="00462D34" w:rsidRPr="007A0495">
        <w:rPr>
          <w:rFonts w:eastAsia="Times New Roman" w:cs="Times New Roman"/>
          <w:lang w:eastAsia="en-AU"/>
        </w:rPr>
        <w:t xml:space="preserve"> believes that the foundations for a democratic society rest on transparency and accountability across government.</w:t>
      </w:r>
      <w:r w:rsidR="00462D34" w:rsidRPr="007A0495">
        <w:rPr>
          <w:rFonts w:eastAsia="Times New Roman" w:cs="Times New Roman"/>
          <w:vertAlign w:val="superscript"/>
          <w:lang w:eastAsia="en-AU"/>
        </w:rPr>
        <w:footnoteReference w:id="8"/>
      </w:r>
      <w:r w:rsidR="00462D34" w:rsidRPr="007A0495">
        <w:rPr>
          <w:rFonts w:eastAsia="Times New Roman" w:cs="Times New Roman"/>
          <w:lang w:eastAsia="en-AU"/>
        </w:rPr>
        <w:t xml:space="preserve">  </w:t>
      </w:r>
      <w:r w:rsidR="00F212B1">
        <w:rPr>
          <w:rFonts w:eastAsia="Times New Roman" w:cs="Times New Roman"/>
          <w:lang w:eastAsia="en-AU"/>
        </w:rPr>
        <w:t>In accordance with the</w:t>
      </w:r>
      <w:r w:rsidR="00DF5B57">
        <w:rPr>
          <w:rFonts w:eastAsia="Times New Roman" w:cs="Times New Roman"/>
          <w:lang w:eastAsia="en-AU"/>
        </w:rPr>
        <w:t>se</w:t>
      </w:r>
      <w:r w:rsidR="00FF3CF2">
        <w:rPr>
          <w:rFonts w:eastAsia="Times New Roman" w:cs="Times New Roman"/>
          <w:lang w:eastAsia="en-AU"/>
        </w:rPr>
        <w:t xml:space="preserve"> principles</w:t>
      </w:r>
      <w:r w:rsidR="00F212B1">
        <w:rPr>
          <w:rFonts w:eastAsia="Times New Roman" w:cs="Times New Roman"/>
          <w:lang w:eastAsia="en-AU"/>
        </w:rPr>
        <w:t xml:space="preserve">, the Archives submits that </w:t>
      </w:r>
      <w:r w:rsidR="00DF5B57">
        <w:rPr>
          <w:rFonts w:eastAsia="Times New Roman" w:cs="Times New Roman"/>
          <w:lang w:eastAsia="en-AU"/>
        </w:rPr>
        <w:t xml:space="preserve">careful attention should be taken to ensure that any </w:t>
      </w:r>
      <w:r w:rsidR="00F212B1">
        <w:rPr>
          <w:rFonts w:eastAsia="Times New Roman" w:cs="Times New Roman"/>
          <w:lang w:eastAsia="en-AU"/>
        </w:rPr>
        <w:t xml:space="preserve">reforms to the Copyright Act </w:t>
      </w:r>
      <w:r w:rsidR="00DF5B57">
        <w:rPr>
          <w:rFonts w:eastAsia="Times New Roman" w:cs="Times New Roman"/>
          <w:lang w:eastAsia="en-AU"/>
        </w:rPr>
        <w:t>do</w:t>
      </w:r>
      <w:r w:rsidR="00F212B1">
        <w:rPr>
          <w:rFonts w:eastAsia="Times New Roman" w:cs="Times New Roman"/>
          <w:lang w:eastAsia="en-AU"/>
        </w:rPr>
        <w:t xml:space="preserve"> not inhibit the role of the Archives</w:t>
      </w:r>
      <w:r w:rsidR="00B642CF">
        <w:rPr>
          <w:rFonts w:eastAsia="Times New Roman" w:cs="Times New Roman"/>
          <w:lang w:eastAsia="en-AU"/>
        </w:rPr>
        <w:t xml:space="preserve"> to preserve, use and provide access to the archival resources of the Commonwealth.</w:t>
      </w:r>
    </w:p>
    <w:p w:rsidR="00C70834" w:rsidRPr="00C70834" w:rsidRDefault="00C70834" w:rsidP="00663A90">
      <w:pPr>
        <w:keepNext/>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4–1</w:t>
      </w:r>
      <w:r w:rsidRPr="00C70834">
        <w:rPr>
          <w:rFonts w:eastAsia="Times New Roman" w:cs="Times New Roman"/>
          <w:lang w:eastAsia="en-AU"/>
        </w:rPr>
        <w:t xml:space="preserve"> The </w:t>
      </w:r>
      <w:r w:rsidRPr="00C70834">
        <w:rPr>
          <w:rFonts w:eastAsia="Times New Roman" w:cs="Times New Roman"/>
          <w:i/>
          <w:iCs/>
          <w:lang w:eastAsia="en-AU"/>
        </w:rPr>
        <w:t xml:space="preserve">Copyright Act 1968 </w:t>
      </w:r>
      <w:r w:rsidRPr="00C70834">
        <w:rPr>
          <w:rFonts w:eastAsia="Times New Roman" w:cs="Times New Roman"/>
          <w:lang w:eastAsia="en-AU"/>
        </w:rPr>
        <w:t>(Cth) should provide a broad, flexible exception for fair use.</w:t>
      </w:r>
    </w:p>
    <w:p w:rsidR="00EF7952" w:rsidRDefault="00FD0694" w:rsidP="00663A90">
      <w:pPr>
        <w:keepNext/>
        <w:tabs>
          <w:tab w:val="left" w:pos="851"/>
        </w:tabs>
      </w:pPr>
      <w:r>
        <w:t>The</w:t>
      </w:r>
      <w:r w:rsidR="00EF7952">
        <w:t xml:space="preserve"> </w:t>
      </w:r>
      <w:r>
        <w:t>Archives supports</w:t>
      </w:r>
      <w:r w:rsidR="00EF7952">
        <w:t>:</w:t>
      </w:r>
    </w:p>
    <w:p w:rsidR="00EF7952" w:rsidRDefault="00FD0694" w:rsidP="00663A90">
      <w:pPr>
        <w:pStyle w:val="ListParagraph"/>
        <w:keepNext/>
        <w:numPr>
          <w:ilvl w:val="0"/>
          <w:numId w:val="29"/>
        </w:numPr>
        <w:tabs>
          <w:tab w:val="left" w:pos="851"/>
        </w:tabs>
        <w:ind w:left="567" w:hanging="207"/>
      </w:pPr>
      <w:r>
        <w:t xml:space="preserve">the proposal to amend the </w:t>
      </w:r>
      <w:r w:rsidRPr="00EF7952">
        <w:t>Copyright Act</w:t>
      </w:r>
      <w:r>
        <w:t xml:space="preserve"> to provide a broad and flexible exception for fair use as outlined in </w:t>
      </w:r>
      <w:r w:rsidR="00450804">
        <w:t>Proposal</w:t>
      </w:r>
      <w:r>
        <w:t xml:space="preserve"> </w:t>
      </w:r>
      <w:r w:rsidR="00450804">
        <w:t>4-1</w:t>
      </w:r>
      <w:r w:rsidR="00EF7952">
        <w:t>; and</w:t>
      </w:r>
    </w:p>
    <w:p w:rsidR="006F0DD4" w:rsidRDefault="00EF7952" w:rsidP="00663A90">
      <w:pPr>
        <w:pStyle w:val="ListParagraph"/>
        <w:keepNext/>
        <w:numPr>
          <w:ilvl w:val="0"/>
          <w:numId w:val="29"/>
        </w:numPr>
        <w:tabs>
          <w:tab w:val="left" w:pos="851"/>
        </w:tabs>
        <w:ind w:left="567" w:hanging="207"/>
      </w:pPr>
      <w:r>
        <w:t>in particular, an exception</w:t>
      </w:r>
      <w:r w:rsidR="006F0DD4" w:rsidRPr="00374634">
        <w:t xml:space="preserve"> that would provide a certain and simple basis allowing </w:t>
      </w:r>
      <w:r w:rsidR="0047419F">
        <w:t xml:space="preserve">government </w:t>
      </w:r>
      <w:r w:rsidR="006F0DD4" w:rsidRPr="00374634">
        <w:t xml:space="preserve">archives to copy and communicate their collection material for the benefit of the public without infringing copyright and without payment of remuneration.  </w:t>
      </w:r>
    </w:p>
    <w:p w:rsidR="00DD36F4" w:rsidRPr="00DD36F4" w:rsidRDefault="00DD36F4" w:rsidP="00663A90">
      <w:pPr>
        <w:keepNext/>
        <w:tabs>
          <w:tab w:val="left" w:pos="851"/>
        </w:tabs>
        <w:rPr>
          <w:b/>
        </w:rPr>
      </w:pPr>
      <w:r w:rsidRPr="00DD36F4">
        <w:rPr>
          <w:b/>
        </w:rPr>
        <w:t xml:space="preserve">Fair use for </w:t>
      </w:r>
      <w:r w:rsidR="0047419F">
        <w:rPr>
          <w:b/>
        </w:rPr>
        <w:t>Government Archives</w:t>
      </w:r>
    </w:p>
    <w:p w:rsidR="00DD36F4" w:rsidRPr="00374634" w:rsidRDefault="00DD36F4" w:rsidP="00663A90">
      <w:pPr>
        <w:tabs>
          <w:tab w:val="left" w:pos="851"/>
        </w:tabs>
      </w:pPr>
      <w:r w:rsidRPr="00374634">
        <w:t>The</w:t>
      </w:r>
      <w:r w:rsidR="00CB453D">
        <w:t xml:space="preserve"> </w:t>
      </w:r>
      <w:r w:rsidRPr="00374634">
        <w:t xml:space="preserve">Archives supports a free use exception that would permit government archives to copy and communicate non-Crown copyright material held in their collections without the need to seek permission from copyright owners or payment of remuneration.  This exception would be similar in intent and form to the administration exceptions in the </w:t>
      </w:r>
      <w:r w:rsidRPr="00DD36F4">
        <w:rPr>
          <w:i/>
        </w:rPr>
        <w:t>Copyright, Designs and Patents Act 1988</w:t>
      </w:r>
      <w:r w:rsidRPr="00374634">
        <w:t xml:space="preserve"> (UK)</w:t>
      </w:r>
      <w:r w:rsidR="00C94016">
        <w:t>,</w:t>
      </w:r>
      <w:r w:rsidRPr="00DD36F4">
        <w:rPr>
          <w:vertAlign w:val="superscript"/>
        </w:rPr>
        <w:footnoteReference w:id="9"/>
      </w:r>
      <w:r w:rsidRPr="00374634">
        <w:t xml:space="preserve"> which provide an example of the sort of exception that would ensure that copyright material provided to government by third parties for administrative purposes could continue to be used for purposes of public administration, without infringing copyright or requiring payment of compensation.</w:t>
      </w:r>
    </w:p>
    <w:p w:rsidR="00D2144A" w:rsidRDefault="00D2144A" w:rsidP="00663A90">
      <w:pPr>
        <w:tabs>
          <w:tab w:val="left" w:pos="851"/>
        </w:tabs>
        <w:rPr>
          <w:b/>
        </w:rPr>
      </w:pPr>
    </w:p>
    <w:p w:rsidR="00D2144A" w:rsidRDefault="00D2144A" w:rsidP="00663A90">
      <w:pPr>
        <w:tabs>
          <w:tab w:val="left" w:pos="851"/>
        </w:tabs>
        <w:rPr>
          <w:b/>
        </w:rPr>
      </w:pPr>
    </w:p>
    <w:p w:rsidR="00EF7952" w:rsidRPr="00EF7952" w:rsidRDefault="00EF7952" w:rsidP="00663A90">
      <w:pPr>
        <w:tabs>
          <w:tab w:val="left" w:pos="851"/>
        </w:tabs>
        <w:rPr>
          <w:b/>
        </w:rPr>
      </w:pPr>
      <w:r w:rsidRPr="00EF7952">
        <w:rPr>
          <w:b/>
        </w:rPr>
        <w:lastRenderedPageBreak/>
        <w:t>Records Management</w:t>
      </w:r>
      <w:r>
        <w:rPr>
          <w:b/>
        </w:rPr>
        <w:t xml:space="preserve"> and Copyright</w:t>
      </w:r>
      <w:bookmarkStart w:id="0" w:name="_GoBack"/>
      <w:bookmarkEnd w:id="0"/>
    </w:p>
    <w:p w:rsidR="00FD0694" w:rsidRDefault="00EF7952" w:rsidP="00663A90">
      <w:pPr>
        <w:tabs>
          <w:tab w:val="left" w:pos="851"/>
        </w:tabs>
      </w:pPr>
      <w:r>
        <w:t xml:space="preserve">In its leading role of guiding Australian </w:t>
      </w:r>
      <w:r w:rsidR="006A239A">
        <w:t>G</w:t>
      </w:r>
      <w:r w:rsidR="006F1536">
        <w:t xml:space="preserve">overnment </w:t>
      </w:r>
      <w:r>
        <w:t xml:space="preserve">agencies in how to manage their information and records in the digital environment, </w:t>
      </w:r>
      <w:r w:rsidRPr="00BF1D4A">
        <w:t>the Archives has a strong interest in ensuring that the Copyright Act does not unnecessarily limit any records and information management activities of government agencies.</w:t>
      </w:r>
      <w:r w:rsidR="00214AC4" w:rsidRPr="00BF1D4A">
        <w:t xml:space="preserve"> </w:t>
      </w:r>
      <w:r w:rsidRPr="00BF1D4A">
        <w:t xml:space="preserve"> Government</w:t>
      </w:r>
      <w:r>
        <w:t xml:space="preserve">s at all levels, and </w:t>
      </w:r>
      <w:r w:rsidR="00FD0694">
        <w:t xml:space="preserve">the Australian Government in particular, actively participate in the development of digital economy through the use of new and innovative technologies for policy and decision-making and for the provision of services to the public. </w:t>
      </w:r>
    </w:p>
    <w:p w:rsidR="00AF036D" w:rsidRPr="00AF036D" w:rsidRDefault="00AF036D" w:rsidP="00663A90">
      <w:pPr>
        <w:tabs>
          <w:tab w:val="left" w:pos="851"/>
        </w:tabs>
        <w:rPr>
          <w:rFonts w:ascii="Calibri" w:eastAsia="Calibri" w:hAnsi="Calibri" w:cs="Times New Roman"/>
          <w:lang w:eastAsia="en-AU"/>
        </w:rPr>
      </w:pPr>
      <w:r w:rsidRPr="00AF036D">
        <w:rPr>
          <w:rFonts w:ascii="Calibri" w:eastAsia="Calibri" w:hAnsi="Calibri" w:cs="Times New Roman"/>
          <w:lang w:eastAsia="en-AU"/>
        </w:rPr>
        <w:t>Information and records documenting government activities constitute an important element in assuring government accountability and transparency</w:t>
      </w:r>
      <w:r w:rsidR="00187727">
        <w:rPr>
          <w:rFonts w:ascii="Calibri" w:eastAsia="Calibri" w:hAnsi="Calibri" w:cs="Times New Roman"/>
          <w:lang w:eastAsia="en-AU"/>
        </w:rPr>
        <w:t xml:space="preserve">.  </w:t>
      </w:r>
      <w:r w:rsidRPr="00AF036D">
        <w:rPr>
          <w:rFonts w:ascii="Calibri" w:eastAsia="Calibri" w:hAnsi="Calibri" w:cs="Times New Roman"/>
          <w:lang w:eastAsia="en-AU"/>
        </w:rPr>
        <w:t>Under the Australian Government’s Digital Transition Policy, Australian Government agencies are moving to a digital information and r</w:t>
      </w:r>
      <w:r w:rsidR="00187727">
        <w:rPr>
          <w:rFonts w:ascii="Calibri" w:eastAsia="Calibri" w:hAnsi="Calibri" w:cs="Times New Roman"/>
          <w:lang w:eastAsia="en-AU"/>
        </w:rPr>
        <w:t xml:space="preserve">ecords management environment.  </w:t>
      </w:r>
      <w:r w:rsidRPr="00AF036D">
        <w:rPr>
          <w:rFonts w:ascii="Calibri" w:eastAsia="Calibri" w:hAnsi="Calibri" w:cs="Times New Roman"/>
          <w:lang w:eastAsia="en-AU"/>
        </w:rPr>
        <w:t>The policy sets out a number of requireme</w:t>
      </w:r>
      <w:r w:rsidR="00187727">
        <w:rPr>
          <w:rFonts w:ascii="Calibri" w:eastAsia="Calibri" w:hAnsi="Calibri" w:cs="Times New Roman"/>
          <w:lang w:eastAsia="en-AU"/>
        </w:rPr>
        <w:t xml:space="preserve">nts for agencies to implement.  </w:t>
      </w:r>
      <w:r w:rsidRPr="00AF036D">
        <w:rPr>
          <w:rFonts w:ascii="Calibri" w:eastAsia="Calibri" w:hAnsi="Calibri" w:cs="Times New Roman"/>
          <w:lang w:eastAsia="en-AU"/>
        </w:rPr>
        <w:t>The expected outcomes are that the majority of government records will be created, received, stored and managed digitally, and, where possible, business processes will be reviewed to replace paper-based practices with the</w:t>
      </w:r>
      <w:r w:rsidR="00187727">
        <w:rPr>
          <w:rFonts w:ascii="Calibri" w:eastAsia="Calibri" w:hAnsi="Calibri" w:cs="Times New Roman"/>
          <w:lang w:eastAsia="en-AU"/>
        </w:rPr>
        <w:t xml:space="preserve"> digital ones.  </w:t>
      </w:r>
      <w:r w:rsidRPr="00AF036D">
        <w:rPr>
          <w:rFonts w:ascii="Calibri" w:eastAsia="Calibri" w:hAnsi="Calibri" w:cs="Times New Roman"/>
          <w:lang w:eastAsia="en-AU"/>
        </w:rPr>
        <w:t xml:space="preserve">The policy specifically encourages agencies to convert paper records, where </w:t>
      </w:r>
      <w:r w:rsidR="00187727">
        <w:rPr>
          <w:rFonts w:ascii="Calibri" w:eastAsia="Calibri" w:hAnsi="Calibri" w:cs="Times New Roman"/>
          <w:lang w:eastAsia="en-AU"/>
        </w:rPr>
        <w:t xml:space="preserve">practical, to digital formats.  </w:t>
      </w:r>
      <w:r w:rsidRPr="00AF036D">
        <w:rPr>
          <w:rFonts w:ascii="Calibri" w:eastAsia="Calibri" w:hAnsi="Calibri" w:cs="Times New Roman"/>
          <w:lang w:eastAsia="en-AU"/>
        </w:rPr>
        <w:t>The Archives has also advised agencies that records created digitally after 2015 that have been identified for permanent retention will only be accepted in digital format.</w:t>
      </w:r>
    </w:p>
    <w:p w:rsidR="00AF036D" w:rsidRPr="00AF036D" w:rsidRDefault="00AF036D" w:rsidP="00663A90">
      <w:pPr>
        <w:tabs>
          <w:tab w:val="left" w:pos="851"/>
        </w:tabs>
        <w:rPr>
          <w:rFonts w:ascii="Calibri" w:eastAsia="Calibri" w:hAnsi="Calibri" w:cs="Times New Roman"/>
          <w:lang w:eastAsia="en-AU"/>
        </w:rPr>
      </w:pPr>
      <w:r w:rsidRPr="00AF036D">
        <w:rPr>
          <w:rFonts w:ascii="Calibri" w:eastAsia="Calibri" w:hAnsi="Calibri" w:cs="Times New Roman"/>
          <w:lang w:eastAsia="en-AU"/>
        </w:rPr>
        <w:t>The Archives considers that the proposed principles-based approach to copyright legislation will best serve Australian Government agencies in documenting their activities for business and accountability purposes in the rapidly changi</w:t>
      </w:r>
      <w:r w:rsidR="00187727">
        <w:rPr>
          <w:rFonts w:ascii="Calibri" w:eastAsia="Calibri" w:hAnsi="Calibri" w:cs="Times New Roman"/>
          <w:lang w:eastAsia="en-AU"/>
        </w:rPr>
        <w:t xml:space="preserve">ng global digital environment.  </w:t>
      </w:r>
      <w:r w:rsidRPr="00AF036D">
        <w:rPr>
          <w:rFonts w:ascii="Calibri" w:eastAsia="Calibri" w:hAnsi="Calibri" w:cs="Times New Roman"/>
          <w:lang w:eastAsia="en-AU"/>
        </w:rPr>
        <w:t>It will, however, be important that the illustrative use of ‘public administration’ is broadly interpreted to cover all activities of government conducting the business of</w:t>
      </w:r>
      <w:r w:rsidR="00187727">
        <w:rPr>
          <w:rFonts w:ascii="Calibri" w:eastAsia="Calibri" w:hAnsi="Calibri" w:cs="Times New Roman"/>
          <w:lang w:eastAsia="en-AU"/>
        </w:rPr>
        <w:t xml:space="preserve"> the government at all levels.  </w:t>
      </w:r>
      <w:r w:rsidRPr="00AF036D">
        <w:rPr>
          <w:rFonts w:ascii="Calibri" w:eastAsia="Calibri" w:hAnsi="Calibri" w:cs="Times New Roman"/>
          <w:lang w:eastAsia="en-AU"/>
        </w:rPr>
        <w:t>The Archives is interested in any proposed interpretation of ‘public administration’ and any guidelines that may be released to provide further guidance to the ‘fair use’ exception.</w:t>
      </w:r>
    </w:p>
    <w:p w:rsidR="00C70834" w:rsidRP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Proposal 4–2</w:t>
      </w:r>
      <w:r w:rsidRPr="00C70834">
        <w:rPr>
          <w:rFonts w:eastAsia="Times New Roman" w:cs="Times New Roman"/>
          <w:lang w:eastAsia="en-AU"/>
        </w:rPr>
        <w:t xml:space="preserve"> The new fair use exception should contain:</w:t>
      </w:r>
    </w:p>
    <w:p w:rsidR="00C70834" w:rsidRPr="00C70834" w:rsidRDefault="00A0472B"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Pr>
          <w:rFonts w:eastAsia="Times New Roman" w:cs="Times New Roman"/>
          <w:lang w:eastAsia="en-AU"/>
        </w:rPr>
        <w:t>(a)</w:t>
      </w:r>
      <w:r w:rsidR="00663A90">
        <w:rPr>
          <w:rFonts w:eastAsia="Times New Roman" w:cs="Times New Roman"/>
          <w:lang w:eastAsia="en-AU"/>
        </w:rPr>
        <w:tab/>
      </w:r>
      <w:r w:rsidR="00C70834" w:rsidRPr="00C70834">
        <w:rPr>
          <w:rFonts w:eastAsia="Times New Roman" w:cs="Times New Roman"/>
          <w:lang w:eastAsia="en-AU"/>
        </w:rPr>
        <w:t>an express statement that a fair use of copyright material does not infringe copyright;</w:t>
      </w:r>
    </w:p>
    <w:p w:rsidR="00C70834" w:rsidRP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(b) </w:t>
      </w:r>
      <w:r w:rsidR="00A0472B">
        <w:rPr>
          <w:rFonts w:eastAsia="Times New Roman" w:cs="Times New Roman"/>
          <w:lang w:eastAsia="en-AU"/>
        </w:rPr>
        <w:tab/>
      </w:r>
      <w:r w:rsidRPr="00C70834">
        <w:rPr>
          <w:rFonts w:eastAsia="Times New Roman" w:cs="Times New Roman"/>
          <w:lang w:eastAsia="en-AU"/>
        </w:rPr>
        <w:t>a non-exhaustive list of the factors to be considered in determining whether the use is a fair use (‘the fairness factors’); and</w:t>
      </w:r>
    </w:p>
    <w:p w:rsid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(c) </w:t>
      </w:r>
      <w:r w:rsidR="00A0472B">
        <w:rPr>
          <w:rFonts w:eastAsia="Times New Roman" w:cs="Times New Roman"/>
          <w:lang w:eastAsia="en-AU"/>
        </w:rPr>
        <w:tab/>
      </w:r>
      <w:r w:rsidRPr="00C70834">
        <w:rPr>
          <w:rFonts w:eastAsia="Times New Roman" w:cs="Times New Roman"/>
          <w:lang w:eastAsia="en-AU"/>
        </w:rPr>
        <w:t>a non-exhaustive list of illustrative uses or purposes that may qualify as fair uses (‘the illustrative purposes’).</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b/>
          <w:bCs/>
          <w:lang w:eastAsia="en-AU"/>
        </w:rPr>
        <w:t>Proposal 4–3</w:t>
      </w:r>
      <w:r w:rsidRPr="00C70834">
        <w:rPr>
          <w:rFonts w:eastAsia="Times New Roman" w:cs="Times New Roman"/>
          <w:lang w:eastAsia="en-AU"/>
        </w:rPr>
        <w:t xml:space="preserve"> The non-exhaustive list of fairness factors should be:</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(a) </w:t>
      </w:r>
      <w:r w:rsidR="00A0472B">
        <w:rPr>
          <w:rFonts w:eastAsia="Times New Roman" w:cs="Times New Roman"/>
          <w:lang w:eastAsia="en-AU"/>
        </w:rPr>
        <w:tab/>
      </w:r>
      <w:r w:rsidRPr="00C70834">
        <w:rPr>
          <w:rFonts w:eastAsia="Times New Roman" w:cs="Times New Roman"/>
          <w:lang w:eastAsia="en-AU"/>
        </w:rPr>
        <w:t>the purpose and character of the use;</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(b) </w:t>
      </w:r>
      <w:r w:rsidR="00A0472B">
        <w:rPr>
          <w:rFonts w:eastAsia="Times New Roman" w:cs="Times New Roman"/>
          <w:lang w:eastAsia="en-AU"/>
        </w:rPr>
        <w:tab/>
      </w:r>
      <w:r w:rsidRPr="00C70834">
        <w:rPr>
          <w:rFonts w:eastAsia="Times New Roman" w:cs="Times New Roman"/>
          <w:lang w:eastAsia="en-AU"/>
        </w:rPr>
        <w:t>the nature of the copyright material used;</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contextualSpacing/>
        <w:rPr>
          <w:rFonts w:eastAsia="Times New Roman" w:cs="Times New Roman"/>
          <w:lang w:eastAsia="en-AU"/>
        </w:rPr>
      </w:pPr>
      <w:r w:rsidRPr="00C70834">
        <w:rPr>
          <w:rFonts w:eastAsia="Times New Roman" w:cs="Times New Roman"/>
          <w:lang w:eastAsia="en-AU"/>
        </w:rPr>
        <w:t xml:space="preserve">(c) </w:t>
      </w:r>
      <w:r w:rsidR="00A0472B">
        <w:rPr>
          <w:rFonts w:eastAsia="Times New Roman" w:cs="Times New Roman"/>
          <w:lang w:eastAsia="en-AU"/>
        </w:rPr>
        <w:tab/>
      </w:r>
      <w:r w:rsidRPr="00C70834">
        <w:rPr>
          <w:rFonts w:eastAsia="Times New Roman" w:cs="Times New Roman"/>
          <w:lang w:eastAsia="en-AU"/>
        </w:rPr>
        <w:t>in a case where part only of the copyright material is used—the amount and substantiality of the part used, considered in relation to the whole of the copyright material; and</w:t>
      </w:r>
    </w:p>
    <w:p w:rsidR="00024C8A"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(d) </w:t>
      </w:r>
      <w:r w:rsidR="00A0472B">
        <w:rPr>
          <w:rFonts w:eastAsia="Times New Roman" w:cs="Times New Roman"/>
          <w:lang w:eastAsia="en-AU"/>
        </w:rPr>
        <w:tab/>
      </w:r>
      <w:r w:rsidRPr="00C70834">
        <w:rPr>
          <w:rFonts w:eastAsia="Times New Roman" w:cs="Times New Roman"/>
          <w:lang w:eastAsia="en-AU"/>
        </w:rPr>
        <w:t>the effect of the use upon the potential market for, or value of, the copyright material.</w:t>
      </w:r>
    </w:p>
    <w:p w:rsidR="00024C8A" w:rsidRPr="00C70834" w:rsidRDefault="00024C8A"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contextualSpacing/>
        <w:rPr>
          <w:rFonts w:eastAsia="Times New Roman" w:cs="Times New Roman"/>
          <w:lang w:eastAsia="en-AU"/>
        </w:rPr>
      </w:pPr>
    </w:p>
    <w:p w:rsidR="00024C8A" w:rsidRPr="00C70834" w:rsidRDefault="00024C8A"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contextualSpacing/>
        <w:rPr>
          <w:rFonts w:eastAsia="Times New Roman" w:cs="Times New Roman"/>
          <w:lang w:eastAsia="en-AU"/>
        </w:rPr>
      </w:pPr>
      <w:r w:rsidRPr="00C70834">
        <w:rPr>
          <w:rFonts w:eastAsia="Times New Roman" w:cs="Times New Roman"/>
          <w:b/>
          <w:bCs/>
          <w:lang w:eastAsia="en-AU"/>
        </w:rPr>
        <w:t>Proposal 4–4</w:t>
      </w:r>
      <w:r w:rsidRPr="00C70834">
        <w:rPr>
          <w:rFonts w:eastAsia="Times New Roman" w:cs="Times New Roman"/>
          <w:lang w:eastAsia="en-AU"/>
        </w:rPr>
        <w:t xml:space="preserve"> The non-exhaustive list of illustrative purposes should include the following:</w:t>
      </w:r>
    </w:p>
    <w:p w:rsidR="00024C8A" w:rsidRPr="00C70834" w:rsidRDefault="00A0472B"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Pr>
          <w:rFonts w:eastAsia="Times New Roman" w:cs="Times New Roman"/>
          <w:lang w:eastAsia="en-AU"/>
        </w:rPr>
        <w:t xml:space="preserve">(a) </w:t>
      </w:r>
      <w:r>
        <w:rPr>
          <w:rFonts w:eastAsia="Times New Roman" w:cs="Times New Roman"/>
          <w:lang w:eastAsia="en-AU"/>
        </w:rPr>
        <w:tab/>
      </w:r>
      <w:r w:rsidR="00024C8A" w:rsidRPr="00C70834">
        <w:rPr>
          <w:rFonts w:eastAsia="Times New Roman" w:cs="Times New Roman"/>
          <w:lang w:eastAsia="en-AU"/>
        </w:rPr>
        <w:t>research or study;</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(b) </w:t>
      </w:r>
      <w:r w:rsidR="00A0472B">
        <w:rPr>
          <w:rFonts w:eastAsia="Times New Roman" w:cs="Times New Roman"/>
          <w:lang w:eastAsia="en-AU"/>
        </w:rPr>
        <w:tab/>
      </w:r>
      <w:r w:rsidRPr="00C70834">
        <w:rPr>
          <w:rFonts w:eastAsia="Times New Roman" w:cs="Times New Roman"/>
          <w:lang w:eastAsia="en-AU"/>
        </w:rPr>
        <w:t>criticism or review;</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(c) </w:t>
      </w:r>
      <w:r w:rsidR="00A0472B">
        <w:rPr>
          <w:rFonts w:eastAsia="Times New Roman" w:cs="Times New Roman"/>
          <w:lang w:eastAsia="en-AU"/>
        </w:rPr>
        <w:tab/>
      </w:r>
      <w:r w:rsidRPr="00C70834">
        <w:rPr>
          <w:rFonts w:eastAsia="Times New Roman" w:cs="Times New Roman"/>
          <w:lang w:eastAsia="en-AU"/>
        </w:rPr>
        <w:t>parody or satire;</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(d) </w:t>
      </w:r>
      <w:r w:rsidR="00A0472B">
        <w:rPr>
          <w:rFonts w:eastAsia="Times New Roman" w:cs="Times New Roman"/>
          <w:lang w:eastAsia="en-AU"/>
        </w:rPr>
        <w:tab/>
      </w:r>
      <w:r w:rsidRPr="00C70834">
        <w:rPr>
          <w:rFonts w:eastAsia="Times New Roman" w:cs="Times New Roman"/>
          <w:lang w:eastAsia="en-AU"/>
        </w:rPr>
        <w:t>reporting news;</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lastRenderedPageBreak/>
        <w:t xml:space="preserve">(e) </w:t>
      </w:r>
      <w:r w:rsidR="00A0472B">
        <w:rPr>
          <w:rFonts w:eastAsia="Times New Roman" w:cs="Times New Roman"/>
          <w:lang w:eastAsia="en-AU"/>
        </w:rPr>
        <w:tab/>
      </w:r>
      <w:r w:rsidRPr="00C70834">
        <w:rPr>
          <w:rFonts w:eastAsia="Times New Roman" w:cs="Times New Roman"/>
          <w:lang w:eastAsia="en-AU"/>
        </w:rPr>
        <w:t>non-consumptive;</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(f) </w:t>
      </w:r>
      <w:r w:rsidR="00A0472B">
        <w:rPr>
          <w:rFonts w:eastAsia="Times New Roman" w:cs="Times New Roman"/>
          <w:lang w:eastAsia="en-AU"/>
        </w:rPr>
        <w:tab/>
      </w:r>
      <w:r w:rsidRPr="00C70834">
        <w:rPr>
          <w:rFonts w:eastAsia="Times New Roman" w:cs="Times New Roman"/>
          <w:lang w:eastAsia="en-AU"/>
        </w:rPr>
        <w:t>private and domestic;</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(g) </w:t>
      </w:r>
      <w:r w:rsidR="00A0472B">
        <w:rPr>
          <w:rFonts w:eastAsia="Times New Roman" w:cs="Times New Roman"/>
          <w:lang w:eastAsia="en-AU"/>
        </w:rPr>
        <w:tab/>
      </w:r>
      <w:r w:rsidRPr="00C70834">
        <w:rPr>
          <w:rFonts w:eastAsia="Times New Roman" w:cs="Times New Roman"/>
          <w:lang w:eastAsia="en-AU"/>
        </w:rPr>
        <w:t>quotation;</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(h) </w:t>
      </w:r>
      <w:r w:rsidR="00A0472B">
        <w:rPr>
          <w:rFonts w:eastAsia="Times New Roman" w:cs="Times New Roman"/>
          <w:lang w:eastAsia="en-AU"/>
        </w:rPr>
        <w:tab/>
      </w:r>
      <w:r w:rsidRPr="00C70834">
        <w:rPr>
          <w:rFonts w:eastAsia="Times New Roman" w:cs="Times New Roman"/>
          <w:lang w:eastAsia="en-AU"/>
        </w:rPr>
        <w:t>education; and</w:t>
      </w:r>
    </w:p>
    <w:p w:rsidR="00024C8A" w:rsidRPr="00C70834" w:rsidRDefault="00024C8A"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(i) </w:t>
      </w:r>
      <w:r w:rsidR="00A0472B">
        <w:rPr>
          <w:rFonts w:eastAsia="Times New Roman" w:cs="Times New Roman"/>
          <w:lang w:eastAsia="en-AU"/>
        </w:rPr>
        <w:tab/>
      </w:r>
      <w:r w:rsidRPr="00C70834">
        <w:rPr>
          <w:rFonts w:eastAsia="Times New Roman" w:cs="Times New Roman"/>
          <w:lang w:eastAsia="en-AU"/>
        </w:rPr>
        <w:t>public administration.</w:t>
      </w:r>
    </w:p>
    <w:p w:rsidR="008A6F6A" w:rsidRPr="008A6F6A" w:rsidRDefault="008A6F6A" w:rsidP="00663A90">
      <w:pPr>
        <w:tabs>
          <w:tab w:val="left" w:pos="851"/>
        </w:tabs>
        <w:rPr>
          <w:sz w:val="16"/>
          <w:szCs w:val="16"/>
        </w:rPr>
      </w:pPr>
    </w:p>
    <w:p w:rsidR="006F0DD4" w:rsidRDefault="006F0DD4" w:rsidP="00663A90">
      <w:pPr>
        <w:tabs>
          <w:tab w:val="left" w:pos="851"/>
        </w:tabs>
      </w:pPr>
      <w:r>
        <w:t>The Archives supports Proposal 4</w:t>
      </w:r>
      <w:r w:rsidR="00E664C1">
        <w:t>.</w:t>
      </w:r>
      <w:r>
        <w:t>2</w:t>
      </w:r>
      <w:r w:rsidR="00024C8A">
        <w:t>, 4.3 and 4.4 and makes the following comments in relation to their application</w:t>
      </w:r>
      <w:r>
        <w:t xml:space="preserve">. </w:t>
      </w:r>
    </w:p>
    <w:p w:rsidR="00951499" w:rsidRPr="007C1559" w:rsidRDefault="00951499" w:rsidP="00663A90">
      <w:pPr>
        <w:tabs>
          <w:tab w:val="left" w:pos="851"/>
        </w:tabs>
        <w:rPr>
          <w:b/>
        </w:rPr>
      </w:pPr>
      <w:r w:rsidRPr="007C1559">
        <w:rPr>
          <w:b/>
        </w:rPr>
        <w:t>Illustrative Purpose</w:t>
      </w:r>
      <w:r w:rsidR="00E5741F">
        <w:rPr>
          <w:b/>
        </w:rPr>
        <w:t xml:space="preserve"> </w:t>
      </w:r>
      <w:r w:rsidRPr="007C1559">
        <w:rPr>
          <w:b/>
        </w:rPr>
        <w:t>- Public Administration</w:t>
      </w:r>
    </w:p>
    <w:p w:rsidR="009622EB" w:rsidRDefault="00FD0694" w:rsidP="00663A90">
      <w:pPr>
        <w:tabs>
          <w:tab w:val="left" w:pos="851"/>
        </w:tabs>
      </w:pPr>
      <w:r>
        <w:t xml:space="preserve">The combination of the proposed fair use factors and illustrative purposes, in particular that of ‘public </w:t>
      </w:r>
      <w:r w:rsidR="00062E8C">
        <w:t>administration’</w:t>
      </w:r>
      <w:r w:rsidR="0001760A">
        <w:t>,</w:t>
      </w:r>
      <w:r w:rsidR="00BD5AD1">
        <w:t xml:space="preserve"> should be aimed at enabling</w:t>
      </w:r>
      <w:r>
        <w:t xml:space="preserve"> </w:t>
      </w:r>
      <w:r w:rsidR="005F614C">
        <w:t xml:space="preserve">executive, judicial and parliamentary institutions of </w:t>
      </w:r>
      <w:r>
        <w:t xml:space="preserve">government </w:t>
      </w:r>
      <w:r w:rsidR="006F0DD4">
        <w:t xml:space="preserve">to perform </w:t>
      </w:r>
      <w:r w:rsidR="005F614C">
        <w:t xml:space="preserve">their </w:t>
      </w:r>
      <w:r>
        <w:t xml:space="preserve">administrative duties without any </w:t>
      </w:r>
      <w:r w:rsidR="006F0DD4">
        <w:t>breach of the Copyright Act</w:t>
      </w:r>
      <w:r>
        <w:t xml:space="preserve">. </w:t>
      </w:r>
      <w:r w:rsidR="00214AC4">
        <w:t xml:space="preserve"> </w:t>
      </w:r>
      <w:r>
        <w:t>Chapter 14 of the Discussion Paper examines relevant examples of government activities that involve the use of third-party copyright material.</w:t>
      </w:r>
      <w:r w:rsidR="00214AC4">
        <w:t xml:space="preserve"> </w:t>
      </w:r>
      <w:r>
        <w:t xml:space="preserve"> The Archives </w:t>
      </w:r>
      <w:r w:rsidR="005F614C">
        <w:t xml:space="preserve">believes </w:t>
      </w:r>
      <w:r>
        <w:t xml:space="preserve">that </w:t>
      </w:r>
      <w:r w:rsidR="00BD5AD1">
        <w:t xml:space="preserve">the </w:t>
      </w:r>
      <w:r>
        <w:t xml:space="preserve">activities of government agencies in managing information and records received and created in the normal course of public administration should be considered fair use.  </w:t>
      </w:r>
      <w:r w:rsidR="009622EB">
        <w:t xml:space="preserve">Many digital activities by their very nature involve the creation of copies. </w:t>
      </w:r>
      <w:r w:rsidR="00C94016">
        <w:t xml:space="preserve"> </w:t>
      </w:r>
      <w:r w:rsidR="009622EB">
        <w:t>These activities may include but are not limited to:</w:t>
      </w:r>
    </w:p>
    <w:p w:rsidR="009622EB" w:rsidRPr="00466968" w:rsidRDefault="009622E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Pr>
          <w:rFonts w:ascii="Calibri" w:hAnsi="Calibri" w:cs="Calibri"/>
        </w:rPr>
        <w:t>c</w:t>
      </w:r>
      <w:r w:rsidRPr="00466968">
        <w:rPr>
          <w:rFonts w:ascii="Calibri" w:hAnsi="Calibri" w:cs="Calibri"/>
        </w:rPr>
        <w:t xml:space="preserve">onverting paper and other analogue </w:t>
      </w:r>
      <w:r>
        <w:rPr>
          <w:rFonts w:ascii="Calibri" w:hAnsi="Calibri" w:cs="Calibri"/>
        </w:rPr>
        <w:t>records (such as photographs or</w:t>
      </w:r>
      <w:r w:rsidRPr="00466968">
        <w:rPr>
          <w:rFonts w:ascii="Calibri" w:hAnsi="Calibri" w:cs="Calibri"/>
        </w:rPr>
        <w:t xml:space="preserve"> videos) into digital</w:t>
      </w:r>
      <w:r>
        <w:rPr>
          <w:rFonts w:ascii="Calibri" w:hAnsi="Calibri" w:cs="Calibri"/>
        </w:rPr>
        <w:t xml:space="preserve"> formats for efficient access and maintenance</w:t>
      </w:r>
      <w:r w:rsidRPr="00466968">
        <w:rPr>
          <w:rFonts w:ascii="Calibri" w:hAnsi="Calibri" w:cs="Calibri"/>
        </w:rPr>
        <w:t xml:space="preserve">, </w:t>
      </w:r>
      <w:r w:rsidR="00741709">
        <w:rPr>
          <w:rFonts w:ascii="Calibri" w:hAnsi="Calibri" w:cs="Calibri"/>
        </w:rPr>
        <w:t>for example,</w:t>
      </w:r>
      <w:r w:rsidR="00741709" w:rsidRPr="00466968">
        <w:rPr>
          <w:rFonts w:ascii="Calibri" w:hAnsi="Calibri" w:cs="Calibri"/>
        </w:rPr>
        <w:t xml:space="preserve"> </w:t>
      </w:r>
      <w:r w:rsidRPr="00466968">
        <w:rPr>
          <w:rFonts w:ascii="Calibri" w:hAnsi="Calibri" w:cs="Calibri"/>
        </w:rPr>
        <w:t>scanning incoming correspondence</w:t>
      </w:r>
      <w:r>
        <w:rPr>
          <w:rFonts w:ascii="Calibri" w:hAnsi="Calibri" w:cs="Calibri"/>
        </w:rPr>
        <w:t xml:space="preserve"> or older paper-based records for incorporating into current business information systems;</w:t>
      </w:r>
    </w:p>
    <w:p w:rsidR="009622EB" w:rsidRPr="00466968" w:rsidRDefault="009622E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Pr>
          <w:rFonts w:ascii="Calibri" w:hAnsi="Calibri" w:cs="Calibri"/>
        </w:rPr>
        <w:t>r</w:t>
      </w:r>
      <w:r w:rsidRPr="00466968">
        <w:rPr>
          <w:rFonts w:ascii="Calibri" w:hAnsi="Calibri" w:cs="Calibri"/>
        </w:rPr>
        <w:t xml:space="preserve">eformatting as records </w:t>
      </w:r>
      <w:r>
        <w:rPr>
          <w:rFonts w:ascii="Calibri" w:hAnsi="Calibri" w:cs="Calibri"/>
        </w:rPr>
        <w:t xml:space="preserve">and data move from one business system or </w:t>
      </w:r>
      <w:r w:rsidRPr="00466968">
        <w:rPr>
          <w:rFonts w:ascii="Calibri" w:hAnsi="Calibri" w:cs="Calibri"/>
        </w:rPr>
        <w:t xml:space="preserve">database into another </w:t>
      </w:r>
      <w:r>
        <w:rPr>
          <w:rFonts w:ascii="Calibri" w:hAnsi="Calibri" w:cs="Calibri"/>
        </w:rPr>
        <w:t>as part of system and software upgrade processes;</w:t>
      </w:r>
    </w:p>
    <w:p w:rsidR="009622EB" w:rsidRPr="00466968" w:rsidRDefault="009622E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Pr>
          <w:rFonts w:ascii="Calibri" w:hAnsi="Calibri" w:cs="Calibri"/>
        </w:rPr>
        <w:t>s</w:t>
      </w:r>
      <w:r w:rsidRPr="00466968">
        <w:rPr>
          <w:rFonts w:ascii="Calibri" w:hAnsi="Calibri" w:cs="Calibri"/>
        </w:rPr>
        <w:t xml:space="preserve">torage </w:t>
      </w:r>
      <w:r>
        <w:rPr>
          <w:rFonts w:ascii="Calibri" w:hAnsi="Calibri" w:cs="Calibri"/>
        </w:rPr>
        <w:t xml:space="preserve">and management </w:t>
      </w:r>
      <w:r w:rsidRPr="00466968">
        <w:rPr>
          <w:rFonts w:ascii="Calibri" w:hAnsi="Calibri" w:cs="Calibri"/>
        </w:rPr>
        <w:t>of records in the cloud</w:t>
      </w:r>
      <w:r>
        <w:rPr>
          <w:rFonts w:ascii="Calibri" w:hAnsi="Calibri" w:cs="Calibri"/>
        </w:rPr>
        <w:t>;</w:t>
      </w:r>
    </w:p>
    <w:p w:rsidR="009622EB" w:rsidRDefault="009622E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Pr>
          <w:rFonts w:ascii="Calibri" w:hAnsi="Calibri" w:cs="Calibri"/>
        </w:rPr>
        <w:t>m</w:t>
      </w:r>
      <w:r w:rsidRPr="00466968">
        <w:rPr>
          <w:rFonts w:ascii="Calibri" w:hAnsi="Calibri" w:cs="Calibri"/>
        </w:rPr>
        <w:t>aking datasets available on websites for re-use by the public (</w:t>
      </w:r>
      <w:r w:rsidR="00741709">
        <w:rPr>
          <w:rFonts w:ascii="Calibri" w:hAnsi="Calibri" w:cs="Calibri"/>
        </w:rPr>
        <w:t>for example,</w:t>
      </w:r>
      <w:r w:rsidR="00741709" w:rsidRPr="00466968">
        <w:rPr>
          <w:rFonts w:ascii="Calibri" w:hAnsi="Calibri" w:cs="Calibri"/>
        </w:rPr>
        <w:t xml:space="preserve"> </w:t>
      </w:r>
      <w:r w:rsidRPr="00466968">
        <w:rPr>
          <w:rFonts w:ascii="Calibri" w:hAnsi="Calibri" w:cs="Calibri"/>
        </w:rPr>
        <w:t>on data.gov.au)</w:t>
      </w:r>
      <w:r>
        <w:rPr>
          <w:rFonts w:ascii="Calibri" w:hAnsi="Calibri" w:cs="Calibri"/>
        </w:rPr>
        <w:t>;</w:t>
      </w:r>
    </w:p>
    <w:p w:rsidR="00C94016" w:rsidRDefault="009622E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Pr>
          <w:rFonts w:ascii="Calibri" w:hAnsi="Calibri" w:cs="Calibri"/>
        </w:rPr>
        <w:t>saving into agency recordkeeping systems third</w:t>
      </w:r>
      <w:r w:rsidR="00CB453D">
        <w:rPr>
          <w:rFonts w:ascii="Calibri" w:hAnsi="Calibri" w:cs="Calibri"/>
        </w:rPr>
        <w:t>-</w:t>
      </w:r>
      <w:r>
        <w:rPr>
          <w:rFonts w:ascii="Calibri" w:hAnsi="Calibri" w:cs="Calibri"/>
        </w:rPr>
        <w:t>party material made available on websites or created through the use of social media;</w:t>
      </w:r>
      <w:r w:rsidR="00214AC4">
        <w:rPr>
          <w:rFonts w:ascii="Calibri" w:hAnsi="Calibri" w:cs="Calibri"/>
        </w:rPr>
        <w:t xml:space="preserve"> and</w:t>
      </w:r>
    </w:p>
    <w:p w:rsidR="005E6592" w:rsidRPr="00C94016" w:rsidRDefault="009622E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sidRPr="00C94016">
        <w:rPr>
          <w:rFonts w:ascii="Calibri" w:hAnsi="Calibri" w:cs="Calibri"/>
        </w:rPr>
        <w:t xml:space="preserve">making records available on websites under statutory obligations, such as </w:t>
      </w:r>
      <w:r w:rsidR="00FB3F16">
        <w:rPr>
          <w:rFonts w:ascii="Calibri" w:hAnsi="Calibri" w:cs="Calibri"/>
        </w:rPr>
        <w:t xml:space="preserve">the </w:t>
      </w:r>
      <w:r w:rsidRPr="00C94016">
        <w:rPr>
          <w:rFonts w:ascii="Calibri" w:hAnsi="Calibri" w:cs="Calibri"/>
        </w:rPr>
        <w:t>FOI</w:t>
      </w:r>
      <w:r w:rsidR="00FB3F16">
        <w:rPr>
          <w:rFonts w:ascii="Calibri" w:hAnsi="Calibri" w:cs="Calibri"/>
        </w:rPr>
        <w:t xml:space="preserve"> Disclosure Log</w:t>
      </w:r>
      <w:r w:rsidRPr="00C94016">
        <w:rPr>
          <w:rFonts w:ascii="Calibri" w:hAnsi="Calibri" w:cs="Calibri"/>
        </w:rPr>
        <w:t xml:space="preserve"> or </w:t>
      </w:r>
      <w:r w:rsidR="00FB3F16">
        <w:rPr>
          <w:rFonts w:ascii="Calibri" w:hAnsi="Calibri" w:cs="Calibri"/>
        </w:rPr>
        <w:t xml:space="preserve">the </w:t>
      </w:r>
      <w:r w:rsidRPr="00C94016">
        <w:rPr>
          <w:rFonts w:ascii="Calibri" w:hAnsi="Calibri" w:cs="Calibri"/>
        </w:rPr>
        <w:t xml:space="preserve">Information </w:t>
      </w:r>
      <w:r w:rsidRPr="00C94016">
        <w:t>Publication Scheme.</w:t>
      </w:r>
    </w:p>
    <w:p w:rsidR="00C94016" w:rsidRPr="00C94016" w:rsidRDefault="00C94016" w:rsidP="00663A90">
      <w:pPr>
        <w:tabs>
          <w:tab w:val="left" w:pos="851"/>
        </w:tabs>
        <w:autoSpaceDE w:val="0"/>
        <w:autoSpaceDN w:val="0"/>
        <w:adjustRightInd w:val="0"/>
        <w:spacing w:after="0" w:line="240" w:lineRule="auto"/>
        <w:ind w:left="360"/>
        <w:rPr>
          <w:rFonts w:ascii="Calibri" w:hAnsi="Calibri" w:cs="Calibri"/>
        </w:rPr>
      </w:pPr>
    </w:p>
    <w:p w:rsidR="00FD0694" w:rsidRPr="00466968" w:rsidRDefault="00FD0694" w:rsidP="00663A90">
      <w:pPr>
        <w:tabs>
          <w:tab w:val="left" w:pos="851"/>
        </w:tabs>
        <w:spacing w:line="240" w:lineRule="auto"/>
      </w:pPr>
      <w:r>
        <w:t xml:space="preserve">Any activities that promote the principles of </w:t>
      </w:r>
      <w:r w:rsidR="007E1824">
        <w:t>o</w:t>
      </w:r>
      <w:r>
        <w:t xml:space="preserve">pen </w:t>
      </w:r>
      <w:r w:rsidR="007E1824">
        <w:t>g</w:t>
      </w:r>
      <w:r>
        <w:t xml:space="preserve">overnment and facilitate government accountability and transparency should be considered fair use. </w:t>
      </w:r>
      <w:r w:rsidR="00214AC4">
        <w:t xml:space="preserve"> </w:t>
      </w:r>
      <w:r>
        <w:t xml:space="preserve">The Archives considers records and information management activities, </w:t>
      </w:r>
      <w:r w:rsidR="007E1824">
        <w:t xml:space="preserve">such as </w:t>
      </w:r>
      <w:r w:rsidR="005E6592">
        <w:t>the</w:t>
      </w:r>
      <w:r>
        <w:t xml:space="preserve"> examples listed above, as underpinning essential government and democratic processes.</w:t>
      </w:r>
    </w:p>
    <w:p w:rsidR="001F26AB" w:rsidRPr="004A6123" w:rsidRDefault="001F26AB" w:rsidP="00663A90">
      <w:pPr>
        <w:tabs>
          <w:tab w:val="left" w:pos="851"/>
        </w:tabs>
        <w:rPr>
          <w:rFonts w:eastAsia="Times New Roman" w:cs="Times New Roman"/>
          <w:bCs/>
          <w:lang w:eastAsia="en-AU"/>
        </w:rPr>
      </w:pPr>
      <w:r>
        <w:rPr>
          <w:rFonts w:eastAsia="Times New Roman" w:cs="Times New Roman"/>
          <w:bCs/>
          <w:lang w:eastAsia="en-AU"/>
        </w:rPr>
        <w:t>If fair use is enacted with the current list of illustrative purposes, the</w:t>
      </w:r>
      <w:r w:rsidR="00C94016">
        <w:rPr>
          <w:rFonts w:eastAsia="Times New Roman" w:cs="Times New Roman"/>
          <w:bCs/>
          <w:lang w:eastAsia="en-AU"/>
        </w:rPr>
        <w:t xml:space="preserve"> </w:t>
      </w:r>
      <w:r>
        <w:rPr>
          <w:rFonts w:eastAsia="Times New Roman" w:cs="Times New Roman"/>
          <w:bCs/>
          <w:lang w:eastAsia="en-AU"/>
        </w:rPr>
        <w:t xml:space="preserve">Archives will be largely relying on the illustrative use of ‘public administration’ </w:t>
      </w:r>
      <w:r w:rsidR="00951499">
        <w:rPr>
          <w:rFonts w:eastAsia="Times New Roman" w:cs="Times New Roman"/>
          <w:bCs/>
          <w:lang w:eastAsia="en-AU"/>
        </w:rPr>
        <w:t>to fulfill</w:t>
      </w:r>
      <w:r>
        <w:rPr>
          <w:rFonts w:eastAsia="Times New Roman" w:cs="Times New Roman"/>
          <w:bCs/>
          <w:lang w:eastAsia="en-AU"/>
        </w:rPr>
        <w:t xml:space="preserve"> its functions pursuant to the Archives Act. </w:t>
      </w:r>
      <w:r w:rsidR="00214AC4">
        <w:rPr>
          <w:rFonts w:eastAsia="Times New Roman" w:cs="Times New Roman"/>
          <w:bCs/>
          <w:lang w:eastAsia="en-AU"/>
        </w:rPr>
        <w:t xml:space="preserve"> </w:t>
      </w:r>
      <w:r>
        <w:rPr>
          <w:rFonts w:eastAsia="Times New Roman" w:cs="Times New Roman"/>
          <w:bCs/>
          <w:lang w:eastAsia="en-AU"/>
        </w:rPr>
        <w:t xml:space="preserve">The Discussion Paper does not appear to include a proposed definition of ‘public administration’. </w:t>
      </w:r>
      <w:r w:rsidR="00214AC4">
        <w:rPr>
          <w:rFonts w:eastAsia="Times New Roman" w:cs="Times New Roman"/>
          <w:bCs/>
          <w:lang w:eastAsia="en-AU"/>
        </w:rPr>
        <w:t xml:space="preserve"> </w:t>
      </w:r>
      <w:r>
        <w:rPr>
          <w:rFonts w:eastAsia="Times New Roman" w:cs="Times New Roman"/>
          <w:bCs/>
          <w:lang w:eastAsia="en-AU"/>
        </w:rPr>
        <w:t>It does however include the current definition adopted by the</w:t>
      </w:r>
      <w:r w:rsidRPr="004A6123">
        <w:rPr>
          <w:rFonts w:eastAsia="Times New Roman" w:cs="Times New Roman"/>
          <w:bCs/>
          <w:lang w:eastAsia="en-AU"/>
        </w:rPr>
        <w:t xml:space="preserve"> United Kingdom and the New Zealand copyright statutes which provide that ‘public administration’ includes the following</w:t>
      </w:r>
      <w:r w:rsidR="00E5741F">
        <w:rPr>
          <w:rFonts w:eastAsia="Times New Roman" w:cs="Times New Roman"/>
          <w:bCs/>
          <w:lang w:eastAsia="en-AU"/>
        </w:rPr>
        <w:t>:</w:t>
      </w:r>
      <w:r w:rsidR="00951499">
        <w:rPr>
          <w:rStyle w:val="FootnoteReference"/>
          <w:rFonts w:eastAsia="Times New Roman" w:cs="Times New Roman"/>
          <w:bCs/>
          <w:lang w:eastAsia="en-AU"/>
        </w:rPr>
        <w:footnoteReference w:id="10"/>
      </w:r>
    </w:p>
    <w:p w:rsidR="001F26AB" w:rsidRPr="00663A90" w:rsidRDefault="001F26A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sidRPr="00663A90">
        <w:rPr>
          <w:rFonts w:ascii="Calibri" w:hAnsi="Calibri" w:cs="Calibri"/>
        </w:rPr>
        <w:t>parliamentary and judicial proceedings;</w:t>
      </w:r>
    </w:p>
    <w:p w:rsidR="001F26AB" w:rsidRPr="00663A90" w:rsidRDefault="00214AC4"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sidRPr="00663A90">
        <w:rPr>
          <w:rFonts w:ascii="Calibri" w:hAnsi="Calibri" w:cs="Calibri"/>
        </w:rPr>
        <w:t>R</w:t>
      </w:r>
      <w:r w:rsidR="001F26AB" w:rsidRPr="00663A90">
        <w:rPr>
          <w:rFonts w:ascii="Calibri" w:hAnsi="Calibri" w:cs="Calibri"/>
        </w:rPr>
        <w:t xml:space="preserve">oyal </w:t>
      </w:r>
      <w:r w:rsidRPr="00663A90">
        <w:rPr>
          <w:rFonts w:ascii="Calibri" w:hAnsi="Calibri" w:cs="Calibri"/>
        </w:rPr>
        <w:t>C</w:t>
      </w:r>
      <w:r w:rsidR="001F26AB" w:rsidRPr="00663A90">
        <w:rPr>
          <w:rFonts w:ascii="Calibri" w:hAnsi="Calibri" w:cs="Calibri"/>
        </w:rPr>
        <w:t>ommissions and statutory inquiries;</w:t>
      </w:r>
    </w:p>
    <w:p w:rsidR="001F26AB" w:rsidRPr="00663A90" w:rsidRDefault="001F26A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sidRPr="00663A90">
        <w:rPr>
          <w:rFonts w:ascii="Calibri" w:hAnsi="Calibri" w:cs="Calibri"/>
        </w:rPr>
        <w:t>material open to public inspection or on official registers;</w:t>
      </w:r>
    </w:p>
    <w:p w:rsidR="001F26AB" w:rsidRPr="00663A90" w:rsidRDefault="001F26AB"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sidRPr="00663A90">
        <w:rPr>
          <w:rFonts w:ascii="Calibri" w:hAnsi="Calibri" w:cs="Calibri"/>
        </w:rPr>
        <w:lastRenderedPageBreak/>
        <w:t>material communicated to the Crown in the course of public business; and</w:t>
      </w:r>
    </w:p>
    <w:p w:rsidR="00C70834" w:rsidRPr="00663A90" w:rsidRDefault="00FB3F16" w:rsidP="00663A90">
      <w:pPr>
        <w:numPr>
          <w:ilvl w:val="0"/>
          <w:numId w:val="3"/>
        </w:numPr>
        <w:tabs>
          <w:tab w:val="left" w:pos="851"/>
        </w:tabs>
        <w:autoSpaceDE w:val="0"/>
        <w:autoSpaceDN w:val="0"/>
        <w:adjustRightInd w:val="0"/>
        <w:spacing w:after="0" w:line="240" w:lineRule="auto"/>
        <w:ind w:left="720" w:hanging="360"/>
        <w:rPr>
          <w:rFonts w:ascii="Calibri" w:hAnsi="Calibri" w:cs="Calibri"/>
        </w:rPr>
      </w:pPr>
      <w:r w:rsidRPr="00663A90">
        <w:rPr>
          <w:rFonts w:ascii="Calibri" w:hAnsi="Calibri" w:cs="Calibri"/>
        </w:rPr>
        <w:t>a</w:t>
      </w:r>
      <w:r w:rsidR="001F26AB" w:rsidRPr="00663A90">
        <w:rPr>
          <w:rFonts w:ascii="Calibri" w:hAnsi="Calibri" w:cs="Calibri"/>
        </w:rPr>
        <w:t>cts done under statutory authority.</w:t>
      </w:r>
    </w:p>
    <w:p w:rsidR="00C70834" w:rsidRDefault="002470FA" w:rsidP="00663A90">
      <w:pPr>
        <w:tabs>
          <w:tab w:val="left" w:pos="851"/>
        </w:tabs>
        <w:spacing w:before="100" w:beforeAutospacing="1" w:after="100" w:afterAutospacing="1" w:line="240" w:lineRule="auto"/>
        <w:rPr>
          <w:rFonts w:eastAsia="Times New Roman" w:cs="Times New Roman"/>
          <w:bCs/>
          <w:lang w:eastAsia="en-AU"/>
        </w:rPr>
      </w:pPr>
      <w:r>
        <w:rPr>
          <w:rFonts w:eastAsia="Times New Roman" w:cs="Times New Roman"/>
          <w:bCs/>
          <w:lang w:eastAsia="en-AU"/>
        </w:rPr>
        <w:t>The</w:t>
      </w:r>
      <w:r w:rsidR="002E7D3A">
        <w:rPr>
          <w:rFonts w:eastAsia="Times New Roman" w:cs="Times New Roman"/>
          <w:bCs/>
          <w:lang w:eastAsia="en-AU"/>
        </w:rPr>
        <w:t xml:space="preserve"> </w:t>
      </w:r>
      <w:r>
        <w:rPr>
          <w:rFonts w:eastAsia="Times New Roman" w:cs="Times New Roman"/>
          <w:bCs/>
          <w:lang w:eastAsia="en-AU"/>
        </w:rPr>
        <w:t>Archives assumes that ‘</w:t>
      </w:r>
      <w:r w:rsidR="00FB3F16">
        <w:rPr>
          <w:rFonts w:eastAsia="Times New Roman" w:cs="Times New Roman"/>
          <w:bCs/>
          <w:lang w:eastAsia="en-AU"/>
        </w:rPr>
        <w:t>a</w:t>
      </w:r>
      <w:r>
        <w:rPr>
          <w:rFonts w:eastAsia="Times New Roman" w:cs="Times New Roman"/>
          <w:bCs/>
          <w:lang w:eastAsia="en-AU"/>
        </w:rPr>
        <w:t xml:space="preserve">cts done under statutory authority’ would include </w:t>
      </w:r>
      <w:r w:rsidR="00FB3F16">
        <w:rPr>
          <w:rFonts w:eastAsia="Times New Roman" w:cs="Times New Roman"/>
          <w:bCs/>
          <w:lang w:eastAsia="en-AU"/>
        </w:rPr>
        <w:t>a</w:t>
      </w:r>
      <w:r>
        <w:rPr>
          <w:rFonts w:eastAsia="Times New Roman" w:cs="Times New Roman"/>
          <w:bCs/>
          <w:lang w:eastAsia="en-AU"/>
        </w:rPr>
        <w:t xml:space="preserve">cts done pursuant to the Archives Act but would seek clarification in this regard. </w:t>
      </w:r>
      <w:r w:rsidR="00E5741F">
        <w:rPr>
          <w:rFonts w:eastAsia="Times New Roman" w:cs="Times New Roman"/>
          <w:bCs/>
          <w:lang w:eastAsia="en-AU"/>
        </w:rPr>
        <w:t xml:space="preserve"> </w:t>
      </w:r>
      <w:r w:rsidR="00F23522">
        <w:rPr>
          <w:rFonts w:eastAsia="Times New Roman" w:cs="Times New Roman"/>
          <w:bCs/>
          <w:lang w:eastAsia="en-AU"/>
        </w:rPr>
        <w:t>The</w:t>
      </w:r>
      <w:r w:rsidR="002E7D3A">
        <w:rPr>
          <w:rFonts w:eastAsia="Times New Roman" w:cs="Times New Roman"/>
          <w:bCs/>
          <w:lang w:eastAsia="en-AU"/>
        </w:rPr>
        <w:t xml:space="preserve"> </w:t>
      </w:r>
      <w:r w:rsidR="00F23522">
        <w:rPr>
          <w:rFonts w:eastAsia="Times New Roman" w:cs="Times New Roman"/>
          <w:bCs/>
          <w:lang w:eastAsia="en-AU"/>
        </w:rPr>
        <w:t>Archives suggests that a definition of ‘public administration’ could clearly include:</w:t>
      </w:r>
    </w:p>
    <w:p w:rsidR="00F23522" w:rsidRDefault="00FB3F16" w:rsidP="00663A90">
      <w:pPr>
        <w:pStyle w:val="ListParagraph"/>
        <w:numPr>
          <w:ilvl w:val="0"/>
          <w:numId w:val="8"/>
        </w:numPr>
        <w:tabs>
          <w:tab w:val="left" w:pos="851"/>
        </w:tabs>
        <w:spacing w:before="100" w:beforeAutospacing="1" w:after="100" w:afterAutospacing="1" w:line="240" w:lineRule="auto"/>
        <w:rPr>
          <w:rFonts w:eastAsia="Times New Roman" w:cs="Times New Roman"/>
          <w:bCs/>
          <w:lang w:eastAsia="en-AU"/>
        </w:rPr>
      </w:pPr>
      <w:r>
        <w:rPr>
          <w:rFonts w:eastAsia="Times New Roman" w:cs="Times New Roman"/>
          <w:bCs/>
          <w:lang w:eastAsia="en-AU"/>
        </w:rPr>
        <w:t>a</w:t>
      </w:r>
      <w:r w:rsidR="00F23522">
        <w:rPr>
          <w:rFonts w:eastAsia="Times New Roman" w:cs="Times New Roman"/>
          <w:bCs/>
          <w:lang w:eastAsia="en-AU"/>
        </w:rPr>
        <w:t>cts</w:t>
      </w:r>
      <w:r w:rsidR="004A6B4F">
        <w:rPr>
          <w:rFonts w:eastAsia="Times New Roman" w:cs="Times New Roman"/>
          <w:bCs/>
          <w:lang w:eastAsia="en-AU"/>
        </w:rPr>
        <w:t xml:space="preserve"> done by the Commonwealth or S</w:t>
      </w:r>
      <w:r w:rsidR="00F23522">
        <w:rPr>
          <w:rFonts w:eastAsia="Times New Roman" w:cs="Times New Roman"/>
          <w:bCs/>
          <w:lang w:eastAsia="en-AU"/>
        </w:rPr>
        <w:t xml:space="preserve">tate government under any Commonwealth or State legislation or legislative instruments. </w:t>
      </w:r>
    </w:p>
    <w:p w:rsidR="00F23522" w:rsidRPr="00F23522" w:rsidRDefault="00CB01F9" w:rsidP="00663A90">
      <w:pPr>
        <w:tabs>
          <w:tab w:val="left" w:pos="851"/>
        </w:tabs>
        <w:spacing w:before="100" w:beforeAutospacing="1" w:after="100" w:afterAutospacing="1" w:line="240" w:lineRule="auto"/>
        <w:rPr>
          <w:rFonts w:eastAsia="Times New Roman" w:cs="Times New Roman"/>
          <w:bCs/>
          <w:lang w:eastAsia="en-AU"/>
        </w:rPr>
      </w:pPr>
      <w:r>
        <w:rPr>
          <w:rFonts w:eastAsia="Times New Roman" w:cs="Times New Roman"/>
          <w:bCs/>
          <w:lang w:eastAsia="en-AU"/>
        </w:rPr>
        <w:t>A</w:t>
      </w:r>
      <w:r w:rsidR="00F23522">
        <w:rPr>
          <w:rFonts w:eastAsia="Times New Roman" w:cs="Times New Roman"/>
          <w:bCs/>
          <w:lang w:eastAsia="en-AU"/>
        </w:rPr>
        <w:t xml:space="preserve">ny reforms to the Copyright Act and in particular a ‘fair use’ </w:t>
      </w:r>
      <w:r>
        <w:rPr>
          <w:rFonts w:eastAsia="Times New Roman" w:cs="Times New Roman"/>
          <w:bCs/>
          <w:lang w:eastAsia="en-AU"/>
        </w:rPr>
        <w:t>exception</w:t>
      </w:r>
      <w:r w:rsidR="00F23522">
        <w:rPr>
          <w:rFonts w:eastAsia="Times New Roman" w:cs="Times New Roman"/>
          <w:bCs/>
          <w:lang w:eastAsia="en-AU"/>
        </w:rPr>
        <w:t xml:space="preserve"> </w:t>
      </w:r>
      <w:r>
        <w:rPr>
          <w:rFonts w:eastAsia="Times New Roman" w:cs="Times New Roman"/>
          <w:bCs/>
          <w:lang w:eastAsia="en-AU"/>
        </w:rPr>
        <w:t xml:space="preserve">should allow the Archives to undertake its functions pursuant to the Archives Act without risk of infringement of the Copyright Act. </w:t>
      </w:r>
      <w:r w:rsidR="00214AC4">
        <w:rPr>
          <w:rFonts w:eastAsia="Times New Roman" w:cs="Times New Roman"/>
          <w:bCs/>
          <w:lang w:eastAsia="en-AU"/>
        </w:rPr>
        <w:t xml:space="preserve"> </w:t>
      </w:r>
      <w:r w:rsidR="00F23522">
        <w:rPr>
          <w:rFonts w:eastAsia="Times New Roman" w:cs="Times New Roman"/>
          <w:bCs/>
          <w:lang w:eastAsia="en-AU"/>
        </w:rPr>
        <w:t xml:space="preserve">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 xml:space="preserve">Question 4–1 </w:t>
      </w:r>
      <w:r w:rsidRPr="00C70834">
        <w:rPr>
          <w:rFonts w:eastAsia="Times New Roman" w:cs="Times New Roman"/>
          <w:lang w:eastAsia="en-AU"/>
        </w:rPr>
        <w:t>What additional uses or purposes, if any, should be included in the list of illustrative purposes in the fair use exception?</w:t>
      </w:r>
    </w:p>
    <w:p w:rsidR="00951499" w:rsidRPr="007C1559" w:rsidRDefault="00951499" w:rsidP="00663A90">
      <w:pPr>
        <w:tabs>
          <w:tab w:val="left" w:pos="851"/>
        </w:tabs>
        <w:spacing w:line="240" w:lineRule="auto"/>
        <w:rPr>
          <w:b/>
        </w:rPr>
      </w:pPr>
      <w:r w:rsidRPr="007C1559">
        <w:rPr>
          <w:b/>
        </w:rPr>
        <w:t>Records Management</w:t>
      </w:r>
    </w:p>
    <w:p w:rsidR="00FD0694" w:rsidRDefault="00FD0694" w:rsidP="00663A90">
      <w:pPr>
        <w:tabs>
          <w:tab w:val="left" w:pos="851"/>
        </w:tabs>
        <w:spacing w:line="240" w:lineRule="auto"/>
      </w:pPr>
      <w:r>
        <w:t xml:space="preserve">While the proposed fair use category of ‘public administration’ is likely to satisfy most of the uses associated with government information and records management, others from the list, </w:t>
      </w:r>
      <w:r w:rsidR="00741709">
        <w:t xml:space="preserve">for example, </w:t>
      </w:r>
      <w:r>
        <w:t xml:space="preserve">‘research and study’ or ‘quotation’ may also fall within certain government activities. </w:t>
      </w:r>
    </w:p>
    <w:p w:rsidR="00FD0694" w:rsidRDefault="00FD0694" w:rsidP="00663A90">
      <w:pPr>
        <w:tabs>
          <w:tab w:val="left" w:pos="851"/>
        </w:tabs>
        <w:spacing w:line="240" w:lineRule="auto"/>
      </w:pPr>
      <w:r>
        <w:t xml:space="preserve">It is not, however, clear from the Discussion Paper if conversion or </w:t>
      </w:r>
      <w:r>
        <w:rPr>
          <w:rFonts w:ascii="Calibri" w:hAnsi="Calibri" w:cs="Calibri"/>
        </w:rPr>
        <w:t>reformatting</w:t>
      </w:r>
      <w:r w:rsidRPr="00466968">
        <w:rPr>
          <w:rFonts w:ascii="Calibri" w:hAnsi="Calibri" w:cs="Calibri"/>
        </w:rPr>
        <w:t xml:space="preserve"> </w:t>
      </w:r>
      <w:r>
        <w:rPr>
          <w:rFonts w:ascii="Calibri" w:hAnsi="Calibri" w:cs="Calibri"/>
        </w:rPr>
        <w:t xml:space="preserve">of </w:t>
      </w:r>
      <w:r w:rsidRPr="00466968">
        <w:rPr>
          <w:rFonts w:ascii="Calibri" w:hAnsi="Calibri" w:cs="Calibri"/>
        </w:rPr>
        <w:t>records</w:t>
      </w:r>
      <w:r>
        <w:rPr>
          <w:rFonts w:ascii="Calibri" w:hAnsi="Calibri" w:cs="Calibri"/>
        </w:rPr>
        <w:t xml:space="preserve"> and data, </w:t>
      </w:r>
      <w:r w:rsidR="00741709">
        <w:rPr>
          <w:rFonts w:ascii="Calibri" w:hAnsi="Calibri" w:cs="Calibri"/>
        </w:rPr>
        <w:t xml:space="preserve">for example, </w:t>
      </w:r>
      <w:r>
        <w:rPr>
          <w:rFonts w:ascii="Calibri" w:hAnsi="Calibri" w:cs="Calibri"/>
        </w:rPr>
        <w:t>when they are</w:t>
      </w:r>
      <w:r w:rsidRPr="00466968">
        <w:rPr>
          <w:rFonts w:ascii="Calibri" w:hAnsi="Calibri" w:cs="Calibri"/>
        </w:rPr>
        <w:t xml:space="preserve"> move</w:t>
      </w:r>
      <w:r>
        <w:rPr>
          <w:rFonts w:ascii="Calibri" w:hAnsi="Calibri" w:cs="Calibri"/>
        </w:rPr>
        <w:t xml:space="preserve">d from one business system or </w:t>
      </w:r>
      <w:r w:rsidRPr="00466968">
        <w:rPr>
          <w:rFonts w:ascii="Calibri" w:hAnsi="Calibri" w:cs="Calibri"/>
        </w:rPr>
        <w:t xml:space="preserve">database into another </w:t>
      </w:r>
      <w:r>
        <w:rPr>
          <w:rFonts w:ascii="Calibri" w:hAnsi="Calibri" w:cs="Calibri"/>
        </w:rPr>
        <w:t xml:space="preserve">as part of system and software upgrade, will fall unequivocally within </w:t>
      </w:r>
      <w:r>
        <w:t>the</w:t>
      </w:r>
      <w:r w:rsidR="007E1824">
        <w:t xml:space="preserve"> ‘public administration’ or the</w:t>
      </w:r>
      <w:r>
        <w:t xml:space="preserve"> </w:t>
      </w:r>
      <w:r w:rsidR="00E5741F">
        <w:br/>
      </w:r>
      <w:r>
        <w:t>‘non-consumptive’ use discussed in Chapter 8</w:t>
      </w:r>
      <w:r w:rsidR="002275DF">
        <w:t>.</w:t>
      </w:r>
      <w:r>
        <w:t xml:space="preserve"> </w:t>
      </w:r>
    </w:p>
    <w:p w:rsidR="00FD0694" w:rsidRDefault="00FD0694" w:rsidP="00663A90">
      <w:pPr>
        <w:tabs>
          <w:tab w:val="left" w:pos="851"/>
        </w:tabs>
        <w:spacing w:line="240" w:lineRule="auto"/>
      </w:pPr>
      <w:r>
        <w:t xml:space="preserve">Proposal 11-4 acknowledges that in the digital environment libraries and archives need to make multiple copies of copyright material for preservation purposes. </w:t>
      </w:r>
      <w:r w:rsidR="00214AC4">
        <w:t xml:space="preserve"> </w:t>
      </w:r>
      <w:r>
        <w:t>However, before any digital records are transferred to an archiv</w:t>
      </w:r>
      <w:r w:rsidR="00C94016">
        <w:t>al facility</w:t>
      </w:r>
      <w:r>
        <w:t>, to be useable while still in active business use by agencies they will have undergone a number of migrations or conversions</w:t>
      </w:r>
      <w:r w:rsidR="00347378">
        <w:t xml:space="preserve">. </w:t>
      </w:r>
      <w:r w:rsidR="00E5741F">
        <w:t xml:space="preserve"> </w:t>
      </w:r>
      <w:r w:rsidR="00347378">
        <w:t>This is d</w:t>
      </w:r>
      <w:r>
        <w:t xml:space="preserve">ue to the relatively short life span of computer software and hardware in comparison to analogue media such as paper, film or tape recordings. </w:t>
      </w:r>
      <w:r w:rsidR="00214AC4">
        <w:t xml:space="preserve"> </w:t>
      </w:r>
      <w:r>
        <w:t>It will be helpful to clarify whether such digital remedial processes fall within the ‘non-consumptive’ use or a separate</w:t>
      </w:r>
      <w:r w:rsidR="00347378">
        <w:t xml:space="preserve"> illustrative purpose</w:t>
      </w:r>
      <w:r>
        <w:t xml:space="preserve"> is needed.</w:t>
      </w:r>
    </w:p>
    <w:p w:rsidR="00951499" w:rsidRPr="007C1559" w:rsidRDefault="00347378" w:rsidP="00663A90">
      <w:pPr>
        <w:tabs>
          <w:tab w:val="left" w:pos="851"/>
        </w:tabs>
        <w:spacing w:line="240" w:lineRule="auto"/>
        <w:rPr>
          <w:b/>
        </w:rPr>
      </w:pPr>
      <w:r>
        <w:rPr>
          <w:b/>
        </w:rPr>
        <w:t>New Illustrative Purpose</w:t>
      </w:r>
      <w:r w:rsidR="00951499" w:rsidRPr="007C1559">
        <w:rPr>
          <w:b/>
        </w:rPr>
        <w:t>- Cultural Heritage</w:t>
      </w:r>
    </w:p>
    <w:p w:rsidR="00FD0694" w:rsidRDefault="00347378" w:rsidP="00663A90">
      <w:pPr>
        <w:tabs>
          <w:tab w:val="left" w:pos="851"/>
        </w:tabs>
        <w:spacing w:line="240" w:lineRule="auto"/>
      </w:pPr>
      <w:r>
        <w:t>The Archives requests a clear illustrative purpose for the collections of</w:t>
      </w:r>
      <w:r w:rsidR="00FD0694">
        <w:t xml:space="preserve"> publicly funded archiv</w:t>
      </w:r>
      <w:r w:rsidR="00B471EE">
        <w:t>es</w:t>
      </w:r>
      <w:r w:rsidR="00FD0694">
        <w:t xml:space="preserve"> that collect, preserve and make accessible culturally and historically significant material. </w:t>
      </w:r>
      <w:r w:rsidR="00535C20">
        <w:t xml:space="preserve"> </w:t>
      </w:r>
      <w:r>
        <w:t xml:space="preserve">Government </w:t>
      </w:r>
      <w:r w:rsidR="00FD0694">
        <w:t xml:space="preserve">archival collections </w:t>
      </w:r>
      <w:r w:rsidR="00951499">
        <w:t xml:space="preserve">often </w:t>
      </w:r>
      <w:r w:rsidR="00FD0694">
        <w:t xml:space="preserve">consist of </w:t>
      </w:r>
      <w:r>
        <w:t xml:space="preserve">non-government copyright material </w:t>
      </w:r>
      <w:r w:rsidR="00FD0694">
        <w:t>th</w:t>
      </w:r>
      <w:r>
        <w:t>at they</w:t>
      </w:r>
      <w:r w:rsidR="00FD0694">
        <w:t xml:space="preserve"> are encouraged to communicate to the pu</w:t>
      </w:r>
      <w:r w:rsidR="00B471EE">
        <w:t>blic as part of their mandate.</w:t>
      </w:r>
      <w:r w:rsidR="00535C20">
        <w:t xml:space="preserve"> </w:t>
      </w:r>
      <w:r w:rsidR="00B471EE">
        <w:t xml:space="preserve"> A specific f</w:t>
      </w:r>
      <w:r w:rsidR="00FD0694">
        <w:t>air use exception for the</w:t>
      </w:r>
      <w:r>
        <w:t xml:space="preserve"> collections of government archives</w:t>
      </w:r>
      <w:r w:rsidR="00FD0694">
        <w:t xml:space="preserve"> w</w:t>
      </w:r>
      <w:r w:rsidR="00951499">
        <w:t>ould</w:t>
      </w:r>
      <w:r w:rsidR="00FD0694">
        <w:t xml:space="preserve"> </w:t>
      </w:r>
      <w:r>
        <w:t>ensure that the material of government archives continues to be made available to the public</w:t>
      </w:r>
      <w:r w:rsidR="00FD0694">
        <w:t>.</w:t>
      </w:r>
    </w:p>
    <w:p w:rsidR="00347378" w:rsidRDefault="009F0312" w:rsidP="00663A90">
      <w:pPr>
        <w:tabs>
          <w:tab w:val="left" w:pos="851"/>
        </w:tabs>
        <w:spacing w:line="240" w:lineRule="auto"/>
      </w:pPr>
      <w:r>
        <w:t xml:space="preserve">The Archives </w:t>
      </w:r>
      <w:r w:rsidR="00254814">
        <w:t xml:space="preserve">therefore </w:t>
      </w:r>
      <w:r>
        <w:t>suggest</w:t>
      </w:r>
      <w:r w:rsidR="00254814">
        <w:t>s</w:t>
      </w:r>
      <w:r w:rsidR="00FD0694">
        <w:t xml:space="preserve"> an additional illustrative fair use of</w:t>
      </w:r>
      <w:r w:rsidR="00347378">
        <w:t>:</w:t>
      </w:r>
    </w:p>
    <w:p w:rsidR="00347378" w:rsidRPr="00187727" w:rsidRDefault="00FD0694" w:rsidP="00663A90">
      <w:pPr>
        <w:pStyle w:val="ListParagraph"/>
        <w:numPr>
          <w:ilvl w:val="0"/>
          <w:numId w:val="8"/>
        </w:numPr>
        <w:tabs>
          <w:tab w:val="left" w:pos="851"/>
        </w:tabs>
        <w:spacing w:line="240" w:lineRule="auto"/>
      </w:pPr>
      <w:r w:rsidRPr="00187727">
        <w:t>cultural heritage</w:t>
      </w:r>
      <w:r w:rsidR="002275DF" w:rsidRPr="00187727">
        <w:t>.</w:t>
      </w:r>
    </w:p>
    <w:p w:rsidR="001221B1" w:rsidRDefault="001221B1" w:rsidP="00663A90">
      <w:pPr>
        <w:tabs>
          <w:tab w:val="left" w:pos="851"/>
        </w:tabs>
        <w:spacing w:line="240" w:lineRule="auto"/>
      </w:pPr>
      <w:r>
        <w:t>A definition of ‘cultural heritage’ could include ‘making accessible unique culturally and historically significant material’.</w:t>
      </w:r>
    </w:p>
    <w:p w:rsidR="00FD0694" w:rsidRPr="00B144CD" w:rsidRDefault="00535C20" w:rsidP="00663A90">
      <w:pPr>
        <w:tabs>
          <w:tab w:val="left" w:pos="851"/>
        </w:tabs>
        <w:spacing w:line="240" w:lineRule="auto"/>
      </w:pPr>
      <w:r>
        <w:lastRenderedPageBreak/>
        <w:t xml:space="preserve">This </w:t>
      </w:r>
      <w:r w:rsidR="00FD0694">
        <w:t>w</w:t>
      </w:r>
      <w:r w:rsidR="00254814">
        <w:t>ould</w:t>
      </w:r>
      <w:r w:rsidR="00FD0694">
        <w:t xml:space="preserve"> cover</w:t>
      </w:r>
      <w:r w:rsidR="00B471EE">
        <w:t xml:space="preserve"> the work </w:t>
      </w:r>
      <w:r w:rsidR="00347378">
        <w:t xml:space="preserve">that government </w:t>
      </w:r>
      <w:r w:rsidR="00B471EE">
        <w:t>archives</w:t>
      </w:r>
      <w:r w:rsidR="00FD0694">
        <w:t xml:space="preserve"> do in making their collections accessible to the public. </w:t>
      </w:r>
      <w:r>
        <w:t xml:space="preserve"> </w:t>
      </w:r>
      <w:r w:rsidR="00B471EE">
        <w:t>Th</w:t>
      </w:r>
      <w:r w:rsidR="00347378">
        <w:t xml:space="preserve">e illustrative purpose could also extend to </w:t>
      </w:r>
      <w:r w:rsidR="00FD0694">
        <w:t xml:space="preserve">non-government institutions </w:t>
      </w:r>
      <w:r w:rsidR="00347378">
        <w:t xml:space="preserve">that </w:t>
      </w:r>
      <w:r w:rsidR="00FD0694">
        <w:t>collect and preserv</w:t>
      </w:r>
      <w:r w:rsidR="00347378">
        <w:t>e</w:t>
      </w:r>
      <w:r w:rsidR="00FD0694">
        <w:t xml:space="preserve"> heritage material such as local historical societies, university archives, non-profit heritage organisations etc.</w:t>
      </w:r>
      <w:r>
        <w:t xml:space="preserve"> </w:t>
      </w:r>
      <w:r w:rsidR="00FD0694">
        <w:t xml:space="preserve"> Their activities of making cultural heritage material widely available </w:t>
      </w:r>
      <w:r w:rsidR="00254814">
        <w:t xml:space="preserve">also </w:t>
      </w:r>
      <w:r w:rsidR="00FD0694">
        <w:t xml:space="preserve">benefit the </w:t>
      </w:r>
      <w:r w:rsidR="004A6B4F">
        <w:t>public</w:t>
      </w:r>
      <w:r w:rsidR="00FD0694">
        <w:t xml:space="preserve"> by contributing to a deeper understanding of Australia’s history, culture and democracy.</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 xml:space="preserve">Question 4–2 </w:t>
      </w:r>
      <w:r w:rsidRPr="00C70834">
        <w:rPr>
          <w:rFonts w:eastAsia="Times New Roman" w:cs="Times New Roman"/>
          <w:lang w:eastAsia="en-AU"/>
        </w:rPr>
        <w:t>If fair use is enacted, the ALRC proposes that a range of specific exceptions be repealed. What other exceptions should be repealed if fair use is enacted?</w:t>
      </w:r>
    </w:p>
    <w:p w:rsidR="00FD0694" w:rsidRDefault="00FD0694" w:rsidP="00663A90">
      <w:pPr>
        <w:tabs>
          <w:tab w:val="left" w:pos="851"/>
        </w:tabs>
        <w:spacing w:line="240" w:lineRule="auto"/>
      </w:pPr>
      <w:r>
        <w:t>If fair use is enacted for ‘cultural heritage’ or a similarly worded</w:t>
      </w:r>
      <w:r w:rsidRPr="00DE6E40">
        <w:t xml:space="preserve"> </w:t>
      </w:r>
      <w:r w:rsidR="00190240">
        <w:t>illustrative purpose</w:t>
      </w:r>
      <w:r>
        <w:t>, specific exceptions for archives and libraries, in pa</w:t>
      </w:r>
      <w:r w:rsidR="004A6123">
        <w:t>rticular</w:t>
      </w:r>
      <w:r w:rsidR="00E91117">
        <w:t>,</w:t>
      </w:r>
      <w:r w:rsidR="004A6123">
        <w:t xml:space="preserve"> s 49 could be</w:t>
      </w:r>
      <w:r>
        <w:t xml:space="preserve"> amended</w:t>
      </w:r>
      <w:r w:rsidR="004A6123">
        <w:t xml:space="preserve"> and simplified</w:t>
      </w:r>
      <w:r>
        <w:t>.</w:t>
      </w:r>
      <w:r w:rsidR="00535C20">
        <w:t xml:space="preserve"> </w:t>
      </w:r>
      <w:r w:rsidR="004A6123">
        <w:t xml:space="preserve"> The Archives does not however propose that all archives specific exceptions be repealed as it is important for the sector to maintain its own specific exceptions</w:t>
      </w:r>
      <w:r w:rsidR="00837F2B">
        <w:t xml:space="preserve"> as set out in Division 5 of the Copyright Act</w:t>
      </w:r>
      <w:r w:rsidR="004A6123">
        <w:t xml:space="preserve">.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6–1</w:t>
      </w:r>
      <w:r w:rsidRPr="00C70834">
        <w:rPr>
          <w:rFonts w:eastAsia="Times New Roman" w:cs="Times New Roman"/>
          <w:lang w:eastAsia="en-AU"/>
        </w:rPr>
        <w:t xml:space="preserve"> The statutory licensing schemes in p</w:t>
      </w:r>
      <w:r w:rsidR="00E5741F">
        <w:rPr>
          <w:rFonts w:eastAsia="Times New Roman" w:cs="Times New Roman"/>
          <w:lang w:eastAsia="en-AU"/>
        </w:rPr>
        <w:t>ar</w:t>
      </w:r>
      <w:r w:rsidRPr="00C70834">
        <w:rPr>
          <w:rFonts w:eastAsia="Times New Roman" w:cs="Times New Roman"/>
          <w:lang w:eastAsia="en-AU"/>
        </w:rPr>
        <w:t xml:space="preserve">ts VA, VB and VII div 2 of the </w:t>
      </w:r>
      <w:r w:rsidRPr="00C70834">
        <w:rPr>
          <w:rFonts w:eastAsia="Times New Roman" w:cs="Times New Roman"/>
          <w:i/>
          <w:iCs/>
          <w:lang w:eastAsia="en-AU"/>
        </w:rPr>
        <w:t xml:space="preserve">Copyright Act </w:t>
      </w:r>
      <w:r w:rsidRPr="00C70834">
        <w:rPr>
          <w:rFonts w:eastAsia="Times New Roman" w:cs="Times New Roman"/>
          <w:lang w:eastAsia="en-AU"/>
        </w:rPr>
        <w:t>should be repealed. Licences for the use of copyright material by governments, educational institutions, and institutions assisting persons with a print disability, should instead be negotiated voluntarily.</w:t>
      </w:r>
    </w:p>
    <w:p w:rsidR="003214CB" w:rsidRDefault="003214CB"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strongly supports the</w:t>
      </w:r>
      <w:r w:rsidR="00866A0B">
        <w:rPr>
          <w:rFonts w:eastAsia="Times New Roman" w:cs="Times New Roman"/>
          <w:lang w:eastAsia="en-AU"/>
        </w:rPr>
        <w:t xml:space="preserve"> repeal of the statutory licensing</w:t>
      </w:r>
      <w:r>
        <w:rPr>
          <w:rFonts w:eastAsia="Times New Roman" w:cs="Times New Roman"/>
          <w:lang w:eastAsia="en-AU"/>
        </w:rPr>
        <w:t xml:space="preserve"> schemes in the Copyright </w:t>
      </w:r>
      <w:r w:rsidR="00866A0B">
        <w:rPr>
          <w:rFonts w:eastAsia="Times New Roman" w:cs="Times New Roman"/>
          <w:lang w:eastAsia="en-AU"/>
        </w:rPr>
        <w:t xml:space="preserve">Act </w:t>
      </w:r>
      <w:r>
        <w:rPr>
          <w:rFonts w:eastAsia="Times New Roman" w:cs="Times New Roman"/>
          <w:lang w:eastAsia="en-AU"/>
        </w:rPr>
        <w:t xml:space="preserve">and in particular </w:t>
      </w:r>
      <w:r w:rsidR="00866A0B">
        <w:rPr>
          <w:rFonts w:eastAsia="Times New Roman" w:cs="Times New Roman"/>
          <w:lang w:eastAsia="en-AU"/>
        </w:rPr>
        <w:t>the s</w:t>
      </w:r>
      <w:r w:rsidR="00FB3F16">
        <w:rPr>
          <w:rFonts w:eastAsia="Times New Roman" w:cs="Times New Roman"/>
          <w:lang w:eastAsia="en-AU"/>
        </w:rPr>
        <w:t xml:space="preserve"> </w:t>
      </w:r>
      <w:r w:rsidR="00866A0B">
        <w:rPr>
          <w:rFonts w:eastAsia="Times New Roman" w:cs="Times New Roman"/>
          <w:lang w:eastAsia="en-AU"/>
        </w:rPr>
        <w:t>183 licences prescribed for</w:t>
      </w:r>
      <w:r>
        <w:rPr>
          <w:rFonts w:eastAsia="Times New Roman" w:cs="Times New Roman"/>
          <w:lang w:eastAsia="en-AU"/>
        </w:rPr>
        <w:t xml:space="preserve"> the government. </w:t>
      </w:r>
      <w:r w:rsidR="00535C20">
        <w:rPr>
          <w:rFonts w:eastAsia="Times New Roman" w:cs="Times New Roman"/>
          <w:lang w:eastAsia="en-AU"/>
        </w:rPr>
        <w:t xml:space="preserve"> </w:t>
      </w:r>
      <w:r>
        <w:rPr>
          <w:rFonts w:eastAsia="Times New Roman" w:cs="Times New Roman"/>
          <w:lang w:eastAsia="en-AU"/>
        </w:rPr>
        <w:t>The</w:t>
      </w:r>
      <w:r w:rsidR="00FE1FDB">
        <w:rPr>
          <w:rFonts w:eastAsia="Times New Roman" w:cs="Times New Roman"/>
          <w:lang w:eastAsia="en-AU"/>
        </w:rPr>
        <w:t xml:space="preserve"> Archives has found the current statutory licen</w:t>
      </w:r>
      <w:r w:rsidR="00CB453D">
        <w:rPr>
          <w:rFonts w:eastAsia="Times New Roman" w:cs="Times New Roman"/>
          <w:lang w:eastAsia="en-AU"/>
        </w:rPr>
        <w:t>c</w:t>
      </w:r>
      <w:r w:rsidR="00FE1FDB">
        <w:rPr>
          <w:rFonts w:eastAsia="Times New Roman" w:cs="Times New Roman"/>
          <w:lang w:eastAsia="en-AU"/>
        </w:rPr>
        <w:t>es to be</w:t>
      </w:r>
      <w:r>
        <w:rPr>
          <w:rFonts w:eastAsia="Times New Roman" w:cs="Times New Roman"/>
          <w:lang w:eastAsia="en-AU"/>
        </w:rPr>
        <w:t xml:space="preserve"> resource intensive and the survey requests difficult to comply with.</w:t>
      </w:r>
    </w:p>
    <w:p w:rsidR="003214CB" w:rsidRDefault="004A6123"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w:t>
      </w:r>
      <w:r w:rsidR="00FE1FDB">
        <w:rPr>
          <w:rFonts w:eastAsia="Times New Roman" w:cs="Times New Roman"/>
          <w:lang w:eastAsia="en-AU"/>
        </w:rPr>
        <w:t xml:space="preserve"> Archives supports voluntary</w:t>
      </w:r>
      <w:r>
        <w:rPr>
          <w:rFonts w:eastAsia="Times New Roman" w:cs="Times New Roman"/>
          <w:lang w:eastAsia="en-AU"/>
        </w:rPr>
        <w:t xml:space="preserve"> licen</w:t>
      </w:r>
      <w:r w:rsidR="00FE1FDB">
        <w:rPr>
          <w:rFonts w:eastAsia="Times New Roman" w:cs="Times New Roman"/>
          <w:lang w:eastAsia="en-AU"/>
        </w:rPr>
        <w:t>sing for the use of copyright material by governments for government administrative purposes</w:t>
      </w:r>
      <w:r w:rsidR="00C651A2">
        <w:rPr>
          <w:rFonts w:eastAsia="Times New Roman" w:cs="Times New Roman"/>
          <w:lang w:eastAsia="en-AU"/>
        </w:rPr>
        <w:t xml:space="preserve"> only</w:t>
      </w:r>
      <w:r w:rsidR="00FE1FDB">
        <w:rPr>
          <w:rFonts w:eastAsia="Times New Roman" w:cs="Times New Roman"/>
          <w:lang w:eastAsia="en-AU"/>
        </w:rPr>
        <w:t>.</w:t>
      </w:r>
      <w:r w:rsidR="00535C20">
        <w:rPr>
          <w:rFonts w:eastAsia="Times New Roman" w:cs="Times New Roman"/>
          <w:lang w:eastAsia="en-AU"/>
        </w:rPr>
        <w:t xml:space="preserve"> </w:t>
      </w:r>
      <w:r w:rsidR="00FE1FDB">
        <w:rPr>
          <w:rFonts w:eastAsia="Times New Roman" w:cs="Times New Roman"/>
          <w:lang w:eastAsia="en-AU"/>
        </w:rPr>
        <w:t xml:space="preserve"> It is very important</w:t>
      </w:r>
      <w:r w:rsidR="00C651A2">
        <w:rPr>
          <w:rFonts w:eastAsia="Times New Roman" w:cs="Times New Roman"/>
          <w:lang w:eastAsia="en-AU"/>
        </w:rPr>
        <w:t xml:space="preserve"> for the purpose of licensing</w:t>
      </w:r>
      <w:r w:rsidR="00FE1FDB">
        <w:rPr>
          <w:rFonts w:eastAsia="Times New Roman" w:cs="Times New Roman"/>
          <w:lang w:eastAsia="en-AU"/>
        </w:rPr>
        <w:t xml:space="preserve"> that a clear distinction is drawn between the administrative </w:t>
      </w:r>
      <w:r w:rsidR="00C62F3E">
        <w:rPr>
          <w:rFonts w:eastAsia="Times New Roman" w:cs="Times New Roman"/>
          <w:lang w:eastAsia="en-AU"/>
        </w:rPr>
        <w:t xml:space="preserve">and internal </w:t>
      </w:r>
      <w:r w:rsidR="00FE1FDB">
        <w:rPr>
          <w:rFonts w:eastAsia="Times New Roman" w:cs="Times New Roman"/>
          <w:lang w:eastAsia="en-AU"/>
        </w:rPr>
        <w:t xml:space="preserve">activities </w:t>
      </w:r>
      <w:r w:rsidR="00AF1470">
        <w:rPr>
          <w:rFonts w:eastAsia="Times New Roman" w:cs="Times New Roman"/>
          <w:lang w:eastAsia="en-AU"/>
        </w:rPr>
        <w:t xml:space="preserve">of the </w:t>
      </w:r>
      <w:r w:rsidR="00C651A2">
        <w:rPr>
          <w:rFonts w:eastAsia="Times New Roman" w:cs="Times New Roman"/>
          <w:lang w:eastAsia="en-AU"/>
        </w:rPr>
        <w:t xml:space="preserve">government </w:t>
      </w:r>
      <w:r w:rsidR="00FE1FDB">
        <w:rPr>
          <w:rFonts w:eastAsia="Times New Roman" w:cs="Times New Roman"/>
          <w:lang w:eastAsia="en-AU"/>
        </w:rPr>
        <w:t>and the role of some government agencies such as the Archives in managing and providing access to their collections of archival resources.</w:t>
      </w:r>
    </w:p>
    <w:p w:rsidR="004A6123" w:rsidRDefault="004A6123"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Any </w:t>
      </w:r>
      <w:r w:rsidR="00FE1FDB">
        <w:rPr>
          <w:rFonts w:eastAsia="Times New Roman" w:cs="Times New Roman"/>
          <w:lang w:eastAsia="en-AU"/>
        </w:rPr>
        <w:t xml:space="preserve">proposed </w:t>
      </w:r>
      <w:r>
        <w:rPr>
          <w:rFonts w:eastAsia="Times New Roman" w:cs="Times New Roman"/>
          <w:lang w:eastAsia="en-AU"/>
        </w:rPr>
        <w:t xml:space="preserve">licensing </w:t>
      </w:r>
      <w:r w:rsidR="00FE1FDB">
        <w:rPr>
          <w:rFonts w:eastAsia="Times New Roman" w:cs="Times New Roman"/>
          <w:lang w:eastAsia="en-AU"/>
        </w:rPr>
        <w:t>provisions will therefore</w:t>
      </w:r>
      <w:r>
        <w:rPr>
          <w:rFonts w:eastAsia="Times New Roman" w:cs="Times New Roman"/>
          <w:lang w:eastAsia="en-AU"/>
        </w:rPr>
        <w:t xml:space="preserve"> require careful wording</w:t>
      </w:r>
      <w:r w:rsidR="00FE1FDB">
        <w:rPr>
          <w:rFonts w:eastAsia="Times New Roman" w:cs="Times New Roman"/>
          <w:lang w:eastAsia="en-AU"/>
        </w:rPr>
        <w:t xml:space="preserve"> and consideration</w:t>
      </w:r>
      <w:r>
        <w:rPr>
          <w:rFonts w:eastAsia="Times New Roman" w:cs="Times New Roman"/>
          <w:lang w:eastAsia="en-AU"/>
        </w:rPr>
        <w:t xml:space="preserve"> to ensure that they do not inadvertently cover or seek to cover the collections of government archives. Commonwealth and State governments should not be required under any circumstances to pay licen</w:t>
      </w:r>
      <w:r w:rsidR="00CB453D">
        <w:rPr>
          <w:rFonts w:eastAsia="Times New Roman" w:cs="Times New Roman"/>
          <w:lang w:eastAsia="en-AU"/>
        </w:rPr>
        <w:t>c</w:t>
      </w:r>
      <w:r>
        <w:rPr>
          <w:rFonts w:eastAsia="Times New Roman" w:cs="Times New Roman"/>
          <w:lang w:eastAsia="en-AU"/>
        </w:rPr>
        <w:t>e fees to</w:t>
      </w:r>
      <w:r w:rsidR="00FE1FDB">
        <w:rPr>
          <w:rFonts w:eastAsia="Times New Roman" w:cs="Times New Roman"/>
          <w:lang w:eastAsia="en-AU"/>
        </w:rPr>
        <w:t xml:space="preserve"> comply with their legislative requirements for managing</w:t>
      </w:r>
      <w:r w:rsidR="000110FA">
        <w:rPr>
          <w:rFonts w:eastAsia="Times New Roman" w:cs="Times New Roman"/>
          <w:lang w:eastAsia="en-AU"/>
        </w:rPr>
        <w:t xml:space="preserve"> and making available</w:t>
      </w:r>
      <w:r w:rsidR="00FE1FDB">
        <w:rPr>
          <w:rFonts w:eastAsia="Times New Roman" w:cs="Times New Roman"/>
          <w:lang w:eastAsia="en-AU"/>
        </w:rPr>
        <w:t xml:space="preserve"> their collections of archival resources.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 xml:space="preserve">Question 6–1 </w:t>
      </w:r>
      <w:r w:rsidRPr="00C70834">
        <w:rPr>
          <w:rFonts w:eastAsia="Times New Roman" w:cs="Times New Roman"/>
          <w:lang w:eastAsia="en-AU"/>
        </w:rPr>
        <w:t xml:space="preserve">If the statutory licences are repealed, should the </w:t>
      </w:r>
      <w:r w:rsidRPr="00C70834">
        <w:rPr>
          <w:rFonts w:eastAsia="Times New Roman" w:cs="Times New Roman"/>
          <w:i/>
          <w:iCs/>
          <w:lang w:eastAsia="en-AU"/>
        </w:rPr>
        <w:t>Copyright Act</w:t>
      </w:r>
      <w:r w:rsidRPr="00C70834">
        <w:rPr>
          <w:rFonts w:eastAsia="Times New Roman" w:cs="Times New Roman"/>
          <w:lang w:eastAsia="en-AU"/>
        </w:rPr>
        <w:t xml:space="preserve"> be amended to provide for certain free use exceptions for governments and educational institutions that only operate where the use cannot be licensed, and if so, how?</w:t>
      </w:r>
    </w:p>
    <w:p w:rsidR="00FD5EA2" w:rsidRDefault="00EB441F"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benefits of </w:t>
      </w:r>
      <w:r w:rsidR="008F3DCA">
        <w:rPr>
          <w:rFonts w:eastAsia="Times New Roman" w:cs="Times New Roman"/>
          <w:lang w:eastAsia="en-AU"/>
        </w:rPr>
        <w:t>‘fair use’ and any specific</w:t>
      </w:r>
      <w:r>
        <w:rPr>
          <w:rFonts w:eastAsia="Times New Roman" w:cs="Times New Roman"/>
          <w:lang w:eastAsia="en-AU"/>
        </w:rPr>
        <w:t xml:space="preserve"> exceptions </w:t>
      </w:r>
      <w:r w:rsidR="008F3DCA">
        <w:rPr>
          <w:rFonts w:eastAsia="Times New Roman" w:cs="Times New Roman"/>
          <w:lang w:eastAsia="en-AU"/>
        </w:rPr>
        <w:t>could be</w:t>
      </w:r>
      <w:r>
        <w:rPr>
          <w:rFonts w:eastAsia="Times New Roman" w:cs="Times New Roman"/>
          <w:lang w:eastAsia="en-AU"/>
        </w:rPr>
        <w:t xml:space="preserve"> lost if they </w:t>
      </w:r>
      <w:r w:rsidRPr="00866A0B">
        <w:rPr>
          <w:rFonts w:eastAsia="Times New Roman" w:cs="Times New Roman"/>
          <w:u w:val="single"/>
          <w:lang w:eastAsia="en-AU"/>
        </w:rPr>
        <w:t>only</w:t>
      </w:r>
      <w:r>
        <w:rPr>
          <w:rFonts w:eastAsia="Times New Roman" w:cs="Times New Roman"/>
          <w:lang w:eastAsia="en-AU"/>
        </w:rPr>
        <w:t xml:space="preserve"> operate where the use cannot be licen</w:t>
      </w:r>
      <w:r w:rsidR="00CB453D">
        <w:rPr>
          <w:rFonts w:eastAsia="Times New Roman" w:cs="Times New Roman"/>
          <w:lang w:eastAsia="en-AU"/>
        </w:rPr>
        <w:t>c</w:t>
      </w:r>
      <w:r>
        <w:rPr>
          <w:rFonts w:eastAsia="Times New Roman" w:cs="Times New Roman"/>
          <w:lang w:eastAsia="en-AU"/>
        </w:rPr>
        <w:t xml:space="preserve">ed. </w:t>
      </w:r>
      <w:r w:rsidR="00535C20">
        <w:rPr>
          <w:rFonts w:eastAsia="Times New Roman" w:cs="Times New Roman"/>
          <w:lang w:eastAsia="en-AU"/>
        </w:rPr>
        <w:t xml:space="preserve"> </w:t>
      </w:r>
      <w:r>
        <w:rPr>
          <w:rFonts w:eastAsia="Times New Roman" w:cs="Times New Roman"/>
          <w:lang w:eastAsia="en-AU"/>
        </w:rPr>
        <w:t xml:space="preserve">A licensing society </w:t>
      </w:r>
      <w:r w:rsidR="008F3DCA">
        <w:rPr>
          <w:rFonts w:eastAsia="Times New Roman" w:cs="Times New Roman"/>
          <w:lang w:eastAsia="en-AU"/>
        </w:rPr>
        <w:t>could</w:t>
      </w:r>
      <w:r>
        <w:rPr>
          <w:rFonts w:eastAsia="Times New Roman" w:cs="Times New Roman"/>
          <w:lang w:eastAsia="en-AU"/>
        </w:rPr>
        <w:t xml:space="preserve"> cre</w:t>
      </w:r>
      <w:r w:rsidR="00866A0B">
        <w:rPr>
          <w:rFonts w:eastAsia="Times New Roman" w:cs="Times New Roman"/>
          <w:lang w:eastAsia="en-AU"/>
        </w:rPr>
        <w:t>ate a</w:t>
      </w:r>
      <w:r w:rsidR="008F3DCA">
        <w:rPr>
          <w:rFonts w:eastAsia="Times New Roman" w:cs="Times New Roman"/>
          <w:lang w:eastAsia="en-AU"/>
        </w:rPr>
        <w:t xml:space="preserve"> new</w:t>
      </w:r>
      <w:r w:rsidR="00866A0B">
        <w:rPr>
          <w:rFonts w:eastAsia="Times New Roman" w:cs="Times New Roman"/>
          <w:lang w:eastAsia="en-AU"/>
        </w:rPr>
        <w:t xml:space="preserve"> licen</w:t>
      </w:r>
      <w:r w:rsidR="00CB453D">
        <w:rPr>
          <w:rFonts w:eastAsia="Times New Roman" w:cs="Times New Roman"/>
          <w:lang w:eastAsia="en-AU"/>
        </w:rPr>
        <w:t>c</w:t>
      </w:r>
      <w:r w:rsidR="00866A0B">
        <w:rPr>
          <w:rFonts w:eastAsia="Times New Roman" w:cs="Times New Roman"/>
          <w:lang w:eastAsia="en-AU"/>
        </w:rPr>
        <w:t xml:space="preserve">e and rights that </w:t>
      </w:r>
      <w:r w:rsidR="008F3DCA">
        <w:rPr>
          <w:rFonts w:eastAsia="Times New Roman" w:cs="Times New Roman"/>
          <w:lang w:eastAsia="en-AU"/>
        </w:rPr>
        <w:t>may</w:t>
      </w:r>
      <w:r w:rsidR="00866A0B">
        <w:rPr>
          <w:rFonts w:eastAsia="Times New Roman" w:cs="Times New Roman"/>
          <w:lang w:eastAsia="en-AU"/>
        </w:rPr>
        <w:t xml:space="preserve"> have fallen under</w:t>
      </w:r>
      <w:r w:rsidR="002711E2">
        <w:rPr>
          <w:rFonts w:eastAsia="Times New Roman" w:cs="Times New Roman"/>
          <w:lang w:eastAsia="en-AU"/>
        </w:rPr>
        <w:t xml:space="preserve"> ‘fair use’ </w:t>
      </w:r>
      <w:r w:rsidR="008F3DCA">
        <w:rPr>
          <w:rFonts w:eastAsia="Times New Roman" w:cs="Times New Roman"/>
          <w:lang w:eastAsia="en-AU"/>
        </w:rPr>
        <w:t>or a specific exception could</w:t>
      </w:r>
      <w:r w:rsidR="002711E2">
        <w:rPr>
          <w:rFonts w:eastAsia="Times New Roman" w:cs="Times New Roman"/>
          <w:lang w:eastAsia="en-AU"/>
        </w:rPr>
        <w:t xml:space="preserve"> be</w:t>
      </w:r>
      <w:r>
        <w:rPr>
          <w:rFonts w:eastAsia="Times New Roman" w:cs="Times New Roman"/>
          <w:lang w:eastAsia="en-AU"/>
        </w:rPr>
        <w:t xml:space="preserve"> lost. </w:t>
      </w:r>
      <w:r w:rsidR="00E5741F">
        <w:rPr>
          <w:rFonts w:eastAsia="Times New Roman" w:cs="Times New Roman"/>
          <w:lang w:eastAsia="en-AU"/>
        </w:rPr>
        <w:t xml:space="preserve"> </w:t>
      </w:r>
      <w:r>
        <w:rPr>
          <w:rFonts w:eastAsia="Times New Roman" w:cs="Times New Roman"/>
          <w:lang w:eastAsia="en-AU"/>
        </w:rPr>
        <w:t>The Archives does not supp</w:t>
      </w:r>
      <w:r w:rsidR="002711E2">
        <w:rPr>
          <w:rFonts w:eastAsia="Times New Roman" w:cs="Times New Roman"/>
          <w:lang w:eastAsia="en-AU"/>
        </w:rPr>
        <w:t>ort this proposed amendment</w:t>
      </w:r>
      <w:r w:rsidR="000C646E">
        <w:rPr>
          <w:rFonts w:eastAsia="Times New Roman" w:cs="Times New Roman"/>
          <w:lang w:eastAsia="en-AU"/>
        </w:rPr>
        <w:t xml:space="preserve"> and supports greater certainty in relation to</w:t>
      </w:r>
      <w:r w:rsidR="008F3DCA">
        <w:rPr>
          <w:rFonts w:eastAsia="Times New Roman" w:cs="Times New Roman"/>
          <w:lang w:eastAsia="en-AU"/>
        </w:rPr>
        <w:t xml:space="preserve"> the proposed relationship between any licensing provisions</w:t>
      </w:r>
      <w:r w:rsidR="000C646E">
        <w:rPr>
          <w:rFonts w:eastAsia="Times New Roman" w:cs="Times New Roman"/>
          <w:lang w:eastAsia="en-AU"/>
        </w:rPr>
        <w:t>,</w:t>
      </w:r>
      <w:r w:rsidR="008F3DCA">
        <w:rPr>
          <w:rFonts w:eastAsia="Times New Roman" w:cs="Times New Roman"/>
          <w:lang w:eastAsia="en-AU"/>
        </w:rPr>
        <w:t xml:space="preserve"> ‘fair use’ and specific exceptions for government archives</w:t>
      </w:r>
      <w:r>
        <w:rPr>
          <w:rFonts w:eastAsia="Times New Roman" w:cs="Times New Roman"/>
          <w:lang w:eastAsia="en-AU"/>
        </w:rPr>
        <w:t xml:space="preserve">. </w:t>
      </w:r>
    </w:p>
    <w:p w:rsidR="00775C2C" w:rsidRDefault="00EB441F"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As noted above, t</w:t>
      </w:r>
      <w:r w:rsidR="00775C2C">
        <w:rPr>
          <w:rFonts w:eastAsia="Times New Roman" w:cs="Times New Roman"/>
          <w:lang w:eastAsia="en-AU"/>
        </w:rPr>
        <w:t>he</w:t>
      </w:r>
      <w:r w:rsidR="002711E2">
        <w:rPr>
          <w:rFonts w:eastAsia="Times New Roman" w:cs="Times New Roman"/>
          <w:lang w:eastAsia="en-AU"/>
        </w:rPr>
        <w:t xml:space="preserve"> </w:t>
      </w:r>
      <w:r w:rsidR="00775C2C">
        <w:rPr>
          <w:rFonts w:eastAsia="Times New Roman" w:cs="Times New Roman"/>
          <w:lang w:eastAsia="en-AU"/>
        </w:rPr>
        <w:t xml:space="preserve">Archives should not be required to </w:t>
      </w:r>
      <w:r>
        <w:rPr>
          <w:rFonts w:eastAsia="Times New Roman" w:cs="Times New Roman"/>
          <w:lang w:eastAsia="en-AU"/>
        </w:rPr>
        <w:t>licen</w:t>
      </w:r>
      <w:r w:rsidR="00CB453D">
        <w:rPr>
          <w:rFonts w:eastAsia="Times New Roman" w:cs="Times New Roman"/>
          <w:lang w:eastAsia="en-AU"/>
        </w:rPr>
        <w:t>c</w:t>
      </w:r>
      <w:r>
        <w:rPr>
          <w:rFonts w:eastAsia="Times New Roman" w:cs="Times New Roman"/>
          <w:lang w:eastAsia="en-AU"/>
        </w:rPr>
        <w:t>e</w:t>
      </w:r>
      <w:r w:rsidR="00775C2C">
        <w:rPr>
          <w:rFonts w:eastAsia="Times New Roman" w:cs="Times New Roman"/>
          <w:lang w:eastAsia="en-AU"/>
        </w:rPr>
        <w:t xml:space="preserve"> </w:t>
      </w:r>
      <w:r w:rsidR="002711E2">
        <w:rPr>
          <w:rFonts w:eastAsia="Times New Roman" w:cs="Times New Roman"/>
          <w:lang w:eastAsia="en-AU"/>
        </w:rPr>
        <w:t xml:space="preserve">the </w:t>
      </w:r>
      <w:r w:rsidR="00775C2C">
        <w:rPr>
          <w:rFonts w:eastAsia="Times New Roman" w:cs="Times New Roman"/>
          <w:lang w:eastAsia="en-AU"/>
        </w:rPr>
        <w:t xml:space="preserve">use of its collection </w:t>
      </w:r>
      <w:r w:rsidR="002711E2">
        <w:rPr>
          <w:rFonts w:eastAsia="Times New Roman" w:cs="Times New Roman"/>
          <w:lang w:eastAsia="en-AU"/>
        </w:rPr>
        <w:t xml:space="preserve">under any circumstances. </w:t>
      </w:r>
      <w:r w:rsidR="00535C20">
        <w:rPr>
          <w:rFonts w:eastAsia="Times New Roman" w:cs="Times New Roman"/>
          <w:lang w:eastAsia="en-AU"/>
        </w:rPr>
        <w:t xml:space="preserve"> </w:t>
      </w:r>
      <w:r w:rsidR="002711E2">
        <w:rPr>
          <w:rFonts w:eastAsia="Times New Roman" w:cs="Times New Roman"/>
          <w:lang w:eastAsia="en-AU"/>
        </w:rPr>
        <w:t>The Archives notes the</w:t>
      </w:r>
      <w:r>
        <w:rPr>
          <w:rFonts w:eastAsia="Times New Roman" w:cs="Times New Roman"/>
          <w:lang w:eastAsia="en-AU"/>
        </w:rPr>
        <w:t xml:space="preserve"> current confusion created by the relationship between</w:t>
      </w:r>
      <w:r w:rsidR="00775C2C">
        <w:rPr>
          <w:rFonts w:eastAsia="Times New Roman" w:cs="Times New Roman"/>
          <w:lang w:eastAsia="en-AU"/>
        </w:rPr>
        <w:t xml:space="preserve"> </w:t>
      </w:r>
      <w:r w:rsidR="00E5741F">
        <w:rPr>
          <w:rFonts w:eastAsia="Times New Roman" w:cs="Times New Roman"/>
          <w:lang w:eastAsia="en-AU"/>
        </w:rPr>
        <w:br/>
      </w:r>
      <w:r w:rsidR="00775C2C">
        <w:rPr>
          <w:rFonts w:eastAsia="Times New Roman" w:cs="Times New Roman"/>
          <w:lang w:eastAsia="en-AU"/>
        </w:rPr>
        <w:t>s</w:t>
      </w:r>
      <w:r w:rsidR="00AB2E3A">
        <w:rPr>
          <w:rFonts w:eastAsia="Times New Roman" w:cs="Times New Roman"/>
          <w:lang w:eastAsia="en-AU"/>
        </w:rPr>
        <w:t>s</w:t>
      </w:r>
      <w:r w:rsidR="00535C20">
        <w:rPr>
          <w:rFonts w:eastAsia="Times New Roman" w:cs="Times New Roman"/>
          <w:lang w:eastAsia="en-AU"/>
        </w:rPr>
        <w:t xml:space="preserve"> </w:t>
      </w:r>
      <w:r w:rsidR="00775C2C">
        <w:rPr>
          <w:rFonts w:eastAsia="Times New Roman" w:cs="Times New Roman"/>
          <w:lang w:eastAsia="en-AU"/>
        </w:rPr>
        <w:t>200AB</w:t>
      </w:r>
      <w:r>
        <w:rPr>
          <w:rFonts w:eastAsia="Times New Roman" w:cs="Times New Roman"/>
          <w:lang w:eastAsia="en-AU"/>
        </w:rPr>
        <w:t xml:space="preserve"> and</w:t>
      </w:r>
      <w:r w:rsidR="00C312DD">
        <w:rPr>
          <w:rFonts w:eastAsia="Times New Roman" w:cs="Times New Roman"/>
          <w:lang w:eastAsia="en-AU"/>
        </w:rPr>
        <w:t xml:space="preserve"> </w:t>
      </w:r>
      <w:r>
        <w:rPr>
          <w:rFonts w:eastAsia="Times New Roman" w:cs="Times New Roman"/>
          <w:lang w:eastAsia="en-AU"/>
        </w:rPr>
        <w:t>183</w:t>
      </w:r>
      <w:r w:rsidR="00775C2C">
        <w:rPr>
          <w:rFonts w:eastAsia="Times New Roman" w:cs="Times New Roman"/>
          <w:lang w:eastAsia="en-AU"/>
        </w:rPr>
        <w:t xml:space="preserve"> in relation to the availability of a </w:t>
      </w:r>
      <w:r>
        <w:rPr>
          <w:rFonts w:eastAsia="Times New Roman" w:cs="Times New Roman"/>
          <w:lang w:eastAsia="en-AU"/>
        </w:rPr>
        <w:t>licen</w:t>
      </w:r>
      <w:r w:rsidR="00CB453D">
        <w:rPr>
          <w:rFonts w:eastAsia="Times New Roman" w:cs="Times New Roman"/>
          <w:lang w:eastAsia="en-AU"/>
        </w:rPr>
        <w:t>c</w:t>
      </w:r>
      <w:r>
        <w:rPr>
          <w:rFonts w:eastAsia="Times New Roman" w:cs="Times New Roman"/>
          <w:lang w:eastAsia="en-AU"/>
        </w:rPr>
        <w:t>e</w:t>
      </w:r>
      <w:r w:rsidR="002711E2">
        <w:rPr>
          <w:rFonts w:eastAsia="Times New Roman" w:cs="Times New Roman"/>
          <w:lang w:eastAsia="en-AU"/>
        </w:rPr>
        <w:t xml:space="preserve"> </w:t>
      </w:r>
      <w:r w:rsidR="00866A0B">
        <w:rPr>
          <w:rFonts w:eastAsia="Times New Roman" w:cs="Times New Roman"/>
          <w:lang w:eastAsia="en-AU"/>
        </w:rPr>
        <w:t xml:space="preserve">potentially overriding the </w:t>
      </w:r>
      <w:r w:rsidR="00961B9F">
        <w:rPr>
          <w:rFonts w:eastAsia="Times New Roman" w:cs="Times New Roman"/>
          <w:lang w:eastAsia="en-AU"/>
        </w:rPr>
        <w:t>availability</w:t>
      </w:r>
      <w:r w:rsidR="002711E2">
        <w:rPr>
          <w:rFonts w:eastAsia="Times New Roman" w:cs="Times New Roman"/>
          <w:lang w:eastAsia="en-AU"/>
        </w:rPr>
        <w:t xml:space="preserve"> of </w:t>
      </w:r>
      <w:r w:rsidR="00E5741F">
        <w:rPr>
          <w:rFonts w:eastAsia="Times New Roman" w:cs="Times New Roman"/>
          <w:lang w:eastAsia="en-AU"/>
        </w:rPr>
        <w:br/>
      </w:r>
      <w:r w:rsidR="002711E2">
        <w:rPr>
          <w:rFonts w:eastAsia="Times New Roman" w:cs="Times New Roman"/>
          <w:lang w:eastAsia="en-AU"/>
        </w:rPr>
        <w:t>s</w:t>
      </w:r>
      <w:r w:rsidR="00535C20">
        <w:rPr>
          <w:rFonts w:eastAsia="Times New Roman" w:cs="Times New Roman"/>
          <w:lang w:eastAsia="en-AU"/>
        </w:rPr>
        <w:t xml:space="preserve"> </w:t>
      </w:r>
      <w:r w:rsidR="002711E2">
        <w:rPr>
          <w:rFonts w:eastAsia="Times New Roman" w:cs="Times New Roman"/>
          <w:lang w:eastAsia="en-AU"/>
        </w:rPr>
        <w:t>200AB</w:t>
      </w:r>
      <w:r w:rsidR="00775C2C">
        <w:rPr>
          <w:rFonts w:eastAsia="Times New Roman" w:cs="Times New Roman"/>
          <w:lang w:eastAsia="en-AU"/>
        </w:rPr>
        <w:t>.</w:t>
      </w:r>
      <w:r w:rsidR="00535C20">
        <w:rPr>
          <w:rFonts w:eastAsia="Times New Roman" w:cs="Times New Roman"/>
          <w:lang w:eastAsia="en-AU"/>
        </w:rPr>
        <w:t xml:space="preserve"> </w:t>
      </w:r>
      <w:r w:rsidR="002711E2">
        <w:rPr>
          <w:rFonts w:eastAsia="Times New Roman" w:cs="Times New Roman"/>
          <w:lang w:eastAsia="en-AU"/>
        </w:rPr>
        <w:t xml:space="preserve"> Careful drafting will be required to ensure that the availability of a fair use exception</w:t>
      </w:r>
      <w:r w:rsidR="00FD5EA2">
        <w:rPr>
          <w:rFonts w:eastAsia="Times New Roman" w:cs="Times New Roman"/>
          <w:lang w:eastAsia="en-AU"/>
        </w:rPr>
        <w:t xml:space="preserve"> is not </w:t>
      </w:r>
      <w:r w:rsidR="00FD5EA2">
        <w:rPr>
          <w:rFonts w:eastAsia="Times New Roman" w:cs="Times New Roman"/>
          <w:lang w:eastAsia="en-AU"/>
        </w:rPr>
        <w:lastRenderedPageBreak/>
        <w:t>overridden by licences crea</w:t>
      </w:r>
      <w:r w:rsidR="00866A0B">
        <w:rPr>
          <w:rFonts w:eastAsia="Times New Roman" w:cs="Times New Roman"/>
          <w:lang w:eastAsia="en-AU"/>
        </w:rPr>
        <w:t>ted specifically to exclude that very</w:t>
      </w:r>
      <w:r w:rsidR="00FD5EA2">
        <w:rPr>
          <w:rFonts w:eastAsia="Times New Roman" w:cs="Times New Roman"/>
          <w:lang w:eastAsia="en-AU"/>
        </w:rPr>
        <w:t xml:space="preserve"> availability.</w:t>
      </w:r>
      <w:r w:rsidR="001F7461">
        <w:rPr>
          <w:rFonts w:eastAsia="Times New Roman" w:cs="Times New Roman"/>
          <w:lang w:eastAsia="en-AU"/>
        </w:rPr>
        <w:t xml:space="preserve"> The introduction of flexible dealing in s 200AB has proven the difficulty for cultural institutions to consider case-by-case dealings with third-party material.</w:t>
      </w:r>
      <w:r w:rsidR="00E5741F">
        <w:rPr>
          <w:rFonts w:eastAsia="Times New Roman" w:cs="Times New Roman"/>
          <w:lang w:eastAsia="en-AU"/>
        </w:rPr>
        <w:t xml:space="preserve"> </w:t>
      </w:r>
      <w:r w:rsidR="001F7461">
        <w:rPr>
          <w:rFonts w:eastAsia="Times New Roman" w:cs="Times New Roman"/>
          <w:lang w:eastAsia="en-AU"/>
        </w:rPr>
        <w:t xml:space="preserve"> It is in the national interest for publicly funded cultural institutions (including archives) to freely preserve and enable other socially beneficial uses of third </w:t>
      </w:r>
      <w:r w:rsidR="00C62F3E">
        <w:rPr>
          <w:rFonts w:eastAsia="Times New Roman" w:cs="Times New Roman"/>
          <w:lang w:eastAsia="en-AU"/>
        </w:rPr>
        <w:t>party</w:t>
      </w:r>
      <w:r w:rsidR="001F7461">
        <w:rPr>
          <w:rFonts w:eastAsia="Times New Roman" w:cs="Times New Roman"/>
          <w:lang w:eastAsia="en-AU"/>
        </w:rPr>
        <w:t xml:space="preserve"> material, without the obligation to satisfy the conditions (including payment) of copyright licences.</w:t>
      </w:r>
    </w:p>
    <w:p w:rsidR="00C70834" w:rsidRPr="00C70834" w:rsidRDefault="00C70834" w:rsidP="00663A90">
      <w:pPr>
        <w:keepNext/>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7–1</w:t>
      </w:r>
      <w:r w:rsidRPr="00C70834">
        <w:rPr>
          <w:rFonts w:eastAsia="Times New Roman" w:cs="Times New Roman"/>
          <w:lang w:eastAsia="en-AU"/>
        </w:rPr>
        <w:t xml:space="preserve"> The fair use exception should be applied when determining whether a use for the purpose of research or study; criticism or review; parody or satire; reporting news; or professional advice infringes copyright. ‘Research or study’, ‘criticism or review’, ‘parody or satire’, and ‘reporting news’ should be illustrative purposes in the fair use exception.</w:t>
      </w:r>
    </w:p>
    <w:p w:rsidR="00F24B51" w:rsidRPr="00F24B51" w:rsidRDefault="0072021A" w:rsidP="00663A90">
      <w:pPr>
        <w:keepNext/>
        <w:tabs>
          <w:tab w:val="left" w:pos="851"/>
        </w:tabs>
        <w:spacing w:before="100" w:beforeAutospacing="1" w:after="100" w:afterAutospacing="1" w:line="240" w:lineRule="auto"/>
        <w:rPr>
          <w:rFonts w:eastAsia="Times New Roman" w:cs="Times New Roman"/>
          <w:bCs/>
          <w:lang w:eastAsia="en-AU"/>
        </w:rPr>
      </w:pPr>
      <w:r>
        <w:rPr>
          <w:rFonts w:eastAsia="Times New Roman" w:cs="Times New Roman"/>
          <w:bCs/>
          <w:lang w:eastAsia="en-AU"/>
        </w:rPr>
        <w:t xml:space="preserve">The Archives supports Proposal 7-1. </w:t>
      </w:r>
      <w:r w:rsidR="00535C20">
        <w:rPr>
          <w:rFonts w:eastAsia="Times New Roman" w:cs="Times New Roman"/>
          <w:bCs/>
          <w:lang w:eastAsia="en-AU"/>
        </w:rPr>
        <w:t xml:space="preserve"> </w:t>
      </w:r>
      <w:r>
        <w:rPr>
          <w:rFonts w:eastAsia="Times New Roman" w:cs="Times New Roman"/>
          <w:bCs/>
          <w:lang w:eastAsia="en-AU"/>
        </w:rPr>
        <w:t>In addition</w:t>
      </w:r>
      <w:r w:rsidR="00CB453D">
        <w:rPr>
          <w:rFonts w:eastAsia="Times New Roman" w:cs="Times New Roman"/>
          <w:bCs/>
          <w:lang w:eastAsia="en-AU"/>
        </w:rPr>
        <w:t>,</w:t>
      </w:r>
      <w:r>
        <w:rPr>
          <w:rFonts w:eastAsia="Times New Roman" w:cs="Times New Roman"/>
          <w:bCs/>
          <w:lang w:eastAsia="en-AU"/>
        </w:rPr>
        <w:t xml:space="preserve"> the Archives supports the inclusion of a further illustrative purpose for ‘cultural heritage’.</w:t>
      </w:r>
    </w:p>
    <w:p w:rsidR="00C70834" w:rsidRP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Proposal 7–2</w:t>
      </w:r>
      <w:r w:rsidRPr="00C70834">
        <w:rPr>
          <w:rFonts w:eastAsia="Times New Roman" w:cs="Times New Roman"/>
          <w:lang w:eastAsia="en-AU"/>
        </w:rPr>
        <w:t xml:space="preserve"> The </w:t>
      </w:r>
      <w:r w:rsidRPr="00C70834">
        <w:rPr>
          <w:rFonts w:eastAsia="Times New Roman" w:cs="Times New Roman"/>
          <w:i/>
          <w:iCs/>
          <w:lang w:eastAsia="en-AU"/>
        </w:rPr>
        <w:t xml:space="preserve">Copyright Act </w:t>
      </w:r>
      <w:r w:rsidRPr="00C70834">
        <w:rPr>
          <w:rFonts w:eastAsia="Times New Roman" w:cs="Times New Roman"/>
          <w:lang w:eastAsia="en-AU"/>
        </w:rPr>
        <w:t>should be amended to repeal the following exceptions:</w:t>
      </w:r>
    </w:p>
    <w:p w:rsidR="00C70834" w:rsidRP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(a) </w:t>
      </w:r>
      <w:r w:rsidR="00E91349">
        <w:rPr>
          <w:rFonts w:eastAsia="Times New Roman" w:cs="Times New Roman"/>
          <w:lang w:eastAsia="en-AU"/>
        </w:rPr>
        <w:tab/>
      </w:r>
      <w:r w:rsidRPr="00C70834">
        <w:rPr>
          <w:rFonts w:eastAsia="Times New Roman" w:cs="Times New Roman"/>
          <w:lang w:eastAsia="en-AU"/>
        </w:rPr>
        <w:t>ss 40(1), 103C(1)—fair dealing for research or study;</w:t>
      </w:r>
    </w:p>
    <w:p w:rsidR="00C70834" w:rsidRP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(b)</w:t>
      </w:r>
      <w:r w:rsidR="00E91349">
        <w:rPr>
          <w:rFonts w:eastAsia="Times New Roman" w:cs="Times New Roman"/>
          <w:lang w:eastAsia="en-AU"/>
        </w:rPr>
        <w:tab/>
      </w:r>
      <w:r w:rsidRPr="00C70834">
        <w:rPr>
          <w:rFonts w:eastAsia="Times New Roman" w:cs="Times New Roman"/>
          <w:lang w:eastAsia="en-AU"/>
        </w:rPr>
        <w:t>ss 41, 103A—fair dealing for criticism or review;</w:t>
      </w:r>
    </w:p>
    <w:p w:rsidR="00C70834" w:rsidRP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(c) </w:t>
      </w:r>
      <w:r w:rsidR="00E91349">
        <w:rPr>
          <w:rFonts w:eastAsia="Times New Roman" w:cs="Times New Roman"/>
          <w:lang w:eastAsia="en-AU"/>
        </w:rPr>
        <w:tab/>
      </w:r>
      <w:r w:rsidRPr="00C70834">
        <w:rPr>
          <w:rFonts w:eastAsia="Times New Roman" w:cs="Times New Roman"/>
          <w:lang w:eastAsia="en-AU"/>
        </w:rPr>
        <w:t>ss 41A, 103AA—fair dealing for parody or satire;</w:t>
      </w:r>
    </w:p>
    <w:p w:rsidR="00C70834" w:rsidRP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(d) </w:t>
      </w:r>
      <w:r w:rsidR="00E91349">
        <w:rPr>
          <w:rFonts w:eastAsia="Times New Roman" w:cs="Times New Roman"/>
          <w:lang w:eastAsia="en-AU"/>
        </w:rPr>
        <w:tab/>
      </w:r>
      <w:r w:rsidRPr="00C70834">
        <w:rPr>
          <w:rFonts w:eastAsia="Times New Roman" w:cs="Times New Roman"/>
          <w:lang w:eastAsia="en-AU"/>
        </w:rPr>
        <w:t>ss 42, 103B—fair dealing for reporting news;</w:t>
      </w:r>
    </w:p>
    <w:p w:rsidR="00C70834" w:rsidRP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contextualSpacing/>
        <w:rPr>
          <w:rFonts w:eastAsia="Times New Roman" w:cs="Times New Roman"/>
          <w:lang w:eastAsia="en-AU"/>
        </w:rPr>
      </w:pPr>
      <w:r w:rsidRPr="00C70834">
        <w:rPr>
          <w:rFonts w:eastAsia="Times New Roman" w:cs="Times New Roman"/>
          <w:lang w:eastAsia="en-AU"/>
        </w:rPr>
        <w:t xml:space="preserve">(e) </w:t>
      </w:r>
      <w:r w:rsidR="00E91349">
        <w:rPr>
          <w:rFonts w:eastAsia="Times New Roman" w:cs="Times New Roman"/>
          <w:lang w:eastAsia="en-AU"/>
        </w:rPr>
        <w:tab/>
      </w:r>
      <w:r w:rsidRPr="00C70834">
        <w:rPr>
          <w:rFonts w:eastAsia="Times New Roman" w:cs="Times New Roman"/>
          <w:lang w:eastAsia="en-AU"/>
        </w:rPr>
        <w:t xml:space="preserve">s 43(2)—fair dealing for a legal practitioner, registered patent attorney or registered </w:t>
      </w:r>
      <w:r w:rsidR="00E91349" w:rsidRPr="00C70834">
        <w:rPr>
          <w:rFonts w:eastAsia="Times New Roman" w:cs="Times New Roman"/>
          <w:lang w:eastAsia="en-AU"/>
        </w:rPr>
        <w:t>trademarks</w:t>
      </w:r>
      <w:r w:rsidRPr="00C70834">
        <w:rPr>
          <w:rFonts w:eastAsia="Times New Roman" w:cs="Times New Roman"/>
          <w:lang w:eastAsia="en-AU"/>
        </w:rPr>
        <w:t xml:space="preserve"> attorney giving professional advice; and</w:t>
      </w:r>
    </w:p>
    <w:p w:rsidR="00C70834" w:rsidRDefault="00C7083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contextualSpacing/>
        <w:rPr>
          <w:rFonts w:eastAsia="Times New Roman" w:cs="Times New Roman"/>
          <w:lang w:eastAsia="en-AU"/>
        </w:rPr>
      </w:pPr>
      <w:r w:rsidRPr="00C70834">
        <w:rPr>
          <w:rFonts w:eastAsia="Times New Roman" w:cs="Times New Roman"/>
          <w:lang w:eastAsia="en-AU"/>
        </w:rPr>
        <w:t xml:space="preserve">(f) </w:t>
      </w:r>
      <w:r w:rsidR="00E91349">
        <w:rPr>
          <w:rFonts w:eastAsia="Times New Roman" w:cs="Times New Roman"/>
          <w:lang w:eastAsia="en-AU"/>
        </w:rPr>
        <w:tab/>
      </w:r>
      <w:r w:rsidRPr="00C70834">
        <w:rPr>
          <w:rFonts w:eastAsia="Times New Roman" w:cs="Times New Roman"/>
          <w:lang w:eastAsia="en-AU"/>
        </w:rPr>
        <w:t>ss 104(b) and (c)—professional advice exceptions.</w:t>
      </w:r>
    </w:p>
    <w:p w:rsidR="00F24B51" w:rsidRDefault="0072021A"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supports Proposal 7-2.</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7–4</w:t>
      </w:r>
      <w:r w:rsidRPr="00C70834">
        <w:rPr>
          <w:rFonts w:eastAsia="Times New Roman" w:cs="Times New Roman"/>
          <w:lang w:eastAsia="en-AU"/>
        </w:rPr>
        <w:t xml:space="preserve"> If fair use is not enacted, the existing fair dealing exceptions, and the new fair dealing exceptions proposed in this Discussion Paper, should all provide that the fairness factors must be considered in determining whether copyright is infringed.</w:t>
      </w:r>
    </w:p>
    <w:p w:rsidR="00FD0694" w:rsidRDefault="00FD0694" w:rsidP="00663A90">
      <w:pPr>
        <w:tabs>
          <w:tab w:val="left" w:pos="851"/>
        </w:tabs>
      </w:pPr>
      <w:r>
        <w:t>The</w:t>
      </w:r>
      <w:r w:rsidR="009C0388">
        <w:t xml:space="preserve"> Archives supports Proposal 7-4</w:t>
      </w:r>
      <w:r>
        <w:t xml:space="preserve">. </w:t>
      </w:r>
      <w:r w:rsidR="00C94016">
        <w:t xml:space="preserve"> </w:t>
      </w:r>
      <w:r w:rsidR="009C0388">
        <w:t xml:space="preserve">Further information is provided in </w:t>
      </w:r>
      <w:r w:rsidR="00AC37E7">
        <w:t>the</w:t>
      </w:r>
      <w:r w:rsidR="009C0388">
        <w:t xml:space="preserve"> Archives’ submission in relation to Proposal 11-3 below.</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8–1</w:t>
      </w:r>
      <w:r w:rsidRPr="00C70834">
        <w:rPr>
          <w:rFonts w:eastAsia="Times New Roman" w:cs="Times New Roman"/>
          <w:lang w:eastAsia="en-AU"/>
        </w:rPr>
        <w:t xml:space="preserve"> The fair use exception should be applied when determining whether uses of copyright material for the purposes of caching, indexing or data and text mining infringes copyright. ‘Non-consumptive use’ should be an illustrative purpose in the fair use exception.</w:t>
      </w:r>
    </w:p>
    <w:p w:rsidR="006F2B14" w:rsidRPr="00C70834" w:rsidRDefault="006F2B1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Proposal 8–2</w:t>
      </w:r>
      <w:r w:rsidRPr="00C70834">
        <w:rPr>
          <w:rFonts w:eastAsia="Times New Roman" w:cs="Times New Roman"/>
          <w:lang w:eastAsia="en-AU"/>
        </w:rPr>
        <w:t xml:space="preserve"> If fair use is enacted, the following exceptions in the </w:t>
      </w:r>
      <w:r w:rsidRPr="00C70834">
        <w:rPr>
          <w:rFonts w:eastAsia="Times New Roman" w:cs="Times New Roman"/>
          <w:i/>
          <w:iCs/>
          <w:lang w:eastAsia="en-AU"/>
        </w:rPr>
        <w:t xml:space="preserve">Copyright Act </w:t>
      </w:r>
      <w:r w:rsidRPr="00C70834">
        <w:rPr>
          <w:rFonts w:eastAsia="Times New Roman" w:cs="Times New Roman"/>
          <w:lang w:eastAsia="en-AU"/>
        </w:rPr>
        <w:t>should be repealed:</w:t>
      </w:r>
    </w:p>
    <w:p w:rsidR="006F2B14" w:rsidRPr="00C70834" w:rsidRDefault="006F2B1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(a) </w:t>
      </w:r>
      <w:r w:rsidR="00E91349">
        <w:rPr>
          <w:rFonts w:eastAsia="Times New Roman" w:cs="Times New Roman"/>
          <w:lang w:eastAsia="en-AU"/>
        </w:rPr>
        <w:tab/>
      </w:r>
      <w:r w:rsidRPr="00C70834">
        <w:rPr>
          <w:rFonts w:eastAsia="Times New Roman" w:cs="Times New Roman"/>
          <w:lang w:eastAsia="en-AU"/>
        </w:rPr>
        <w:t>s 43A—temporary reproductions made in the course of communication;</w:t>
      </w:r>
    </w:p>
    <w:p w:rsidR="006F2B14" w:rsidRPr="00C70834" w:rsidRDefault="006F2B1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(b) </w:t>
      </w:r>
      <w:r w:rsidR="00E91349">
        <w:rPr>
          <w:rFonts w:eastAsia="Times New Roman" w:cs="Times New Roman"/>
          <w:lang w:eastAsia="en-AU"/>
        </w:rPr>
        <w:tab/>
      </w:r>
      <w:r w:rsidRPr="00C70834">
        <w:rPr>
          <w:rFonts w:eastAsia="Times New Roman" w:cs="Times New Roman"/>
          <w:lang w:eastAsia="en-AU"/>
        </w:rPr>
        <w:t>s 111A—temporary copying made in the course of communication;</w:t>
      </w:r>
    </w:p>
    <w:p w:rsidR="006F2B14" w:rsidRPr="00C70834" w:rsidRDefault="006F2B1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(c) </w:t>
      </w:r>
      <w:r w:rsidR="00E91349">
        <w:rPr>
          <w:rFonts w:eastAsia="Times New Roman" w:cs="Times New Roman"/>
          <w:lang w:eastAsia="en-AU"/>
        </w:rPr>
        <w:tab/>
      </w:r>
      <w:r w:rsidRPr="00C70834">
        <w:rPr>
          <w:rFonts w:eastAsia="Times New Roman" w:cs="Times New Roman"/>
          <w:lang w:eastAsia="en-AU"/>
        </w:rPr>
        <w:t>s 43B—temporary reproductions of works as part of a technical process of use;</w:t>
      </w:r>
    </w:p>
    <w:p w:rsidR="006F2B14" w:rsidRPr="00C70834" w:rsidRDefault="006F2B1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(d) </w:t>
      </w:r>
      <w:r w:rsidR="00E91349">
        <w:rPr>
          <w:rFonts w:eastAsia="Times New Roman" w:cs="Times New Roman"/>
          <w:lang w:eastAsia="en-AU"/>
        </w:rPr>
        <w:tab/>
      </w:r>
      <w:r w:rsidRPr="00C70834">
        <w:rPr>
          <w:rFonts w:eastAsia="Times New Roman" w:cs="Times New Roman"/>
          <w:lang w:eastAsia="en-AU"/>
        </w:rPr>
        <w:t>s 111B—temporary copying of subject-matter as a part of a technical process of use; and</w:t>
      </w:r>
    </w:p>
    <w:p w:rsidR="006F2B14" w:rsidRDefault="006F2B14" w:rsidP="00E91349">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(e) </w:t>
      </w:r>
      <w:r w:rsidR="00E91349">
        <w:rPr>
          <w:rFonts w:eastAsia="Times New Roman" w:cs="Times New Roman"/>
          <w:lang w:eastAsia="en-AU"/>
        </w:rPr>
        <w:tab/>
      </w:r>
      <w:r w:rsidRPr="00C70834">
        <w:rPr>
          <w:rFonts w:eastAsia="Times New Roman" w:cs="Times New Roman"/>
          <w:lang w:eastAsia="en-AU"/>
        </w:rPr>
        <w:t>s 200AAA—proxy web caching by educational institutions.</w:t>
      </w:r>
    </w:p>
    <w:p w:rsidR="006F2B14" w:rsidRDefault="006F2B1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8–3</w:t>
      </w:r>
      <w:r w:rsidRPr="00C70834">
        <w:rPr>
          <w:rFonts w:eastAsia="Times New Roman" w:cs="Times New Roman"/>
          <w:lang w:eastAsia="en-AU"/>
        </w:rPr>
        <w:t xml:space="preserve"> If fair use is not enacted, the </w:t>
      </w:r>
      <w:r w:rsidRPr="00C70834">
        <w:rPr>
          <w:rFonts w:eastAsia="Times New Roman" w:cs="Times New Roman"/>
          <w:i/>
          <w:iCs/>
          <w:lang w:eastAsia="en-AU"/>
        </w:rPr>
        <w:t>Copyright Act</w:t>
      </w:r>
      <w:r w:rsidRPr="00C70834">
        <w:rPr>
          <w:rFonts w:eastAsia="Times New Roman" w:cs="Times New Roman"/>
          <w:lang w:eastAsia="en-AU"/>
        </w:rPr>
        <w:t xml:space="preserve"> should be amended to provide a new fair dealing exception for ‘non-consumptive’ use. This should also require the fairness factors to be considered. The </w:t>
      </w:r>
      <w:r w:rsidRPr="00C70834">
        <w:rPr>
          <w:rFonts w:eastAsia="Times New Roman" w:cs="Times New Roman"/>
          <w:i/>
          <w:iCs/>
          <w:lang w:eastAsia="en-AU"/>
        </w:rPr>
        <w:t xml:space="preserve">Copyright Act </w:t>
      </w:r>
      <w:r w:rsidRPr="00C70834">
        <w:rPr>
          <w:rFonts w:eastAsia="Times New Roman" w:cs="Times New Roman"/>
          <w:lang w:eastAsia="en-AU"/>
        </w:rPr>
        <w:t>should define a ‘non-consumptive’ use as a use of copyright material that does not directly trade on the underlying creative and expressive purpose of the material.</w:t>
      </w:r>
    </w:p>
    <w:p w:rsidR="00FD0694" w:rsidRDefault="00FD0694" w:rsidP="00663A90">
      <w:pPr>
        <w:tabs>
          <w:tab w:val="left" w:pos="851"/>
        </w:tabs>
      </w:pPr>
      <w:r>
        <w:lastRenderedPageBreak/>
        <w:t xml:space="preserve">The Archives supports Proposals 8-1, 8-2, and 8-3 in relation to non-consumptive use. </w:t>
      </w:r>
    </w:p>
    <w:p w:rsidR="005169A7" w:rsidRDefault="00AB7788" w:rsidP="00663A90">
      <w:pPr>
        <w:pStyle w:val="Standard"/>
        <w:tabs>
          <w:tab w:val="left" w:pos="851"/>
        </w:tabs>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The Archives</w:t>
      </w:r>
      <w:r w:rsidR="00740595" w:rsidRPr="00740595">
        <w:rPr>
          <w:rFonts w:asciiTheme="minorHAnsi" w:eastAsiaTheme="minorHAnsi" w:hAnsiTheme="minorHAnsi" w:cstheme="minorBidi"/>
          <w:kern w:val="0"/>
          <w:sz w:val="22"/>
          <w:szCs w:val="22"/>
          <w:lang w:eastAsia="en-US" w:bidi="ar-SA"/>
        </w:rPr>
        <w:t xml:space="preserve"> encourage</w:t>
      </w:r>
      <w:r w:rsidR="003139CD">
        <w:rPr>
          <w:rFonts w:asciiTheme="minorHAnsi" w:eastAsiaTheme="minorHAnsi" w:hAnsiTheme="minorHAnsi" w:cstheme="minorBidi"/>
          <w:kern w:val="0"/>
          <w:sz w:val="22"/>
          <w:szCs w:val="22"/>
          <w:lang w:eastAsia="en-US" w:bidi="ar-SA"/>
        </w:rPr>
        <w:t>s</w:t>
      </w:r>
      <w:r w:rsidR="00740595" w:rsidRPr="00740595">
        <w:rPr>
          <w:rFonts w:asciiTheme="minorHAnsi" w:eastAsiaTheme="minorHAnsi" w:hAnsiTheme="minorHAnsi" w:cstheme="minorBidi"/>
          <w:kern w:val="0"/>
          <w:sz w:val="22"/>
          <w:szCs w:val="22"/>
          <w:lang w:eastAsia="en-US" w:bidi="ar-SA"/>
        </w:rPr>
        <w:t xml:space="preserve"> the users of documents and data to create and undertake analysis of large portions of our collection data</w:t>
      </w:r>
      <w:r w:rsidR="00AC37E7">
        <w:rPr>
          <w:rFonts w:asciiTheme="minorHAnsi" w:eastAsiaTheme="minorHAnsi" w:hAnsiTheme="minorHAnsi" w:cstheme="minorBidi"/>
          <w:kern w:val="0"/>
          <w:sz w:val="22"/>
          <w:szCs w:val="22"/>
          <w:lang w:eastAsia="en-US" w:bidi="ar-SA"/>
        </w:rPr>
        <w:t xml:space="preserve"> for non-commercial purposes</w:t>
      </w:r>
      <w:r w:rsidR="00740595" w:rsidRPr="00740595">
        <w:rPr>
          <w:rFonts w:asciiTheme="minorHAnsi" w:eastAsiaTheme="minorHAnsi" w:hAnsiTheme="minorHAnsi" w:cstheme="minorBidi"/>
          <w:kern w:val="0"/>
          <w:sz w:val="22"/>
          <w:szCs w:val="22"/>
          <w:lang w:eastAsia="en-US" w:bidi="ar-SA"/>
        </w:rPr>
        <w:t xml:space="preserve">. </w:t>
      </w:r>
      <w:r w:rsidR="00535C20">
        <w:rPr>
          <w:rFonts w:asciiTheme="minorHAnsi" w:eastAsiaTheme="minorHAnsi" w:hAnsiTheme="minorHAnsi" w:cstheme="minorBidi"/>
          <w:kern w:val="0"/>
          <w:sz w:val="22"/>
          <w:szCs w:val="22"/>
          <w:lang w:eastAsia="en-US" w:bidi="ar-SA"/>
        </w:rPr>
        <w:t xml:space="preserve"> </w:t>
      </w:r>
      <w:r w:rsidR="00A90A78">
        <w:rPr>
          <w:rFonts w:asciiTheme="minorHAnsi" w:eastAsiaTheme="minorHAnsi" w:hAnsiTheme="minorHAnsi" w:cstheme="minorBidi"/>
          <w:kern w:val="0"/>
          <w:sz w:val="22"/>
          <w:szCs w:val="22"/>
          <w:lang w:eastAsia="en-US" w:bidi="ar-SA"/>
        </w:rPr>
        <w:t>The Archives support</w:t>
      </w:r>
      <w:r w:rsidR="00AC37E7">
        <w:rPr>
          <w:rFonts w:asciiTheme="minorHAnsi" w:eastAsiaTheme="minorHAnsi" w:hAnsiTheme="minorHAnsi" w:cstheme="minorBidi"/>
          <w:kern w:val="0"/>
          <w:sz w:val="22"/>
          <w:szCs w:val="22"/>
          <w:lang w:eastAsia="en-US" w:bidi="ar-SA"/>
        </w:rPr>
        <w:t>s</w:t>
      </w:r>
      <w:r w:rsidR="00A90A78">
        <w:rPr>
          <w:rFonts w:asciiTheme="minorHAnsi" w:eastAsiaTheme="minorHAnsi" w:hAnsiTheme="minorHAnsi" w:cstheme="minorBidi"/>
          <w:kern w:val="0"/>
          <w:sz w:val="22"/>
          <w:szCs w:val="22"/>
          <w:lang w:eastAsia="en-US" w:bidi="ar-SA"/>
        </w:rPr>
        <w:t xml:space="preserve"> an</w:t>
      </w:r>
      <w:r w:rsidR="00740595" w:rsidRPr="00740595">
        <w:rPr>
          <w:rFonts w:asciiTheme="minorHAnsi" w:eastAsiaTheme="minorHAnsi" w:hAnsiTheme="minorHAnsi" w:cstheme="minorBidi"/>
          <w:kern w:val="0"/>
          <w:sz w:val="22"/>
          <w:szCs w:val="22"/>
          <w:lang w:eastAsia="en-US" w:bidi="ar-SA"/>
        </w:rPr>
        <w:t xml:space="preserve"> amendment </w:t>
      </w:r>
      <w:r w:rsidR="00A90A78">
        <w:rPr>
          <w:rFonts w:asciiTheme="minorHAnsi" w:eastAsiaTheme="minorHAnsi" w:hAnsiTheme="minorHAnsi" w:cstheme="minorBidi"/>
          <w:kern w:val="0"/>
          <w:sz w:val="22"/>
          <w:szCs w:val="22"/>
          <w:lang w:eastAsia="en-US" w:bidi="ar-SA"/>
        </w:rPr>
        <w:t xml:space="preserve">similar to the one </w:t>
      </w:r>
      <w:r w:rsidR="003030C4">
        <w:rPr>
          <w:rFonts w:asciiTheme="minorHAnsi" w:eastAsiaTheme="minorHAnsi" w:hAnsiTheme="minorHAnsi" w:cstheme="minorBidi"/>
          <w:kern w:val="0"/>
          <w:sz w:val="22"/>
          <w:szCs w:val="22"/>
          <w:lang w:eastAsia="en-US" w:bidi="ar-SA"/>
        </w:rPr>
        <w:t>proposed</w:t>
      </w:r>
      <w:r w:rsidR="00740595" w:rsidRPr="00740595">
        <w:rPr>
          <w:rFonts w:asciiTheme="minorHAnsi" w:eastAsiaTheme="minorHAnsi" w:hAnsiTheme="minorHAnsi" w:cstheme="minorBidi"/>
          <w:kern w:val="0"/>
          <w:sz w:val="22"/>
          <w:szCs w:val="22"/>
          <w:lang w:eastAsia="en-US" w:bidi="ar-SA"/>
        </w:rPr>
        <w:t xml:space="preserve"> </w:t>
      </w:r>
      <w:r w:rsidR="003030C4">
        <w:rPr>
          <w:rFonts w:asciiTheme="minorHAnsi" w:eastAsiaTheme="minorHAnsi" w:hAnsiTheme="minorHAnsi" w:cstheme="minorBidi"/>
          <w:kern w:val="0"/>
          <w:sz w:val="22"/>
          <w:szCs w:val="22"/>
          <w:lang w:eastAsia="en-US" w:bidi="ar-SA"/>
        </w:rPr>
        <w:t>by the UK Government to</w:t>
      </w:r>
      <w:r w:rsidR="00740595" w:rsidRPr="00740595">
        <w:rPr>
          <w:rFonts w:asciiTheme="minorHAnsi" w:eastAsiaTheme="minorHAnsi" w:hAnsiTheme="minorHAnsi" w:cstheme="minorBidi"/>
          <w:kern w:val="0"/>
          <w:sz w:val="22"/>
          <w:szCs w:val="22"/>
          <w:lang w:eastAsia="en-US" w:bidi="ar-SA"/>
        </w:rPr>
        <w:t xml:space="preserve"> the </w:t>
      </w:r>
      <w:r w:rsidR="00740595" w:rsidRPr="003139CD">
        <w:rPr>
          <w:rFonts w:asciiTheme="minorHAnsi" w:eastAsiaTheme="minorHAnsi" w:hAnsiTheme="minorHAnsi" w:cstheme="minorBidi"/>
          <w:i/>
          <w:kern w:val="0"/>
          <w:sz w:val="22"/>
          <w:szCs w:val="22"/>
          <w:lang w:eastAsia="en-US" w:bidi="ar-SA"/>
        </w:rPr>
        <w:t>Copyright, Design and Patents Act 1998</w:t>
      </w:r>
      <w:r w:rsidR="00A90A78">
        <w:rPr>
          <w:rFonts w:asciiTheme="minorHAnsi" w:eastAsiaTheme="minorHAnsi" w:hAnsiTheme="minorHAnsi" w:cstheme="minorBidi"/>
          <w:kern w:val="0"/>
          <w:sz w:val="22"/>
          <w:szCs w:val="22"/>
          <w:lang w:eastAsia="en-US" w:bidi="ar-SA"/>
        </w:rPr>
        <w:t xml:space="preserve"> (UK) to </w:t>
      </w:r>
      <w:r w:rsidR="003139CD">
        <w:rPr>
          <w:rFonts w:asciiTheme="minorHAnsi" w:eastAsiaTheme="minorHAnsi" w:hAnsiTheme="minorHAnsi" w:cstheme="minorBidi"/>
          <w:kern w:val="0"/>
          <w:sz w:val="22"/>
          <w:szCs w:val="22"/>
          <w:lang w:eastAsia="en-US" w:bidi="ar-SA"/>
        </w:rPr>
        <w:t>protec</w:t>
      </w:r>
      <w:r w:rsidR="00A90A78">
        <w:rPr>
          <w:rFonts w:asciiTheme="minorHAnsi" w:eastAsiaTheme="minorHAnsi" w:hAnsiTheme="minorHAnsi" w:cstheme="minorBidi"/>
          <w:kern w:val="0"/>
          <w:sz w:val="22"/>
          <w:szCs w:val="22"/>
          <w:lang w:eastAsia="en-US" w:bidi="ar-SA"/>
        </w:rPr>
        <w:t>t its</w:t>
      </w:r>
      <w:r w:rsidR="003139CD">
        <w:rPr>
          <w:rFonts w:asciiTheme="minorHAnsi" w:eastAsiaTheme="minorHAnsi" w:hAnsiTheme="minorHAnsi" w:cstheme="minorBidi"/>
          <w:kern w:val="0"/>
          <w:sz w:val="22"/>
          <w:szCs w:val="22"/>
          <w:lang w:eastAsia="en-US" w:bidi="ar-SA"/>
        </w:rPr>
        <w:t xml:space="preserve"> </w:t>
      </w:r>
      <w:r w:rsidR="009B6538">
        <w:rPr>
          <w:rFonts w:asciiTheme="minorHAnsi" w:eastAsiaTheme="minorHAnsi" w:hAnsiTheme="minorHAnsi" w:cstheme="minorBidi"/>
          <w:kern w:val="0"/>
          <w:sz w:val="22"/>
          <w:szCs w:val="22"/>
          <w:lang w:eastAsia="en-US" w:bidi="ar-SA"/>
        </w:rPr>
        <w:t>website’s</w:t>
      </w:r>
      <w:r w:rsidR="003139CD">
        <w:rPr>
          <w:rFonts w:asciiTheme="minorHAnsi" w:eastAsiaTheme="minorHAnsi" w:hAnsiTheme="minorHAnsi" w:cstheme="minorBidi"/>
          <w:kern w:val="0"/>
          <w:sz w:val="22"/>
          <w:szCs w:val="22"/>
          <w:lang w:eastAsia="en-US" w:bidi="ar-SA"/>
        </w:rPr>
        <w:t xml:space="preserve"> data </w:t>
      </w:r>
      <w:r w:rsidR="00254814">
        <w:rPr>
          <w:rFonts w:asciiTheme="minorHAnsi" w:eastAsiaTheme="minorHAnsi" w:hAnsiTheme="minorHAnsi" w:cstheme="minorBidi"/>
          <w:kern w:val="0"/>
          <w:sz w:val="22"/>
          <w:szCs w:val="22"/>
          <w:lang w:eastAsia="en-US" w:bidi="ar-SA"/>
        </w:rPr>
        <w:t xml:space="preserve">from </w:t>
      </w:r>
      <w:r w:rsidR="003139CD">
        <w:rPr>
          <w:rFonts w:asciiTheme="minorHAnsi" w:eastAsiaTheme="minorHAnsi" w:hAnsiTheme="minorHAnsi" w:cstheme="minorBidi"/>
          <w:kern w:val="0"/>
          <w:sz w:val="22"/>
          <w:szCs w:val="22"/>
          <w:lang w:eastAsia="en-US" w:bidi="ar-SA"/>
        </w:rPr>
        <w:t>being scra</w:t>
      </w:r>
      <w:r w:rsidR="00740595" w:rsidRPr="00740595">
        <w:rPr>
          <w:rFonts w:asciiTheme="minorHAnsi" w:eastAsiaTheme="minorHAnsi" w:hAnsiTheme="minorHAnsi" w:cstheme="minorBidi"/>
          <w:kern w:val="0"/>
          <w:sz w:val="22"/>
          <w:szCs w:val="22"/>
          <w:lang w:eastAsia="en-US" w:bidi="ar-SA"/>
        </w:rPr>
        <w:t>ped for commercial purposes</w:t>
      </w:r>
      <w:r w:rsidR="00E5741F">
        <w:rPr>
          <w:rFonts w:asciiTheme="minorHAnsi" w:eastAsiaTheme="minorHAnsi" w:hAnsiTheme="minorHAnsi" w:cstheme="minorBidi"/>
          <w:kern w:val="0"/>
          <w:sz w:val="22"/>
          <w:szCs w:val="22"/>
          <w:lang w:eastAsia="en-US" w:bidi="ar-SA"/>
        </w:rPr>
        <w:t>:</w:t>
      </w:r>
      <w:r w:rsidR="003030C4">
        <w:rPr>
          <w:rStyle w:val="FootnoteReference"/>
          <w:rFonts w:asciiTheme="minorHAnsi" w:eastAsiaTheme="minorHAnsi" w:hAnsiTheme="minorHAnsi" w:cstheme="minorBidi"/>
          <w:kern w:val="0"/>
          <w:sz w:val="22"/>
          <w:szCs w:val="22"/>
          <w:lang w:eastAsia="en-US" w:bidi="ar-SA"/>
        </w:rPr>
        <w:footnoteReference w:id="11"/>
      </w:r>
    </w:p>
    <w:p w:rsidR="00A90A78" w:rsidRDefault="00A90A78" w:rsidP="00663A90">
      <w:pPr>
        <w:pStyle w:val="Standard"/>
        <w:tabs>
          <w:tab w:val="left" w:pos="851"/>
        </w:tabs>
        <w:rPr>
          <w:rFonts w:asciiTheme="minorHAnsi" w:eastAsiaTheme="minorHAnsi" w:hAnsiTheme="minorHAnsi" w:cstheme="minorBidi"/>
          <w:kern w:val="0"/>
          <w:sz w:val="22"/>
          <w:szCs w:val="22"/>
          <w:lang w:eastAsia="en-US" w:bidi="ar-SA"/>
        </w:rPr>
      </w:pPr>
    </w:p>
    <w:p w:rsidR="00A90A78" w:rsidRPr="00A90A78" w:rsidRDefault="00FB3F16" w:rsidP="00663A90">
      <w:pPr>
        <w:pStyle w:val="Standard"/>
        <w:tabs>
          <w:tab w:val="left" w:pos="851"/>
        </w:tabs>
        <w:ind w:left="720"/>
        <w:rPr>
          <w:rFonts w:asciiTheme="minorHAnsi" w:eastAsiaTheme="minorHAnsi" w:hAnsiTheme="minorHAnsi" w:cstheme="minorBidi"/>
          <w:i/>
          <w:kern w:val="0"/>
          <w:sz w:val="22"/>
          <w:szCs w:val="22"/>
          <w:lang w:eastAsia="en-US" w:bidi="ar-SA"/>
        </w:rPr>
      </w:pPr>
      <w:r>
        <w:rPr>
          <w:rFonts w:asciiTheme="minorHAnsi" w:eastAsiaTheme="minorHAnsi" w:hAnsiTheme="minorHAnsi" w:cstheme="minorBidi"/>
          <w:i/>
          <w:kern w:val="0"/>
          <w:sz w:val="22"/>
          <w:szCs w:val="22"/>
          <w:lang w:eastAsia="en-US" w:bidi="ar-SA"/>
        </w:rPr>
        <w:t>…</w:t>
      </w:r>
      <w:r w:rsidR="00A90A78" w:rsidRPr="00A90A78">
        <w:rPr>
          <w:rFonts w:asciiTheme="minorHAnsi" w:eastAsiaTheme="minorHAnsi" w:hAnsiTheme="minorHAnsi" w:cstheme="minorBidi"/>
          <w:i/>
          <w:kern w:val="0"/>
          <w:sz w:val="22"/>
          <w:szCs w:val="22"/>
          <w:lang w:eastAsia="en-US" w:bidi="ar-SA"/>
        </w:rPr>
        <w:t>it is not an infringement of copyright for a person who already has a right to access the work (whether under a licence or otherwise) to copy the work as part of a technical process of analysis and synthesis of the content of the work for the sole purpose of non-commercial research.</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9–1</w:t>
      </w:r>
      <w:r w:rsidRPr="00C70834">
        <w:rPr>
          <w:rFonts w:eastAsia="Times New Roman" w:cs="Times New Roman"/>
          <w:lang w:eastAsia="en-AU"/>
        </w:rPr>
        <w:t xml:space="preserve"> The fair use exception should be applied when determining whether a private and domestic use infringes copyright. ‘Private and domestic use’ should be an illustrative purpose in the fair use exception.</w:t>
      </w:r>
    </w:p>
    <w:p w:rsidR="00F24B51" w:rsidRDefault="003E56A0"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supports the fair use exception in relation to archival material for private and domestic use.</w:t>
      </w:r>
      <w:r w:rsidR="004A6B4F">
        <w:rPr>
          <w:rFonts w:eastAsia="Times New Roman" w:cs="Times New Roman"/>
          <w:lang w:eastAsia="en-AU"/>
        </w:rPr>
        <w:t xml:space="preserve"> </w:t>
      </w:r>
      <w:r>
        <w:rPr>
          <w:rFonts w:eastAsia="Times New Roman" w:cs="Times New Roman"/>
          <w:lang w:eastAsia="en-AU"/>
        </w:rPr>
        <w:t xml:space="preserve"> </w:t>
      </w:r>
      <w:r w:rsidR="00781E5A">
        <w:rPr>
          <w:rFonts w:eastAsia="Times New Roman" w:cs="Times New Roman"/>
          <w:lang w:eastAsia="en-AU"/>
        </w:rPr>
        <w:t>The Archives encourages the use of the archival resources of the Australian Government, which includes non-Crown copyright material, for the purposes of research, study, education, historic and cultural awareness</w:t>
      </w:r>
      <w:r w:rsidR="0083366B">
        <w:rPr>
          <w:rFonts w:eastAsia="Times New Roman" w:cs="Times New Roman"/>
          <w:lang w:eastAsia="en-AU"/>
        </w:rPr>
        <w:t>,</w:t>
      </w:r>
      <w:r w:rsidR="00781E5A">
        <w:rPr>
          <w:rFonts w:eastAsia="Times New Roman" w:cs="Times New Roman"/>
          <w:lang w:eastAsia="en-AU"/>
        </w:rPr>
        <w:t xml:space="preserve"> and personal interest. </w:t>
      </w:r>
      <w:r w:rsidR="00FB3F16">
        <w:rPr>
          <w:rFonts w:eastAsia="Times New Roman" w:cs="Times New Roman"/>
          <w:lang w:eastAsia="en-AU"/>
        </w:rPr>
        <w:t xml:space="preserve"> </w:t>
      </w:r>
      <w:r w:rsidR="0083366B">
        <w:rPr>
          <w:rFonts w:eastAsia="Times New Roman" w:cs="Times New Roman"/>
          <w:lang w:eastAsia="en-AU"/>
        </w:rPr>
        <w:t xml:space="preserve">A fair use exception </w:t>
      </w:r>
      <w:r>
        <w:rPr>
          <w:rFonts w:eastAsia="Times New Roman" w:cs="Times New Roman"/>
          <w:lang w:eastAsia="en-AU"/>
        </w:rPr>
        <w:t>would more readily enable the dissemination of the outcome of original archival research between, for example, family members, and family or local history society members</w:t>
      </w:r>
      <w:r w:rsidR="0083366B">
        <w:rPr>
          <w:rFonts w:eastAsia="Times New Roman" w:cs="Times New Roman"/>
          <w:lang w:eastAsia="en-AU"/>
        </w:rPr>
        <w:t>.</w:t>
      </w:r>
      <w:r w:rsidR="004D398E">
        <w:rPr>
          <w:rFonts w:eastAsia="Times New Roman" w:cs="Times New Roman"/>
          <w:lang w:eastAsia="en-AU"/>
        </w:rPr>
        <w:t xml:space="preserve">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9–2</w:t>
      </w:r>
      <w:r w:rsidRPr="00C70834">
        <w:rPr>
          <w:rFonts w:eastAsia="Times New Roman" w:cs="Times New Roman"/>
          <w:lang w:eastAsia="en-AU"/>
        </w:rPr>
        <w:t xml:space="preserve"> If fair use is not enacted, the </w:t>
      </w:r>
      <w:r w:rsidRPr="00C70834">
        <w:rPr>
          <w:rFonts w:eastAsia="Times New Roman" w:cs="Times New Roman"/>
          <w:i/>
          <w:iCs/>
          <w:lang w:eastAsia="en-AU"/>
        </w:rPr>
        <w:t>Copyright Act</w:t>
      </w:r>
      <w:r w:rsidRPr="00C70834">
        <w:rPr>
          <w:rFonts w:eastAsia="Times New Roman" w:cs="Times New Roman"/>
          <w:lang w:eastAsia="en-AU"/>
        </w:rPr>
        <w:t xml:space="preserve"> should provide for a new fair dealing exception for private and domestic purposes. This should also require the fairness factors to be considered.</w:t>
      </w:r>
    </w:p>
    <w:p w:rsidR="00F24B51" w:rsidRDefault="0083366B"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For the reason outlined in the Archives response to </w:t>
      </w:r>
      <w:r w:rsidR="006B6AF5">
        <w:rPr>
          <w:rFonts w:eastAsia="Times New Roman" w:cs="Times New Roman"/>
          <w:lang w:eastAsia="en-AU"/>
        </w:rPr>
        <w:t xml:space="preserve">Proposal </w:t>
      </w:r>
      <w:r>
        <w:rPr>
          <w:rFonts w:eastAsia="Times New Roman" w:cs="Times New Roman"/>
          <w:lang w:eastAsia="en-AU"/>
        </w:rPr>
        <w:t>9</w:t>
      </w:r>
      <w:r w:rsidR="006B6AF5">
        <w:rPr>
          <w:rFonts w:eastAsia="Times New Roman" w:cs="Times New Roman"/>
          <w:lang w:eastAsia="en-AU"/>
        </w:rPr>
        <w:t>-</w:t>
      </w:r>
      <w:r>
        <w:rPr>
          <w:rFonts w:eastAsia="Times New Roman" w:cs="Times New Roman"/>
          <w:lang w:eastAsia="en-AU"/>
        </w:rPr>
        <w:t xml:space="preserve">1 above, if fair use is not enacted, the Archives would support a new fair dealing exception for private and domestic purposes.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10–2</w:t>
      </w:r>
      <w:r w:rsidRPr="00C70834">
        <w:rPr>
          <w:rFonts w:eastAsia="Times New Roman" w:cs="Times New Roman"/>
          <w:lang w:eastAsia="en-AU"/>
        </w:rPr>
        <w:t xml:space="preserve"> The fair use exception should be applied when determining whether quotation infringes copyright. ‘Quotation’ should be an illustrative purpose in the fair use exception.</w:t>
      </w:r>
    </w:p>
    <w:p w:rsidR="006E19FC" w:rsidRDefault="006E19FC"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10–3</w:t>
      </w:r>
      <w:r w:rsidRPr="00C70834">
        <w:rPr>
          <w:rFonts w:eastAsia="Times New Roman" w:cs="Times New Roman"/>
          <w:lang w:eastAsia="en-AU"/>
        </w:rPr>
        <w:t xml:space="preserve"> If fair use is not enacted, the </w:t>
      </w:r>
      <w:r w:rsidRPr="00C70834">
        <w:rPr>
          <w:rFonts w:eastAsia="Times New Roman" w:cs="Times New Roman"/>
          <w:i/>
          <w:iCs/>
          <w:lang w:eastAsia="en-AU"/>
        </w:rPr>
        <w:t>Copyright Act</w:t>
      </w:r>
      <w:r w:rsidRPr="00C70834">
        <w:rPr>
          <w:rFonts w:eastAsia="Times New Roman" w:cs="Times New Roman"/>
          <w:lang w:eastAsia="en-AU"/>
        </w:rPr>
        <w:t xml:space="preserve"> should provide for a new fair dealing exception for quotation. This should also require the fairness factors to be considered.</w:t>
      </w:r>
    </w:p>
    <w:p w:rsidR="0004396D" w:rsidRDefault="006E19FC"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w:t>
      </w:r>
      <w:r w:rsidR="00E5741F">
        <w:rPr>
          <w:rFonts w:eastAsia="Times New Roman" w:cs="Times New Roman"/>
          <w:lang w:eastAsia="en-AU"/>
        </w:rPr>
        <w:t xml:space="preserve"> supports Proposals 10-2 and 10-</w:t>
      </w:r>
      <w:r>
        <w:rPr>
          <w:rFonts w:eastAsia="Times New Roman" w:cs="Times New Roman"/>
          <w:lang w:eastAsia="en-AU"/>
        </w:rPr>
        <w:t>3.</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11–1</w:t>
      </w:r>
      <w:r w:rsidRPr="00C70834">
        <w:rPr>
          <w:rFonts w:eastAsia="Times New Roman" w:cs="Times New Roman"/>
          <w:lang w:eastAsia="en-AU"/>
        </w:rPr>
        <w:t xml:space="preserve"> If fair use is enacted, s 200AB of the </w:t>
      </w:r>
      <w:r w:rsidRPr="00C70834">
        <w:rPr>
          <w:rFonts w:eastAsia="Times New Roman" w:cs="Times New Roman"/>
          <w:i/>
          <w:iCs/>
          <w:lang w:eastAsia="en-AU"/>
        </w:rPr>
        <w:t>Copyright Act</w:t>
      </w:r>
      <w:r w:rsidRPr="00C70834">
        <w:rPr>
          <w:rFonts w:eastAsia="Times New Roman" w:cs="Times New Roman"/>
          <w:lang w:eastAsia="en-AU"/>
        </w:rPr>
        <w:t xml:space="preserve"> should be repealed.</w:t>
      </w:r>
    </w:p>
    <w:p w:rsidR="00424D5B" w:rsidRDefault="00424D5B" w:rsidP="00663A90">
      <w:pPr>
        <w:tabs>
          <w:tab w:val="left" w:pos="851"/>
        </w:tabs>
      </w:pPr>
      <w:r>
        <w:t>The Archives supports the introduction of a ‘fair use’ exception for cultural institutions and the repeal of s</w:t>
      </w:r>
      <w:r w:rsidR="00535C20">
        <w:t xml:space="preserve"> </w:t>
      </w:r>
      <w:r>
        <w:t>200AB</w:t>
      </w:r>
      <w:r w:rsidR="004E6F9E">
        <w:t xml:space="preserve"> of the Copyright Act</w:t>
      </w:r>
      <w:r>
        <w:t xml:space="preserve">. </w:t>
      </w:r>
      <w:r w:rsidR="00535C20">
        <w:t xml:space="preserve"> </w:t>
      </w:r>
      <w:r>
        <w:t>The uncertainty around the scope and applicat</w:t>
      </w:r>
      <w:r w:rsidR="004E6F9E">
        <w:t xml:space="preserve">ion of </w:t>
      </w:r>
      <w:r w:rsidR="00FB3F16">
        <w:br/>
      </w:r>
      <w:r w:rsidR="004E6F9E">
        <w:t>s</w:t>
      </w:r>
      <w:r w:rsidR="00535C20">
        <w:t xml:space="preserve"> </w:t>
      </w:r>
      <w:r w:rsidR="004E6F9E">
        <w:t>200AB means that the Archives has</w:t>
      </w:r>
      <w:r>
        <w:t xml:space="preserve"> rarely used this provision.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11–2</w:t>
      </w:r>
      <w:r w:rsidRPr="00C70834">
        <w:rPr>
          <w:rFonts w:eastAsia="Times New Roman" w:cs="Times New Roman"/>
          <w:lang w:eastAsia="en-AU"/>
        </w:rPr>
        <w:t xml:space="preserve"> The fair use exception should be applied when determining whether uses of copyright material not covered by specific libraries and archives exceptions infringe copyright.</w:t>
      </w:r>
    </w:p>
    <w:p w:rsidR="004E6F9E" w:rsidRDefault="004E6F9E"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lastRenderedPageBreak/>
        <w:t xml:space="preserve">The Archives supports Proposal 11-2. </w:t>
      </w:r>
      <w:r w:rsidR="00535C20">
        <w:rPr>
          <w:rFonts w:eastAsia="Times New Roman" w:cs="Times New Roman"/>
          <w:lang w:eastAsia="en-AU"/>
        </w:rPr>
        <w:t xml:space="preserve"> </w:t>
      </w:r>
      <w:r>
        <w:rPr>
          <w:rFonts w:eastAsia="Times New Roman" w:cs="Times New Roman"/>
          <w:lang w:eastAsia="en-AU"/>
        </w:rPr>
        <w:t xml:space="preserve">In particular, the Archives submits that specific exceptions for libraries and archives should remain part of the </w:t>
      </w:r>
      <w:r w:rsidR="00CB453D">
        <w:rPr>
          <w:rFonts w:eastAsia="Times New Roman" w:cs="Times New Roman"/>
          <w:lang w:eastAsia="en-AU"/>
        </w:rPr>
        <w:t xml:space="preserve">copyright </w:t>
      </w:r>
      <w:r>
        <w:rPr>
          <w:rFonts w:eastAsia="Times New Roman" w:cs="Times New Roman"/>
          <w:lang w:eastAsia="en-AU"/>
        </w:rPr>
        <w:t xml:space="preserve">regime. </w:t>
      </w:r>
      <w:r w:rsidR="00535C20">
        <w:rPr>
          <w:rFonts w:eastAsia="Times New Roman" w:cs="Times New Roman"/>
          <w:lang w:eastAsia="en-AU"/>
        </w:rPr>
        <w:t xml:space="preserve"> </w:t>
      </w:r>
      <w:r w:rsidR="00335934">
        <w:rPr>
          <w:rFonts w:eastAsia="Times New Roman" w:cs="Times New Roman"/>
          <w:lang w:eastAsia="en-AU"/>
        </w:rPr>
        <w:t>The Archives supports the availability of the ‘fair use’ exception where uses are not included in the specific libraries and archives exceptions.</w:t>
      </w:r>
    </w:p>
    <w:p w:rsidR="008E36D2" w:rsidRDefault="008E36D2" w:rsidP="00663A90">
      <w:pPr>
        <w:tabs>
          <w:tab w:val="left" w:pos="851"/>
        </w:tabs>
      </w:pPr>
      <w:r>
        <w:t>The</w:t>
      </w:r>
      <w:r w:rsidR="00B77673">
        <w:t xml:space="preserve"> </w:t>
      </w:r>
      <w:r>
        <w:t>Archives suggests that in recognition and support of the role of archival institutions as providers of content that informs and educates the public and supports democratic processes that the Archives, and other government archives, should continue to have a special status in the copyright regime with the provision of special ex</w:t>
      </w:r>
      <w:r w:rsidR="00C57D66">
        <w:t>ceptions</w:t>
      </w:r>
      <w:r>
        <w:t>.</w:t>
      </w:r>
      <w:r w:rsidR="00535C20">
        <w:t xml:space="preserve"> </w:t>
      </w:r>
      <w:r>
        <w:t xml:space="preserve"> Copyright legislation should not unnecessarily prohibit the statutory right of the public to access this information, including the access to the</w:t>
      </w:r>
      <w:r w:rsidR="007B066A">
        <w:t xml:space="preserve"> </w:t>
      </w:r>
      <w:r>
        <w:t xml:space="preserve">Archives’ </w:t>
      </w:r>
      <w:r w:rsidR="00C57D66">
        <w:t>collection</w:t>
      </w:r>
      <w:r>
        <w:t xml:space="preserve"> by means of new digital technologies.</w:t>
      </w:r>
    </w:p>
    <w:p w:rsidR="00357D57" w:rsidRDefault="00357D57" w:rsidP="00663A90">
      <w:pPr>
        <w:tabs>
          <w:tab w:val="left" w:pos="851"/>
        </w:tabs>
      </w:pPr>
      <w:r>
        <w:t>Where a spec</w:t>
      </w:r>
      <w:r w:rsidR="00E5741F">
        <w:t>ific exception is not available</w:t>
      </w:r>
      <w:r>
        <w:t xml:space="preserve"> a ‘fair use’ exception would allow cultural institutions to consider the effect of the use upon the potential market for, or the value of, the copyright material in their collection and balance that against the public benefit of making cultural heritage material widely available. </w:t>
      </w:r>
      <w:r w:rsidR="00B00306">
        <w:t xml:space="preserve"> </w:t>
      </w:r>
      <w:r>
        <w:t xml:space="preserve">The Archives anticipates that such an exception would allow publicly funded government archives to engage with the digital environment by providing access to collections online without harm to the commercial interests of the copyright owners. </w:t>
      </w:r>
    </w:p>
    <w:p w:rsidR="00F87D06" w:rsidRPr="00C54311" w:rsidRDefault="008E36D2" w:rsidP="00663A90">
      <w:pPr>
        <w:tabs>
          <w:tab w:val="left" w:pos="851"/>
        </w:tabs>
      </w:pPr>
      <w:r>
        <w:rPr>
          <w:rFonts w:eastAsia="Times New Roman" w:cs="Times New Roman"/>
          <w:lang w:eastAsia="en-AU"/>
        </w:rPr>
        <w:t>The Archives submits that a combination type proposal for the use of archives specific exceptions and/or a ‘fair use’ exception</w:t>
      </w:r>
      <w:r w:rsidR="00E5741F">
        <w:rPr>
          <w:rFonts w:eastAsia="Times New Roman" w:cs="Times New Roman"/>
          <w:lang w:eastAsia="en-AU"/>
        </w:rPr>
        <w:t xml:space="preserve"> needs to ensure that it does not</w:t>
      </w:r>
      <w:r>
        <w:rPr>
          <w:rFonts w:eastAsia="Times New Roman" w:cs="Times New Roman"/>
          <w:lang w:eastAsia="en-AU"/>
        </w:rPr>
        <w:t xml:space="preserve"> result in </w:t>
      </w:r>
      <w:r w:rsidR="00F87D06">
        <w:rPr>
          <w:rFonts w:eastAsia="Times New Roman" w:cs="Times New Roman"/>
          <w:lang w:eastAsia="en-AU"/>
        </w:rPr>
        <w:t>an equally or more rigid system that requires extensive case law and legal resources to interpret.</w:t>
      </w:r>
      <w:r>
        <w:rPr>
          <w:rFonts w:eastAsia="Times New Roman" w:cs="Times New Roman"/>
          <w:lang w:eastAsia="en-AU"/>
        </w:rPr>
        <w:t xml:space="preserve"> </w:t>
      </w:r>
      <w:r w:rsidR="00B00306">
        <w:rPr>
          <w:rFonts w:eastAsia="Times New Roman" w:cs="Times New Roman"/>
          <w:lang w:eastAsia="en-AU"/>
        </w:rPr>
        <w:t xml:space="preserve"> </w:t>
      </w:r>
      <w:r w:rsidR="00C54311">
        <w:rPr>
          <w:rFonts w:eastAsia="Times New Roman" w:cs="Times New Roman"/>
          <w:lang w:eastAsia="en-AU"/>
        </w:rPr>
        <w:t>It is therefore essential that access to any f</w:t>
      </w:r>
      <w:r w:rsidR="009B6538">
        <w:t>air use ex</w:t>
      </w:r>
      <w:r w:rsidR="00254814">
        <w:t>ceptions</w:t>
      </w:r>
      <w:r w:rsidR="009B6538">
        <w:t xml:space="preserve"> are not</w:t>
      </w:r>
      <w:r w:rsidR="00C54311">
        <w:t xml:space="preserve"> constrained by specific library and archive exceptions so as to cause unnecessary uncertai</w:t>
      </w:r>
      <w:r w:rsidR="00EB2CB2">
        <w:t xml:space="preserve">nty in relation to </w:t>
      </w:r>
      <w:r w:rsidR="00C57D66">
        <w:t xml:space="preserve">their </w:t>
      </w:r>
      <w:r w:rsidR="00EB2CB2">
        <w:t>application.</w:t>
      </w:r>
    </w:p>
    <w:p w:rsidR="00F87D06" w:rsidRDefault="00C54311"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w:t>
      </w:r>
      <w:r w:rsidR="00F87D06">
        <w:rPr>
          <w:rFonts w:eastAsia="Times New Roman" w:cs="Times New Roman"/>
          <w:lang w:eastAsia="en-AU"/>
        </w:rPr>
        <w:t>Archives supports greater certainty in relation to the ‘fair use’ exception for this reason.</w:t>
      </w:r>
      <w:r w:rsidR="003117C1">
        <w:rPr>
          <w:rFonts w:eastAsia="Times New Roman" w:cs="Times New Roman"/>
          <w:lang w:eastAsia="en-AU"/>
        </w:rPr>
        <w:t xml:space="preserve"> </w:t>
      </w:r>
      <w:r w:rsidR="00B00306">
        <w:rPr>
          <w:rFonts w:eastAsia="Times New Roman" w:cs="Times New Roman"/>
          <w:lang w:eastAsia="en-AU"/>
        </w:rPr>
        <w:t xml:space="preserve"> </w:t>
      </w:r>
      <w:r w:rsidR="003117C1">
        <w:rPr>
          <w:rFonts w:eastAsia="Times New Roman" w:cs="Times New Roman"/>
          <w:lang w:eastAsia="en-AU"/>
        </w:rPr>
        <w:t>The</w:t>
      </w:r>
      <w:r w:rsidR="00961B9F">
        <w:rPr>
          <w:rFonts w:eastAsia="Times New Roman" w:cs="Times New Roman"/>
          <w:lang w:eastAsia="en-AU"/>
        </w:rPr>
        <w:t xml:space="preserve"> </w:t>
      </w:r>
      <w:r w:rsidR="003117C1">
        <w:rPr>
          <w:rFonts w:eastAsia="Times New Roman" w:cs="Times New Roman"/>
          <w:lang w:eastAsia="en-AU"/>
        </w:rPr>
        <w:t xml:space="preserve">Archives notes the ALRC comments in paragraph 11.43 of the Discussion Paper and submits that they support the need for greater certainty as to the ambit of ‘public administration’ and the consideration of a </w:t>
      </w:r>
      <w:r w:rsidR="00254814">
        <w:rPr>
          <w:rFonts w:eastAsia="Times New Roman" w:cs="Times New Roman"/>
          <w:lang w:eastAsia="en-AU"/>
        </w:rPr>
        <w:t>‘</w:t>
      </w:r>
      <w:r w:rsidR="003117C1">
        <w:rPr>
          <w:rFonts w:eastAsia="Times New Roman" w:cs="Times New Roman"/>
          <w:lang w:eastAsia="en-AU"/>
        </w:rPr>
        <w:t xml:space="preserve">cultural </w:t>
      </w:r>
      <w:r w:rsidR="009B6538">
        <w:rPr>
          <w:rFonts w:eastAsia="Times New Roman" w:cs="Times New Roman"/>
          <w:lang w:eastAsia="en-AU"/>
        </w:rPr>
        <w:t>heritage</w:t>
      </w:r>
      <w:r w:rsidR="00254814">
        <w:rPr>
          <w:rFonts w:eastAsia="Times New Roman" w:cs="Times New Roman"/>
          <w:lang w:eastAsia="en-AU"/>
        </w:rPr>
        <w:t>’</w:t>
      </w:r>
      <w:r w:rsidR="009B6538">
        <w:rPr>
          <w:rFonts w:eastAsia="Times New Roman" w:cs="Times New Roman"/>
          <w:lang w:eastAsia="en-AU"/>
        </w:rPr>
        <w:t xml:space="preserve"> </w:t>
      </w:r>
      <w:r w:rsidR="003117C1">
        <w:rPr>
          <w:rFonts w:eastAsia="Times New Roman" w:cs="Times New Roman"/>
          <w:lang w:eastAsia="en-AU"/>
        </w:rPr>
        <w:t xml:space="preserve">specific illustrative </w:t>
      </w:r>
      <w:r w:rsidR="00254814">
        <w:rPr>
          <w:rFonts w:eastAsia="Times New Roman" w:cs="Times New Roman"/>
          <w:lang w:eastAsia="en-AU"/>
        </w:rPr>
        <w:t>use</w:t>
      </w:r>
      <w:r w:rsidR="003117C1">
        <w:rPr>
          <w:rFonts w:eastAsia="Times New Roman" w:cs="Times New Roman"/>
          <w:lang w:eastAsia="en-AU"/>
        </w:rPr>
        <w:t>.</w:t>
      </w:r>
    </w:p>
    <w:p w:rsidR="00A33474" w:rsidRPr="006F6AF5" w:rsidRDefault="00A33474" w:rsidP="00663A90">
      <w:pPr>
        <w:keepNext/>
        <w:tabs>
          <w:tab w:val="left" w:pos="851"/>
        </w:tabs>
        <w:spacing w:before="100" w:beforeAutospacing="1" w:after="100" w:afterAutospacing="1" w:line="240" w:lineRule="auto"/>
        <w:rPr>
          <w:rFonts w:eastAsia="Times New Roman" w:cs="Times New Roman"/>
          <w:lang w:eastAsia="en-AU"/>
        </w:rPr>
      </w:pPr>
      <w:r w:rsidRPr="006F6AF5">
        <w:rPr>
          <w:rFonts w:eastAsia="Times New Roman" w:cs="Times New Roman"/>
          <w:lang w:eastAsia="en-AU"/>
        </w:rPr>
        <w:t xml:space="preserve">The Archives currently has a specific exception in s 51AA of the Copyright Act.  Section 51AA provides for the communication of works between the Archives’ central office and regional offices for administrative purposes.  </w:t>
      </w:r>
    </w:p>
    <w:p w:rsidR="00A33474" w:rsidRPr="006F6AF5" w:rsidRDefault="00A33474" w:rsidP="00663A90">
      <w:pPr>
        <w:keepNext/>
        <w:tabs>
          <w:tab w:val="left" w:pos="851"/>
        </w:tabs>
        <w:spacing w:before="100" w:beforeAutospacing="1" w:after="100" w:afterAutospacing="1" w:line="240" w:lineRule="auto"/>
        <w:rPr>
          <w:rFonts w:eastAsia="Times New Roman" w:cs="Times New Roman"/>
          <w:lang w:eastAsia="en-AU"/>
        </w:rPr>
      </w:pPr>
      <w:r w:rsidRPr="006F6AF5">
        <w:rPr>
          <w:rFonts w:eastAsia="Times New Roman" w:cs="Times New Roman"/>
          <w:lang w:eastAsia="en-AU"/>
        </w:rPr>
        <w:t xml:space="preserve">Section 51AA does not however adequately deal with the multiple copying of works now required in the current digital environment.  Section 51AA was introduced pursuant to the </w:t>
      </w:r>
      <w:r w:rsidRPr="006F6AF5">
        <w:rPr>
          <w:rFonts w:eastAsia="Times New Roman" w:cs="Times New Roman"/>
          <w:i/>
          <w:lang w:eastAsia="en-AU"/>
        </w:rPr>
        <w:t>Copyright Amendment Act 1989</w:t>
      </w:r>
      <w:r w:rsidRPr="006F6AF5">
        <w:rPr>
          <w:rFonts w:eastAsia="Times New Roman" w:cs="Times New Roman"/>
          <w:lang w:eastAsia="en-AU"/>
        </w:rPr>
        <w:t xml:space="preserve"> (Cth).  The Explanatory Memorandum for the </w:t>
      </w:r>
      <w:r w:rsidRPr="00FB3F16">
        <w:rPr>
          <w:rFonts w:eastAsia="Times New Roman" w:cs="Times New Roman"/>
          <w:lang w:eastAsia="en-AU"/>
        </w:rPr>
        <w:t>Copyright Amendment Bill 1988</w:t>
      </w:r>
      <w:r w:rsidRPr="006F6AF5">
        <w:rPr>
          <w:rFonts w:eastAsia="Times New Roman" w:cs="Times New Roman"/>
          <w:lang w:eastAsia="en-AU"/>
        </w:rPr>
        <w:t xml:space="preserve"> (Cth) provides the following in relation to the introduction of s 51AA:</w:t>
      </w:r>
    </w:p>
    <w:p w:rsidR="00A33474" w:rsidRPr="006F6AF5" w:rsidRDefault="00A33474" w:rsidP="00663A90">
      <w:pPr>
        <w:tabs>
          <w:tab w:val="left" w:pos="851"/>
        </w:tabs>
        <w:spacing w:before="100" w:beforeAutospacing="1" w:after="100" w:afterAutospacing="1" w:line="240" w:lineRule="auto"/>
        <w:ind w:left="720"/>
        <w:rPr>
          <w:rFonts w:eastAsia="Times New Roman" w:cs="Times New Roman"/>
          <w:i/>
          <w:lang w:eastAsia="en-AU"/>
        </w:rPr>
      </w:pPr>
      <w:r w:rsidRPr="006F6AF5">
        <w:rPr>
          <w:rFonts w:eastAsia="Times New Roman" w:cs="Times New Roman"/>
          <w:i/>
          <w:lang w:eastAsia="en-AU"/>
        </w:rPr>
        <w:t>Clause 6 – Copying of works in Australian Archives</w:t>
      </w:r>
    </w:p>
    <w:p w:rsidR="00A33474" w:rsidRPr="006F6AF5" w:rsidRDefault="00A33474" w:rsidP="00663A90">
      <w:pPr>
        <w:tabs>
          <w:tab w:val="left" w:pos="851"/>
        </w:tabs>
        <w:spacing w:before="100" w:beforeAutospacing="1" w:after="100" w:afterAutospacing="1" w:line="240" w:lineRule="auto"/>
        <w:ind w:left="720"/>
        <w:rPr>
          <w:rFonts w:eastAsia="Times New Roman" w:cs="Times New Roman"/>
          <w:i/>
          <w:lang w:eastAsia="en-AU"/>
        </w:rPr>
      </w:pPr>
      <w:r w:rsidRPr="006F6AF5">
        <w:rPr>
          <w:rFonts w:eastAsia="Times New Roman" w:cs="Times New Roman"/>
          <w:i/>
          <w:lang w:eastAsia="en-AU"/>
        </w:rPr>
        <w:t>8. Cl.6 will insert a new section (s.51AA) in the Act which will extend the right to the Australian Archives to copy works held in its archival collection.  New s.51AA will enable the Australian Archives to make a ‘working copy’ of a work kept in its collection from which a ‘reference copy’ (including a replacement reference copy) may be made for the Archives or, upon request, for each regional office of the Archives.</w:t>
      </w:r>
    </w:p>
    <w:p w:rsidR="00A33474" w:rsidRPr="006F6AF5" w:rsidRDefault="00A33474" w:rsidP="00663A90">
      <w:pPr>
        <w:tabs>
          <w:tab w:val="left" w:pos="851"/>
        </w:tabs>
        <w:spacing w:before="100" w:beforeAutospacing="1" w:after="100" w:afterAutospacing="1" w:line="240" w:lineRule="auto"/>
        <w:ind w:left="720"/>
        <w:rPr>
          <w:rFonts w:eastAsia="Times New Roman" w:cs="Times New Roman"/>
          <w:lang w:eastAsia="en-AU"/>
        </w:rPr>
      </w:pPr>
      <w:r w:rsidRPr="006F6AF5">
        <w:rPr>
          <w:rFonts w:eastAsia="Times New Roman" w:cs="Times New Roman"/>
          <w:i/>
          <w:lang w:eastAsia="en-AU"/>
        </w:rPr>
        <w:lastRenderedPageBreak/>
        <w:t>9. By enabling the Australian Archives to make multiple copies of works for access purposes, the new provision will overcome the administrative and practical problems caused by the present limitation under the Act (s.51A) which allows only a single copy to be made for the purposes of preservation or replacement.</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11–3</w:t>
      </w:r>
      <w:r w:rsidRPr="00C70834">
        <w:rPr>
          <w:rFonts w:eastAsia="Times New Roman" w:cs="Times New Roman"/>
          <w:lang w:eastAsia="en-AU"/>
        </w:rPr>
        <w:t xml:space="preserve"> If fair use is not enacted, the </w:t>
      </w:r>
      <w:r w:rsidRPr="00C70834">
        <w:rPr>
          <w:rFonts w:eastAsia="Times New Roman" w:cs="Times New Roman"/>
          <w:i/>
          <w:iCs/>
          <w:lang w:eastAsia="en-AU"/>
        </w:rPr>
        <w:t>Copyright Act</w:t>
      </w:r>
      <w:r w:rsidRPr="00C70834">
        <w:rPr>
          <w:rFonts w:eastAsia="Times New Roman" w:cs="Times New Roman"/>
          <w:lang w:eastAsia="en-AU"/>
        </w:rPr>
        <w:t xml:space="preserve"> should be amended to provide for a new fair dealing exception for libraries and archives. This should also require the fairness factors to be considered.</w:t>
      </w:r>
    </w:p>
    <w:p w:rsidR="00B77673" w:rsidRDefault="00B77673"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supports a new fair dealing exception for libraries and archives if fair use is not enacted.</w:t>
      </w:r>
      <w:r w:rsidR="00B00306">
        <w:rPr>
          <w:rFonts w:eastAsia="Times New Roman" w:cs="Times New Roman"/>
          <w:lang w:eastAsia="en-AU"/>
        </w:rPr>
        <w:t xml:space="preserve"> </w:t>
      </w:r>
      <w:r>
        <w:rPr>
          <w:rFonts w:eastAsia="Times New Roman" w:cs="Times New Roman"/>
          <w:lang w:eastAsia="en-AU"/>
        </w:rPr>
        <w:t xml:space="preserve"> As the fair dealing exceptions are considered an exhaustive list it is very important that the functions of libraries and archives are recognised as a specific exception.</w:t>
      </w:r>
      <w:r w:rsidR="00B00306">
        <w:rPr>
          <w:rFonts w:eastAsia="Times New Roman" w:cs="Times New Roman"/>
          <w:lang w:eastAsia="en-AU"/>
        </w:rPr>
        <w:t xml:space="preserve"> </w:t>
      </w:r>
      <w:r>
        <w:rPr>
          <w:rFonts w:eastAsia="Times New Roman" w:cs="Times New Roman"/>
          <w:lang w:eastAsia="en-AU"/>
        </w:rPr>
        <w:t xml:space="preserve"> Further, the Archives </w:t>
      </w:r>
      <w:r w:rsidR="005743A2">
        <w:rPr>
          <w:rFonts w:eastAsia="Times New Roman" w:cs="Times New Roman"/>
          <w:lang w:eastAsia="en-AU"/>
        </w:rPr>
        <w:t>support</w:t>
      </w:r>
      <w:r w:rsidR="007942CC">
        <w:rPr>
          <w:rFonts w:eastAsia="Times New Roman" w:cs="Times New Roman"/>
          <w:lang w:eastAsia="en-AU"/>
        </w:rPr>
        <w:t>s</w:t>
      </w:r>
      <w:r w:rsidR="005743A2">
        <w:rPr>
          <w:rFonts w:eastAsia="Times New Roman" w:cs="Times New Roman"/>
          <w:lang w:eastAsia="en-AU"/>
        </w:rPr>
        <w:t xml:space="preserve"> the</w:t>
      </w:r>
      <w:r w:rsidR="00C57D66">
        <w:rPr>
          <w:rFonts w:eastAsia="Times New Roman" w:cs="Times New Roman"/>
          <w:lang w:eastAsia="en-AU"/>
        </w:rPr>
        <w:t xml:space="preserve"> use of </w:t>
      </w:r>
      <w:r>
        <w:rPr>
          <w:rFonts w:eastAsia="Times New Roman" w:cs="Times New Roman"/>
          <w:lang w:eastAsia="en-AU"/>
        </w:rPr>
        <w:t>the fairness factors in determining the application of the fair dealing exceptions.</w:t>
      </w:r>
      <w:r w:rsidR="006911C9">
        <w:rPr>
          <w:rFonts w:eastAsia="Times New Roman" w:cs="Times New Roman"/>
          <w:lang w:eastAsia="en-AU"/>
        </w:rPr>
        <w:t xml:space="preserve"> The</w:t>
      </w:r>
      <w:r w:rsidR="007942CC">
        <w:rPr>
          <w:rFonts w:eastAsia="Times New Roman" w:cs="Times New Roman"/>
          <w:lang w:eastAsia="en-AU"/>
        </w:rPr>
        <w:t xml:space="preserve"> Archives submits that any</w:t>
      </w:r>
      <w:r w:rsidR="006911C9">
        <w:rPr>
          <w:rFonts w:eastAsia="Times New Roman" w:cs="Times New Roman"/>
          <w:lang w:eastAsia="en-AU"/>
        </w:rPr>
        <w:t xml:space="preserve"> fair dealing exceptions should supplement unremunerated exceptions required for preservation and other internal uses</w:t>
      </w:r>
      <w:r w:rsidR="008A1B78">
        <w:rPr>
          <w:rFonts w:eastAsia="Times New Roman" w:cs="Times New Roman"/>
          <w:lang w:eastAsia="en-AU"/>
        </w:rPr>
        <w:t xml:space="preserve"> of government archives</w:t>
      </w:r>
      <w:r w:rsidR="006911C9">
        <w:rPr>
          <w:rFonts w:eastAsia="Times New Roman" w:cs="Times New Roman"/>
          <w:lang w:eastAsia="en-AU"/>
        </w:rPr>
        <w:t>.</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 xml:space="preserve">Question 11–1 </w:t>
      </w:r>
      <w:r w:rsidRPr="00C70834">
        <w:rPr>
          <w:rFonts w:eastAsia="Times New Roman" w:cs="Times New Roman"/>
          <w:lang w:eastAsia="en-AU"/>
        </w:rPr>
        <w:t xml:space="preserve">Should voluntary extended collective licensing be facilitated to deal with mass digitisation projects by libraries, museums and archives? How can the </w:t>
      </w:r>
      <w:r w:rsidRPr="00C70834">
        <w:rPr>
          <w:rFonts w:eastAsia="Times New Roman" w:cs="Times New Roman"/>
          <w:i/>
          <w:iCs/>
          <w:lang w:eastAsia="en-AU"/>
        </w:rPr>
        <w:t>Copyright Act</w:t>
      </w:r>
      <w:r w:rsidRPr="00C70834">
        <w:rPr>
          <w:rFonts w:eastAsia="Times New Roman" w:cs="Times New Roman"/>
          <w:lang w:eastAsia="en-AU"/>
        </w:rPr>
        <w:t xml:space="preserve"> be amended to facilitate voluntary extended collective licensing?</w:t>
      </w:r>
    </w:p>
    <w:p w:rsidR="00424D5B" w:rsidRPr="002F0DB7" w:rsidRDefault="00424D5B" w:rsidP="00663A90">
      <w:pPr>
        <w:tabs>
          <w:tab w:val="left" w:pos="851"/>
        </w:tabs>
        <w:rPr>
          <w:b/>
        </w:rPr>
      </w:pPr>
      <w:r>
        <w:t xml:space="preserve">The Archives does not support the extension of voluntary collective licensing to deal with mass digitisation projects by libraries, museums and archives. </w:t>
      </w:r>
      <w:r w:rsidR="00B00306">
        <w:t xml:space="preserve"> </w:t>
      </w:r>
      <w:r>
        <w:t xml:space="preserve">The extension of the voluntary collective licencing scheme to cover records held in government archives would </w:t>
      </w:r>
      <w:r w:rsidR="00A1335F">
        <w:t>not promote the intent of the Archives Act</w:t>
      </w:r>
      <w:r w:rsidR="0010398F">
        <w:t xml:space="preserve">. </w:t>
      </w:r>
      <w:r w:rsidR="00B00306">
        <w:t xml:space="preserve"> </w:t>
      </w:r>
      <w:r w:rsidR="0010398F">
        <w:t>Instead it would add</w:t>
      </w:r>
      <w:r>
        <w:t xml:space="preserve"> to the cost of making records available to the public in circums</w:t>
      </w:r>
      <w:r w:rsidR="00906F6B">
        <w:t>tances where</w:t>
      </w:r>
      <w:r>
        <w:t xml:space="preserve"> the use</w:t>
      </w:r>
      <w:r w:rsidR="00906F6B">
        <w:t xml:space="preserve"> of those records</w:t>
      </w:r>
      <w:r>
        <w:t xml:space="preserve"> does not prejudice the legitimate interests of the owner of </w:t>
      </w:r>
      <w:r w:rsidR="00C57D66">
        <w:t xml:space="preserve">the </w:t>
      </w:r>
      <w:r>
        <w:t xml:space="preserve">copyright.  </w:t>
      </w:r>
    </w:p>
    <w:p w:rsidR="00424D5B" w:rsidRDefault="00424D5B" w:rsidP="00663A90">
      <w:pPr>
        <w:tabs>
          <w:tab w:val="left" w:pos="851"/>
        </w:tabs>
      </w:pPr>
      <w:r>
        <w:t xml:space="preserve">Records in government archives are predominately non-commercial in nature and may contain a mix of copyright owners. </w:t>
      </w:r>
      <w:r w:rsidR="00B00306">
        <w:t xml:space="preserve"> </w:t>
      </w:r>
      <w:r>
        <w:t>A significant proportion of the Archives’ collection, for example, is owned by the Crown but other material, such as correspondence from individuals to government ministers, is third</w:t>
      </w:r>
      <w:r w:rsidR="00CB453D">
        <w:t>-</w:t>
      </w:r>
      <w:r>
        <w:t xml:space="preserve">party material and copyright </w:t>
      </w:r>
      <w:r w:rsidR="00C57D66">
        <w:t xml:space="preserve">may </w:t>
      </w:r>
      <w:r>
        <w:t xml:space="preserve">rest with the author. </w:t>
      </w:r>
      <w:r w:rsidR="00B00306">
        <w:t xml:space="preserve"> </w:t>
      </w:r>
      <w:r>
        <w:t>The authors, or their heirs, of such material are unlikely to be able to be traced given the age of government arch</w:t>
      </w:r>
      <w:r w:rsidR="00AE58FE">
        <w:t>ival collections</w:t>
      </w:r>
      <w:r>
        <w:t>.</w:t>
      </w:r>
    </w:p>
    <w:p w:rsidR="006911C9" w:rsidRDefault="00424D5B" w:rsidP="00663A90">
      <w:pPr>
        <w:tabs>
          <w:tab w:val="left" w:pos="851"/>
        </w:tabs>
      </w:pPr>
      <w:r>
        <w:t>The Archives</w:t>
      </w:r>
      <w:r w:rsidR="00254814">
        <w:t>’</w:t>
      </w:r>
      <w:r>
        <w:t xml:space="preserve"> collection, like that of other government archives, contains records that provide evidence of government decision-making and the interaction between the government and the </w:t>
      </w:r>
      <w:r w:rsidR="006F1536">
        <w:t>public</w:t>
      </w:r>
      <w:r>
        <w:t xml:space="preserve">. </w:t>
      </w:r>
      <w:r w:rsidR="00B00306">
        <w:t xml:space="preserve"> </w:t>
      </w:r>
      <w:r>
        <w:t xml:space="preserve">Such collections support cultural research, accountability of government and assist </w:t>
      </w:r>
      <w:r w:rsidR="00816AD6">
        <w:t xml:space="preserve">to </w:t>
      </w:r>
      <w:r>
        <w:t xml:space="preserve">establish the rights and entitlements of individuals. </w:t>
      </w:r>
      <w:r w:rsidR="00B00306">
        <w:t xml:space="preserve"> </w:t>
      </w:r>
      <w:r>
        <w:t>Access to archival records, including via the internet supports democracy, accountability and good governance.</w:t>
      </w:r>
      <w:r w:rsidR="00B00306">
        <w:t xml:space="preserve"> </w:t>
      </w:r>
      <w:r>
        <w:t xml:space="preserve"> It is</w:t>
      </w:r>
      <w:r w:rsidR="00906F6B">
        <w:t xml:space="preserve"> therefore important that the Copyright Act </w:t>
      </w:r>
      <w:r>
        <w:t>provide</w:t>
      </w:r>
      <w:r w:rsidR="00485304">
        <w:t>s</w:t>
      </w:r>
      <w:r>
        <w:t xml:space="preserve"> a flexible framework that allows cultural institutions to engage with the digital age and make their collections a</w:t>
      </w:r>
      <w:r w:rsidR="0010398F">
        <w:t>vailable online</w:t>
      </w:r>
      <w:r>
        <w:t>.</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11–4</w:t>
      </w:r>
      <w:r w:rsidRPr="00C70834">
        <w:rPr>
          <w:rFonts w:eastAsia="Times New Roman" w:cs="Times New Roman"/>
          <w:lang w:eastAsia="en-AU"/>
        </w:rPr>
        <w:t xml:space="preserve"> The </w:t>
      </w:r>
      <w:r w:rsidRPr="00C70834">
        <w:rPr>
          <w:rFonts w:eastAsia="Times New Roman" w:cs="Times New Roman"/>
          <w:i/>
          <w:iCs/>
          <w:lang w:eastAsia="en-AU"/>
        </w:rPr>
        <w:t>Copyright Act</w:t>
      </w:r>
      <w:r w:rsidRPr="00C70834">
        <w:rPr>
          <w:rFonts w:eastAsia="Times New Roman" w:cs="Times New Roman"/>
          <w:lang w:eastAsia="en-AU"/>
        </w:rPr>
        <w:t xml:space="preserve"> should be amended to provide a new exception that permits libraries and archives to make copies of copyright material, whether published or unpublished, for the purpose of preservation. The exception should not limit the number or format of copies that may be made.</w:t>
      </w:r>
    </w:p>
    <w:p w:rsidR="00B27CF7" w:rsidRDefault="00B27CF7" w:rsidP="00663A90">
      <w:pPr>
        <w:tabs>
          <w:tab w:val="left" w:pos="851"/>
        </w:tabs>
      </w:pPr>
      <w:r>
        <w:lastRenderedPageBreak/>
        <w:t xml:space="preserve">The Archives supports Proposal 11-4. </w:t>
      </w:r>
      <w:r w:rsidR="00C94016">
        <w:t xml:space="preserve"> </w:t>
      </w:r>
      <w:r>
        <w:t xml:space="preserve">The increasing online demand for access to archival material makes it imperative for archives to make extensive use of digital technology by converting </w:t>
      </w:r>
      <w:r w:rsidR="00E5741F">
        <w:br/>
      </w:r>
      <w:r>
        <w:t>paper-based mat</w:t>
      </w:r>
      <w:r w:rsidR="004E5289">
        <w:t xml:space="preserve">erial into digital format. </w:t>
      </w:r>
      <w:r w:rsidR="00E66D22">
        <w:t xml:space="preserve"> </w:t>
      </w:r>
      <w:r w:rsidR="004E5289">
        <w:t>The</w:t>
      </w:r>
      <w:r>
        <w:t xml:space="preserve"> records and information created in digital format is also growing exponentially with </w:t>
      </w:r>
      <w:r w:rsidR="0010398F">
        <w:t xml:space="preserve">the </w:t>
      </w:r>
      <w:r>
        <w:t xml:space="preserve">increasing use by government of digital technology for conducting its business as part of the digital economy. </w:t>
      </w:r>
    </w:p>
    <w:p w:rsidR="00B27CF7" w:rsidRDefault="00B27CF7" w:rsidP="00663A90">
      <w:pPr>
        <w:tabs>
          <w:tab w:val="left" w:pos="851"/>
        </w:tabs>
      </w:pPr>
      <w:r>
        <w:t>In the digital age, it is important that libraries and archives that are charged with preserving and making cultural heritage material available for public access should be permitted to make as many copies as are necessary to facilitate the effective preservation of their collections.</w:t>
      </w:r>
      <w:r w:rsidR="00E66D22">
        <w:t xml:space="preserve"> </w:t>
      </w:r>
      <w:r>
        <w:t xml:space="preserve"> Such institutions are guided by established preservation standards which take into account best practice in the analogue and digital environment.</w:t>
      </w:r>
    </w:p>
    <w:p w:rsidR="006911C9" w:rsidRPr="00E5741F" w:rsidRDefault="00816AD6" w:rsidP="00663A90">
      <w:pPr>
        <w:tabs>
          <w:tab w:val="left" w:pos="851"/>
        </w:tabs>
      </w:pPr>
      <w:r>
        <w:t>The Archives</w:t>
      </w:r>
      <w:r w:rsidR="00B27CF7">
        <w:t xml:space="preserve"> note</w:t>
      </w:r>
      <w:r>
        <w:t>s</w:t>
      </w:r>
      <w:r w:rsidR="00B27CF7">
        <w:t xml:space="preserve"> that Proposal 11-4</w:t>
      </w:r>
      <w:r w:rsidR="00FD0694">
        <w:t xml:space="preserve"> is expressed around the copying process only, while the modern day preservation of digital material includes a series of activities and a number of preservation methods,</w:t>
      </w:r>
      <w:r w:rsidR="00E66D22">
        <w:t xml:space="preserve"> for example,</w:t>
      </w:r>
      <w:r w:rsidR="00FD0694">
        <w:t xml:space="preserve"> conversion, migration, reformatting or emulation, which ensure that digital information and records of continuing value </w:t>
      </w:r>
      <w:r w:rsidR="006911C9">
        <w:t xml:space="preserve">can </w:t>
      </w:r>
      <w:r w:rsidR="00FD0694">
        <w:t>remain accessible and useable.</w:t>
      </w:r>
      <w:r w:rsidR="00E66D22">
        <w:t xml:space="preserve"> </w:t>
      </w:r>
      <w:r w:rsidR="00FD0694">
        <w:rPr>
          <w:lang/>
        </w:rPr>
        <w:t xml:space="preserve"> </w:t>
      </w:r>
      <w:r w:rsidR="00CB453D">
        <w:rPr>
          <w:lang/>
        </w:rPr>
        <w:t>The Archives</w:t>
      </w:r>
      <w:r w:rsidR="00833A66">
        <w:rPr>
          <w:lang/>
        </w:rPr>
        <w:t xml:space="preserve"> </w:t>
      </w:r>
      <w:r w:rsidR="00FD0694">
        <w:rPr>
          <w:lang/>
        </w:rPr>
        <w:t>suggest</w:t>
      </w:r>
      <w:r w:rsidR="000A7162">
        <w:rPr>
          <w:lang/>
        </w:rPr>
        <w:t>s</w:t>
      </w:r>
      <w:r w:rsidR="00FD0694">
        <w:rPr>
          <w:lang/>
        </w:rPr>
        <w:t xml:space="preserve"> that the proposed amendment is reworded to cover all digital processes which may result in copies being made</w:t>
      </w:r>
      <w:r w:rsidR="006911C9">
        <w:rPr>
          <w:lang/>
        </w:rPr>
        <w:t xml:space="preserve"> for preservation and related internal purposes</w:t>
      </w:r>
      <w:r w:rsidR="00D83035">
        <w:rPr>
          <w:lang/>
        </w:rPr>
        <w:t>.</w:t>
      </w:r>
    </w:p>
    <w:p w:rsidR="00C70834" w:rsidRP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Proposal 11–5</w:t>
      </w:r>
      <w:r w:rsidRPr="00C70834">
        <w:rPr>
          <w:rFonts w:eastAsia="Times New Roman" w:cs="Times New Roman"/>
          <w:lang w:eastAsia="en-AU"/>
        </w:rPr>
        <w:t xml:space="preserve"> If the new preservation copying exception is enacted, the following sections of the </w:t>
      </w:r>
      <w:r w:rsidRPr="00C70834">
        <w:rPr>
          <w:rFonts w:eastAsia="Times New Roman" w:cs="Times New Roman"/>
          <w:i/>
          <w:iCs/>
          <w:lang w:eastAsia="en-AU"/>
        </w:rPr>
        <w:t>Copyright Act</w:t>
      </w:r>
      <w:r w:rsidRPr="00C70834">
        <w:rPr>
          <w:rFonts w:eastAsia="Times New Roman" w:cs="Times New Roman"/>
          <w:lang w:eastAsia="en-AU"/>
        </w:rPr>
        <w:t xml:space="preserve"> should be repealed:</w:t>
      </w:r>
    </w:p>
    <w:p w:rsidR="00C70834" w:rsidRP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(a) </w:t>
      </w:r>
      <w:r w:rsidR="009F39D7">
        <w:rPr>
          <w:rFonts w:eastAsia="Times New Roman" w:cs="Times New Roman"/>
          <w:lang w:eastAsia="en-AU"/>
        </w:rPr>
        <w:tab/>
      </w:r>
      <w:r w:rsidRPr="00C70834">
        <w:rPr>
          <w:rFonts w:eastAsia="Times New Roman" w:cs="Times New Roman"/>
          <w:lang w:eastAsia="en-AU"/>
        </w:rPr>
        <w:t>s 51A—reproducing and communicating works for preservation and other purposes;</w:t>
      </w:r>
    </w:p>
    <w:p w:rsidR="00C70834" w:rsidRP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(b) </w:t>
      </w:r>
      <w:r w:rsidR="009F39D7">
        <w:rPr>
          <w:rFonts w:eastAsia="Times New Roman" w:cs="Times New Roman"/>
          <w:lang w:eastAsia="en-AU"/>
        </w:rPr>
        <w:tab/>
      </w:r>
      <w:r w:rsidRPr="00C70834">
        <w:rPr>
          <w:rFonts w:eastAsia="Times New Roman" w:cs="Times New Roman"/>
          <w:lang w:eastAsia="en-AU"/>
        </w:rPr>
        <w:t>s 51B—making preservation copies of significant works held in key cultural institutions’ collections;</w:t>
      </w:r>
    </w:p>
    <w:p w:rsidR="00C70834" w:rsidRP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(c) </w:t>
      </w:r>
      <w:r w:rsidR="009F39D7">
        <w:rPr>
          <w:rFonts w:eastAsia="Times New Roman" w:cs="Times New Roman"/>
          <w:lang w:eastAsia="en-AU"/>
        </w:rPr>
        <w:tab/>
      </w:r>
      <w:r w:rsidRPr="00C70834">
        <w:rPr>
          <w:rFonts w:eastAsia="Times New Roman" w:cs="Times New Roman"/>
          <w:lang w:eastAsia="en-AU"/>
        </w:rPr>
        <w:t>s 110B—copying and communicating sound recordings and cinematograph films for preservation and other purposes;</w:t>
      </w:r>
    </w:p>
    <w:p w:rsidR="00C70834" w:rsidRP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(d) </w:t>
      </w:r>
      <w:r w:rsidR="009F39D7">
        <w:rPr>
          <w:rFonts w:eastAsia="Times New Roman" w:cs="Times New Roman"/>
          <w:lang w:eastAsia="en-AU"/>
        </w:rPr>
        <w:tab/>
      </w:r>
      <w:r w:rsidRPr="00C70834">
        <w:rPr>
          <w:rFonts w:eastAsia="Times New Roman" w:cs="Times New Roman"/>
          <w:lang w:eastAsia="en-AU"/>
        </w:rPr>
        <w:t>s 110BA—making preservation copies of significant recordings and films in key cultural institutions’ collections; and</w:t>
      </w:r>
    </w:p>
    <w:p w:rsid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(e) </w:t>
      </w:r>
      <w:r w:rsidR="009F39D7">
        <w:rPr>
          <w:rFonts w:eastAsia="Times New Roman" w:cs="Times New Roman"/>
          <w:lang w:eastAsia="en-AU"/>
        </w:rPr>
        <w:tab/>
      </w:r>
      <w:r w:rsidRPr="00C70834">
        <w:rPr>
          <w:rFonts w:eastAsia="Times New Roman" w:cs="Times New Roman"/>
          <w:lang w:eastAsia="en-AU"/>
        </w:rPr>
        <w:t>s 112AA—making preservation copies of significant published editions in key cultural institutions’ collections.</w:t>
      </w:r>
    </w:p>
    <w:p w:rsidR="0004396D" w:rsidRDefault="00816AD6"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supports Proposal 11-5.</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11–6</w:t>
      </w:r>
      <w:r w:rsidRPr="00C70834">
        <w:rPr>
          <w:rFonts w:eastAsia="Times New Roman" w:cs="Times New Roman"/>
          <w:lang w:eastAsia="en-AU"/>
        </w:rPr>
        <w:t xml:space="preserve"> Any new preservation copying exception should contain a requirement that it does not apply to copyright material that can be commercially obtained within a reasonable time at an ordinary commercial price.</w:t>
      </w:r>
    </w:p>
    <w:p w:rsidR="00F56DD6" w:rsidRDefault="00F56DD6"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does not support Proposal 11-6.</w:t>
      </w:r>
    </w:p>
    <w:p w:rsidR="00F56DD6" w:rsidRDefault="00F56DD6"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Archives contends that </w:t>
      </w:r>
      <w:r>
        <w:t>government archival collections are largely unique and therefore it is unlikely that copyright material held by such archives can be commercially obtained from other sources.</w:t>
      </w:r>
    </w:p>
    <w:p w:rsidR="00E5741F" w:rsidRDefault="00F56DD6" w:rsidP="009F39D7">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Other cultural institutions may</w:t>
      </w:r>
      <w:r w:rsidR="00E5741F">
        <w:rPr>
          <w:rFonts w:eastAsia="Times New Roman" w:cs="Times New Roman"/>
          <w:lang w:eastAsia="en-AU"/>
        </w:rPr>
        <w:t>,</w:t>
      </w:r>
      <w:r>
        <w:rPr>
          <w:rFonts w:eastAsia="Times New Roman" w:cs="Times New Roman"/>
          <w:lang w:eastAsia="en-AU"/>
        </w:rPr>
        <w:t xml:space="preserve"> however</w:t>
      </w:r>
      <w:r w:rsidR="00E5741F">
        <w:rPr>
          <w:rFonts w:eastAsia="Times New Roman" w:cs="Times New Roman"/>
          <w:lang w:eastAsia="en-AU"/>
        </w:rPr>
        <w:t>,</w:t>
      </w:r>
      <w:r>
        <w:rPr>
          <w:rFonts w:eastAsia="Times New Roman" w:cs="Times New Roman"/>
          <w:lang w:eastAsia="en-AU"/>
        </w:rPr>
        <w:t xml:space="preserve"> be adversely affected by such a proposal in terms of the resources and financial implications of undertaking the ‘checking’ process. </w:t>
      </w:r>
      <w:r w:rsidR="00E66D22">
        <w:rPr>
          <w:rFonts w:eastAsia="Times New Roman" w:cs="Times New Roman"/>
          <w:lang w:eastAsia="en-AU"/>
        </w:rPr>
        <w:t xml:space="preserve"> </w:t>
      </w:r>
      <w:r>
        <w:rPr>
          <w:rFonts w:eastAsia="Times New Roman" w:cs="Times New Roman"/>
          <w:lang w:eastAsia="en-AU"/>
        </w:rPr>
        <w:t xml:space="preserve">At </w:t>
      </w:r>
      <w:r w:rsidR="000510F5">
        <w:rPr>
          <w:rFonts w:eastAsia="Times New Roman" w:cs="Times New Roman"/>
          <w:lang w:eastAsia="en-AU"/>
        </w:rPr>
        <w:t xml:space="preserve">the </w:t>
      </w:r>
      <w:r>
        <w:rPr>
          <w:rFonts w:eastAsia="Times New Roman" w:cs="Times New Roman"/>
          <w:lang w:eastAsia="en-AU"/>
        </w:rPr>
        <w:t>very least</w:t>
      </w:r>
      <w:r w:rsidR="00E5741F">
        <w:rPr>
          <w:rFonts w:eastAsia="Times New Roman" w:cs="Times New Roman"/>
          <w:lang w:eastAsia="en-AU"/>
        </w:rPr>
        <w:t>,</w:t>
      </w:r>
      <w:r>
        <w:rPr>
          <w:rFonts w:eastAsia="Times New Roman" w:cs="Times New Roman"/>
          <w:lang w:eastAsia="en-AU"/>
        </w:rPr>
        <w:t xml:space="preserve"> any</w:t>
      </w:r>
      <w:r w:rsidR="00B807F7">
        <w:rPr>
          <w:rFonts w:eastAsia="Times New Roman" w:cs="Times New Roman"/>
          <w:lang w:eastAsia="en-AU"/>
        </w:rPr>
        <w:t xml:space="preserve"> commercially available test should also consider whether the format and quality of the commercially available material is suitable for preservation.</w:t>
      </w:r>
    </w:p>
    <w:p w:rsidR="00B807F7" w:rsidRDefault="00B807F7" w:rsidP="00663A90">
      <w:pPr>
        <w:tabs>
          <w:tab w:val="left" w:pos="851"/>
        </w:tabs>
        <w:spacing w:before="100" w:beforeAutospacing="1" w:after="100" w:afterAutospacing="1" w:line="240" w:lineRule="auto"/>
        <w:rPr>
          <w:rFonts w:eastAsia="Times New Roman" w:cs="Times New Roman"/>
          <w:lang w:eastAsia="en-AU"/>
        </w:rPr>
      </w:pPr>
    </w:p>
    <w:p w:rsidR="00C70834" w:rsidRP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Proposal 11–7</w:t>
      </w:r>
      <w:r w:rsidRPr="00C70834">
        <w:rPr>
          <w:rFonts w:eastAsia="Times New Roman" w:cs="Times New Roman"/>
          <w:lang w:eastAsia="en-AU"/>
        </w:rPr>
        <w:t xml:space="preserve"> Section 49 of the </w:t>
      </w:r>
      <w:r w:rsidRPr="00C70834">
        <w:rPr>
          <w:rFonts w:eastAsia="Times New Roman" w:cs="Times New Roman"/>
          <w:i/>
          <w:iCs/>
          <w:lang w:eastAsia="en-AU"/>
        </w:rPr>
        <w:t xml:space="preserve">Copyright Act </w:t>
      </w:r>
      <w:r w:rsidRPr="00C70834">
        <w:rPr>
          <w:rFonts w:eastAsia="Times New Roman" w:cs="Times New Roman"/>
          <w:lang w:eastAsia="en-AU"/>
        </w:rPr>
        <w:t>should be amended to provide that, where a library or archive supplies copyright material in an electronic format in response to user requests for the purposes of research or study, the library or archive must take measures to:</w:t>
      </w:r>
    </w:p>
    <w:p w:rsidR="00C70834" w:rsidRP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(a) </w:t>
      </w:r>
      <w:r w:rsidR="009F39D7">
        <w:rPr>
          <w:rFonts w:eastAsia="Times New Roman" w:cs="Times New Roman"/>
          <w:lang w:eastAsia="en-AU"/>
        </w:rPr>
        <w:tab/>
      </w:r>
      <w:r w:rsidRPr="00C70834">
        <w:rPr>
          <w:rFonts w:eastAsia="Times New Roman" w:cs="Times New Roman"/>
          <w:lang w:eastAsia="en-AU"/>
        </w:rPr>
        <w:t>prevent the user from further communicating the work;</w:t>
      </w:r>
    </w:p>
    <w:p w:rsidR="00C70834" w:rsidRPr="00C70834"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(b) </w:t>
      </w:r>
      <w:r w:rsidR="009F39D7">
        <w:rPr>
          <w:rFonts w:eastAsia="Times New Roman" w:cs="Times New Roman"/>
          <w:lang w:eastAsia="en-AU"/>
        </w:rPr>
        <w:tab/>
      </w:r>
      <w:r w:rsidRPr="00C70834">
        <w:rPr>
          <w:rFonts w:eastAsia="Times New Roman" w:cs="Times New Roman"/>
          <w:lang w:eastAsia="en-AU"/>
        </w:rPr>
        <w:t>ensure that the work cannot be altered; and</w:t>
      </w:r>
    </w:p>
    <w:p w:rsidR="00697DA9" w:rsidRPr="00941159" w:rsidRDefault="00C70834" w:rsidP="009F39D7">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pPr>
      <w:r w:rsidRPr="00C70834">
        <w:rPr>
          <w:rFonts w:eastAsia="Times New Roman" w:cs="Times New Roman"/>
          <w:lang w:eastAsia="en-AU"/>
        </w:rPr>
        <w:t xml:space="preserve">(c) </w:t>
      </w:r>
      <w:r w:rsidR="009F39D7">
        <w:rPr>
          <w:rFonts w:eastAsia="Times New Roman" w:cs="Times New Roman"/>
          <w:lang w:eastAsia="en-AU"/>
        </w:rPr>
        <w:tab/>
      </w:r>
      <w:r w:rsidRPr="00C70834">
        <w:rPr>
          <w:rFonts w:eastAsia="Times New Roman" w:cs="Times New Roman"/>
          <w:lang w:eastAsia="en-AU"/>
        </w:rPr>
        <w:t>limit the time during which the copy of the work can be accessed.</w:t>
      </w:r>
    </w:p>
    <w:p w:rsidR="001358CD" w:rsidRPr="00941159" w:rsidRDefault="00592AF0" w:rsidP="00663A90">
      <w:pPr>
        <w:tabs>
          <w:tab w:val="left" w:pos="851"/>
        </w:tabs>
        <w:spacing w:before="100" w:beforeAutospacing="1" w:after="100" w:afterAutospacing="1" w:line="240" w:lineRule="auto"/>
      </w:pPr>
      <w:r w:rsidRPr="00941159">
        <w:t>The</w:t>
      </w:r>
      <w:r w:rsidR="00961B9F" w:rsidRPr="00941159">
        <w:t xml:space="preserve"> </w:t>
      </w:r>
      <w:r w:rsidRPr="00941159">
        <w:t xml:space="preserve">Archives </w:t>
      </w:r>
      <w:r w:rsidR="005B5D17">
        <w:t>does not support</w:t>
      </w:r>
      <w:r w:rsidRPr="00941159">
        <w:t xml:space="preserve"> </w:t>
      </w:r>
      <w:r w:rsidR="00065533">
        <w:t>P</w:t>
      </w:r>
      <w:r w:rsidRPr="00941159">
        <w:t xml:space="preserve">roposal 11-7 </w:t>
      </w:r>
      <w:r w:rsidR="005B5D17">
        <w:t>and more specifically any proposal for</w:t>
      </w:r>
      <w:r w:rsidRPr="00941159">
        <w:t xml:space="preserve"> the use of Digital Rights Management style access </w:t>
      </w:r>
      <w:r w:rsidR="005B5D17">
        <w:t>controls for m</w:t>
      </w:r>
      <w:r w:rsidRPr="00941159">
        <w:t>aterials held in the</w:t>
      </w:r>
      <w:r w:rsidR="00961B9F" w:rsidRPr="00941159">
        <w:t xml:space="preserve"> </w:t>
      </w:r>
      <w:r w:rsidRPr="00941159">
        <w:t>Archives</w:t>
      </w:r>
      <w:r w:rsidR="00961B9F" w:rsidRPr="00941159">
        <w:t>’</w:t>
      </w:r>
      <w:r w:rsidRPr="00941159">
        <w:t xml:space="preserve"> collection.</w:t>
      </w:r>
    </w:p>
    <w:p w:rsidR="001358CD" w:rsidRPr="00E66D22" w:rsidRDefault="001358CD" w:rsidP="00663A90">
      <w:pPr>
        <w:tabs>
          <w:tab w:val="left" w:pos="851"/>
        </w:tabs>
        <w:spacing w:before="100" w:beforeAutospacing="1" w:after="100" w:afterAutospacing="1" w:line="240" w:lineRule="auto"/>
        <w:rPr>
          <w:rFonts w:eastAsia="Times New Roman" w:cs="Times New Roman"/>
          <w:b/>
          <w:bCs/>
          <w:lang w:eastAsia="en-AU"/>
        </w:rPr>
      </w:pPr>
      <w:r w:rsidRPr="00941159">
        <w:rPr>
          <w:b/>
        </w:rPr>
        <w:t>Not consistent</w:t>
      </w:r>
      <w:r w:rsidRPr="001358CD">
        <w:rPr>
          <w:rFonts w:eastAsia="Times New Roman" w:cs="Times New Roman"/>
          <w:b/>
          <w:bCs/>
          <w:lang w:eastAsia="en-AU"/>
        </w:rPr>
        <w:t xml:space="preserve"> with </w:t>
      </w:r>
      <w:r w:rsidR="00E66D22">
        <w:rPr>
          <w:rFonts w:eastAsia="Times New Roman" w:cs="Times New Roman"/>
          <w:b/>
          <w:bCs/>
          <w:lang w:eastAsia="en-AU"/>
        </w:rPr>
        <w:t xml:space="preserve">the </w:t>
      </w:r>
      <w:r w:rsidRPr="001358CD">
        <w:rPr>
          <w:rFonts w:eastAsia="Times New Roman" w:cs="Times New Roman"/>
          <w:b/>
          <w:bCs/>
          <w:lang w:eastAsia="en-AU"/>
        </w:rPr>
        <w:t xml:space="preserve">role of </w:t>
      </w:r>
      <w:r w:rsidR="00161BDC">
        <w:rPr>
          <w:rFonts w:eastAsia="Times New Roman" w:cs="Times New Roman"/>
          <w:b/>
          <w:bCs/>
          <w:lang w:eastAsia="en-AU"/>
        </w:rPr>
        <w:t xml:space="preserve">the National </w:t>
      </w:r>
      <w:r w:rsidRPr="001358CD">
        <w:rPr>
          <w:rFonts w:eastAsia="Times New Roman" w:cs="Times New Roman"/>
          <w:b/>
          <w:bCs/>
          <w:lang w:eastAsia="en-AU"/>
        </w:rPr>
        <w:t>Archives</w:t>
      </w:r>
      <w:r w:rsidR="00600EDE">
        <w:rPr>
          <w:rFonts w:eastAsia="Times New Roman" w:cs="Times New Roman"/>
          <w:b/>
          <w:bCs/>
          <w:lang w:eastAsia="en-AU"/>
        </w:rPr>
        <w:t xml:space="preserve"> of Australia</w:t>
      </w:r>
    </w:p>
    <w:p w:rsidR="00EB7285" w:rsidRDefault="00EB7285" w:rsidP="00663A90">
      <w:pPr>
        <w:pStyle w:val="CommentText"/>
        <w:tabs>
          <w:tab w:val="left" w:pos="851"/>
        </w:tabs>
      </w:pPr>
      <w:r w:rsidRPr="00FB3F16">
        <w:rPr>
          <w:rFonts w:eastAsia="Times New Roman" w:cs="Times New Roman"/>
          <w:bCs/>
          <w:sz w:val="22"/>
          <w:szCs w:val="22"/>
          <w:lang w:eastAsia="en-AU"/>
        </w:rPr>
        <w:t xml:space="preserve">This proposal is in direct contradiction of the mandate of the Archives pursuant to the Archives Act to make the archival resources </w:t>
      </w:r>
      <w:r w:rsidR="008D3297" w:rsidRPr="00FB3F16">
        <w:rPr>
          <w:rFonts w:eastAsia="Times New Roman" w:cs="Times New Roman"/>
          <w:bCs/>
          <w:sz w:val="22"/>
          <w:szCs w:val="22"/>
          <w:lang w:eastAsia="en-AU"/>
        </w:rPr>
        <w:t xml:space="preserve">available for public access and to </w:t>
      </w:r>
      <w:r w:rsidR="002E1B1A" w:rsidRPr="00FB3F16">
        <w:rPr>
          <w:rFonts w:eastAsia="Times New Roman" w:cs="Times New Roman"/>
          <w:bCs/>
          <w:sz w:val="22"/>
          <w:szCs w:val="22"/>
          <w:lang w:eastAsia="en-AU"/>
        </w:rPr>
        <w:t>encourage and facilitate the use of archival material</w:t>
      </w:r>
      <w:r w:rsidR="00FB3F16">
        <w:t>.</w:t>
      </w:r>
      <w:r w:rsidR="002E1B1A">
        <w:rPr>
          <w:rStyle w:val="FootnoteReference"/>
        </w:rPr>
        <w:footnoteReference w:id="12"/>
      </w:r>
    </w:p>
    <w:p w:rsidR="00592AF0" w:rsidRPr="00592AF0" w:rsidRDefault="00592AF0" w:rsidP="00663A90">
      <w:pPr>
        <w:tabs>
          <w:tab w:val="left" w:pos="851"/>
        </w:tabs>
        <w:spacing w:before="100" w:beforeAutospacing="1" w:after="100" w:afterAutospacing="1" w:line="240" w:lineRule="auto"/>
        <w:rPr>
          <w:rFonts w:eastAsia="Times New Roman" w:cs="Times New Roman"/>
          <w:bCs/>
          <w:lang w:eastAsia="en-AU"/>
        </w:rPr>
      </w:pPr>
      <w:r w:rsidRPr="00592AF0">
        <w:rPr>
          <w:rFonts w:eastAsia="Times New Roman" w:cs="Times New Roman"/>
          <w:bCs/>
          <w:lang w:eastAsia="en-AU"/>
        </w:rPr>
        <w:t xml:space="preserve">The implementation of a technology to control further communicating of </w:t>
      </w:r>
      <w:r w:rsidR="005B5D17">
        <w:rPr>
          <w:rFonts w:eastAsia="Times New Roman" w:cs="Times New Roman"/>
          <w:bCs/>
          <w:lang w:eastAsia="en-AU"/>
        </w:rPr>
        <w:t xml:space="preserve">non-Crown </w:t>
      </w:r>
      <w:r w:rsidRPr="00592AF0">
        <w:rPr>
          <w:rFonts w:eastAsia="Times New Roman" w:cs="Times New Roman"/>
          <w:bCs/>
          <w:lang w:eastAsia="en-AU"/>
        </w:rPr>
        <w:t>copyright material and limit the time which the material can be accessed would fundamentally hinder the</w:t>
      </w:r>
      <w:r w:rsidR="00704E62">
        <w:rPr>
          <w:rFonts w:eastAsia="Times New Roman" w:cs="Times New Roman"/>
          <w:bCs/>
          <w:lang w:eastAsia="en-AU"/>
        </w:rPr>
        <w:t xml:space="preserve"> </w:t>
      </w:r>
      <w:r w:rsidRPr="00592AF0">
        <w:rPr>
          <w:rFonts w:eastAsia="Times New Roman" w:cs="Times New Roman"/>
          <w:bCs/>
          <w:lang w:eastAsia="en-AU"/>
        </w:rPr>
        <w:t>Archives</w:t>
      </w:r>
      <w:r w:rsidR="00704E62">
        <w:rPr>
          <w:rFonts w:eastAsia="Times New Roman" w:cs="Times New Roman"/>
          <w:bCs/>
          <w:lang w:eastAsia="en-AU"/>
        </w:rPr>
        <w:t>’</w:t>
      </w:r>
      <w:r w:rsidRPr="00592AF0">
        <w:rPr>
          <w:rFonts w:eastAsia="Times New Roman" w:cs="Times New Roman"/>
          <w:bCs/>
          <w:lang w:eastAsia="en-AU"/>
        </w:rPr>
        <w:t xml:space="preserve"> ability to meet its </w:t>
      </w:r>
      <w:r w:rsidR="00485304">
        <w:rPr>
          <w:rFonts w:eastAsia="Times New Roman" w:cs="Times New Roman"/>
          <w:bCs/>
          <w:lang w:eastAsia="en-AU"/>
        </w:rPr>
        <w:t>requirements pursuant to the Archives Act to provide access to the archival resources of the Commonwealth</w:t>
      </w:r>
      <w:r w:rsidR="00E5741F">
        <w:rPr>
          <w:rFonts w:eastAsia="Times New Roman" w:cs="Times New Roman"/>
          <w:bCs/>
          <w:lang w:eastAsia="en-AU"/>
        </w:rPr>
        <w:t>.</w:t>
      </w:r>
      <w:r w:rsidR="00485304">
        <w:rPr>
          <w:rStyle w:val="FootnoteReference"/>
          <w:rFonts w:eastAsia="Times New Roman" w:cs="Times New Roman"/>
          <w:bCs/>
          <w:lang w:eastAsia="en-AU"/>
        </w:rPr>
        <w:footnoteReference w:id="13"/>
      </w:r>
    </w:p>
    <w:p w:rsidR="00592AF0" w:rsidRPr="00592AF0" w:rsidRDefault="00592AF0" w:rsidP="00663A90">
      <w:pPr>
        <w:tabs>
          <w:tab w:val="left" w:pos="851"/>
        </w:tabs>
        <w:spacing w:before="100" w:beforeAutospacing="1" w:after="100" w:afterAutospacing="1" w:line="240" w:lineRule="auto"/>
        <w:rPr>
          <w:rFonts w:eastAsia="Times New Roman" w:cs="Times New Roman"/>
          <w:bCs/>
          <w:lang w:eastAsia="en-AU"/>
        </w:rPr>
      </w:pPr>
      <w:r w:rsidRPr="00E66D22">
        <w:t>In addition</w:t>
      </w:r>
      <w:r w:rsidRPr="00592AF0">
        <w:rPr>
          <w:rFonts w:eastAsia="Times New Roman" w:cs="Times New Roman"/>
          <w:bCs/>
          <w:lang w:eastAsia="en-AU"/>
        </w:rPr>
        <w:t xml:space="preserve"> this proposal would also contradict two key principles proposed as part of this discussion paper:</w:t>
      </w:r>
    </w:p>
    <w:p w:rsidR="00592AF0" w:rsidRPr="00592AF0" w:rsidRDefault="00592AF0" w:rsidP="00663A90">
      <w:pPr>
        <w:pStyle w:val="Standard"/>
        <w:numPr>
          <w:ilvl w:val="0"/>
          <w:numId w:val="8"/>
        </w:numPr>
        <w:tabs>
          <w:tab w:val="left" w:pos="851"/>
        </w:tabs>
        <w:rPr>
          <w:rFonts w:asciiTheme="minorHAnsi" w:eastAsia="Times New Roman" w:hAnsiTheme="minorHAnsi" w:cs="Times New Roman"/>
          <w:bCs/>
          <w:kern w:val="0"/>
          <w:sz w:val="22"/>
          <w:szCs w:val="22"/>
          <w:lang w:eastAsia="en-AU" w:bidi="ar-SA"/>
        </w:rPr>
      </w:pPr>
      <w:r w:rsidRPr="00592AF0">
        <w:rPr>
          <w:rFonts w:asciiTheme="minorHAnsi" w:eastAsia="Times New Roman" w:hAnsiTheme="minorHAnsi" w:cs="Times New Roman"/>
          <w:bCs/>
          <w:kern w:val="0"/>
          <w:sz w:val="22"/>
          <w:szCs w:val="22"/>
          <w:lang w:eastAsia="en-AU" w:bidi="ar-SA"/>
        </w:rPr>
        <w:t>Principle 3: Promoting fair access to and wide dissemination of content</w:t>
      </w:r>
      <w:r w:rsidR="00D551A3">
        <w:rPr>
          <w:rFonts w:asciiTheme="minorHAnsi" w:eastAsia="Times New Roman" w:hAnsiTheme="minorHAnsi" w:cs="Times New Roman"/>
          <w:bCs/>
          <w:kern w:val="0"/>
          <w:sz w:val="22"/>
          <w:szCs w:val="22"/>
          <w:lang w:eastAsia="en-AU" w:bidi="ar-SA"/>
        </w:rPr>
        <w:t>; and</w:t>
      </w:r>
    </w:p>
    <w:p w:rsidR="001358CD" w:rsidRPr="00E66D22" w:rsidRDefault="00592AF0" w:rsidP="00663A90">
      <w:pPr>
        <w:pStyle w:val="Standard"/>
        <w:numPr>
          <w:ilvl w:val="0"/>
          <w:numId w:val="8"/>
        </w:numPr>
        <w:tabs>
          <w:tab w:val="left" w:pos="851"/>
        </w:tabs>
        <w:rPr>
          <w:rFonts w:asciiTheme="minorHAnsi" w:eastAsia="Times New Roman" w:hAnsiTheme="minorHAnsi" w:cs="Times New Roman"/>
          <w:bCs/>
          <w:kern w:val="0"/>
          <w:sz w:val="22"/>
          <w:szCs w:val="22"/>
          <w:lang w:eastAsia="en-AU" w:bidi="ar-SA"/>
        </w:rPr>
      </w:pPr>
      <w:r w:rsidRPr="00592AF0">
        <w:rPr>
          <w:rFonts w:asciiTheme="minorHAnsi" w:eastAsia="Times New Roman" w:hAnsiTheme="minorHAnsi" w:cs="Times New Roman"/>
          <w:bCs/>
          <w:kern w:val="0"/>
          <w:sz w:val="22"/>
          <w:szCs w:val="22"/>
          <w:lang w:eastAsia="en-AU" w:bidi="ar-SA"/>
        </w:rPr>
        <w:t>Principle 4: Providing rules that are flexible and adaptive to new technologies</w:t>
      </w:r>
      <w:r w:rsidR="00D551A3">
        <w:rPr>
          <w:rFonts w:asciiTheme="minorHAnsi" w:eastAsia="Times New Roman" w:hAnsiTheme="minorHAnsi" w:cs="Times New Roman"/>
          <w:bCs/>
          <w:kern w:val="0"/>
          <w:sz w:val="22"/>
          <w:szCs w:val="22"/>
          <w:lang w:eastAsia="en-AU" w:bidi="ar-SA"/>
        </w:rPr>
        <w:t>.</w:t>
      </w:r>
    </w:p>
    <w:p w:rsidR="00BE714A" w:rsidRDefault="001358CD" w:rsidP="00663A90">
      <w:pPr>
        <w:tabs>
          <w:tab w:val="left" w:pos="851"/>
        </w:tabs>
        <w:spacing w:before="100" w:beforeAutospacing="1" w:after="100" w:afterAutospacing="1" w:line="240" w:lineRule="auto"/>
      </w:pPr>
      <w:r w:rsidRPr="00E66D22">
        <w:t>The</w:t>
      </w:r>
      <w:r w:rsidRPr="00BE714A">
        <w:t xml:space="preserve"> Archives notes that the </w:t>
      </w:r>
      <w:r w:rsidR="00065533" w:rsidRPr="00BE714A">
        <w:t xml:space="preserve">Proposal </w:t>
      </w:r>
      <w:r w:rsidRPr="00BE714A">
        <w:t>in 11.7</w:t>
      </w:r>
      <w:r w:rsidR="005B5D17">
        <w:t>(c) of l</w:t>
      </w:r>
      <w:r w:rsidRPr="00BE714A">
        <w:t>imiting access to archival resources is not consistent with the role or function of archival institutions.</w:t>
      </w:r>
      <w:r w:rsidR="00D551A3" w:rsidRPr="00BE714A">
        <w:t xml:space="preserve"> </w:t>
      </w:r>
      <w:r w:rsidRPr="00BE714A">
        <w:t xml:space="preserve"> For th</w:t>
      </w:r>
      <w:r w:rsidR="005B5D17">
        <w:t>e</w:t>
      </w:r>
      <w:r w:rsidRPr="00BE714A">
        <w:t xml:space="preserve"> Archives, </w:t>
      </w:r>
      <w:r w:rsidR="005B5D17">
        <w:t>any such</w:t>
      </w:r>
      <w:r w:rsidRPr="00BE714A">
        <w:t xml:space="preserve"> requirement could result in a breach of the access requirements of the </w:t>
      </w:r>
      <w:r w:rsidRPr="00E66D22">
        <w:t xml:space="preserve">Archives Act. </w:t>
      </w:r>
      <w:r w:rsidR="00D551A3">
        <w:t xml:space="preserve"> </w:t>
      </w:r>
      <w:r w:rsidR="008E560B" w:rsidRPr="00E66D22">
        <w:t xml:space="preserve">Further, the proposal </w:t>
      </w:r>
      <w:r w:rsidR="00BE714A">
        <w:t>would also impact the end user of ar</w:t>
      </w:r>
      <w:r w:rsidR="004A6B4F">
        <w:t>chival records, for example, a member of the public</w:t>
      </w:r>
      <w:r w:rsidR="00BE714A">
        <w:t xml:space="preserve"> who is preparing a family history tree or publication.</w:t>
      </w:r>
    </w:p>
    <w:p w:rsidR="00592AF0" w:rsidRPr="00E66D22" w:rsidRDefault="00592AF0" w:rsidP="00663A90">
      <w:pPr>
        <w:tabs>
          <w:tab w:val="left" w:pos="851"/>
        </w:tabs>
        <w:spacing w:before="100" w:beforeAutospacing="1" w:after="100" w:afterAutospacing="1" w:line="240" w:lineRule="auto"/>
        <w:rPr>
          <w:b/>
        </w:rPr>
      </w:pPr>
      <w:r w:rsidRPr="00E66D22">
        <w:rPr>
          <w:b/>
        </w:rPr>
        <w:t xml:space="preserve">Implementation of </w:t>
      </w:r>
      <w:r w:rsidR="00E66D22" w:rsidRPr="00E66D22">
        <w:rPr>
          <w:b/>
        </w:rPr>
        <w:t>Client and Server Side software</w:t>
      </w:r>
    </w:p>
    <w:p w:rsidR="00592AF0" w:rsidRPr="00E66D22" w:rsidRDefault="00592AF0" w:rsidP="00663A90">
      <w:pPr>
        <w:tabs>
          <w:tab w:val="left" w:pos="851"/>
        </w:tabs>
        <w:spacing w:before="100" w:beforeAutospacing="1" w:after="100" w:afterAutospacing="1" w:line="240" w:lineRule="auto"/>
      </w:pPr>
      <w:r w:rsidRPr="00E66D22">
        <w:t xml:space="preserve">Digital Rights Management style controls for documents and data require infrastructure on client machines which can control and enable viewing. </w:t>
      </w:r>
      <w:r w:rsidR="00D551A3">
        <w:t xml:space="preserve"> </w:t>
      </w:r>
      <w:r w:rsidRPr="00E66D22">
        <w:t>This usually takes the form of a plug-in or application.</w:t>
      </w:r>
      <w:r w:rsidR="00D551A3">
        <w:t xml:space="preserve"> </w:t>
      </w:r>
      <w:r w:rsidRPr="00E66D22">
        <w:t xml:space="preserve"> Additionally the format of the documents would need to be moved from a free and open viewing format to that of one which</w:t>
      </w:r>
      <w:r w:rsidR="00E66D22">
        <w:t xml:space="preserve"> matches the control software. </w:t>
      </w:r>
    </w:p>
    <w:p w:rsidR="004A7BBD" w:rsidRPr="00E66D22" w:rsidRDefault="004A7BBD" w:rsidP="00663A90">
      <w:pPr>
        <w:tabs>
          <w:tab w:val="left" w:pos="851"/>
        </w:tabs>
        <w:spacing w:before="100" w:beforeAutospacing="1" w:after="100" w:afterAutospacing="1" w:line="240" w:lineRule="auto"/>
      </w:pPr>
      <w:r w:rsidRPr="00E66D22">
        <w:t>Many cultural institutions</w:t>
      </w:r>
      <w:r w:rsidR="00592AF0" w:rsidRPr="00E66D22">
        <w:t xml:space="preserve"> would be required to invest heavily in supporting infrastructure which c</w:t>
      </w:r>
      <w:r w:rsidR="005B5D17">
        <w:t>ould</w:t>
      </w:r>
      <w:r w:rsidR="00592AF0" w:rsidRPr="00E66D22">
        <w:t xml:space="preserve"> monitor how, who, and when documents or data are accessed. </w:t>
      </w:r>
      <w:r w:rsidR="00D551A3">
        <w:t xml:space="preserve"> </w:t>
      </w:r>
      <w:r w:rsidR="00592AF0" w:rsidRPr="00E66D22">
        <w:t>The infrastructure would be a substantial cost in both capital and human resources.</w:t>
      </w:r>
      <w:r w:rsidRPr="00E66D22">
        <w:t xml:space="preserve"> </w:t>
      </w:r>
      <w:r w:rsidR="00D551A3">
        <w:t xml:space="preserve"> </w:t>
      </w:r>
      <w:r w:rsidR="00592AF0" w:rsidRPr="00E66D22">
        <w:t>The use</w:t>
      </w:r>
      <w:r w:rsidR="00065533">
        <w:t xml:space="preserve"> of</w:t>
      </w:r>
      <w:r w:rsidR="00592AF0" w:rsidRPr="00E66D22">
        <w:t xml:space="preserve"> proprietary softwar</w:t>
      </w:r>
      <w:r w:rsidRPr="00E66D22">
        <w:t xml:space="preserve">e and formats </w:t>
      </w:r>
      <w:r w:rsidR="00485304">
        <w:t>c</w:t>
      </w:r>
      <w:r w:rsidRPr="00E66D22">
        <w:t>ould</w:t>
      </w:r>
      <w:r w:rsidR="00D551A3">
        <w:t>:</w:t>
      </w:r>
    </w:p>
    <w:p w:rsidR="004A7BBD" w:rsidRDefault="004A7BBD" w:rsidP="00663A90">
      <w:pPr>
        <w:pStyle w:val="Standard"/>
        <w:numPr>
          <w:ilvl w:val="0"/>
          <w:numId w:val="8"/>
        </w:numPr>
        <w:tabs>
          <w:tab w:val="left" w:pos="851"/>
        </w:tabs>
        <w:rPr>
          <w:rFonts w:asciiTheme="minorHAnsi" w:eastAsia="Times New Roman" w:hAnsiTheme="minorHAnsi" w:cs="Times New Roman"/>
          <w:bCs/>
          <w:kern w:val="0"/>
          <w:sz w:val="22"/>
          <w:szCs w:val="22"/>
          <w:lang w:eastAsia="en-AU" w:bidi="ar-SA"/>
        </w:rPr>
      </w:pPr>
      <w:r>
        <w:rPr>
          <w:rFonts w:asciiTheme="minorHAnsi" w:eastAsia="Times New Roman" w:hAnsiTheme="minorHAnsi" w:cs="Times New Roman"/>
          <w:bCs/>
          <w:kern w:val="0"/>
          <w:sz w:val="22"/>
          <w:szCs w:val="22"/>
          <w:lang w:eastAsia="en-AU" w:bidi="ar-SA"/>
        </w:rPr>
        <w:lastRenderedPageBreak/>
        <w:t>require cultural institutions</w:t>
      </w:r>
      <w:r w:rsidR="00592AF0" w:rsidRPr="00592AF0">
        <w:rPr>
          <w:rFonts w:asciiTheme="minorHAnsi" w:eastAsia="Times New Roman" w:hAnsiTheme="minorHAnsi" w:cs="Times New Roman"/>
          <w:bCs/>
          <w:kern w:val="0"/>
          <w:sz w:val="22"/>
          <w:szCs w:val="22"/>
          <w:lang w:eastAsia="en-AU" w:bidi="ar-SA"/>
        </w:rPr>
        <w:t xml:space="preserve"> to lock into one standard forma</w:t>
      </w:r>
      <w:r>
        <w:rPr>
          <w:rFonts w:asciiTheme="minorHAnsi" w:eastAsia="Times New Roman" w:hAnsiTheme="minorHAnsi" w:cs="Times New Roman"/>
          <w:bCs/>
          <w:kern w:val="0"/>
          <w:sz w:val="22"/>
          <w:szCs w:val="22"/>
          <w:lang w:eastAsia="en-AU" w:bidi="ar-SA"/>
        </w:rPr>
        <w:t>t for all the documents types that they hold;</w:t>
      </w:r>
    </w:p>
    <w:p w:rsidR="00E66D22" w:rsidRDefault="004A7BBD" w:rsidP="00663A90">
      <w:pPr>
        <w:pStyle w:val="Standard"/>
        <w:numPr>
          <w:ilvl w:val="0"/>
          <w:numId w:val="8"/>
        </w:numPr>
        <w:tabs>
          <w:tab w:val="left" w:pos="851"/>
        </w:tabs>
        <w:rPr>
          <w:rFonts w:asciiTheme="minorHAnsi" w:eastAsia="Times New Roman" w:hAnsiTheme="minorHAnsi" w:cs="Times New Roman"/>
          <w:bCs/>
          <w:kern w:val="0"/>
          <w:sz w:val="22"/>
          <w:szCs w:val="22"/>
          <w:lang w:eastAsia="en-AU" w:bidi="ar-SA"/>
        </w:rPr>
      </w:pPr>
      <w:r>
        <w:rPr>
          <w:rFonts w:asciiTheme="minorHAnsi" w:eastAsia="Times New Roman" w:hAnsiTheme="minorHAnsi" w:cs="Times New Roman"/>
          <w:bCs/>
          <w:kern w:val="0"/>
          <w:sz w:val="22"/>
          <w:szCs w:val="22"/>
          <w:lang w:eastAsia="en-AU" w:bidi="ar-SA"/>
        </w:rPr>
        <w:t>hinder the</w:t>
      </w:r>
      <w:r w:rsidR="00592AF0" w:rsidRPr="00592AF0">
        <w:rPr>
          <w:rFonts w:asciiTheme="minorHAnsi" w:eastAsia="Times New Roman" w:hAnsiTheme="minorHAnsi" w:cs="Times New Roman"/>
          <w:bCs/>
          <w:kern w:val="0"/>
          <w:sz w:val="22"/>
          <w:szCs w:val="22"/>
          <w:lang w:eastAsia="en-AU" w:bidi="ar-SA"/>
        </w:rPr>
        <w:t xml:space="preserve"> ability </w:t>
      </w:r>
      <w:r>
        <w:rPr>
          <w:rFonts w:asciiTheme="minorHAnsi" w:eastAsia="Times New Roman" w:hAnsiTheme="minorHAnsi" w:cs="Times New Roman"/>
          <w:bCs/>
          <w:kern w:val="0"/>
          <w:sz w:val="22"/>
          <w:szCs w:val="22"/>
          <w:lang w:eastAsia="en-AU" w:bidi="ar-SA"/>
        </w:rPr>
        <w:t xml:space="preserve">of cultural institutions </w:t>
      </w:r>
      <w:r w:rsidR="00592AF0" w:rsidRPr="00592AF0">
        <w:rPr>
          <w:rFonts w:asciiTheme="minorHAnsi" w:eastAsia="Times New Roman" w:hAnsiTheme="minorHAnsi" w:cs="Times New Roman"/>
          <w:bCs/>
          <w:kern w:val="0"/>
          <w:sz w:val="22"/>
          <w:szCs w:val="22"/>
          <w:lang w:eastAsia="en-AU" w:bidi="ar-SA"/>
        </w:rPr>
        <w:t>to switch acce</w:t>
      </w:r>
      <w:r>
        <w:rPr>
          <w:rFonts w:asciiTheme="minorHAnsi" w:eastAsia="Times New Roman" w:hAnsiTheme="minorHAnsi" w:cs="Times New Roman"/>
          <w:bCs/>
          <w:kern w:val="0"/>
          <w:sz w:val="22"/>
          <w:szCs w:val="22"/>
          <w:lang w:eastAsia="en-AU" w:bidi="ar-SA"/>
        </w:rPr>
        <w:t>ss technologies into the future;</w:t>
      </w:r>
      <w:r w:rsidR="00592AF0" w:rsidRPr="00592AF0">
        <w:rPr>
          <w:rFonts w:asciiTheme="minorHAnsi" w:eastAsia="Times New Roman" w:hAnsiTheme="minorHAnsi" w:cs="Times New Roman"/>
          <w:bCs/>
          <w:kern w:val="0"/>
          <w:sz w:val="22"/>
          <w:szCs w:val="22"/>
          <w:lang w:eastAsia="en-AU" w:bidi="ar-SA"/>
        </w:rPr>
        <w:t xml:space="preserve"> and </w:t>
      </w:r>
    </w:p>
    <w:p w:rsidR="00592AF0" w:rsidRPr="00E66D22" w:rsidRDefault="00485304" w:rsidP="00663A90">
      <w:pPr>
        <w:pStyle w:val="Standard"/>
        <w:numPr>
          <w:ilvl w:val="0"/>
          <w:numId w:val="8"/>
        </w:numPr>
        <w:tabs>
          <w:tab w:val="left" w:pos="851"/>
        </w:tabs>
        <w:rPr>
          <w:rFonts w:asciiTheme="minorHAnsi" w:eastAsia="Times New Roman" w:hAnsiTheme="minorHAnsi" w:cs="Times New Roman"/>
          <w:bCs/>
          <w:kern w:val="0"/>
          <w:sz w:val="22"/>
          <w:szCs w:val="22"/>
          <w:lang w:eastAsia="en-AU" w:bidi="ar-SA"/>
        </w:rPr>
      </w:pPr>
      <w:r>
        <w:rPr>
          <w:rFonts w:asciiTheme="minorHAnsi" w:eastAsia="Times New Roman" w:hAnsiTheme="minorHAnsi" w:cs="Times New Roman"/>
          <w:bCs/>
          <w:kern w:val="0"/>
          <w:sz w:val="22"/>
          <w:szCs w:val="22"/>
          <w:lang w:eastAsia="en-AU" w:bidi="ar-SA"/>
        </w:rPr>
        <w:t xml:space="preserve">lead to additional costs associated with </w:t>
      </w:r>
      <w:r w:rsidR="00592AF0" w:rsidRPr="00E66D22">
        <w:rPr>
          <w:rFonts w:asciiTheme="minorHAnsi" w:eastAsia="Times New Roman" w:hAnsiTheme="minorHAnsi" w:cs="Times New Roman"/>
          <w:bCs/>
          <w:kern w:val="0"/>
          <w:sz w:val="22"/>
          <w:szCs w:val="22"/>
          <w:lang w:eastAsia="en-AU" w:bidi="ar-SA"/>
        </w:rPr>
        <w:t xml:space="preserve">technology transition costs, retraining of staff, and </w:t>
      </w:r>
      <w:r w:rsidR="00592AF0" w:rsidRPr="00E66D22">
        <w:rPr>
          <w:rFonts w:asciiTheme="minorHAnsi" w:eastAsiaTheme="minorHAnsi" w:hAnsiTheme="minorHAnsi" w:cstheme="minorBidi"/>
          <w:kern w:val="0"/>
          <w:sz w:val="22"/>
          <w:szCs w:val="22"/>
          <w:lang w:eastAsia="en-US" w:bidi="ar-SA"/>
        </w:rPr>
        <w:t xml:space="preserve">resources </w:t>
      </w:r>
      <w:r w:rsidR="00592AF0" w:rsidRPr="00D551A3">
        <w:rPr>
          <w:rFonts w:asciiTheme="minorHAnsi" w:eastAsia="Times New Roman" w:hAnsiTheme="minorHAnsi" w:cs="Times New Roman"/>
          <w:bCs/>
          <w:kern w:val="0"/>
          <w:sz w:val="22"/>
          <w:szCs w:val="22"/>
          <w:lang w:eastAsia="en-AU" w:bidi="ar-SA"/>
        </w:rPr>
        <w:t xml:space="preserve">allocated to </w:t>
      </w:r>
      <w:r w:rsidR="00E66D22" w:rsidRPr="00D551A3">
        <w:rPr>
          <w:rFonts w:asciiTheme="minorHAnsi" w:eastAsia="Times New Roman" w:hAnsiTheme="minorHAnsi" w:cs="Times New Roman"/>
          <w:bCs/>
          <w:kern w:val="0"/>
          <w:sz w:val="22"/>
          <w:szCs w:val="22"/>
          <w:lang w:eastAsia="en-AU" w:bidi="ar-SA"/>
        </w:rPr>
        <w:t>the management of the system.</w:t>
      </w:r>
      <w:r w:rsidR="00E66D22">
        <w:t xml:space="preserve">  </w:t>
      </w:r>
    </w:p>
    <w:p w:rsidR="00592AF0" w:rsidRPr="00D551A3" w:rsidRDefault="00592AF0" w:rsidP="00663A90">
      <w:pPr>
        <w:tabs>
          <w:tab w:val="left" w:pos="851"/>
        </w:tabs>
        <w:spacing w:before="100" w:beforeAutospacing="1" w:after="100" w:afterAutospacing="1" w:line="240" w:lineRule="auto"/>
        <w:rPr>
          <w:b/>
        </w:rPr>
      </w:pPr>
      <w:r w:rsidRPr="00D551A3">
        <w:rPr>
          <w:b/>
        </w:rPr>
        <w:t>Meeting</w:t>
      </w:r>
      <w:r w:rsidR="00D551A3" w:rsidRPr="00D551A3">
        <w:rPr>
          <w:b/>
        </w:rPr>
        <w:t xml:space="preserve"> Open Government Directives</w:t>
      </w:r>
    </w:p>
    <w:p w:rsidR="004A7BBD" w:rsidRPr="00D551A3" w:rsidRDefault="00485304" w:rsidP="00663A90">
      <w:pPr>
        <w:tabs>
          <w:tab w:val="left" w:pos="851"/>
        </w:tabs>
        <w:spacing w:before="100" w:beforeAutospacing="1" w:after="100" w:afterAutospacing="1" w:line="240" w:lineRule="auto"/>
      </w:pPr>
      <w:r>
        <w:t>If Proposal 11-7 is enacted, i</w:t>
      </w:r>
      <w:r w:rsidR="00592AF0" w:rsidRPr="00D551A3">
        <w:t>n order to continue</w:t>
      </w:r>
      <w:r w:rsidR="00592AF0" w:rsidRPr="00592AF0">
        <w:rPr>
          <w:rFonts w:eastAsia="Times New Roman" w:cs="Times New Roman"/>
          <w:bCs/>
          <w:lang w:eastAsia="en-AU"/>
        </w:rPr>
        <w:t xml:space="preserve"> to meet </w:t>
      </w:r>
      <w:r w:rsidR="005B5D17">
        <w:rPr>
          <w:rFonts w:eastAsia="Times New Roman" w:cs="Times New Roman"/>
          <w:bCs/>
          <w:lang w:eastAsia="en-AU"/>
        </w:rPr>
        <w:t xml:space="preserve">the </w:t>
      </w:r>
      <w:r w:rsidR="00592AF0" w:rsidRPr="00592AF0">
        <w:rPr>
          <w:rFonts w:eastAsia="Times New Roman" w:cs="Times New Roman"/>
          <w:bCs/>
          <w:lang w:eastAsia="en-AU"/>
        </w:rPr>
        <w:t xml:space="preserve">key objectives </w:t>
      </w:r>
      <w:r>
        <w:rPr>
          <w:rFonts w:eastAsia="Times New Roman" w:cs="Times New Roman"/>
          <w:bCs/>
          <w:lang w:eastAsia="en-AU"/>
        </w:rPr>
        <w:t>of the Open Government agenda</w:t>
      </w:r>
      <w:r w:rsidR="00161BDC">
        <w:rPr>
          <w:rFonts w:eastAsia="Times New Roman" w:cs="Times New Roman"/>
          <w:bCs/>
          <w:lang w:eastAsia="en-AU"/>
        </w:rPr>
        <w:t>,</w:t>
      </w:r>
      <w:r w:rsidR="00592AF0" w:rsidRPr="00592AF0">
        <w:rPr>
          <w:rFonts w:eastAsia="Times New Roman" w:cs="Times New Roman"/>
          <w:bCs/>
          <w:lang w:eastAsia="en-AU"/>
        </w:rPr>
        <w:t xml:space="preserve"> the</w:t>
      </w:r>
      <w:r w:rsidR="00961B9F">
        <w:rPr>
          <w:rFonts w:eastAsia="Times New Roman" w:cs="Times New Roman"/>
          <w:bCs/>
          <w:lang w:eastAsia="en-AU"/>
        </w:rPr>
        <w:t xml:space="preserve"> </w:t>
      </w:r>
      <w:r w:rsidR="00592AF0" w:rsidRPr="00592AF0">
        <w:rPr>
          <w:rFonts w:eastAsia="Times New Roman" w:cs="Times New Roman"/>
          <w:bCs/>
          <w:lang w:eastAsia="en-AU"/>
        </w:rPr>
        <w:t xml:space="preserve">Archives </w:t>
      </w:r>
      <w:r>
        <w:rPr>
          <w:rFonts w:eastAsia="Times New Roman" w:cs="Times New Roman"/>
          <w:bCs/>
          <w:lang w:eastAsia="en-AU"/>
        </w:rPr>
        <w:t>c</w:t>
      </w:r>
      <w:r w:rsidR="00592AF0" w:rsidRPr="00592AF0">
        <w:rPr>
          <w:rFonts w:eastAsia="Times New Roman" w:cs="Times New Roman"/>
          <w:bCs/>
          <w:lang w:eastAsia="en-AU"/>
        </w:rPr>
        <w:t>ould be required to produce multiple access points</w:t>
      </w:r>
      <w:r w:rsidR="00161BDC">
        <w:rPr>
          <w:rFonts w:eastAsia="Times New Roman" w:cs="Times New Roman"/>
          <w:bCs/>
          <w:lang w:eastAsia="en-AU"/>
        </w:rPr>
        <w:t xml:space="preserve"> </w:t>
      </w:r>
      <w:r>
        <w:rPr>
          <w:rFonts w:eastAsia="Times New Roman" w:cs="Times New Roman"/>
          <w:bCs/>
          <w:lang w:eastAsia="en-AU"/>
        </w:rPr>
        <w:t xml:space="preserve">for its collection </w:t>
      </w:r>
      <w:r w:rsidR="00161BDC">
        <w:rPr>
          <w:rFonts w:eastAsia="Times New Roman" w:cs="Times New Roman"/>
          <w:bCs/>
          <w:lang w:eastAsia="en-AU"/>
        </w:rPr>
        <w:t>such as</w:t>
      </w:r>
      <w:r w:rsidR="00592AF0" w:rsidRPr="00592AF0">
        <w:rPr>
          <w:rFonts w:eastAsia="Times New Roman" w:cs="Times New Roman"/>
          <w:bCs/>
          <w:lang w:eastAsia="en-AU"/>
        </w:rPr>
        <w:t xml:space="preserve"> one for </w:t>
      </w:r>
      <w:r>
        <w:rPr>
          <w:rFonts w:eastAsia="Times New Roman" w:cs="Times New Roman"/>
          <w:bCs/>
          <w:lang w:eastAsia="en-AU"/>
        </w:rPr>
        <w:t xml:space="preserve">non-Crown copyright and another for Crown copyright material. </w:t>
      </w:r>
      <w:r w:rsidR="004A7BBD" w:rsidRPr="00D551A3">
        <w:t xml:space="preserve"> </w:t>
      </w:r>
      <w:r w:rsidR="00592AF0" w:rsidRPr="00D551A3">
        <w:t xml:space="preserve">This </w:t>
      </w:r>
      <w:r>
        <w:t>situation c</w:t>
      </w:r>
      <w:r w:rsidR="00592AF0" w:rsidRPr="00D551A3">
        <w:t>ould</w:t>
      </w:r>
      <w:r w:rsidR="004A7BBD" w:rsidRPr="00D551A3">
        <w:t>:</w:t>
      </w:r>
    </w:p>
    <w:p w:rsidR="00A11400" w:rsidRPr="00D551A3" w:rsidRDefault="00485304" w:rsidP="00663A90">
      <w:pPr>
        <w:pStyle w:val="ListParagraph"/>
        <w:numPr>
          <w:ilvl w:val="0"/>
          <w:numId w:val="37"/>
        </w:numPr>
        <w:tabs>
          <w:tab w:val="left" w:pos="851"/>
        </w:tabs>
        <w:spacing w:before="100" w:beforeAutospacing="1" w:after="100" w:afterAutospacing="1" w:line="240" w:lineRule="auto"/>
      </w:pPr>
      <w:r>
        <w:t>impact on</w:t>
      </w:r>
      <w:r w:rsidR="00A11400" w:rsidRPr="00D551A3">
        <w:t xml:space="preserve"> the </w:t>
      </w:r>
      <w:r w:rsidR="005B5D17">
        <w:t xml:space="preserve">ability of the </w:t>
      </w:r>
      <w:r w:rsidR="00A11400" w:rsidRPr="00D551A3">
        <w:t xml:space="preserve">Archives </w:t>
      </w:r>
      <w:r w:rsidR="005B5D17">
        <w:t xml:space="preserve">to </w:t>
      </w:r>
      <w:r w:rsidR="00A11400" w:rsidRPr="00D551A3">
        <w:t>promot</w:t>
      </w:r>
      <w:r w:rsidR="005B5D17">
        <w:t>e</w:t>
      </w:r>
      <w:r w:rsidR="00A11400" w:rsidRPr="00D551A3">
        <w:t xml:space="preserve"> </w:t>
      </w:r>
      <w:r w:rsidR="00A11400">
        <w:t>and provid</w:t>
      </w:r>
      <w:r w:rsidR="005B5D17">
        <w:t>e</w:t>
      </w:r>
      <w:r w:rsidR="00A11400">
        <w:t xml:space="preserve"> </w:t>
      </w:r>
      <w:r w:rsidR="00A11400" w:rsidRPr="00D551A3">
        <w:t>wide dissemination of its collection pursuant to the provisions of the Archives Act and the Open Government</w:t>
      </w:r>
      <w:r>
        <w:t xml:space="preserve"> agenda;</w:t>
      </w:r>
    </w:p>
    <w:p w:rsidR="004A7BBD" w:rsidRPr="00D551A3" w:rsidRDefault="00592AF0" w:rsidP="00663A90">
      <w:pPr>
        <w:pStyle w:val="ListParagraph"/>
        <w:numPr>
          <w:ilvl w:val="0"/>
          <w:numId w:val="37"/>
        </w:numPr>
        <w:tabs>
          <w:tab w:val="left" w:pos="851"/>
        </w:tabs>
        <w:spacing w:before="100" w:beforeAutospacing="1" w:after="100" w:afterAutospacing="1" w:line="240" w:lineRule="auto"/>
      </w:pPr>
      <w:r w:rsidRPr="00D551A3">
        <w:t>require two sets of web infrastructure, two major discovery interfaces to the collection, support and management for both, and ongoing maintenance for duplicate systems essen</w:t>
      </w:r>
      <w:r w:rsidR="004A7BBD" w:rsidRPr="00D551A3">
        <w:t>tially serving the same purpose;</w:t>
      </w:r>
      <w:r w:rsidR="00FB3F16">
        <w:t xml:space="preserve"> and</w:t>
      </w:r>
    </w:p>
    <w:p w:rsidR="004A7BBD" w:rsidRPr="00D551A3" w:rsidRDefault="00592AF0" w:rsidP="00663A90">
      <w:pPr>
        <w:pStyle w:val="ListParagraph"/>
        <w:numPr>
          <w:ilvl w:val="0"/>
          <w:numId w:val="37"/>
        </w:numPr>
        <w:tabs>
          <w:tab w:val="left" w:pos="851"/>
        </w:tabs>
        <w:spacing w:before="100" w:beforeAutospacing="1" w:after="100" w:afterAutospacing="1" w:line="240" w:lineRule="auto"/>
      </w:pPr>
      <w:r w:rsidRPr="00D551A3">
        <w:t xml:space="preserve">have a substantial impact on </w:t>
      </w:r>
      <w:r w:rsidR="00161BDC">
        <w:t xml:space="preserve">the </w:t>
      </w:r>
      <w:r w:rsidR="00485304">
        <w:t>public’s</w:t>
      </w:r>
      <w:r w:rsidRPr="00D551A3">
        <w:t xml:space="preserve"> ability to easily </w:t>
      </w:r>
      <w:r w:rsidR="00485304">
        <w:t>research the archival resources of the Commonwealth</w:t>
      </w:r>
      <w:r w:rsidR="00FB3F16">
        <w:t>.</w:t>
      </w:r>
    </w:p>
    <w:p w:rsidR="00592AF0" w:rsidRPr="00D551A3" w:rsidRDefault="00592AF0" w:rsidP="00663A90">
      <w:pPr>
        <w:tabs>
          <w:tab w:val="left" w:pos="851"/>
        </w:tabs>
        <w:rPr>
          <w:b/>
        </w:rPr>
      </w:pPr>
      <w:r w:rsidRPr="00D551A3">
        <w:rPr>
          <w:b/>
        </w:rPr>
        <w:t>Considerat</w:t>
      </w:r>
      <w:r w:rsidR="00D551A3">
        <w:rPr>
          <w:b/>
        </w:rPr>
        <w:t>ions for the future of research</w:t>
      </w:r>
    </w:p>
    <w:p w:rsidR="00303988" w:rsidRDefault="00592AF0" w:rsidP="00663A90">
      <w:pPr>
        <w:tabs>
          <w:tab w:val="left" w:pos="851"/>
        </w:tabs>
        <w:spacing w:before="100" w:beforeAutospacing="1" w:after="100" w:afterAutospacing="1" w:line="240" w:lineRule="auto"/>
        <w:rPr>
          <w:rFonts w:eastAsia="Times New Roman" w:cs="Times New Roman"/>
          <w:bCs/>
          <w:lang w:eastAsia="en-AU"/>
        </w:rPr>
      </w:pPr>
      <w:r w:rsidRPr="00592AF0">
        <w:rPr>
          <w:rFonts w:eastAsia="Times New Roman" w:cs="Times New Roman"/>
          <w:bCs/>
          <w:lang w:eastAsia="en-AU"/>
        </w:rPr>
        <w:t xml:space="preserve">The methods used for research and information discovery are changing </w:t>
      </w:r>
      <w:r w:rsidR="00A1335F">
        <w:rPr>
          <w:rFonts w:eastAsia="Times New Roman" w:cs="Times New Roman"/>
          <w:bCs/>
          <w:lang w:eastAsia="en-AU"/>
        </w:rPr>
        <w:t>rapidly</w:t>
      </w:r>
      <w:r w:rsidRPr="00592AF0">
        <w:rPr>
          <w:rFonts w:eastAsia="Times New Roman" w:cs="Times New Roman"/>
          <w:bCs/>
          <w:lang w:eastAsia="en-AU"/>
        </w:rPr>
        <w:t xml:space="preserve"> to enable </w:t>
      </w:r>
      <w:r w:rsidR="00FB3F16">
        <w:rPr>
          <w:rFonts w:eastAsia="Times New Roman" w:cs="Times New Roman"/>
          <w:bCs/>
          <w:lang w:eastAsia="en-AU"/>
        </w:rPr>
        <w:t>the public</w:t>
      </w:r>
      <w:r w:rsidRPr="00592AF0">
        <w:rPr>
          <w:rFonts w:eastAsia="Times New Roman" w:cs="Times New Roman"/>
          <w:bCs/>
          <w:lang w:eastAsia="en-AU"/>
        </w:rPr>
        <w:t xml:space="preserve"> to undertake more in-depth and extensive analysis using technologies which rely on open formats in which documents and data can be examined.</w:t>
      </w:r>
      <w:r w:rsidR="00D551A3">
        <w:rPr>
          <w:rFonts w:eastAsia="Times New Roman" w:cs="Times New Roman"/>
          <w:bCs/>
          <w:lang w:eastAsia="en-AU"/>
        </w:rPr>
        <w:t xml:space="preserve"> </w:t>
      </w:r>
      <w:r w:rsidRPr="00592AF0">
        <w:rPr>
          <w:rFonts w:eastAsia="Times New Roman" w:cs="Times New Roman"/>
          <w:bCs/>
          <w:lang w:eastAsia="en-AU"/>
        </w:rPr>
        <w:t xml:space="preserve"> 'Closing down' documents and data into bespoke or proprietary formats would</w:t>
      </w:r>
      <w:r w:rsidR="00303988">
        <w:rPr>
          <w:rFonts w:eastAsia="Times New Roman" w:cs="Times New Roman"/>
          <w:bCs/>
          <w:lang w:eastAsia="en-AU"/>
        </w:rPr>
        <w:t>:</w:t>
      </w:r>
    </w:p>
    <w:p w:rsidR="00303988" w:rsidRPr="00D551A3" w:rsidRDefault="00592AF0" w:rsidP="00663A90">
      <w:pPr>
        <w:pStyle w:val="ListParagraph"/>
        <w:numPr>
          <w:ilvl w:val="0"/>
          <w:numId w:val="38"/>
        </w:numPr>
        <w:tabs>
          <w:tab w:val="left" w:pos="851"/>
        </w:tabs>
        <w:spacing w:before="100" w:beforeAutospacing="1" w:after="100" w:afterAutospacing="1" w:line="240" w:lineRule="auto"/>
        <w:rPr>
          <w:rFonts w:eastAsia="Times New Roman" w:cs="Times New Roman"/>
          <w:bCs/>
          <w:lang w:eastAsia="en-AU"/>
        </w:rPr>
      </w:pPr>
      <w:r w:rsidRPr="00D551A3">
        <w:rPr>
          <w:rFonts w:eastAsia="Times New Roman" w:cs="Times New Roman"/>
          <w:bCs/>
          <w:lang w:eastAsia="en-AU"/>
        </w:rPr>
        <w:t xml:space="preserve">greatly hinder large portions of the research community </w:t>
      </w:r>
      <w:r w:rsidR="00303988" w:rsidRPr="00D551A3">
        <w:rPr>
          <w:rFonts w:eastAsia="Times New Roman" w:cs="Times New Roman"/>
          <w:bCs/>
          <w:lang w:eastAsia="en-AU"/>
        </w:rPr>
        <w:t xml:space="preserve">from </w:t>
      </w:r>
      <w:r w:rsidRPr="00D551A3">
        <w:rPr>
          <w:rFonts w:eastAsia="Times New Roman" w:cs="Times New Roman"/>
          <w:bCs/>
          <w:lang w:eastAsia="en-AU"/>
        </w:rPr>
        <w:t>using materials held within the</w:t>
      </w:r>
      <w:r w:rsidR="008A12D8" w:rsidRPr="00D551A3">
        <w:rPr>
          <w:rFonts w:eastAsia="Times New Roman" w:cs="Times New Roman"/>
          <w:bCs/>
          <w:lang w:eastAsia="en-AU"/>
        </w:rPr>
        <w:t xml:space="preserve"> </w:t>
      </w:r>
      <w:r w:rsidRPr="00D551A3">
        <w:rPr>
          <w:rFonts w:eastAsia="Times New Roman" w:cs="Times New Roman"/>
          <w:bCs/>
          <w:lang w:eastAsia="en-AU"/>
        </w:rPr>
        <w:t>Archives</w:t>
      </w:r>
      <w:r w:rsidR="008A12D8" w:rsidRPr="00D551A3">
        <w:rPr>
          <w:rFonts w:eastAsia="Times New Roman" w:cs="Times New Roman"/>
          <w:bCs/>
          <w:lang w:eastAsia="en-AU"/>
        </w:rPr>
        <w:t>’</w:t>
      </w:r>
      <w:r w:rsidRPr="00D551A3">
        <w:rPr>
          <w:rFonts w:eastAsia="Times New Roman" w:cs="Times New Roman"/>
          <w:bCs/>
          <w:lang w:eastAsia="en-AU"/>
        </w:rPr>
        <w:t xml:space="preserve"> collection,</w:t>
      </w:r>
      <w:r w:rsidR="00303988" w:rsidRPr="00D551A3">
        <w:rPr>
          <w:rFonts w:eastAsia="Times New Roman" w:cs="Times New Roman"/>
          <w:bCs/>
          <w:lang w:eastAsia="en-AU"/>
        </w:rPr>
        <w:t xml:space="preserve"> particularly into the future; and</w:t>
      </w:r>
    </w:p>
    <w:p w:rsidR="00592AF0" w:rsidRPr="00D551A3" w:rsidRDefault="00303988" w:rsidP="00663A90">
      <w:pPr>
        <w:pStyle w:val="ListParagraph"/>
        <w:numPr>
          <w:ilvl w:val="0"/>
          <w:numId w:val="38"/>
        </w:numPr>
        <w:tabs>
          <w:tab w:val="left" w:pos="851"/>
        </w:tabs>
        <w:spacing w:before="100" w:beforeAutospacing="1" w:after="100" w:afterAutospacing="1" w:line="240" w:lineRule="auto"/>
        <w:rPr>
          <w:rFonts w:eastAsia="Times New Roman" w:cs="Times New Roman"/>
          <w:bCs/>
          <w:lang w:eastAsia="en-AU"/>
        </w:rPr>
      </w:pPr>
      <w:r w:rsidRPr="00D551A3">
        <w:rPr>
          <w:rFonts w:eastAsia="Times New Roman" w:cs="Times New Roman"/>
          <w:bCs/>
          <w:lang w:eastAsia="en-AU"/>
        </w:rPr>
        <w:t>reduce</w:t>
      </w:r>
      <w:r w:rsidR="00592AF0" w:rsidRPr="00D551A3">
        <w:rPr>
          <w:rFonts w:eastAsia="Times New Roman" w:cs="Times New Roman"/>
          <w:bCs/>
          <w:lang w:eastAsia="en-AU"/>
        </w:rPr>
        <w:t xml:space="preserve"> the</w:t>
      </w:r>
      <w:r w:rsidR="008A12D8" w:rsidRPr="00D551A3">
        <w:rPr>
          <w:rFonts w:eastAsia="Times New Roman" w:cs="Times New Roman"/>
          <w:bCs/>
          <w:lang w:eastAsia="en-AU"/>
        </w:rPr>
        <w:t xml:space="preserve"> </w:t>
      </w:r>
      <w:r w:rsidR="00592AF0" w:rsidRPr="00D551A3">
        <w:rPr>
          <w:rFonts w:eastAsia="Times New Roman" w:cs="Times New Roman"/>
          <w:bCs/>
          <w:lang w:eastAsia="en-AU"/>
        </w:rPr>
        <w:t>Archives</w:t>
      </w:r>
      <w:r w:rsidR="008A12D8" w:rsidRPr="00D551A3">
        <w:rPr>
          <w:rFonts w:eastAsia="Times New Roman" w:cs="Times New Roman"/>
          <w:bCs/>
          <w:lang w:eastAsia="en-AU"/>
        </w:rPr>
        <w:t>’</w:t>
      </w:r>
      <w:r w:rsidR="00592AF0" w:rsidRPr="00D551A3">
        <w:rPr>
          <w:rFonts w:eastAsia="Times New Roman" w:cs="Times New Roman"/>
          <w:bCs/>
          <w:lang w:eastAsia="en-AU"/>
        </w:rPr>
        <w:t xml:space="preserve"> ability to provide meaningful access to materials held in its</w:t>
      </w:r>
      <w:r w:rsidRPr="00D551A3">
        <w:rPr>
          <w:rFonts w:eastAsia="Times New Roman" w:cs="Times New Roman"/>
          <w:bCs/>
          <w:lang w:eastAsia="en-AU"/>
        </w:rPr>
        <w:t xml:space="preserve"> collection</w:t>
      </w:r>
      <w:r w:rsidR="00592AF0" w:rsidRPr="00D551A3">
        <w:rPr>
          <w:rFonts w:eastAsia="Times New Roman" w:cs="Times New Roman"/>
          <w:bCs/>
          <w:lang w:eastAsia="en-AU"/>
        </w:rPr>
        <w:t xml:space="preserve">.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 xml:space="preserve">Proposal 12–1 </w:t>
      </w:r>
      <w:r w:rsidRPr="00C70834">
        <w:rPr>
          <w:rFonts w:eastAsia="Times New Roman" w:cs="Times New Roman"/>
          <w:lang w:eastAsia="en-AU"/>
        </w:rPr>
        <w:t>The fair use exception should be applied when determining whether a use of an ‘orphan work’ infringes copyright.</w:t>
      </w:r>
    </w:p>
    <w:p w:rsidR="00EB32EA" w:rsidRDefault="00EB32EA"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supports Proposal 12-1.</w:t>
      </w:r>
    </w:p>
    <w:p w:rsidR="00187727" w:rsidRDefault="00EB32EA"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Archives proposes that many uses of ‘orphan works’ by cultural institutions will be captured under the proposed fair use exceptions. </w:t>
      </w:r>
      <w:r w:rsidR="00D551A3">
        <w:rPr>
          <w:rFonts w:eastAsia="Times New Roman" w:cs="Times New Roman"/>
          <w:lang w:eastAsia="en-AU"/>
        </w:rPr>
        <w:t xml:space="preserve"> </w:t>
      </w:r>
      <w:r>
        <w:rPr>
          <w:rFonts w:eastAsia="Times New Roman" w:cs="Times New Roman"/>
          <w:lang w:eastAsia="en-AU"/>
        </w:rPr>
        <w:t xml:space="preserve">This will be assisted by a prescriptive illustrative use for ‘cultural heritage’. </w:t>
      </w:r>
      <w:r w:rsidR="00D551A3">
        <w:rPr>
          <w:rFonts w:eastAsia="Times New Roman" w:cs="Times New Roman"/>
          <w:lang w:eastAsia="en-AU"/>
        </w:rPr>
        <w:t xml:space="preserve"> </w:t>
      </w:r>
      <w:r>
        <w:rPr>
          <w:rFonts w:eastAsia="Times New Roman" w:cs="Times New Roman"/>
          <w:lang w:eastAsia="en-AU"/>
        </w:rPr>
        <w:t>The availability of the exception would assist archives</w:t>
      </w:r>
      <w:r w:rsidR="00351B34">
        <w:rPr>
          <w:rFonts w:eastAsia="Times New Roman" w:cs="Times New Roman"/>
          <w:lang w:eastAsia="en-AU"/>
        </w:rPr>
        <w:t xml:space="preserve"> when they embark on </w:t>
      </w:r>
      <w:r>
        <w:rPr>
          <w:rFonts w:eastAsia="Times New Roman" w:cs="Times New Roman"/>
          <w:lang w:eastAsia="en-AU"/>
        </w:rPr>
        <w:t xml:space="preserve">mass </w:t>
      </w:r>
      <w:r w:rsidR="00351B34">
        <w:rPr>
          <w:rFonts w:eastAsia="Times New Roman" w:cs="Times New Roman"/>
          <w:lang w:eastAsia="en-AU"/>
        </w:rPr>
        <w:t>digitisation projects or disseminate ‘orphan works’ online</w:t>
      </w:r>
      <w:r>
        <w:rPr>
          <w:rFonts w:eastAsia="Times New Roman" w:cs="Times New Roman"/>
          <w:lang w:eastAsia="en-AU"/>
        </w:rPr>
        <w:t xml:space="preserve"> pursuant to their mandates of making their collections available</w:t>
      </w:r>
      <w:r w:rsidR="00351B34">
        <w:rPr>
          <w:rFonts w:eastAsia="Times New Roman" w:cs="Times New Roman"/>
          <w:lang w:eastAsia="en-AU"/>
        </w:rPr>
        <w:t>.</w:t>
      </w:r>
    </w:p>
    <w:p w:rsidR="00187727" w:rsidRDefault="00187727" w:rsidP="00663A90">
      <w:pPr>
        <w:tabs>
          <w:tab w:val="left" w:pos="851"/>
        </w:tabs>
        <w:rPr>
          <w:rFonts w:eastAsia="Times New Roman" w:cs="Times New Roman"/>
          <w:lang w:eastAsia="en-AU"/>
        </w:rPr>
      </w:pPr>
      <w:r>
        <w:rPr>
          <w:rFonts w:eastAsia="Times New Roman" w:cs="Times New Roman"/>
          <w:lang w:eastAsia="en-AU"/>
        </w:rPr>
        <w:br w:type="page"/>
      </w:r>
    </w:p>
    <w:p w:rsidR="0004396D" w:rsidRPr="00C70834" w:rsidRDefault="0004396D" w:rsidP="00663A90">
      <w:pPr>
        <w:tabs>
          <w:tab w:val="left" w:pos="851"/>
        </w:tabs>
        <w:spacing w:before="100" w:beforeAutospacing="1" w:after="100" w:afterAutospacing="1" w:line="240" w:lineRule="auto"/>
        <w:rPr>
          <w:rFonts w:eastAsia="Times New Roman" w:cs="Times New Roman"/>
          <w:lang w:eastAsia="en-AU"/>
        </w:rPr>
      </w:pPr>
    </w:p>
    <w:p w:rsidR="00C70834" w:rsidRP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 xml:space="preserve">Proposal 12–2 </w:t>
      </w:r>
      <w:r w:rsidRPr="00C70834">
        <w:rPr>
          <w:rFonts w:eastAsia="Times New Roman" w:cs="Times New Roman"/>
          <w:lang w:eastAsia="en-AU"/>
        </w:rPr>
        <w:t xml:space="preserve">The </w:t>
      </w:r>
      <w:r w:rsidRPr="00C70834">
        <w:rPr>
          <w:rFonts w:eastAsia="Times New Roman" w:cs="Times New Roman"/>
          <w:i/>
          <w:iCs/>
          <w:lang w:eastAsia="en-AU"/>
        </w:rPr>
        <w:t>Copyright Act</w:t>
      </w:r>
      <w:r w:rsidRPr="00C70834">
        <w:rPr>
          <w:rFonts w:eastAsia="Times New Roman" w:cs="Times New Roman"/>
          <w:lang w:eastAsia="en-AU"/>
        </w:rPr>
        <w:t xml:space="preserve"> should be amended to limit the remedies available in an action for infringement of copyright, where it is established that, at the time of the infringement:</w:t>
      </w:r>
    </w:p>
    <w:p w:rsidR="00C70834" w:rsidRPr="00C70834" w:rsidRDefault="00C7083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(a) </w:t>
      </w:r>
      <w:r w:rsidR="00385D6B">
        <w:rPr>
          <w:rFonts w:eastAsia="Times New Roman" w:cs="Times New Roman"/>
          <w:lang w:eastAsia="en-AU"/>
        </w:rPr>
        <w:tab/>
      </w:r>
      <w:r w:rsidRPr="00C70834">
        <w:rPr>
          <w:rFonts w:eastAsia="Times New Roman" w:cs="Times New Roman"/>
          <w:lang w:eastAsia="en-AU"/>
        </w:rPr>
        <w:t>a ‘reasonably diligent search’ for the rights holder had been conducted and the rights holder had not been found; and</w:t>
      </w:r>
    </w:p>
    <w:p w:rsidR="00C70834" w:rsidRDefault="00C7083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ind w:left="567" w:hanging="567"/>
        <w:rPr>
          <w:rFonts w:eastAsia="Times New Roman" w:cs="Times New Roman"/>
          <w:lang w:eastAsia="en-AU"/>
        </w:rPr>
      </w:pPr>
      <w:r w:rsidRPr="00C70834">
        <w:rPr>
          <w:rFonts w:eastAsia="Times New Roman" w:cs="Times New Roman"/>
          <w:lang w:eastAsia="en-AU"/>
        </w:rPr>
        <w:t xml:space="preserve">(b) </w:t>
      </w:r>
      <w:r w:rsidR="00385D6B">
        <w:rPr>
          <w:rFonts w:eastAsia="Times New Roman" w:cs="Times New Roman"/>
          <w:lang w:eastAsia="en-AU"/>
        </w:rPr>
        <w:tab/>
      </w:r>
      <w:r w:rsidRPr="00C70834">
        <w:rPr>
          <w:rFonts w:eastAsia="Times New Roman" w:cs="Times New Roman"/>
          <w:lang w:eastAsia="en-AU"/>
        </w:rPr>
        <w:t>as far as reasonably possible, the work was clearly attributed to the author.</w:t>
      </w:r>
    </w:p>
    <w:p w:rsidR="00C34104" w:rsidRDefault="00C3410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p>
    <w:p w:rsidR="00C34104" w:rsidRPr="00C70834" w:rsidRDefault="00C3410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b/>
          <w:bCs/>
          <w:lang w:eastAsia="en-AU"/>
        </w:rPr>
        <w:t>Proposal 12–3</w:t>
      </w:r>
      <w:r w:rsidRPr="00C70834">
        <w:rPr>
          <w:rFonts w:eastAsia="Times New Roman" w:cs="Times New Roman"/>
          <w:lang w:eastAsia="en-AU"/>
        </w:rPr>
        <w:t xml:space="preserve"> The </w:t>
      </w:r>
      <w:r w:rsidRPr="00C70834">
        <w:rPr>
          <w:rFonts w:eastAsia="Times New Roman" w:cs="Times New Roman"/>
          <w:i/>
          <w:iCs/>
          <w:lang w:eastAsia="en-AU"/>
        </w:rPr>
        <w:t>Copyright Act</w:t>
      </w:r>
      <w:r w:rsidRPr="00C70834">
        <w:rPr>
          <w:rFonts w:eastAsia="Times New Roman" w:cs="Times New Roman"/>
          <w:lang w:eastAsia="en-AU"/>
        </w:rPr>
        <w:t xml:space="preserve"> should provide that, in determining whether a ‘reasonably diligent search’ was conducted, regard may be had, among other things, to:</w:t>
      </w:r>
    </w:p>
    <w:p w:rsidR="00C34104" w:rsidRPr="00C70834" w:rsidRDefault="00C3410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(a) </w:t>
      </w:r>
      <w:r w:rsidR="00385D6B">
        <w:rPr>
          <w:rFonts w:eastAsia="Times New Roman" w:cs="Times New Roman"/>
          <w:lang w:eastAsia="en-AU"/>
        </w:rPr>
        <w:tab/>
      </w:r>
      <w:r w:rsidRPr="00C70834">
        <w:rPr>
          <w:rFonts w:eastAsia="Times New Roman" w:cs="Times New Roman"/>
          <w:lang w:eastAsia="en-AU"/>
        </w:rPr>
        <w:t>how and by whom the search was conducted;</w:t>
      </w:r>
    </w:p>
    <w:p w:rsidR="00C34104" w:rsidRPr="00C70834" w:rsidRDefault="00C3410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(b) </w:t>
      </w:r>
      <w:r w:rsidR="00385D6B">
        <w:rPr>
          <w:rFonts w:eastAsia="Times New Roman" w:cs="Times New Roman"/>
          <w:lang w:eastAsia="en-AU"/>
        </w:rPr>
        <w:tab/>
      </w:r>
      <w:r w:rsidRPr="00C70834">
        <w:rPr>
          <w:rFonts w:eastAsia="Times New Roman" w:cs="Times New Roman"/>
          <w:lang w:eastAsia="en-AU"/>
        </w:rPr>
        <w:t>the search technologies, databases and registers available at the time; and</w:t>
      </w:r>
    </w:p>
    <w:p w:rsidR="00C34104" w:rsidRDefault="00C34104"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(c) </w:t>
      </w:r>
      <w:r w:rsidR="00385D6B">
        <w:rPr>
          <w:rFonts w:eastAsia="Times New Roman" w:cs="Times New Roman"/>
          <w:lang w:eastAsia="en-AU"/>
        </w:rPr>
        <w:tab/>
      </w:r>
      <w:r w:rsidRPr="00C70834">
        <w:rPr>
          <w:rFonts w:eastAsia="Times New Roman" w:cs="Times New Roman"/>
          <w:lang w:eastAsia="en-AU"/>
        </w:rPr>
        <w:t>any guidelines or industry practices about conducting diligent searches available at the time.</w:t>
      </w:r>
    </w:p>
    <w:p w:rsidR="00C34104" w:rsidRDefault="00C3410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p>
    <w:p w:rsidR="007506F5" w:rsidRDefault="007506F5"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The Archives </w:t>
      </w:r>
      <w:r w:rsidR="00C34104">
        <w:rPr>
          <w:rFonts w:eastAsia="Times New Roman" w:cs="Times New Roman"/>
          <w:lang w:eastAsia="en-AU"/>
        </w:rPr>
        <w:t>does not at this stage support</w:t>
      </w:r>
      <w:r>
        <w:rPr>
          <w:rFonts w:eastAsia="Times New Roman" w:cs="Times New Roman"/>
          <w:lang w:eastAsia="en-AU"/>
        </w:rPr>
        <w:t xml:space="preserve"> Proposal</w:t>
      </w:r>
      <w:r w:rsidR="00C34104">
        <w:rPr>
          <w:rFonts w:eastAsia="Times New Roman" w:cs="Times New Roman"/>
          <w:lang w:eastAsia="en-AU"/>
        </w:rPr>
        <w:t>s</w:t>
      </w:r>
      <w:r>
        <w:rPr>
          <w:rFonts w:eastAsia="Times New Roman" w:cs="Times New Roman"/>
          <w:lang w:eastAsia="en-AU"/>
        </w:rPr>
        <w:t xml:space="preserve"> 12-2 </w:t>
      </w:r>
      <w:r w:rsidR="00C34104">
        <w:rPr>
          <w:rFonts w:eastAsia="Times New Roman" w:cs="Times New Roman"/>
          <w:lang w:eastAsia="en-AU"/>
        </w:rPr>
        <w:t>and 12-3.</w:t>
      </w:r>
    </w:p>
    <w:p w:rsidR="00C34104" w:rsidRDefault="00C34104"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As discussed throughout this submission, government archives are required by legislation to make their collections available to the public.  The determination of what is a ‘reasonably diligent search’ could have significant impacts on the ability of government archives to comply with their legislative requirements.  The Archives agrees that some form of searching or criteria should be undertaken</w:t>
      </w:r>
      <w:r w:rsidR="00241A4E">
        <w:rPr>
          <w:rFonts w:eastAsia="Times New Roman" w:cs="Times New Roman"/>
          <w:lang w:eastAsia="en-AU"/>
        </w:rPr>
        <w:t xml:space="preserve"> but that any requirement should be limited to certain situations</w:t>
      </w:r>
      <w:r w:rsidR="00ED5057">
        <w:rPr>
          <w:rFonts w:eastAsia="Times New Roman" w:cs="Times New Roman"/>
          <w:lang w:eastAsia="en-AU"/>
        </w:rPr>
        <w:t xml:space="preserve">. </w:t>
      </w:r>
      <w:r w:rsidR="00241A4E">
        <w:rPr>
          <w:rFonts w:eastAsia="Times New Roman" w:cs="Times New Roman"/>
          <w:lang w:eastAsia="en-AU"/>
        </w:rPr>
        <w:t>For example, the Archives does not believe that any search should be required for</w:t>
      </w:r>
      <w:r w:rsidRPr="00241A4E">
        <w:rPr>
          <w:rFonts w:eastAsia="Times New Roman" w:cs="Times New Roman"/>
          <w:lang w:eastAsia="en-AU"/>
        </w:rPr>
        <w:t xml:space="preserve"> a letter to government that is 50 years old and with no address</w:t>
      </w:r>
      <w:r w:rsidR="00241A4E">
        <w:rPr>
          <w:rFonts w:eastAsia="Times New Roman" w:cs="Times New Roman"/>
          <w:lang w:eastAsia="en-AU"/>
        </w:rPr>
        <w:t xml:space="preserve"> </w:t>
      </w:r>
      <w:r w:rsidR="00A513C7">
        <w:rPr>
          <w:rFonts w:eastAsia="Times New Roman" w:cs="Times New Roman"/>
          <w:lang w:eastAsia="en-AU"/>
        </w:rPr>
        <w:t xml:space="preserve">for the author </w:t>
      </w:r>
      <w:r w:rsidR="00241A4E">
        <w:rPr>
          <w:rFonts w:eastAsia="Times New Roman" w:cs="Times New Roman"/>
          <w:lang w:eastAsia="en-AU"/>
        </w:rPr>
        <w:t>where</w:t>
      </w:r>
      <w:r w:rsidRPr="00241A4E">
        <w:rPr>
          <w:rFonts w:eastAsia="Times New Roman" w:cs="Times New Roman"/>
          <w:lang w:eastAsia="en-AU"/>
        </w:rPr>
        <w:t xml:space="preserve"> </w:t>
      </w:r>
      <w:r w:rsidR="00FB3F16" w:rsidRPr="00241A4E">
        <w:rPr>
          <w:rFonts w:eastAsia="Times New Roman" w:cs="Times New Roman"/>
          <w:lang w:eastAsia="en-AU"/>
        </w:rPr>
        <w:t xml:space="preserve">it is reasonable </w:t>
      </w:r>
      <w:r w:rsidR="004A6B4F" w:rsidRPr="00241A4E">
        <w:rPr>
          <w:rFonts w:eastAsia="Times New Roman" w:cs="Times New Roman"/>
          <w:lang w:eastAsia="en-AU"/>
        </w:rPr>
        <w:t>to</w:t>
      </w:r>
      <w:r w:rsidRPr="00241A4E">
        <w:rPr>
          <w:rFonts w:eastAsia="Times New Roman" w:cs="Times New Roman"/>
          <w:lang w:eastAsia="en-AU"/>
        </w:rPr>
        <w:t xml:space="preserve"> conclude that such a person w</w:t>
      </w:r>
      <w:r w:rsidR="004A6B4F" w:rsidRPr="00241A4E">
        <w:rPr>
          <w:rFonts w:eastAsia="Times New Roman" w:cs="Times New Roman"/>
          <w:lang w:eastAsia="en-AU"/>
        </w:rPr>
        <w:t>ould not be able to be loc</w:t>
      </w:r>
      <w:r w:rsidR="004A6B4F">
        <w:rPr>
          <w:rFonts w:eastAsia="Times New Roman" w:cs="Times New Roman"/>
          <w:lang w:eastAsia="en-AU"/>
        </w:rPr>
        <w:t>ated</w:t>
      </w:r>
      <w:r>
        <w:rPr>
          <w:rFonts w:eastAsia="Times New Roman" w:cs="Times New Roman"/>
          <w:lang w:eastAsia="en-AU"/>
        </w:rPr>
        <w:t>.</w:t>
      </w:r>
    </w:p>
    <w:p w:rsidR="00C34104" w:rsidRDefault="00B16F64" w:rsidP="00663A90">
      <w:p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Archives believes that a</w:t>
      </w:r>
      <w:r w:rsidR="00C34104">
        <w:rPr>
          <w:rFonts w:eastAsia="Times New Roman" w:cs="Times New Roman"/>
          <w:lang w:eastAsia="en-AU"/>
        </w:rPr>
        <w:t xml:space="preserve">ny searching that is undertaken should be limited to freely available search technologies.  Any requirements to engage an external provider will be unnecessarily, costly and resource intensive for government archives.  The Archives submits that any search requirements should not be tightly legislated and if they are: </w:t>
      </w:r>
    </w:p>
    <w:p w:rsidR="00C34104" w:rsidRDefault="00C34104" w:rsidP="00663A90">
      <w:pPr>
        <w:pStyle w:val="ListParagraph"/>
        <w:numPr>
          <w:ilvl w:val="0"/>
          <w:numId w:val="39"/>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specific exceptions should be provided to all government archives;</w:t>
      </w:r>
    </w:p>
    <w:p w:rsidR="007506F5" w:rsidRDefault="007506F5" w:rsidP="00663A90">
      <w:pPr>
        <w:pStyle w:val="ListParagraph"/>
        <w:numPr>
          <w:ilvl w:val="0"/>
          <w:numId w:val="39"/>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any further analysis of what constitutes a ‘reasonably diligent search’ should be limited to publicly available search options and not lead to payment of any kind to another body to conduct searches; </w:t>
      </w:r>
    </w:p>
    <w:p w:rsidR="007506F5" w:rsidRDefault="007506F5" w:rsidP="00663A90">
      <w:pPr>
        <w:pStyle w:val="ListParagraph"/>
        <w:numPr>
          <w:ilvl w:val="0"/>
          <w:numId w:val="39"/>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the search should only be required to extend to that</w:t>
      </w:r>
      <w:r w:rsidR="00065533">
        <w:rPr>
          <w:rFonts w:eastAsia="Times New Roman" w:cs="Times New Roman"/>
          <w:lang w:eastAsia="en-AU"/>
        </w:rPr>
        <w:t xml:space="preserve"> which</w:t>
      </w:r>
      <w:r>
        <w:rPr>
          <w:rFonts w:eastAsia="Times New Roman" w:cs="Times New Roman"/>
          <w:lang w:eastAsia="en-AU"/>
        </w:rPr>
        <w:t xml:space="preserve"> would be reasonably </w:t>
      </w:r>
      <w:r w:rsidR="00941159">
        <w:rPr>
          <w:rFonts w:eastAsia="Times New Roman" w:cs="Times New Roman"/>
          <w:lang w:eastAsia="en-AU"/>
        </w:rPr>
        <w:t xml:space="preserve">be </w:t>
      </w:r>
      <w:r>
        <w:rPr>
          <w:rFonts w:eastAsia="Times New Roman" w:cs="Times New Roman"/>
          <w:lang w:eastAsia="en-AU"/>
        </w:rPr>
        <w:t>required for a work of a similar age and commercial value; and</w:t>
      </w:r>
    </w:p>
    <w:p w:rsidR="007506F5" w:rsidRPr="007506F5" w:rsidRDefault="007506F5" w:rsidP="00663A90">
      <w:pPr>
        <w:pStyle w:val="ListParagraph"/>
        <w:numPr>
          <w:ilvl w:val="0"/>
          <w:numId w:val="39"/>
        </w:numPr>
        <w:tabs>
          <w:tab w:val="left" w:pos="851"/>
        </w:tabs>
        <w:spacing w:before="100" w:beforeAutospacing="1" w:after="100" w:afterAutospacing="1" w:line="240" w:lineRule="auto"/>
        <w:rPr>
          <w:rFonts w:eastAsia="Times New Roman" w:cs="Times New Roman"/>
          <w:lang w:eastAsia="en-AU"/>
        </w:rPr>
      </w:pPr>
      <w:r>
        <w:rPr>
          <w:rFonts w:eastAsia="Times New Roman" w:cs="Times New Roman"/>
          <w:lang w:eastAsia="en-AU"/>
        </w:rPr>
        <w:t xml:space="preserve">it should be made clear that fair use of orphan works extends to unpublished works. </w:t>
      </w: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13–1</w:t>
      </w:r>
      <w:r w:rsidRPr="00C70834">
        <w:rPr>
          <w:rFonts w:eastAsia="Times New Roman" w:cs="Times New Roman"/>
          <w:lang w:eastAsia="en-AU"/>
        </w:rPr>
        <w:t xml:space="preserve"> The fair use exception should be applied when determining whether an educational use infringes copyright. ‘Education’ should be an illustrative purpose in the fair use exception.</w:t>
      </w:r>
    </w:p>
    <w:p w:rsidR="00E5741F" w:rsidRDefault="001913E5" w:rsidP="00663A90">
      <w:pPr>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13–2</w:t>
      </w:r>
      <w:r w:rsidRPr="00C70834">
        <w:rPr>
          <w:rFonts w:eastAsia="Times New Roman" w:cs="Times New Roman"/>
          <w:lang w:eastAsia="en-AU"/>
        </w:rPr>
        <w:t xml:space="preserve"> If fair use is not enacted, the </w:t>
      </w:r>
      <w:r w:rsidRPr="00E5741F">
        <w:rPr>
          <w:rFonts w:eastAsia="Times New Roman" w:cs="Times New Roman"/>
          <w:iCs/>
          <w:lang w:eastAsia="en-AU"/>
        </w:rPr>
        <w:t>Copyright Act</w:t>
      </w:r>
      <w:r w:rsidRPr="00C70834">
        <w:rPr>
          <w:rFonts w:eastAsia="Times New Roman" w:cs="Times New Roman"/>
          <w:lang w:eastAsia="en-AU"/>
        </w:rPr>
        <w:t xml:space="preserve"> should provide for a new exception for fair dealing for education. This would also require the fairness factors to be considered.</w:t>
      </w:r>
      <w:r w:rsidR="00E5741F">
        <w:rPr>
          <w:rFonts w:eastAsia="Times New Roman" w:cs="Times New Roman"/>
          <w:lang w:eastAsia="en-AU"/>
        </w:rPr>
        <w:t xml:space="preserve">  </w:t>
      </w:r>
      <w:r w:rsidR="00E5741F">
        <w:rPr>
          <w:rFonts w:eastAsia="Times New Roman" w:cs="Times New Roman"/>
          <w:lang w:eastAsia="en-AU"/>
        </w:rPr>
        <w:br/>
      </w:r>
      <w:r>
        <w:rPr>
          <w:rFonts w:eastAsia="Times New Roman" w:cs="Times New Roman"/>
          <w:lang w:eastAsia="en-AU"/>
        </w:rPr>
        <w:t>The Archives supports Proposals 13-1 and 13-2.</w:t>
      </w:r>
    </w:p>
    <w:p w:rsidR="00E5741F" w:rsidRDefault="00E5741F" w:rsidP="00663A90">
      <w:pPr>
        <w:tabs>
          <w:tab w:val="left" w:pos="851"/>
        </w:tabs>
        <w:rPr>
          <w:rFonts w:eastAsia="Times New Roman" w:cs="Times New Roman"/>
          <w:lang w:eastAsia="en-AU"/>
        </w:rPr>
      </w:pPr>
      <w:r>
        <w:rPr>
          <w:rFonts w:eastAsia="Times New Roman" w:cs="Times New Roman"/>
          <w:lang w:eastAsia="en-AU"/>
        </w:rPr>
        <w:br w:type="page"/>
      </w:r>
    </w:p>
    <w:p w:rsidR="00935C22" w:rsidRDefault="00935C22" w:rsidP="00663A90">
      <w:pPr>
        <w:tabs>
          <w:tab w:val="left" w:pos="851"/>
        </w:tabs>
        <w:spacing w:before="100" w:beforeAutospacing="1" w:after="100" w:afterAutospacing="1" w:line="240" w:lineRule="auto"/>
        <w:rPr>
          <w:rFonts w:eastAsia="Times New Roman" w:cs="Times New Roman"/>
          <w:lang w:eastAsia="en-AU"/>
        </w:rPr>
      </w:pPr>
    </w:p>
    <w:p w:rsidR="00C70834" w:rsidRDefault="00C7083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14–1</w:t>
      </w:r>
      <w:r w:rsidRPr="00C70834">
        <w:rPr>
          <w:rFonts w:eastAsia="Times New Roman" w:cs="Times New Roman"/>
          <w:lang w:eastAsia="en-AU"/>
        </w:rPr>
        <w:t xml:space="preserve"> The fair use exception should be applied when determining whether a government use infringes copyright. ‘Public administration’ should be an illustrative purpose in the fair use exception.</w:t>
      </w:r>
    </w:p>
    <w:p w:rsidR="00916BF4" w:rsidRDefault="00916BF4"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Pr>
          <w:rFonts w:eastAsia="Times New Roman" w:cs="Times New Roman"/>
          <w:b/>
          <w:bCs/>
          <w:lang w:eastAsia="en-AU"/>
        </w:rPr>
        <w:t>Proposal 14–2</w:t>
      </w:r>
      <w:r w:rsidRPr="00C70834">
        <w:rPr>
          <w:rFonts w:eastAsia="Times New Roman" w:cs="Times New Roman"/>
          <w:lang w:eastAsia="en-AU"/>
        </w:rPr>
        <w:t xml:space="preserve"> If fair use is not enacted, the </w:t>
      </w:r>
      <w:r w:rsidRPr="00C70834">
        <w:rPr>
          <w:rFonts w:eastAsia="Times New Roman" w:cs="Times New Roman"/>
          <w:i/>
          <w:iCs/>
          <w:lang w:eastAsia="en-AU"/>
        </w:rPr>
        <w:t>Copyright Act</w:t>
      </w:r>
      <w:r w:rsidRPr="00C70834">
        <w:rPr>
          <w:rFonts w:eastAsia="Times New Roman" w:cs="Times New Roman"/>
          <w:lang w:eastAsia="en-AU"/>
        </w:rPr>
        <w:t xml:space="preserve"> should provide for a new exception for fair dealing for public administration. This should also require the fairness factors to be considered.</w:t>
      </w:r>
    </w:p>
    <w:p w:rsidR="00CC7EBF" w:rsidRPr="00C70834" w:rsidRDefault="00CC7EBF" w:rsidP="00663A90">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40" w:after="0" w:line="240" w:lineRule="auto"/>
        <w:rPr>
          <w:rFonts w:eastAsia="Times New Roman" w:cs="Times New Roman"/>
          <w:lang w:eastAsia="en-AU"/>
        </w:rPr>
      </w:pPr>
      <w:r w:rsidRPr="00C70834">
        <w:rPr>
          <w:rFonts w:eastAsia="Times New Roman" w:cs="Times New Roman"/>
          <w:b/>
          <w:bCs/>
          <w:lang w:eastAsia="en-AU"/>
        </w:rPr>
        <w:t>Proposal 14–3</w:t>
      </w:r>
      <w:r w:rsidRPr="00C70834">
        <w:rPr>
          <w:rFonts w:eastAsia="Times New Roman" w:cs="Times New Roman"/>
          <w:lang w:eastAsia="en-AU"/>
        </w:rPr>
        <w:t xml:space="preserve"> The following exceptions in the </w:t>
      </w:r>
      <w:r w:rsidRPr="00C70834">
        <w:rPr>
          <w:rFonts w:eastAsia="Times New Roman" w:cs="Times New Roman"/>
          <w:i/>
          <w:iCs/>
          <w:lang w:eastAsia="en-AU"/>
        </w:rPr>
        <w:t>Copyright Act</w:t>
      </w:r>
      <w:r w:rsidRPr="00C70834">
        <w:rPr>
          <w:rFonts w:eastAsia="Times New Roman" w:cs="Times New Roman"/>
          <w:lang w:eastAsia="en-AU"/>
        </w:rPr>
        <w:t xml:space="preserve"> should be repealed:</w:t>
      </w:r>
    </w:p>
    <w:p w:rsidR="00CC7EBF" w:rsidRPr="00C70834" w:rsidRDefault="00CC7EBF"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(a) </w:t>
      </w:r>
      <w:r w:rsidR="00385D6B">
        <w:rPr>
          <w:rFonts w:eastAsia="Times New Roman" w:cs="Times New Roman"/>
          <w:lang w:eastAsia="en-AU"/>
        </w:rPr>
        <w:tab/>
      </w:r>
      <w:r w:rsidRPr="00C70834">
        <w:rPr>
          <w:rFonts w:eastAsia="Times New Roman" w:cs="Times New Roman"/>
          <w:lang w:eastAsia="en-AU"/>
        </w:rPr>
        <w:t>ss 43(1), 104—judicial proceedings; and</w:t>
      </w:r>
    </w:p>
    <w:p w:rsidR="00CC7EBF" w:rsidRPr="00E5741F" w:rsidRDefault="00CC7EBF" w:rsidP="00385D6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67"/>
        </w:tabs>
        <w:spacing w:before="40" w:after="0" w:line="240" w:lineRule="auto"/>
        <w:rPr>
          <w:rFonts w:eastAsia="Times New Roman" w:cs="Times New Roman"/>
          <w:lang w:eastAsia="en-AU"/>
        </w:rPr>
      </w:pPr>
      <w:r w:rsidRPr="00C70834">
        <w:rPr>
          <w:rFonts w:eastAsia="Times New Roman" w:cs="Times New Roman"/>
          <w:lang w:eastAsia="en-AU"/>
        </w:rPr>
        <w:t xml:space="preserve">(b) </w:t>
      </w:r>
      <w:r w:rsidR="00385D6B">
        <w:rPr>
          <w:rFonts w:eastAsia="Times New Roman" w:cs="Times New Roman"/>
          <w:lang w:eastAsia="en-AU"/>
        </w:rPr>
        <w:tab/>
      </w:r>
      <w:r w:rsidRPr="00C70834">
        <w:rPr>
          <w:rFonts w:eastAsia="Times New Roman" w:cs="Times New Roman"/>
          <w:lang w:eastAsia="en-AU"/>
        </w:rPr>
        <w:t>ss 48A, 104A—copying for members of Parliament.</w:t>
      </w:r>
    </w:p>
    <w:p w:rsidR="00CC7EBF" w:rsidRPr="00B717E1" w:rsidRDefault="00E5741F" w:rsidP="00663A90">
      <w:pPr>
        <w:tabs>
          <w:tab w:val="left" w:pos="851"/>
        </w:tabs>
      </w:pPr>
      <w:r>
        <w:br/>
      </w:r>
      <w:r w:rsidR="00CC7EBF">
        <w:t xml:space="preserve">The Archives supports Proposals 14-1, 14-2, and 14-3 which will ensure that the </w:t>
      </w:r>
      <w:r w:rsidR="00CC7EBF" w:rsidRPr="00E5741F">
        <w:t>Copyright Act</w:t>
      </w:r>
      <w:r w:rsidR="00CC7EBF">
        <w:t xml:space="preserve"> is </w:t>
      </w:r>
      <w:r w:rsidR="00D83035">
        <w:t>‘</w:t>
      </w:r>
      <w:r w:rsidR="00CC7EBF">
        <w:t xml:space="preserve">clear on whether governments can rely on the same fair dealing exceptions as individuals and </w:t>
      </w:r>
      <w:r>
        <w:br/>
      </w:r>
      <w:r w:rsidR="00CC7EBF">
        <w:t>non-government organisations’ (Discussion Paper, 14-26, p. 288).</w:t>
      </w:r>
      <w:r>
        <w:t xml:space="preserve"> </w:t>
      </w:r>
      <w:r w:rsidR="00CC7EBF">
        <w:t xml:space="preserve"> For</w:t>
      </w:r>
      <w:r w:rsidR="002C0E13">
        <w:t xml:space="preserve"> a more detailed submission</w:t>
      </w:r>
      <w:r w:rsidR="00CC7EBF">
        <w:t xml:space="preserve"> see our response to Proposals 4-1, 4-2, 4-3 and 4-4 and to questions 4-1 and 4-2. </w:t>
      </w:r>
      <w:r>
        <w:t xml:space="preserve"> </w:t>
      </w:r>
      <w:r w:rsidR="00CC7EBF">
        <w:t>The rationale in support of fair use provisions applies equally to fair dealing exceptions, if fair use is not enacted.</w:t>
      </w:r>
    </w:p>
    <w:p w:rsidR="00C70834" w:rsidRPr="00C70834" w:rsidRDefault="000E19BB" w:rsidP="00DE2128">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851"/>
        </w:tabs>
        <w:spacing w:before="100" w:beforeAutospacing="1" w:after="100" w:afterAutospacing="1" w:line="240" w:lineRule="auto"/>
        <w:rPr>
          <w:rFonts w:eastAsia="Times New Roman" w:cs="Times New Roman"/>
          <w:lang w:eastAsia="en-AU"/>
        </w:rPr>
      </w:pPr>
      <w:r w:rsidRPr="00C70834" w:rsidDel="000E19BB">
        <w:rPr>
          <w:rFonts w:eastAsia="Times New Roman" w:cs="Times New Roman"/>
          <w:b/>
          <w:bCs/>
          <w:lang w:eastAsia="en-AU"/>
        </w:rPr>
        <w:t xml:space="preserve"> </w:t>
      </w:r>
      <w:r w:rsidR="00C70834" w:rsidRPr="00C70834">
        <w:rPr>
          <w:rFonts w:eastAsia="Times New Roman" w:cs="Times New Roman"/>
          <w:b/>
          <w:bCs/>
          <w:lang w:eastAsia="en-AU"/>
        </w:rPr>
        <w:t>Proposal 17–1</w:t>
      </w:r>
      <w:r w:rsidR="00C70834" w:rsidRPr="00C70834">
        <w:rPr>
          <w:rFonts w:eastAsia="Times New Roman" w:cs="Times New Roman"/>
          <w:lang w:eastAsia="en-AU"/>
        </w:rPr>
        <w:t xml:space="preserve"> The </w:t>
      </w:r>
      <w:r w:rsidR="00C70834" w:rsidRPr="00C70834">
        <w:rPr>
          <w:rFonts w:eastAsia="Times New Roman" w:cs="Times New Roman"/>
          <w:i/>
          <w:iCs/>
          <w:lang w:eastAsia="en-AU"/>
        </w:rPr>
        <w:t>Copyright Act</w:t>
      </w:r>
      <w:r w:rsidR="00C70834" w:rsidRPr="00C70834">
        <w:rPr>
          <w:rFonts w:eastAsia="Times New Roman" w:cs="Times New Roman"/>
          <w:lang w:eastAsia="en-AU"/>
        </w:rPr>
        <w:t xml:space="preserve"> should provide that an agreement, or a provision of an agreement, that excludes or limits, or has the effect of excluding or limiting, the operation of certain copyright exceptions has no effect. These limitations on contracting out should apply to the exceptions for libraries and archives; and the fair use or fair dealing exceptions, to the extent these exceptions apply to the use of material for research or study, criticism or review, parody or satire, reporting news, or quotation.</w:t>
      </w:r>
    </w:p>
    <w:p w:rsidR="00C94A9B" w:rsidRDefault="00065533" w:rsidP="00663A90">
      <w:pPr>
        <w:tabs>
          <w:tab w:val="left" w:pos="851"/>
        </w:tabs>
      </w:pPr>
      <w:r>
        <w:t>In regards to Proposal 17-1, t</w:t>
      </w:r>
      <w:r w:rsidR="00C94A9B">
        <w:t>he Archives:</w:t>
      </w:r>
    </w:p>
    <w:p w:rsidR="00FB615A" w:rsidRDefault="00C94A9B" w:rsidP="00663A90">
      <w:pPr>
        <w:pStyle w:val="ListParagraph"/>
        <w:numPr>
          <w:ilvl w:val="0"/>
          <w:numId w:val="8"/>
        </w:numPr>
        <w:tabs>
          <w:tab w:val="left" w:pos="851"/>
        </w:tabs>
      </w:pPr>
      <w:r>
        <w:t xml:space="preserve">supports limitations on contracting out </w:t>
      </w:r>
      <w:r w:rsidR="0069236A">
        <w:t>libraries and archives exceptions</w:t>
      </w:r>
      <w:r>
        <w:t>; and</w:t>
      </w:r>
    </w:p>
    <w:p w:rsidR="00506087" w:rsidRPr="00C70834" w:rsidRDefault="00C94A9B" w:rsidP="00663A90">
      <w:pPr>
        <w:pStyle w:val="ListParagraph"/>
        <w:numPr>
          <w:ilvl w:val="0"/>
          <w:numId w:val="8"/>
        </w:numPr>
        <w:tabs>
          <w:tab w:val="left" w:pos="851"/>
        </w:tabs>
      </w:pPr>
      <w:r>
        <w:t>submits that the limitation on fair use or fair dealing should be extended to use of material for ‘public administration’ and the additional proposed use of ‘cultural heritage’.</w:t>
      </w:r>
    </w:p>
    <w:sectPr w:rsidR="00506087" w:rsidRPr="00C70834" w:rsidSect="007F37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04" w:rsidRDefault="00485304" w:rsidP="00775C2C">
      <w:pPr>
        <w:spacing w:after="0" w:line="240" w:lineRule="auto"/>
      </w:pPr>
      <w:r>
        <w:separator/>
      </w:r>
    </w:p>
  </w:endnote>
  <w:endnote w:type="continuationSeparator" w:id="0">
    <w:p w:rsidR="00485304" w:rsidRDefault="00485304" w:rsidP="0077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76" w:rsidRDefault="00486C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39957"/>
      <w:docPartObj>
        <w:docPartGallery w:val="Page Numbers (Bottom of Page)"/>
        <w:docPartUnique/>
      </w:docPartObj>
    </w:sdtPr>
    <w:sdtEndPr>
      <w:rPr>
        <w:noProof/>
      </w:rPr>
    </w:sdtEndPr>
    <w:sdtContent>
      <w:p w:rsidR="00485304" w:rsidRDefault="007F375F">
        <w:pPr>
          <w:pStyle w:val="Footer"/>
          <w:jc w:val="right"/>
        </w:pPr>
        <w:r>
          <w:fldChar w:fldCharType="begin"/>
        </w:r>
        <w:r w:rsidR="00485304">
          <w:instrText xml:space="preserve"> PAGE   \* MERGEFORMAT </w:instrText>
        </w:r>
        <w:r>
          <w:fldChar w:fldCharType="separate"/>
        </w:r>
        <w:r w:rsidR="00486C76">
          <w:rPr>
            <w:noProof/>
          </w:rPr>
          <w:t>1</w:t>
        </w:r>
        <w:r>
          <w:rPr>
            <w:noProof/>
          </w:rPr>
          <w:fldChar w:fldCharType="end"/>
        </w:r>
      </w:p>
    </w:sdtContent>
  </w:sdt>
  <w:p w:rsidR="00485304" w:rsidRDefault="004853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76" w:rsidRDefault="00486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04" w:rsidRDefault="00485304" w:rsidP="00775C2C">
      <w:pPr>
        <w:spacing w:after="0" w:line="240" w:lineRule="auto"/>
      </w:pPr>
      <w:r>
        <w:separator/>
      </w:r>
    </w:p>
  </w:footnote>
  <w:footnote w:type="continuationSeparator" w:id="0">
    <w:p w:rsidR="00485304" w:rsidRDefault="00485304" w:rsidP="00775C2C">
      <w:pPr>
        <w:spacing w:after="0" w:line="240" w:lineRule="auto"/>
      </w:pPr>
      <w:r>
        <w:continuationSeparator/>
      </w:r>
    </w:p>
  </w:footnote>
  <w:footnote w:id="1">
    <w:p w:rsidR="00485304" w:rsidRDefault="00485304" w:rsidP="004216DD">
      <w:pPr>
        <w:pStyle w:val="FootnoteText"/>
      </w:pPr>
      <w:r>
        <w:rPr>
          <w:rStyle w:val="FootnoteReference"/>
        </w:rPr>
        <w:footnoteRef/>
      </w:r>
      <w:r>
        <w:t xml:space="preserve"> </w:t>
      </w:r>
      <w:r w:rsidRPr="00FB77B0">
        <w:rPr>
          <w:i/>
        </w:rPr>
        <w:t>Archives Act 1983</w:t>
      </w:r>
      <w:r>
        <w:t xml:space="preserve"> (Cth) s 2A.</w:t>
      </w:r>
    </w:p>
  </w:footnote>
  <w:footnote w:id="2">
    <w:p w:rsidR="00485304" w:rsidRDefault="00485304">
      <w:pPr>
        <w:pStyle w:val="FootnoteText"/>
      </w:pPr>
      <w:r>
        <w:rPr>
          <w:rStyle w:val="FootnoteReference"/>
        </w:rPr>
        <w:footnoteRef/>
      </w:r>
      <w:r>
        <w:t xml:space="preserve"> </w:t>
      </w:r>
      <w:r w:rsidRPr="004216DD">
        <w:rPr>
          <w:i/>
        </w:rPr>
        <w:t>Archives Act 1983</w:t>
      </w:r>
      <w:r>
        <w:t xml:space="preserve"> (Cth) s 5.</w:t>
      </w:r>
    </w:p>
  </w:footnote>
  <w:footnote w:id="3">
    <w:p w:rsidR="00485304" w:rsidRDefault="00485304">
      <w:pPr>
        <w:pStyle w:val="FootnoteText"/>
      </w:pPr>
      <w:r>
        <w:rPr>
          <w:rStyle w:val="FootnoteReference"/>
        </w:rPr>
        <w:footnoteRef/>
      </w:r>
      <w:r>
        <w:t xml:space="preserve"> Archives Act 1983 (Cth) s 3(2).</w:t>
      </w:r>
    </w:p>
  </w:footnote>
  <w:footnote w:id="4">
    <w:p w:rsidR="00485304" w:rsidRDefault="00485304">
      <w:pPr>
        <w:pStyle w:val="FootnoteText"/>
      </w:pPr>
      <w:r>
        <w:rPr>
          <w:rStyle w:val="FootnoteReference"/>
        </w:rPr>
        <w:footnoteRef/>
      </w:r>
      <w:r>
        <w:t xml:space="preserve"> Archives Act 1983 (Cth) s 57(1)(a).</w:t>
      </w:r>
    </w:p>
  </w:footnote>
  <w:footnote w:id="5">
    <w:p w:rsidR="00485304" w:rsidRDefault="00485304">
      <w:pPr>
        <w:pStyle w:val="FootnoteText"/>
      </w:pPr>
      <w:r>
        <w:rPr>
          <w:rStyle w:val="FootnoteReference"/>
        </w:rPr>
        <w:footnoteRef/>
      </w:r>
      <w:r>
        <w:t xml:space="preserve"> Australian Government, Department of Finance and Deregulation, </w:t>
      </w:r>
      <w:r>
        <w:rPr>
          <w:i/>
        </w:rPr>
        <w:t>Declaration of Open Government</w:t>
      </w:r>
      <w:r>
        <w:t xml:space="preserve"> </w:t>
      </w:r>
      <w:r w:rsidR="00E5741F">
        <w:br/>
      </w:r>
      <w:r>
        <w:t>(16 July 2010) &lt;</w:t>
      </w:r>
      <w:hyperlink r:id="rId1" w:history="1">
        <w:r w:rsidRPr="00D82DF7">
          <w:rPr>
            <w:rStyle w:val="Hyperlink"/>
          </w:rPr>
          <w:t>http://agimo.gov.au/2010/07/16/declaration-of-open-government/</w:t>
        </w:r>
      </w:hyperlink>
      <w:r>
        <w:t>&gt;.</w:t>
      </w:r>
    </w:p>
  </w:footnote>
  <w:footnote w:id="6">
    <w:p w:rsidR="00485304" w:rsidRPr="00FB3F16" w:rsidRDefault="00485304">
      <w:pPr>
        <w:pStyle w:val="FootnoteText"/>
      </w:pPr>
      <w:r w:rsidRPr="00FB3F16">
        <w:rPr>
          <w:rStyle w:val="FootnoteReference"/>
        </w:rPr>
        <w:footnoteRef/>
      </w:r>
      <w:r w:rsidRPr="00FB3F16">
        <w:t xml:space="preserve"> </w:t>
      </w:r>
      <w:hyperlink r:id="rId2" w:history="1">
        <w:r w:rsidRPr="00FB3F16">
          <w:rPr>
            <w:rStyle w:val="Hyperlink"/>
          </w:rPr>
          <w:t>http://www.finance.gov.au/publications/gov20taskforcereport/index.html</w:t>
        </w:r>
      </w:hyperlink>
      <w:r w:rsidRPr="00FB3F16">
        <w:t xml:space="preserve"> Recommendation 6.1.</w:t>
      </w:r>
    </w:p>
  </w:footnote>
  <w:footnote w:id="7">
    <w:p w:rsidR="00485304" w:rsidRPr="00FB3F16" w:rsidRDefault="00485304" w:rsidP="00A06764">
      <w:pPr>
        <w:pStyle w:val="FootnoteText"/>
      </w:pPr>
      <w:r w:rsidRPr="00FB3F16">
        <w:rPr>
          <w:rStyle w:val="FootnoteReference"/>
        </w:rPr>
        <w:footnoteRef/>
      </w:r>
      <w:r w:rsidRPr="00FB3F16">
        <w:t xml:space="preserve"> Address at the Launch of Information Awareness Month, National Archives of Australia, 5 May 2009.</w:t>
      </w:r>
    </w:p>
  </w:footnote>
  <w:footnote w:id="8">
    <w:p w:rsidR="00485304" w:rsidRPr="00FB3F16" w:rsidRDefault="00485304" w:rsidP="00462D34">
      <w:pPr>
        <w:pStyle w:val="FootnoteText"/>
      </w:pPr>
      <w:r w:rsidRPr="00FB3F16">
        <w:rPr>
          <w:rStyle w:val="FootnoteReference"/>
        </w:rPr>
        <w:footnoteRef/>
      </w:r>
      <w:r w:rsidRPr="00FB3F16">
        <w:t xml:space="preserve"> Robin Creyke, John McMillan, </w:t>
      </w:r>
      <w:r w:rsidRPr="00FB3F16">
        <w:rPr>
          <w:i/>
        </w:rPr>
        <w:t>Control of Government Action</w:t>
      </w:r>
      <w:r w:rsidRPr="00FB3F16">
        <w:t xml:space="preserve"> (LexisNexis Butterworths, 3</w:t>
      </w:r>
      <w:r w:rsidRPr="00FB3F16">
        <w:rPr>
          <w:vertAlign w:val="superscript"/>
        </w:rPr>
        <w:t>rd</w:t>
      </w:r>
      <w:r w:rsidRPr="00FB3F16">
        <w:t xml:space="preserve"> ed 2012) 1002.</w:t>
      </w:r>
    </w:p>
  </w:footnote>
  <w:footnote w:id="9">
    <w:p w:rsidR="00485304" w:rsidRDefault="00485304" w:rsidP="00DD36F4">
      <w:pPr>
        <w:pStyle w:val="FootnoteText"/>
      </w:pPr>
      <w:r w:rsidRPr="00FB3F16">
        <w:rPr>
          <w:rStyle w:val="FootnoteReference"/>
          <w:rFonts w:cstheme="minorHAnsi"/>
        </w:rPr>
        <w:footnoteRef/>
      </w:r>
      <w:r w:rsidRPr="00FB3F16">
        <w:rPr>
          <w:rFonts w:cstheme="minorHAnsi"/>
        </w:rPr>
        <w:t xml:space="preserve"> </w:t>
      </w:r>
      <w:r w:rsidRPr="00FB3F16">
        <w:rPr>
          <w:rFonts w:eastAsia="Times New Roman" w:cstheme="minorHAnsi"/>
          <w:bCs/>
          <w:i/>
          <w:lang w:eastAsia="en-AU"/>
        </w:rPr>
        <w:t xml:space="preserve">Copyright, Designs and Patents Act 1988 </w:t>
      </w:r>
      <w:r w:rsidRPr="00FB3F16">
        <w:rPr>
          <w:rFonts w:eastAsia="Times New Roman" w:cstheme="minorHAnsi"/>
          <w:bCs/>
          <w:lang w:eastAsia="en-AU"/>
        </w:rPr>
        <w:t>(UK) ss 48, 49.</w:t>
      </w:r>
    </w:p>
  </w:footnote>
  <w:footnote w:id="10">
    <w:p w:rsidR="00485304" w:rsidRDefault="00485304">
      <w:pPr>
        <w:pStyle w:val="FootnoteText"/>
      </w:pPr>
      <w:r>
        <w:rPr>
          <w:rStyle w:val="FootnoteReference"/>
        </w:rPr>
        <w:footnoteRef/>
      </w:r>
      <w:r>
        <w:t xml:space="preserve"> Discussion Paper 14.11.</w:t>
      </w:r>
    </w:p>
  </w:footnote>
  <w:footnote w:id="11">
    <w:p w:rsidR="00485304" w:rsidRDefault="00485304">
      <w:pPr>
        <w:pStyle w:val="FootnoteText"/>
      </w:pPr>
      <w:r>
        <w:rPr>
          <w:rStyle w:val="FootnoteReference"/>
        </w:rPr>
        <w:footnoteRef/>
      </w:r>
      <w:r>
        <w:t xml:space="preserve"> UK Government, </w:t>
      </w:r>
      <w:r w:rsidRPr="003030C4">
        <w:rPr>
          <w:i/>
        </w:rPr>
        <w:t>Modernising Copyright: A modern, Robust and Flexible Framework</w:t>
      </w:r>
      <w:r>
        <w:t xml:space="preserve"> (2012), 37.</w:t>
      </w:r>
    </w:p>
  </w:footnote>
  <w:footnote w:id="12">
    <w:p w:rsidR="00485304" w:rsidRDefault="00485304">
      <w:pPr>
        <w:pStyle w:val="FootnoteText"/>
      </w:pPr>
      <w:r>
        <w:rPr>
          <w:rStyle w:val="FootnoteReference"/>
        </w:rPr>
        <w:footnoteRef/>
      </w:r>
      <w:r>
        <w:t xml:space="preserve"> </w:t>
      </w:r>
      <w:r w:rsidRPr="002E1B1A">
        <w:rPr>
          <w:i/>
        </w:rPr>
        <w:t>Archives Act 1983</w:t>
      </w:r>
      <w:r>
        <w:t xml:space="preserve"> (Cth) s 5(h) and (j)</w:t>
      </w:r>
    </w:p>
  </w:footnote>
  <w:footnote w:id="13">
    <w:p w:rsidR="00485304" w:rsidRDefault="00485304">
      <w:pPr>
        <w:pStyle w:val="FootnoteText"/>
      </w:pPr>
      <w:r>
        <w:rPr>
          <w:rStyle w:val="FootnoteReference"/>
        </w:rPr>
        <w:footnoteRef/>
      </w:r>
      <w:r>
        <w:t xml:space="preserve"> </w:t>
      </w:r>
      <w:r w:rsidRPr="007C1559">
        <w:rPr>
          <w:i/>
        </w:rPr>
        <w:t>Archives Act 1983</w:t>
      </w:r>
      <w:r>
        <w:t xml:space="preserve"> (Cth) s 31(1)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76" w:rsidRDefault="00486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485304">
      <w:trPr>
        <w:trHeight w:val="288"/>
      </w:trPr>
      <w:tc>
        <w:tcPr>
          <w:tcW w:w="7765" w:type="dxa"/>
        </w:tcPr>
        <w:p w:rsidR="00485304" w:rsidRDefault="007F375F" w:rsidP="00D2144A">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20"/>
                <w:szCs w:val="20"/>
              </w:rPr>
              <w:alias w:val="Title"/>
              <w:id w:val="77761602"/>
              <w:placeholder>
                <w:docPart w:val="8FDE54B502974EC88B1217C2EBF38ED2"/>
              </w:placeholder>
              <w:dataBinding w:prefixMappings="xmlns:ns0='http://schemas.openxmlformats.org/package/2006/metadata/core-properties' xmlns:ns1='http://purl.org/dc/elements/1.1/'" w:xpath="/ns0:coreProperties[1]/ns1:title[1]" w:storeItemID="{6C3C8BC8-F283-45AE-878A-BAB7291924A1}"/>
              <w:text/>
            </w:sdtPr>
            <w:sdtContent>
              <w:r w:rsidR="00D2144A">
                <w:rPr>
                  <w:rFonts w:asciiTheme="majorHAnsi" w:eastAsiaTheme="majorEastAsia" w:hAnsiTheme="majorHAnsi" w:cstheme="majorBidi"/>
                  <w:sz w:val="20"/>
                  <w:szCs w:val="20"/>
                </w:rPr>
                <w:t>National Archives of Australia -</w:t>
              </w:r>
              <w:r w:rsidR="001F7461" w:rsidRPr="00775C2C">
                <w:rPr>
                  <w:rFonts w:asciiTheme="majorHAnsi" w:eastAsiaTheme="majorEastAsia" w:hAnsiTheme="majorHAnsi" w:cstheme="majorBidi"/>
                  <w:sz w:val="20"/>
                  <w:szCs w:val="20"/>
                </w:rPr>
                <w:t xml:space="preserve"> S</w:t>
              </w:r>
              <w:r w:rsidR="001F7461">
                <w:rPr>
                  <w:rFonts w:asciiTheme="majorHAnsi" w:eastAsiaTheme="majorEastAsia" w:hAnsiTheme="majorHAnsi" w:cstheme="majorBidi"/>
                  <w:sz w:val="20"/>
                  <w:szCs w:val="20"/>
                </w:rPr>
                <w:t>ubmission to ALRC Discussion P</w:t>
              </w:r>
              <w:r w:rsidR="001F7461" w:rsidRPr="00775C2C">
                <w:rPr>
                  <w:rFonts w:asciiTheme="majorHAnsi" w:eastAsiaTheme="majorEastAsia" w:hAnsiTheme="majorHAnsi" w:cstheme="majorBidi"/>
                  <w:sz w:val="20"/>
                  <w:szCs w:val="20"/>
                </w:rPr>
                <w:t>aper- Copyright and the Digital Economy</w:t>
              </w:r>
            </w:sdtContent>
          </w:sdt>
        </w:p>
      </w:tc>
      <w:sdt>
        <w:sdtPr>
          <w:rPr>
            <w:rFonts w:asciiTheme="majorHAnsi" w:eastAsiaTheme="majorEastAsia" w:hAnsiTheme="majorHAnsi" w:cstheme="majorBidi"/>
            <w:b/>
            <w:bCs/>
            <w:color w:val="4F81BD" w:themeColor="accent1"/>
            <w:sz w:val="20"/>
            <w:szCs w:val="20"/>
          </w:rPr>
          <w:alias w:val="Year"/>
          <w:id w:val="77761609"/>
          <w:placeholder>
            <w:docPart w:val="E771F9167F864C43891476CBD0CF2EFB"/>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485304" w:rsidRDefault="00485304" w:rsidP="00775C2C">
              <w:pPr>
                <w:pStyle w:val="Header"/>
                <w:rPr>
                  <w:rFonts w:asciiTheme="majorHAnsi" w:eastAsiaTheme="majorEastAsia" w:hAnsiTheme="majorHAnsi" w:cstheme="majorBidi"/>
                  <w:b/>
                  <w:bCs/>
                  <w:color w:val="4F81BD" w:themeColor="accent1"/>
                  <w:sz w:val="36"/>
                  <w:szCs w:val="36"/>
                </w:rPr>
              </w:pPr>
              <w:r w:rsidRPr="00775C2C">
                <w:rPr>
                  <w:rFonts w:asciiTheme="majorHAnsi" w:eastAsiaTheme="majorEastAsia" w:hAnsiTheme="majorHAnsi" w:cstheme="majorBidi"/>
                  <w:b/>
                  <w:bCs/>
                  <w:color w:val="4F81BD" w:themeColor="accent1"/>
                  <w:sz w:val="20"/>
                  <w:szCs w:val="20"/>
                </w:rPr>
                <w:t>2013</w:t>
              </w:r>
            </w:p>
          </w:tc>
        </w:sdtContent>
      </w:sdt>
    </w:tr>
  </w:tbl>
  <w:p w:rsidR="00485304" w:rsidRDefault="004853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C76" w:rsidRDefault="00486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6A48E6"/>
    <w:lvl w:ilvl="0">
      <w:numFmt w:val="bullet"/>
      <w:lvlText w:val="*"/>
      <w:lvlJc w:val="left"/>
      <w:pPr>
        <w:ind w:left="0" w:firstLine="0"/>
      </w:pPr>
    </w:lvl>
  </w:abstractNum>
  <w:abstractNum w:abstractNumId="1">
    <w:nsid w:val="014F73E6"/>
    <w:multiLevelType w:val="hybridMultilevel"/>
    <w:tmpl w:val="132034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1803EF4"/>
    <w:multiLevelType w:val="hybridMultilevel"/>
    <w:tmpl w:val="9CA6FE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1E32255"/>
    <w:multiLevelType w:val="hybridMultilevel"/>
    <w:tmpl w:val="7CA4016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nsid w:val="05153328"/>
    <w:multiLevelType w:val="hybridMultilevel"/>
    <w:tmpl w:val="61381990"/>
    <w:lvl w:ilvl="0" w:tplc="68C244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2F0861"/>
    <w:multiLevelType w:val="hybridMultilevel"/>
    <w:tmpl w:val="4C1C3FE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5AF42C3"/>
    <w:multiLevelType w:val="hybridMultilevel"/>
    <w:tmpl w:val="FE3043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F9B71B6"/>
    <w:multiLevelType w:val="hybridMultilevel"/>
    <w:tmpl w:val="63CC10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0B516C6"/>
    <w:multiLevelType w:val="hybridMultilevel"/>
    <w:tmpl w:val="ED989824"/>
    <w:lvl w:ilvl="0" w:tplc="E8BC35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17325F6"/>
    <w:multiLevelType w:val="hybridMultilevel"/>
    <w:tmpl w:val="A4CE25F8"/>
    <w:lvl w:ilvl="0" w:tplc="B678B8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CB21DA"/>
    <w:multiLevelType w:val="hybridMultilevel"/>
    <w:tmpl w:val="CF52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D4586D"/>
    <w:multiLevelType w:val="multilevel"/>
    <w:tmpl w:val="456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3D2982"/>
    <w:multiLevelType w:val="hybridMultilevel"/>
    <w:tmpl w:val="334A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26038E"/>
    <w:multiLevelType w:val="hybridMultilevel"/>
    <w:tmpl w:val="EC2851EA"/>
    <w:lvl w:ilvl="0" w:tplc="D81E819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77B1062"/>
    <w:multiLevelType w:val="hybridMultilevel"/>
    <w:tmpl w:val="24F079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C0E0CA7"/>
    <w:multiLevelType w:val="hybridMultilevel"/>
    <w:tmpl w:val="47B8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FA37448"/>
    <w:multiLevelType w:val="multilevel"/>
    <w:tmpl w:val="93CEBF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1CE0336"/>
    <w:multiLevelType w:val="hybridMultilevel"/>
    <w:tmpl w:val="B8202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10337F"/>
    <w:multiLevelType w:val="hybridMultilevel"/>
    <w:tmpl w:val="4EF6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410228"/>
    <w:multiLevelType w:val="hybridMultilevel"/>
    <w:tmpl w:val="16425B40"/>
    <w:lvl w:ilvl="0" w:tplc="12663286">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B508D3"/>
    <w:multiLevelType w:val="hybridMultilevel"/>
    <w:tmpl w:val="8B6E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E502E5"/>
    <w:multiLevelType w:val="hybridMultilevel"/>
    <w:tmpl w:val="8F46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D2037B"/>
    <w:multiLevelType w:val="hybridMultilevel"/>
    <w:tmpl w:val="61047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96647A"/>
    <w:multiLevelType w:val="hybridMultilevel"/>
    <w:tmpl w:val="D202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43554C"/>
    <w:multiLevelType w:val="hybridMultilevel"/>
    <w:tmpl w:val="7AC44E12"/>
    <w:lvl w:ilvl="0" w:tplc="68C244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744357"/>
    <w:multiLevelType w:val="hybridMultilevel"/>
    <w:tmpl w:val="1BF2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A27E5F"/>
    <w:multiLevelType w:val="hybridMultilevel"/>
    <w:tmpl w:val="61569132"/>
    <w:lvl w:ilvl="0" w:tplc="9D66E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D8E7CA9"/>
    <w:multiLevelType w:val="hybridMultilevel"/>
    <w:tmpl w:val="74602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F137B9"/>
    <w:multiLevelType w:val="hybridMultilevel"/>
    <w:tmpl w:val="E8B2B2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9064F0"/>
    <w:multiLevelType w:val="hybridMultilevel"/>
    <w:tmpl w:val="0FA459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3506128"/>
    <w:multiLevelType w:val="multilevel"/>
    <w:tmpl w:val="049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0063C"/>
    <w:multiLevelType w:val="hybridMultilevel"/>
    <w:tmpl w:val="039C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807133"/>
    <w:multiLevelType w:val="hybridMultilevel"/>
    <w:tmpl w:val="140C9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9707529"/>
    <w:multiLevelType w:val="hybridMultilevel"/>
    <w:tmpl w:val="F1AE5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BF4D27"/>
    <w:multiLevelType w:val="multilevel"/>
    <w:tmpl w:val="1EC03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0A7299"/>
    <w:multiLevelType w:val="hybridMultilevel"/>
    <w:tmpl w:val="39FE1F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55F322C"/>
    <w:multiLevelType w:val="hybridMultilevel"/>
    <w:tmpl w:val="61381990"/>
    <w:lvl w:ilvl="0" w:tplc="68C244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3F3E33"/>
    <w:multiLevelType w:val="hybridMultilevel"/>
    <w:tmpl w:val="449EF46C"/>
    <w:lvl w:ilvl="0" w:tplc="50FC23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51F0095"/>
    <w:multiLevelType w:val="hybridMultilevel"/>
    <w:tmpl w:val="395E3D42"/>
    <w:lvl w:ilvl="0" w:tplc="B866D9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AB1227"/>
    <w:multiLevelType w:val="hybridMultilevel"/>
    <w:tmpl w:val="9DD0A5D6"/>
    <w:lvl w:ilvl="0" w:tplc="59046EF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3"/>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2"/>
  </w:num>
  <w:num w:numId="5">
    <w:abstractNumId w:val="4"/>
  </w:num>
  <w:num w:numId="6">
    <w:abstractNumId w:val="37"/>
  </w:num>
  <w:num w:numId="7">
    <w:abstractNumId w:val="20"/>
  </w:num>
  <w:num w:numId="8">
    <w:abstractNumId w:val="18"/>
  </w:num>
  <w:num w:numId="9">
    <w:abstractNumId w:val="34"/>
  </w:num>
  <w:num w:numId="10">
    <w:abstractNumId w:val="16"/>
  </w:num>
  <w:num w:numId="11">
    <w:abstractNumId w:val="36"/>
  </w:num>
  <w:num w:numId="12">
    <w:abstractNumId w:val="24"/>
  </w:num>
  <w:num w:numId="13">
    <w:abstractNumId w:val="29"/>
  </w:num>
  <w:num w:numId="14">
    <w:abstractNumId w:val="6"/>
  </w:num>
  <w:num w:numId="15">
    <w:abstractNumId w:val="32"/>
  </w:num>
  <w:num w:numId="16">
    <w:abstractNumId w:val="1"/>
  </w:num>
  <w:num w:numId="17">
    <w:abstractNumId w:val="7"/>
  </w:num>
  <w:num w:numId="18">
    <w:abstractNumId w:val="17"/>
  </w:num>
  <w:num w:numId="19">
    <w:abstractNumId w:val="27"/>
  </w:num>
  <w:num w:numId="20">
    <w:abstractNumId w:val="15"/>
  </w:num>
  <w:num w:numId="21">
    <w:abstractNumId w:val="14"/>
  </w:num>
  <w:num w:numId="22">
    <w:abstractNumId w:val="10"/>
  </w:num>
  <w:num w:numId="23">
    <w:abstractNumId w:val="21"/>
  </w:num>
  <w:num w:numId="24">
    <w:abstractNumId w:val="33"/>
  </w:num>
  <w:num w:numId="25">
    <w:abstractNumId w:val="11"/>
  </w:num>
  <w:num w:numId="26">
    <w:abstractNumId w:val="35"/>
  </w:num>
  <w:num w:numId="27">
    <w:abstractNumId w:val="3"/>
  </w:num>
  <w:num w:numId="28">
    <w:abstractNumId w:val="5"/>
  </w:num>
  <w:num w:numId="29">
    <w:abstractNumId w:val="22"/>
  </w:num>
  <w:num w:numId="30">
    <w:abstractNumId w:val="12"/>
  </w:num>
  <w:num w:numId="31">
    <w:abstractNumId w:val="23"/>
  </w:num>
  <w:num w:numId="32">
    <w:abstractNumId w:val="26"/>
  </w:num>
  <w:num w:numId="33">
    <w:abstractNumId w:val="30"/>
  </w:num>
  <w:num w:numId="34">
    <w:abstractNumId w:val="19"/>
  </w:num>
  <w:num w:numId="35">
    <w:abstractNumId w:val="9"/>
  </w:num>
  <w:num w:numId="36">
    <w:abstractNumId w:val="39"/>
  </w:num>
  <w:num w:numId="37">
    <w:abstractNumId w:val="31"/>
  </w:num>
  <w:num w:numId="38">
    <w:abstractNumId w:val="25"/>
  </w:num>
  <w:num w:numId="39">
    <w:abstractNumId w:val="2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5"/>
  </w:hdrShapeDefaults>
  <w:footnotePr>
    <w:footnote w:id="-1"/>
    <w:footnote w:id="0"/>
  </w:footnotePr>
  <w:endnotePr>
    <w:endnote w:id="-1"/>
    <w:endnote w:id="0"/>
  </w:endnotePr>
  <w:compat/>
  <w:rsids>
    <w:rsidRoot w:val="00506087"/>
    <w:rsid w:val="00005A0B"/>
    <w:rsid w:val="000110FA"/>
    <w:rsid w:val="0001760A"/>
    <w:rsid w:val="00024C8A"/>
    <w:rsid w:val="00025C78"/>
    <w:rsid w:val="0004396D"/>
    <w:rsid w:val="000510F5"/>
    <w:rsid w:val="00062E8C"/>
    <w:rsid w:val="00063145"/>
    <w:rsid w:val="00063F27"/>
    <w:rsid w:val="00065533"/>
    <w:rsid w:val="00080FAB"/>
    <w:rsid w:val="000967BB"/>
    <w:rsid w:val="000A1E2A"/>
    <w:rsid w:val="000A2604"/>
    <w:rsid w:val="000A7162"/>
    <w:rsid w:val="000B4083"/>
    <w:rsid w:val="000C646E"/>
    <w:rsid w:val="000C64FB"/>
    <w:rsid w:val="000D0F25"/>
    <w:rsid w:val="000E04AD"/>
    <w:rsid w:val="000E19BB"/>
    <w:rsid w:val="000E3DF0"/>
    <w:rsid w:val="000F6D19"/>
    <w:rsid w:val="0010398F"/>
    <w:rsid w:val="00106FC8"/>
    <w:rsid w:val="0012158B"/>
    <w:rsid w:val="001221B1"/>
    <w:rsid w:val="001358CD"/>
    <w:rsid w:val="00141030"/>
    <w:rsid w:val="00161BDC"/>
    <w:rsid w:val="001718E5"/>
    <w:rsid w:val="00177BC9"/>
    <w:rsid w:val="001820EC"/>
    <w:rsid w:val="00183D7B"/>
    <w:rsid w:val="00187727"/>
    <w:rsid w:val="00190240"/>
    <w:rsid w:val="001913E5"/>
    <w:rsid w:val="00191E10"/>
    <w:rsid w:val="001B5D25"/>
    <w:rsid w:val="001F26AB"/>
    <w:rsid w:val="001F5EF6"/>
    <w:rsid w:val="001F7461"/>
    <w:rsid w:val="00201852"/>
    <w:rsid w:val="00214AC4"/>
    <w:rsid w:val="002275DF"/>
    <w:rsid w:val="00241A4E"/>
    <w:rsid w:val="002470FA"/>
    <w:rsid w:val="00252676"/>
    <w:rsid w:val="00252AC8"/>
    <w:rsid w:val="00254814"/>
    <w:rsid w:val="00254820"/>
    <w:rsid w:val="002711E2"/>
    <w:rsid w:val="00276899"/>
    <w:rsid w:val="002B07CB"/>
    <w:rsid w:val="002B3BEA"/>
    <w:rsid w:val="002B4552"/>
    <w:rsid w:val="002C0E13"/>
    <w:rsid w:val="002D0BC8"/>
    <w:rsid w:val="002E1B1A"/>
    <w:rsid w:val="002E7D3A"/>
    <w:rsid w:val="002F19FD"/>
    <w:rsid w:val="003001BF"/>
    <w:rsid w:val="003030C4"/>
    <w:rsid w:val="00303988"/>
    <w:rsid w:val="003045E2"/>
    <w:rsid w:val="00310DEC"/>
    <w:rsid w:val="003117C1"/>
    <w:rsid w:val="003139CD"/>
    <w:rsid w:val="003214CB"/>
    <w:rsid w:val="003273E2"/>
    <w:rsid w:val="00330950"/>
    <w:rsid w:val="00335934"/>
    <w:rsid w:val="0034345A"/>
    <w:rsid w:val="00343A50"/>
    <w:rsid w:val="00347378"/>
    <w:rsid w:val="00351B34"/>
    <w:rsid w:val="003528C2"/>
    <w:rsid w:val="00357D57"/>
    <w:rsid w:val="003678B3"/>
    <w:rsid w:val="00374634"/>
    <w:rsid w:val="00381348"/>
    <w:rsid w:val="00385D6B"/>
    <w:rsid w:val="003866DB"/>
    <w:rsid w:val="003A598D"/>
    <w:rsid w:val="003B676E"/>
    <w:rsid w:val="003E0C56"/>
    <w:rsid w:val="003E56A0"/>
    <w:rsid w:val="003E68AF"/>
    <w:rsid w:val="003F436D"/>
    <w:rsid w:val="004216DD"/>
    <w:rsid w:val="004248BF"/>
    <w:rsid w:val="00424D5B"/>
    <w:rsid w:val="00432493"/>
    <w:rsid w:val="00435095"/>
    <w:rsid w:val="00435EC7"/>
    <w:rsid w:val="00450804"/>
    <w:rsid w:val="00462D34"/>
    <w:rsid w:val="00473DFE"/>
    <w:rsid w:val="0047419F"/>
    <w:rsid w:val="00485304"/>
    <w:rsid w:val="00486C76"/>
    <w:rsid w:val="00490CE8"/>
    <w:rsid w:val="00492331"/>
    <w:rsid w:val="004A0217"/>
    <w:rsid w:val="004A16F5"/>
    <w:rsid w:val="004A480B"/>
    <w:rsid w:val="004A6123"/>
    <w:rsid w:val="004A6B4F"/>
    <w:rsid w:val="004A7BBD"/>
    <w:rsid w:val="004D398E"/>
    <w:rsid w:val="004E5289"/>
    <w:rsid w:val="004E6F9E"/>
    <w:rsid w:val="004F2082"/>
    <w:rsid w:val="004F3C47"/>
    <w:rsid w:val="004F4098"/>
    <w:rsid w:val="004F4DA8"/>
    <w:rsid w:val="004F56F7"/>
    <w:rsid w:val="004F67D2"/>
    <w:rsid w:val="00504D0B"/>
    <w:rsid w:val="00506087"/>
    <w:rsid w:val="00513500"/>
    <w:rsid w:val="005169A7"/>
    <w:rsid w:val="00535C20"/>
    <w:rsid w:val="00544F9C"/>
    <w:rsid w:val="00550191"/>
    <w:rsid w:val="00565E52"/>
    <w:rsid w:val="005743A2"/>
    <w:rsid w:val="00592AF0"/>
    <w:rsid w:val="005964FF"/>
    <w:rsid w:val="005B59A6"/>
    <w:rsid w:val="005B5D17"/>
    <w:rsid w:val="005B608D"/>
    <w:rsid w:val="005B72F3"/>
    <w:rsid w:val="005D3252"/>
    <w:rsid w:val="005E6592"/>
    <w:rsid w:val="005F614C"/>
    <w:rsid w:val="00600EDE"/>
    <w:rsid w:val="006074D9"/>
    <w:rsid w:val="0062430A"/>
    <w:rsid w:val="00637D9A"/>
    <w:rsid w:val="00641809"/>
    <w:rsid w:val="00653030"/>
    <w:rsid w:val="00663A90"/>
    <w:rsid w:val="00674DD6"/>
    <w:rsid w:val="00681EA3"/>
    <w:rsid w:val="006911C9"/>
    <w:rsid w:val="0069236A"/>
    <w:rsid w:val="00697DA9"/>
    <w:rsid w:val="006A239A"/>
    <w:rsid w:val="006A609F"/>
    <w:rsid w:val="006B0560"/>
    <w:rsid w:val="006B6AF5"/>
    <w:rsid w:val="006D5E25"/>
    <w:rsid w:val="006E19FC"/>
    <w:rsid w:val="006E3DB6"/>
    <w:rsid w:val="006F0DD4"/>
    <w:rsid w:val="006F1536"/>
    <w:rsid w:val="006F2B14"/>
    <w:rsid w:val="006F2DDD"/>
    <w:rsid w:val="006F6AF5"/>
    <w:rsid w:val="00701D4A"/>
    <w:rsid w:val="00704E62"/>
    <w:rsid w:val="0071431B"/>
    <w:rsid w:val="0072021A"/>
    <w:rsid w:val="00724D37"/>
    <w:rsid w:val="00735697"/>
    <w:rsid w:val="00740595"/>
    <w:rsid w:val="00741709"/>
    <w:rsid w:val="00746374"/>
    <w:rsid w:val="007506F5"/>
    <w:rsid w:val="00775C2C"/>
    <w:rsid w:val="00781E5A"/>
    <w:rsid w:val="00783494"/>
    <w:rsid w:val="007857EA"/>
    <w:rsid w:val="00786EC9"/>
    <w:rsid w:val="007942CC"/>
    <w:rsid w:val="007A0495"/>
    <w:rsid w:val="007A38A1"/>
    <w:rsid w:val="007B066A"/>
    <w:rsid w:val="007B62C5"/>
    <w:rsid w:val="007C1559"/>
    <w:rsid w:val="007D77C7"/>
    <w:rsid w:val="007E1824"/>
    <w:rsid w:val="007E21B1"/>
    <w:rsid w:val="007E5315"/>
    <w:rsid w:val="007F375F"/>
    <w:rsid w:val="007F59C8"/>
    <w:rsid w:val="007F60B4"/>
    <w:rsid w:val="00816AD6"/>
    <w:rsid w:val="008204A2"/>
    <w:rsid w:val="0083366B"/>
    <w:rsid w:val="00833A66"/>
    <w:rsid w:val="00837F2B"/>
    <w:rsid w:val="008470E7"/>
    <w:rsid w:val="00862ED3"/>
    <w:rsid w:val="00866A0B"/>
    <w:rsid w:val="00874D14"/>
    <w:rsid w:val="00886030"/>
    <w:rsid w:val="00892527"/>
    <w:rsid w:val="00897851"/>
    <w:rsid w:val="008A12D8"/>
    <w:rsid w:val="008A1B78"/>
    <w:rsid w:val="008A6F6A"/>
    <w:rsid w:val="008B5A5C"/>
    <w:rsid w:val="008C0BE5"/>
    <w:rsid w:val="008C0FF5"/>
    <w:rsid w:val="008C326E"/>
    <w:rsid w:val="008D3297"/>
    <w:rsid w:val="008D4120"/>
    <w:rsid w:val="008D7285"/>
    <w:rsid w:val="008E36D2"/>
    <w:rsid w:val="008E560B"/>
    <w:rsid w:val="008F3DCA"/>
    <w:rsid w:val="00906F6B"/>
    <w:rsid w:val="00907ED2"/>
    <w:rsid w:val="00916BF4"/>
    <w:rsid w:val="00934A6C"/>
    <w:rsid w:val="00935C22"/>
    <w:rsid w:val="00941159"/>
    <w:rsid w:val="00941812"/>
    <w:rsid w:val="00943739"/>
    <w:rsid w:val="00944FCB"/>
    <w:rsid w:val="00946EF3"/>
    <w:rsid w:val="00951499"/>
    <w:rsid w:val="00961B9F"/>
    <w:rsid w:val="009622EB"/>
    <w:rsid w:val="009761B5"/>
    <w:rsid w:val="009B6538"/>
    <w:rsid w:val="009C0388"/>
    <w:rsid w:val="009D1A0C"/>
    <w:rsid w:val="009E0447"/>
    <w:rsid w:val="009E1A60"/>
    <w:rsid w:val="009F0312"/>
    <w:rsid w:val="009F39D7"/>
    <w:rsid w:val="00A0472B"/>
    <w:rsid w:val="00A06764"/>
    <w:rsid w:val="00A11400"/>
    <w:rsid w:val="00A1335F"/>
    <w:rsid w:val="00A16AB3"/>
    <w:rsid w:val="00A33474"/>
    <w:rsid w:val="00A402C9"/>
    <w:rsid w:val="00A42701"/>
    <w:rsid w:val="00A513C7"/>
    <w:rsid w:val="00A527EF"/>
    <w:rsid w:val="00A53459"/>
    <w:rsid w:val="00A559E3"/>
    <w:rsid w:val="00A80836"/>
    <w:rsid w:val="00A90A78"/>
    <w:rsid w:val="00AB01B0"/>
    <w:rsid w:val="00AB2E3A"/>
    <w:rsid w:val="00AB7788"/>
    <w:rsid w:val="00AC20F5"/>
    <w:rsid w:val="00AC37E7"/>
    <w:rsid w:val="00AC734E"/>
    <w:rsid w:val="00AD2CD0"/>
    <w:rsid w:val="00AE3DC3"/>
    <w:rsid w:val="00AE58FE"/>
    <w:rsid w:val="00AF036D"/>
    <w:rsid w:val="00AF1470"/>
    <w:rsid w:val="00B00306"/>
    <w:rsid w:val="00B169AE"/>
    <w:rsid w:val="00B16F64"/>
    <w:rsid w:val="00B27CF7"/>
    <w:rsid w:val="00B43FA2"/>
    <w:rsid w:val="00B471EE"/>
    <w:rsid w:val="00B642CF"/>
    <w:rsid w:val="00B660C4"/>
    <w:rsid w:val="00B7429D"/>
    <w:rsid w:val="00B77673"/>
    <w:rsid w:val="00B807F7"/>
    <w:rsid w:val="00BC519B"/>
    <w:rsid w:val="00BD40F0"/>
    <w:rsid w:val="00BD5AD1"/>
    <w:rsid w:val="00BE1FA5"/>
    <w:rsid w:val="00BE714A"/>
    <w:rsid w:val="00BF1D4A"/>
    <w:rsid w:val="00C06C3F"/>
    <w:rsid w:val="00C308AA"/>
    <w:rsid w:val="00C312DD"/>
    <w:rsid w:val="00C34104"/>
    <w:rsid w:val="00C35178"/>
    <w:rsid w:val="00C53B6D"/>
    <w:rsid w:val="00C54311"/>
    <w:rsid w:val="00C57D66"/>
    <w:rsid w:val="00C62F3E"/>
    <w:rsid w:val="00C63B37"/>
    <w:rsid w:val="00C651A2"/>
    <w:rsid w:val="00C652E1"/>
    <w:rsid w:val="00C70834"/>
    <w:rsid w:val="00C94016"/>
    <w:rsid w:val="00C94A9B"/>
    <w:rsid w:val="00CB01F9"/>
    <w:rsid w:val="00CB453D"/>
    <w:rsid w:val="00CB538F"/>
    <w:rsid w:val="00CC25A5"/>
    <w:rsid w:val="00CC3A0E"/>
    <w:rsid w:val="00CC7EBF"/>
    <w:rsid w:val="00CF5C03"/>
    <w:rsid w:val="00CF7740"/>
    <w:rsid w:val="00D00652"/>
    <w:rsid w:val="00D2144A"/>
    <w:rsid w:val="00D25C81"/>
    <w:rsid w:val="00D44DEA"/>
    <w:rsid w:val="00D551A3"/>
    <w:rsid w:val="00D60EE8"/>
    <w:rsid w:val="00D618E7"/>
    <w:rsid w:val="00D83035"/>
    <w:rsid w:val="00D86ABC"/>
    <w:rsid w:val="00DA61CE"/>
    <w:rsid w:val="00DB42FF"/>
    <w:rsid w:val="00DC518F"/>
    <w:rsid w:val="00DD36F4"/>
    <w:rsid w:val="00DE2128"/>
    <w:rsid w:val="00DE5009"/>
    <w:rsid w:val="00DF5B57"/>
    <w:rsid w:val="00DF7B34"/>
    <w:rsid w:val="00E05145"/>
    <w:rsid w:val="00E11419"/>
    <w:rsid w:val="00E2365A"/>
    <w:rsid w:val="00E27E3E"/>
    <w:rsid w:val="00E312EC"/>
    <w:rsid w:val="00E37E23"/>
    <w:rsid w:val="00E5741F"/>
    <w:rsid w:val="00E62ECB"/>
    <w:rsid w:val="00E64F24"/>
    <w:rsid w:val="00E652EE"/>
    <w:rsid w:val="00E65CE0"/>
    <w:rsid w:val="00E664C1"/>
    <w:rsid w:val="00E66D22"/>
    <w:rsid w:val="00E74D83"/>
    <w:rsid w:val="00E75AC1"/>
    <w:rsid w:val="00E91117"/>
    <w:rsid w:val="00E91349"/>
    <w:rsid w:val="00E91CC9"/>
    <w:rsid w:val="00E95227"/>
    <w:rsid w:val="00EA381D"/>
    <w:rsid w:val="00EB2CB2"/>
    <w:rsid w:val="00EB32EA"/>
    <w:rsid w:val="00EB441F"/>
    <w:rsid w:val="00EB542E"/>
    <w:rsid w:val="00EB7285"/>
    <w:rsid w:val="00ED4E50"/>
    <w:rsid w:val="00ED5057"/>
    <w:rsid w:val="00EE7A91"/>
    <w:rsid w:val="00EF2008"/>
    <w:rsid w:val="00EF7952"/>
    <w:rsid w:val="00F00880"/>
    <w:rsid w:val="00F00AB3"/>
    <w:rsid w:val="00F01798"/>
    <w:rsid w:val="00F02ABF"/>
    <w:rsid w:val="00F119E4"/>
    <w:rsid w:val="00F14B30"/>
    <w:rsid w:val="00F212B1"/>
    <w:rsid w:val="00F221ED"/>
    <w:rsid w:val="00F2289C"/>
    <w:rsid w:val="00F23522"/>
    <w:rsid w:val="00F247EF"/>
    <w:rsid w:val="00F24B51"/>
    <w:rsid w:val="00F25DEC"/>
    <w:rsid w:val="00F303D5"/>
    <w:rsid w:val="00F56DD6"/>
    <w:rsid w:val="00F64168"/>
    <w:rsid w:val="00F6420F"/>
    <w:rsid w:val="00F72BCB"/>
    <w:rsid w:val="00F778BB"/>
    <w:rsid w:val="00F8436F"/>
    <w:rsid w:val="00F87D06"/>
    <w:rsid w:val="00F92CC6"/>
    <w:rsid w:val="00F9611A"/>
    <w:rsid w:val="00FA0038"/>
    <w:rsid w:val="00FA2883"/>
    <w:rsid w:val="00FA3E49"/>
    <w:rsid w:val="00FA55E8"/>
    <w:rsid w:val="00FB3F16"/>
    <w:rsid w:val="00FB615A"/>
    <w:rsid w:val="00FB77B0"/>
    <w:rsid w:val="00FD0694"/>
    <w:rsid w:val="00FD5EA2"/>
    <w:rsid w:val="00FE1FDB"/>
    <w:rsid w:val="00FF2EE8"/>
    <w:rsid w:val="00FF32F5"/>
    <w:rsid w:val="00FF3CF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87"/>
  </w:style>
  <w:style w:type="paragraph" w:styleId="Heading3">
    <w:name w:val="heading 3"/>
    <w:basedOn w:val="Normal"/>
    <w:link w:val="Heading3Char"/>
    <w:uiPriority w:val="9"/>
    <w:qFormat/>
    <w:rsid w:val="00C7083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83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708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7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2C"/>
  </w:style>
  <w:style w:type="paragraph" w:styleId="Footer">
    <w:name w:val="footer"/>
    <w:basedOn w:val="Normal"/>
    <w:link w:val="FooterChar"/>
    <w:uiPriority w:val="99"/>
    <w:unhideWhenUsed/>
    <w:rsid w:val="0077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2C"/>
  </w:style>
  <w:style w:type="paragraph" w:styleId="BalloonText">
    <w:name w:val="Balloon Text"/>
    <w:basedOn w:val="Normal"/>
    <w:link w:val="BalloonTextChar"/>
    <w:uiPriority w:val="99"/>
    <w:semiHidden/>
    <w:unhideWhenUsed/>
    <w:rsid w:val="0077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2C"/>
    <w:rPr>
      <w:rFonts w:ascii="Tahoma" w:hAnsi="Tahoma" w:cs="Tahoma"/>
      <w:sz w:val="16"/>
      <w:szCs w:val="16"/>
    </w:rPr>
  </w:style>
  <w:style w:type="paragraph" w:styleId="ListParagraph">
    <w:name w:val="List Paragraph"/>
    <w:basedOn w:val="Normal"/>
    <w:uiPriority w:val="34"/>
    <w:qFormat/>
    <w:rsid w:val="008470E7"/>
    <w:pPr>
      <w:ind w:left="720"/>
      <w:contextualSpacing/>
    </w:pPr>
  </w:style>
  <w:style w:type="paragraph" w:styleId="FootnoteText">
    <w:name w:val="footnote text"/>
    <w:basedOn w:val="Normal"/>
    <w:link w:val="FootnoteTextChar"/>
    <w:uiPriority w:val="99"/>
    <w:semiHidden/>
    <w:unhideWhenUsed/>
    <w:rsid w:val="00171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8E5"/>
    <w:rPr>
      <w:sz w:val="20"/>
      <w:szCs w:val="20"/>
    </w:rPr>
  </w:style>
  <w:style w:type="character" w:styleId="FootnoteReference">
    <w:name w:val="footnote reference"/>
    <w:basedOn w:val="DefaultParagraphFont"/>
    <w:uiPriority w:val="99"/>
    <w:semiHidden/>
    <w:unhideWhenUsed/>
    <w:rsid w:val="001718E5"/>
    <w:rPr>
      <w:vertAlign w:val="superscript"/>
    </w:rPr>
  </w:style>
  <w:style w:type="paragraph" w:customStyle="1" w:styleId="Standard">
    <w:name w:val="Standard"/>
    <w:rsid w:val="00592AF0"/>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styleId="Strong">
    <w:name w:val="Strong"/>
    <w:basedOn w:val="DefaultParagraphFont"/>
    <w:uiPriority w:val="22"/>
    <w:qFormat/>
    <w:rsid w:val="00AB01B0"/>
    <w:rPr>
      <w:b/>
      <w:bCs/>
    </w:rPr>
  </w:style>
  <w:style w:type="paragraph" w:customStyle="1" w:styleId="Bulletlist">
    <w:name w:val="Bullet list"/>
    <w:basedOn w:val="ListParagraph"/>
    <w:qFormat/>
    <w:rsid w:val="003866DB"/>
    <w:pPr>
      <w:numPr>
        <w:numId w:val="34"/>
      </w:numPr>
      <w:spacing w:before="120" w:after="240" w:line="240" w:lineRule="auto"/>
    </w:pPr>
    <w:rPr>
      <w:rFonts w:ascii="Calibri" w:eastAsia="Times New Roman" w:hAnsi="Calibri" w:cs="Times New Roman"/>
      <w:sz w:val="24"/>
      <w:szCs w:val="26"/>
    </w:rPr>
  </w:style>
  <w:style w:type="character" w:styleId="Hyperlink">
    <w:name w:val="Hyperlink"/>
    <w:basedOn w:val="DefaultParagraphFont"/>
    <w:uiPriority w:val="99"/>
    <w:unhideWhenUsed/>
    <w:rsid w:val="00F64168"/>
    <w:rPr>
      <w:color w:val="0000FF" w:themeColor="hyperlink"/>
      <w:u w:val="single"/>
    </w:rPr>
  </w:style>
  <w:style w:type="character" w:styleId="CommentReference">
    <w:name w:val="annotation reference"/>
    <w:basedOn w:val="DefaultParagraphFont"/>
    <w:uiPriority w:val="99"/>
    <w:semiHidden/>
    <w:unhideWhenUsed/>
    <w:rsid w:val="005964FF"/>
    <w:rPr>
      <w:sz w:val="16"/>
      <w:szCs w:val="16"/>
    </w:rPr>
  </w:style>
  <w:style w:type="paragraph" w:styleId="CommentText">
    <w:name w:val="annotation text"/>
    <w:basedOn w:val="Normal"/>
    <w:link w:val="CommentTextChar"/>
    <w:uiPriority w:val="99"/>
    <w:unhideWhenUsed/>
    <w:rsid w:val="005964FF"/>
    <w:pPr>
      <w:spacing w:line="240" w:lineRule="auto"/>
    </w:pPr>
    <w:rPr>
      <w:sz w:val="20"/>
      <w:szCs w:val="20"/>
    </w:rPr>
  </w:style>
  <w:style w:type="character" w:customStyle="1" w:styleId="CommentTextChar">
    <w:name w:val="Comment Text Char"/>
    <w:basedOn w:val="DefaultParagraphFont"/>
    <w:link w:val="CommentText"/>
    <w:uiPriority w:val="99"/>
    <w:rsid w:val="005964FF"/>
    <w:rPr>
      <w:sz w:val="20"/>
      <w:szCs w:val="20"/>
    </w:rPr>
  </w:style>
  <w:style w:type="paragraph" w:styleId="CommentSubject">
    <w:name w:val="annotation subject"/>
    <w:basedOn w:val="CommentText"/>
    <w:next w:val="CommentText"/>
    <w:link w:val="CommentSubjectChar"/>
    <w:uiPriority w:val="99"/>
    <w:semiHidden/>
    <w:unhideWhenUsed/>
    <w:rsid w:val="005964FF"/>
    <w:rPr>
      <w:b/>
      <w:bCs/>
    </w:rPr>
  </w:style>
  <w:style w:type="character" w:customStyle="1" w:styleId="CommentSubjectChar">
    <w:name w:val="Comment Subject Char"/>
    <w:basedOn w:val="CommentTextChar"/>
    <w:link w:val="CommentSubject"/>
    <w:uiPriority w:val="99"/>
    <w:semiHidden/>
    <w:rsid w:val="005964FF"/>
    <w:rPr>
      <w:b/>
      <w:bCs/>
      <w:sz w:val="20"/>
      <w:szCs w:val="20"/>
    </w:rPr>
  </w:style>
  <w:style w:type="paragraph" w:styleId="Revision">
    <w:name w:val="Revision"/>
    <w:hidden/>
    <w:uiPriority w:val="99"/>
    <w:semiHidden/>
    <w:rsid w:val="006074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87"/>
  </w:style>
  <w:style w:type="paragraph" w:styleId="Heading3">
    <w:name w:val="heading 3"/>
    <w:basedOn w:val="Normal"/>
    <w:link w:val="Heading3Char"/>
    <w:uiPriority w:val="9"/>
    <w:qFormat/>
    <w:rsid w:val="00C7083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83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708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7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C2C"/>
  </w:style>
  <w:style w:type="paragraph" w:styleId="Footer">
    <w:name w:val="footer"/>
    <w:basedOn w:val="Normal"/>
    <w:link w:val="FooterChar"/>
    <w:uiPriority w:val="99"/>
    <w:unhideWhenUsed/>
    <w:rsid w:val="0077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2C"/>
  </w:style>
  <w:style w:type="paragraph" w:styleId="BalloonText">
    <w:name w:val="Balloon Text"/>
    <w:basedOn w:val="Normal"/>
    <w:link w:val="BalloonTextChar"/>
    <w:uiPriority w:val="99"/>
    <w:semiHidden/>
    <w:unhideWhenUsed/>
    <w:rsid w:val="0077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2C"/>
    <w:rPr>
      <w:rFonts w:ascii="Tahoma" w:hAnsi="Tahoma" w:cs="Tahoma"/>
      <w:sz w:val="16"/>
      <w:szCs w:val="16"/>
    </w:rPr>
  </w:style>
  <w:style w:type="paragraph" w:styleId="ListParagraph">
    <w:name w:val="List Paragraph"/>
    <w:basedOn w:val="Normal"/>
    <w:uiPriority w:val="34"/>
    <w:qFormat/>
    <w:rsid w:val="008470E7"/>
    <w:pPr>
      <w:ind w:left="720"/>
      <w:contextualSpacing/>
    </w:pPr>
  </w:style>
  <w:style w:type="paragraph" w:styleId="FootnoteText">
    <w:name w:val="footnote text"/>
    <w:basedOn w:val="Normal"/>
    <w:link w:val="FootnoteTextChar"/>
    <w:uiPriority w:val="99"/>
    <w:semiHidden/>
    <w:unhideWhenUsed/>
    <w:rsid w:val="00171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8E5"/>
    <w:rPr>
      <w:sz w:val="20"/>
      <w:szCs w:val="20"/>
    </w:rPr>
  </w:style>
  <w:style w:type="character" w:styleId="FootnoteReference">
    <w:name w:val="footnote reference"/>
    <w:basedOn w:val="DefaultParagraphFont"/>
    <w:uiPriority w:val="99"/>
    <w:semiHidden/>
    <w:unhideWhenUsed/>
    <w:rsid w:val="001718E5"/>
    <w:rPr>
      <w:vertAlign w:val="superscript"/>
    </w:rPr>
  </w:style>
  <w:style w:type="paragraph" w:customStyle="1" w:styleId="Standard">
    <w:name w:val="Standard"/>
    <w:rsid w:val="00592AF0"/>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styleId="Strong">
    <w:name w:val="Strong"/>
    <w:basedOn w:val="DefaultParagraphFont"/>
    <w:uiPriority w:val="22"/>
    <w:qFormat/>
    <w:rsid w:val="00AB01B0"/>
    <w:rPr>
      <w:b/>
      <w:bCs/>
    </w:rPr>
  </w:style>
  <w:style w:type="paragraph" w:customStyle="1" w:styleId="Bulletlist">
    <w:name w:val="Bullet list"/>
    <w:basedOn w:val="ListParagraph"/>
    <w:qFormat/>
    <w:rsid w:val="003866DB"/>
    <w:pPr>
      <w:numPr>
        <w:numId w:val="34"/>
      </w:numPr>
      <w:spacing w:before="120" w:after="240" w:line="240" w:lineRule="auto"/>
    </w:pPr>
    <w:rPr>
      <w:rFonts w:ascii="Calibri" w:eastAsia="Times New Roman" w:hAnsi="Calibri" w:cs="Times New Roman"/>
      <w:sz w:val="24"/>
      <w:szCs w:val="26"/>
    </w:rPr>
  </w:style>
  <w:style w:type="character" w:styleId="Hyperlink">
    <w:name w:val="Hyperlink"/>
    <w:basedOn w:val="DefaultParagraphFont"/>
    <w:uiPriority w:val="99"/>
    <w:unhideWhenUsed/>
    <w:rsid w:val="00F64168"/>
    <w:rPr>
      <w:color w:val="0000FF" w:themeColor="hyperlink"/>
      <w:u w:val="single"/>
    </w:rPr>
  </w:style>
  <w:style w:type="character" w:styleId="CommentReference">
    <w:name w:val="annotation reference"/>
    <w:basedOn w:val="DefaultParagraphFont"/>
    <w:uiPriority w:val="99"/>
    <w:semiHidden/>
    <w:unhideWhenUsed/>
    <w:rsid w:val="005964FF"/>
    <w:rPr>
      <w:sz w:val="16"/>
      <w:szCs w:val="16"/>
    </w:rPr>
  </w:style>
  <w:style w:type="paragraph" w:styleId="CommentText">
    <w:name w:val="annotation text"/>
    <w:basedOn w:val="Normal"/>
    <w:link w:val="CommentTextChar"/>
    <w:uiPriority w:val="99"/>
    <w:unhideWhenUsed/>
    <w:rsid w:val="005964FF"/>
    <w:pPr>
      <w:spacing w:line="240" w:lineRule="auto"/>
    </w:pPr>
    <w:rPr>
      <w:sz w:val="20"/>
      <w:szCs w:val="20"/>
    </w:rPr>
  </w:style>
  <w:style w:type="character" w:customStyle="1" w:styleId="CommentTextChar">
    <w:name w:val="Comment Text Char"/>
    <w:basedOn w:val="DefaultParagraphFont"/>
    <w:link w:val="CommentText"/>
    <w:uiPriority w:val="99"/>
    <w:rsid w:val="005964FF"/>
    <w:rPr>
      <w:sz w:val="20"/>
      <w:szCs w:val="20"/>
    </w:rPr>
  </w:style>
  <w:style w:type="paragraph" w:styleId="CommentSubject">
    <w:name w:val="annotation subject"/>
    <w:basedOn w:val="CommentText"/>
    <w:next w:val="CommentText"/>
    <w:link w:val="CommentSubjectChar"/>
    <w:uiPriority w:val="99"/>
    <w:semiHidden/>
    <w:unhideWhenUsed/>
    <w:rsid w:val="005964FF"/>
    <w:rPr>
      <w:b/>
      <w:bCs/>
    </w:rPr>
  </w:style>
  <w:style w:type="character" w:customStyle="1" w:styleId="CommentSubjectChar">
    <w:name w:val="Comment Subject Char"/>
    <w:basedOn w:val="CommentTextChar"/>
    <w:link w:val="CommentSubject"/>
    <w:uiPriority w:val="99"/>
    <w:semiHidden/>
    <w:rsid w:val="005964FF"/>
    <w:rPr>
      <w:b/>
      <w:bCs/>
      <w:sz w:val="20"/>
      <w:szCs w:val="20"/>
    </w:rPr>
  </w:style>
  <w:style w:type="paragraph" w:styleId="Revision">
    <w:name w:val="Revision"/>
    <w:hidden/>
    <w:uiPriority w:val="99"/>
    <w:semiHidden/>
    <w:rsid w:val="006074D9"/>
    <w:pPr>
      <w:spacing w:after="0" w:line="240" w:lineRule="auto"/>
    </w:pPr>
  </w:style>
</w:styles>
</file>

<file path=word/webSettings.xml><?xml version="1.0" encoding="utf-8"?>
<w:webSettings xmlns:r="http://schemas.openxmlformats.org/officeDocument/2006/relationships" xmlns:w="http://schemas.openxmlformats.org/wordprocessingml/2006/main">
  <w:divs>
    <w:div w:id="956640784">
      <w:bodyDiv w:val="1"/>
      <w:marLeft w:val="0"/>
      <w:marRight w:val="0"/>
      <w:marTop w:val="0"/>
      <w:marBottom w:val="0"/>
      <w:divBdr>
        <w:top w:val="none" w:sz="0" w:space="0" w:color="auto"/>
        <w:left w:val="none" w:sz="0" w:space="0" w:color="auto"/>
        <w:bottom w:val="none" w:sz="0" w:space="0" w:color="auto"/>
        <w:right w:val="none" w:sz="0" w:space="0" w:color="auto"/>
      </w:divBdr>
    </w:div>
    <w:div w:id="1393888978">
      <w:bodyDiv w:val="1"/>
      <w:marLeft w:val="0"/>
      <w:marRight w:val="0"/>
      <w:marTop w:val="0"/>
      <w:marBottom w:val="0"/>
      <w:divBdr>
        <w:top w:val="none" w:sz="0" w:space="0" w:color="auto"/>
        <w:left w:val="none" w:sz="0" w:space="0" w:color="auto"/>
        <w:bottom w:val="none" w:sz="0" w:space="0" w:color="auto"/>
        <w:right w:val="none" w:sz="0" w:space="0" w:color="auto"/>
      </w:divBdr>
      <w:divsChild>
        <w:div w:id="1747217958">
          <w:marLeft w:val="0"/>
          <w:marRight w:val="0"/>
          <w:marTop w:val="0"/>
          <w:marBottom w:val="0"/>
          <w:divBdr>
            <w:top w:val="none" w:sz="0" w:space="0" w:color="auto"/>
            <w:left w:val="none" w:sz="0" w:space="0" w:color="auto"/>
            <w:bottom w:val="none" w:sz="0" w:space="0" w:color="auto"/>
            <w:right w:val="none" w:sz="0" w:space="0" w:color="auto"/>
          </w:divBdr>
          <w:divsChild>
            <w:div w:id="2082827264">
              <w:marLeft w:val="0"/>
              <w:marRight w:val="0"/>
              <w:marTop w:val="0"/>
              <w:marBottom w:val="0"/>
              <w:divBdr>
                <w:top w:val="none" w:sz="0" w:space="0" w:color="auto"/>
                <w:left w:val="none" w:sz="0" w:space="0" w:color="auto"/>
                <w:bottom w:val="none" w:sz="0" w:space="0" w:color="auto"/>
                <w:right w:val="none" w:sz="0" w:space="0" w:color="auto"/>
              </w:divBdr>
              <w:divsChild>
                <w:div w:id="1449662749">
                  <w:marLeft w:val="0"/>
                  <w:marRight w:val="0"/>
                  <w:marTop w:val="0"/>
                  <w:marBottom w:val="0"/>
                  <w:divBdr>
                    <w:top w:val="none" w:sz="0" w:space="0" w:color="auto"/>
                    <w:left w:val="none" w:sz="0" w:space="0" w:color="auto"/>
                    <w:bottom w:val="none" w:sz="0" w:space="0" w:color="auto"/>
                    <w:right w:val="none" w:sz="0" w:space="0" w:color="auto"/>
                  </w:divBdr>
                  <w:divsChild>
                    <w:div w:id="1030111696">
                      <w:marLeft w:val="75"/>
                      <w:marRight w:val="75"/>
                      <w:marTop w:val="0"/>
                      <w:marBottom w:val="0"/>
                      <w:divBdr>
                        <w:top w:val="none" w:sz="0" w:space="0" w:color="auto"/>
                        <w:left w:val="none" w:sz="0" w:space="0" w:color="auto"/>
                        <w:bottom w:val="none" w:sz="0" w:space="0" w:color="auto"/>
                        <w:right w:val="none" w:sz="0" w:space="0" w:color="auto"/>
                      </w:divBdr>
                      <w:divsChild>
                        <w:div w:id="544146911">
                          <w:marLeft w:val="75"/>
                          <w:marRight w:val="75"/>
                          <w:marTop w:val="0"/>
                          <w:marBottom w:val="0"/>
                          <w:divBdr>
                            <w:top w:val="none" w:sz="0" w:space="0" w:color="auto"/>
                            <w:left w:val="none" w:sz="0" w:space="0" w:color="auto"/>
                            <w:bottom w:val="none" w:sz="0" w:space="0" w:color="auto"/>
                            <w:right w:val="none" w:sz="0" w:space="0" w:color="auto"/>
                          </w:divBdr>
                          <w:divsChild>
                            <w:div w:id="823089813">
                              <w:marLeft w:val="0"/>
                              <w:marRight w:val="0"/>
                              <w:marTop w:val="0"/>
                              <w:marBottom w:val="0"/>
                              <w:divBdr>
                                <w:top w:val="none" w:sz="0" w:space="0" w:color="auto"/>
                                <w:left w:val="none" w:sz="0" w:space="0" w:color="auto"/>
                                <w:bottom w:val="none" w:sz="0" w:space="0" w:color="auto"/>
                                <w:right w:val="none" w:sz="0" w:space="0" w:color="auto"/>
                              </w:divBdr>
                              <w:divsChild>
                                <w:div w:id="1566068019">
                                  <w:marLeft w:val="0"/>
                                  <w:marRight w:val="0"/>
                                  <w:marTop w:val="0"/>
                                  <w:marBottom w:val="0"/>
                                  <w:divBdr>
                                    <w:top w:val="none" w:sz="0" w:space="0" w:color="auto"/>
                                    <w:left w:val="none" w:sz="0" w:space="0" w:color="auto"/>
                                    <w:bottom w:val="none" w:sz="0" w:space="0" w:color="auto"/>
                                    <w:right w:val="none" w:sz="0" w:space="0" w:color="auto"/>
                                  </w:divBdr>
                                  <w:divsChild>
                                    <w:div w:id="1369796051">
                                      <w:marLeft w:val="0"/>
                                      <w:marRight w:val="0"/>
                                      <w:marTop w:val="0"/>
                                      <w:marBottom w:val="0"/>
                                      <w:divBdr>
                                        <w:top w:val="none" w:sz="0" w:space="0" w:color="auto"/>
                                        <w:left w:val="none" w:sz="0" w:space="0" w:color="auto"/>
                                        <w:bottom w:val="none" w:sz="0" w:space="0" w:color="auto"/>
                                        <w:right w:val="none" w:sz="0" w:space="0" w:color="auto"/>
                                      </w:divBdr>
                                      <w:divsChild>
                                        <w:div w:id="369574895">
                                          <w:blockQuote w:val="1"/>
                                          <w:marLeft w:val="720"/>
                                          <w:marRight w:val="72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054442">
      <w:bodyDiv w:val="1"/>
      <w:marLeft w:val="0"/>
      <w:marRight w:val="0"/>
      <w:marTop w:val="0"/>
      <w:marBottom w:val="0"/>
      <w:divBdr>
        <w:top w:val="none" w:sz="0" w:space="0" w:color="auto"/>
        <w:left w:val="none" w:sz="0" w:space="0" w:color="auto"/>
        <w:bottom w:val="none" w:sz="0" w:space="0" w:color="auto"/>
        <w:right w:val="none" w:sz="0" w:space="0" w:color="auto"/>
      </w:divBdr>
    </w:div>
    <w:div w:id="1828282283">
      <w:bodyDiv w:val="1"/>
      <w:marLeft w:val="0"/>
      <w:marRight w:val="0"/>
      <w:marTop w:val="0"/>
      <w:marBottom w:val="0"/>
      <w:divBdr>
        <w:top w:val="none" w:sz="0" w:space="0" w:color="auto"/>
        <w:left w:val="none" w:sz="0" w:space="0" w:color="auto"/>
        <w:bottom w:val="none" w:sz="0" w:space="0" w:color="auto"/>
        <w:right w:val="none" w:sz="0" w:space="0" w:color="auto"/>
      </w:divBdr>
    </w:div>
    <w:div w:id="1910505492">
      <w:bodyDiv w:val="1"/>
      <w:marLeft w:val="0"/>
      <w:marRight w:val="0"/>
      <w:marTop w:val="0"/>
      <w:marBottom w:val="0"/>
      <w:divBdr>
        <w:top w:val="none" w:sz="0" w:space="0" w:color="auto"/>
        <w:left w:val="none" w:sz="0" w:space="0" w:color="auto"/>
        <w:bottom w:val="none" w:sz="0" w:space="0" w:color="auto"/>
        <w:right w:val="none" w:sz="0" w:space="0" w:color="auto"/>
      </w:divBdr>
      <w:divsChild>
        <w:div w:id="400099338">
          <w:marLeft w:val="0"/>
          <w:marRight w:val="0"/>
          <w:marTop w:val="0"/>
          <w:marBottom w:val="0"/>
          <w:divBdr>
            <w:top w:val="none" w:sz="0" w:space="0" w:color="auto"/>
            <w:left w:val="none" w:sz="0" w:space="0" w:color="auto"/>
            <w:bottom w:val="none" w:sz="0" w:space="0" w:color="auto"/>
            <w:right w:val="none" w:sz="0" w:space="0" w:color="auto"/>
          </w:divBdr>
          <w:divsChild>
            <w:div w:id="296112461">
              <w:marLeft w:val="0"/>
              <w:marRight w:val="0"/>
              <w:marTop w:val="0"/>
              <w:marBottom w:val="0"/>
              <w:divBdr>
                <w:top w:val="none" w:sz="0" w:space="0" w:color="auto"/>
                <w:left w:val="none" w:sz="0" w:space="0" w:color="auto"/>
                <w:bottom w:val="none" w:sz="0" w:space="0" w:color="auto"/>
                <w:right w:val="none" w:sz="0" w:space="0" w:color="auto"/>
              </w:divBdr>
              <w:divsChild>
                <w:div w:id="467357929">
                  <w:marLeft w:val="0"/>
                  <w:marRight w:val="0"/>
                  <w:marTop w:val="0"/>
                  <w:marBottom w:val="0"/>
                  <w:divBdr>
                    <w:top w:val="none" w:sz="0" w:space="0" w:color="auto"/>
                    <w:left w:val="none" w:sz="0" w:space="0" w:color="auto"/>
                    <w:bottom w:val="none" w:sz="0" w:space="0" w:color="auto"/>
                    <w:right w:val="none" w:sz="0" w:space="0" w:color="auto"/>
                  </w:divBdr>
                  <w:divsChild>
                    <w:div w:id="1262757691">
                      <w:marLeft w:val="0"/>
                      <w:marRight w:val="0"/>
                      <w:marTop w:val="0"/>
                      <w:marBottom w:val="0"/>
                      <w:divBdr>
                        <w:top w:val="none" w:sz="0" w:space="0" w:color="auto"/>
                        <w:left w:val="none" w:sz="0" w:space="0" w:color="auto"/>
                        <w:bottom w:val="none" w:sz="0" w:space="0" w:color="auto"/>
                        <w:right w:val="none" w:sz="0" w:space="0" w:color="auto"/>
                      </w:divBdr>
                      <w:divsChild>
                        <w:div w:id="672337586">
                          <w:marLeft w:val="0"/>
                          <w:marRight w:val="0"/>
                          <w:marTop w:val="0"/>
                          <w:marBottom w:val="0"/>
                          <w:divBdr>
                            <w:top w:val="none" w:sz="0" w:space="0" w:color="auto"/>
                            <w:left w:val="none" w:sz="0" w:space="0" w:color="auto"/>
                            <w:bottom w:val="none" w:sz="0" w:space="0" w:color="auto"/>
                            <w:right w:val="none" w:sz="0" w:space="0" w:color="auto"/>
                          </w:divBdr>
                          <w:divsChild>
                            <w:div w:id="1825707537">
                              <w:marLeft w:val="0"/>
                              <w:marRight w:val="0"/>
                              <w:marTop w:val="0"/>
                              <w:marBottom w:val="0"/>
                              <w:divBdr>
                                <w:top w:val="none" w:sz="0" w:space="0" w:color="auto"/>
                                <w:left w:val="none" w:sz="0" w:space="0" w:color="auto"/>
                                <w:bottom w:val="none" w:sz="0" w:space="0" w:color="auto"/>
                                <w:right w:val="none" w:sz="0" w:space="0" w:color="auto"/>
                              </w:divBdr>
                              <w:divsChild>
                                <w:div w:id="2073771172">
                                  <w:marLeft w:val="0"/>
                                  <w:marRight w:val="0"/>
                                  <w:marTop w:val="0"/>
                                  <w:marBottom w:val="0"/>
                                  <w:divBdr>
                                    <w:top w:val="none" w:sz="0" w:space="0" w:color="auto"/>
                                    <w:left w:val="none" w:sz="0" w:space="0" w:color="auto"/>
                                    <w:bottom w:val="none" w:sz="0" w:space="0" w:color="auto"/>
                                    <w:right w:val="none" w:sz="0" w:space="0" w:color="auto"/>
                                  </w:divBdr>
                                  <w:divsChild>
                                    <w:div w:id="17242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852339">
      <w:bodyDiv w:val="1"/>
      <w:marLeft w:val="0"/>
      <w:marRight w:val="0"/>
      <w:marTop w:val="0"/>
      <w:marBottom w:val="0"/>
      <w:divBdr>
        <w:top w:val="none" w:sz="0" w:space="0" w:color="auto"/>
        <w:left w:val="none" w:sz="0" w:space="0" w:color="auto"/>
        <w:bottom w:val="none" w:sz="0" w:space="0" w:color="auto"/>
        <w:right w:val="none" w:sz="0" w:space="0" w:color="auto"/>
      </w:divBdr>
      <w:divsChild>
        <w:div w:id="644817669">
          <w:marLeft w:val="0"/>
          <w:marRight w:val="0"/>
          <w:marTop w:val="0"/>
          <w:marBottom w:val="0"/>
          <w:divBdr>
            <w:top w:val="none" w:sz="0" w:space="0" w:color="auto"/>
            <w:left w:val="none" w:sz="0" w:space="0" w:color="auto"/>
            <w:bottom w:val="none" w:sz="0" w:space="0" w:color="auto"/>
            <w:right w:val="none" w:sz="0" w:space="0" w:color="auto"/>
          </w:divBdr>
          <w:divsChild>
            <w:div w:id="454175651">
              <w:marLeft w:val="0"/>
              <w:marRight w:val="0"/>
              <w:marTop w:val="0"/>
              <w:marBottom w:val="0"/>
              <w:divBdr>
                <w:top w:val="none" w:sz="0" w:space="0" w:color="auto"/>
                <w:left w:val="none" w:sz="0" w:space="0" w:color="auto"/>
                <w:bottom w:val="none" w:sz="0" w:space="0" w:color="auto"/>
                <w:right w:val="none" w:sz="0" w:space="0" w:color="auto"/>
              </w:divBdr>
              <w:divsChild>
                <w:div w:id="150432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inance.gov.au/publications/gov20taskforcereport/index.html" TargetMode="External"/><Relationship Id="rId1" Type="http://schemas.openxmlformats.org/officeDocument/2006/relationships/hyperlink" Target="http://agimo.gov.au/2010/07/16/declaration-of-open-govern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DE54B502974EC88B1217C2EBF38ED2"/>
        <w:category>
          <w:name w:val="General"/>
          <w:gallery w:val="placeholder"/>
        </w:category>
        <w:types>
          <w:type w:val="bbPlcHdr"/>
        </w:types>
        <w:behaviors>
          <w:behavior w:val="content"/>
        </w:behaviors>
        <w:guid w:val="{3345BD2B-5637-40A3-99DC-C53C00148E20}"/>
      </w:docPartPr>
      <w:docPartBody>
        <w:p w:rsidR="00020BC3" w:rsidRDefault="00BA0D40" w:rsidP="00BA0D40">
          <w:pPr>
            <w:pStyle w:val="8FDE54B502974EC88B1217C2EBF38ED2"/>
          </w:pPr>
          <w:r>
            <w:rPr>
              <w:rFonts w:asciiTheme="majorHAnsi" w:eastAsiaTheme="majorEastAsia" w:hAnsiTheme="majorHAnsi" w:cstheme="majorBidi"/>
              <w:sz w:val="36"/>
              <w:szCs w:val="36"/>
            </w:rPr>
            <w:t>[Type the document title]</w:t>
          </w:r>
        </w:p>
      </w:docPartBody>
    </w:docPart>
    <w:docPart>
      <w:docPartPr>
        <w:name w:val="E771F9167F864C43891476CBD0CF2EFB"/>
        <w:category>
          <w:name w:val="General"/>
          <w:gallery w:val="placeholder"/>
        </w:category>
        <w:types>
          <w:type w:val="bbPlcHdr"/>
        </w:types>
        <w:behaviors>
          <w:behavior w:val="content"/>
        </w:behaviors>
        <w:guid w:val="{41BB2029-5DD1-44D4-AAD8-0CE61BF886FA}"/>
      </w:docPartPr>
      <w:docPartBody>
        <w:p w:rsidR="00020BC3" w:rsidRDefault="00BA0D40" w:rsidP="00BA0D40">
          <w:pPr>
            <w:pStyle w:val="E771F9167F864C43891476CBD0CF2EF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BA0D40"/>
    <w:rsid w:val="00020BC3"/>
    <w:rsid w:val="002D7AAC"/>
    <w:rsid w:val="0035606D"/>
    <w:rsid w:val="003E1A99"/>
    <w:rsid w:val="005F4543"/>
    <w:rsid w:val="008B47ED"/>
    <w:rsid w:val="00AE5019"/>
    <w:rsid w:val="00BA0D40"/>
    <w:rsid w:val="00D247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E54B502974EC88B1217C2EBF38ED2">
    <w:name w:val="8FDE54B502974EC88B1217C2EBF38ED2"/>
    <w:rsid w:val="00BA0D40"/>
  </w:style>
  <w:style w:type="paragraph" w:customStyle="1" w:styleId="E771F9167F864C43891476CBD0CF2EFB">
    <w:name w:val="E771F9167F864C43891476CBD0CF2EFB"/>
    <w:rsid w:val="00BA0D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9ADBC4-ED84-40F7-8A9D-FC517368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NAA Submission to ALRC Discussion Paper- Copyright and the Digital Economy</vt:lpstr>
    </vt:vector>
  </TitlesOfParts>
  <Company>National Archives of Australia</Company>
  <LinksUpToDate>false</LinksUpToDate>
  <CharactersWithSpaces>45155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Archives of Australia - Submission to ALRC Discussion Paper- Copyright and the Digital Economy</dc:title>
  <dc:creator>Rhian Williams</dc:creator>
  <cp:lastModifiedBy>tina.obrien</cp:lastModifiedBy>
  <cp:revision>2</cp:revision>
  <cp:lastPrinted>2013-07-31T05:02:00Z</cp:lastPrinted>
  <dcterms:created xsi:type="dcterms:W3CDTF">2013-07-31T05:03:00Z</dcterms:created>
  <dcterms:modified xsi:type="dcterms:W3CDTF">2013-07-31T05:03:00Z</dcterms:modified>
</cp:coreProperties>
</file>