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6" w:rsidRDefault="00A91A96" w:rsidP="00A91A96">
      <w:pPr>
        <w:pStyle w:val="BodyTextIndent"/>
        <w:tabs>
          <w:tab w:val="right" w:pos="9781"/>
        </w:tabs>
        <w:ind w:left="0"/>
        <w:rPr>
          <w:rFonts w:ascii="Arial" w:hAnsi="Arial" w:cs="Arial"/>
          <w:b/>
          <w:sz w:val="20"/>
          <w:szCs w:val="20"/>
          <w:lang w:val="fr-FR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rFonts w:ascii="Arial" w:hAnsi="Arial" w:cs="Times New Roman"/>
          <w:szCs w:val="24"/>
          <w:lang w:val="en-US"/>
        </w:rPr>
      </w:pPr>
      <w:r>
        <w:rPr>
          <w:lang w:val="en-US"/>
        </w:rPr>
        <w:t>The Executive Director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>
        <w:rPr>
          <w:lang w:val="en-US"/>
        </w:rPr>
        <w:t>Australian Law Reform Commission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>
        <w:rPr>
          <w:lang w:val="en-US"/>
        </w:rPr>
        <w:t>GPO Box 3708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>
        <w:rPr>
          <w:lang w:val="en-US"/>
        </w:rPr>
        <w:t>Sydney NSW 2001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Cs/>
          <w:lang w:val="en-GB"/>
        </w:rPr>
      </w:pPr>
      <w:r>
        <w:rPr>
          <w:lang w:val="en-US"/>
        </w:rPr>
        <w:t xml:space="preserve">Email: </w:t>
      </w:r>
      <w:hyperlink r:id="rId8" w:history="1">
        <w:r>
          <w:rPr>
            <w:rStyle w:val="Hyperlink"/>
            <w:lang w:val="en-US"/>
          </w:rPr>
          <w:t>copyright@alrc.gov.au</w:t>
        </w:r>
      </w:hyperlink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Cs/>
          <w:u w:val="single"/>
          <w:lang w:val="en-GB"/>
        </w:rPr>
      </w:pP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right"/>
        <w:rPr>
          <w:bCs/>
          <w:lang w:val="en-GB"/>
        </w:rPr>
      </w:pPr>
      <w:proofErr w:type="gramStart"/>
      <w:r>
        <w:rPr>
          <w:bCs/>
          <w:lang w:val="en-GB"/>
        </w:rPr>
        <w:t>29</w:t>
      </w:r>
      <w:r w:rsidRPr="00A91A96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A91A96">
        <w:rPr>
          <w:bCs/>
          <w:lang w:val="en-GB"/>
        </w:rPr>
        <w:t xml:space="preserve"> July</w:t>
      </w:r>
      <w:proofErr w:type="gramEnd"/>
      <w:r w:rsidRPr="00A91A96">
        <w:rPr>
          <w:bCs/>
          <w:lang w:val="en-GB"/>
        </w:rPr>
        <w:t xml:space="preserve"> 2013</w:t>
      </w: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bCs/>
          <w:lang w:val="en-GB"/>
        </w:rPr>
      </w:pP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lang w:val="en-GB"/>
        </w:rPr>
      </w:pP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lang w:val="en-GB"/>
        </w:rPr>
      </w:pPr>
      <w:r w:rsidRPr="00A91A96">
        <w:rPr>
          <w:b/>
          <w:lang w:val="en-GB"/>
        </w:rPr>
        <w:t xml:space="preserve">Australian Law Reform Commission (ALRC) </w:t>
      </w: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lang w:val="en-GB"/>
        </w:rPr>
      </w:pPr>
      <w:r w:rsidRPr="00A91A96">
        <w:rPr>
          <w:b/>
          <w:lang w:val="en-GB"/>
        </w:rPr>
        <w:t>Discussion Paper 79: Copyright and the Digital Economy</w:t>
      </w: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bCs/>
          <w:lang w:val="en-GB"/>
        </w:rPr>
      </w:pPr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bCs/>
          <w:lang w:val="en-GB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>
        <w:rPr>
          <w:lang w:val="en-US"/>
        </w:rPr>
        <w:t>The Federation of European Publishers (FEP) is grateful for this opportunity to respond to the ALRC’s discussion paper ‘</w:t>
      </w:r>
      <w:r w:rsidRPr="00A91A96">
        <w:rPr>
          <w:lang w:val="en-GB"/>
        </w:rPr>
        <w:t>Copyright and the Digital Economy</w:t>
      </w:r>
      <w:r>
        <w:rPr>
          <w:lang w:val="en-US"/>
        </w:rPr>
        <w:t>.’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 w:rsidRPr="00A91A96">
        <w:rPr>
          <w:lang w:val="en-US"/>
        </w:rPr>
        <w:t xml:space="preserve">FEP representing 28 national publishers associations in the European Union and the European Economic </w:t>
      </w:r>
      <w:proofErr w:type="gramStart"/>
      <w:r w:rsidRPr="00A91A96">
        <w:rPr>
          <w:lang w:val="en-US"/>
        </w:rPr>
        <w:t>Area,</w:t>
      </w:r>
      <w:proofErr w:type="gramEnd"/>
      <w:r w:rsidRPr="00A91A96">
        <w:rPr>
          <w:lang w:val="en-US"/>
        </w:rPr>
        <w:t xml:space="preserve"> would like to ask the Australian Law reform Commission to consider the unique cultural contributions that Australian educational publishers make to the Australian education infrastructure. Eliminating statutory licensing and rel</w:t>
      </w:r>
      <w:r w:rsidR="005B1164">
        <w:rPr>
          <w:lang w:val="en-US"/>
        </w:rPr>
        <w:t xml:space="preserve">ying on “educational fair use” </w:t>
      </w:r>
      <w:r w:rsidRPr="00A91A96">
        <w:rPr>
          <w:lang w:val="en-US"/>
        </w:rPr>
        <w:t xml:space="preserve">will likely have disproportionally negative impact on local Australian publishers, as they will not have other markets in which to try to recoup losses. </w:t>
      </w:r>
    </w:p>
    <w:p w:rsidR="005B1164" w:rsidRDefault="005B1164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5B1164" w:rsidRDefault="005B1164" w:rsidP="005B1164">
      <w:pPr>
        <w:rPr>
          <w:color w:val="000000"/>
          <w:lang w:val="en-GB"/>
        </w:rPr>
      </w:pPr>
      <w:r>
        <w:rPr>
          <w:lang w:val="en-US"/>
        </w:rPr>
        <w:t xml:space="preserve">We would rather recommend continuing the licensing regime </w:t>
      </w:r>
      <w:r>
        <w:rPr>
          <w:color w:val="000000"/>
          <w:lang w:val="en-GB"/>
        </w:rPr>
        <w:t>based on the excellent we have in Europe with collective licensing in the field of education and with remuneration mechanisms.</w:t>
      </w:r>
    </w:p>
    <w:p w:rsidR="005B1164" w:rsidRPr="005B1164" w:rsidRDefault="005B1164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GB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Summary</w:t>
      </w:r>
    </w:p>
    <w:p w:rsidR="00A91A96" w:rsidRDefault="00A91A96" w:rsidP="00A91A96">
      <w:pPr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US"/>
        </w:rPr>
        <w:t>FEP advises against the introduction of ‘fair use’ into Australian copyright law</w:t>
      </w:r>
    </w:p>
    <w:p w:rsidR="00A91A96" w:rsidRDefault="00A91A96" w:rsidP="00A91A96">
      <w:pPr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US"/>
        </w:rPr>
        <w:t xml:space="preserve">FEP believes  the current statutory 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regime in Australian copyright law follows international best practice</w:t>
      </w:r>
    </w:p>
    <w:p w:rsidR="00A91A96" w:rsidRDefault="00A91A96" w:rsidP="00A91A96">
      <w:pPr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US"/>
        </w:rPr>
        <w:t>FEP advises against the broadening of education exceptions</w:t>
      </w:r>
    </w:p>
    <w:p w:rsidR="00A91A96" w:rsidRDefault="00A91A96" w:rsidP="00A91A96">
      <w:pPr>
        <w:numPr>
          <w:ilvl w:val="0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US"/>
        </w:rPr>
        <w:t xml:space="preserve">FEP also commends the submissions from the following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:</w:t>
      </w:r>
    </w:p>
    <w:p w:rsidR="00A91A96" w:rsidRPr="00A91A96" w:rsidRDefault="00A91A96" w:rsidP="00A91A96">
      <w:pPr>
        <w:numPr>
          <w:ilvl w:val="1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US"/>
        </w:rPr>
        <w:t>Australian Publishers Association</w:t>
      </w:r>
    </w:p>
    <w:p w:rsidR="00A91A96" w:rsidRPr="00A91A96" w:rsidRDefault="00A91A96" w:rsidP="00A91A96">
      <w:pPr>
        <w:numPr>
          <w:ilvl w:val="1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GB"/>
        </w:rPr>
        <w:t>International Publishers Association</w:t>
      </w:r>
    </w:p>
    <w:p w:rsidR="00A91A96" w:rsidRPr="00A91A96" w:rsidRDefault="00A91A96" w:rsidP="00A91A96">
      <w:pPr>
        <w:numPr>
          <w:ilvl w:val="1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 w:rsidRPr="00A91A96">
        <w:rPr>
          <w:lang w:val="en-GB"/>
        </w:rPr>
        <w:t>International Federation of Rep</w:t>
      </w:r>
      <w:r>
        <w:rPr>
          <w:lang w:val="en-GB"/>
        </w:rPr>
        <w:t>r</w:t>
      </w:r>
      <w:r w:rsidRPr="00A91A96">
        <w:rPr>
          <w:lang w:val="en-GB"/>
        </w:rPr>
        <w:t>ographic Rights Organisations</w:t>
      </w:r>
    </w:p>
    <w:p w:rsidR="00A91A96" w:rsidRDefault="00A91A96" w:rsidP="00A91A96">
      <w:pPr>
        <w:numPr>
          <w:ilvl w:val="1"/>
          <w:numId w:val="2"/>
        </w:num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jc w:val="both"/>
        <w:rPr>
          <w:lang w:val="en-US"/>
        </w:rPr>
      </w:pPr>
      <w:r>
        <w:rPr>
          <w:lang w:val="en-GB"/>
        </w:rPr>
        <w:t>International Association of Scientific, technical and Medical Publishers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  <w:r>
        <w:rPr>
          <w:lang w:val="en-US"/>
        </w:rPr>
        <w:t xml:space="preserve">Yours sincerely </w:t>
      </w: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US"/>
        </w:rPr>
      </w:pPr>
    </w:p>
    <w:p w:rsid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GB"/>
        </w:rPr>
      </w:pPr>
      <w:r>
        <w:rPr>
          <w:lang w:val="en-GB"/>
        </w:rPr>
        <w:t>Anne Bergman-</w:t>
      </w:r>
      <w:proofErr w:type="spellStart"/>
      <w:r>
        <w:rPr>
          <w:lang w:val="en-GB"/>
        </w:rPr>
        <w:t>Tahon</w:t>
      </w:r>
      <w:proofErr w:type="spellEnd"/>
    </w:p>
    <w:p w:rsidR="00A91A96" w:rsidRPr="00A91A96" w:rsidRDefault="00A91A96" w:rsidP="00A91A96">
      <w:pPr>
        <w:tabs>
          <w:tab w:val="left" w:pos="1134"/>
          <w:tab w:val="left" w:pos="1701"/>
          <w:tab w:val="left" w:pos="2268"/>
          <w:tab w:val="left" w:pos="2835"/>
          <w:tab w:val="left" w:pos="2948"/>
          <w:tab w:val="left" w:pos="3119"/>
        </w:tabs>
        <w:rPr>
          <w:lang w:val="en-GB"/>
        </w:rPr>
      </w:pPr>
      <w:r>
        <w:rPr>
          <w:lang w:val="en-GB"/>
        </w:rPr>
        <w:t>Director</w:t>
      </w:r>
    </w:p>
    <w:p w:rsidR="00AF23E4" w:rsidRPr="00A91A96" w:rsidRDefault="00AF23E4" w:rsidP="001079CB">
      <w:pPr>
        <w:rPr>
          <w:lang w:val="en-GB"/>
        </w:rPr>
      </w:pPr>
    </w:p>
    <w:sectPr w:rsidR="00AF23E4" w:rsidRPr="00A91A96" w:rsidSect="00981B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ED" w:rsidRDefault="00F53CED" w:rsidP="004803EA">
      <w:r>
        <w:separator/>
      </w:r>
    </w:p>
  </w:endnote>
  <w:endnote w:type="continuationSeparator" w:id="0">
    <w:p w:rsidR="00F53CED" w:rsidRDefault="00F53CED" w:rsidP="0048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E4" w:rsidRPr="004803EA" w:rsidRDefault="00AF23E4" w:rsidP="004803EA">
    <w:pPr>
      <w:pStyle w:val="Footer"/>
      <w:jc w:val="center"/>
      <w:rPr>
        <w:sz w:val="18"/>
        <w:szCs w:val="18"/>
      </w:rPr>
    </w:pPr>
    <w:proofErr w:type="spellStart"/>
    <w:r w:rsidRPr="004803EA">
      <w:rPr>
        <w:sz w:val="18"/>
        <w:szCs w:val="18"/>
      </w:rPr>
      <w:t>Federation</w:t>
    </w:r>
    <w:proofErr w:type="spellEnd"/>
    <w:r w:rsidRPr="004803EA">
      <w:rPr>
        <w:sz w:val="18"/>
        <w:szCs w:val="18"/>
      </w:rPr>
      <w:t xml:space="preserve"> of </w:t>
    </w:r>
    <w:proofErr w:type="spellStart"/>
    <w:r w:rsidRPr="004803EA">
      <w:rPr>
        <w:sz w:val="18"/>
        <w:szCs w:val="18"/>
      </w:rPr>
      <w:t>European</w:t>
    </w:r>
    <w:proofErr w:type="spellEnd"/>
    <w:r w:rsidRPr="004803EA">
      <w:rPr>
        <w:sz w:val="18"/>
        <w:szCs w:val="18"/>
      </w:rPr>
      <w:t xml:space="preserve"> </w:t>
    </w:r>
    <w:proofErr w:type="spellStart"/>
    <w:r w:rsidRPr="004803EA">
      <w:rPr>
        <w:sz w:val="18"/>
        <w:szCs w:val="18"/>
      </w:rPr>
      <w:t>Publishers</w:t>
    </w:r>
    <w:proofErr w:type="spellEnd"/>
    <w:r w:rsidRPr="004803EA">
      <w:rPr>
        <w:sz w:val="18"/>
        <w:szCs w:val="18"/>
      </w:rPr>
      <w:t xml:space="preserve"> – Fédération des Editeurs européens</w:t>
    </w:r>
  </w:p>
  <w:p w:rsidR="00AF23E4" w:rsidRPr="004803EA" w:rsidRDefault="00AF23E4" w:rsidP="004803EA">
    <w:pPr>
      <w:pStyle w:val="Footer"/>
      <w:jc w:val="center"/>
      <w:rPr>
        <w:sz w:val="18"/>
        <w:szCs w:val="18"/>
      </w:rPr>
    </w:pPr>
    <w:r w:rsidRPr="004803EA">
      <w:rPr>
        <w:sz w:val="18"/>
        <w:szCs w:val="18"/>
      </w:rPr>
      <w:t xml:space="preserve">31, Rue </w:t>
    </w:r>
    <w:proofErr w:type="spellStart"/>
    <w:r w:rsidRPr="004803EA">
      <w:rPr>
        <w:sz w:val="18"/>
        <w:szCs w:val="18"/>
      </w:rPr>
      <w:t>Montoyer</w:t>
    </w:r>
    <w:proofErr w:type="spellEnd"/>
    <w:r w:rsidRPr="004803EA">
      <w:rPr>
        <w:sz w:val="18"/>
        <w:szCs w:val="18"/>
      </w:rPr>
      <w:t xml:space="preserve"> – 1000 Brussels</w:t>
    </w:r>
  </w:p>
  <w:p w:rsidR="00AF23E4" w:rsidRPr="004803EA" w:rsidRDefault="00AF23E4" w:rsidP="004803EA">
    <w:pPr>
      <w:pStyle w:val="Footer"/>
      <w:jc w:val="center"/>
      <w:rPr>
        <w:sz w:val="18"/>
        <w:szCs w:val="18"/>
      </w:rPr>
    </w:pPr>
    <w:r w:rsidRPr="004803EA">
      <w:rPr>
        <w:sz w:val="18"/>
        <w:szCs w:val="18"/>
      </w:rPr>
      <w:t>Tel 32-2-770-11-10 – Fax 32-2-771-20-71</w:t>
    </w:r>
  </w:p>
  <w:p w:rsidR="00AF23E4" w:rsidRDefault="00AF23E4" w:rsidP="004803EA">
    <w:pPr>
      <w:pStyle w:val="Footer"/>
      <w:jc w:val="center"/>
    </w:pPr>
    <w:r w:rsidRPr="004803EA">
      <w:rPr>
        <w:sz w:val="18"/>
        <w:szCs w:val="18"/>
      </w:rPr>
      <w:t xml:space="preserve">Website </w:t>
    </w:r>
    <w:hyperlink r:id="rId1" w:history="1">
      <w:r w:rsidRPr="004803EA">
        <w:rPr>
          <w:rStyle w:val="Hyperlink"/>
          <w:sz w:val="18"/>
          <w:szCs w:val="18"/>
        </w:rPr>
        <w:t>www.fep-fee.eu</w:t>
      </w:r>
    </w:hyperlink>
  </w:p>
  <w:p w:rsidR="00AF23E4" w:rsidRDefault="00AF2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ED" w:rsidRDefault="00F53CED" w:rsidP="004803EA">
      <w:r>
        <w:separator/>
      </w:r>
    </w:p>
  </w:footnote>
  <w:footnote w:type="continuationSeparator" w:id="0">
    <w:p w:rsidR="00F53CED" w:rsidRDefault="00F53CED" w:rsidP="0048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E4" w:rsidRDefault="00AF23E4" w:rsidP="004803EA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377440" cy="914400"/>
          <wp:effectExtent l="0" t="0" r="3810" b="0"/>
          <wp:docPr id="1" name="Picture 1" descr="C:\Users\user\AppData\Local\Microsoft\Windows\Temporary Internet Files\Content.Outlook\I7BVSUGZ\FEP_LOGO_RGB_LO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I7BVSUGZ\FEP_LOGO_RGB_LO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3E4" w:rsidRDefault="00AF23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F56"/>
    <w:multiLevelType w:val="hybridMultilevel"/>
    <w:tmpl w:val="0CECF5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6AB1"/>
    <w:multiLevelType w:val="hybridMultilevel"/>
    <w:tmpl w:val="BE7C1998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F374E0"/>
    <w:multiLevelType w:val="hybridMultilevel"/>
    <w:tmpl w:val="FF144A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2475"/>
    <w:multiLevelType w:val="hybridMultilevel"/>
    <w:tmpl w:val="AE660360"/>
    <w:lvl w:ilvl="0" w:tplc="F0EC2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400CD"/>
    <w:multiLevelType w:val="hybridMultilevel"/>
    <w:tmpl w:val="C43A72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D4"/>
    <w:rsid w:val="000469D7"/>
    <w:rsid w:val="000C3F73"/>
    <w:rsid w:val="001079CB"/>
    <w:rsid w:val="001E052E"/>
    <w:rsid w:val="00252610"/>
    <w:rsid w:val="003A2AD4"/>
    <w:rsid w:val="003D6EFE"/>
    <w:rsid w:val="004803EA"/>
    <w:rsid w:val="00537619"/>
    <w:rsid w:val="00574BBF"/>
    <w:rsid w:val="005B1164"/>
    <w:rsid w:val="005B3D17"/>
    <w:rsid w:val="005D06E5"/>
    <w:rsid w:val="007F6822"/>
    <w:rsid w:val="0097281F"/>
    <w:rsid w:val="00981BDF"/>
    <w:rsid w:val="00A91A96"/>
    <w:rsid w:val="00AC1647"/>
    <w:rsid w:val="00AF23E4"/>
    <w:rsid w:val="00AF3A0E"/>
    <w:rsid w:val="00BD58A5"/>
    <w:rsid w:val="00C75D5D"/>
    <w:rsid w:val="00DC4C7F"/>
    <w:rsid w:val="00EC65F5"/>
    <w:rsid w:val="00F53CED"/>
    <w:rsid w:val="00F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03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E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C7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DC4C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3A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A0E"/>
    <w:rPr>
      <w:rFonts w:ascii="Calibri" w:hAnsi="Calibri" w:cs="Calibri"/>
      <w:sz w:val="20"/>
      <w:szCs w:val="20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basedOn w:val="DefaultParagraphFont"/>
    <w:uiPriority w:val="99"/>
    <w:semiHidden/>
    <w:unhideWhenUsed/>
    <w:rsid w:val="00AF3A0E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A91A96"/>
    <w:pPr>
      <w:ind w:left="2880"/>
      <w:jc w:val="both"/>
    </w:pPr>
    <w:rPr>
      <w:rFonts w:ascii="Times New Roman" w:eastAsia="Times New Roman" w:hAnsi="Times New Roman" w:cs="Times New Roman"/>
      <w:color w:val="4D4D4D"/>
      <w:sz w:val="21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1A96"/>
    <w:rPr>
      <w:rFonts w:ascii="Times New Roman" w:eastAsia="Times New Roman" w:hAnsi="Times New Roman" w:cs="Times New Roman"/>
      <w:color w:val="4D4D4D"/>
      <w:sz w:val="21"/>
      <w:szCs w:val="24"/>
      <w:lang w:val="en-GB"/>
    </w:rPr>
  </w:style>
  <w:style w:type="table" w:styleId="TableGrid">
    <w:name w:val="Table Grid"/>
    <w:basedOn w:val="TableNormal"/>
    <w:rsid w:val="00A9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D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03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3E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803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3EA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3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3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03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7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ansinterligne">
    <w:name w:val="No Spacing"/>
    <w:uiPriority w:val="1"/>
    <w:qFormat/>
    <w:rsid w:val="00DC4C7F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A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A0E"/>
    <w:rPr>
      <w:rFonts w:ascii="Calibri" w:hAnsi="Calibri" w:cs="Calibri"/>
      <w:sz w:val="20"/>
      <w:szCs w:val="20"/>
    </w:rPr>
  </w:style>
  <w:style w:type="character" w:styleId="Appelnotedebasdep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"/>
    <w:basedOn w:val="Policepardfaut"/>
    <w:uiPriority w:val="99"/>
    <w:semiHidden/>
    <w:unhideWhenUsed/>
    <w:rsid w:val="00AF3A0E"/>
    <w:rPr>
      <w:vertAlign w:val="superscript"/>
    </w:rPr>
  </w:style>
  <w:style w:type="paragraph" w:styleId="Retraitcorpsdetexte">
    <w:name w:val="Body Text Indent"/>
    <w:basedOn w:val="Normal"/>
    <w:link w:val="RetraitcorpsdetexteCar"/>
    <w:semiHidden/>
    <w:unhideWhenUsed/>
    <w:rsid w:val="00A91A96"/>
    <w:pPr>
      <w:ind w:left="2880"/>
      <w:jc w:val="both"/>
    </w:pPr>
    <w:rPr>
      <w:rFonts w:ascii="Times New Roman" w:eastAsia="Times New Roman" w:hAnsi="Times New Roman" w:cs="Times New Roman"/>
      <w:color w:val="4D4D4D"/>
      <w:sz w:val="21"/>
      <w:szCs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91A96"/>
    <w:rPr>
      <w:rFonts w:ascii="Times New Roman" w:eastAsia="Times New Roman" w:hAnsi="Times New Roman" w:cs="Times New Roman"/>
      <w:color w:val="4D4D4D"/>
      <w:sz w:val="21"/>
      <w:szCs w:val="24"/>
      <w:lang w:val="en-GB"/>
    </w:rPr>
  </w:style>
  <w:style w:type="table" w:styleId="Grilledutableau">
    <w:name w:val="Table Grid"/>
    <w:basedOn w:val="TableauNormal"/>
    <w:rsid w:val="00A9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@alrc.gov.a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p-fe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7F5B-60D6-4EC4-B5D3-BE9CD42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marie-claire.muir</cp:lastModifiedBy>
  <cp:revision>2</cp:revision>
  <cp:lastPrinted>2012-10-13T12:39:00Z</cp:lastPrinted>
  <dcterms:created xsi:type="dcterms:W3CDTF">2013-08-01T01:35:00Z</dcterms:created>
  <dcterms:modified xsi:type="dcterms:W3CDTF">2013-08-01T01:35:00Z</dcterms:modified>
</cp:coreProperties>
</file>