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34AC4">
        <w:rPr>
          <w:rFonts w:ascii="Arial" w:hAnsi="Arial" w:cs="Arial"/>
          <w:b/>
          <w:sz w:val="21"/>
          <w:szCs w:val="21"/>
        </w:rPr>
        <w:t>Introduction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 w:rsidRPr="00D34AC4">
        <w:rPr>
          <w:rFonts w:ascii="Arial" w:hAnsi="Arial" w:cs="Arial"/>
          <w:sz w:val="21"/>
          <w:szCs w:val="21"/>
        </w:rPr>
        <w:t>I am a fourth year mature aged law student at Murdoch University</w:t>
      </w:r>
      <w:r w:rsidR="00990412">
        <w:rPr>
          <w:rFonts w:ascii="Arial" w:hAnsi="Arial" w:cs="Arial"/>
          <w:sz w:val="21"/>
          <w:szCs w:val="21"/>
        </w:rPr>
        <w:t>.  I</w:t>
      </w:r>
      <w:r w:rsidRPr="009D1049">
        <w:rPr>
          <w:rFonts w:ascii="Arial" w:hAnsi="Arial" w:cs="Arial"/>
          <w:sz w:val="21"/>
          <w:szCs w:val="21"/>
        </w:rPr>
        <w:t xml:space="preserve">t is </w:t>
      </w:r>
      <w:r w:rsidR="007B3650">
        <w:rPr>
          <w:rFonts w:ascii="Arial" w:hAnsi="Arial" w:cs="Arial"/>
          <w:sz w:val="21"/>
          <w:szCs w:val="21"/>
        </w:rPr>
        <w:t xml:space="preserve">through </w:t>
      </w:r>
      <w:r w:rsidRPr="009D1049">
        <w:rPr>
          <w:rFonts w:ascii="Arial" w:hAnsi="Arial" w:cs="Arial"/>
          <w:sz w:val="21"/>
          <w:szCs w:val="21"/>
        </w:rPr>
        <w:t xml:space="preserve">the research I have done as a student, </w:t>
      </w:r>
      <w:r w:rsidR="00C3224E">
        <w:rPr>
          <w:rFonts w:ascii="Arial" w:hAnsi="Arial" w:cs="Arial"/>
          <w:sz w:val="21"/>
          <w:szCs w:val="21"/>
        </w:rPr>
        <w:t xml:space="preserve">specifically </w:t>
      </w:r>
      <w:r w:rsidRPr="009D1049">
        <w:rPr>
          <w:rFonts w:ascii="Arial" w:hAnsi="Arial" w:cs="Arial"/>
          <w:sz w:val="21"/>
          <w:szCs w:val="21"/>
        </w:rPr>
        <w:t>in units such as Sentencing and P</w:t>
      </w:r>
      <w:r>
        <w:rPr>
          <w:rFonts w:ascii="Arial" w:hAnsi="Arial" w:cs="Arial"/>
          <w:sz w:val="21"/>
          <w:szCs w:val="21"/>
        </w:rPr>
        <w:t xml:space="preserve">enology and Restorative </w:t>
      </w:r>
      <w:proofErr w:type="gramStart"/>
      <w:r>
        <w:rPr>
          <w:rFonts w:ascii="Arial" w:hAnsi="Arial" w:cs="Arial"/>
          <w:sz w:val="21"/>
          <w:szCs w:val="21"/>
        </w:rPr>
        <w:t>Justice</w:t>
      </w:r>
      <w:r w:rsidR="00C3224E">
        <w:rPr>
          <w:rFonts w:ascii="Arial" w:hAnsi="Arial" w:cs="Arial"/>
          <w:sz w:val="21"/>
          <w:szCs w:val="21"/>
        </w:rPr>
        <w:t>,</w:t>
      </w:r>
      <w:r w:rsidR="007B3650">
        <w:rPr>
          <w:rFonts w:ascii="Arial" w:hAnsi="Arial" w:cs="Arial"/>
          <w:sz w:val="21"/>
          <w:szCs w:val="21"/>
        </w:rPr>
        <w:t xml:space="preserve"> </w:t>
      </w:r>
      <w:r w:rsidR="00BC1DC9">
        <w:rPr>
          <w:rFonts w:ascii="Arial" w:hAnsi="Arial" w:cs="Arial"/>
          <w:sz w:val="21"/>
          <w:szCs w:val="21"/>
        </w:rPr>
        <w:t>that</w:t>
      </w:r>
      <w:proofErr w:type="gramEnd"/>
      <w:r w:rsidR="00BC1DC9">
        <w:rPr>
          <w:rFonts w:ascii="Arial" w:hAnsi="Arial" w:cs="Arial"/>
          <w:sz w:val="21"/>
          <w:szCs w:val="21"/>
        </w:rPr>
        <w:t xml:space="preserve"> </w:t>
      </w:r>
      <w:r w:rsidRPr="009D1049">
        <w:rPr>
          <w:rFonts w:ascii="Arial" w:hAnsi="Arial" w:cs="Arial"/>
          <w:sz w:val="21"/>
          <w:szCs w:val="21"/>
        </w:rPr>
        <w:t>I am able to fully appreciate the intricacies of elder abuse</w:t>
      </w:r>
      <w:r>
        <w:rPr>
          <w:rFonts w:ascii="Arial" w:hAnsi="Arial" w:cs="Arial"/>
          <w:sz w:val="21"/>
          <w:szCs w:val="21"/>
        </w:rPr>
        <w:t xml:space="preserve"> particularly the reporting of it.</w:t>
      </w:r>
      <w:r w:rsidRPr="009D1049">
        <w:rPr>
          <w:rFonts w:ascii="Arial" w:hAnsi="Arial" w:cs="Arial"/>
          <w:sz w:val="21"/>
          <w:szCs w:val="21"/>
        </w:rPr>
        <w:t xml:space="preserve">  </w:t>
      </w:r>
      <w:r w:rsidRPr="00D34AC4">
        <w:rPr>
          <w:rFonts w:ascii="Arial" w:hAnsi="Arial" w:cs="Arial"/>
          <w:sz w:val="21"/>
          <w:szCs w:val="21"/>
        </w:rPr>
        <w:t xml:space="preserve">In addition to my experience and studies, my parents are now at retirement age and live </w:t>
      </w:r>
      <w:r>
        <w:rPr>
          <w:rFonts w:ascii="Arial" w:hAnsi="Arial" w:cs="Arial"/>
          <w:sz w:val="21"/>
          <w:szCs w:val="21"/>
        </w:rPr>
        <w:t xml:space="preserve">a </w:t>
      </w:r>
      <w:r w:rsidRPr="00D34AC4">
        <w:rPr>
          <w:rFonts w:ascii="Arial" w:hAnsi="Arial" w:cs="Arial"/>
          <w:sz w:val="21"/>
          <w:szCs w:val="21"/>
        </w:rPr>
        <w:t>considerable distance from immediate family</w:t>
      </w:r>
      <w:r>
        <w:rPr>
          <w:rFonts w:ascii="Arial" w:hAnsi="Arial" w:cs="Arial"/>
          <w:sz w:val="21"/>
          <w:szCs w:val="21"/>
        </w:rPr>
        <w:t xml:space="preserve">, </w:t>
      </w:r>
      <w:r w:rsidRPr="00D34AC4">
        <w:rPr>
          <w:rFonts w:ascii="Arial" w:hAnsi="Arial" w:cs="Arial"/>
          <w:sz w:val="21"/>
          <w:szCs w:val="21"/>
        </w:rPr>
        <w:t>too far for any children to assist</w:t>
      </w:r>
      <w:r w:rsidR="00876260">
        <w:rPr>
          <w:rFonts w:ascii="Arial" w:hAnsi="Arial" w:cs="Arial"/>
          <w:sz w:val="21"/>
          <w:szCs w:val="21"/>
        </w:rPr>
        <w:t xml:space="preserve"> or report any abuse</w:t>
      </w:r>
      <w:r w:rsidRPr="00D34AC4">
        <w:rPr>
          <w:rFonts w:ascii="Arial" w:hAnsi="Arial" w:cs="Arial"/>
          <w:sz w:val="21"/>
          <w:szCs w:val="21"/>
        </w:rPr>
        <w:t>.  This is why I have chosen question 45 of the Elder Abuse Issue</w:t>
      </w:r>
      <w:r w:rsidR="00DC0894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DC0894">
        <w:rPr>
          <w:rFonts w:ascii="Arial" w:hAnsi="Arial" w:cs="Arial"/>
          <w:sz w:val="21"/>
          <w:szCs w:val="21"/>
        </w:rPr>
        <w:t>Paper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"/>
      </w:r>
      <w:r w:rsidRPr="00D34AC4">
        <w:rPr>
          <w:rFonts w:ascii="Arial" w:hAnsi="Arial" w:cs="Arial"/>
          <w:sz w:val="21"/>
          <w:szCs w:val="21"/>
        </w:rPr>
        <w:t xml:space="preserve">: who should be </w:t>
      </w:r>
      <w:proofErr w:type="gramStart"/>
      <w:r w:rsidRPr="00D34AC4">
        <w:rPr>
          <w:rFonts w:ascii="Arial" w:hAnsi="Arial" w:cs="Arial"/>
          <w:sz w:val="21"/>
          <w:szCs w:val="21"/>
        </w:rPr>
        <w:t>required</w:t>
      </w:r>
      <w:proofErr w:type="gramEnd"/>
      <w:r w:rsidRPr="00D34AC4">
        <w:rPr>
          <w:rFonts w:ascii="Arial" w:hAnsi="Arial" w:cs="Arial"/>
          <w:sz w:val="21"/>
          <w:szCs w:val="21"/>
        </w:rPr>
        <w:t xml:space="preserve"> to report </w:t>
      </w:r>
      <w:r w:rsidR="000A36E3">
        <w:rPr>
          <w:rFonts w:ascii="Arial" w:hAnsi="Arial" w:cs="Arial"/>
          <w:sz w:val="21"/>
          <w:szCs w:val="21"/>
        </w:rPr>
        <w:t xml:space="preserve">suspected </w:t>
      </w:r>
      <w:r w:rsidRPr="00D34AC4">
        <w:rPr>
          <w:rFonts w:ascii="Arial" w:hAnsi="Arial" w:cs="Arial"/>
          <w:sz w:val="21"/>
          <w:szCs w:val="21"/>
        </w:rPr>
        <w:t>elder abuse, in what circumstances, and to whom?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Who should be required to report</w:t>
      </w:r>
      <w:r w:rsidR="007B3650">
        <w:rPr>
          <w:rFonts w:ascii="Arial" w:hAnsi="Arial" w:cs="Arial"/>
          <w:b/>
          <w:sz w:val="21"/>
          <w:szCs w:val="21"/>
        </w:rPr>
        <w:t>?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 w:rsidRPr="00D34AC4">
        <w:rPr>
          <w:rFonts w:ascii="Arial" w:hAnsi="Arial" w:cs="Arial"/>
          <w:sz w:val="21"/>
          <w:szCs w:val="21"/>
        </w:rPr>
        <w:t xml:space="preserve">There are two main types of abuse this </w:t>
      </w:r>
      <w:r w:rsidR="00B415CB">
        <w:rPr>
          <w:rFonts w:ascii="Arial" w:hAnsi="Arial" w:cs="Arial"/>
          <w:sz w:val="21"/>
          <w:szCs w:val="21"/>
        </w:rPr>
        <w:t xml:space="preserve">submission </w:t>
      </w:r>
      <w:r w:rsidRPr="00D34AC4">
        <w:rPr>
          <w:rFonts w:ascii="Arial" w:hAnsi="Arial" w:cs="Arial"/>
          <w:sz w:val="21"/>
          <w:szCs w:val="21"/>
        </w:rPr>
        <w:t>will consider when answering the above question – namely physical abuse and financial abuse.  Physical abuse already ha</w:t>
      </w:r>
      <w:r>
        <w:rPr>
          <w:rFonts w:ascii="Arial" w:hAnsi="Arial" w:cs="Arial"/>
          <w:sz w:val="21"/>
          <w:szCs w:val="21"/>
        </w:rPr>
        <w:t>s</w:t>
      </w:r>
      <w:r w:rsidRPr="00D34AC4">
        <w:rPr>
          <w:rFonts w:ascii="Arial" w:hAnsi="Arial" w:cs="Arial"/>
          <w:sz w:val="21"/>
          <w:szCs w:val="21"/>
        </w:rPr>
        <w:t xml:space="preserve"> somewhat limited requirements </w:t>
      </w:r>
      <w:r>
        <w:rPr>
          <w:rFonts w:ascii="Arial" w:hAnsi="Arial" w:cs="Arial"/>
          <w:sz w:val="21"/>
          <w:szCs w:val="21"/>
        </w:rPr>
        <w:t xml:space="preserve">in place </w:t>
      </w:r>
      <w:r w:rsidRPr="00D34AC4">
        <w:rPr>
          <w:rFonts w:ascii="Arial" w:hAnsi="Arial" w:cs="Arial"/>
          <w:sz w:val="21"/>
          <w:szCs w:val="21"/>
        </w:rPr>
        <w:t xml:space="preserve">concerning the </w:t>
      </w:r>
      <w:r w:rsidR="00876260">
        <w:rPr>
          <w:rFonts w:ascii="Arial" w:hAnsi="Arial" w:cs="Arial"/>
          <w:sz w:val="21"/>
          <w:szCs w:val="21"/>
        </w:rPr>
        <w:t xml:space="preserve">mandatory </w:t>
      </w:r>
      <w:r w:rsidRPr="00D34AC4">
        <w:rPr>
          <w:rFonts w:ascii="Arial" w:hAnsi="Arial" w:cs="Arial"/>
          <w:sz w:val="21"/>
          <w:szCs w:val="21"/>
        </w:rPr>
        <w:t xml:space="preserve">reporting </w:t>
      </w:r>
      <w:r w:rsidR="00DC0894"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>abuse</w:t>
      </w:r>
      <w:r w:rsidRPr="00D34AC4">
        <w:rPr>
          <w:rFonts w:ascii="Arial" w:hAnsi="Arial" w:cs="Arial"/>
          <w:sz w:val="21"/>
          <w:szCs w:val="21"/>
        </w:rPr>
        <w:t xml:space="preserve">.  Section 63-1AA of the </w:t>
      </w:r>
      <w:r w:rsidRPr="00D34AC4">
        <w:rPr>
          <w:rFonts w:ascii="Arial" w:hAnsi="Arial" w:cs="Arial"/>
          <w:i/>
          <w:sz w:val="21"/>
          <w:szCs w:val="21"/>
        </w:rPr>
        <w:t>Aged Care Act,</w:t>
      </w:r>
      <w:r w:rsidRPr="00D34AC4">
        <w:rPr>
          <w:rStyle w:val="FootnoteReference"/>
          <w:rFonts w:ascii="Arial" w:hAnsi="Arial" w:cs="Arial"/>
          <w:i/>
          <w:sz w:val="21"/>
          <w:szCs w:val="21"/>
        </w:rPr>
        <w:footnoteReference w:id="2"/>
      </w:r>
      <w:r w:rsidRPr="00D34A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provides for mandatory reporting of abuse in residential care facilities</w:t>
      </w:r>
      <w:r w:rsidRPr="00D34AC4">
        <w:rPr>
          <w:rFonts w:ascii="Arial" w:hAnsi="Arial" w:cs="Arial"/>
          <w:sz w:val="21"/>
          <w:szCs w:val="21"/>
        </w:rPr>
        <w:t>.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3"/>
      </w:r>
      <w:r w:rsidRPr="00D34AC4">
        <w:rPr>
          <w:rFonts w:ascii="Arial" w:hAnsi="Arial" w:cs="Arial"/>
          <w:i/>
          <w:sz w:val="21"/>
          <w:szCs w:val="21"/>
        </w:rPr>
        <w:t xml:space="preserve">  </w:t>
      </w:r>
      <w:r w:rsidRPr="00D34AC4">
        <w:rPr>
          <w:rFonts w:ascii="Arial" w:hAnsi="Arial" w:cs="Arial"/>
          <w:sz w:val="21"/>
          <w:szCs w:val="21"/>
        </w:rPr>
        <w:t xml:space="preserve">While this is an important piece of legislation, it only protects elders from one type of abuse and in </w:t>
      </w:r>
      <w:r w:rsidR="00DC0894">
        <w:rPr>
          <w:rFonts w:ascii="Arial" w:hAnsi="Arial" w:cs="Arial"/>
          <w:sz w:val="21"/>
          <w:szCs w:val="21"/>
        </w:rPr>
        <w:t xml:space="preserve">limited </w:t>
      </w:r>
      <w:r w:rsidRPr="00D34AC4">
        <w:rPr>
          <w:rFonts w:ascii="Arial" w:hAnsi="Arial" w:cs="Arial"/>
          <w:sz w:val="21"/>
          <w:szCs w:val="21"/>
        </w:rPr>
        <w:t>circumstance</w:t>
      </w:r>
      <w:r w:rsidR="00DC0894">
        <w:rPr>
          <w:rFonts w:ascii="Arial" w:hAnsi="Arial" w:cs="Arial"/>
          <w:sz w:val="21"/>
          <w:szCs w:val="21"/>
        </w:rPr>
        <w:t>s</w:t>
      </w:r>
      <w:r w:rsidRPr="00D34AC4">
        <w:rPr>
          <w:rFonts w:ascii="Arial" w:hAnsi="Arial" w:cs="Arial"/>
          <w:sz w:val="21"/>
          <w:szCs w:val="21"/>
        </w:rPr>
        <w:t xml:space="preserve"> – when they are in residential care.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4"/>
      </w:r>
      <w:r>
        <w:rPr>
          <w:rFonts w:ascii="Arial" w:hAnsi="Arial" w:cs="Arial"/>
          <w:sz w:val="21"/>
          <w:szCs w:val="21"/>
        </w:rPr>
        <w:t xml:space="preserve">  T</w:t>
      </w:r>
      <w:r w:rsidR="003971F3">
        <w:rPr>
          <w:rFonts w:ascii="Arial" w:hAnsi="Arial" w:cs="Arial"/>
          <w:sz w:val="21"/>
          <w:szCs w:val="21"/>
        </w:rPr>
        <w:t>his limitation does not cover a vast number of elder people</w:t>
      </w:r>
      <w:r>
        <w:rPr>
          <w:rFonts w:ascii="Arial" w:hAnsi="Arial" w:cs="Arial"/>
          <w:sz w:val="21"/>
          <w:szCs w:val="21"/>
        </w:rPr>
        <w:t xml:space="preserve">.  </w:t>
      </w:r>
      <w:r w:rsidR="00734993">
        <w:rPr>
          <w:rFonts w:ascii="Arial" w:hAnsi="Arial" w:cs="Arial"/>
          <w:sz w:val="21"/>
          <w:szCs w:val="21"/>
        </w:rPr>
        <w:t xml:space="preserve">In order to protect the elder population more fairly, </w:t>
      </w:r>
      <w:r>
        <w:rPr>
          <w:rFonts w:ascii="Arial" w:hAnsi="Arial" w:cs="Arial"/>
          <w:sz w:val="21"/>
          <w:szCs w:val="21"/>
        </w:rPr>
        <w:t xml:space="preserve">other health care professionals, and </w:t>
      </w:r>
      <w:r w:rsidR="00DC0894">
        <w:rPr>
          <w:rFonts w:ascii="Arial" w:hAnsi="Arial" w:cs="Arial"/>
          <w:sz w:val="21"/>
          <w:szCs w:val="21"/>
        </w:rPr>
        <w:t xml:space="preserve">aged carers </w:t>
      </w:r>
      <w:proofErr w:type="gramStart"/>
      <w:r w:rsidR="00DC0894">
        <w:rPr>
          <w:rFonts w:ascii="Arial" w:hAnsi="Arial" w:cs="Arial"/>
          <w:sz w:val="21"/>
          <w:szCs w:val="21"/>
        </w:rPr>
        <w:t xml:space="preserve">should, in an ideal world, </w:t>
      </w:r>
      <w:r w:rsidR="00734993">
        <w:rPr>
          <w:rFonts w:ascii="Arial" w:hAnsi="Arial" w:cs="Arial"/>
          <w:sz w:val="21"/>
          <w:szCs w:val="21"/>
        </w:rPr>
        <w:t>be required</w:t>
      </w:r>
      <w:proofErr w:type="gramEnd"/>
      <w:r w:rsidR="00DC089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report instances</w:t>
      </w:r>
      <w:r w:rsidR="00734993">
        <w:rPr>
          <w:rFonts w:ascii="Arial" w:hAnsi="Arial" w:cs="Arial"/>
          <w:sz w:val="21"/>
          <w:szCs w:val="21"/>
        </w:rPr>
        <w:t xml:space="preserve"> in any situation</w:t>
      </w:r>
      <w:r>
        <w:rPr>
          <w:rFonts w:ascii="Arial" w:hAnsi="Arial" w:cs="Arial"/>
          <w:sz w:val="21"/>
          <w:szCs w:val="21"/>
        </w:rPr>
        <w:t xml:space="preserve"> of suspected physical abuse, much like under s63-1AA.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5"/>
      </w:r>
      <w:r w:rsidRPr="00D34AC4">
        <w:rPr>
          <w:rFonts w:ascii="Arial" w:hAnsi="Arial" w:cs="Arial"/>
          <w:sz w:val="21"/>
          <w:szCs w:val="21"/>
        </w:rPr>
        <w:t xml:space="preserve"> 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question of who should be required to report financial abuse is far more complicated.  F</w:t>
      </w:r>
      <w:r w:rsidRPr="00D34AC4">
        <w:rPr>
          <w:rFonts w:ascii="Arial" w:hAnsi="Arial" w:cs="Arial"/>
          <w:sz w:val="21"/>
          <w:szCs w:val="21"/>
        </w:rPr>
        <w:t xml:space="preserve">inancial abuse, for example, is a type of abuse that is both difficult to recognise and </w:t>
      </w:r>
      <w:bookmarkStart w:id="1" w:name="_Ref458595358"/>
      <w:r w:rsidR="00734993">
        <w:rPr>
          <w:rFonts w:ascii="Arial" w:hAnsi="Arial" w:cs="Arial"/>
          <w:sz w:val="21"/>
          <w:szCs w:val="21"/>
        </w:rPr>
        <w:t>define.</w:t>
      </w:r>
      <w:r>
        <w:rPr>
          <w:rStyle w:val="FootnoteReference"/>
          <w:rFonts w:ascii="Arial" w:hAnsi="Arial" w:cs="Arial"/>
          <w:sz w:val="21"/>
          <w:szCs w:val="21"/>
        </w:rPr>
        <w:footnoteReference w:id="6"/>
      </w:r>
      <w:bookmarkEnd w:id="1"/>
      <w:r>
        <w:rPr>
          <w:rFonts w:ascii="Arial" w:hAnsi="Arial" w:cs="Arial"/>
          <w:sz w:val="21"/>
          <w:szCs w:val="21"/>
        </w:rPr>
        <w:t xml:space="preserve">  The broad definition of financial abuse, </w:t>
      </w:r>
      <w:r w:rsidRPr="00D34AC4">
        <w:rPr>
          <w:rFonts w:ascii="Arial" w:hAnsi="Arial" w:cs="Arial"/>
          <w:sz w:val="21"/>
          <w:szCs w:val="21"/>
        </w:rPr>
        <w:t>the illegal use or exploitation of funds of an older person,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7"/>
      </w:r>
      <w:r w:rsidRPr="00D34AC4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lastRenderedPageBreak/>
        <w:t>could be applied</w:t>
      </w:r>
      <w:proofErr w:type="gramEnd"/>
      <w:r>
        <w:rPr>
          <w:rFonts w:ascii="Arial" w:hAnsi="Arial" w:cs="Arial"/>
          <w:sz w:val="21"/>
          <w:szCs w:val="21"/>
        </w:rPr>
        <w:t xml:space="preserve"> to any number of situations and knowing who should report this abuse is difficult to </w:t>
      </w:r>
      <w:r w:rsidR="003971F3">
        <w:rPr>
          <w:rFonts w:ascii="Arial" w:hAnsi="Arial" w:cs="Arial"/>
          <w:sz w:val="21"/>
          <w:szCs w:val="21"/>
        </w:rPr>
        <w:t>assess</w:t>
      </w:r>
      <w:r>
        <w:rPr>
          <w:rFonts w:ascii="Arial" w:hAnsi="Arial" w:cs="Arial"/>
          <w:sz w:val="21"/>
          <w:szCs w:val="21"/>
        </w:rPr>
        <w:t>.</w:t>
      </w:r>
      <w:r w:rsidR="00BC1DC9">
        <w:rPr>
          <w:rStyle w:val="FootnoteReference"/>
          <w:rFonts w:ascii="Arial" w:hAnsi="Arial" w:cs="Arial"/>
          <w:sz w:val="21"/>
          <w:szCs w:val="21"/>
        </w:rPr>
        <w:footnoteReference w:id="8"/>
      </w:r>
      <w:r>
        <w:rPr>
          <w:rFonts w:ascii="Arial" w:hAnsi="Arial" w:cs="Arial"/>
          <w:sz w:val="21"/>
          <w:szCs w:val="21"/>
        </w:rPr>
        <w:t xml:space="preserve">  It has been suggested that </w:t>
      </w:r>
      <w:r w:rsidRPr="00D34AC4">
        <w:rPr>
          <w:rFonts w:ascii="Arial" w:hAnsi="Arial" w:cs="Arial"/>
          <w:sz w:val="21"/>
          <w:szCs w:val="21"/>
        </w:rPr>
        <w:t>that “health care professionals and those who work with vulnerable older people”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9"/>
      </w:r>
      <w:r w:rsidR="003971F3">
        <w:rPr>
          <w:rFonts w:ascii="Arial" w:hAnsi="Arial" w:cs="Arial"/>
          <w:sz w:val="21"/>
          <w:szCs w:val="21"/>
        </w:rPr>
        <w:t xml:space="preserve"> should report financial </w:t>
      </w:r>
      <w:r>
        <w:rPr>
          <w:rFonts w:ascii="Arial" w:hAnsi="Arial" w:cs="Arial"/>
          <w:sz w:val="21"/>
          <w:szCs w:val="21"/>
        </w:rPr>
        <w:t>abuse,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0"/>
      </w:r>
      <w:r>
        <w:rPr>
          <w:rFonts w:ascii="Arial" w:hAnsi="Arial" w:cs="Arial"/>
          <w:sz w:val="21"/>
          <w:szCs w:val="21"/>
        </w:rPr>
        <w:t xml:space="preserve"> but should that be extended to professionals who may be exposed to financial information, such as lawyers, accountants and financial </w:t>
      </w:r>
      <w:proofErr w:type="gramStart"/>
      <w:r>
        <w:rPr>
          <w:rFonts w:ascii="Arial" w:hAnsi="Arial" w:cs="Arial"/>
          <w:sz w:val="21"/>
          <w:szCs w:val="21"/>
        </w:rPr>
        <w:t>planners</w:t>
      </w:r>
      <w:r w:rsidR="00DC0894">
        <w:rPr>
          <w:rFonts w:ascii="Arial" w:hAnsi="Arial" w:cs="Arial"/>
          <w:sz w:val="21"/>
          <w:szCs w:val="21"/>
        </w:rPr>
        <w:t>?</w:t>
      </w:r>
      <w:proofErr w:type="gramEnd"/>
      <w:r w:rsidR="00DC0894">
        <w:rPr>
          <w:rFonts w:ascii="Arial" w:hAnsi="Arial" w:cs="Arial"/>
          <w:sz w:val="21"/>
          <w:szCs w:val="21"/>
        </w:rPr>
        <w:t xml:space="preserve">  Given the challenges with reporting </w:t>
      </w:r>
      <w:r>
        <w:rPr>
          <w:rFonts w:ascii="Arial" w:hAnsi="Arial" w:cs="Arial"/>
          <w:sz w:val="21"/>
          <w:szCs w:val="21"/>
        </w:rPr>
        <w:t>financial abuse</w:t>
      </w:r>
      <w:r w:rsidR="00DC0894">
        <w:rPr>
          <w:rFonts w:ascii="Arial" w:hAnsi="Arial" w:cs="Arial"/>
          <w:sz w:val="21"/>
          <w:szCs w:val="21"/>
        </w:rPr>
        <w:t>, set out below</w:t>
      </w:r>
      <w:r>
        <w:rPr>
          <w:rFonts w:ascii="Arial" w:hAnsi="Arial" w:cs="Arial"/>
          <w:sz w:val="21"/>
          <w:szCs w:val="21"/>
        </w:rPr>
        <w:t xml:space="preserve">, </w:t>
      </w:r>
      <w:r w:rsidR="003971F3">
        <w:rPr>
          <w:rFonts w:ascii="Arial" w:hAnsi="Arial" w:cs="Arial"/>
          <w:sz w:val="21"/>
          <w:szCs w:val="21"/>
        </w:rPr>
        <w:t xml:space="preserve">it is difficult to justify mandatory reporting. 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Appropriate </w:t>
      </w:r>
      <w:r w:rsidRPr="00D34AC4">
        <w:rPr>
          <w:rFonts w:ascii="Arial" w:hAnsi="Arial" w:cs="Arial"/>
          <w:b/>
          <w:sz w:val="21"/>
          <w:szCs w:val="21"/>
        </w:rPr>
        <w:t>circumstances</w:t>
      </w:r>
      <w:r>
        <w:rPr>
          <w:rFonts w:ascii="Arial" w:hAnsi="Arial" w:cs="Arial"/>
          <w:b/>
          <w:sz w:val="21"/>
          <w:szCs w:val="21"/>
        </w:rPr>
        <w:t xml:space="preserve"> – mandatory or voluntary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main challenge the government will face concerning the reporting of abuse is the impact reporti</w:t>
      </w:r>
      <w:r w:rsidR="00876260">
        <w:rPr>
          <w:rFonts w:ascii="Arial" w:hAnsi="Arial" w:cs="Arial"/>
          <w:sz w:val="21"/>
          <w:szCs w:val="21"/>
        </w:rPr>
        <w:t>ng will have on the victims, as well as</w:t>
      </w:r>
      <w:r>
        <w:rPr>
          <w:rFonts w:ascii="Arial" w:hAnsi="Arial" w:cs="Arial"/>
          <w:sz w:val="21"/>
          <w:szCs w:val="21"/>
        </w:rPr>
        <w:t xml:space="preserve"> the issues of correctly identifying abuse.  There are a myriad of reasons as to why physical or financial abuse</w:t>
      </w:r>
      <w:r w:rsidR="00734993">
        <w:rPr>
          <w:rFonts w:ascii="Arial" w:hAnsi="Arial" w:cs="Arial"/>
          <w:sz w:val="21"/>
          <w:szCs w:val="21"/>
        </w:rPr>
        <w:t xml:space="preserve"> is not reported by </w:t>
      </w:r>
      <w:r>
        <w:rPr>
          <w:rFonts w:ascii="Arial" w:hAnsi="Arial" w:cs="Arial"/>
          <w:sz w:val="21"/>
          <w:szCs w:val="21"/>
        </w:rPr>
        <w:t>victim</w:t>
      </w:r>
      <w:r w:rsidR="00734993">
        <w:rPr>
          <w:rFonts w:ascii="Arial" w:hAnsi="Arial" w:cs="Arial"/>
          <w:sz w:val="21"/>
          <w:szCs w:val="21"/>
        </w:rPr>
        <w:t>s</w:t>
      </w:r>
      <w:r w:rsidR="0087626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876260">
        <w:rPr>
          <w:rFonts w:ascii="Arial" w:hAnsi="Arial" w:cs="Arial"/>
          <w:sz w:val="21"/>
          <w:szCs w:val="21"/>
        </w:rPr>
        <w:t xml:space="preserve">reasons </w:t>
      </w:r>
      <w:proofErr w:type="gramStart"/>
      <w:r>
        <w:rPr>
          <w:rFonts w:ascii="Arial" w:hAnsi="Arial" w:cs="Arial"/>
          <w:sz w:val="21"/>
          <w:szCs w:val="21"/>
        </w:rPr>
        <w:t>which</w:t>
      </w:r>
      <w:proofErr w:type="gramEnd"/>
      <w:r>
        <w:rPr>
          <w:rFonts w:ascii="Arial" w:hAnsi="Arial" w:cs="Arial"/>
          <w:sz w:val="21"/>
          <w:szCs w:val="21"/>
        </w:rPr>
        <w:t xml:space="preserve"> include fear of having to move into a residential care home,</w:t>
      </w:r>
      <w:r>
        <w:rPr>
          <w:rStyle w:val="FootnoteReference"/>
          <w:rFonts w:ascii="Arial" w:hAnsi="Arial" w:cs="Arial"/>
          <w:sz w:val="21"/>
          <w:szCs w:val="21"/>
        </w:rPr>
        <w:footnoteReference w:id="11"/>
      </w:r>
      <w:r w:rsidRPr="00D34A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 the neglect/abuse is from a family member.</w:t>
      </w:r>
      <w:r>
        <w:rPr>
          <w:rStyle w:val="FootnoteReference"/>
          <w:rFonts w:ascii="Arial" w:hAnsi="Arial" w:cs="Arial"/>
          <w:sz w:val="21"/>
          <w:szCs w:val="21"/>
        </w:rPr>
        <w:footnoteReference w:id="12"/>
      </w:r>
      <w:r w:rsidRPr="00D34AC4">
        <w:rPr>
          <w:rFonts w:ascii="Arial" w:hAnsi="Arial" w:cs="Arial"/>
          <w:sz w:val="21"/>
          <w:szCs w:val="21"/>
        </w:rPr>
        <w:t xml:space="preserve"> </w:t>
      </w:r>
      <w:r w:rsidR="00734993">
        <w:rPr>
          <w:rFonts w:ascii="Arial" w:hAnsi="Arial" w:cs="Arial"/>
          <w:sz w:val="21"/>
          <w:szCs w:val="21"/>
        </w:rPr>
        <w:t>In a perfect world</w:t>
      </w:r>
      <w:r>
        <w:rPr>
          <w:rFonts w:ascii="Arial" w:hAnsi="Arial" w:cs="Arial"/>
          <w:sz w:val="21"/>
          <w:szCs w:val="21"/>
        </w:rPr>
        <w:t xml:space="preserve">, all abuse </w:t>
      </w:r>
      <w:proofErr w:type="gramStart"/>
      <w:r>
        <w:rPr>
          <w:rFonts w:ascii="Arial" w:hAnsi="Arial" w:cs="Arial"/>
          <w:sz w:val="21"/>
          <w:szCs w:val="21"/>
        </w:rPr>
        <w:t>should be reported</w:t>
      </w:r>
      <w:proofErr w:type="gramEnd"/>
      <w:r>
        <w:rPr>
          <w:rFonts w:ascii="Arial" w:hAnsi="Arial" w:cs="Arial"/>
          <w:sz w:val="21"/>
          <w:szCs w:val="21"/>
        </w:rPr>
        <w:t>, but if reporting is mandatory, particularly with physical abuse, the victims may be reluctant to seek help due to the fear of reprisal to/from the perpetrator.</w:t>
      </w:r>
      <w:r>
        <w:rPr>
          <w:rStyle w:val="FootnoteReference"/>
          <w:rFonts w:ascii="Arial" w:hAnsi="Arial" w:cs="Arial"/>
          <w:sz w:val="21"/>
          <w:szCs w:val="21"/>
        </w:rPr>
        <w:footnoteReference w:id="13"/>
      </w:r>
      <w:r>
        <w:rPr>
          <w:rFonts w:ascii="Arial" w:hAnsi="Arial" w:cs="Arial"/>
          <w:sz w:val="21"/>
          <w:szCs w:val="21"/>
        </w:rPr>
        <w:t xml:space="preserve">  With </w:t>
      </w:r>
      <w:r w:rsidR="00657AB0">
        <w:rPr>
          <w:rFonts w:ascii="Arial" w:hAnsi="Arial" w:cs="Arial"/>
          <w:sz w:val="21"/>
          <w:szCs w:val="21"/>
        </w:rPr>
        <w:t xml:space="preserve">regard to </w:t>
      </w:r>
      <w:r>
        <w:rPr>
          <w:rFonts w:ascii="Arial" w:hAnsi="Arial" w:cs="Arial"/>
          <w:sz w:val="21"/>
          <w:szCs w:val="21"/>
        </w:rPr>
        <w:t xml:space="preserve">financial abuse, mandatory reporting may lead to the </w:t>
      </w:r>
      <w:r w:rsidRPr="00D34AC4">
        <w:rPr>
          <w:rFonts w:ascii="Arial" w:hAnsi="Arial" w:cs="Arial"/>
          <w:sz w:val="21"/>
          <w:szCs w:val="21"/>
        </w:rPr>
        <w:t>assumption that older people “are incompetent to manage their own affairs purely on the basis of their age</w:t>
      </w:r>
      <w:r>
        <w:rPr>
          <w:rFonts w:ascii="Arial" w:hAnsi="Arial" w:cs="Arial"/>
          <w:sz w:val="21"/>
          <w:szCs w:val="21"/>
        </w:rPr>
        <w:t>…</w:t>
      </w:r>
      <w:r w:rsidRPr="00D34AC4">
        <w:rPr>
          <w:rFonts w:ascii="Arial" w:hAnsi="Arial" w:cs="Arial"/>
          <w:sz w:val="21"/>
          <w:szCs w:val="21"/>
        </w:rPr>
        <w:t>”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4"/>
      </w:r>
      <w:r w:rsidRPr="00D34AC4">
        <w:rPr>
          <w:rFonts w:ascii="Arial" w:hAnsi="Arial" w:cs="Arial"/>
          <w:sz w:val="21"/>
          <w:szCs w:val="21"/>
        </w:rPr>
        <w:t xml:space="preserve"> This is </w:t>
      </w:r>
      <w:r>
        <w:rPr>
          <w:rFonts w:ascii="Arial" w:hAnsi="Arial" w:cs="Arial"/>
          <w:sz w:val="21"/>
          <w:szCs w:val="21"/>
        </w:rPr>
        <w:t xml:space="preserve">further </w:t>
      </w:r>
      <w:r w:rsidRPr="00D34AC4">
        <w:rPr>
          <w:rFonts w:ascii="Arial" w:hAnsi="Arial" w:cs="Arial"/>
          <w:sz w:val="21"/>
          <w:szCs w:val="21"/>
        </w:rPr>
        <w:t xml:space="preserve">complicated by the fact that family relationships, particularly </w:t>
      </w:r>
      <w:r>
        <w:rPr>
          <w:rFonts w:ascii="Arial" w:hAnsi="Arial" w:cs="Arial"/>
          <w:sz w:val="21"/>
          <w:szCs w:val="21"/>
        </w:rPr>
        <w:t xml:space="preserve">concerning </w:t>
      </w:r>
      <w:r w:rsidRPr="00D34AC4">
        <w:rPr>
          <w:rFonts w:ascii="Arial" w:hAnsi="Arial" w:cs="Arial"/>
          <w:sz w:val="21"/>
          <w:szCs w:val="21"/>
        </w:rPr>
        <w:t xml:space="preserve">large amounts of money, are extremely complex, </w:t>
      </w:r>
      <w:r>
        <w:rPr>
          <w:rFonts w:ascii="Arial" w:hAnsi="Arial" w:cs="Arial"/>
          <w:sz w:val="21"/>
          <w:szCs w:val="21"/>
        </w:rPr>
        <w:t>which</w:t>
      </w:r>
      <w:r w:rsidRPr="00D34AC4">
        <w:rPr>
          <w:rFonts w:ascii="Arial" w:hAnsi="Arial" w:cs="Arial"/>
          <w:sz w:val="21"/>
          <w:szCs w:val="21"/>
        </w:rPr>
        <w:t xml:space="preserve"> make</w:t>
      </w:r>
      <w:r>
        <w:rPr>
          <w:rFonts w:ascii="Arial" w:hAnsi="Arial" w:cs="Arial"/>
          <w:sz w:val="21"/>
          <w:szCs w:val="21"/>
        </w:rPr>
        <w:t>s</w:t>
      </w:r>
      <w:r w:rsidRPr="00D34AC4">
        <w:rPr>
          <w:rFonts w:ascii="Arial" w:hAnsi="Arial" w:cs="Arial"/>
          <w:sz w:val="21"/>
          <w:szCs w:val="21"/>
        </w:rPr>
        <w:t xml:space="preserve"> it difficult to determine if financial abuse is occurring.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5"/>
      </w:r>
      <w:r w:rsidRPr="00D34AC4">
        <w:rPr>
          <w:rFonts w:ascii="Arial" w:hAnsi="Arial" w:cs="Arial"/>
          <w:sz w:val="21"/>
          <w:szCs w:val="21"/>
        </w:rPr>
        <w:t xml:space="preserve">  </w:t>
      </w:r>
      <w:r w:rsidR="00734993">
        <w:rPr>
          <w:rFonts w:ascii="Arial" w:hAnsi="Arial" w:cs="Arial"/>
          <w:sz w:val="21"/>
          <w:szCs w:val="21"/>
        </w:rPr>
        <w:t>An act</w:t>
      </w:r>
      <w:r w:rsidR="007B3650">
        <w:rPr>
          <w:rFonts w:ascii="Arial" w:hAnsi="Arial" w:cs="Arial"/>
          <w:sz w:val="21"/>
          <w:szCs w:val="21"/>
        </w:rPr>
        <w:t xml:space="preserve"> perceived</w:t>
      </w:r>
      <w:r w:rsidRPr="00D34AC4">
        <w:rPr>
          <w:rFonts w:ascii="Arial" w:hAnsi="Arial" w:cs="Arial"/>
          <w:sz w:val="21"/>
          <w:szCs w:val="21"/>
        </w:rPr>
        <w:t xml:space="preserve"> </w:t>
      </w:r>
      <w:r w:rsidR="00734993">
        <w:rPr>
          <w:rFonts w:ascii="Arial" w:hAnsi="Arial" w:cs="Arial"/>
          <w:sz w:val="21"/>
          <w:szCs w:val="21"/>
        </w:rPr>
        <w:t>as</w:t>
      </w:r>
      <w:r w:rsidR="00F406FB">
        <w:rPr>
          <w:rFonts w:ascii="Arial" w:hAnsi="Arial" w:cs="Arial"/>
          <w:sz w:val="21"/>
          <w:szCs w:val="21"/>
        </w:rPr>
        <w:t xml:space="preserve"> financial</w:t>
      </w:r>
      <w:r w:rsidR="00734993">
        <w:rPr>
          <w:rFonts w:ascii="Arial" w:hAnsi="Arial" w:cs="Arial"/>
          <w:sz w:val="21"/>
          <w:szCs w:val="21"/>
        </w:rPr>
        <w:t xml:space="preserve"> abuse</w:t>
      </w:r>
      <w:r w:rsidR="007B3650">
        <w:rPr>
          <w:rFonts w:ascii="Arial" w:hAnsi="Arial" w:cs="Arial"/>
          <w:sz w:val="21"/>
          <w:szCs w:val="21"/>
        </w:rPr>
        <w:t>,</w:t>
      </w:r>
      <w:r w:rsidR="00734993">
        <w:rPr>
          <w:rFonts w:ascii="Arial" w:hAnsi="Arial" w:cs="Arial"/>
          <w:sz w:val="21"/>
          <w:szCs w:val="21"/>
        </w:rPr>
        <w:t xml:space="preserve"> </w:t>
      </w:r>
      <w:r w:rsidRPr="00D34AC4">
        <w:rPr>
          <w:rFonts w:ascii="Arial" w:hAnsi="Arial" w:cs="Arial"/>
          <w:sz w:val="21"/>
          <w:szCs w:val="21"/>
        </w:rPr>
        <w:t>by one person</w:t>
      </w:r>
      <w:r w:rsidR="007B3650">
        <w:rPr>
          <w:rFonts w:ascii="Arial" w:hAnsi="Arial" w:cs="Arial"/>
          <w:sz w:val="21"/>
          <w:szCs w:val="21"/>
        </w:rPr>
        <w:t>,</w:t>
      </w:r>
      <w:r w:rsidRPr="00D34AC4">
        <w:rPr>
          <w:rFonts w:ascii="Arial" w:hAnsi="Arial" w:cs="Arial"/>
          <w:sz w:val="21"/>
          <w:szCs w:val="21"/>
        </w:rPr>
        <w:t xml:space="preserve"> may not be as “financial norms of families are diverse.”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6"/>
      </w:r>
      <w:r w:rsidRPr="00D34AC4">
        <w:rPr>
          <w:rFonts w:ascii="Arial" w:hAnsi="Arial" w:cs="Arial"/>
          <w:sz w:val="21"/>
          <w:szCs w:val="21"/>
        </w:rPr>
        <w:t xml:space="preserve">  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There is no simple way to resolve this issue, </w:t>
      </w:r>
      <w:r w:rsidRPr="00D34AC4">
        <w:rPr>
          <w:rFonts w:ascii="Arial" w:hAnsi="Arial" w:cs="Arial"/>
          <w:sz w:val="21"/>
          <w:szCs w:val="21"/>
        </w:rPr>
        <w:t>particularly when family members are involved,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7"/>
      </w:r>
      <w:r w:rsidRPr="00D34A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Given this complication, the wishes of the victim should be taken into account. Until these issues are resolved, reporting</w:t>
      </w:r>
      <w:r w:rsidR="007B3650">
        <w:rPr>
          <w:rFonts w:ascii="Arial" w:hAnsi="Arial" w:cs="Arial"/>
          <w:sz w:val="21"/>
          <w:szCs w:val="21"/>
        </w:rPr>
        <w:t xml:space="preserve"> of abuse should not mandatory and if reporting abuse is voluntary, it </w:t>
      </w:r>
      <w:proofErr w:type="gramStart"/>
      <w:r w:rsidR="007B3650">
        <w:rPr>
          <w:rFonts w:ascii="Arial" w:hAnsi="Arial" w:cs="Arial"/>
          <w:sz w:val="21"/>
          <w:szCs w:val="21"/>
        </w:rPr>
        <w:t>should be assessed</w:t>
      </w:r>
      <w:proofErr w:type="gramEnd"/>
      <w:r w:rsidR="007B3650">
        <w:rPr>
          <w:rFonts w:ascii="Arial" w:hAnsi="Arial" w:cs="Arial"/>
          <w:sz w:val="21"/>
          <w:szCs w:val="21"/>
        </w:rPr>
        <w:t xml:space="preserve"> discreetly.  </w:t>
      </w:r>
      <w:r>
        <w:rPr>
          <w:rFonts w:ascii="Arial" w:hAnsi="Arial" w:cs="Arial"/>
          <w:sz w:val="21"/>
          <w:szCs w:val="21"/>
        </w:rPr>
        <w:t xml:space="preserve"> 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Who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should the abuse be reported to?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 w:rsidRPr="00D34AC4">
        <w:rPr>
          <w:rFonts w:ascii="Arial" w:hAnsi="Arial" w:cs="Arial"/>
          <w:sz w:val="21"/>
          <w:szCs w:val="21"/>
        </w:rPr>
        <w:t xml:space="preserve">When it comes to physical and sexual assault and similar abuse, the most logical answer is that the police are the best equip to deal </w:t>
      </w:r>
      <w:r w:rsidR="00F406FB">
        <w:rPr>
          <w:rFonts w:ascii="Arial" w:hAnsi="Arial" w:cs="Arial"/>
          <w:sz w:val="21"/>
          <w:szCs w:val="21"/>
        </w:rPr>
        <w:t xml:space="preserve">these types of reports.  </w:t>
      </w:r>
      <w:r w:rsidRPr="00D34AC4">
        <w:rPr>
          <w:rFonts w:ascii="Arial" w:hAnsi="Arial" w:cs="Arial"/>
          <w:sz w:val="21"/>
          <w:szCs w:val="21"/>
        </w:rPr>
        <w:t xml:space="preserve">However, when it comes to financial abuse, the police </w:t>
      </w:r>
      <w:r>
        <w:rPr>
          <w:rFonts w:ascii="Arial" w:hAnsi="Arial" w:cs="Arial"/>
          <w:sz w:val="21"/>
          <w:szCs w:val="21"/>
        </w:rPr>
        <w:t>may</w:t>
      </w:r>
      <w:r w:rsidRPr="00D34AC4">
        <w:rPr>
          <w:rFonts w:ascii="Arial" w:hAnsi="Arial" w:cs="Arial"/>
          <w:sz w:val="21"/>
          <w:szCs w:val="21"/>
        </w:rPr>
        <w:t xml:space="preserve"> not have the resources </w:t>
      </w:r>
      <w:proofErr w:type="gramStart"/>
      <w:r w:rsidRPr="00D34AC4">
        <w:rPr>
          <w:rFonts w:ascii="Arial" w:hAnsi="Arial" w:cs="Arial"/>
          <w:sz w:val="21"/>
          <w:szCs w:val="21"/>
        </w:rPr>
        <w:t xml:space="preserve">to </w:t>
      </w:r>
      <w:r w:rsidR="00F406FB">
        <w:rPr>
          <w:rFonts w:ascii="Arial" w:hAnsi="Arial" w:cs="Arial"/>
          <w:sz w:val="21"/>
          <w:szCs w:val="21"/>
        </w:rPr>
        <w:t xml:space="preserve">appropriately </w:t>
      </w:r>
      <w:r w:rsidRPr="00D34AC4">
        <w:rPr>
          <w:rFonts w:ascii="Arial" w:hAnsi="Arial" w:cs="Arial"/>
          <w:sz w:val="21"/>
          <w:szCs w:val="21"/>
        </w:rPr>
        <w:t>respond</w:t>
      </w:r>
      <w:proofErr w:type="gramEnd"/>
      <w:r w:rsidRPr="00D34AC4">
        <w:rPr>
          <w:rFonts w:ascii="Arial" w:hAnsi="Arial" w:cs="Arial"/>
          <w:sz w:val="21"/>
          <w:szCs w:val="21"/>
        </w:rPr>
        <w:t>.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8"/>
      </w:r>
      <w:r w:rsidRPr="00D34AC4">
        <w:rPr>
          <w:rFonts w:ascii="Arial" w:hAnsi="Arial" w:cs="Arial"/>
          <w:sz w:val="21"/>
          <w:szCs w:val="21"/>
        </w:rPr>
        <w:t xml:space="preserve"> A possible solution to this situation could be creating a government department, much like the Department of Child Protection,</w:t>
      </w:r>
      <w:r w:rsidRPr="00D34AC4">
        <w:rPr>
          <w:rStyle w:val="FootnoteReference"/>
          <w:rFonts w:ascii="Arial" w:hAnsi="Arial" w:cs="Arial"/>
          <w:sz w:val="21"/>
          <w:szCs w:val="21"/>
        </w:rPr>
        <w:footnoteReference w:id="19"/>
      </w:r>
      <w:r w:rsidRPr="00D34A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who could handle the response in the first instance</w:t>
      </w:r>
      <w:r w:rsidR="00BC1DC9">
        <w:rPr>
          <w:rFonts w:ascii="Arial" w:hAnsi="Arial" w:cs="Arial"/>
          <w:sz w:val="21"/>
          <w:szCs w:val="21"/>
        </w:rPr>
        <w:t xml:space="preserve">, </w:t>
      </w:r>
      <w:r w:rsidR="00876260">
        <w:rPr>
          <w:rFonts w:ascii="Arial" w:hAnsi="Arial" w:cs="Arial"/>
          <w:sz w:val="21"/>
          <w:szCs w:val="21"/>
        </w:rPr>
        <w:t>discreetly</w:t>
      </w:r>
      <w:r w:rsidR="00BC1DC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and refer it to the police if and when necessary.</w:t>
      </w:r>
      <w:r w:rsidRPr="00D34AC4">
        <w:rPr>
          <w:rFonts w:ascii="Arial" w:hAnsi="Arial" w:cs="Arial"/>
          <w:sz w:val="21"/>
          <w:szCs w:val="21"/>
        </w:rPr>
        <w:t xml:space="preserve"> 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b/>
          <w:sz w:val="21"/>
          <w:szCs w:val="21"/>
        </w:rPr>
      </w:pPr>
      <w:r w:rsidRPr="00D34AC4">
        <w:rPr>
          <w:rFonts w:ascii="Arial" w:hAnsi="Arial" w:cs="Arial"/>
          <w:b/>
          <w:sz w:val="21"/>
          <w:szCs w:val="21"/>
        </w:rPr>
        <w:t>Conclusion</w:t>
      </w:r>
    </w:p>
    <w:p w:rsidR="00B9487B" w:rsidRPr="00D34AC4" w:rsidRDefault="00F406F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Until all of the challenges are </w:t>
      </w:r>
      <w:r w:rsidR="007B3650">
        <w:rPr>
          <w:rFonts w:ascii="Arial" w:hAnsi="Arial" w:cs="Arial"/>
          <w:sz w:val="21"/>
          <w:szCs w:val="21"/>
        </w:rPr>
        <w:t>resolved</w:t>
      </w:r>
      <w:r>
        <w:rPr>
          <w:rFonts w:ascii="Arial" w:hAnsi="Arial" w:cs="Arial"/>
          <w:sz w:val="21"/>
          <w:szCs w:val="21"/>
        </w:rPr>
        <w:t xml:space="preserve"> in a way that is best for all parties involved, there should not be a requirement for reporting abuse.  </w:t>
      </w:r>
      <w:r w:rsidR="00B9487B">
        <w:rPr>
          <w:rFonts w:ascii="Arial" w:hAnsi="Arial" w:cs="Arial"/>
          <w:sz w:val="21"/>
          <w:szCs w:val="21"/>
        </w:rPr>
        <w:t xml:space="preserve">While it is important that older people </w:t>
      </w:r>
      <w:proofErr w:type="gramStart"/>
      <w:r w:rsidR="00B9487B">
        <w:rPr>
          <w:rFonts w:ascii="Arial" w:hAnsi="Arial" w:cs="Arial"/>
          <w:sz w:val="21"/>
          <w:szCs w:val="21"/>
        </w:rPr>
        <w:t>are</w:t>
      </w:r>
      <w:proofErr w:type="gramEnd"/>
      <w:r w:rsidR="00B9487B">
        <w:rPr>
          <w:rFonts w:ascii="Arial" w:hAnsi="Arial" w:cs="Arial"/>
          <w:sz w:val="21"/>
          <w:szCs w:val="21"/>
        </w:rPr>
        <w:t xml:space="preserve"> protected, their rights should not be taken away</w:t>
      </w:r>
      <w:r w:rsidR="007B3650">
        <w:rPr>
          <w:rFonts w:ascii="Arial" w:hAnsi="Arial" w:cs="Arial"/>
          <w:sz w:val="21"/>
          <w:szCs w:val="21"/>
        </w:rPr>
        <w:t xml:space="preserve"> unless they do not have capacity to make that decision for themselves.   </w:t>
      </w:r>
    </w:p>
    <w:p w:rsidR="00B9487B" w:rsidRPr="00D34AC4" w:rsidRDefault="00B9487B" w:rsidP="00B9487B">
      <w:pPr>
        <w:spacing w:before="240" w:after="240" w:line="480" w:lineRule="auto"/>
        <w:rPr>
          <w:rFonts w:ascii="Arial" w:hAnsi="Arial" w:cs="Arial"/>
          <w:sz w:val="21"/>
          <w:szCs w:val="21"/>
        </w:rPr>
      </w:pPr>
    </w:p>
    <w:p w:rsidR="00E31EA2" w:rsidRPr="00E31EA2" w:rsidRDefault="00E31EA2" w:rsidP="00220F3C">
      <w:pPr>
        <w:pStyle w:val="ListParagraph"/>
        <w:spacing w:before="240" w:after="240" w:line="360" w:lineRule="auto"/>
        <w:ind w:left="0"/>
        <w:rPr>
          <w:u w:val="single"/>
        </w:rPr>
      </w:pPr>
    </w:p>
    <w:sectPr w:rsidR="00E31EA2" w:rsidRPr="00E31EA2" w:rsidSect="00D86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84" w:rsidRDefault="007A6884" w:rsidP="00BC690A">
      <w:r>
        <w:separator/>
      </w:r>
    </w:p>
  </w:endnote>
  <w:endnote w:type="continuationSeparator" w:id="0">
    <w:p w:rsidR="007A6884" w:rsidRDefault="007A6884" w:rsidP="00BC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F" w:rsidRDefault="00F31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97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AB2" w:rsidRDefault="00DD3D5B">
        <w:pPr>
          <w:pStyle w:val="Footer"/>
          <w:jc w:val="right"/>
        </w:pPr>
        <w:r>
          <w:fldChar w:fldCharType="begin"/>
        </w:r>
        <w:r w:rsidR="00B46AB2">
          <w:instrText xml:space="preserve"> PAGE   \* MERGEFORMAT </w:instrText>
        </w:r>
        <w:r>
          <w:fldChar w:fldCharType="separate"/>
        </w:r>
        <w:r w:rsidR="00A26F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AB2" w:rsidRDefault="00B46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F" w:rsidRDefault="00F31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84" w:rsidRDefault="007A6884" w:rsidP="00BC690A">
      <w:r>
        <w:separator/>
      </w:r>
    </w:p>
  </w:footnote>
  <w:footnote w:type="continuationSeparator" w:id="0">
    <w:p w:rsidR="007A6884" w:rsidRDefault="007A6884" w:rsidP="00BC690A">
      <w:r>
        <w:continuationSeparator/>
      </w:r>
    </w:p>
  </w:footnote>
  <w:footnote w:id="1">
    <w:p w:rsidR="00B9487B" w:rsidRPr="00DC4DBD" w:rsidRDefault="00B9487B" w:rsidP="00B9487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Australian Government, Australian Law Reform Commission, </w:t>
      </w:r>
      <w:r>
        <w:rPr>
          <w:i/>
        </w:rPr>
        <w:t>Elder Abuse</w:t>
      </w:r>
      <w:r>
        <w:t xml:space="preserve"> </w:t>
      </w:r>
      <w:r>
        <w:rPr>
          <w:i/>
        </w:rPr>
        <w:t>Issues Paper 47</w:t>
      </w:r>
      <w:r>
        <w:t>, June 2016.</w:t>
      </w:r>
      <w:r>
        <w:rPr>
          <w:i/>
        </w:rPr>
        <w:t xml:space="preserve"> </w:t>
      </w:r>
    </w:p>
  </w:footnote>
  <w:footnote w:id="2">
    <w:p w:rsidR="00B9487B" w:rsidRPr="009C0D3E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i/>
        </w:rPr>
        <w:t xml:space="preserve">Aged Care Act 1997 </w:t>
      </w:r>
      <w:r>
        <w:t>(</w:t>
      </w:r>
      <w:proofErr w:type="spellStart"/>
      <w:r>
        <w:t>Cth</w:t>
      </w:r>
      <w:proofErr w:type="spellEnd"/>
      <w:r>
        <w:t>).</w:t>
      </w:r>
      <w:proofErr w:type="gramEnd"/>
    </w:p>
  </w:footnote>
  <w:footnote w:id="3">
    <w:p w:rsidR="00B9487B" w:rsidRPr="009C0D3E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Ibid </w:t>
      </w:r>
      <w:proofErr w:type="spellStart"/>
      <w:r>
        <w:t>ss</w:t>
      </w:r>
      <w:proofErr w:type="spellEnd"/>
      <w:r>
        <w:t xml:space="preserve"> 63-1AA (2) and (3).</w:t>
      </w:r>
      <w:proofErr w:type="gramEnd"/>
    </w:p>
  </w:footnote>
  <w:footnote w:id="4">
    <w:p w:rsidR="00B9487B" w:rsidRPr="00D34AC4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5">
    <w:p w:rsidR="00B9487B" w:rsidRPr="004C3F72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6">
    <w:p w:rsidR="00B9487B" w:rsidRPr="00E446C7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Commonwealth House of Representatives Report, </w:t>
      </w:r>
      <w:r>
        <w:rPr>
          <w:i/>
        </w:rPr>
        <w:t xml:space="preserve">Older People and the Law </w:t>
      </w:r>
      <w:r>
        <w:t>(2007) (“</w:t>
      </w:r>
      <w:r>
        <w:rPr>
          <w:i/>
        </w:rPr>
        <w:t xml:space="preserve">Older People and the </w:t>
      </w:r>
      <w:r w:rsidRPr="000367E6">
        <w:rPr>
          <w:i/>
        </w:rPr>
        <w:t>Law</w:t>
      </w:r>
      <w:r w:rsidRPr="000367E6">
        <w:t>”</w:t>
      </w:r>
      <w:r>
        <w:t>), [2.10].</w:t>
      </w:r>
      <w:proofErr w:type="gramEnd"/>
    </w:p>
  </w:footnote>
  <w:footnote w:id="7">
    <w:p w:rsidR="00B9487B" w:rsidRPr="008F0488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[2.7].</w:t>
      </w:r>
      <w:proofErr w:type="gramEnd"/>
    </w:p>
  </w:footnote>
  <w:footnote w:id="8">
    <w:p w:rsidR="00BC1DC9" w:rsidRDefault="00BC1D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[2.8].</w:t>
      </w:r>
      <w:proofErr w:type="gramEnd"/>
    </w:p>
  </w:footnote>
  <w:footnote w:id="9">
    <w:p w:rsidR="00B9487B" w:rsidRPr="00450BE2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[2.80].</w:t>
      </w:r>
      <w:proofErr w:type="gramEnd"/>
    </w:p>
  </w:footnote>
  <w:footnote w:id="10">
    <w:p w:rsidR="00B9487B" w:rsidRPr="00450BE2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1">
    <w:p w:rsidR="00B9487B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Professor Mike Clare, Dr Barbara Black Blundell, and Dr Joseph Clare</w:t>
      </w:r>
    </w:p>
    <w:p w:rsidR="00B9487B" w:rsidRPr="00E66C7C" w:rsidRDefault="00B9487B" w:rsidP="00B9487B">
      <w:pPr>
        <w:pStyle w:val="FootnoteText"/>
      </w:pPr>
      <w:r>
        <w:t xml:space="preserve">Crime Research Centre, </w:t>
      </w:r>
      <w:proofErr w:type="gramStart"/>
      <w:r>
        <w:t>The</w:t>
      </w:r>
      <w:proofErr w:type="gramEnd"/>
      <w:r>
        <w:t xml:space="preserve"> University of Western Australia, </w:t>
      </w:r>
      <w:r>
        <w:rPr>
          <w:i/>
        </w:rPr>
        <w:t>Examination of the Extent of Elder Abuse in WA</w:t>
      </w:r>
      <w:r>
        <w:t xml:space="preserve"> (2011), 44.</w:t>
      </w:r>
    </w:p>
  </w:footnote>
  <w:footnote w:id="12">
    <w:p w:rsidR="00B9487B" w:rsidRPr="00E66C7C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</w:t>
      </w:r>
      <w:proofErr w:type="gramEnd"/>
      <w:r>
        <w:t xml:space="preserve"> </w:t>
      </w:r>
    </w:p>
  </w:footnote>
  <w:footnote w:id="13">
    <w:p w:rsidR="00B9487B" w:rsidRPr="002C08BF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56.</w:t>
      </w:r>
      <w:proofErr w:type="gramEnd"/>
    </w:p>
  </w:footnote>
  <w:footnote w:id="14">
    <w:p w:rsidR="00B9487B" w:rsidRPr="00847A7C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86556D">
        <w:rPr>
          <w:i/>
        </w:rPr>
        <w:t>Older People and the Law</w:t>
      </w:r>
      <w:r>
        <w:t xml:space="preserve">, above n </w:t>
      </w:r>
      <w:r w:rsidR="00DD3D5B">
        <w:fldChar w:fldCharType="begin"/>
      </w:r>
      <w:r>
        <w:instrText xml:space="preserve"> NOTEREF _Ref458595358 \h </w:instrText>
      </w:r>
      <w:r w:rsidR="00DD3D5B">
        <w:fldChar w:fldCharType="separate"/>
      </w:r>
      <w:r>
        <w:t>6</w:t>
      </w:r>
      <w:r w:rsidR="00DD3D5B">
        <w:fldChar w:fldCharType="end"/>
      </w:r>
      <w:r>
        <w:t>, [2.85].</w:t>
      </w:r>
      <w:proofErr w:type="gramEnd"/>
    </w:p>
  </w:footnote>
  <w:footnote w:id="15">
    <w:p w:rsidR="00B9487B" w:rsidRPr="00376DA2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[2.11].</w:t>
      </w:r>
      <w:proofErr w:type="gramEnd"/>
      <w:r>
        <w:t xml:space="preserve"> </w:t>
      </w:r>
    </w:p>
  </w:footnote>
  <w:footnote w:id="16">
    <w:p w:rsidR="00B9487B" w:rsidRPr="00CC7E8F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Ibid.</w:t>
      </w:r>
      <w:proofErr w:type="gramEnd"/>
      <w:r>
        <w:t xml:space="preserve"> </w:t>
      </w:r>
    </w:p>
  </w:footnote>
  <w:footnote w:id="17">
    <w:p w:rsidR="00B9487B" w:rsidRPr="0025051C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[2.9].</w:t>
      </w:r>
      <w:proofErr w:type="gramEnd"/>
    </w:p>
  </w:footnote>
  <w:footnote w:id="18">
    <w:p w:rsidR="00B9487B" w:rsidRPr="000367E6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Ibid [2.14].</w:t>
      </w:r>
      <w:proofErr w:type="gramEnd"/>
    </w:p>
  </w:footnote>
  <w:footnote w:id="19">
    <w:p w:rsidR="00B9487B" w:rsidRPr="000367E6" w:rsidRDefault="00B9487B" w:rsidP="00B9487B">
      <w:pPr>
        <w:pStyle w:val="FootnoteText"/>
      </w:pPr>
      <w:r>
        <w:rPr>
          <w:rStyle w:val="FootnoteReference"/>
        </w:rPr>
        <w:footnoteRef/>
      </w:r>
      <w:r>
        <w:t xml:space="preserve"> See: http://www.dcp.wa.gov.au.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F" w:rsidRDefault="00F31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F" w:rsidRDefault="00F3184F" w:rsidP="00975048">
    <w:pPr>
      <w:pStyle w:val="Header"/>
    </w:pPr>
    <w:r>
      <w:t>55. S Hooley-Yates</w:t>
    </w:r>
  </w:p>
  <w:p w:rsidR="00F3184F" w:rsidRDefault="00F3184F" w:rsidP="00975048">
    <w:pPr>
      <w:pStyle w:val="Header"/>
    </w:pPr>
  </w:p>
  <w:p w:rsidR="00B46AB2" w:rsidRDefault="008D63CC" w:rsidP="00975048">
    <w:pPr>
      <w:pStyle w:val="Header"/>
    </w:pPr>
    <w:r>
      <w:t xml:space="preserve">ALRC </w:t>
    </w:r>
    <w:r w:rsidR="00990412">
      <w:t>Elder Abuse Issues Paper 47 Submission</w:t>
    </w:r>
    <w:r>
      <w:t xml:space="preserve"> – Question 45</w:t>
    </w:r>
  </w:p>
  <w:p w:rsidR="00B46AB2" w:rsidRDefault="00B46AB2" w:rsidP="00975048">
    <w:pPr>
      <w:pStyle w:val="Header"/>
      <w:jc w:val="right"/>
    </w:pPr>
    <w:r>
      <w:t xml:space="preserve">Susan Hooley-Yates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4F" w:rsidRDefault="00F318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093"/>
    <w:multiLevelType w:val="hybridMultilevel"/>
    <w:tmpl w:val="973A1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07B"/>
    <w:multiLevelType w:val="hybridMultilevel"/>
    <w:tmpl w:val="3BC462D0"/>
    <w:lvl w:ilvl="0" w:tplc="0D14F3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2AA9"/>
    <w:multiLevelType w:val="hybridMultilevel"/>
    <w:tmpl w:val="4E4AB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750"/>
    <w:multiLevelType w:val="hybridMultilevel"/>
    <w:tmpl w:val="1576A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D7C"/>
    <w:multiLevelType w:val="hybridMultilevel"/>
    <w:tmpl w:val="DDE074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5204"/>
    <w:multiLevelType w:val="hybridMultilevel"/>
    <w:tmpl w:val="17A8C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12ED"/>
    <w:multiLevelType w:val="hybridMultilevel"/>
    <w:tmpl w:val="B888B332"/>
    <w:lvl w:ilvl="0" w:tplc="45AAEA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6C89"/>
    <w:multiLevelType w:val="hybridMultilevel"/>
    <w:tmpl w:val="24BA6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25A9"/>
    <w:multiLevelType w:val="hybridMultilevel"/>
    <w:tmpl w:val="4B86CB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19EE"/>
    <w:multiLevelType w:val="hybridMultilevel"/>
    <w:tmpl w:val="C9B47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43122"/>
    <w:multiLevelType w:val="hybridMultilevel"/>
    <w:tmpl w:val="645EE0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53"/>
    <w:rsid w:val="00022178"/>
    <w:rsid w:val="0004548F"/>
    <w:rsid w:val="000623D1"/>
    <w:rsid w:val="00077CC7"/>
    <w:rsid w:val="00094E45"/>
    <w:rsid w:val="00096B65"/>
    <w:rsid w:val="000A36E3"/>
    <w:rsid w:val="000A4B4D"/>
    <w:rsid w:val="000A702D"/>
    <w:rsid w:val="000B5F18"/>
    <w:rsid w:val="000E36C1"/>
    <w:rsid w:val="000F0BBE"/>
    <w:rsid w:val="001042CB"/>
    <w:rsid w:val="00106B59"/>
    <w:rsid w:val="00107F39"/>
    <w:rsid w:val="0011519B"/>
    <w:rsid w:val="001362EB"/>
    <w:rsid w:val="001420C2"/>
    <w:rsid w:val="001516C5"/>
    <w:rsid w:val="0015470B"/>
    <w:rsid w:val="001648D7"/>
    <w:rsid w:val="00172F92"/>
    <w:rsid w:val="00174C74"/>
    <w:rsid w:val="00181266"/>
    <w:rsid w:val="00195A02"/>
    <w:rsid w:val="001962B5"/>
    <w:rsid w:val="001A4AA8"/>
    <w:rsid w:val="00206187"/>
    <w:rsid w:val="00210597"/>
    <w:rsid w:val="00220F3C"/>
    <w:rsid w:val="0022772E"/>
    <w:rsid w:val="00292F28"/>
    <w:rsid w:val="0029419A"/>
    <w:rsid w:val="002B70D4"/>
    <w:rsid w:val="002F293E"/>
    <w:rsid w:val="003065B5"/>
    <w:rsid w:val="00320D32"/>
    <w:rsid w:val="00346518"/>
    <w:rsid w:val="00360A07"/>
    <w:rsid w:val="003647A0"/>
    <w:rsid w:val="00367D14"/>
    <w:rsid w:val="00383223"/>
    <w:rsid w:val="003971F3"/>
    <w:rsid w:val="003B2473"/>
    <w:rsid w:val="003C4E40"/>
    <w:rsid w:val="003D0D9C"/>
    <w:rsid w:val="003D333A"/>
    <w:rsid w:val="003E1A5E"/>
    <w:rsid w:val="00405E11"/>
    <w:rsid w:val="00432048"/>
    <w:rsid w:val="0044459E"/>
    <w:rsid w:val="004477DE"/>
    <w:rsid w:val="00472DE0"/>
    <w:rsid w:val="0047521E"/>
    <w:rsid w:val="004A032C"/>
    <w:rsid w:val="004C2291"/>
    <w:rsid w:val="004E28EC"/>
    <w:rsid w:val="00505445"/>
    <w:rsid w:val="005432F6"/>
    <w:rsid w:val="00545FE8"/>
    <w:rsid w:val="005611AD"/>
    <w:rsid w:val="00595231"/>
    <w:rsid w:val="005A16F4"/>
    <w:rsid w:val="005A4BF1"/>
    <w:rsid w:val="005A7E81"/>
    <w:rsid w:val="005B3EC2"/>
    <w:rsid w:val="005B462E"/>
    <w:rsid w:val="005C4D96"/>
    <w:rsid w:val="005D1DA8"/>
    <w:rsid w:val="005F5D94"/>
    <w:rsid w:val="0061586E"/>
    <w:rsid w:val="0061727E"/>
    <w:rsid w:val="0062699D"/>
    <w:rsid w:val="00657AB0"/>
    <w:rsid w:val="006711D2"/>
    <w:rsid w:val="0067241F"/>
    <w:rsid w:val="00673C80"/>
    <w:rsid w:val="006A2347"/>
    <w:rsid w:val="006B28E8"/>
    <w:rsid w:val="006B4C0E"/>
    <w:rsid w:val="006C534F"/>
    <w:rsid w:val="006D4CE9"/>
    <w:rsid w:val="006F79AC"/>
    <w:rsid w:val="00721CAF"/>
    <w:rsid w:val="00734993"/>
    <w:rsid w:val="0074272E"/>
    <w:rsid w:val="007446EC"/>
    <w:rsid w:val="00783350"/>
    <w:rsid w:val="007A2BED"/>
    <w:rsid w:val="007A6884"/>
    <w:rsid w:val="007B3650"/>
    <w:rsid w:val="007C56FA"/>
    <w:rsid w:val="007D7A73"/>
    <w:rsid w:val="007E7108"/>
    <w:rsid w:val="00814AE2"/>
    <w:rsid w:val="00817C71"/>
    <w:rsid w:val="008243D4"/>
    <w:rsid w:val="00825970"/>
    <w:rsid w:val="0084713E"/>
    <w:rsid w:val="008500FA"/>
    <w:rsid w:val="008730C6"/>
    <w:rsid w:val="00876260"/>
    <w:rsid w:val="008A14FF"/>
    <w:rsid w:val="008C1198"/>
    <w:rsid w:val="008C2A50"/>
    <w:rsid w:val="008C3E40"/>
    <w:rsid w:val="008C4E0A"/>
    <w:rsid w:val="008D3982"/>
    <w:rsid w:val="008D556F"/>
    <w:rsid w:val="008D63CC"/>
    <w:rsid w:val="008E1612"/>
    <w:rsid w:val="009071FB"/>
    <w:rsid w:val="0092676F"/>
    <w:rsid w:val="00951CA6"/>
    <w:rsid w:val="00960C93"/>
    <w:rsid w:val="00962D5E"/>
    <w:rsid w:val="00972876"/>
    <w:rsid w:val="00975048"/>
    <w:rsid w:val="00990412"/>
    <w:rsid w:val="009C594E"/>
    <w:rsid w:val="009D5C09"/>
    <w:rsid w:val="009F25EA"/>
    <w:rsid w:val="009F73D3"/>
    <w:rsid w:val="009F7CE5"/>
    <w:rsid w:val="00A0116F"/>
    <w:rsid w:val="00A10EAB"/>
    <w:rsid w:val="00A26F80"/>
    <w:rsid w:val="00A538D6"/>
    <w:rsid w:val="00A8108F"/>
    <w:rsid w:val="00AB6FA3"/>
    <w:rsid w:val="00AB77F0"/>
    <w:rsid w:val="00AC0395"/>
    <w:rsid w:val="00AD6796"/>
    <w:rsid w:val="00AF6E2B"/>
    <w:rsid w:val="00B24824"/>
    <w:rsid w:val="00B37C1C"/>
    <w:rsid w:val="00B415CB"/>
    <w:rsid w:val="00B46AB2"/>
    <w:rsid w:val="00B47B48"/>
    <w:rsid w:val="00B93E6B"/>
    <w:rsid w:val="00B9487B"/>
    <w:rsid w:val="00BA297B"/>
    <w:rsid w:val="00BB52E1"/>
    <w:rsid w:val="00BB699A"/>
    <w:rsid w:val="00BC1DC9"/>
    <w:rsid w:val="00BC2103"/>
    <w:rsid w:val="00BC39DF"/>
    <w:rsid w:val="00BC690A"/>
    <w:rsid w:val="00BE545F"/>
    <w:rsid w:val="00BF4C3B"/>
    <w:rsid w:val="00C01AEF"/>
    <w:rsid w:val="00C319B4"/>
    <w:rsid w:val="00C3224E"/>
    <w:rsid w:val="00C429D9"/>
    <w:rsid w:val="00C70184"/>
    <w:rsid w:val="00C754DE"/>
    <w:rsid w:val="00C8094B"/>
    <w:rsid w:val="00C91553"/>
    <w:rsid w:val="00CD1AC7"/>
    <w:rsid w:val="00CD3A98"/>
    <w:rsid w:val="00CD5DF4"/>
    <w:rsid w:val="00CF02D2"/>
    <w:rsid w:val="00D344B3"/>
    <w:rsid w:val="00D51190"/>
    <w:rsid w:val="00D63B40"/>
    <w:rsid w:val="00D64B6F"/>
    <w:rsid w:val="00D86D97"/>
    <w:rsid w:val="00DB10A7"/>
    <w:rsid w:val="00DB3B43"/>
    <w:rsid w:val="00DC0894"/>
    <w:rsid w:val="00DC4713"/>
    <w:rsid w:val="00DD3D5B"/>
    <w:rsid w:val="00DF738D"/>
    <w:rsid w:val="00E007C6"/>
    <w:rsid w:val="00E04ACA"/>
    <w:rsid w:val="00E24435"/>
    <w:rsid w:val="00E31EA2"/>
    <w:rsid w:val="00E33512"/>
    <w:rsid w:val="00E36BE5"/>
    <w:rsid w:val="00E46421"/>
    <w:rsid w:val="00E606A9"/>
    <w:rsid w:val="00E743D4"/>
    <w:rsid w:val="00E82DEA"/>
    <w:rsid w:val="00EA46D9"/>
    <w:rsid w:val="00EA4A9F"/>
    <w:rsid w:val="00EC10C9"/>
    <w:rsid w:val="00EC2B4B"/>
    <w:rsid w:val="00EC64FF"/>
    <w:rsid w:val="00ED4F45"/>
    <w:rsid w:val="00ED6689"/>
    <w:rsid w:val="00F067C4"/>
    <w:rsid w:val="00F07018"/>
    <w:rsid w:val="00F07DC9"/>
    <w:rsid w:val="00F12BAE"/>
    <w:rsid w:val="00F2348D"/>
    <w:rsid w:val="00F30FB7"/>
    <w:rsid w:val="00F3184F"/>
    <w:rsid w:val="00F406FB"/>
    <w:rsid w:val="00F61AE6"/>
    <w:rsid w:val="00F72A46"/>
    <w:rsid w:val="00F7661E"/>
    <w:rsid w:val="00F969DA"/>
    <w:rsid w:val="00FF2B30"/>
    <w:rsid w:val="00FF46E8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6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9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46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C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4F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F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4F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43"/>
  </w:style>
  <w:style w:type="paragraph" w:styleId="Footer">
    <w:name w:val="footer"/>
    <w:basedOn w:val="Normal"/>
    <w:link w:val="FooterChar"/>
    <w:uiPriority w:val="99"/>
    <w:unhideWhenUsed/>
    <w:rsid w:val="00DB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43"/>
  </w:style>
  <w:style w:type="paragraph" w:styleId="BodyText">
    <w:name w:val="Body Text"/>
    <w:basedOn w:val="Normal"/>
    <w:link w:val="BodyTextChar"/>
    <w:rsid w:val="005A4BF1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5A4BF1"/>
    <w:rPr>
      <w:rFonts w:ascii="Arial" w:eastAsia="Times New Roman" w:hAnsi="Arial" w:cs="Arial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1E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6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9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46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C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4F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F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4F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43"/>
  </w:style>
  <w:style w:type="paragraph" w:styleId="Footer">
    <w:name w:val="footer"/>
    <w:basedOn w:val="Normal"/>
    <w:link w:val="FooterChar"/>
    <w:uiPriority w:val="99"/>
    <w:unhideWhenUsed/>
    <w:rsid w:val="00DB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43"/>
  </w:style>
  <w:style w:type="paragraph" w:styleId="BodyText">
    <w:name w:val="Body Text"/>
    <w:basedOn w:val="Normal"/>
    <w:link w:val="BodyTextChar"/>
    <w:rsid w:val="005A4BF1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5A4BF1"/>
    <w:rPr>
      <w:rFonts w:ascii="Arial" w:eastAsia="Times New Roman" w:hAnsi="Arial" w:cs="Arial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1E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02A3-3713-4769-BF8F-596764BC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Hooley-Yates</dc:creator>
  <cp:lastModifiedBy>marie-claire.muir</cp:lastModifiedBy>
  <cp:revision>2</cp:revision>
  <cp:lastPrinted>2016-08-10T05:09:00Z</cp:lastPrinted>
  <dcterms:created xsi:type="dcterms:W3CDTF">2016-08-22T05:09:00Z</dcterms:created>
  <dcterms:modified xsi:type="dcterms:W3CDTF">2016-08-22T05:09:00Z</dcterms:modified>
</cp:coreProperties>
</file>