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19" w:rsidRPr="00EC2BDB" w:rsidRDefault="00B505BF" w:rsidP="00716990">
      <w:pPr>
        <w:rPr>
          <w:rFonts w:ascii="Arial" w:hAnsi="Arial" w:cs="Arial"/>
        </w:rPr>
      </w:pPr>
      <w:r w:rsidRPr="00B7237B">
        <w:rPr>
          <w:noProof/>
          <w:lang w:eastAsia="en-AU"/>
        </w:rPr>
        <w:drawing>
          <wp:anchor distT="0" distB="0" distL="114300" distR="114300" simplePos="0" relativeHeight="251659264" behindDoc="0" locked="0" layoutInCell="1" allowOverlap="1">
            <wp:simplePos x="0" y="0"/>
            <wp:positionH relativeFrom="column">
              <wp:posOffset>1056640</wp:posOffset>
            </wp:positionH>
            <wp:positionV relativeFrom="paragraph">
              <wp:posOffset>-294184</wp:posOffset>
            </wp:positionV>
            <wp:extent cx="4017645" cy="222885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17645" cy="2228850"/>
                    </a:xfrm>
                    <a:prstGeom prst="rect">
                      <a:avLst/>
                    </a:prstGeom>
                  </pic:spPr>
                </pic:pic>
              </a:graphicData>
            </a:graphic>
          </wp:anchor>
        </w:drawing>
      </w:r>
    </w:p>
    <w:p w:rsidR="00AD04BC" w:rsidRPr="00EC2BDB" w:rsidRDefault="00AD04BC" w:rsidP="00716990">
      <w:pPr>
        <w:rPr>
          <w:rFonts w:ascii="Arial" w:hAnsi="Arial" w:cs="Arial"/>
        </w:rPr>
      </w:pPr>
    </w:p>
    <w:p w:rsidR="00B505BF" w:rsidRDefault="00B505BF" w:rsidP="00141670">
      <w:pPr>
        <w:jc w:val="center"/>
        <w:rPr>
          <w:rFonts w:ascii="Arial" w:hAnsi="Arial" w:cs="Arial"/>
          <w:b/>
          <w:sz w:val="28"/>
          <w:szCs w:val="28"/>
        </w:rPr>
      </w:pPr>
    </w:p>
    <w:p w:rsidR="00B505BF" w:rsidRDefault="00B505BF" w:rsidP="00141670">
      <w:pPr>
        <w:jc w:val="center"/>
        <w:rPr>
          <w:rFonts w:ascii="Arial" w:hAnsi="Arial" w:cs="Arial"/>
          <w:b/>
          <w:sz w:val="28"/>
          <w:szCs w:val="28"/>
        </w:rPr>
      </w:pPr>
    </w:p>
    <w:p w:rsidR="00B505BF" w:rsidRDefault="00B505BF" w:rsidP="00141670">
      <w:pPr>
        <w:jc w:val="center"/>
        <w:rPr>
          <w:rFonts w:ascii="Arial" w:hAnsi="Arial" w:cs="Arial"/>
          <w:b/>
          <w:sz w:val="28"/>
          <w:szCs w:val="28"/>
        </w:rPr>
      </w:pPr>
    </w:p>
    <w:p w:rsidR="00B505BF" w:rsidRDefault="00B505BF" w:rsidP="00141670">
      <w:pPr>
        <w:jc w:val="center"/>
        <w:rPr>
          <w:rFonts w:ascii="Arial" w:hAnsi="Arial" w:cs="Arial"/>
          <w:b/>
          <w:sz w:val="28"/>
          <w:szCs w:val="28"/>
        </w:rPr>
      </w:pPr>
    </w:p>
    <w:p w:rsidR="00B505BF" w:rsidRDefault="00B505BF" w:rsidP="00141670">
      <w:pPr>
        <w:jc w:val="center"/>
        <w:rPr>
          <w:rFonts w:ascii="Arial" w:hAnsi="Arial" w:cs="Arial"/>
          <w:b/>
          <w:sz w:val="28"/>
          <w:szCs w:val="28"/>
        </w:rPr>
      </w:pPr>
    </w:p>
    <w:p w:rsidR="00B505BF" w:rsidRDefault="00B505BF" w:rsidP="00141670">
      <w:pPr>
        <w:jc w:val="center"/>
        <w:rPr>
          <w:rFonts w:ascii="Arial" w:hAnsi="Arial" w:cs="Arial"/>
          <w:b/>
          <w:sz w:val="28"/>
          <w:szCs w:val="28"/>
        </w:rPr>
      </w:pPr>
    </w:p>
    <w:p w:rsidR="00B505BF" w:rsidRDefault="00B505BF" w:rsidP="00141670">
      <w:pPr>
        <w:jc w:val="center"/>
        <w:rPr>
          <w:rFonts w:ascii="Arial" w:hAnsi="Arial" w:cs="Arial"/>
          <w:b/>
          <w:sz w:val="28"/>
          <w:szCs w:val="28"/>
        </w:rPr>
      </w:pPr>
    </w:p>
    <w:p w:rsidR="00B505BF" w:rsidRDefault="00B505BF" w:rsidP="00141670">
      <w:pPr>
        <w:jc w:val="center"/>
        <w:rPr>
          <w:rFonts w:ascii="Arial" w:hAnsi="Arial" w:cs="Arial"/>
          <w:b/>
          <w:sz w:val="28"/>
          <w:szCs w:val="28"/>
        </w:rPr>
      </w:pPr>
    </w:p>
    <w:p w:rsidR="00B505BF" w:rsidRDefault="00B505BF" w:rsidP="00141670">
      <w:pPr>
        <w:jc w:val="center"/>
        <w:rPr>
          <w:rFonts w:ascii="Arial" w:hAnsi="Arial" w:cs="Arial"/>
          <w:b/>
          <w:sz w:val="28"/>
          <w:szCs w:val="28"/>
        </w:rPr>
      </w:pPr>
    </w:p>
    <w:p w:rsidR="00B505BF" w:rsidRDefault="00B505BF" w:rsidP="00B505BF">
      <w:pPr>
        <w:spacing w:before="120"/>
        <w:rPr>
          <w:rFonts w:ascii="Arial" w:hAnsi="Arial" w:cs="Arial"/>
          <w:b/>
          <w:sz w:val="28"/>
          <w:szCs w:val="28"/>
        </w:rPr>
      </w:pPr>
    </w:p>
    <w:p w:rsidR="00B505BF" w:rsidRDefault="00B505BF" w:rsidP="00B505BF">
      <w:pPr>
        <w:spacing w:before="120"/>
        <w:rPr>
          <w:rFonts w:ascii="Arial" w:hAnsi="Arial" w:cs="Arial"/>
          <w:b/>
          <w:sz w:val="28"/>
          <w:szCs w:val="28"/>
        </w:rPr>
      </w:pPr>
    </w:p>
    <w:p w:rsidR="001A0F32" w:rsidRDefault="00B505BF" w:rsidP="00B505BF">
      <w:pPr>
        <w:spacing w:before="120"/>
        <w:rPr>
          <w:rFonts w:ascii="Arial" w:hAnsi="Arial" w:cs="Arial"/>
          <w:b/>
          <w:sz w:val="36"/>
          <w:szCs w:val="36"/>
        </w:rPr>
      </w:pPr>
      <w:r w:rsidRPr="00A867AA">
        <w:rPr>
          <w:rFonts w:ascii="Arial" w:hAnsi="Arial" w:cs="Arial"/>
          <w:b/>
          <w:sz w:val="36"/>
          <w:szCs w:val="36"/>
        </w:rPr>
        <w:t>Mental health and insurance</w:t>
      </w:r>
    </w:p>
    <w:p w:rsidR="001A0F32" w:rsidRPr="00A867AA" w:rsidRDefault="001A0F32" w:rsidP="00B505BF">
      <w:pPr>
        <w:spacing w:before="120"/>
        <w:rPr>
          <w:rFonts w:ascii="Arial" w:hAnsi="Arial" w:cs="Arial"/>
          <w:b/>
          <w:sz w:val="36"/>
          <w:szCs w:val="36"/>
        </w:rPr>
      </w:pPr>
    </w:p>
    <w:p w:rsidR="00B505BF" w:rsidRPr="001A0F32" w:rsidRDefault="00AD04BC" w:rsidP="00B505BF">
      <w:pPr>
        <w:spacing w:before="120"/>
        <w:rPr>
          <w:rFonts w:ascii="Arial" w:hAnsi="Arial" w:cs="Arial"/>
          <w:b/>
          <w:sz w:val="28"/>
          <w:szCs w:val="28"/>
        </w:rPr>
      </w:pPr>
      <w:r w:rsidRPr="001A0F32">
        <w:rPr>
          <w:rFonts w:ascii="Arial" w:hAnsi="Arial" w:cs="Arial"/>
          <w:b/>
          <w:sz w:val="28"/>
          <w:szCs w:val="28"/>
        </w:rPr>
        <w:t xml:space="preserve">Submission to </w:t>
      </w:r>
      <w:r w:rsidR="00B505BF" w:rsidRPr="001A0F32">
        <w:rPr>
          <w:rFonts w:ascii="Arial" w:hAnsi="Arial" w:cs="Arial"/>
          <w:b/>
          <w:sz w:val="28"/>
          <w:szCs w:val="28"/>
        </w:rPr>
        <w:t xml:space="preserve">the </w:t>
      </w:r>
      <w:r w:rsidRPr="001A0F32">
        <w:rPr>
          <w:rFonts w:ascii="Arial" w:hAnsi="Arial" w:cs="Arial"/>
          <w:b/>
          <w:sz w:val="28"/>
          <w:szCs w:val="28"/>
        </w:rPr>
        <w:t xml:space="preserve">Australian Law Reform Commission issues paper on </w:t>
      </w:r>
      <w:r w:rsidRPr="00A867AA">
        <w:rPr>
          <w:rFonts w:ascii="Arial" w:hAnsi="Arial" w:cs="Arial"/>
          <w:b/>
          <w:i/>
          <w:sz w:val="28"/>
          <w:szCs w:val="28"/>
        </w:rPr>
        <w:t>Equality, Capacity and Disability in Commonwealth Laws</w:t>
      </w:r>
      <w:r w:rsidR="005E34A2" w:rsidRPr="001A0F32">
        <w:rPr>
          <w:rFonts w:ascii="Arial" w:hAnsi="Arial" w:cs="Arial"/>
          <w:b/>
          <w:sz w:val="28"/>
          <w:szCs w:val="28"/>
        </w:rPr>
        <w:t xml:space="preserve"> </w:t>
      </w:r>
    </w:p>
    <w:p w:rsidR="00B505BF" w:rsidRDefault="00B505BF" w:rsidP="00B505BF">
      <w:pPr>
        <w:rPr>
          <w:rFonts w:ascii="Arial" w:hAnsi="Arial" w:cs="Arial"/>
          <w:b/>
          <w:sz w:val="28"/>
          <w:szCs w:val="28"/>
        </w:rPr>
      </w:pPr>
    </w:p>
    <w:p w:rsidR="00B505BF" w:rsidRDefault="00B505BF" w:rsidP="00B505BF">
      <w:pPr>
        <w:rPr>
          <w:rFonts w:ascii="Arial" w:hAnsi="Arial" w:cs="Arial"/>
          <w:b/>
          <w:sz w:val="28"/>
          <w:szCs w:val="28"/>
        </w:rPr>
      </w:pPr>
    </w:p>
    <w:p w:rsidR="00B505BF" w:rsidRDefault="00B505BF" w:rsidP="00B505BF">
      <w:pPr>
        <w:rPr>
          <w:rFonts w:ascii="Arial" w:hAnsi="Arial" w:cs="Arial"/>
          <w:b/>
          <w:sz w:val="28"/>
          <w:szCs w:val="28"/>
        </w:rPr>
      </w:pPr>
    </w:p>
    <w:p w:rsidR="00AD04BC" w:rsidRPr="00EC2BDB" w:rsidRDefault="005E34A2" w:rsidP="00B505BF">
      <w:pPr>
        <w:rPr>
          <w:rFonts w:ascii="Arial" w:hAnsi="Arial" w:cs="Arial"/>
          <w:b/>
          <w:sz w:val="28"/>
          <w:szCs w:val="28"/>
        </w:rPr>
      </w:pPr>
      <w:r w:rsidRPr="00EC2BDB">
        <w:rPr>
          <w:rFonts w:ascii="Arial" w:hAnsi="Arial" w:cs="Arial"/>
          <w:b/>
          <w:sz w:val="28"/>
          <w:szCs w:val="28"/>
        </w:rPr>
        <w:t>January 201</w:t>
      </w:r>
      <w:r w:rsidR="0083163D" w:rsidRPr="00EC2BDB">
        <w:rPr>
          <w:rFonts w:ascii="Arial" w:hAnsi="Arial" w:cs="Arial"/>
          <w:b/>
          <w:sz w:val="28"/>
          <w:szCs w:val="28"/>
        </w:rPr>
        <w:t>4</w:t>
      </w:r>
      <w:r w:rsidRPr="00EC2BDB">
        <w:rPr>
          <w:rFonts w:ascii="Arial" w:hAnsi="Arial" w:cs="Arial"/>
          <w:b/>
          <w:sz w:val="28"/>
          <w:szCs w:val="28"/>
        </w:rPr>
        <w:t xml:space="preserve"> </w:t>
      </w:r>
    </w:p>
    <w:p w:rsidR="00B505BF" w:rsidRDefault="00B505BF" w:rsidP="00EC2BDB">
      <w:pPr>
        <w:spacing w:before="240"/>
        <w:rPr>
          <w:rFonts w:ascii="Arial" w:hAnsi="Arial" w:cs="Arial"/>
        </w:rPr>
      </w:pPr>
    </w:p>
    <w:p w:rsidR="00B505BF" w:rsidRDefault="00B505BF" w:rsidP="00EC2BDB">
      <w:pPr>
        <w:spacing w:before="240"/>
        <w:rPr>
          <w:rFonts w:ascii="Arial" w:hAnsi="Arial" w:cs="Arial"/>
        </w:rPr>
      </w:pPr>
    </w:p>
    <w:p w:rsidR="00B505BF" w:rsidRDefault="00B505BF" w:rsidP="00EC2BDB">
      <w:pPr>
        <w:spacing w:before="240"/>
        <w:rPr>
          <w:rFonts w:ascii="Arial" w:hAnsi="Arial" w:cs="Arial"/>
        </w:rPr>
      </w:pPr>
    </w:p>
    <w:p w:rsidR="00B505BF" w:rsidRDefault="00B505BF" w:rsidP="00EC2BDB">
      <w:pPr>
        <w:spacing w:before="240"/>
        <w:rPr>
          <w:rFonts w:ascii="Arial" w:hAnsi="Arial" w:cs="Arial"/>
        </w:rPr>
      </w:pPr>
    </w:p>
    <w:p w:rsidR="00B505BF" w:rsidRDefault="00B505BF" w:rsidP="00EC2BDB">
      <w:pPr>
        <w:spacing w:before="240"/>
        <w:rPr>
          <w:rFonts w:ascii="Arial" w:hAnsi="Arial" w:cs="Arial"/>
        </w:rPr>
      </w:pPr>
    </w:p>
    <w:p w:rsidR="00B505BF" w:rsidRDefault="00B505BF" w:rsidP="00EC2BDB">
      <w:pPr>
        <w:spacing w:before="240"/>
        <w:rPr>
          <w:rFonts w:ascii="Arial" w:hAnsi="Arial" w:cs="Arial"/>
        </w:rPr>
      </w:pPr>
    </w:p>
    <w:p w:rsidR="00B505BF" w:rsidRDefault="00B505BF" w:rsidP="00EC2BDB">
      <w:pPr>
        <w:spacing w:before="240"/>
        <w:rPr>
          <w:rFonts w:ascii="Arial" w:hAnsi="Arial" w:cs="Arial"/>
          <w:b/>
          <w:sz w:val="20"/>
        </w:rPr>
      </w:pPr>
    </w:p>
    <w:p w:rsidR="00B505BF" w:rsidRDefault="00B505BF" w:rsidP="00EC2BDB">
      <w:pPr>
        <w:spacing w:before="240"/>
        <w:rPr>
          <w:rFonts w:ascii="Arial" w:hAnsi="Arial" w:cs="Arial"/>
          <w:b/>
          <w:sz w:val="20"/>
        </w:rPr>
      </w:pPr>
    </w:p>
    <w:p w:rsidR="00B505BF" w:rsidRDefault="00B505BF" w:rsidP="00EC2BDB">
      <w:pPr>
        <w:spacing w:before="240"/>
        <w:rPr>
          <w:rFonts w:ascii="Arial" w:hAnsi="Arial" w:cs="Arial"/>
          <w:b/>
          <w:sz w:val="20"/>
        </w:rPr>
      </w:pPr>
    </w:p>
    <w:p w:rsidR="00B505BF" w:rsidRPr="00B505BF" w:rsidRDefault="00B505BF" w:rsidP="00EC2BDB">
      <w:pPr>
        <w:spacing w:before="240"/>
        <w:rPr>
          <w:rFonts w:ascii="Arial" w:hAnsi="Arial" w:cs="Arial"/>
          <w:b/>
          <w:szCs w:val="24"/>
        </w:rPr>
      </w:pPr>
      <w:r w:rsidRPr="00B505BF">
        <w:rPr>
          <w:rFonts w:ascii="Arial" w:hAnsi="Arial" w:cs="Arial"/>
          <w:b/>
          <w:szCs w:val="24"/>
        </w:rPr>
        <w:t>Contact</w:t>
      </w:r>
    </w:p>
    <w:p w:rsidR="00B505BF" w:rsidRPr="00B505BF" w:rsidRDefault="00B505BF" w:rsidP="00B505BF">
      <w:pPr>
        <w:spacing w:before="60"/>
        <w:rPr>
          <w:rFonts w:ascii="Arial" w:hAnsi="Arial" w:cs="Arial"/>
          <w:szCs w:val="24"/>
        </w:rPr>
      </w:pPr>
      <w:r w:rsidRPr="00B505BF">
        <w:rPr>
          <w:rFonts w:ascii="Arial" w:hAnsi="Arial" w:cs="Arial"/>
          <w:szCs w:val="24"/>
        </w:rPr>
        <w:t>Josh Fear</w:t>
      </w:r>
    </w:p>
    <w:p w:rsidR="00B505BF" w:rsidRDefault="00B505BF" w:rsidP="00B505BF">
      <w:pPr>
        <w:spacing w:before="60"/>
        <w:rPr>
          <w:rFonts w:ascii="Arial" w:hAnsi="Arial" w:cs="Arial"/>
          <w:szCs w:val="24"/>
        </w:rPr>
      </w:pPr>
      <w:r w:rsidRPr="00B505BF">
        <w:rPr>
          <w:rFonts w:ascii="Arial" w:hAnsi="Arial" w:cs="Arial"/>
          <w:szCs w:val="24"/>
        </w:rPr>
        <w:t>Director, Policy and Projects</w:t>
      </w:r>
    </w:p>
    <w:p w:rsidR="00D30936" w:rsidRPr="00B505BF" w:rsidRDefault="0012758E" w:rsidP="00B505BF">
      <w:pPr>
        <w:spacing w:before="60"/>
        <w:rPr>
          <w:rFonts w:ascii="Arial" w:hAnsi="Arial" w:cs="Arial"/>
          <w:szCs w:val="24"/>
        </w:rPr>
      </w:pPr>
      <w:hyperlink r:id="rId9" w:history="1">
        <w:r w:rsidR="00D30936" w:rsidRPr="00473950">
          <w:rPr>
            <w:rStyle w:val="Hyperlink"/>
            <w:rFonts w:ascii="Arial" w:hAnsi="Arial" w:cs="Arial"/>
            <w:szCs w:val="24"/>
          </w:rPr>
          <w:t>Josh.fear@mhca.org.au</w:t>
        </w:r>
      </w:hyperlink>
      <w:r w:rsidR="00D30936">
        <w:rPr>
          <w:rFonts w:ascii="Arial" w:hAnsi="Arial" w:cs="Arial"/>
          <w:szCs w:val="24"/>
        </w:rPr>
        <w:t xml:space="preserve">    </w:t>
      </w:r>
    </w:p>
    <w:p w:rsidR="00B505BF" w:rsidRPr="00B505BF" w:rsidRDefault="00B505BF" w:rsidP="00B505BF">
      <w:pPr>
        <w:spacing w:before="60"/>
        <w:rPr>
          <w:rFonts w:ascii="Arial" w:hAnsi="Arial" w:cs="Arial"/>
          <w:b/>
        </w:rPr>
      </w:pPr>
      <w:r w:rsidRPr="00B505BF">
        <w:rPr>
          <w:rFonts w:ascii="Arial" w:hAnsi="Arial" w:cs="Arial"/>
          <w:szCs w:val="24"/>
        </w:rPr>
        <w:t>02 6285 3100</w:t>
      </w:r>
      <w:r w:rsidRPr="00B505BF">
        <w:rPr>
          <w:rFonts w:ascii="Arial" w:hAnsi="Arial" w:cs="Arial"/>
          <w:b/>
        </w:rPr>
        <w:br w:type="page"/>
      </w:r>
    </w:p>
    <w:p w:rsidR="00B505BF" w:rsidRPr="00EC2BDB" w:rsidRDefault="00B505BF" w:rsidP="00B505BF">
      <w:pPr>
        <w:pStyle w:val="ListBullet"/>
        <w:numPr>
          <w:ilvl w:val="0"/>
          <w:numId w:val="0"/>
        </w:numPr>
        <w:spacing w:before="240"/>
        <w:contextualSpacing w:val="0"/>
        <w:rPr>
          <w:rFonts w:ascii="Arial" w:hAnsi="Arial" w:cs="Arial"/>
          <w:b/>
        </w:rPr>
      </w:pPr>
      <w:r>
        <w:rPr>
          <w:rFonts w:ascii="Arial" w:hAnsi="Arial" w:cs="Arial"/>
          <w:b/>
        </w:rPr>
        <w:lastRenderedPageBreak/>
        <w:t>Background</w:t>
      </w:r>
    </w:p>
    <w:p w:rsidR="00EC2BDB" w:rsidRPr="00B979E6" w:rsidRDefault="00EC2BDB" w:rsidP="00EC2BDB">
      <w:pPr>
        <w:spacing w:before="240"/>
        <w:rPr>
          <w:rFonts w:ascii="Arial" w:hAnsi="Arial" w:cs="Arial"/>
        </w:rPr>
      </w:pPr>
      <w:r w:rsidRPr="00B979E6">
        <w:rPr>
          <w:rFonts w:ascii="Arial" w:hAnsi="Arial" w:cs="Arial"/>
        </w:rPr>
        <w:t>This submission has been prepared by the Mental Health Council of Australia (MHCA) in response to Questions 6, 29</w:t>
      </w:r>
      <w:r w:rsidR="00641132">
        <w:rPr>
          <w:rFonts w:ascii="Arial" w:hAnsi="Arial" w:cs="Arial"/>
        </w:rPr>
        <w:t>, 30</w:t>
      </w:r>
      <w:r w:rsidRPr="00B979E6">
        <w:rPr>
          <w:rFonts w:ascii="Arial" w:hAnsi="Arial" w:cs="Arial"/>
        </w:rPr>
        <w:t xml:space="preserve"> and 3</w:t>
      </w:r>
      <w:r w:rsidR="00641132">
        <w:rPr>
          <w:rFonts w:ascii="Arial" w:hAnsi="Arial" w:cs="Arial"/>
        </w:rPr>
        <w:t>1</w:t>
      </w:r>
      <w:r w:rsidRPr="00B979E6">
        <w:rPr>
          <w:rFonts w:ascii="Arial" w:hAnsi="Arial" w:cs="Arial"/>
        </w:rPr>
        <w:t xml:space="preserve"> of the Australian Law Reform Commission’s (ALRC) issues paper on </w:t>
      </w:r>
      <w:r w:rsidRPr="00B979E6">
        <w:rPr>
          <w:rFonts w:ascii="Arial" w:hAnsi="Arial" w:cs="Arial"/>
          <w:i/>
        </w:rPr>
        <w:t>Equality, Capacity and Disability in Commonwealth Laws</w:t>
      </w:r>
      <w:r w:rsidRPr="00B979E6">
        <w:rPr>
          <w:rFonts w:ascii="Arial" w:hAnsi="Arial" w:cs="Arial"/>
        </w:rPr>
        <w:t>.</w:t>
      </w:r>
    </w:p>
    <w:p w:rsidR="00EC2BDB" w:rsidRPr="00B979E6" w:rsidRDefault="00EC2BDB" w:rsidP="00EC2BDB">
      <w:pPr>
        <w:spacing w:before="240"/>
        <w:rPr>
          <w:rFonts w:ascii="Arial" w:hAnsi="Arial" w:cs="Arial"/>
        </w:rPr>
      </w:pPr>
      <w:r w:rsidRPr="00B979E6">
        <w:rPr>
          <w:rFonts w:ascii="Arial" w:hAnsi="Arial" w:cs="Arial"/>
        </w:rPr>
        <w:t>The MHCA is the peak, national non-government organisation representing and promoting the interests of the Australian mental health sector and committed to achieving better mental health for all Australians. More information about the MHCA is provided at the end of this document.</w:t>
      </w:r>
    </w:p>
    <w:p w:rsidR="001E07AC" w:rsidRDefault="00EC2BDB" w:rsidP="00AC7B08">
      <w:pPr>
        <w:spacing w:before="120"/>
        <w:rPr>
          <w:rFonts w:ascii="Arial" w:hAnsi="Arial" w:cs="Arial"/>
        </w:rPr>
      </w:pPr>
      <w:r w:rsidRPr="00B979E6">
        <w:rPr>
          <w:rFonts w:ascii="Arial" w:hAnsi="Arial" w:cs="Arial"/>
        </w:rPr>
        <w:t xml:space="preserve">Current laws and industry practice continue to result in unequal treatment of, and unfair outcomes for, people with experience of mental illness who seek to access certain kinds of insurance products. </w:t>
      </w:r>
    </w:p>
    <w:p w:rsidR="00CA0B83" w:rsidRPr="00EC2BDB" w:rsidRDefault="00EC2BDB" w:rsidP="00AC7B08">
      <w:pPr>
        <w:spacing w:before="120"/>
        <w:rPr>
          <w:rFonts w:ascii="Arial" w:hAnsi="Arial" w:cs="Arial"/>
        </w:rPr>
      </w:pPr>
      <w:r w:rsidRPr="00B979E6">
        <w:rPr>
          <w:rFonts w:ascii="Arial" w:hAnsi="Arial" w:cs="Arial"/>
        </w:rPr>
        <w:t xml:space="preserve">The MHCA has a long-standing interest in this issue, and this submission should be read in conjunction with </w:t>
      </w:r>
      <w:r w:rsidR="00CA0B83" w:rsidRPr="00EC2BDB">
        <w:rPr>
          <w:rFonts w:ascii="Arial" w:hAnsi="Arial" w:cs="Arial"/>
        </w:rPr>
        <w:t xml:space="preserve">previous representations, including: </w:t>
      </w:r>
    </w:p>
    <w:p w:rsidR="00CA0B83" w:rsidRPr="00EC2BDB" w:rsidRDefault="00EC2BDB" w:rsidP="00AC7B08">
      <w:pPr>
        <w:pStyle w:val="ListBullet"/>
        <w:spacing w:before="120"/>
        <w:ind w:left="714" w:hanging="357"/>
        <w:contextualSpacing w:val="0"/>
        <w:rPr>
          <w:rFonts w:ascii="Arial" w:hAnsi="Arial" w:cs="Arial"/>
          <w:i/>
        </w:rPr>
      </w:pPr>
      <w:r>
        <w:rPr>
          <w:rFonts w:ascii="Arial" w:hAnsi="Arial" w:cs="Arial"/>
        </w:rPr>
        <w:t>a s</w:t>
      </w:r>
      <w:r w:rsidR="00CA0B83" w:rsidRPr="00EC2BDB">
        <w:rPr>
          <w:rFonts w:ascii="Arial" w:hAnsi="Arial" w:cs="Arial"/>
        </w:rPr>
        <w:t>ubm</w:t>
      </w:r>
      <w:r w:rsidR="001851B1" w:rsidRPr="00EC2BDB">
        <w:rPr>
          <w:rFonts w:ascii="Arial" w:hAnsi="Arial" w:cs="Arial"/>
        </w:rPr>
        <w:t>i</w:t>
      </w:r>
      <w:r w:rsidR="00CA0B83" w:rsidRPr="00EC2BDB">
        <w:rPr>
          <w:rFonts w:ascii="Arial" w:hAnsi="Arial" w:cs="Arial"/>
        </w:rPr>
        <w:t xml:space="preserve">ssion </w:t>
      </w:r>
      <w:r w:rsidR="001851B1" w:rsidRPr="00EC2BDB">
        <w:rPr>
          <w:rFonts w:ascii="Arial" w:hAnsi="Arial" w:cs="Arial"/>
        </w:rPr>
        <w:t xml:space="preserve">to the </w:t>
      </w:r>
      <w:r w:rsidR="001851B1" w:rsidRPr="00EC2BDB">
        <w:rPr>
          <w:rFonts w:ascii="Arial" w:hAnsi="Arial" w:cs="Arial"/>
          <w:i/>
        </w:rPr>
        <w:t>Productivity Commission Inquiry into the Disability Discrimination Act</w:t>
      </w:r>
      <w:r w:rsidR="001851B1" w:rsidRPr="00EC2BDB">
        <w:rPr>
          <w:rFonts w:ascii="Arial" w:hAnsi="Arial" w:cs="Arial"/>
        </w:rPr>
        <w:t xml:space="preserve"> (2004)</w:t>
      </w:r>
      <w:r w:rsidR="002D705E" w:rsidRPr="00EC2BDB">
        <w:rPr>
          <w:rFonts w:ascii="Arial" w:hAnsi="Arial" w:cs="Arial"/>
        </w:rPr>
        <w:t>;</w:t>
      </w:r>
    </w:p>
    <w:p w:rsidR="001851B1" w:rsidRPr="00EC2BDB" w:rsidRDefault="001851B1" w:rsidP="00AC7B08">
      <w:pPr>
        <w:pStyle w:val="ListBullet"/>
        <w:spacing w:before="120"/>
        <w:ind w:left="714" w:hanging="357"/>
        <w:contextualSpacing w:val="0"/>
        <w:rPr>
          <w:rFonts w:ascii="Arial" w:hAnsi="Arial" w:cs="Arial"/>
        </w:rPr>
      </w:pPr>
      <w:r w:rsidRPr="00EC2BDB">
        <w:rPr>
          <w:rFonts w:ascii="Arial" w:hAnsi="Arial" w:cs="Arial"/>
        </w:rPr>
        <w:t xml:space="preserve">submissions to </w:t>
      </w:r>
      <w:r w:rsidR="004D5F71">
        <w:rPr>
          <w:rFonts w:ascii="Arial" w:hAnsi="Arial" w:cs="Arial"/>
        </w:rPr>
        <w:t xml:space="preserve">two </w:t>
      </w:r>
      <w:r w:rsidRPr="00EC2BDB">
        <w:rPr>
          <w:rFonts w:ascii="Arial" w:hAnsi="Arial" w:cs="Arial"/>
        </w:rPr>
        <w:t>separate Treasury consultations on</w:t>
      </w:r>
      <w:r w:rsidRPr="00EC2BDB">
        <w:rPr>
          <w:rFonts w:ascii="Arial" w:hAnsi="Arial" w:cs="Arial"/>
          <w:i/>
        </w:rPr>
        <w:t xml:space="preserve"> Unfair contract terms for contracts of general insurance</w:t>
      </w:r>
      <w:r w:rsidRPr="00EC2BDB">
        <w:rPr>
          <w:rFonts w:ascii="Arial" w:hAnsi="Arial" w:cs="Arial"/>
        </w:rPr>
        <w:t xml:space="preserve"> (May 2010 and May 2013)</w:t>
      </w:r>
      <w:r w:rsidR="002D705E" w:rsidRPr="00EC2BDB">
        <w:rPr>
          <w:rFonts w:ascii="Arial" w:hAnsi="Arial" w:cs="Arial"/>
        </w:rPr>
        <w:t>;</w:t>
      </w:r>
    </w:p>
    <w:p w:rsidR="001851B1" w:rsidRPr="00EC2BDB" w:rsidRDefault="00EC2BDB" w:rsidP="00AC7B08">
      <w:pPr>
        <w:pStyle w:val="ListBullet"/>
        <w:spacing w:before="120"/>
        <w:ind w:left="714" w:hanging="357"/>
        <w:contextualSpacing w:val="0"/>
        <w:rPr>
          <w:rFonts w:ascii="Arial" w:hAnsi="Arial" w:cs="Arial"/>
        </w:rPr>
      </w:pPr>
      <w:r>
        <w:rPr>
          <w:rFonts w:ascii="Arial" w:hAnsi="Arial" w:cs="Arial"/>
        </w:rPr>
        <w:t>t</w:t>
      </w:r>
      <w:r w:rsidRPr="009025DD">
        <w:rPr>
          <w:rFonts w:ascii="Arial" w:hAnsi="Arial" w:cs="Arial"/>
        </w:rPr>
        <w:t xml:space="preserve">he </w:t>
      </w:r>
      <w:r w:rsidR="001851B1" w:rsidRPr="00EC2BDB">
        <w:rPr>
          <w:rFonts w:ascii="Arial" w:hAnsi="Arial" w:cs="Arial"/>
          <w:i/>
        </w:rPr>
        <w:t>Mental Health, Discrimination &amp; Insurance: A Survey of Consumer Experiences</w:t>
      </w:r>
      <w:r w:rsidR="00FA2483" w:rsidRPr="00EC2BDB">
        <w:rPr>
          <w:rFonts w:ascii="Arial" w:hAnsi="Arial" w:cs="Arial"/>
        </w:rPr>
        <w:t xml:space="preserve"> report</w:t>
      </w:r>
      <w:r>
        <w:rPr>
          <w:rFonts w:ascii="Arial" w:hAnsi="Arial" w:cs="Arial"/>
        </w:rPr>
        <w:t xml:space="preserve">, published jointly by the MHCA and </w:t>
      </w:r>
      <w:r>
        <w:rPr>
          <w:rFonts w:ascii="Arial" w:hAnsi="Arial" w:cs="Arial"/>
          <w:i/>
        </w:rPr>
        <w:t>beyondblue</w:t>
      </w:r>
      <w:r w:rsidR="00FA2483" w:rsidRPr="00EC2BDB">
        <w:rPr>
          <w:rFonts w:ascii="Arial" w:hAnsi="Arial" w:cs="Arial"/>
        </w:rPr>
        <w:t xml:space="preserve"> (</w:t>
      </w:r>
      <w:r w:rsidR="002D705E" w:rsidRPr="00EC2BDB">
        <w:rPr>
          <w:rFonts w:ascii="Arial" w:hAnsi="Arial" w:cs="Arial"/>
        </w:rPr>
        <w:t>2011</w:t>
      </w:r>
      <w:r w:rsidR="00FA2483" w:rsidRPr="00EC2BDB">
        <w:rPr>
          <w:rFonts w:ascii="Arial" w:hAnsi="Arial" w:cs="Arial"/>
        </w:rPr>
        <w:t>)</w:t>
      </w:r>
      <w:r w:rsidR="002D705E" w:rsidRPr="00EC2BDB">
        <w:rPr>
          <w:rFonts w:ascii="Arial" w:hAnsi="Arial" w:cs="Arial"/>
        </w:rPr>
        <w:t>;</w:t>
      </w:r>
    </w:p>
    <w:p w:rsidR="00CA0B83" w:rsidRPr="00EC2BDB" w:rsidRDefault="00EC2BDB" w:rsidP="00AC7B08">
      <w:pPr>
        <w:pStyle w:val="ListBullet"/>
        <w:spacing w:before="120"/>
        <w:ind w:left="714" w:hanging="357"/>
        <w:contextualSpacing w:val="0"/>
        <w:rPr>
          <w:rFonts w:ascii="Arial" w:hAnsi="Arial" w:cs="Arial"/>
        </w:rPr>
      </w:pPr>
      <w:r>
        <w:rPr>
          <w:rFonts w:ascii="Arial" w:hAnsi="Arial" w:cs="Arial"/>
        </w:rPr>
        <w:t>a s</w:t>
      </w:r>
      <w:r w:rsidR="00CA0B83" w:rsidRPr="00EC2BDB">
        <w:rPr>
          <w:rFonts w:ascii="Arial" w:hAnsi="Arial" w:cs="Arial"/>
        </w:rPr>
        <w:t xml:space="preserve">ubmission to the Senate Inquiry into the Exposure Draft of the </w:t>
      </w:r>
      <w:r w:rsidR="00CA0B83" w:rsidRPr="00EC2BDB">
        <w:rPr>
          <w:rFonts w:ascii="Arial" w:hAnsi="Arial" w:cs="Arial"/>
          <w:i/>
        </w:rPr>
        <w:t xml:space="preserve">Human Rights and Anti-Discrimination Bill 2012 </w:t>
      </w:r>
      <w:r w:rsidR="00CA0B83" w:rsidRPr="00EC2BDB">
        <w:rPr>
          <w:rFonts w:ascii="Arial" w:hAnsi="Arial" w:cs="Arial"/>
        </w:rPr>
        <w:t>(January 2013)</w:t>
      </w:r>
      <w:r w:rsidR="00650328">
        <w:rPr>
          <w:rFonts w:ascii="Arial" w:hAnsi="Arial" w:cs="Arial"/>
        </w:rPr>
        <w:t xml:space="preserve">, which recommended specific amendments to proposed anti-discrimination legislation (see </w:t>
      </w:r>
      <w:r w:rsidR="0043236B">
        <w:rPr>
          <w:rFonts w:ascii="Arial" w:hAnsi="Arial" w:cs="Arial"/>
        </w:rPr>
        <w:t>attached</w:t>
      </w:r>
      <w:r w:rsidR="00650328">
        <w:rPr>
          <w:rFonts w:ascii="Arial" w:hAnsi="Arial" w:cs="Arial"/>
        </w:rPr>
        <w:t>)</w:t>
      </w:r>
      <w:r w:rsidR="002D705E" w:rsidRPr="00EC2BDB">
        <w:rPr>
          <w:rFonts w:ascii="Arial" w:hAnsi="Arial" w:cs="Arial"/>
        </w:rPr>
        <w:t>;</w:t>
      </w:r>
      <w:r>
        <w:rPr>
          <w:rFonts w:ascii="Arial" w:hAnsi="Arial" w:cs="Arial"/>
        </w:rPr>
        <w:t xml:space="preserve"> and</w:t>
      </w:r>
    </w:p>
    <w:p w:rsidR="00CA0B83" w:rsidRDefault="00EC2BDB" w:rsidP="00AC7B08">
      <w:pPr>
        <w:pStyle w:val="ListBullet"/>
        <w:spacing w:before="120"/>
        <w:ind w:left="714" w:hanging="357"/>
        <w:contextualSpacing w:val="0"/>
        <w:rPr>
          <w:rFonts w:ascii="Arial" w:hAnsi="Arial" w:cs="Arial"/>
        </w:rPr>
      </w:pPr>
      <w:r>
        <w:rPr>
          <w:rFonts w:ascii="Arial" w:hAnsi="Arial" w:cs="Arial"/>
        </w:rPr>
        <w:t xml:space="preserve">the </w:t>
      </w:r>
      <w:r w:rsidR="00CA0B83" w:rsidRPr="00EC2BDB">
        <w:rPr>
          <w:rFonts w:ascii="Arial" w:hAnsi="Arial" w:cs="Arial"/>
          <w:i/>
        </w:rPr>
        <w:t xml:space="preserve">Speak up and take action to reduce discrimination in insurance </w:t>
      </w:r>
      <w:r w:rsidR="00CA0B83" w:rsidRPr="00EC2BDB">
        <w:rPr>
          <w:rFonts w:ascii="Arial" w:hAnsi="Arial" w:cs="Arial"/>
        </w:rPr>
        <w:t xml:space="preserve">fact sheet </w:t>
      </w:r>
      <w:r w:rsidR="001851B1" w:rsidRPr="00EC2BDB">
        <w:rPr>
          <w:rFonts w:ascii="Arial" w:hAnsi="Arial" w:cs="Arial"/>
        </w:rPr>
        <w:t>(released August 2013)</w:t>
      </w:r>
    </w:p>
    <w:p w:rsidR="001E07AC" w:rsidRPr="00EC2BDB" w:rsidRDefault="001A0F32" w:rsidP="00253A70">
      <w:pPr>
        <w:pStyle w:val="ListBullet"/>
        <w:numPr>
          <w:ilvl w:val="0"/>
          <w:numId w:val="0"/>
        </w:numPr>
        <w:spacing w:before="240"/>
        <w:contextualSpacing w:val="0"/>
        <w:rPr>
          <w:rFonts w:ascii="Arial" w:hAnsi="Arial" w:cs="Arial"/>
        </w:rPr>
      </w:pPr>
      <w:r>
        <w:rPr>
          <w:rFonts w:ascii="Arial" w:hAnsi="Arial" w:cs="Arial"/>
        </w:rPr>
        <w:t xml:space="preserve">The MHCA also draws the ALRC’s attention to a submission </w:t>
      </w:r>
      <w:r w:rsidR="004D5F71">
        <w:rPr>
          <w:rFonts w:ascii="Arial" w:hAnsi="Arial" w:cs="Arial"/>
        </w:rPr>
        <w:t xml:space="preserve">to this inquiry </w:t>
      </w:r>
      <w:r>
        <w:rPr>
          <w:rFonts w:ascii="Arial" w:hAnsi="Arial" w:cs="Arial"/>
        </w:rPr>
        <w:t xml:space="preserve">by </w:t>
      </w:r>
      <w:r w:rsidR="001E07AC">
        <w:rPr>
          <w:rFonts w:ascii="Arial" w:hAnsi="Arial" w:cs="Arial"/>
        </w:rPr>
        <w:t xml:space="preserve">the Public Interest Advocacy Centre (PIAC), which is providing legal advice to consumers who feel they may have been discriminated against on the basis of mental illness. </w:t>
      </w:r>
    </w:p>
    <w:p w:rsidR="003337D0" w:rsidRPr="00EC2BDB" w:rsidRDefault="00EC29E6" w:rsidP="00EC2BDB">
      <w:pPr>
        <w:pStyle w:val="ListBullet"/>
        <w:numPr>
          <w:ilvl w:val="0"/>
          <w:numId w:val="0"/>
        </w:numPr>
        <w:spacing w:before="240"/>
        <w:contextualSpacing w:val="0"/>
        <w:rPr>
          <w:rFonts w:ascii="Arial" w:hAnsi="Arial" w:cs="Arial"/>
          <w:b/>
        </w:rPr>
      </w:pPr>
      <w:r w:rsidRPr="00EC2BDB">
        <w:rPr>
          <w:rFonts w:ascii="Arial" w:hAnsi="Arial" w:cs="Arial"/>
          <w:b/>
        </w:rPr>
        <w:t>Mental health c</w:t>
      </w:r>
      <w:r w:rsidR="003337D0" w:rsidRPr="00EC2BDB">
        <w:rPr>
          <w:rFonts w:ascii="Arial" w:hAnsi="Arial" w:cs="Arial"/>
          <w:b/>
        </w:rPr>
        <w:t>onsumers’ experiences with insurance</w:t>
      </w:r>
    </w:p>
    <w:p w:rsidR="00717F36" w:rsidRPr="00EC2BDB" w:rsidRDefault="00717F36" w:rsidP="006D6295">
      <w:pPr>
        <w:pStyle w:val="ListBullet"/>
        <w:numPr>
          <w:ilvl w:val="0"/>
          <w:numId w:val="0"/>
        </w:numPr>
        <w:spacing w:before="240"/>
        <w:contextualSpacing w:val="0"/>
        <w:rPr>
          <w:rFonts w:ascii="Arial" w:hAnsi="Arial" w:cs="Arial"/>
        </w:rPr>
      </w:pPr>
      <w:r w:rsidRPr="00EC2BDB">
        <w:rPr>
          <w:rFonts w:ascii="Arial" w:hAnsi="Arial" w:cs="Arial"/>
        </w:rPr>
        <w:t xml:space="preserve">The MHCA has heard many stories from </w:t>
      </w:r>
      <w:r w:rsidR="00FA2483" w:rsidRPr="00EC2BDB">
        <w:rPr>
          <w:rFonts w:ascii="Arial" w:hAnsi="Arial" w:cs="Arial"/>
        </w:rPr>
        <w:t xml:space="preserve">mental health </w:t>
      </w:r>
      <w:r w:rsidRPr="00EC2BDB">
        <w:rPr>
          <w:rFonts w:ascii="Arial" w:hAnsi="Arial" w:cs="Arial"/>
        </w:rPr>
        <w:t xml:space="preserve">consumers </w:t>
      </w:r>
      <w:r w:rsidR="00EC2BDB">
        <w:rPr>
          <w:rFonts w:ascii="Arial" w:hAnsi="Arial" w:cs="Arial"/>
        </w:rPr>
        <w:t xml:space="preserve">about </w:t>
      </w:r>
      <w:r w:rsidR="00C3439F" w:rsidRPr="00EC2BDB">
        <w:rPr>
          <w:rFonts w:ascii="Arial" w:hAnsi="Arial" w:cs="Arial"/>
        </w:rPr>
        <w:t xml:space="preserve">negative </w:t>
      </w:r>
      <w:r w:rsidRPr="00EC2BDB">
        <w:rPr>
          <w:rFonts w:ascii="Arial" w:hAnsi="Arial" w:cs="Arial"/>
        </w:rPr>
        <w:t xml:space="preserve">experiences and outcomes in insurance.  A prior history of mental illness can mean that someone is denied insurance cover, asked to pay a higher premium, or has their claim rejected. </w:t>
      </w:r>
      <w:r w:rsidR="0043236B">
        <w:rPr>
          <w:rFonts w:ascii="Arial" w:hAnsi="Arial" w:cs="Arial"/>
        </w:rPr>
        <w:t xml:space="preserve"> </w:t>
      </w:r>
      <w:r w:rsidRPr="00EC2BDB">
        <w:rPr>
          <w:rFonts w:ascii="Arial" w:hAnsi="Arial" w:cs="Arial"/>
        </w:rPr>
        <w:t>This is particularly the case in relation to travel insurance, life insurance, total and permanent disability insurance and income protection</w:t>
      </w:r>
      <w:r w:rsidR="004D5F71">
        <w:rPr>
          <w:rFonts w:ascii="Arial" w:hAnsi="Arial" w:cs="Arial"/>
        </w:rPr>
        <w:t>.</w:t>
      </w:r>
    </w:p>
    <w:p w:rsidR="00717F36" w:rsidRPr="00EC2BDB" w:rsidRDefault="00EC2BDB" w:rsidP="006D6295">
      <w:pPr>
        <w:pStyle w:val="ListBullet"/>
        <w:numPr>
          <w:ilvl w:val="0"/>
          <w:numId w:val="0"/>
        </w:numPr>
        <w:spacing w:before="240"/>
        <w:contextualSpacing w:val="0"/>
        <w:rPr>
          <w:rFonts w:ascii="Arial" w:hAnsi="Arial" w:cs="Arial"/>
        </w:rPr>
      </w:pPr>
      <w:r>
        <w:rPr>
          <w:rFonts w:ascii="Arial" w:hAnsi="Arial" w:cs="Arial"/>
        </w:rPr>
        <w:t xml:space="preserve">These </w:t>
      </w:r>
      <w:r w:rsidR="00717F36" w:rsidRPr="00EC2BDB">
        <w:rPr>
          <w:rFonts w:ascii="Arial" w:hAnsi="Arial" w:cs="Arial"/>
        </w:rPr>
        <w:t xml:space="preserve">stories suggest </w:t>
      </w:r>
      <w:r w:rsidR="00C3439F" w:rsidRPr="00EC2BDB">
        <w:rPr>
          <w:rFonts w:ascii="Arial" w:hAnsi="Arial" w:cs="Arial"/>
        </w:rPr>
        <w:t xml:space="preserve">that </w:t>
      </w:r>
      <w:r w:rsidR="00717F36" w:rsidRPr="00EC2BDB">
        <w:rPr>
          <w:rFonts w:ascii="Arial" w:hAnsi="Arial" w:cs="Arial"/>
        </w:rPr>
        <w:t xml:space="preserve">insurers </w:t>
      </w:r>
      <w:r>
        <w:rPr>
          <w:rFonts w:ascii="Arial" w:hAnsi="Arial" w:cs="Arial"/>
        </w:rPr>
        <w:t xml:space="preserve">often </w:t>
      </w:r>
      <w:r w:rsidR="00717F36" w:rsidRPr="00EC2BDB">
        <w:rPr>
          <w:rFonts w:ascii="Arial" w:hAnsi="Arial" w:cs="Arial"/>
        </w:rPr>
        <w:t xml:space="preserve">treat people with mental illness in ways that would be clearly unacceptable for people with physical ailments. </w:t>
      </w:r>
      <w:r>
        <w:rPr>
          <w:rFonts w:ascii="Arial" w:hAnsi="Arial" w:cs="Arial"/>
        </w:rPr>
        <w:t>For example:</w:t>
      </w:r>
    </w:p>
    <w:p w:rsidR="00717F36" w:rsidRPr="00EC2BDB" w:rsidRDefault="00717F36" w:rsidP="00EC29E6">
      <w:pPr>
        <w:pStyle w:val="ListBullet"/>
        <w:spacing w:before="120"/>
        <w:ind w:left="714" w:hanging="357"/>
        <w:contextualSpacing w:val="0"/>
        <w:rPr>
          <w:rFonts w:ascii="Arial" w:hAnsi="Arial" w:cs="Arial"/>
        </w:rPr>
      </w:pPr>
      <w:r w:rsidRPr="00EC2BDB">
        <w:rPr>
          <w:rFonts w:ascii="Arial" w:hAnsi="Arial" w:cs="Arial"/>
        </w:rPr>
        <w:t xml:space="preserve">A history of one mental illness can mean someone is refused insurance for another, unrelated mental illness.  </w:t>
      </w:r>
    </w:p>
    <w:p w:rsidR="00717F36" w:rsidRPr="00EC2BDB" w:rsidRDefault="00717F36" w:rsidP="00EC29E6">
      <w:pPr>
        <w:pStyle w:val="ListBullet"/>
        <w:spacing w:before="120"/>
        <w:ind w:left="714" w:hanging="357"/>
        <w:contextualSpacing w:val="0"/>
        <w:rPr>
          <w:rFonts w:ascii="Arial" w:hAnsi="Arial" w:cs="Arial"/>
        </w:rPr>
      </w:pPr>
      <w:r w:rsidRPr="00EC2BDB">
        <w:rPr>
          <w:rFonts w:ascii="Arial" w:hAnsi="Arial" w:cs="Arial"/>
        </w:rPr>
        <w:t xml:space="preserve">The cost of returning early from an overseas holiday might be covered by travel insurance for parents of a child in a car accident, but not for those returning to care for a child who has just had her first ever experience of psychosis.  </w:t>
      </w:r>
    </w:p>
    <w:p w:rsidR="00717F36" w:rsidRPr="00EC2BDB" w:rsidRDefault="00717F36" w:rsidP="00EC29E6">
      <w:pPr>
        <w:pStyle w:val="ListBullet"/>
        <w:spacing w:before="120"/>
        <w:ind w:left="714" w:hanging="357"/>
        <w:contextualSpacing w:val="0"/>
        <w:rPr>
          <w:rFonts w:ascii="Arial" w:hAnsi="Arial" w:cs="Arial"/>
        </w:rPr>
      </w:pPr>
      <w:r w:rsidRPr="00EC2BDB">
        <w:rPr>
          <w:rFonts w:ascii="Arial" w:hAnsi="Arial" w:cs="Arial"/>
        </w:rPr>
        <w:lastRenderedPageBreak/>
        <w:t>Insurers have been known to impute mental illness on questionable grounds in the absence of a diagnosis</w:t>
      </w:r>
      <w:r w:rsidR="00EC2BDB">
        <w:rPr>
          <w:rFonts w:ascii="Arial" w:hAnsi="Arial" w:cs="Arial"/>
        </w:rPr>
        <w:t>.  For example</w:t>
      </w:r>
      <w:r w:rsidRPr="00EC2BDB">
        <w:rPr>
          <w:rFonts w:ascii="Arial" w:hAnsi="Arial" w:cs="Arial"/>
        </w:rPr>
        <w:t>, see</w:t>
      </w:r>
      <w:r w:rsidR="00EC2BDB">
        <w:rPr>
          <w:rFonts w:ascii="Arial" w:hAnsi="Arial" w:cs="Arial"/>
        </w:rPr>
        <w:t>ing</w:t>
      </w:r>
      <w:r w:rsidRPr="00EC2BDB">
        <w:rPr>
          <w:rFonts w:ascii="Arial" w:hAnsi="Arial" w:cs="Arial"/>
        </w:rPr>
        <w:t xml:space="preserve"> a counsellor or psychologist in the past, or </w:t>
      </w:r>
      <w:r w:rsidR="00EC2BDB">
        <w:rPr>
          <w:rFonts w:ascii="Arial" w:hAnsi="Arial" w:cs="Arial"/>
        </w:rPr>
        <w:t>reporting</w:t>
      </w:r>
      <w:r w:rsidRPr="00EC2BDB">
        <w:rPr>
          <w:rFonts w:ascii="Arial" w:hAnsi="Arial" w:cs="Arial"/>
        </w:rPr>
        <w:t xml:space="preserve"> normal human </w:t>
      </w:r>
      <w:r w:rsidR="00EC2BDB">
        <w:rPr>
          <w:rFonts w:ascii="Arial" w:hAnsi="Arial" w:cs="Arial"/>
        </w:rPr>
        <w:t>experiences like</w:t>
      </w:r>
      <w:r w:rsidRPr="00EC2BDB">
        <w:rPr>
          <w:rFonts w:ascii="Arial" w:hAnsi="Arial" w:cs="Arial"/>
        </w:rPr>
        <w:t xml:space="preserve"> stress and insomnia</w:t>
      </w:r>
      <w:r w:rsidR="00EC2BDB">
        <w:rPr>
          <w:rFonts w:ascii="Arial" w:hAnsi="Arial" w:cs="Arial"/>
        </w:rPr>
        <w:t>, have been used to conclude that someone has a mental illness despite there being no further evidence</w:t>
      </w:r>
      <w:r w:rsidRPr="00EC2BDB">
        <w:rPr>
          <w:rFonts w:ascii="Arial" w:hAnsi="Arial" w:cs="Arial"/>
        </w:rPr>
        <w:t>.</w:t>
      </w:r>
    </w:p>
    <w:p w:rsidR="00717F36" w:rsidRPr="00EC2BDB" w:rsidRDefault="00EC2BDB" w:rsidP="00AC7B08">
      <w:pPr>
        <w:pStyle w:val="ListBullet"/>
        <w:numPr>
          <w:ilvl w:val="0"/>
          <w:numId w:val="0"/>
        </w:numPr>
        <w:spacing w:before="240"/>
        <w:contextualSpacing w:val="0"/>
        <w:rPr>
          <w:rFonts w:ascii="Arial" w:hAnsi="Arial" w:cs="Arial"/>
        </w:rPr>
      </w:pPr>
      <w:r>
        <w:rPr>
          <w:rFonts w:ascii="Arial" w:hAnsi="Arial" w:cs="Arial"/>
        </w:rPr>
        <w:t>C</w:t>
      </w:r>
      <w:r w:rsidRPr="00EC2BDB">
        <w:rPr>
          <w:rFonts w:ascii="Arial" w:hAnsi="Arial" w:cs="Arial"/>
        </w:rPr>
        <w:t xml:space="preserve">onsumers have reported feeling that their </w:t>
      </w:r>
      <w:r>
        <w:rPr>
          <w:rFonts w:ascii="Arial" w:hAnsi="Arial" w:cs="Arial"/>
        </w:rPr>
        <w:t xml:space="preserve">dealings </w:t>
      </w:r>
      <w:r w:rsidRPr="00EC2BDB">
        <w:rPr>
          <w:rFonts w:ascii="Arial" w:hAnsi="Arial" w:cs="Arial"/>
        </w:rPr>
        <w:t>with insur</w:t>
      </w:r>
      <w:r>
        <w:rPr>
          <w:rFonts w:ascii="Arial" w:hAnsi="Arial" w:cs="Arial"/>
        </w:rPr>
        <w:t>ers</w:t>
      </w:r>
      <w:r w:rsidRPr="00EC2BDB">
        <w:rPr>
          <w:rFonts w:ascii="Arial" w:hAnsi="Arial" w:cs="Arial"/>
        </w:rPr>
        <w:t xml:space="preserve"> have violated their sense of fairness, dignity and autonomy.  </w:t>
      </w:r>
      <w:r w:rsidR="00717F36" w:rsidRPr="00EC2BDB">
        <w:rPr>
          <w:rFonts w:ascii="Arial" w:hAnsi="Arial" w:cs="Arial"/>
        </w:rPr>
        <w:t xml:space="preserve">Other clear themes that have emerged from consumers’ stories include the following: </w:t>
      </w:r>
    </w:p>
    <w:p w:rsidR="00717F36" w:rsidRPr="00EC2BDB" w:rsidRDefault="00717F36" w:rsidP="00AC7B08">
      <w:pPr>
        <w:pStyle w:val="ListBullet"/>
        <w:spacing w:before="120"/>
        <w:ind w:left="714" w:hanging="357"/>
        <w:contextualSpacing w:val="0"/>
        <w:rPr>
          <w:rFonts w:ascii="Arial" w:hAnsi="Arial" w:cs="Arial"/>
        </w:rPr>
      </w:pPr>
      <w:r w:rsidRPr="00EC2BDB">
        <w:rPr>
          <w:rFonts w:ascii="Arial" w:hAnsi="Arial" w:cs="Arial"/>
        </w:rPr>
        <w:t>Relatively minor past experiences with mental illness</w:t>
      </w:r>
      <w:r w:rsidR="004D5F71">
        <w:rPr>
          <w:rFonts w:ascii="Arial" w:hAnsi="Arial" w:cs="Arial"/>
        </w:rPr>
        <w:t xml:space="preserve"> –</w:t>
      </w:r>
      <w:r w:rsidR="005D315C" w:rsidRPr="00EC2BDB">
        <w:rPr>
          <w:rFonts w:ascii="Arial" w:hAnsi="Arial" w:cs="Arial"/>
        </w:rPr>
        <w:t xml:space="preserve"> including </w:t>
      </w:r>
      <w:r w:rsidR="00EC2BDB">
        <w:rPr>
          <w:rFonts w:ascii="Arial" w:hAnsi="Arial" w:cs="Arial"/>
        </w:rPr>
        <w:t xml:space="preserve">action to </w:t>
      </w:r>
      <w:r w:rsidR="005D315C" w:rsidRPr="00EC2BDB">
        <w:rPr>
          <w:rFonts w:ascii="Arial" w:hAnsi="Arial" w:cs="Arial"/>
        </w:rPr>
        <w:t xml:space="preserve">prevent </w:t>
      </w:r>
      <w:r w:rsidR="00EC2BDB">
        <w:rPr>
          <w:rFonts w:ascii="Arial" w:hAnsi="Arial" w:cs="Arial"/>
        </w:rPr>
        <w:t xml:space="preserve">or </w:t>
      </w:r>
      <w:r w:rsidR="005D315C" w:rsidRPr="00EC2BDB">
        <w:rPr>
          <w:rFonts w:ascii="Arial" w:hAnsi="Arial" w:cs="Arial"/>
        </w:rPr>
        <w:t>interven</w:t>
      </w:r>
      <w:r w:rsidR="00EC2BDB">
        <w:rPr>
          <w:rFonts w:ascii="Arial" w:hAnsi="Arial" w:cs="Arial"/>
        </w:rPr>
        <w:t>e early when someone experiences the signs and symptoms of a mental illness</w:t>
      </w:r>
      <w:r w:rsidR="004D5F71">
        <w:rPr>
          <w:rFonts w:ascii="Arial" w:hAnsi="Arial" w:cs="Arial"/>
        </w:rPr>
        <w:t xml:space="preserve"> – </w:t>
      </w:r>
      <w:r w:rsidRPr="00EC2BDB">
        <w:rPr>
          <w:rFonts w:ascii="Arial" w:hAnsi="Arial" w:cs="Arial"/>
        </w:rPr>
        <w:t>often lead to insurance outcomes that seem disproportionately conservative.</w:t>
      </w:r>
    </w:p>
    <w:p w:rsidR="00717F36" w:rsidRPr="00EC2BDB" w:rsidRDefault="00EC2BDB" w:rsidP="00AC7B08">
      <w:pPr>
        <w:pStyle w:val="ListBullet"/>
        <w:spacing w:before="120"/>
        <w:ind w:left="714" w:hanging="357"/>
        <w:contextualSpacing w:val="0"/>
        <w:rPr>
          <w:rFonts w:ascii="Arial" w:hAnsi="Arial" w:cs="Arial"/>
        </w:rPr>
      </w:pPr>
      <w:r>
        <w:rPr>
          <w:rFonts w:ascii="Arial" w:hAnsi="Arial" w:cs="Arial"/>
        </w:rPr>
        <w:t>Highly relevant i</w:t>
      </w:r>
      <w:r w:rsidR="00717F36" w:rsidRPr="00EC2BDB">
        <w:rPr>
          <w:rFonts w:ascii="Arial" w:hAnsi="Arial" w:cs="Arial"/>
        </w:rPr>
        <w:t xml:space="preserve">ndividual circumstances </w:t>
      </w:r>
      <w:r>
        <w:rPr>
          <w:rFonts w:ascii="Arial" w:hAnsi="Arial" w:cs="Arial"/>
        </w:rPr>
        <w:t xml:space="preserve">are </w:t>
      </w:r>
      <w:r w:rsidR="00717F36" w:rsidRPr="00EC2BDB">
        <w:rPr>
          <w:rFonts w:ascii="Arial" w:hAnsi="Arial" w:cs="Arial"/>
        </w:rPr>
        <w:t xml:space="preserve">often </w:t>
      </w:r>
      <w:r>
        <w:rPr>
          <w:rFonts w:ascii="Arial" w:hAnsi="Arial" w:cs="Arial"/>
        </w:rPr>
        <w:t xml:space="preserve">not sufficiently </w:t>
      </w:r>
      <w:r w:rsidR="00717F36" w:rsidRPr="00EC2BDB">
        <w:rPr>
          <w:rFonts w:ascii="Arial" w:hAnsi="Arial" w:cs="Arial"/>
        </w:rPr>
        <w:t xml:space="preserve">taken into account </w:t>
      </w:r>
      <w:r>
        <w:rPr>
          <w:rFonts w:ascii="Arial" w:hAnsi="Arial" w:cs="Arial"/>
        </w:rPr>
        <w:t>by insurers</w:t>
      </w:r>
      <w:r w:rsidR="00717F36" w:rsidRPr="00EC2BDB">
        <w:rPr>
          <w:rFonts w:ascii="Arial" w:hAnsi="Arial" w:cs="Arial"/>
        </w:rPr>
        <w:t>.</w:t>
      </w:r>
    </w:p>
    <w:p w:rsidR="00717F36" w:rsidRPr="00EC2BDB" w:rsidRDefault="00717F36" w:rsidP="00AC7B08">
      <w:pPr>
        <w:pStyle w:val="ListBullet"/>
        <w:spacing w:before="120"/>
        <w:ind w:left="714" w:hanging="357"/>
        <w:contextualSpacing w:val="0"/>
        <w:rPr>
          <w:rFonts w:ascii="Arial" w:hAnsi="Arial" w:cs="Arial"/>
        </w:rPr>
      </w:pPr>
      <w:r w:rsidRPr="00EC2BDB">
        <w:rPr>
          <w:rFonts w:ascii="Arial" w:hAnsi="Arial" w:cs="Arial"/>
        </w:rPr>
        <w:t xml:space="preserve">In considering the risks associated with mental illness, everyday human experiences, such as stress and fatigue, </w:t>
      </w:r>
      <w:r w:rsidR="00EC2BDB">
        <w:rPr>
          <w:rFonts w:ascii="Arial" w:hAnsi="Arial" w:cs="Arial"/>
        </w:rPr>
        <w:t xml:space="preserve">are </w:t>
      </w:r>
      <w:r w:rsidRPr="00EC2BDB">
        <w:rPr>
          <w:rFonts w:ascii="Arial" w:hAnsi="Arial" w:cs="Arial"/>
        </w:rPr>
        <w:t xml:space="preserve">often </w:t>
      </w:r>
      <w:r w:rsidR="00EC2BDB">
        <w:rPr>
          <w:rFonts w:ascii="Arial" w:hAnsi="Arial" w:cs="Arial"/>
        </w:rPr>
        <w:t xml:space="preserve">conflated with </w:t>
      </w:r>
      <w:r w:rsidRPr="00EC2BDB">
        <w:rPr>
          <w:rFonts w:ascii="Arial" w:hAnsi="Arial" w:cs="Arial"/>
        </w:rPr>
        <w:t>more serious and/or diagnosable conditions.</w:t>
      </w:r>
    </w:p>
    <w:p w:rsidR="00717F36" w:rsidRPr="00EC2BDB" w:rsidRDefault="00717F36" w:rsidP="00AC7B08">
      <w:pPr>
        <w:pStyle w:val="ListBullet"/>
        <w:spacing w:before="120"/>
        <w:ind w:left="714" w:hanging="357"/>
        <w:contextualSpacing w:val="0"/>
        <w:rPr>
          <w:rFonts w:ascii="Arial" w:hAnsi="Arial" w:cs="Arial"/>
        </w:rPr>
      </w:pPr>
      <w:r w:rsidRPr="00EC2BDB">
        <w:rPr>
          <w:rFonts w:ascii="Arial" w:hAnsi="Arial" w:cs="Arial"/>
        </w:rPr>
        <w:t>Very broad exclusion clauses</w:t>
      </w:r>
      <w:r w:rsidR="00EC2BDB">
        <w:rPr>
          <w:rFonts w:ascii="Arial" w:hAnsi="Arial" w:cs="Arial"/>
        </w:rPr>
        <w:t xml:space="preserve"> for mental illness</w:t>
      </w:r>
      <w:r w:rsidRPr="00EC2BDB">
        <w:rPr>
          <w:rFonts w:ascii="Arial" w:hAnsi="Arial" w:cs="Arial"/>
        </w:rPr>
        <w:t xml:space="preserve"> are frequently used, and appear to be applied as standard</w:t>
      </w:r>
      <w:r w:rsidR="00EC2BDB">
        <w:rPr>
          <w:rFonts w:ascii="Arial" w:hAnsi="Arial" w:cs="Arial"/>
        </w:rPr>
        <w:t xml:space="preserve"> practice</w:t>
      </w:r>
      <w:r w:rsidRPr="00EC2BDB">
        <w:rPr>
          <w:rFonts w:ascii="Arial" w:hAnsi="Arial" w:cs="Arial"/>
        </w:rPr>
        <w:t>, without modifications that would take into account the risk associated with a person’s particular diagnosis and other individual circumstances.</w:t>
      </w:r>
    </w:p>
    <w:p w:rsidR="0049588F" w:rsidRPr="00EC2BDB" w:rsidRDefault="00717F36" w:rsidP="006D6295">
      <w:pPr>
        <w:spacing w:before="240"/>
        <w:rPr>
          <w:rFonts w:ascii="Arial" w:hAnsi="Arial" w:cs="Arial"/>
        </w:rPr>
      </w:pPr>
      <w:r w:rsidRPr="00EC2BDB">
        <w:rPr>
          <w:rFonts w:ascii="Arial" w:hAnsi="Arial" w:cs="Arial"/>
        </w:rPr>
        <w:t xml:space="preserve">As well as differences in outcomes, </w:t>
      </w:r>
      <w:r w:rsidR="006D6295" w:rsidRPr="00EC2BDB">
        <w:rPr>
          <w:rFonts w:ascii="Arial" w:hAnsi="Arial" w:cs="Arial"/>
        </w:rPr>
        <w:t xml:space="preserve">mental health </w:t>
      </w:r>
      <w:r w:rsidRPr="00EC2BDB">
        <w:rPr>
          <w:rFonts w:ascii="Arial" w:hAnsi="Arial" w:cs="Arial"/>
        </w:rPr>
        <w:t>consumers</w:t>
      </w:r>
      <w:r w:rsidR="006D6295" w:rsidRPr="00EC2BDB">
        <w:rPr>
          <w:rFonts w:ascii="Arial" w:hAnsi="Arial" w:cs="Arial"/>
        </w:rPr>
        <w:t xml:space="preserve"> face</w:t>
      </w:r>
      <w:r w:rsidRPr="00EC2BDB">
        <w:rPr>
          <w:rFonts w:ascii="Arial" w:hAnsi="Arial" w:cs="Arial"/>
        </w:rPr>
        <w:t xml:space="preserve"> difficulties with the process</w:t>
      </w:r>
      <w:r w:rsidR="00A867AA">
        <w:rPr>
          <w:rFonts w:ascii="Arial" w:hAnsi="Arial" w:cs="Arial"/>
        </w:rPr>
        <w:t xml:space="preserve"> of applying</w:t>
      </w:r>
      <w:r w:rsidRPr="00EC2BDB">
        <w:rPr>
          <w:rFonts w:ascii="Arial" w:hAnsi="Arial" w:cs="Arial"/>
        </w:rPr>
        <w:t xml:space="preserve"> </w:t>
      </w:r>
      <w:r w:rsidR="00EC2BDB">
        <w:rPr>
          <w:rFonts w:ascii="Arial" w:hAnsi="Arial" w:cs="Arial"/>
        </w:rPr>
        <w:t xml:space="preserve">for </w:t>
      </w:r>
      <w:r w:rsidRPr="00EC2BDB">
        <w:rPr>
          <w:rFonts w:ascii="Arial" w:hAnsi="Arial" w:cs="Arial"/>
        </w:rPr>
        <w:t>insurance</w:t>
      </w:r>
      <w:r w:rsidR="00EC2BDB">
        <w:rPr>
          <w:rFonts w:ascii="Arial" w:hAnsi="Arial" w:cs="Arial"/>
        </w:rPr>
        <w:t xml:space="preserve"> and making claims</w:t>
      </w:r>
      <w:r w:rsidRPr="00EC2BDB">
        <w:rPr>
          <w:rFonts w:ascii="Arial" w:hAnsi="Arial" w:cs="Arial"/>
        </w:rPr>
        <w:t xml:space="preserve">. </w:t>
      </w:r>
      <w:r w:rsidR="006113A4">
        <w:rPr>
          <w:rFonts w:ascii="Arial" w:hAnsi="Arial" w:cs="Arial"/>
        </w:rPr>
        <w:t>These difficulties can inhibit consumers’ capacity to convey the full range of information relevant to the application or claim. For example:</w:t>
      </w:r>
    </w:p>
    <w:p w:rsidR="00EC2BDB" w:rsidRDefault="0049588F" w:rsidP="009025DD">
      <w:pPr>
        <w:pStyle w:val="ListBullet"/>
        <w:spacing w:before="120"/>
        <w:ind w:left="714" w:hanging="357"/>
        <w:contextualSpacing w:val="0"/>
        <w:rPr>
          <w:rFonts w:ascii="Arial" w:hAnsi="Arial" w:cs="Arial"/>
        </w:rPr>
      </w:pPr>
      <w:r w:rsidRPr="00EC2BDB">
        <w:rPr>
          <w:rFonts w:ascii="Arial" w:hAnsi="Arial" w:cs="Arial"/>
        </w:rPr>
        <w:t>C</w:t>
      </w:r>
      <w:r w:rsidR="00717F36" w:rsidRPr="00EC2BDB">
        <w:rPr>
          <w:rFonts w:ascii="Arial" w:hAnsi="Arial" w:cs="Arial"/>
        </w:rPr>
        <w:t xml:space="preserve">onsumers </w:t>
      </w:r>
      <w:r w:rsidR="006D6295" w:rsidRPr="00EC2BDB">
        <w:rPr>
          <w:rFonts w:ascii="Arial" w:hAnsi="Arial" w:cs="Arial"/>
        </w:rPr>
        <w:t xml:space="preserve">have reported </w:t>
      </w:r>
      <w:r w:rsidR="00717F36" w:rsidRPr="00EC2BDB">
        <w:rPr>
          <w:rFonts w:ascii="Arial" w:hAnsi="Arial" w:cs="Arial"/>
        </w:rPr>
        <w:t xml:space="preserve">insurance applications and claims assessments </w:t>
      </w:r>
      <w:r w:rsidR="006D6295" w:rsidRPr="00EC2BDB">
        <w:rPr>
          <w:rFonts w:ascii="Arial" w:hAnsi="Arial" w:cs="Arial"/>
        </w:rPr>
        <w:t xml:space="preserve">that </w:t>
      </w:r>
      <w:r w:rsidR="00717F36" w:rsidRPr="00EC2BDB">
        <w:rPr>
          <w:rFonts w:ascii="Arial" w:hAnsi="Arial" w:cs="Arial"/>
        </w:rPr>
        <w:t>are inappropriately handled</w:t>
      </w:r>
      <w:r w:rsidR="00EC2BDB">
        <w:rPr>
          <w:rFonts w:ascii="Arial" w:hAnsi="Arial" w:cs="Arial"/>
        </w:rPr>
        <w:t xml:space="preserve"> by insurance company staff</w:t>
      </w:r>
      <w:r w:rsidR="004D5F71">
        <w:rPr>
          <w:rFonts w:ascii="Arial" w:hAnsi="Arial" w:cs="Arial"/>
        </w:rPr>
        <w:t>,</w:t>
      </w:r>
      <w:r w:rsidR="00717F36" w:rsidRPr="00EC2BDB">
        <w:rPr>
          <w:rFonts w:ascii="Arial" w:hAnsi="Arial" w:cs="Arial"/>
        </w:rPr>
        <w:t xml:space="preserve"> and sometimes distressing.  </w:t>
      </w:r>
    </w:p>
    <w:p w:rsidR="00EC2BDB" w:rsidRDefault="006D6295" w:rsidP="009025DD">
      <w:pPr>
        <w:pStyle w:val="ListBullet"/>
        <w:spacing w:before="120"/>
        <w:ind w:left="714" w:hanging="357"/>
        <w:contextualSpacing w:val="0"/>
        <w:rPr>
          <w:rFonts w:ascii="Arial" w:hAnsi="Arial" w:cs="Arial"/>
        </w:rPr>
      </w:pPr>
      <w:r w:rsidRPr="00EC2BDB">
        <w:rPr>
          <w:rFonts w:ascii="Arial" w:hAnsi="Arial" w:cs="Arial"/>
        </w:rPr>
        <w:t xml:space="preserve">The </w:t>
      </w:r>
      <w:r w:rsidR="0049588F" w:rsidRPr="00EC2BDB">
        <w:rPr>
          <w:rFonts w:ascii="Arial" w:hAnsi="Arial" w:cs="Arial"/>
        </w:rPr>
        <w:t xml:space="preserve">composition and </w:t>
      </w:r>
      <w:r w:rsidRPr="00EC2BDB">
        <w:rPr>
          <w:rFonts w:ascii="Arial" w:hAnsi="Arial" w:cs="Arial"/>
        </w:rPr>
        <w:t xml:space="preserve">content of forms used to disclose a prior mental illness can prevent an accurate and comprehensive representation of a consumer’s situation – for example, by using forced choice options, a limited number of questions and seemingly arbitrary cut-off points (for example, a question that asks about hospitalisation in the last 10 years, or medication use in the last 5 years).  </w:t>
      </w:r>
    </w:p>
    <w:p w:rsidR="00EC2BDB" w:rsidRDefault="00EC2BDB" w:rsidP="009025DD">
      <w:pPr>
        <w:pStyle w:val="ListBullet"/>
        <w:spacing w:before="120"/>
        <w:ind w:left="714" w:hanging="357"/>
        <w:contextualSpacing w:val="0"/>
        <w:rPr>
          <w:rFonts w:ascii="Arial" w:hAnsi="Arial" w:cs="Arial"/>
        </w:rPr>
      </w:pPr>
      <w:r>
        <w:rPr>
          <w:rFonts w:ascii="Arial" w:hAnsi="Arial" w:cs="Arial"/>
        </w:rPr>
        <w:t>T</w:t>
      </w:r>
      <w:r w:rsidRPr="00EC2BDB">
        <w:rPr>
          <w:rFonts w:ascii="Arial" w:hAnsi="Arial" w:cs="Arial"/>
        </w:rPr>
        <w:t xml:space="preserve">here can be </w:t>
      </w:r>
      <w:r>
        <w:rPr>
          <w:rFonts w:ascii="Arial" w:hAnsi="Arial" w:cs="Arial"/>
        </w:rPr>
        <w:t xml:space="preserve">challenges providing </w:t>
      </w:r>
      <w:r w:rsidRPr="00EC2BDB">
        <w:rPr>
          <w:rFonts w:ascii="Arial" w:hAnsi="Arial" w:cs="Arial"/>
        </w:rPr>
        <w:t>proof associated with some mental illnesses, particularly where symptoms and needs fluctuate in severity over time</w:t>
      </w:r>
      <w:r>
        <w:rPr>
          <w:rFonts w:ascii="Arial" w:hAnsi="Arial" w:cs="Arial"/>
        </w:rPr>
        <w:t xml:space="preserve"> or where there is disagreement among medical practitioners regarding diagnosis</w:t>
      </w:r>
      <w:r w:rsidRPr="00EC2BDB">
        <w:rPr>
          <w:rFonts w:ascii="Arial" w:hAnsi="Arial" w:cs="Arial"/>
        </w:rPr>
        <w:t xml:space="preserve">.   </w:t>
      </w:r>
    </w:p>
    <w:p w:rsidR="00EC2BDB" w:rsidRDefault="00EC2BDB" w:rsidP="009025DD">
      <w:pPr>
        <w:pStyle w:val="ListBullet"/>
        <w:spacing w:before="120"/>
        <w:ind w:left="714" w:hanging="357"/>
        <w:contextualSpacing w:val="0"/>
        <w:rPr>
          <w:rFonts w:ascii="Arial" w:hAnsi="Arial" w:cs="Arial"/>
        </w:rPr>
      </w:pPr>
      <w:r>
        <w:rPr>
          <w:rFonts w:ascii="Arial" w:hAnsi="Arial" w:cs="Arial"/>
        </w:rPr>
        <w:t>I</w:t>
      </w:r>
      <w:r w:rsidRPr="00EC2BDB">
        <w:rPr>
          <w:rFonts w:ascii="Arial" w:hAnsi="Arial" w:cs="Arial"/>
        </w:rPr>
        <w:t xml:space="preserve">nsurers’ decisions are often </w:t>
      </w:r>
      <w:r>
        <w:rPr>
          <w:rFonts w:ascii="Arial" w:hAnsi="Arial" w:cs="Arial"/>
        </w:rPr>
        <w:t xml:space="preserve">difficult to challenge </w:t>
      </w:r>
      <w:r w:rsidRPr="00EC2BDB">
        <w:rPr>
          <w:rFonts w:ascii="Arial" w:hAnsi="Arial" w:cs="Arial"/>
        </w:rPr>
        <w:t xml:space="preserve">where the reasons for the decision are not clearly and fully communicated to consumers.  </w:t>
      </w:r>
    </w:p>
    <w:p w:rsidR="00717F36" w:rsidRPr="00EC2BDB" w:rsidRDefault="00EC2BDB" w:rsidP="009025DD">
      <w:pPr>
        <w:pStyle w:val="ListBullet"/>
        <w:spacing w:before="120"/>
        <w:ind w:left="714" w:hanging="357"/>
        <w:contextualSpacing w:val="0"/>
        <w:rPr>
          <w:rFonts w:ascii="Arial" w:hAnsi="Arial" w:cs="Arial"/>
        </w:rPr>
      </w:pPr>
      <w:r w:rsidRPr="00E84677">
        <w:rPr>
          <w:rFonts w:ascii="Arial" w:hAnsi="Arial" w:cs="Arial"/>
        </w:rPr>
        <w:t xml:space="preserve">People with mental illness </w:t>
      </w:r>
      <w:r>
        <w:rPr>
          <w:rFonts w:ascii="Arial" w:hAnsi="Arial" w:cs="Arial"/>
        </w:rPr>
        <w:t xml:space="preserve">also can </w:t>
      </w:r>
      <w:r w:rsidRPr="00E84677">
        <w:rPr>
          <w:rFonts w:ascii="Arial" w:hAnsi="Arial" w:cs="Arial"/>
        </w:rPr>
        <w:t xml:space="preserve">face </w:t>
      </w:r>
      <w:r>
        <w:rPr>
          <w:rFonts w:ascii="Arial" w:hAnsi="Arial" w:cs="Arial"/>
        </w:rPr>
        <w:t>distinctive</w:t>
      </w:r>
      <w:r w:rsidRPr="00E84677">
        <w:rPr>
          <w:rFonts w:ascii="Arial" w:hAnsi="Arial" w:cs="Arial"/>
        </w:rPr>
        <w:t xml:space="preserve"> barriers in engaging with </w:t>
      </w:r>
      <w:r>
        <w:rPr>
          <w:rFonts w:ascii="Arial" w:hAnsi="Arial" w:cs="Arial"/>
        </w:rPr>
        <w:t>a</w:t>
      </w:r>
      <w:r w:rsidRPr="00E84677">
        <w:rPr>
          <w:rFonts w:ascii="Arial" w:hAnsi="Arial" w:cs="Arial"/>
        </w:rPr>
        <w:t xml:space="preserve"> </w:t>
      </w:r>
      <w:r>
        <w:rPr>
          <w:rFonts w:ascii="Arial" w:hAnsi="Arial" w:cs="Arial"/>
        </w:rPr>
        <w:t xml:space="preserve">complaints process, which </w:t>
      </w:r>
      <w:r w:rsidR="004D5F71" w:rsidRPr="00EC2BDB">
        <w:rPr>
          <w:rFonts w:ascii="Arial" w:hAnsi="Arial" w:cs="Arial"/>
        </w:rPr>
        <w:t>can be complicated, drawn-out</w:t>
      </w:r>
      <w:r w:rsidR="006113A4">
        <w:rPr>
          <w:rFonts w:ascii="Arial" w:hAnsi="Arial" w:cs="Arial"/>
        </w:rPr>
        <w:t xml:space="preserve">, </w:t>
      </w:r>
      <w:r w:rsidR="004D5F71" w:rsidRPr="00EC2BDB">
        <w:rPr>
          <w:rFonts w:ascii="Arial" w:hAnsi="Arial" w:cs="Arial"/>
        </w:rPr>
        <w:t>often adversarial in nature</w:t>
      </w:r>
      <w:r w:rsidR="006113A4">
        <w:rPr>
          <w:rFonts w:ascii="Arial" w:hAnsi="Arial" w:cs="Arial"/>
        </w:rPr>
        <w:t>, and daunting for consumers who may be worried about the symptoms of their illness worsening</w:t>
      </w:r>
      <w:r>
        <w:rPr>
          <w:rFonts w:ascii="Arial" w:hAnsi="Arial" w:cs="Arial"/>
        </w:rPr>
        <w:t>.</w:t>
      </w:r>
    </w:p>
    <w:p w:rsidR="00CE6634" w:rsidRDefault="00CE6634" w:rsidP="00D30936">
      <w:pPr>
        <w:spacing w:before="240"/>
        <w:rPr>
          <w:rFonts w:ascii="Arial" w:hAnsi="Arial" w:cs="Arial"/>
        </w:rPr>
      </w:pPr>
      <w:r>
        <w:rPr>
          <w:rFonts w:ascii="Arial" w:hAnsi="Arial" w:cs="Arial"/>
        </w:rPr>
        <w:t xml:space="preserve">The insurance industry has </w:t>
      </w:r>
      <w:r w:rsidRPr="00B979E6">
        <w:rPr>
          <w:rFonts w:ascii="Arial" w:hAnsi="Arial" w:cs="Arial"/>
        </w:rPr>
        <w:t xml:space="preserve">identified a recent growth in insurance claims related to mental illness and other disabilities. Unfortunately, consumers who take preventative or early </w:t>
      </w:r>
      <w:r w:rsidRPr="00B979E6">
        <w:rPr>
          <w:rFonts w:ascii="Arial" w:hAnsi="Arial" w:cs="Arial"/>
        </w:rPr>
        <w:lastRenderedPageBreak/>
        <w:t xml:space="preserve">action to manage the symptoms of mental illness – thereby reducing their insurance risk </w:t>
      </w:r>
      <w:r>
        <w:rPr>
          <w:rFonts w:ascii="Arial" w:hAnsi="Arial" w:cs="Arial"/>
        </w:rPr>
        <w:t xml:space="preserve">compared with someone whose mental illness is undiagnosed and untreated </w:t>
      </w:r>
      <w:r w:rsidRPr="00B979E6">
        <w:rPr>
          <w:rFonts w:ascii="Arial" w:hAnsi="Arial" w:cs="Arial"/>
        </w:rPr>
        <w:t xml:space="preserve">– can be excluded from insurance cover or forced to pay more than their actual risk warrants. For example, insurers commonly stipulate that someone must be treatment-free for a certain period before they can take out cover. </w:t>
      </w:r>
    </w:p>
    <w:p w:rsidR="00CE6634" w:rsidRDefault="00CE6634" w:rsidP="009025DD">
      <w:pPr>
        <w:pStyle w:val="ListBullet"/>
        <w:numPr>
          <w:ilvl w:val="0"/>
          <w:numId w:val="0"/>
        </w:numPr>
        <w:spacing w:before="240"/>
        <w:contextualSpacing w:val="0"/>
        <w:rPr>
          <w:rFonts w:ascii="Arial" w:hAnsi="Arial" w:cs="Arial"/>
        </w:rPr>
      </w:pPr>
      <w:r w:rsidRPr="00B979E6">
        <w:rPr>
          <w:rFonts w:ascii="Arial" w:hAnsi="Arial" w:cs="Arial"/>
        </w:rPr>
        <w:t>Such approach</w:t>
      </w:r>
      <w:r>
        <w:rPr>
          <w:rFonts w:ascii="Arial" w:hAnsi="Arial" w:cs="Arial"/>
        </w:rPr>
        <w:t>es</w:t>
      </w:r>
      <w:r w:rsidRPr="00B979E6">
        <w:rPr>
          <w:rFonts w:ascii="Arial" w:hAnsi="Arial" w:cs="Arial"/>
        </w:rPr>
        <w:t xml:space="preserve"> </w:t>
      </w:r>
      <w:r>
        <w:rPr>
          <w:rFonts w:ascii="Arial" w:hAnsi="Arial" w:cs="Arial"/>
        </w:rPr>
        <w:t xml:space="preserve">discourage people from seeking </w:t>
      </w:r>
      <w:r w:rsidRPr="00B979E6">
        <w:rPr>
          <w:rFonts w:ascii="Arial" w:hAnsi="Arial" w:cs="Arial"/>
        </w:rPr>
        <w:t xml:space="preserve">seek treatment for fear of jeopardising </w:t>
      </w:r>
      <w:r>
        <w:rPr>
          <w:rFonts w:ascii="Arial" w:hAnsi="Arial" w:cs="Arial"/>
        </w:rPr>
        <w:t>their</w:t>
      </w:r>
      <w:r w:rsidRPr="00B979E6">
        <w:rPr>
          <w:rFonts w:ascii="Arial" w:hAnsi="Arial" w:cs="Arial"/>
        </w:rPr>
        <w:t xml:space="preserve"> insuran</w:t>
      </w:r>
      <w:r>
        <w:rPr>
          <w:rFonts w:ascii="Arial" w:hAnsi="Arial" w:cs="Arial"/>
        </w:rPr>
        <w:t>ce cover, and undermine the</w:t>
      </w:r>
      <w:r w:rsidRPr="00B979E6">
        <w:rPr>
          <w:rFonts w:ascii="Arial" w:hAnsi="Arial" w:cs="Arial"/>
        </w:rPr>
        <w:t xml:space="preserve"> many government-funded campaigns and programs to encourage help-seeking.</w:t>
      </w:r>
      <w:r>
        <w:rPr>
          <w:rFonts w:ascii="Arial" w:hAnsi="Arial" w:cs="Arial"/>
        </w:rPr>
        <w:t xml:space="preserve"> That an industry which is based on managing long-term risk takes such a short-sighted approach reinforces the case for government intervention to ensure that people with mental illness have access to the insurance market on fair terms.</w:t>
      </w:r>
    </w:p>
    <w:p w:rsidR="006D6295" w:rsidRPr="00EC2BDB" w:rsidRDefault="006D6295" w:rsidP="00AC7B08">
      <w:pPr>
        <w:pStyle w:val="ListBullet"/>
        <w:numPr>
          <w:ilvl w:val="0"/>
          <w:numId w:val="0"/>
        </w:numPr>
        <w:ind w:left="360" w:hanging="360"/>
        <w:contextualSpacing w:val="0"/>
        <w:rPr>
          <w:rFonts w:ascii="Arial" w:hAnsi="Arial" w:cs="Arial"/>
        </w:rPr>
      </w:pPr>
    </w:p>
    <w:p w:rsidR="00717F36" w:rsidRPr="00EC2BDB" w:rsidRDefault="003337D0" w:rsidP="00AC7B08">
      <w:pPr>
        <w:rPr>
          <w:rFonts w:ascii="Arial" w:hAnsi="Arial" w:cs="Arial"/>
          <w:b/>
        </w:rPr>
      </w:pPr>
      <w:r w:rsidRPr="00EC2BDB">
        <w:rPr>
          <w:rFonts w:ascii="Arial" w:hAnsi="Arial" w:cs="Arial"/>
          <w:b/>
        </w:rPr>
        <w:t>The Disability Discrimination Act</w:t>
      </w:r>
    </w:p>
    <w:p w:rsidR="003337D0" w:rsidRPr="00EC2BDB" w:rsidRDefault="00CE6634" w:rsidP="00253A70">
      <w:pPr>
        <w:spacing w:before="200"/>
        <w:rPr>
          <w:rFonts w:ascii="Arial" w:hAnsi="Arial" w:cs="Arial"/>
        </w:rPr>
      </w:pPr>
      <w:r>
        <w:rPr>
          <w:rFonts w:ascii="Arial" w:hAnsi="Arial" w:cs="Arial"/>
        </w:rPr>
        <w:t>Section 46 of t</w:t>
      </w:r>
      <w:r w:rsidR="00FA2483" w:rsidRPr="00EC2BDB">
        <w:rPr>
          <w:rFonts w:ascii="Arial" w:hAnsi="Arial" w:cs="Arial"/>
        </w:rPr>
        <w:t xml:space="preserve">he </w:t>
      </w:r>
      <w:r w:rsidR="000B5A27" w:rsidRPr="00EC2BDB">
        <w:rPr>
          <w:rFonts w:ascii="Arial" w:hAnsi="Arial" w:cs="Arial"/>
          <w:i/>
        </w:rPr>
        <w:t>Disability Discrimination Act</w:t>
      </w:r>
      <w:r w:rsidR="000B5A27" w:rsidRPr="00EC2BDB">
        <w:rPr>
          <w:rFonts w:ascii="Arial" w:hAnsi="Arial" w:cs="Arial"/>
        </w:rPr>
        <w:t xml:space="preserve"> (Cth) 1992 (the DDA)</w:t>
      </w:r>
      <w:r w:rsidR="00FA2483" w:rsidRPr="00EC2BDB">
        <w:rPr>
          <w:rFonts w:ascii="Arial" w:hAnsi="Arial" w:cs="Arial"/>
        </w:rPr>
        <w:t xml:space="preserve"> </w:t>
      </w:r>
      <w:r w:rsidR="003337D0" w:rsidRPr="00EC2BDB">
        <w:rPr>
          <w:rFonts w:ascii="Arial" w:hAnsi="Arial" w:cs="Arial"/>
        </w:rPr>
        <w:t xml:space="preserve">provides </w:t>
      </w:r>
      <w:r w:rsidR="000B5A27" w:rsidRPr="00EC2BDB">
        <w:rPr>
          <w:rFonts w:ascii="Arial" w:hAnsi="Arial" w:cs="Arial"/>
        </w:rPr>
        <w:t xml:space="preserve">that discrimination </w:t>
      </w:r>
      <w:r>
        <w:rPr>
          <w:rFonts w:ascii="Arial" w:hAnsi="Arial" w:cs="Arial"/>
        </w:rPr>
        <w:t>by</w:t>
      </w:r>
      <w:r w:rsidRPr="00EC2BDB">
        <w:rPr>
          <w:rFonts w:ascii="Arial" w:hAnsi="Arial" w:cs="Arial"/>
        </w:rPr>
        <w:t xml:space="preserve"> </w:t>
      </w:r>
      <w:r w:rsidR="000B5A27" w:rsidRPr="00EC2BDB">
        <w:rPr>
          <w:rFonts w:ascii="Arial" w:hAnsi="Arial" w:cs="Arial"/>
        </w:rPr>
        <w:t xml:space="preserve">insurance </w:t>
      </w:r>
      <w:r>
        <w:rPr>
          <w:rFonts w:ascii="Arial" w:hAnsi="Arial" w:cs="Arial"/>
        </w:rPr>
        <w:t>or superannuation providers</w:t>
      </w:r>
      <w:r w:rsidR="009025DD">
        <w:rPr>
          <w:rFonts w:ascii="Arial" w:hAnsi="Arial" w:cs="Arial"/>
        </w:rPr>
        <w:t xml:space="preserve"> </w:t>
      </w:r>
      <w:r w:rsidR="000B5A27" w:rsidRPr="00EC2BDB">
        <w:rPr>
          <w:rFonts w:ascii="Arial" w:hAnsi="Arial" w:cs="Arial"/>
        </w:rPr>
        <w:t xml:space="preserve">on the basis of disability (including mental illness) </w:t>
      </w:r>
      <w:r>
        <w:rPr>
          <w:rFonts w:ascii="Arial" w:hAnsi="Arial" w:cs="Arial"/>
        </w:rPr>
        <w:t>is</w:t>
      </w:r>
      <w:r w:rsidRPr="00EC2BDB">
        <w:rPr>
          <w:rFonts w:ascii="Arial" w:hAnsi="Arial" w:cs="Arial"/>
        </w:rPr>
        <w:t xml:space="preserve"> </w:t>
      </w:r>
      <w:r w:rsidR="000B5A27" w:rsidRPr="00EC2BDB">
        <w:rPr>
          <w:rFonts w:ascii="Arial" w:hAnsi="Arial" w:cs="Arial"/>
        </w:rPr>
        <w:t>not un</w:t>
      </w:r>
      <w:r w:rsidR="00FA2483" w:rsidRPr="00EC2BDB">
        <w:rPr>
          <w:rFonts w:ascii="Arial" w:hAnsi="Arial" w:cs="Arial"/>
        </w:rPr>
        <w:t xml:space="preserve">lawful in certain circumstances, namely </w:t>
      </w:r>
      <w:r w:rsidR="004D5F71">
        <w:rPr>
          <w:rFonts w:ascii="Arial" w:hAnsi="Arial" w:cs="Arial"/>
        </w:rPr>
        <w:t>where</w:t>
      </w:r>
      <w:r w:rsidR="004D5F71" w:rsidRPr="00EC2BDB">
        <w:rPr>
          <w:rFonts w:ascii="Arial" w:hAnsi="Arial" w:cs="Arial"/>
        </w:rPr>
        <w:t xml:space="preserve"> </w:t>
      </w:r>
      <w:r w:rsidR="00FA2483" w:rsidRPr="00EC2BDB">
        <w:rPr>
          <w:rFonts w:ascii="Arial" w:hAnsi="Arial" w:cs="Arial"/>
        </w:rPr>
        <w:t xml:space="preserve">there exist actuarial or statistical data </w:t>
      </w:r>
      <w:r w:rsidRPr="00EC2BDB">
        <w:rPr>
          <w:rFonts w:ascii="Arial" w:hAnsi="Arial" w:cs="Arial"/>
        </w:rPr>
        <w:t>on which it is reasonable to rely</w:t>
      </w:r>
      <w:r>
        <w:rPr>
          <w:rFonts w:ascii="Arial" w:hAnsi="Arial" w:cs="Arial"/>
        </w:rPr>
        <w:t>.</w:t>
      </w:r>
      <w:r w:rsidR="003C7F7B">
        <w:rPr>
          <w:rFonts w:ascii="Arial" w:hAnsi="Arial" w:cs="Arial"/>
        </w:rPr>
        <w:t xml:space="preserve">  Where no actuarial or statistical data exists, insurance companies may rely on ‘other relevant factors’ to support their decision to discriminate.</w:t>
      </w:r>
      <w:r w:rsidRPr="00CE6634">
        <w:rPr>
          <w:rFonts w:ascii="Arial" w:hAnsi="Arial" w:cs="Arial"/>
        </w:rPr>
        <w:t xml:space="preserve"> </w:t>
      </w:r>
      <w:r>
        <w:rPr>
          <w:rFonts w:ascii="Arial" w:hAnsi="Arial" w:cs="Arial"/>
        </w:rPr>
        <w:t xml:space="preserve"> </w:t>
      </w:r>
    </w:p>
    <w:p w:rsidR="00594335" w:rsidRPr="00EC2BDB" w:rsidRDefault="003337D0" w:rsidP="006D6295">
      <w:pPr>
        <w:spacing w:before="240"/>
        <w:rPr>
          <w:rFonts w:ascii="Arial" w:hAnsi="Arial" w:cs="Arial"/>
        </w:rPr>
      </w:pPr>
      <w:r w:rsidRPr="00EC2BDB">
        <w:rPr>
          <w:rFonts w:ascii="Arial" w:hAnsi="Arial" w:cs="Arial"/>
        </w:rPr>
        <w:t xml:space="preserve">In principle, </w:t>
      </w:r>
      <w:r w:rsidR="000535DD" w:rsidRPr="00EC2BDB">
        <w:rPr>
          <w:rFonts w:ascii="Arial" w:hAnsi="Arial" w:cs="Arial"/>
        </w:rPr>
        <w:t>th</w:t>
      </w:r>
      <w:r w:rsidR="00CE6634">
        <w:rPr>
          <w:rFonts w:ascii="Arial" w:hAnsi="Arial" w:cs="Arial"/>
        </w:rPr>
        <w:t>e</w:t>
      </w:r>
      <w:r w:rsidR="000B5A27" w:rsidRPr="00EC2BDB">
        <w:rPr>
          <w:rFonts w:ascii="Arial" w:hAnsi="Arial" w:cs="Arial"/>
        </w:rPr>
        <w:t xml:space="preserve"> exemption </w:t>
      </w:r>
      <w:r w:rsidR="00610296">
        <w:rPr>
          <w:rFonts w:ascii="Arial" w:hAnsi="Arial" w:cs="Arial"/>
        </w:rPr>
        <w:t>in s</w:t>
      </w:r>
      <w:r w:rsidR="00CE6634">
        <w:rPr>
          <w:rFonts w:ascii="Arial" w:hAnsi="Arial" w:cs="Arial"/>
        </w:rPr>
        <w:t xml:space="preserve">46 is a practical acknowledgement of </w:t>
      </w:r>
      <w:r w:rsidR="00CE6634" w:rsidRPr="00EC2BDB">
        <w:rPr>
          <w:rFonts w:ascii="Arial" w:hAnsi="Arial" w:cs="Arial"/>
        </w:rPr>
        <w:t>the insurance business model</w:t>
      </w:r>
      <w:r w:rsidR="00CE6634">
        <w:rPr>
          <w:rFonts w:ascii="Arial" w:hAnsi="Arial" w:cs="Arial"/>
        </w:rPr>
        <w:t>, which relies on the ability to</w:t>
      </w:r>
      <w:r w:rsidR="000B5A27" w:rsidRPr="00EC2BDB">
        <w:rPr>
          <w:rFonts w:ascii="Arial" w:hAnsi="Arial" w:cs="Arial"/>
        </w:rPr>
        <w:t xml:space="preserve"> </w:t>
      </w:r>
      <w:r w:rsidR="00594335" w:rsidRPr="00EC2BDB">
        <w:rPr>
          <w:rFonts w:ascii="Arial" w:hAnsi="Arial" w:cs="Arial"/>
        </w:rPr>
        <w:t>distinguish</w:t>
      </w:r>
      <w:r w:rsidR="000B5A27" w:rsidRPr="00EC2BDB">
        <w:rPr>
          <w:rFonts w:ascii="Arial" w:hAnsi="Arial" w:cs="Arial"/>
        </w:rPr>
        <w:t xml:space="preserve"> between levels of risk. </w:t>
      </w:r>
      <w:r w:rsidR="00511744" w:rsidRPr="00EC2BDB">
        <w:rPr>
          <w:rFonts w:ascii="Arial" w:hAnsi="Arial" w:cs="Arial"/>
        </w:rPr>
        <w:t xml:space="preserve"> </w:t>
      </w:r>
      <w:r w:rsidR="000535DD" w:rsidRPr="00EC2BDB">
        <w:rPr>
          <w:rFonts w:ascii="Arial" w:hAnsi="Arial" w:cs="Arial"/>
        </w:rPr>
        <w:t>In practice</w:t>
      </w:r>
      <w:r w:rsidR="00B56C54" w:rsidRPr="00EC2BDB">
        <w:rPr>
          <w:rFonts w:ascii="Arial" w:hAnsi="Arial" w:cs="Arial"/>
        </w:rPr>
        <w:t>,</w:t>
      </w:r>
      <w:r w:rsidR="000535DD" w:rsidRPr="00EC2BDB">
        <w:rPr>
          <w:rFonts w:ascii="Arial" w:hAnsi="Arial" w:cs="Arial"/>
        </w:rPr>
        <w:t xml:space="preserve"> however</w:t>
      </w:r>
      <w:r w:rsidR="00B56C54" w:rsidRPr="00EC2BDB">
        <w:rPr>
          <w:rFonts w:ascii="Arial" w:hAnsi="Arial" w:cs="Arial"/>
        </w:rPr>
        <w:t>,</w:t>
      </w:r>
      <w:r w:rsidR="000535DD" w:rsidRPr="00EC2BDB">
        <w:rPr>
          <w:rFonts w:ascii="Arial" w:hAnsi="Arial" w:cs="Arial"/>
        </w:rPr>
        <w:t xml:space="preserve"> </w:t>
      </w:r>
      <w:r w:rsidR="00CE6634">
        <w:rPr>
          <w:rFonts w:ascii="Arial" w:hAnsi="Arial" w:cs="Arial"/>
        </w:rPr>
        <w:t xml:space="preserve">exempting insurers from anti-discrimination law in this way has led to </w:t>
      </w:r>
      <w:r w:rsidR="00276801" w:rsidRPr="00EC2BDB">
        <w:rPr>
          <w:rFonts w:ascii="Arial" w:hAnsi="Arial" w:cs="Arial"/>
        </w:rPr>
        <w:t xml:space="preserve">unfair and </w:t>
      </w:r>
      <w:r w:rsidR="000B5A27" w:rsidRPr="00EC2BDB">
        <w:rPr>
          <w:rFonts w:ascii="Arial" w:hAnsi="Arial" w:cs="Arial"/>
        </w:rPr>
        <w:t>unreasonable outcomes</w:t>
      </w:r>
      <w:r w:rsidR="00CE6634">
        <w:rPr>
          <w:rFonts w:ascii="Arial" w:hAnsi="Arial" w:cs="Arial"/>
        </w:rPr>
        <w:t xml:space="preserve"> for </w:t>
      </w:r>
      <w:r w:rsidR="00594335" w:rsidRPr="00EC2BDB">
        <w:rPr>
          <w:rFonts w:ascii="Arial" w:hAnsi="Arial" w:cs="Arial"/>
        </w:rPr>
        <w:t>people with mental illness</w:t>
      </w:r>
      <w:r w:rsidR="00CE6634">
        <w:rPr>
          <w:rFonts w:ascii="Arial" w:hAnsi="Arial" w:cs="Arial"/>
        </w:rPr>
        <w:t xml:space="preserve">, both </w:t>
      </w:r>
      <w:r w:rsidR="00594335" w:rsidRPr="00EC2BDB">
        <w:rPr>
          <w:rFonts w:ascii="Arial" w:hAnsi="Arial" w:cs="Arial"/>
        </w:rPr>
        <w:t>when compared with people with other</w:t>
      </w:r>
      <w:r w:rsidR="00CE6634">
        <w:rPr>
          <w:rFonts w:ascii="Arial" w:hAnsi="Arial" w:cs="Arial"/>
        </w:rPr>
        <w:t xml:space="preserve"> kinds of</w:t>
      </w:r>
      <w:r w:rsidR="00594335" w:rsidRPr="00EC2BDB">
        <w:rPr>
          <w:rFonts w:ascii="Arial" w:hAnsi="Arial" w:cs="Arial"/>
        </w:rPr>
        <w:t xml:space="preserve"> disability</w:t>
      </w:r>
      <w:r w:rsidR="00B255ED" w:rsidRPr="00EC2BDB">
        <w:rPr>
          <w:rFonts w:ascii="Arial" w:hAnsi="Arial" w:cs="Arial"/>
        </w:rPr>
        <w:t xml:space="preserve"> </w:t>
      </w:r>
      <w:r w:rsidR="00CE6634">
        <w:rPr>
          <w:rFonts w:ascii="Arial" w:hAnsi="Arial" w:cs="Arial"/>
        </w:rPr>
        <w:t>and when compared with the broader Australian population</w:t>
      </w:r>
      <w:r w:rsidR="00594335" w:rsidRPr="00EC2BDB">
        <w:rPr>
          <w:rFonts w:ascii="Arial" w:hAnsi="Arial" w:cs="Arial"/>
        </w:rPr>
        <w:t>.</w:t>
      </w:r>
      <w:r w:rsidR="004D5F71" w:rsidRPr="004D5F71">
        <w:rPr>
          <w:rFonts w:ascii="Arial" w:hAnsi="Arial" w:cs="Arial"/>
        </w:rPr>
        <w:t xml:space="preserve"> </w:t>
      </w:r>
      <w:r w:rsidR="004D5F71">
        <w:rPr>
          <w:rFonts w:ascii="Arial" w:hAnsi="Arial" w:cs="Arial"/>
        </w:rPr>
        <w:t xml:space="preserve"> Indeed, t</w:t>
      </w:r>
      <w:r w:rsidR="004D5F71" w:rsidRPr="00EC2BDB">
        <w:rPr>
          <w:rFonts w:ascii="Arial" w:hAnsi="Arial" w:cs="Arial"/>
        </w:rPr>
        <w:t xml:space="preserve">he MHCA believes that despite – and in some cases, because of – the provisions of s46, many people with experience of mental illness face unequal treatment and recognition </w:t>
      </w:r>
      <w:r w:rsidR="004D5F71">
        <w:rPr>
          <w:rFonts w:ascii="Arial" w:hAnsi="Arial" w:cs="Arial"/>
        </w:rPr>
        <w:t xml:space="preserve">before the law </w:t>
      </w:r>
      <w:r w:rsidR="004D5F71" w:rsidRPr="00EC2BDB">
        <w:rPr>
          <w:rFonts w:ascii="Arial" w:hAnsi="Arial" w:cs="Arial"/>
        </w:rPr>
        <w:t xml:space="preserve">in </w:t>
      </w:r>
      <w:r w:rsidR="004D5F71">
        <w:rPr>
          <w:rFonts w:ascii="Arial" w:hAnsi="Arial" w:cs="Arial"/>
        </w:rPr>
        <w:t xml:space="preserve">the context of </w:t>
      </w:r>
      <w:r w:rsidR="004D5F71" w:rsidRPr="00EC2BDB">
        <w:rPr>
          <w:rFonts w:ascii="Arial" w:hAnsi="Arial" w:cs="Arial"/>
        </w:rPr>
        <w:t xml:space="preserve">insurance.  </w:t>
      </w:r>
    </w:p>
    <w:p w:rsidR="00CE6634" w:rsidRDefault="00FB3F7B" w:rsidP="006D6295">
      <w:pPr>
        <w:spacing w:before="240"/>
        <w:rPr>
          <w:rFonts w:ascii="Arial" w:hAnsi="Arial" w:cs="Arial"/>
        </w:rPr>
      </w:pPr>
      <w:r w:rsidRPr="00EC2BDB">
        <w:rPr>
          <w:rFonts w:ascii="Arial" w:hAnsi="Arial" w:cs="Arial"/>
        </w:rPr>
        <w:t>T</w:t>
      </w:r>
      <w:r w:rsidR="00A20778">
        <w:rPr>
          <w:rFonts w:ascii="Arial" w:hAnsi="Arial" w:cs="Arial"/>
        </w:rPr>
        <w:t>o the extent that t</w:t>
      </w:r>
      <w:r w:rsidR="002D705E" w:rsidRPr="00EC2BDB">
        <w:rPr>
          <w:rFonts w:ascii="Arial" w:hAnsi="Arial" w:cs="Arial"/>
        </w:rPr>
        <w:t xml:space="preserve">he </w:t>
      </w:r>
      <w:r w:rsidR="00594335" w:rsidRPr="00EC2BDB">
        <w:rPr>
          <w:rFonts w:ascii="Arial" w:hAnsi="Arial" w:cs="Arial"/>
        </w:rPr>
        <w:t xml:space="preserve">protection </w:t>
      </w:r>
      <w:r w:rsidR="000535DD" w:rsidRPr="00EC2BDB">
        <w:rPr>
          <w:rFonts w:ascii="Arial" w:hAnsi="Arial" w:cs="Arial"/>
        </w:rPr>
        <w:t xml:space="preserve">offered by </w:t>
      </w:r>
      <w:r w:rsidR="00FA2483" w:rsidRPr="00EC2BDB">
        <w:rPr>
          <w:rFonts w:ascii="Arial" w:hAnsi="Arial" w:cs="Arial"/>
        </w:rPr>
        <w:t xml:space="preserve">s46 </w:t>
      </w:r>
      <w:r w:rsidR="009C1BD2">
        <w:rPr>
          <w:rFonts w:ascii="Arial" w:hAnsi="Arial" w:cs="Arial"/>
        </w:rPr>
        <w:t xml:space="preserve">of the </w:t>
      </w:r>
      <w:r w:rsidR="00FA2483" w:rsidRPr="00EC2BDB">
        <w:rPr>
          <w:rFonts w:ascii="Arial" w:hAnsi="Arial" w:cs="Arial"/>
        </w:rPr>
        <w:t xml:space="preserve">DDA </w:t>
      </w:r>
      <w:r w:rsidR="00A20778">
        <w:rPr>
          <w:rFonts w:ascii="Arial" w:hAnsi="Arial" w:cs="Arial"/>
        </w:rPr>
        <w:t xml:space="preserve">relates to </w:t>
      </w:r>
      <w:r w:rsidR="009C1BD2">
        <w:rPr>
          <w:rFonts w:ascii="Arial" w:hAnsi="Arial" w:cs="Arial"/>
        </w:rPr>
        <w:t>available statistical or actuarial data</w:t>
      </w:r>
      <w:r w:rsidR="00A20778" w:rsidRPr="00A20778">
        <w:rPr>
          <w:rFonts w:ascii="Arial" w:hAnsi="Arial" w:cs="Arial"/>
        </w:rPr>
        <w:t xml:space="preserve">, </w:t>
      </w:r>
      <w:r w:rsidR="009C1BD2">
        <w:rPr>
          <w:rFonts w:ascii="Arial" w:hAnsi="Arial" w:cs="Arial"/>
        </w:rPr>
        <w:t>this data must also be reasonable to rely on</w:t>
      </w:r>
      <w:r w:rsidR="00CE6634">
        <w:rPr>
          <w:rFonts w:ascii="Arial" w:hAnsi="Arial" w:cs="Arial"/>
        </w:rPr>
        <w:t xml:space="preserve">.  Unfortunately, the body of evidence in the public domain </w:t>
      </w:r>
      <w:r w:rsidR="002D705E" w:rsidRPr="00EC2BDB">
        <w:rPr>
          <w:rFonts w:ascii="Arial" w:hAnsi="Arial" w:cs="Arial"/>
        </w:rPr>
        <w:t xml:space="preserve">is </w:t>
      </w:r>
      <w:r w:rsidR="00CE6634">
        <w:rPr>
          <w:rFonts w:ascii="Arial" w:hAnsi="Arial" w:cs="Arial"/>
        </w:rPr>
        <w:t xml:space="preserve">far from robust and </w:t>
      </w:r>
      <w:r w:rsidR="009C1BD2">
        <w:rPr>
          <w:rFonts w:ascii="Arial" w:hAnsi="Arial" w:cs="Arial"/>
        </w:rPr>
        <w:t xml:space="preserve">the MHCA believes that it </w:t>
      </w:r>
      <w:r w:rsidR="00CE6634">
        <w:rPr>
          <w:rFonts w:ascii="Arial" w:hAnsi="Arial" w:cs="Arial"/>
        </w:rPr>
        <w:t xml:space="preserve">is not well </w:t>
      </w:r>
      <w:r w:rsidR="002D705E" w:rsidRPr="00EC2BDB">
        <w:rPr>
          <w:rFonts w:ascii="Arial" w:hAnsi="Arial" w:cs="Arial"/>
        </w:rPr>
        <w:t>understood or consistently applied</w:t>
      </w:r>
      <w:r w:rsidR="00CE6634">
        <w:rPr>
          <w:rFonts w:ascii="Arial" w:hAnsi="Arial" w:cs="Arial"/>
        </w:rPr>
        <w:t xml:space="preserve"> by insurers</w:t>
      </w:r>
      <w:r w:rsidR="002D705E" w:rsidRPr="00EC2BDB">
        <w:rPr>
          <w:rFonts w:ascii="Arial" w:hAnsi="Arial" w:cs="Arial"/>
        </w:rPr>
        <w:t xml:space="preserve">.  </w:t>
      </w:r>
      <w:r w:rsidR="00CE6634">
        <w:rPr>
          <w:rFonts w:ascii="Arial" w:hAnsi="Arial" w:cs="Arial"/>
        </w:rPr>
        <w:t xml:space="preserve">Further, because actuarial processes are </w:t>
      </w:r>
      <w:r w:rsidR="00CE6634" w:rsidRPr="00EC2BDB">
        <w:rPr>
          <w:rFonts w:ascii="Arial" w:hAnsi="Arial" w:cs="Arial"/>
        </w:rPr>
        <w:t xml:space="preserve">commercial-in-confidence, it is difficult (if not impossible) to determine whether insurers possess </w:t>
      </w:r>
      <w:r w:rsidR="00CE6634">
        <w:rPr>
          <w:rFonts w:ascii="Arial" w:hAnsi="Arial" w:cs="Arial"/>
        </w:rPr>
        <w:t xml:space="preserve">proprietary </w:t>
      </w:r>
      <w:r w:rsidR="00CE6634" w:rsidRPr="00EC2BDB">
        <w:rPr>
          <w:rFonts w:ascii="Arial" w:hAnsi="Arial" w:cs="Arial"/>
        </w:rPr>
        <w:t xml:space="preserve">data that would enable a reasonable assessment of risk to be made.  Despite many requests, </w:t>
      </w:r>
      <w:r w:rsidR="00CE6634">
        <w:rPr>
          <w:rFonts w:ascii="Arial" w:hAnsi="Arial" w:cs="Arial"/>
        </w:rPr>
        <w:t xml:space="preserve">the MHCA is </w:t>
      </w:r>
      <w:r w:rsidR="00CE6634" w:rsidRPr="00EC2BDB">
        <w:rPr>
          <w:rFonts w:ascii="Arial" w:hAnsi="Arial" w:cs="Arial"/>
        </w:rPr>
        <w:t xml:space="preserve">yet to see evidence that such data exist, and have seen notable evidence to the contrary.  </w:t>
      </w:r>
    </w:p>
    <w:p w:rsidR="00DD21A1" w:rsidRPr="00EC2BDB" w:rsidRDefault="00FA2483" w:rsidP="006D6295">
      <w:pPr>
        <w:spacing w:before="240"/>
        <w:rPr>
          <w:rFonts w:ascii="Arial" w:hAnsi="Arial" w:cs="Arial"/>
        </w:rPr>
      </w:pPr>
      <w:r w:rsidRPr="00EC2BDB">
        <w:rPr>
          <w:rFonts w:ascii="Arial" w:hAnsi="Arial" w:cs="Arial"/>
        </w:rPr>
        <w:t xml:space="preserve">For example, </w:t>
      </w:r>
      <w:r w:rsidR="00CE6634">
        <w:rPr>
          <w:rFonts w:ascii="Arial" w:hAnsi="Arial" w:cs="Arial"/>
        </w:rPr>
        <w:t xml:space="preserve">the MHCA is </w:t>
      </w:r>
      <w:r w:rsidRPr="00EC2BDB">
        <w:rPr>
          <w:rFonts w:ascii="Arial" w:hAnsi="Arial" w:cs="Arial"/>
        </w:rPr>
        <w:t xml:space="preserve">aware of insurers providing general information brochures on mental illness or </w:t>
      </w:r>
      <w:r w:rsidR="00CE6634">
        <w:rPr>
          <w:rFonts w:ascii="Arial" w:hAnsi="Arial" w:cs="Arial"/>
        </w:rPr>
        <w:t xml:space="preserve">academic </w:t>
      </w:r>
      <w:r w:rsidRPr="00EC2BDB">
        <w:rPr>
          <w:rFonts w:ascii="Arial" w:hAnsi="Arial" w:cs="Arial"/>
        </w:rPr>
        <w:t xml:space="preserve">papers </w:t>
      </w:r>
      <w:r w:rsidR="00CE6634">
        <w:rPr>
          <w:rFonts w:ascii="Arial" w:hAnsi="Arial" w:cs="Arial"/>
        </w:rPr>
        <w:t xml:space="preserve">describing </w:t>
      </w:r>
      <w:r w:rsidRPr="00EC2BDB">
        <w:rPr>
          <w:rFonts w:ascii="Arial" w:hAnsi="Arial" w:cs="Arial"/>
        </w:rPr>
        <w:t>single clinical studies as grounds for a decision</w:t>
      </w:r>
      <w:r w:rsidR="00CE6634">
        <w:rPr>
          <w:rFonts w:ascii="Arial" w:hAnsi="Arial" w:cs="Arial"/>
        </w:rPr>
        <w:t xml:space="preserve"> to reject an application for insurance</w:t>
      </w:r>
      <w:r w:rsidRPr="00EC2BDB">
        <w:rPr>
          <w:rFonts w:ascii="Arial" w:hAnsi="Arial" w:cs="Arial"/>
        </w:rPr>
        <w:t xml:space="preserve">.  Such responses indicate a </w:t>
      </w:r>
      <w:r w:rsidR="00CE6634">
        <w:rPr>
          <w:rFonts w:ascii="Arial" w:hAnsi="Arial" w:cs="Arial"/>
        </w:rPr>
        <w:t xml:space="preserve">profound misunderstanding </w:t>
      </w:r>
      <w:r w:rsidRPr="00EC2BDB">
        <w:rPr>
          <w:rFonts w:ascii="Arial" w:hAnsi="Arial" w:cs="Arial"/>
        </w:rPr>
        <w:t xml:space="preserve">within the insurance industry of mental </w:t>
      </w:r>
      <w:r w:rsidR="009025DD">
        <w:rPr>
          <w:rFonts w:ascii="Arial" w:hAnsi="Arial" w:cs="Arial"/>
        </w:rPr>
        <w:t>health issu</w:t>
      </w:r>
      <w:r w:rsidR="00CE6634">
        <w:rPr>
          <w:rFonts w:ascii="Arial" w:hAnsi="Arial" w:cs="Arial"/>
        </w:rPr>
        <w:t>es generally, as well as an inability to use data to make reasonable decisions reflecting the actual risk of someone making a claim</w:t>
      </w:r>
      <w:r w:rsidRPr="00EC2BDB">
        <w:rPr>
          <w:rFonts w:ascii="Arial" w:hAnsi="Arial" w:cs="Arial"/>
        </w:rPr>
        <w:t>.</w:t>
      </w:r>
    </w:p>
    <w:p w:rsidR="00EC29E6" w:rsidRPr="00EC2BDB" w:rsidRDefault="00CE6634" w:rsidP="006D6295">
      <w:pPr>
        <w:spacing w:before="240"/>
        <w:rPr>
          <w:rFonts w:ascii="Arial" w:hAnsi="Arial" w:cs="Arial"/>
        </w:rPr>
      </w:pPr>
      <w:r>
        <w:rPr>
          <w:rFonts w:ascii="Arial" w:hAnsi="Arial" w:cs="Arial"/>
        </w:rPr>
        <w:t>T</w:t>
      </w:r>
      <w:r w:rsidR="00EC29E6" w:rsidRPr="00EC2BDB">
        <w:rPr>
          <w:rFonts w:ascii="Arial" w:hAnsi="Arial" w:cs="Arial"/>
        </w:rPr>
        <w:t xml:space="preserve">here </w:t>
      </w:r>
      <w:r w:rsidR="00B56C54" w:rsidRPr="00EC2BDB">
        <w:rPr>
          <w:rFonts w:ascii="Arial" w:hAnsi="Arial" w:cs="Arial"/>
        </w:rPr>
        <w:t xml:space="preserve">is </w:t>
      </w:r>
      <w:r w:rsidR="00594335" w:rsidRPr="00EC2BDB">
        <w:rPr>
          <w:rFonts w:ascii="Arial" w:hAnsi="Arial" w:cs="Arial"/>
        </w:rPr>
        <w:t xml:space="preserve">little to no independent oversight of </w:t>
      </w:r>
      <w:r>
        <w:rPr>
          <w:rFonts w:ascii="Arial" w:hAnsi="Arial" w:cs="Arial"/>
        </w:rPr>
        <w:t xml:space="preserve">how data is used by insurers, and consumers have </w:t>
      </w:r>
      <w:r w:rsidR="00594335" w:rsidRPr="00EC2BDB">
        <w:rPr>
          <w:rFonts w:ascii="Arial" w:hAnsi="Arial" w:cs="Arial"/>
        </w:rPr>
        <w:t xml:space="preserve">very </w:t>
      </w:r>
      <w:r w:rsidR="00EC29E6" w:rsidRPr="00EC2BDB">
        <w:rPr>
          <w:rFonts w:ascii="Arial" w:hAnsi="Arial" w:cs="Arial"/>
        </w:rPr>
        <w:t xml:space="preserve">limited power to </w:t>
      </w:r>
      <w:r>
        <w:rPr>
          <w:rFonts w:ascii="Arial" w:hAnsi="Arial" w:cs="Arial"/>
        </w:rPr>
        <w:t>access information that would reveal how insurance decisions are made</w:t>
      </w:r>
      <w:r w:rsidR="00EC29E6" w:rsidRPr="00EC2BDB">
        <w:rPr>
          <w:rFonts w:ascii="Arial" w:hAnsi="Arial" w:cs="Arial"/>
        </w:rPr>
        <w:t xml:space="preserve">.  As a result insurers </w:t>
      </w:r>
      <w:r>
        <w:rPr>
          <w:rFonts w:ascii="Arial" w:hAnsi="Arial" w:cs="Arial"/>
        </w:rPr>
        <w:t xml:space="preserve">are able to apply what the MHCA believes to be an overly </w:t>
      </w:r>
      <w:r w:rsidR="00EC29E6" w:rsidRPr="00EC2BDB">
        <w:rPr>
          <w:rFonts w:ascii="Arial" w:hAnsi="Arial" w:cs="Arial"/>
        </w:rPr>
        <w:lastRenderedPageBreak/>
        <w:t xml:space="preserve">conservative </w:t>
      </w:r>
      <w:r>
        <w:rPr>
          <w:rFonts w:ascii="Arial" w:hAnsi="Arial" w:cs="Arial"/>
        </w:rPr>
        <w:t>approach that is not consistent with the evidence base</w:t>
      </w:r>
      <w:r w:rsidR="00594335" w:rsidRPr="00EC2BDB">
        <w:rPr>
          <w:rFonts w:ascii="Arial" w:hAnsi="Arial" w:cs="Arial"/>
        </w:rPr>
        <w:t>,</w:t>
      </w:r>
      <w:r w:rsidR="00EC29E6" w:rsidRPr="00EC2BDB">
        <w:rPr>
          <w:rFonts w:ascii="Arial" w:hAnsi="Arial" w:cs="Arial"/>
        </w:rPr>
        <w:t xml:space="preserve"> ultimately to the detriment of mental health consumers.  </w:t>
      </w:r>
    </w:p>
    <w:p w:rsidR="009F2178" w:rsidRDefault="009F2178" w:rsidP="006D6295">
      <w:pPr>
        <w:spacing w:before="240"/>
        <w:rPr>
          <w:rFonts w:ascii="Arial" w:hAnsi="Arial" w:cs="Arial"/>
        </w:rPr>
      </w:pPr>
      <w:r w:rsidRPr="00EC2BDB">
        <w:rPr>
          <w:rFonts w:ascii="Arial" w:hAnsi="Arial" w:cs="Arial"/>
        </w:rPr>
        <w:t xml:space="preserve">There is also a lack of clarity around what is meant by ‘other relevant factors’ </w:t>
      </w:r>
      <w:r w:rsidR="00610296">
        <w:rPr>
          <w:rFonts w:ascii="Arial" w:hAnsi="Arial" w:cs="Arial"/>
        </w:rPr>
        <w:t>in s</w:t>
      </w:r>
      <w:r w:rsidR="00CE6634">
        <w:rPr>
          <w:rFonts w:ascii="Arial" w:hAnsi="Arial" w:cs="Arial"/>
        </w:rPr>
        <w:t>46 of the DDA</w:t>
      </w:r>
      <w:r w:rsidRPr="00EC2BDB">
        <w:rPr>
          <w:rFonts w:ascii="Arial" w:hAnsi="Arial" w:cs="Arial"/>
        </w:rPr>
        <w:t>.   While</w:t>
      </w:r>
      <w:r w:rsidR="00D35D8F" w:rsidRPr="00EC2BDB">
        <w:rPr>
          <w:rFonts w:ascii="Arial" w:hAnsi="Arial" w:cs="Arial"/>
        </w:rPr>
        <w:t xml:space="preserve"> the MHCA understands </w:t>
      </w:r>
      <w:r w:rsidR="00491B95" w:rsidRPr="00EC2BDB">
        <w:rPr>
          <w:rFonts w:ascii="Arial" w:hAnsi="Arial" w:cs="Arial"/>
        </w:rPr>
        <w:t xml:space="preserve">that </w:t>
      </w:r>
      <w:r w:rsidRPr="00EC2BDB">
        <w:rPr>
          <w:rFonts w:ascii="Arial" w:hAnsi="Arial" w:cs="Arial"/>
        </w:rPr>
        <w:t xml:space="preserve">‘other relevant factors’ </w:t>
      </w:r>
      <w:r w:rsidR="00CF7C74" w:rsidRPr="00EC2BDB">
        <w:rPr>
          <w:rFonts w:ascii="Arial" w:hAnsi="Arial" w:cs="Arial"/>
        </w:rPr>
        <w:t xml:space="preserve">has a relatively </w:t>
      </w:r>
      <w:r w:rsidRPr="00EC2BDB">
        <w:rPr>
          <w:rFonts w:ascii="Arial" w:hAnsi="Arial" w:cs="Arial"/>
        </w:rPr>
        <w:t xml:space="preserve">wide </w:t>
      </w:r>
      <w:r w:rsidR="00CF7C74" w:rsidRPr="00EC2BDB">
        <w:rPr>
          <w:rFonts w:ascii="Arial" w:hAnsi="Arial" w:cs="Arial"/>
        </w:rPr>
        <w:t>interpretation in case law</w:t>
      </w:r>
      <w:r w:rsidR="00CF7C74" w:rsidRPr="00EC2BDB">
        <w:rPr>
          <w:rStyle w:val="FootnoteReference"/>
          <w:rFonts w:ascii="Arial" w:hAnsi="Arial" w:cs="Arial"/>
        </w:rPr>
        <w:footnoteReference w:id="1"/>
      </w:r>
      <w:r w:rsidRPr="00EC2BDB">
        <w:rPr>
          <w:rFonts w:ascii="Arial" w:hAnsi="Arial" w:cs="Arial"/>
        </w:rPr>
        <w:t xml:space="preserve">, many consumers’ stories suggest </w:t>
      </w:r>
      <w:r w:rsidR="00181314">
        <w:rPr>
          <w:rFonts w:ascii="Arial" w:hAnsi="Arial" w:cs="Arial"/>
        </w:rPr>
        <w:t>that a broad understanding of what might be relevant</w:t>
      </w:r>
      <w:r w:rsidR="00116A85" w:rsidRPr="00EC2BDB">
        <w:rPr>
          <w:rFonts w:ascii="Arial" w:hAnsi="Arial" w:cs="Arial"/>
        </w:rPr>
        <w:t xml:space="preserve"> is not being applied</w:t>
      </w:r>
      <w:r w:rsidR="00CF7C74" w:rsidRPr="00EC2BDB">
        <w:rPr>
          <w:rFonts w:ascii="Arial" w:hAnsi="Arial" w:cs="Arial"/>
        </w:rPr>
        <w:t xml:space="preserve"> </w:t>
      </w:r>
      <w:r w:rsidR="00D35D8F" w:rsidRPr="00EC2BDB">
        <w:rPr>
          <w:rFonts w:ascii="Arial" w:hAnsi="Arial" w:cs="Arial"/>
        </w:rPr>
        <w:t xml:space="preserve">in practice.  </w:t>
      </w:r>
      <w:r w:rsidR="00606F57" w:rsidRPr="00EC2BDB">
        <w:rPr>
          <w:rFonts w:ascii="Arial" w:hAnsi="Arial" w:cs="Arial"/>
        </w:rPr>
        <w:t xml:space="preserve">Arguably, </w:t>
      </w:r>
      <w:r w:rsidR="00181314">
        <w:rPr>
          <w:rFonts w:ascii="Arial" w:hAnsi="Arial" w:cs="Arial"/>
        </w:rPr>
        <w:t xml:space="preserve">one of the most relevant </w:t>
      </w:r>
      <w:r w:rsidR="00CF7C74" w:rsidRPr="00EC2BDB">
        <w:rPr>
          <w:rFonts w:ascii="Arial" w:hAnsi="Arial" w:cs="Arial"/>
        </w:rPr>
        <w:t>factors</w:t>
      </w:r>
      <w:r w:rsidR="00606F57" w:rsidRPr="00EC2BDB">
        <w:rPr>
          <w:rFonts w:ascii="Arial" w:hAnsi="Arial" w:cs="Arial"/>
        </w:rPr>
        <w:t xml:space="preserve"> </w:t>
      </w:r>
      <w:r w:rsidR="00181314">
        <w:rPr>
          <w:rFonts w:ascii="Arial" w:hAnsi="Arial" w:cs="Arial"/>
        </w:rPr>
        <w:t xml:space="preserve">in assessing </w:t>
      </w:r>
      <w:r w:rsidR="00D35D8F" w:rsidRPr="00EC2BDB">
        <w:rPr>
          <w:rFonts w:ascii="Arial" w:hAnsi="Arial" w:cs="Arial"/>
        </w:rPr>
        <w:t xml:space="preserve">insurance risk </w:t>
      </w:r>
      <w:r w:rsidR="00181314">
        <w:rPr>
          <w:rFonts w:ascii="Arial" w:hAnsi="Arial" w:cs="Arial"/>
        </w:rPr>
        <w:t>– especially where robus</w:t>
      </w:r>
      <w:r w:rsidR="009025DD">
        <w:rPr>
          <w:rFonts w:ascii="Arial" w:hAnsi="Arial" w:cs="Arial"/>
        </w:rPr>
        <w:t>t</w:t>
      </w:r>
      <w:r w:rsidR="00181314">
        <w:rPr>
          <w:rFonts w:ascii="Arial" w:hAnsi="Arial" w:cs="Arial"/>
        </w:rPr>
        <w:t xml:space="preserve"> data are not available – is someone’s individual circumstances, including ci</w:t>
      </w:r>
      <w:r w:rsidR="009025DD">
        <w:rPr>
          <w:rFonts w:ascii="Arial" w:hAnsi="Arial" w:cs="Arial"/>
        </w:rPr>
        <w:t>rcumstances that lower risk (su</w:t>
      </w:r>
      <w:r w:rsidR="00181314">
        <w:rPr>
          <w:rFonts w:ascii="Arial" w:hAnsi="Arial" w:cs="Arial"/>
        </w:rPr>
        <w:t>ch as having an effective treatment plan or a strong record of employment)</w:t>
      </w:r>
      <w:r w:rsidR="00606F57" w:rsidRPr="00EC2BDB">
        <w:rPr>
          <w:rFonts w:ascii="Arial" w:hAnsi="Arial" w:cs="Arial"/>
        </w:rPr>
        <w:t xml:space="preserve">.  However, </w:t>
      </w:r>
      <w:r w:rsidR="00181314">
        <w:rPr>
          <w:rFonts w:ascii="Arial" w:hAnsi="Arial" w:cs="Arial"/>
        </w:rPr>
        <w:t>consumer stories suggest that this type of information is often disregarded or not even sought by</w:t>
      </w:r>
      <w:r w:rsidR="00CF7C74" w:rsidRPr="00EC2BDB">
        <w:rPr>
          <w:rFonts w:ascii="Arial" w:hAnsi="Arial" w:cs="Arial"/>
        </w:rPr>
        <w:t xml:space="preserve"> insurers</w:t>
      </w:r>
      <w:r w:rsidR="00D35D8F" w:rsidRPr="00EC2BDB">
        <w:rPr>
          <w:rFonts w:ascii="Arial" w:hAnsi="Arial" w:cs="Arial"/>
        </w:rPr>
        <w:t>.</w:t>
      </w:r>
    </w:p>
    <w:p w:rsidR="001A0F32" w:rsidRPr="00EC2BDB" w:rsidRDefault="001A0F32" w:rsidP="001A0F32">
      <w:pPr>
        <w:pStyle w:val="ListBullet"/>
        <w:numPr>
          <w:ilvl w:val="0"/>
          <w:numId w:val="0"/>
        </w:numPr>
        <w:spacing w:before="240"/>
        <w:contextualSpacing w:val="0"/>
        <w:rPr>
          <w:rFonts w:ascii="Arial" w:hAnsi="Arial" w:cs="Arial"/>
        </w:rPr>
      </w:pPr>
      <w:r>
        <w:rPr>
          <w:rFonts w:ascii="Arial" w:hAnsi="Arial" w:cs="Arial"/>
        </w:rPr>
        <w:t>Experience to date suggests that c</w:t>
      </w:r>
      <w:r w:rsidRPr="003C7F7B">
        <w:rPr>
          <w:rFonts w:ascii="Arial" w:hAnsi="Arial" w:cs="Arial"/>
        </w:rPr>
        <w:t xml:space="preserve">urrent </w:t>
      </w:r>
      <w:r>
        <w:rPr>
          <w:rFonts w:ascii="Arial" w:hAnsi="Arial" w:cs="Arial"/>
        </w:rPr>
        <w:t xml:space="preserve">legal and regulatory </w:t>
      </w:r>
      <w:r w:rsidRPr="003C7F7B">
        <w:rPr>
          <w:rFonts w:ascii="Arial" w:hAnsi="Arial" w:cs="Arial"/>
        </w:rPr>
        <w:t>arrangements negatively affect</w:t>
      </w:r>
      <w:r>
        <w:rPr>
          <w:rFonts w:ascii="Arial" w:hAnsi="Arial" w:cs="Arial"/>
        </w:rPr>
        <w:t xml:space="preserve"> mental health</w:t>
      </w:r>
      <w:r w:rsidRPr="003C7F7B">
        <w:rPr>
          <w:rFonts w:ascii="Arial" w:hAnsi="Arial" w:cs="Arial"/>
        </w:rPr>
        <w:t xml:space="preserve"> consumers’ ability to exercise informed choice in insurance, impos</w:t>
      </w:r>
      <w:r>
        <w:rPr>
          <w:rFonts w:ascii="Arial" w:hAnsi="Arial" w:cs="Arial"/>
        </w:rPr>
        <w:t>e</w:t>
      </w:r>
      <w:r w:rsidRPr="003C7F7B">
        <w:rPr>
          <w:rFonts w:ascii="Arial" w:hAnsi="Arial" w:cs="Arial"/>
        </w:rPr>
        <w:t xml:space="preserve"> barriers to adequate enforcement of existing consumer and anti-discrimination protections, and may also </w:t>
      </w:r>
      <w:r>
        <w:rPr>
          <w:rFonts w:ascii="Arial" w:hAnsi="Arial" w:cs="Arial"/>
        </w:rPr>
        <w:t>restrict</w:t>
      </w:r>
      <w:r w:rsidRPr="003C7F7B">
        <w:rPr>
          <w:rFonts w:ascii="Arial" w:hAnsi="Arial" w:cs="Arial"/>
        </w:rPr>
        <w:t xml:space="preserve"> innovation in the insurance market.</w:t>
      </w:r>
      <w:r>
        <w:rPr>
          <w:rFonts w:ascii="Arial" w:hAnsi="Arial" w:cs="Arial"/>
        </w:rPr>
        <w:t xml:space="preserve"> </w:t>
      </w:r>
      <w:r w:rsidR="00A867AA">
        <w:rPr>
          <w:rFonts w:ascii="Arial" w:hAnsi="Arial" w:cs="Arial"/>
        </w:rPr>
        <w:t xml:space="preserve"> </w:t>
      </w:r>
      <w:r>
        <w:rPr>
          <w:rFonts w:ascii="Arial" w:hAnsi="Arial" w:cs="Arial"/>
        </w:rPr>
        <w:t>Freedom of choice in the marketplace is also</w:t>
      </w:r>
      <w:r w:rsidRPr="00EC2BDB">
        <w:rPr>
          <w:rFonts w:ascii="Arial" w:hAnsi="Arial" w:cs="Arial"/>
        </w:rPr>
        <w:t xml:space="preserve"> limited by </w:t>
      </w:r>
      <w:r>
        <w:rPr>
          <w:rFonts w:ascii="Arial" w:hAnsi="Arial" w:cs="Arial"/>
        </w:rPr>
        <w:t xml:space="preserve">what the MHCA believes to be </w:t>
      </w:r>
      <w:r w:rsidRPr="00EC2BDB">
        <w:rPr>
          <w:rFonts w:ascii="Arial" w:hAnsi="Arial" w:cs="Arial"/>
        </w:rPr>
        <w:t>arbitrary and ill-informed requirements</w:t>
      </w:r>
      <w:r>
        <w:rPr>
          <w:rFonts w:ascii="Arial" w:hAnsi="Arial" w:cs="Arial"/>
        </w:rPr>
        <w:t xml:space="preserve"> by insurers that are not founded on robust evidence or a contemporary understanding of mental illness.</w:t>
      </w:r>
    </w:p>
    <w:p w:rsidR="00594335" w:rsidRPr="00EC2BDB" w:rsidRDefault="00594335" w:rsidP="00AC7B08">
      <w:pPr>
        <w:spacing w:before="240"/>
        <w:rPr>
          <w:rFonts w:ascii="Arial" w:hAnsi="Arial" w:cs="Arial"/>
          <w:b/>
        </w:rPr>
      </w:pPr>
      <w:r w:rsidRPr="00EC2BDB">
        <w:rPr>
          <w:rFonts w:ascii="Arial" w:hAnsi="Arial" w:cs="Arial"/>
          <w:b/>
        </w:rPr>
        <w:t>Some solutions</w:t>
      </w:r>
    </w:p>
    <w:p w:rsidR="006D59B1" w:rsidRPr="00EC2BDB" w:rsidRDefault="006D59B1" w:rsidP="00253A70">
      <w:pPr>
        <w:spacing w:before="160" w:after="120"/>
        <w:rPr>
          <w:rFonts w:ascii="Arial" w:eastAsia="Times New Roman" w:hAnsi="Arial" w:cs="Arial"/>
          <w:lang w:eastAsia="en-AU"/>
        </w:rPr>
      </w:pPr>
      <w:r w:rsidRPr="00EC2BDB">
        <w:rPr>
          <w:rFonts w:ascii="Arial" w:hAnsi="Arial" w:cs="Arial"/>
        </w:rPr>
        <w:t>A solution must be found that balances</w:t>
      </w:r>
      <w:r w:rsidR="00285D4A">
        <w:rPr>
          <w:rFonts w:ascii="Arial" w:hAnsi="Arial" w:cs="Arial"/>
        </w:rPr>
        <w:t>, on the one hand,</w:t>
      </w:r>
      <w:r w:rsidRPr="00EC2BDB">
        <w:rPr>
          <w:rFonts w:ascii="Arial" w:hAnsi="Arial" w:cs="Arial"/>
        </w:rPr>
        <w:t xml:space="preserve"> the need to provide fair market access to the </w:t>
      </w:r>
      <w:r w:rsidR="00C14E42" w:rsidRPr="00EC2BDB">
        <w:rPr>
          <w:rFonts w:ascii="Arial" w:hAnsi="Arial" w:cs="Arial"/>
        </w:rPr>
        <w:t xml:space="preserve">very large </w:t>
      </w:r>
      <w:r w:rsidRPr="00EC2BDB">
        <w:rPr>
          <w:rFonts w:ascii="Arial" w:hAnsi="Arial" w:cs="Arial"/>
        </w:rPr>
        <w:t xml:space="preserve">number of people </w:t>
      </w:r>
      <w:r w:rsidR="00C14E42" w:rsidRPr="00EC2BDB">
        <w:rPr>
          <w:rFonts w:ascii="Arial" w:hAnsi="Arial" w:cs="Arial"/>
        </w:rPr>
        <w:t xml:space="preserve">in Australia </w:t>
      </w:r>
      <w:r w:rsidRPr="00EC2BDB">
        <w:rPr>
          <w:rFonts w:ascii="Arial" w:hAnsi="Arial" w:cs="Arial"/>
        </w:rPr>
        <w:t xml:space="preserve">with </w:t>
      </w:r>
      <w:r w:rsidR="00C14E42" w:rsidRPr="00EC2BDB">
        <w:rPr>
          <w:rFonts w:ascii="Arial" w:hAnsi="Arial" w:cs="Arial"/>
        </w:rPr>
        <w:t xml:space="preserve">experience </w:t>
      </w:r>
      <w:r w:rsidR="00285D4A">
        <w:rPr>
          <w:rFonts w:ascii="Arial" w:hAnsi="Arial" w:cs="Arial"/>
        </w:rPr>
        <w:t xml:space="preserve">of </w:t>
      </w:r>
      <w:r w:rsidRPr="00EC2BDB">
        <w:rPr>
          <w:rFonts w:ascii="Arial" w:hAnsi="Arial" w:cs="Arial"/>
        </w:rPr>
        <w:t>mental illness, with</w:t>
      </w:r>
      <w:r w:rsidR="00285D4A">
        <w:rPr>
          <w:rFonts w:ascii="Arial" w:hAnsi="Arial" w:cs="Arial"/>
        </w:rPr>
        <w:t>, on the other hand,</w:t>
      </w:r>
      <w:r w:rsidRPr="00EC2BDB">
        <w:rPr>
          <w:rFonts w:ascii="Arial" w:hAnsi="Arial" w:cs="Arial"/>
        </w:rPr>
        <w:t xml:space="preserve"> the </w:t>
      </w:r>
      <w:r w:rsidR="00285D4A">
        <w:rPr>
          <w:rFonts w:ascii="Arial" w:hAnsi="Arial" w:cs="Arial"/>
        </w:rPr>
        <w:t xml:space="preserve">reasonable expectation that </w:t>
      </w:r>
      <w:r w:rsidRPr="00EC2BDB">
        <w:rPr>
          <w:rFonts w:ascii="Arial" w:hAnsi="Arial" w:cs="Arial"/>
        </w:rPr>
        <w:t>insurance risk</w:t>
      </w:r>
      <w:r w:rsidR="009025DD">
        <w:rPr>
          <w:rFonts w:ascii="Arial" w:hAnsi="Arial" w:cs="Arial"/>
        </w:rPr>
        <w:t xml:space="preserve"> </w:t>
      </w:r>
      <w:r w:rsidR="00285D4A">
        <w:rPr>
          <w:rFonts w:ascii="Arial" w:hAnsi="Arial" w:cs="Arial"/>
        </w:rPr>
        <w:t xml:space="preserve">should </w:t>
      </w:r>
      <w:r w:rsidRPr="00EC2BDB">
        <w:rPr>
          <w:rFonts w:ascii="Arial" w:hAnsi="Arial" w:cs="Arial"/>
        </w:rPr>
        <w:t xml:space="preserve">be assessed and priced appropriately. </w:t>
      </w:r>
      <w:r w:rsidR="00FA71A0" w:rsidRPr="00EC2BDB">
        <w:rPr>
          <w:rFonts w:ascii="Arial" w:hAnsi="Arial" w:cs="Arial"/>
        </w:rPr>
        <w:t xml:space="preserve"> </w:t>
      </w:r>
      <w:r w:rsidRPr="00EC2BDB">
        <w:rPr>
          <w:rFonts w:ascii="Arial" w:hAnsi="Arial" w:cs="Arial"/>
        </w:rPr>
        <w:t xml:space="preserve">For such a solution to be credible, it </w:t>
      </w:r>
      <w:r w:rsidRPr="00EC2BDB">
        <w:rPr>
          <w:rFonts w:ascii="Arial" w:hAnsi="Arial" w:cs="Arial"/>
          <w:b/>
        </w:rPr>
        <w:t>must have the endorsement of mental health stakeholders</w:t>
      </w:r>
      <w:r w:rsidRPr="00EC2BDB">
        <w:rPr>
          <w:rFonts w:ascii="Arial" w:hAnsi="Arial" w:cs="Arial"/>
        </w:rPr>
        <w:t xml:space="preserve">, in consultation with consumers and carers, rather than being solely industry-driven.  Importantly, it must depart from the ineffective approaches taken in the past, which </w:t>
      </w:r>
      <w:r w:rsidRPr="00EC2BDB">
        <w:rPr>
          <w:rFonts w:ascii="Arial" w:eastAsia="Times New Roman" w:hAnsi="Arial" w:cs="Arial"/>
          <w:lang w:eastAsia="en-AU"/>
        </w:rPr>
        <w:t xml:space="preserve">– despite </w:t>
      </w:r>
      <w:r w:rsidR="00285D4A">
        <w:rPr>
          <w:rFonts w:ascii="Arial" w:eastAsia="Times New Roman" w:hAnsi="Arial" w:cs="Arial"/>
          <w:lang w:eastAsia="en-AU"/>
        </w:rPr>
        <w:t xml:space="preserve">the </w:t>
      </w:r>
      <w:r w:rsidRPr="00EC2BDB">
        <w:rPr>
          <w:rFonts w:ascii="Arial" w:eastAsia="Times New Roman" w:hAnsi="Arial" w:cs="Arial"/>
          <w:lang w:eastAsia="en-AU"/>
        </w:rPr>
        <w:t xml:space="preserve">advocacy </w:t>
      </w:r>
      <w:r w:rsidR="009025DD">
        <w:rPr>
          <w:rFonts w:ascii="Arial" w:eastAsia="Times New Roman" w:hAnsi="Arial" w:cs="Arial"/>
          <w:lang w:eastAsia="en-AU"/>
        </w:rPr>
        <w:t>of organisations like the MHCA</w:t>
      </w:r>
      <w:r w:rsidR="00285D4A">
        <w:rPr>
          <w:rFonts w:ascii="Arial" w:eastAsia="Times New Roman" w:hAnsi="Arial" w:cs="Arial"/>
          <w:lang w:eastAsia="en-AU"/>
        </w:rPr>
        <w:t xml:space="preserve"> and </w:t>
      </w:r>
      <w:r w:rsidR="00285D4A">
        <w:rPr>
          <w:rFonts w:ascii="Arial" w:eastAsia="Times New Roman" w:hAnsi="Arial" w:cs="Arial"/>
          <w:i/>
          <w:lang w:eastAsia="en-AU"/>
        </w:rPr>
        <w:t xml:space="preserve">beyondblue </w:t>
      </w:r>
      <w:r w:rsidRPr="00EC2BDB">
        <w:rPr>
          <w:rFonts w:ascii="Arial" w:eastAsia="Times New Roman" w:hAnsi="Arial" w:cs="Arial"/>
          <w:lang w:eastAsia="en-AU"/>
        </w:rPr>
        <w:t xml:space="preserve">over the past ten years – </w:t>
      </w:r>
      <w:r w:rsidR="00285D4A">
        <w:rPr>
          <w:rFonts w:ascii="Arial" w:eastAsia="Times New Roman" w:hAnsi="Arial" w:cs="Arial"/>
          <w:lang w:eastAsia="en-AU"/>
        </w:rPr>
        <w:t xml:space="preserve">have resulted in </w:t>
      </w:r>
      <w:r w:rsidRPr="00EC2BDB">
        <w:rPr>
          <w:rFonts w:ascii="Arial" w:eastAsia="Times New Roman" w:hAnsi="Arial" w:cs="Arial"/>
          <w:lang w:eastAsia="en-AU"/>
        </w:rPr>
        <w:t>unacceptably slow progress</w:t>
      </w:r>
      <w:r w:rsidRPr="00EC2BDB">
        <w:rPr>
          <w:rFonts w:ascii="Arial" w:eastAsia="Times New Roman" w:hAnsi="Arial" w:cs="Arial"/>
          <w:b/>
          <w:lang w:eastAsia="en-AU"/>
        </w:rPr>
        <w:t xml:space="preserve"> </w:t>
      </w:r>
      <w:r w:rsidRPr="00EC2BDB">
        <w:rPr>
          <w:rFonts w:ascii="Arial" w:eastAsia="Times New Roman" w:hAnsi="Arial" w:cs="Arial"/>
          <w:lang w:eastAsia="en-AU"/>
        </w:rPr>
        <w:t xml:space="preserve">in </w:t>
      </w:r>
      <w:r w:rsidR="00285D4A">
        <w:rPr>
          <w:rFonts w:ascii="Arial" w:eastAsia="Times New Roman" w:hAnsi="Arial" w:cs="Arial"/>
          <w:lang w:eastAsia="en-AU"/>
        </w:rPr>
        <w:t xml:space="preserve">providing fair access to </w:t>
      </w:r>
      <w:r w:rsidRPr="00EC2BDB">
        <w:rPr>
          <w:rFonts w:ascii="Arial" w:eastAsia="Times New Roman" w:hAnsi="Arial" w:cs="Arial"/>
          <w:lang w:eastAsia="en-AU"/>
        </w:rPr>
        <w:t xml:space="preserve">the insurance </w:t>
      </w:r>
      <w:r w:rsidR="00285D4A">
        <w:rPr>
          <w:rFonts w:ascii="Arial" w:eastAsia="Times New Roman" w:hAnsi="Arial" w:cs="Arial"/>
          <w:lang w:eastAsia="en-AU"/>
        </w:rPr>
        <w:t>market for</w:t>
      </w:r>
      <w:r w:rsidR="00C14E42" w:rsidRPr="00EC2BDB">
        <w:rPr>
          <w:rFonts w:ascii="Arial" w:eastAsia="Times New Roman" w:hAnsi="Arial" w:cs="Arial"/>
          <w:lang w:eastAsia="en-AU"/>
        </w:rPr>
        <w:t xml:space="preserve"> </w:t>
      </w:r>
      <w:r w:rsidRPr="00EC2BDB">
        <w:rPr>
          <w:rFonts w:ascii="Arial" w:eastAsia="Times New Roman" w:hAnsi="Arial" w:cs="Arial"/>
          <w:lang w:eastAsia="en-AU"/>
        </w:rPr>
        <w:t xml:space="preserve">people with mental illness.  </w:t>
      </w:r>
    </w:p>
    <w:p w:rsidR="005B7542" w:rsidRDefault="00854A40" w:rsidP="006D6295">
      <w:pPr>
        <w:pStyle w:val="ListBullet"/>
        <w:numPr>
          <w:ilvl w:val="0"/>
          <w:numId w:val="0"/>
        </w:numPr>
        <w:spacing w:before="240"/>
        <w:contextualSpacing w:val="0"/>
        <w:rPr>
          <w:rFonts w:ascii="Arial" w:hAnsi="Arial" w:cs="Arial"/>
        </w:rPr>
      </w:pPr>
      <w:r w:rsidRPr="00EC2BDB">
        <w:rPr>
          <w:rFonts w:ascii="Arial" w:hAnsi="Arial" w:cs="Arial"/>
        </w:rPr>
        <w:t xml:space="preserve">Many of the issues around mental illness and insurance </w:t>
      </w:r>
      <w:r w:rsidR="00285D4A">
        <w:rPr>
          <w:rFonts w:ascii="Arial" w:hAnsi="Arial" w:cs="Arial"/>
        </w:rPr>
        <w:t xml:space="preserve">in this submission reflect </w:t>
      </w:r>
      <w:r w:rsidR="00C14E42" w:rsidRPr="00EC2BDB">
        <w:rPr>
          <w:rFonts w:ascii="Arial" w:hAnsi="Arial" w:cs="Arial"/>
        </w:rPr>
        <w:t xml:space="preserve">those </w:t>
      </w:r>
      <w:r w:rsidR="008B1718" w:rsidRPr="00EC2BDB">
        <w:rPr>
          <w:rFonts w:ascii="Arial" w:hAnsi="Arial" w:cs="Arial"/>
        </w:rPr>
        <w:t xml:space="preserve">considered </w:t>
      </w:r>
      <w:r w:rsidR="00285D4A">
        <w:rPr>
          <w:rFonts w:ascii="Arial" w:hAnsi="Arial" w:cs="Arial"/>
        </w:rPr>
        <w:t xml:space="preserve">in </w:t>
      </w:r>
      <w:r w:rsidRPr="00EC2BDB">
        <w:rPr>
          <w:rFonts w:ascii="Arial" w:hAnsi="Arial" w:cs="Arial"/>
        </w:rPr>
        <w:t xml:space="preserve">the </w:t>
      </w:r>
      <w:r w:rsidR="00285D4A">
        <w:rPr>
          <w:rFonts w:ascii="Arial" w:hAnsi="Arial" w:cs="Arial"/>
        </w:rPr>
        <w:t xml:space="preserve">ALRC’s </w:t>
      </w:r>
      <w:r w:rsidR="008B1718" w:rsidRPr="00EC2BDB">
        <w:rPr>
          <w:rFonts w:ascii="Arial" w:hAnsi="Arial" w:cs="Arial"/>
        </w:rPr>
        <w:t>June 2013</w:t>
      </w:r>
      <w:r w:rsidR="00C14E42" w:rsidRPr="00EC2BDB">
        <w:rPr>
          <w:rFonts w:ascii="Arial" w:hAnsi="Arial" w:cs="Arial"/>
        </w:rPr>
        <w:t xml:space="preserve"> </w:t>
      </w:r>
      <w:r w:rsidRPr="00EC2BDB">
        <w:rPr>
          <w:rFonts w:ascii="Arial" w:hAnsi="Arial" w:cs="Arial"/>
        </w:rPr>
        <w:t xml:space="preserve">report </w:t>
      </w:r>
      <w:r w:rsidRPr="00EC2BDB">
        <w:rPr>
          <w:rFonts w:ascii="Arial" w:hAnsi="Arial" w:cs="Arial"/>
          <w:i/>
        </w:rPr>
        <w:t>Access All Ages—Older Workers and Commonwealth Laws</w:t>
      </w:r>
      <w:r w:rsidRPr="00EC2BDB">
        <w:rPr>
          <w:rFonts w:ascii="Arial" w:hAnsi="Arial" w:cs="Arial"/>
        </w:rPr>
        <w:t xml:space="preserve">.  </w:t>
      </w:r>
      <w:r w:rsidR="008B1718" w:rsidRPr="00EC2BDB">
        <w:rPr>
          <w:rFonts w:ascii="Arial" w:hAnsi="Arial" w:cs="Arial"/>
        </w:rPr>
        <w:t xml:space="preserve">The MHCA </w:t>
      </w:r>
      <w:r w:rsidR="00491C22">
        <w:rPr>
          <w:rFonts w:ascii="Arial" w:hAnsi="Arial" w:cs="Arial"/>
        </w:rPr>
        <w:t xml:space="preserve">proposes </w:t>
      </w:r>
      <w:r w:rsidR="009025DD">
        <w:rPr>
          <w:rFonts w:ascii="Arial" w:hAnsi="Arial" w:cs="Arial"/>
        </w:rPr>
        <w:t xml:space="preserve">that </w:t>
      </w:r>
      <w:r w:rsidR="006D59B1" w:rsidRPr="00EC2BDB">
        <w:rPr>
          <w:rFonts w:ascii="Arial" w:hAnsi="Arial" w:cs="Arial"/>
        </w:rPr>
        <w:t xml:space="preserve">relevant </w:t>
      </w:r>
      <w:r w:rsidR="008B1718" w:rsidRPr="00EC2BDB">
        <w:rPr>
          <w:rFonts w:ascii="Arial" w:hAnsi="Arial" w:cs="Arial"/>
        </w:rPr>
        <w:t xml:space="preserve">recommendations </w:t>
      </w:r>
      <w:r w:rsidR="00491C22">
        <w:rPr>
          <w:rFonts w:ascii="Arial" w:hAnsi="Arial" w:cs="Arial"/>
        </w:rPr>
        <w:t xml:space="preserve">from </w:t>
      </w:r>
      <w:r w:rsidR="008B1718" w:rsidRPr="00EC2BDB">
        <w:rPr>
          <w:rFonts w:ascii="Arial" w:hAnsi="Arial" w:cs="Arial"/>
        </w:rPr>
        <w:t xml:space="preserve">that report </w:t>
      </w:r>
      <w:r w:rsidR="009025DD">
        <w:rPr>
          <w:rFonts w:ascii="Arial" w:hAnsi="Arial" w:cs="Arial"/>
        </w:rPr>
        <w:t xml:space="preserve">be </w:t>
      </w:r>
      <w:r w:rsidR="006D59B1" w:rsidRPr="00EC2BDB">
        <w:rPr>
          <w:rFonts w:ascii="Arial" w:hAnsi="Arial" w:cs="Arial"/>
        </w:rPr>
        <w:t>applied</w:t>
      </w:r>
      <w:r w:rsidR="008B1718" w:rsidRPr="00EC2BDB">
        <w:rPr>
          <w:rFonts w:ascii="Arial" w:hAnsi="Arial" w:cs="Arial"/>
        </w:rPr>
        <w:t xml:space="preserve"> </w:t>
      </w:r>
      <w:r w:rsidR="00491C22">
        <w:rPr>
          <w:rFonts w:ascii="Arial" w:hAnsi="Arial" w:cs="Arial"/>
        </w:rPr>
        <w:t>to people with disability, including (b</w:t>
      </w:r>
      <w:r w:rsidR="009025DD">
        <w:rPr>
          <w:rFonts w:ascii="Arial" w:hAnsi="Arial" w:cs="Arial"/>
        </w:rPr>
        <w:t>u</w:t>
      </w:r>
      <w:r w:rsidR="00491C22">
        <w:rPr>
          <w:rFonts w:ascii="Arial" w:hAnsi="Arial" w:cs="Arial"/>
        </w:rPr>
        <w:t xml:space="preserve">t not limited to) people with mental illness.  These recommendations should, at a minimum, </w:t>
      </w:r>
      <w:r w:rsidR="006D59B1" w:rsidRPr="00EC2BDB">
        <w:rPr>
          <w:rFonts w:ascii="Arial" w:hAnsi="Arial" w:cs="Arial"/>
        </w:rPr>
        <w:t>includ</w:t>
      </w:r>
      <w:r w:rsidR="00491C22">
        <w:rPr>
          <w:rFonts w:ascii="Arial" w:hAnsi="Arial" w:cs="Arial"/>
        </w:rPr>
        <w:t>e</w:t>
      </w:r>
      <w:r w:rsidR="008B1718" w:rsidRPr="00EC2BDB">
        <w:rPr>
          <w:rFonts w:ascii="Arial" w:hAnsi="Arial" w:cs="Arial"/>
        </w:rPr>
        <w:t xml:space="preserve"> </w:t>
      </w:r>
      <w:r w:rsidR="008B1718" w:rsidRPr="00EC2BDB">
        <w:rPr>
          <w:rFonts w:ascii="Arial" w:hAnsi="Arial" w:cs="Arial"/>
          <w:b/>
        </w:rPr>
        <w:t xml:space="preserve">review </w:t>
      </w:r>
      <w:r w:rsidR="00C14E42" w:rsidRPr="00EC2BDB">
        <w:rPr>
          <w:rFonts w:ascii="Arial" w:hAnsi="Arial" w:cs="Arial"/>
          <w:b/>
        </w:rPr>
        <w:t xml:space="preserve">and amendment </w:t>
      </w:r>
      <w:r w:rsidR="008B1718" w:rsidRPr="00EC2BDB">
        <w:rPr>
          <w:rFonts w:ascii="Arial" w:hAnsi="Arial" w:cs="Arial"/>
          <w:b/>
        </w:rPr>
        <w:t>of the insurance exe</w:t>
      </w:r>
      <w:r w:rsidR="00491C22">
        <w:rPr>
          <w:rFonts w:ascii="Arial" w:hAnsi="Arial" w:cs="Arial"/>
          <w:b/>
        </w:rPr>
        <w:t>m</w:t>
      </w:r>
      <w:r w:rsidR="008B1718" w:rsidRPr="00EC2BDB">
        <w:rPr>
          <w:rFonts w:ascii="Arial" w:hAnsi="Arial" w:cs="Arial"/>
          <w:b/>
        </w:rPr>
        <w:t>ptions</w:t>
      </w:r>
      <w:r w:rsidR="008B1718" w:rsidRPr="00EC2BDB">
        <w:rPr>
          <w:rFonts w:ascii="Arial" w:hAnsi="Arial" w:cs="Arial"/>
        </w:rPr>
        <w:t xml:space="preserve"> under Commonwealth (and state and territory) anti-discrimination legislation.</w:t>
      </w:r>
    </w:p>
    <w:p w:rsidR="005B7542" w:rsidRPr="00EC2BDB" w:rsidRDefault="005B7542" w:rsidP="005B7542">
      <w:pPr>
        <w:pStyle w:val="ListBullet"/>
        <w:numPr>
          <w:ilvl w:val="0"/>
          <w:numId w:val="0"/>
        </w:numPr>
        <w:spacing w:before="240"/>
        <w:contextualSpacing w:val="0"/>
        <w:rPr>
          <w:rFonts w:ascii="Arial" w:hAnsi="Arial" w:cs="Arial"/>
        </w:rPr>
      </w:pPr>
      <w:r>
        <w:rPr>
          <w:rFonts w:ascii="Arial" w:hAnsi="Arial" w:cs="Arial"/>
        </w:rPr>
        <w:t xml:space="preserve">The MHCA </w:t>
      </w:r>
      <w:r w:rsidR="004D5F71">
        <w:rPr>
          <w:rFonts w:ascii="Arial" w:hAnsi="Arial" w:cs="Arial"/>
        </w:rPr>
        <w:t xml:space="preserve">also </w:t>
      </w:r>
      <w:r>
        <w:rPr>
          <w:rFonts w:ascii="Arial" w:hAnsi="Arial" w:cs="Arial"/>
        </w:rPr>
        <w:t xml:space="preserve">draws the ALRC’s attention to specific suggestions for amendments to the DDA in its joint submission (with </w:t>
      </w:r>
      <w:r w:rsidRPr="00A867AA">
        <w:rPr>
          <w:rFonts w:ascii="Arial" w:hAnsi="Arial" w:cs="Arial"/>
          <w:i/>
        </w:rPr>
        <w:t>beyondblue</w:t>
      </w:r>
      <w:r>
        <w:rPr>
          <w:rFonts w:ascii="Arial" w:hAnsi="Arial" w:cs="Arial"/>
        </w:rPr>
        <w:t>) to the 2013 Senate Inquiry into amendments to anti-discrimination legislation (see attached).</w:t>
      </w:r>
      <w:r w:rsidRPr="00EC2BDB">
        <w:rPr>
          <w:rFonts w:ascii="Arial" w:hAnsi="Arial" w:cs="Arial"/>
        </w:rPr>
        <w:t xml:space="preserve">  </w:t>
      </w:r>
    </w:p>
    <w:p w:rsidR="006D59B1" w:rsidRPr="00EC2BDB" w:rsidRDefault="005B7542" w:rsidP="006D6295">
      <w:pPr>
        <w:pStyle w:val="ListBullet"/>
        <w:numPr>
          <w:ilvl w:val="0"/>
          <w:numId w:val="0"/>
        </w:numPr>
        <w:spacing w:before="240"/>
        <w:contextualSpacing w:val="0"/>
        <w:rPr>
          <w:rFonts w:ascii="Arial" w:hAnsi="Arial" w:cs="Arial"/>
        </w:rPr>
      </w:pPr>
      <w:r>
        <w:rPr>
          <w:rFonts w:ascii="Arial" w:hAnsi="Arial" w:cs="Arial"/>
        </w:rPr>
        <w:t>A further</w:t>
      </w:r>
      <w:r w:rsidR="006D59B1" w:rsidRPr="00EC2BDB">
        <w:rPr>
          <w:rFonts w:ascii="Arial" w:hAnsi="Arial" w:cs="Arial"/>
        </w:rPr>
        <w:t xml:space="preserve"> </w:t>
      </w:r>
      <w:r w:rsidR="00FA71A0" w:rsidRPr="00EC2BDB">
        <w:rPr>
          <w:rFonts w:ascii="Arial" w:hAnsi="Arial" w:cs="Arial"/>
        </w:rPr>
        <w:t xml:space="preserve">critical </w:t>
      </w:r>
      <w:r w:rsidR="006D59B1" w:rsidRPr="00EC2BDB">
        <w:rPr>
          <w:rFonts w:ascii="Arial" w:hAnsi="Arial" w:cs="Arial"/>
        </w:rPr>
        <w:t xml:space="preserve">step </w:t>
      </w:r>
      <w:r w:rsidR="00FA71A0" w:rsidRPr="00EC2BDB">
        <w:rPr>
          <w:rFonts w:ascii="Arial" w:hAnsi="Arial" w:cs="Arial"/>
        </w:rPr>
        <w:t xml:space="preserve">is to shed more </w:t>
      </w:r>
      <w:r w:rsidR="006D59B1" w:rsidRPr="00EC2BDB">
        <w:rPr>
          <w:rFonts w:ascii="Arial" w:hAnsi="Arial" w:cs="Arial"/>
        </w:rPr>
        <w:t>light on the legal and actuarial aspects of mental health and insurance.</w:t>
      </w:r>
      <w:r w:rsidR="00FA71A0" w:rsidRPr="00EC2BDB">
        <w:rPr>
          <w:rFonts w:ascii="Arial" w:hAnsi="Arial" w:cs="Arial"/>
        </w:rPr>
        <w:t xml:space="preserve">  As a priority, t</w:t>
      </w:r>
      <w:r w:rsidR="006D59B1" w:rsidRPr="00EC2BDB">
        <w:rPr>
          <w:rFonts w:ascii="Arial" w:hAnsi="Arial" w:cs="Arial"/>
        </w:rPr>
        <w:t xml:space="preserve">he Australian Government should commission an </w:t>
      </w:r>
      <w:r w:rsidR="006D59B1" w:rsidRPr="00EC2BDB">
        <w:rPr>
          <w:rFonts w:ascii="Arial" w:hAnsi="Arial" w:cs="Arial"/>
          <w:b/>
        </w:rPr>
        <w:t xml:space="preserve">independent actuarial study </w:t>
      </w:r>
      <w:r w:rsidR="006D59B1" w:rsidRPr="00EC2BDB">
        <w:rPr>
          <w:rFonts w:ascii="Arial" w:hAnsi="Arial" w:cs="Arial"/>
        </w:rPr>
        <w:t>to evaluate the relevance</w:t>
      </w:r>
      <w:r w:rsidR="00491C22">
        <w:rPr>
          <w:rFonts w:ascii="Arial" w:hAnsi="Arial" w:cs="Arial"/>
        </w:rPr>
        <w:t>, applicability</w:t>
      </w:r>
      <w:r w:rsidR="006D59B1" w:rsidRPr="00EC2BDB">
        <w:rPr>
          <w:rFonts w:ascii="Arial" w:hAnsi="Arial" w:cs="Arial"/>
        </w:rPr>
        <w:t xml:space="preserve"> and quality of data on which the insurance industry relies to assess the risks associated with mental illness, with terms of reference to be developed in consultation with mental health stakeholders. </w:t>
      </w:r>
    </w:p>
    <w:p w:rsidR="006D59B1" w:rsidRPr="00EC2BDB" w:rsidRDefault="00C14E42" w:rsidP="006D6295">
      <w:pPr>
        <w:pStyle w:val="ListBullet"/>
        <w:numPr>
          <w:ilvl w:val="0"/>
          <w:numId w:val="0"/>
        </w:numPr>
        <w:spacing w:before="240"/>
        <w:ind w:left="360" w:hanging="360"/>
        <w:contextualSpacing w:val="0"/>
        <w:rPr>
          <w:rFonts w:ascii="Arial" w:hAnsi="Arial" w:cs="Arial"/>
        </w:rPr>
      </w:pPr>
      <w:r w:rsidRPr="00EC2BDB">
        <w:rPr>
          <w:rFonts w:ascii="Arial" w:hAnsi="Arial" w:cs="Arial"/>
        </w:rPr>
        <w:lastRenderedPageBreak/>
        <w:t>In addition, t</w:t>
      </w:r>
      <w:r w:rsidR="006D59B1" w:rsidRPr="00EC2BDB">
        <w:rPr>
          <w:rFonts w:ascii="Arial" w:hAnsi="Arial" w:cs="Arial"/>
        </w:rPr>
        <w:t xml:space="preserve">he MHCA </w:t>
      </w:r>
      <w:r w:rsidRPr="00EC2BDB">
        <w:rPr>
          <w:rFonts w:ascii="Arial" w:hAnsi="Arial" w:cs="Arial"/>
        </w:rPr>
        <w:t xml:space="preserve">seeks </w:t>
      </w:r>
      <w:r w:rsidR="006D59B1" w:rsidRPr="00EC2BDB">
        <w:rPr>
          <w:rFonts w:ascii="Arial" w:hAnsi="Arial" w:cs="Arial"/>
        </w:rPr>
        <w:t xml:space="preserve">the </w:t>
      </w:r>
      <w:r w:rsidR="006D59B1" w:rsidRPr="00EC2BDB">
        <w:rPr>
          <w:rFonts w:ascii="Arial" w:hAnsi="Arial" w:cs="Arial"/>
          <w:b/>
        </w:rPr>
        <w:t xml:space="preserve">following specific </w:t>
      </w:r>
      <w:r w:rsidR="00491C22">
        <w:rPr>
          <w:rFonts w:ascii="Arial" w:hAnsi="Arial" w:cs="Arial"/>
          <w:b/>
        </w:rPr>
        <w:t>actions</w:t>
      </w:r>
      <w:r w:rsidR="006D59B1" w:rsidRPr="00EC2BDB">
        <w:rPr>
          <w:rFonts w:ascii="Arial" w:hAnsi="Arial" w:cs="Arial"/>
        </w:rPr>
        <w:t>:</w:t>
      </w:r>
    </w:p>
    <w:p w:rsidR="00B217EE" w:rsidRPr="00EC2BDB" w:rsidRDefault="00B217EE" w:rsidP="00057DAF">
      <w:pPr>
        <w:pStyle w:val="ListBullet"/>
        <w:numPr>
          <w:ilvl w:val="0"/>
          <w:numId w:val="23"/>
        </w:numPr>
        <w:tabs>
          <w:tab w:val="left" w:pos="720"/>
        </w:tabs>
        <w:spacing w:before="120"/>
        <w:ind w:left="714" w:hanging="357"/>
        <w:contextualSpacing w:val="0"/>
        <w:rPr>
          <w:rFonts w:ascii="Arial" w:hAnsi="Arial" w:cs="Arial"/>
        </w:rPr>
      </w:pPr>
      <w:r w:rsidRPr="00EC2BDB">
        <w:rPr>
          <w:rFonts w:ascii="Arial" w:hAnsi="Arial" w:cs="Arial"/>
        </w:rPr>
        <w:t xml:space="preserve">The development and testing of new insurance products and/or changes to existing </w:t>
      </w:r>
      <w:bookmarkStart w:id="0" w:name="_GoBack"/>
      <w:bookmarkEnd w:id="0"/>
      <w:r w:rsidRPr="00EC2BDB">
        <w:rPr>
          <w:rFonts w:ascii="Arial" w:hAnsi="Arial" w:cs="Arial"/>
        </w:rPr>
        <w:t>products to enable people with experience of mental illness to take out cover on reasonable terms</w:t>
      </w:r>
      <w:r w:rsidR="00D30936">
        <w:rPr>
          <w:rStyle w:val="FootnoteReference"/>
          <w:rFonts w:ascii="Arial" w:hAnsi="Arial" w:cs="Arial"/>
        </w:rPr>
        <w:footnoteReference w:id="2"/>
      </w:r>
      <w:r w:rsidR="00491C22">
        <w:rPr>
          <w:rFonts w:ascii="Arial" w:hAnsi="Arial" w:cs="Arial"/>
        </w:rPr>
        <w:t>, which would in turn generate data for future use in actuarial decision-making</w:t>
      </w:r>
      <w:r w:rsidRPr="00EC2BDB">
        <w:rPr>
          <w:rFonts w:ascii="Arial" w:hAnsi="Arial" w:cs="Arial"/>
        </w:rPr>
        <w:t>;</w:t>
      </w:r>
    </w:p>
    <w:p w:rsidR="006D59B1" w:rsidRPr="00EC2BDB" w:rsidRDefault="00491C22" w:rsidP="00AC7B08">
      <w:pPr>
        <w:pStyle w:val="ListBullet"/>
        <w:numPr>
          <w:ilvl w:val="0"/>
          <w:numId w:val="20"/>
        </w:numPr>
        <w:spacing w:before="120"/>
        <w:contextualSpacing w:val="0"/>
        <w:rPr>
          <w:rFonts w:ascii="Arial" w:hAnsi="Arial" w:cs="Arial"/>
        </w:rPr>
      </w:pPr>
      <w:r>
        <w:rPr>
          <w:rFonts w:ascii="Arial" w:hAnsi="Arial" w:cs="Arial"/>
        </w:rPr>
        <w:t>Tailored m</w:t>
      </w:r>
      <w:r w:rsidR="006D59B1" w:rsidRPr="00EC2BDB">
        <w:rPr>
          <w:rFonts w:ascii="Arial" w:hAnsi="Arial" w:cs="Arial"/>
        </w:rPr>
        <w:t xml:space="preserve">ental health training for </w:t>
      </w:r>
      <w:r w:rsidR="00C14E42" w:rsidRPr="00EC2BDB">
        <w:rPr>
          <w:rFonts w:ascii="Arial" w:hAnsi="Arial" w:cs="Arial"/>
        </w:rPr>
        <w:t xml:space="preserve">both </w:t>
      </w:r>
      <w:r w:rsidR="006D59B1" w:rsidRPr="00EC2BDB">
        <w:rPr>
          <w:rFonts w:ascii="Arial" w:hAnsi="Arial" w:cs="Arial"/>
        </w:rPr>
        <w:t xml:space="preserve">frontline and underwriting staff in </w:t>
      </w:r>
      <w:r w:rsidR="00C14E42" w:rsidRPr="00EC2BDB">
        <w:rPr>
          <w:rFonts w:ascii="Arial" w:hAnsi="Arial" w:cs="Arial"/>
        </w:rPr>
        <w:t xml:space="preserve">all areas of </w:t>
      </w:r>
      <w:r w:rsidR="006D59B1" w:rsidRPr="00EC2BDB">
        <w:rPr>
          <w:rFonts w:ascii="Arial" w:hAnsi="Arial" w:cs="Arial"/>
        </w:rPr>
        <w:t>the insurance industry</w:t>
      </w:r>
      <w:r w:rsidR="005E34A2" w:rsidRPr="00EC2BDB">
        <w:rPr>
          <w:rStyle w:val="FootnoteReference"/>
          <w:rFonts w:ascii="Arial" w:hAnsi="Arial" w:cs="Arial"/>
        </w:rPr>
        <w:footnoteReference w:id="3"/>
      </w:r>
      <w:r w:rsidR="00B56C54" w:rsidRPr="00EC2BDB">
        <w:rPr>
          <w:rFonts w:ascii="Arial" w:hAnsi="Arial" w:cs="Arial"/>
        </w:rPr>
        <w:t>;</w:t>
      </w:r>
    </w:p>
    <w:p w:rsidR="006D59B1" w:rsidRPr="00EC2BDB" w:rsidRDefault="005D315C" w:rsidP="00AC7B08">
      <w:pPr>
        <w:pStyle w:val="ListBullet"/>
        <w:numPr>
          <w:ilvl w:val="0"/>
          <w:numId w:val="20"/>
        </w:numPr>
        <w:spacing w:before="120"/>
        <w:contextualSpacing w:val="0"/>
        <w:rPr>
          <w:rFonts w:ascii="Arial" w:hAnsi="Arial" w:cs="Arial"/>
        </w:rPr>
      </w:pPr>
      <w:r w:rsidRPr="00EC2BDB">
        <w:rPr>
          <w:rFonts w:ascii="Arial" w:hAnsi="Arial" w:cs="Arial"/>
        </w:rPr>
        <w:t xml:space="preserve">Updated and detailed guidelines for industry </w:t>
      </w:r>
      <w:r w:rsidR="00491C22">
        <w:rPr>
          <w:rFonts w:ascii="Arial" w:hAnsi="Arial" w:cs="Arial"/>
        </w:rPr>
        <w:t xml:space="preserve">in applying </w:t>
      </w:r>
      <w:r w:rsidR="006D59B1" w:rsidRPr="00EC2BDB">
        <w:rPr>
          <w:rFonts w:ascii="Arial" w:hAnsi="Arial" w:cs="Arial"/>
        </w:rPr>
        <w:t xml:space="preserve">exemptions </w:t>
      </w:r>
      <w:r w:rsidRPr="00EC2BDB">
        <w:rPr>
          <w:rFonts w:ascii="Arial" w:hAnsi="Arial" w:cs="Arial"/>
        </w:rPr>
        <w:t xml:space="preserve">for </w:t>
      </w:r>
      <w:r w:rsidR="006D59B1" w:rsidRPr="00EC2BDB">
        <w:rPr>
          <w:rFonts w:ascii="Arial" w:hAnsi="Arial" w:cs="Arial"/>
        </w:rPr>
        <w:t>providers of insurance a</w:t>
      </w:r>
      <w:r w:rsidRPr="00EC2BDB">
        <w:rPr>
          <w:rFonts w:ascii="Arial" w:hAnsi="Arial" w:cs="Arial"/>
        </w:rPr>
        <w:t>nd superannuation under the DDA</w:t>
      </w:r>
      <w:r w:rsidR="00B56C54" w:rsidRPr="00EC2BDB">
        <w:rPr>
          <w:rFonts w:ascii="Arial" w:hAnsi="Arial" w:cs="Arial"/>
        </w:rPr>
        <w:t>;</w:t>
      </w:r>
    </w:p>
    <w:p w:rsidR="006D59B1" w:rsidRPr="00EC2BDB" w:rsidRDefault="006D59B1" w:rsidP="00AC7B08">
      <w:pPr>
        <w:pStyle w:val="ListBullet"/>
        <w:numPr>
          <w:ilvl w:val="0"/>
          <w:numId w:val="20"/>
        </w:numPr>
        <w:spacing w:before="120"/>
        <w:contextualSpacing w:val="0"/>
        <w:rPr>
          <w:rFonts w:ascii="Arial" w:hAnsi="Arial" w:cs="Arial"/>
        </w:rPr>
      </w:pPr>
      <w:r w:rsidRPr="00EC2BDB">
        <w:rPr>
          <w:rFonts w:ascii="Arial" w:hAnsi="Arial" w:cs="Arial"/>
        </w:rPr>
        <w:t>Voluntary changes to company and/or industry guidelines</w:t>
      </w:r>
      <w:r w:rsidR="005D315C" w:rsidRPr="00EC2BDB">
        <w:rPr>
          <w:rFonts w:ascii="Arial" w:hAnsi="Arial" w:cs="Arial"/>
        </w:rPr>
        <w:t xml:space="preserve"> for </w:t>
      </w:r>
      <w:r w:rsidR="00491C22">
        <w:rPr>
          <w:rFonts w:ascii="Arial" w:hAnsi="Arial" w:cs="Arial"/>
        </w:rPr>
        <w:t xml:space="preserve">assessing </w:t>
      </w:r>
      <w:r w:rsidR="005D315C" w:rsidRPr="00EC2BDB">
        <w:rPr>
          <w:rFonts w:ascii="Arial" w:hAnsi="Arial" w:cs="Arial"/>
        </w:rPr>
        <w:t>applications and claims, and underwriting processes</w:t>
      </w:r>
      <w:r w:rsidR="00B56C54" w:rsidRPr="00EC2BDB">
        <w:rPr>
          <w:rFonts w:ascii="Arial" w:hAnsi="Arial" w:cs="Arial"/>
        </w:rPr>
        <w:t>;</w:t>
      </w:r>
    </w:p>
    <w:p w:rsidR="006D59B1" w:rsidRPr="00EC2BDB" w:rsidRDefault="006D59B1" w:rsidP="00AC7B08">
      <w:pPr>
        <w:pStyle w:val="ListBullet"/>
        <w:numPr>
          <w:ilvl w:val="0"/>
          <w:numId w:val="20"/>
        </w:numPr>
        <w:spacing w:before="120"/>
        <w:contextualSpacing w:val="0"/>
        <w:rPr>
          <w:rFonts w:ascii="Arial" w:hAnsi="Arial" w:cs="Arial"/>
        </w:rPr>
      </w:pPr>
      <w:r w:rsidRPr="00EC2BDB">
        <w:rPr>
          <w:rFonts w:ascii="Arial" w:hAnsi="Arial" w:cs="Arial"/>
        </w:rPr>
        <w:t>Improvements to forms and processes for insurance applications, claims</w:t>
      </w:r>
      <w:r w:rsidR="00B56C54" w:rsidRPr="00EC2BDB">
        <w:rPr>
          <w:rFonts w:ascii="Arial" w:hAnsi="Arial" w:cs="Arial"/>
        </w:rPr>
        <w:t xml:space="preserve"> and complaints; and</w:t>
      </w:r>
    </w:p>
    <w:p w:rsidR="00491C22" w:rsidRDefault="006D59B1" w:rsidP="00491C22">
      <w:pPr>
        <w:pStyle w:val="ListBullet"/>
        <w:numPr>
          <w:ilvl w:val="0"/>
          <w:numId w:val="20"/>
        </w:numPr>
        <w:spacing w:before="120"/>
        <w:contextualSpacing w:val="0"/>
        <w:rPr>
          <w:rFonts w:ascii="Arial" w:hAnsi="Arial" w:cs="Arial"/>
        </w:rPr>
      </w:pPr>
      <w:r w:rsidRPr="00EC2BDB">
        <w:rPr>
          <w:rFonts w:ascii="Arial" w:hAnsi="Arial" w:cs="Arial"/>
        </w:rPr>
        <w:t>Publication of (and continual updates to) a guide to mental health-friendly insurance policies and practices.</w:t>
      </w:r>
    </w:p>
    <w:p w:rsidR="00491C22" w:rsidRDefault="00491C22" w:rsidP="00491C22">
      <w:pPr>
        <w:pStyle w:val="ListBullet"/>
        <w:numPr>
          <w:ilvl w:val="0"/>
          <w:numId w:val="0"/>
        </w:numPr>
        <w:spacing w:before="240"/>
        <w:contextualSpacing w:val="0"/>
        <w:rPr>
          <w:rFonts w:ascii="Arial" w:hAnsi="Arial" w:cs="Arial"/>
        </w:rPr>
      </w:pPr>
      <w:r>
        <w:rPr>
          <w:rFonts w:ascii="Arial" w:hAnsi="Arial" w:cs="Arial"/>
        </w:rPr>
        <w:t>The MHCA recognises that several of the actions proposed above can only be undertaken by insurers and are not the direct responsibility of government. However, to date the insurance industry has failed to demonstrate its commitment to finding a satisfactory solution to these problems. For this reason, the MHCA believes that the case for regulatory intervention is strong, and hopes to work with government and industry in developing the right solutions.</w:t>
      </w:r>
    </w:p>
    <w:p w:rsidR="00491C22" w:rsidRPr="00F45116" w:rsidRDefault="00491C22" w:rsidP="00253A70">
      <w:pPr>
        <w:spacing w:before="360"/>
        <w:rPr>
          <w:rFonts w:ascii="Arial" w:hAnsi="Arial" w:cs="Arial"/>
          <w:b/>
        </w:rPr>
      </w:pPr>
      <w:r w:rsidRPr="00F45116">
        <w:rPr>
          <w:rFonts w:ascii="Arial" w:hAnsi="Arial" w:cs="Arial"/>
          <w:b/>
        </w:rPr>
        <w:t>About the MHCA</w:t>
      </w:r>
    </w:p>
    <w:p w:rsidR="00491C22" w:rsidRPr="00F45116" w:rsidRDefault="00491C22" w:rsidP="00253A70">
      <w:pPr>
        <w:pStyle w:val="ListBullet"/>
        <w:numPr>
          <w:ilvl w:val="0"/>
          <w:numId w:val="0"/>
        </w:numPr>
        <w:spacing w:before="200"/>
        <w:contextualSpacing w:val="0"/>
        <w:rPr>
          <w:rFonts w:ascii="Arial" w:hAnsi="Arial" w:cs="Arial"/>
        </w:rPr>
      </w:pPr>
      <w:r w:rsidRPr="00F45116">
        <w:rPr>
          <w:rFonts w:ascii="Arial" w:hAnsi="Arial" w:cs="Arial"/>
        </w:rPr>
        <w:t>The MHCA is the peak, national non-government organisation representing and promoting the interests of the Australian mental health sector and committed to achieving better mental health for all Australians. It was established in 1997 as the first independent peak body in Australia to truly represent the full spectrum of mental health stakeholders and issues. MHCA members include national organisations representing consumers, carers, special needs groups, clinical service providers, public and private mental health service providers, researchers and state/territory community mental health peak bodies.</w:t>
      </w:r>
    </w:p>
    <w:p w:rsidR="00FA2117" w:rsidRPr="00EC2BDB" w:rsidRDefault="00491C22" w:rsidP="007F4005">
      <w:pPr>
        <w:pStyle w:val="ListBullet"/>
        <w:numPr>
          <w:ilvl w:val="0"/>
          <w:numId w:val="0"/>
        </w:numPr>
        <w:spacing w:before="240"/>
        <w:contextualSpacing w:val="0"/>
        <w:rPr>
          <w:rFonts w:ascii="Arial" w:hAnsi="Arial" w:cs="Arial"/>
        </w:rPr>
      </w:pPr>
      <w:r w:rsidRPr="00F45116">
        <w:rPr>
          <w:rFonts w:ascii="Arial" w:hAnsi="Arial" w:cs="Arial"/>
        </w:rPr>
        <w:t>The MHCA aims to promote mentally healthy communities, educate Australians on mental health issues, influence mental health reform so that government policies address all contemporary mental health issues, conduct research on mental health issues, and carry out regular consultation to represent the best interests of our members, partners and the community. These endeavours in education and policy reform are matched by our commitment to researching more innovative approaches to the provision of mental health care. In addition, the MHCA continues to focus on the human rights of people with a mental illness.</w:t>
      </w:r>
    </w:p>
    <w:sectPr w:rsidR="00FA2117" w:rsidRPr="00EC2BDB" w:rsidSect="00E34D19">
      <w:footerReference w:type="default" r:id="rId10"/>
      <w:headerReference w:type="first" r:id="rId11"/>
      <w:pgSz w:w="11906" w:h="16838"/>
      <w:pgMar w:top="1440" w:right="1133" w:bottom="144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3D9" w:rsidRDefault="009E73D9" w:rsidP="00D74913">
      <w:r>
        <w:separator/>
      </w:r>
    </w:p>
  </w:endnote>
  <w:endnote w:type="continuationSeparator" w:id="0">
    <w:p w:rsidR="009E73D9" w:rsidRDefault="009E73D9" w:rsidP="00D749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796865"/>
      <w:docPartObj>
        <w:docPartGallery w:val="Page Numbers (Bottom of Page)"/>
        <w:docPartUnique/>
      </w:docPartObj>
    </w:sdtPr>
    <w:sdtEndPr>
      <w:rPr>
        <w:noProof/>
      </w:rPr>
    </w:sdtEndPr>
    <w:sdtContent>
      <w:p w:rsidR="009025DD" w:rsidRDefault="0012758E">
        <w:pPr>
          <w:pStyle w:val="Footer"/>
          <w:jc w:val="center"/>
        </w:pPr>
        <w:r>
          <w:fldChar w:fldCharType="begin"/>
        </w:r>
        <w:r w:rsidR="009025DD">
          <w:instrText xml:space="preserve"> PAGE   \* MERGEFORMAT </w:instrText>
        </w:r>
        <w:r>
          <w:fldChar w:fldCharType="separate"/>
        </w:r>
        <w:r w:rsidR="00643008">
          <w:rPr>
            <w:noProof/>
          </w:rPr>
          <w:t>6</w:t>
        </w:r>
        <w:r>
          <w:rPr>
            <w:noProof/>
          </w:rPr>
          <w:fldChar w:fldCharType="end"/>
        </w:r>
      </w:p>
    </w:sdtContent>
  </w:sdt>
  <w:p w:rsidR="009025DD" w:rsidRDefault="009025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3D9" w:rsidRDefault="009E73D9" w:rsidP="00D74913">
      <w:r>
        <w:separator/>
      </w:r>
    </w:p>
  </w:footnote>
  <w:footnote w:type="continuationSeparator" w:id="0">
    <w:p w:rsidR="009E73D9" w:rsidRDefault="009E73D9" w:rsidP="00D74913">
      <w:r>
        <w:continuationSeparator/>
      </w:r>
    </w:p>
  </w:footnote>
  <w:footnote w:id="1">
    <w:p w:rsidR="008C7FC5" w:rsidRPr="00A867AA" w:rsidRDefault="008C7FC5" w:rsidP="00CF7C74">
      <w:pPr>
        <w:pStyle w:val="FootnoteText"/>
        <w:rPr>
          <w:rFonts w:ascii="Arial" w:hAnsi="Arial" w:cs="Arial"/>
          <w:sz w:val="18"/>
          <w:szCs w:val="18"/>
        </w:rPr>
      </w:pPr>
      <w:r w:rsidRPr="00A867AA">
        <w:rPr>
          <w:rStyle w:val="FootnoteReference"/>
          <w:rFonts w:ascii="Arial" w:hAnsi="Arial" w:cs="Arial"/>
          <w:sz w:val="18"/>
          <w:szCs w:val="18"/>
        </w:rPr>
        <w:footnoteRef/>
      </w:r>
      <w:r w:rsidRPr="00A867AA">
        <w:rPr>
          <w:rFonts w:ascii="Arial" w:hAnsi="Arial" w:cs="Arial"/>
          <w:sz w:val="18"/>
          <w:szCs w:val="18"/>
        </w:rPr>
        <w:t xml:space="preserve"> </w:t>
      </w:r>
      <w:r w:rsidRPr="00A867AA">
        <w:rPr>
          <w:rFonts w:ascii="Arial" w:hAnsi="Arial" w:cs="Arial"/>
          <w:i/>
          <w:sz w:val="18"/>
          <w:szCs w:val="18"/>
        </w:rPr>
        <w:t>QBE Travel Insurance v Bassanelli</w:t>
      </w:r>
      <w:r w:rsidRPr="00A867AA">
        <w:rPr>
          <w:rFonts w:ascii="Arial" w:hAnsi="Arial" w:cs="Arial"/>
          <w:sz w:val="18"/>
          <w:szCs w:val="18"/>
        </w:rPr>
        <w:t xml:space="preserve"> [2004] FCA 396 (7 April 2004)</w:t>
      </w:r>
    </w:p>
  </w:footnote>
  <w:footnote w:id="2">
    <w:p w:rsidR="00D30936" w:rsidRPr="00A867AA" w:rsidRDefault="00D30936" w:rsidP="00D30936">
      <w:pPr>
        <w:pStyle w:val="FootnoteText"/>
        <w:rPr>
          <w:rFonts w:ascii="Arial" w:hAnsi="Arial" w:cs="Arial"/>
          <w:sz w:val="18"/>
          <w:szCs w:val="18"/>
        </w:rPr>
      </w:pPr>
      <w:r w:rsidRPr="00A867AA">
        <w:rPr>
          <w:rStyle w:val="FootnoteReference"/>
          <w:rFonts w:ascii="Arial" w:hAnsi="Arial" w:cs="Arial"/>
          <w:sz w:val="18"/>
          <w:szCs w:val="18"/>
        </w:rPr>
        <w:footnoteRef/>
      </w:r>
      <w:r w:rsidRPr="00A867AA">
        <w:rPr>
          <w:rFonts w:ascii="Arial" w:hAnsi="Arial" w:cs="Arial"/>
          <w:sz w:val="18"/>
          <w:szCs w:val="18"/>
        </w:rPr>
        <w:t xml:space="preserve"> </w:t>
      </w:r>
      <w:r w:rsidR="009C1BD2" w:rsidRPr="00A867AA">
        <w:rPr>
          <w:rFonts w:ascii="Arial" w:hAnsi="Arial" w:cs="Arial"/>
          <w:sz w:val="18"/>
          <w:szCs w:val="18"/>
        </w:rPr>
        <w:t>The</w:t>
      </w:r>
      <w:r w:rsidRPr="00A867AA">
        <w:rPr>
          <w:rFonts w:ascii="Arial" w:hAnsi="Arial" w:cs="Arial"/>
          <w:sz w:val="18"/>
          <w:szCs w:val="18"/>
        </w:rPr>
        <w:t xml:space="preserve"> MHCA </w:t>
      </w:r>
      <w:r w:rsidR="009C1BD2" w:rsidRPr="00A867AA">
        <w:rPr>
          <w:rFonts w:ascii="Arial" w:hAnsi="Arial" w:cs="Arial"/>
          <w:sz w:val="18"/>
          <w:szCs w:val="18"/>
        </w:rPr>
        <w:t>believes that there is a</w:t>
      </w:r>
      <w:r w:rsidR="00A867AA" w:rsidRPr="00A867AA">
        <w:rPr>
          <w:rFonts w:ascii="Arial" w:hAnsi="Arial" w:cs="Arial"/>
          <w:sz w:val="18"/>
          <w:szCs w:val="18"/>
        </w:rPr>
        <w:t xml:space="preserve"> particularly</w:t>
      </w:r>
      <w:r w:rsidRPr="00A867AA">
        <w:rPr>
          <w:rFonts w:ascii="Arial" w:hAnsi="Arial" w:cs="Arial"/>
          <w:sz w:val="18"/>
          <w:szCs w:val="18"/>
        </w:rPr>
        <w:t xml:space="preserve"> </w:t>
      </w:r>
      <w:r w:rsidR="00A867AA" w:rsidRPr="00A867AA">
        <w:rPr>
          <w:rFonts w:ascii="Arial" w:hAnsi="Arial" w:cs="Arial"/>
          <w:sz w:val="18"/>
          <w:szCs w:val="18"/>
        </w:rPr>
        <w:t>high level of demand for</w:t>
      </w:r>
      <w:r w:rsidRPr="00A867AA">
        <w:rPr>
          <w:rFonts w:ascii="Arial" w:hAnsi="Arial" w:cs="Arial"/>
          <w:sz w:val="18"/>
          <w:szCs w:val="18"/>
        </w:rPr>
        <w:t xml:space="preserve"> travel insurance</w:t>
      </w:r>
      <w:r w:rsidR="009C1BD2" w:rsidRPr="00A867AA">
        <w:rPr>
          <w:rFonts w:ascii="Arial" w:hAnsi="Arial" w:cs="Arial"/>
          <w:sz w:val="18"/>
          <w:szCs w:val="18"/>
        </w:rPr>
        <w:t xml:space="preserve"> that can be taken out on reasonable terms by people who have, or care for people who have, a diagnosed mental illness</w:t>
      </w:r>
      <w:r w:rsidRPr="00A867AA">
        <w:rPr>
          <w:rFonts w:ascii="Arial" w:hAnsi="Arial" w:cs="Arial"/>
          <w:sz w:val="18"/>
          <w:szCs w:val="18"/>
        </w:rPr>
        <w:t>.</w:t>
      </w:r>
    </w:p>
  </w:footnote>
  <w:footnote w:id="3">
    <w:p w:rsidR="005E34A2" w:rsidRPr="00A867AA" w:rsidRDefault="005E34A2" w:rsidP="00A867AA">
      <w:pPr>
        <w:pStyle w:val="FootnoteText"/>
        <w:spacing w:before="120"/>
        <w:rPr>
          <w:sz w:val="18"/>
          <w:szCs w:val="18"/>
        </w:rPr>
      </w:pPr>
      <w:r w:rsidRPr="00A867AA">
        <w:rPr>
          <w:rStyle w:val="FootnoteReference"/>
          <w:rFonts w:ascii="Arial" w:hAnsi="Arial" w:cs="Arial"/>
          <w:sz w:val="18"/>
          <w:szCs w:val="18"/>
        </w:rPr>
        <w:footnoteRef/>
      </w:r>
      <w:r w:rsidRPr="00A867AA">
        <w:rPr>
          <w:rFonts w:ascii="Arial" w:hAnsi="Arial" w:cs="Arial"/>
          <w:sz w:val="18"/>
          <w:szCs w:val="18"/>
        </w:rPr>
        <w:t xml:space="preserve"> It is noted that this recommendation would go beyond the Financial Service Council’s recently released Mental Health Education Policy (Standard No. 21), which requires mental health awareness training for providers of life insurance products and associated information.</w:t>
      </w:r>
      <w:r w:rsidRPr="00A867AA">
        <w:rPr>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C5" w:rsidRPr="000803D8" w:rsidRDefault="008C7FC5" w:rsidP="000803D8">
    <w:pPr>
      <w:spacing w:line="276" w:lineRule="auto"/>
      <w:rPr>
        <w:rFonts w:asciiTheme="minorHAnsi" w:eastAsiaTheme="minorHAnsi" w:hAnsiTheme="minorHAnsi" w:cstheme="minorBidi"/>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404F66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7D27BC"/>
    <w:multiLevelType w:val="hybridMultilevel"/>
    <w:tmpl w:val="3766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605493"/>
    <w:multiLevelType w:val="hybridMultilevel"/>
    <w:tmpl w:val="17D6B66A"/>
    <w:lvl w:ilvl="0" w:tplc="196A3F34">
      <w:numFmt w:val="bullet"/>
      <w:lvlText w:val="-"/>
      <w:lvlJc w:val="left"/>
      <w:pPr>
        <w:ind w:left="720" w:hanging="360"/>
      </w:pPr>
      <w:rPr>
        <w:rFonts w:ascii="Times" w:eastAsia="Times" w:hAnsi="Times" w:cs="Time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547EEF"/>
    <w:multiLevelType w:val="hybridMultilevel"/>
    <w:tmpl w:val="58C4B8B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95D3766"/>
    <w:multiLevelType w:val="hybridMultilevel"/>
    <w:tmpl w:val="2EF6096E"/>
    <w:lvl w:ilvl="0" w:tplc="448C180E">
      <w:numFmt w:val="bullet"/>
      <w:lvlText w:val="-"/>
      <w:lvlJc w:val="left"/>
      <w:pPr>
        <w:ind w:left="720" w:hanging="360"/>
      </w:pPr>
      <w:rPr>
        <w:rFonts w:ascii="Times" w:eastAsia="Times"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841264"/>
    <w:multiLevelType w:val="hybridMultilevel"/>
    <w:tmpl w:val="556EB8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96F385D"/>
    <w:multiLevelType w:val="hybridMultilevel"/>
    <w:tmpl w:val="FFDA0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2A1645"/>
    <w:multiLevelType w:val="hybridMultilevel"/>
    <w:tmpl w:val="278A4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3700CA"/>
    <w:multiLevelType w:val="hybridMultilevel"/>
    <w:tmpl w:val="0B94A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CB7A0F"/>
    <w:multiLevelType w:val="hybridMultilevel"/>
    <w:tmpl w:val="DAFC8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19C16B1"/>
    <w:multiLevelType w:val="hybridMultilevel"/>
    <w:tmpl w:val="74E25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39C50F8"/>
    <w:multiLevelType w:val="hybridMultilevel"/>
    <w:tmpl w:val="F8A8E7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55E44A0A"/>
    <w:multiLevelType w:val="hybridMultilevel"/>
    <w:tmpl w:val="43BC1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93E64FA"/>
    <w:multiLevelType w:val="hybridMultilevel"/>
    <w:tmpl w:val="27901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6CE34D3"/>
    <w:multiLevelType w:val="hybridMultilevel"/>
    <w:tmpl w:val="B150F8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5D67540"/>
    <w:multiLevelType w:val="hybridMultilevel"/>
    <w:tmpl w:val="DC146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C494628"/>
    <w:multiLevelType w:val="hybridMultilevel"/>
    <w:tmpl w:val="83C6C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3"/>
  </w:num>
  <w:num w:numId="5">
    <w:abstractNumId w:val="10"/>
  </w:num>
  <w:num w:numId="6">
    <w:abstractNumId w:val="13"/>
  </w:num>
  <w:num w:numId="7">
    <w:abstractNumId w:val="16"/>
  </w:num>
  <w:num w:numId="8">
    <w:abstractNumId w:val="1"/>
  </w:num>
  <w:num w:numId="9">
    <w:abstractNumId w:val="8"/>
  </w:num>
  <w:num w:numId="10">
    <w:abstractNumId w:val="12"/>
  </w:num>
  <w:num w:numId="11">
    <w:abstractNumId w:val="2"/>
  </w:num>
  <w:num w:numId="12">
    <w:abstractNumId w:val="0"/>
  </w:num>
  <w:num w:numId="13">
    <w:abstractNumId w:val="6"/>
  </w:num>
  <w:num w:numId="14">
    <w:abstractNumId w:val="4"/>
  </w:num>
  <w:num w:numId="15">
    <w:abstractNumId w:val="0"/>
  </w:num>
  <w:num w:numId="16">
    <w:abstractNumId w:val="0"/>
  </w:num>
  <w:num w:numId="17">
    <w:abstractNumId w:val="0"/>
  </w:num>
  <w:num w:numId="18">
    <w:abstractNumId w:val="0"/>
  </w:num>
  <w:num w:numId="19">
    <w:abstractNumId w:val="5"/>
  </w:num>
  <w:num w:numId="20">
    <w:abstractNumId w:val="14"/>
  </w:num>
  <w:num w:numId="21">
    <w:abstractNumId w:val="15"/>
  </w:num>
  <w:num w:numId="22">
    <w:abstractNumId w:val="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hdrShapeDefaults>
    <o:shapedefaults v:ext="edit" spidmax="6145"/>
  </w:hdrShapeDefaults>
  <w:footnotePr>
    <w:footnote w:id="-1"/>
    <w:footnote w:id="0"/>
  </w:footnotePr>
  <w:endnotePr>
    <w:endnote w:id="-1"/>
    <w:endnote w:id="0"/>
  </w:endnotePr>
  <w:compat/>
  <w:rsids>
    <w:rsidRoot w:val="00D74913"/>
    <w:rsid w:val="00047AC8"/>
    <w:rsid w:val="00047ED3"/>
    <w:rsid w:val="00052E43"/>
    <w:rsid w:val="000535DD"/>
    <w:rsid w:val="00057DAF"/>
    <w:rsid w:val="00065E4C"/>
    <w:rsid w:val="000803D8"/>
    <w:rsid w:val="00083871"/>
    <w:rsid w:val="000911F9"/>
    <w:rsid w:val="000B5A27"/>
    <w:rsid w:val="000D1544"/>
    <w:rsid w:val="000D196A"/>
    <w:rsid w:val="000F672C"/>
    <w:rsid w:val="000F7353"/>
    <w:rsid w:val="00100611"/>
    <w:rsid w:val="001055C5"/>
    <w:rsid w:val="00107750"/>
    <w:rsid w:val="00107BE5"/>
    <w:rsid w:val="00116A85"/>
    <w:rsid w:val="0012758E"/>
    <w:rsid w:val="0014066D"/>
    <w:rsid w:val="00141670"/>
    <w:rsid w:val="00154E97"/>
    <w:rsid w:val="00157206"/>
    <w:rsid w:val="00170684"/>
    <w:rsid w:val="00173DF9"/>
    <w:rsid w:val="00174903"/>
    <w:rsid w:val="00181314"/>
    <w:rsid w:val="00181856"/>
    <w:rsid w:val="001851B1"/>
    <w:rsid w:val="001966BB"/>
    <w:rsid w:val="001A0F32"/>
    <w:rsid w:val="001D757D"/>
    <w:rsid w:val="001E07AC"/>
    <w:rsid w:val="001E1CF1"/>
    <w:rsid w:val="001E544D"/>
    <w:rsid w:val="00246F7A"/>
    <w:rsid w:val="00250CC1"/>
    <w:rsid w:val="00253A70"/>
    <w:rsid w:val="0026084F"/>
    <w:rsid w:val="00270944"/>
    <w:rsid w:val="00276801"/>
    <w:rsid w:val="00285D4A"/>
    <w:rsid w:val="00291D00"/>
    <w:rsid w:val="002922D8"/>
    <w:rsid w:val="002D00A9"/>
    <w:rsid w:val="002D705E"/>
    <w:rsid w:val="002E2897"/>
    <w:rsid w:val="00332188"/>
    <w:rsid w:val="003337D0"/>
    <w:rsid w:val="00334AA7"/>
    <w:rsid w:val="00346D6C"/>
    <w:rsid w:val="00371F0A"/>
    <w:rsid w:val="003768BE"/>
    <w:rsid w:val="003C7F7B"/>
    <w:rsid w:val="00403B66"/>
    <w:rsid w:val="0041421E"/>
    <w:rsid w:val="0041533B"/>
    <w:rsid w:val="0043236B"/>
    <w:rsid w:val="00435E1D"/>
    <w:rsid w:val="00441A0B"/>
    <w:rsid w:val="00453A0C"/>
    <w:rsid w:val="00457D37"/>
    <w:rsid w:val="00464274"/>
    <w:rsid w:val="00490CB8"/>
    <w:rsid w:val="00491B95"/>
    <w:rsid w:val="00491C22"/>
    <w:rsid w:val="00492DBD"/>
    <w:rsid w:val="00494CA3"/>
    <w:rsid w:val="0049588F"/>
    <w:rsid w:val="00496A3F"/>
    <w:rsid w:val="004A45D4"/>
    <w:rsid w:val="004C3FEF"/>
    <w:rsid w:val="004C7878"/>
    <w:rsid w:val="004D5F71"/>
    <w:rsid w:val="004D766C"/>
    <w:rsid w:val="004E437D"/>
    <w:rsid w:val="004E6D88"/>
    <w:rsid w:val="00511744"/>
    <w:rsid w:val="0053416F"/>
    <w:rsid w:val="00556C4A"/>
    <w:rsid w:val="005650BA"/>
    <w:rsid w:val="00584CDD"/>
    <w:rsid w:val="00594335"/>
    <w:rsid w:val="00596039"/>
    <w:rsid w:val="005B3B5E"/>
    <w:rsid w:val="005B7542"/>
    <w:rsid w:val="005D16FA"/>
    <w:rsid w:val="005D315C"/>
    <w:rsid w:val="005D5B2F"/>
    <w:rsid w:val="005E34A2"/>
    <w:rsid w:val="005E427D"/>
    <w:rsid w:val="005F59B1"/>
    <w:rsid w:val="00606928"/>
    <w:rsid w:val="00606F57"/>
    <w:rsid w:val="00610296"/>
    <w:rsid w:val="006113A4"/>
    <w:rsid w:val="006203A0"/>
    <w:rsid w:val="00641132"/>
    <w:rsid w:val="00643008"/>
    <w:rsid w:val="00650328"/>
    <w:rsid w:val="006828C5"/>
    <w:rsid w:val="00695A6E"/>
    <w:rsid w:val="006A66F3"/>
    <w:rsid w:val="006C09AA"/>
    <w:rsid w:val="006D0B00"/>
    <w:rsid w:val="006D4487"/>
    <w:rsid w:val="006D59B1"/>
    <w:rsid w:val="006D6295"/>
    <w:rsid w:val="006F2D8F"/>
    <w:rsid w:val="00716990"/>
    <w:rsid w:val="00717F36"/>
    <w:rsid w:val="00732D81"/>
    <w:rsid w:val="007520FA"/>
    <w:rsid w:val="00753D55"/>
    <w:rsid w:val="007636B0"/>
    <w:rsid w:val="00772230"/>
    <w:rsid w:val="007A3F98"/>
    <w:rsid w:val="007B301A"/>
    <w:rsid w:val="007E02F7"/>
    <w:rsid w:val="007F4005"/>
    <w:rsid w:val="007F43C9"/>
    <w:rsid w:val="0081170D"/>
    <w:rsid w:val="0083163D"/>
    <w:rsid w:val="0083169B"/>
    <w:rsid w:val="00854A40"/>
    <w:rsid w:val="00854ECD"/>
    <w:rsid w:val="00876E8D"/>
    <w:rsid w:val="00877C92"/>
    <w:rsid w:val="008805AE"/>
    <w:rsid w:val="008B1718"/>
    <w:rsid w:val="008C413C"/>
    <w:rsid w:val="008C5F1F"/>
    <w:rsid w:val="008C7FC5"/>
    <w:rsid w:val="008D795F"/>
    <w:rsid w:val="009025DD"/>
    <w:rsid w:val="0090516F"/>
    <w:rsid w:val="00905C5C"/>
    <w:rsid w:val="009142E7"/>
    <w:rsid w:val="009149A8"/>
    <w:rsid w:val="00922B49"/>
    <w:rsid w:val="00931E85"/>
    <w:rsid w:val="00940483"/>
    <w:rsid w:val="009832BD"/>
    <w:rsid w:val="009B1405"/>
    <w:rsid w:val="009B158C"/>
    <w:rsid w:val="009B32BB"/>
    <w:rsid w:val="009C1BD2"/>
    <w:rsid w:val="009C2C6E"/>
    <w:rsid w:val="009E3C40"/>
    <w:rsid w:val="009E5522"/>
    <w:rsid w:val="009E73D9"/>
    <w:rsid w:val="009F2178"/>
    <w:rsid w:val="009F57CD"/>
    <w:rsid w:val="00A11CCA"/>
    <w:rsid w:val="00A20778"/>
    <w:rsid w:val="00A300EC"/>
    <w:rsid w:val="00A37A07"/>
    <w:rsid w:val="00A76D11"/>
    <w:rsid w:val="00A77682"/>
    <w:rsid w:val="00A867AA"/>
    <w:rsid w:val="00A87CD9"/>
    <w:rsid w:val="00A96876"/>
    <w:rsid w:val="00AB1B6E"/>
    <w:rsid w:val="00AB482E"/>
    <w:rsid w:val="00AC7B08"/>
    <w:rsid w:val="00AD04BC"/>
    <w:rsid w:val="00AE076B"/>
    <w:rsid w:val="00AE238D"/>
    <w:rsid w:val="00B217EE"/>
    <w:rsid w:val="00B255ED"/>
    <w:rsid w:val="00B45C80"/>
    <w:rsid w:val="00B505BF"/>
    <w:rsid w:val="00B56C54"/>
    <w:rsid w:val="00B7237B"/>
    <w:rsid w:val="00B75E85"/>
    <w:rsid w:val="00BC2941"/>
    <w:rsid w:val="00BD1562"/>
    <w:rsid w:val="00BD6C9E"/>
    <w:rsid w:val="00BF550C"/>
    <w:rsid w:val="00C05D9D"/>
    <w:rsid w:val="00C14E42"/>
    <w:rsid w:val="00C2753F"/>
    <w:rsid w:val="00C318F6"/>
    <w:rsid w:val="00C320B9"/>
    <w:rsid w:val="00C3242F"/>
    <w:rsid w:val="00C3439F"/>
    <w:rsid w:val="00C41040"/>
    <w:rsid w:val="00C46745"/>
    <w:rsid w:val="00C4702C"/>
    <w:rsid w:val="00C47D3D"/>
    <w:rsid w:val="00C8252A"/>
    <w:rsid w:val="00CA0B83"/>
    <w:rsid w:val="00CE6634"/>
    <w:rsid w:val="00CF7C74"/>
    <w:rsid w:val="00D016C2"/>
    <w:rsid w:val="00D10A68"/>
    <w:rsid w:val="00D12839"/>
    <w:rsid w:val="00D17121"/>
    <w:rsid w:val="00D30936"/>
    <w:rsid w:val="00D33D75"/>
    <w:rsid w:val="00D35D8F"/>
    <w:rsid w:val="00D406BB"/>
    <w:rsid w:val="00D52CD8"/>
    <w:rsid w:val="00D6316D"/>
    <w:rsid w:val="00D6693C"/>
    <w:rsid w:val="00D74913"/>
    <w:rsid w:val="00D82E7C"/>
    <w:rsid w:val="00D9066D"/>
    <w:rsid w:val="00DD21A1"/>
    <w:rsid w:val="00E02449"/>
    <w:rsid w:val="00E16A95"/>
    <w:rsid w:val="00E306E4"/>
    <w:rsid w:val="00E30E5E"/>
    <w:rsid w:val="00E34D19"/>
    <w:rsid w:val="00E73E1D"/>
    <w:rsid w:val="00E7742D"/>
    <w:rsid w:val="00E85CBB"/>
    <w:rsid w:val="00E97B1F"/>
    <w:rsid w:val="00EC1D5B"/>
    <w:rsid w:val="00EC29E6"/>
    <w:rsid w:val="00EC2BDB"/>
    <w:rsid w:val="00EC3304"/>
    <w:rsid w:val="00EC4250"/>
    <w:rsid w:val="00ED1C5C"/>
    <w:rsid w:val="00EF6334"/>
    <w:rsid w:val="00F027C7"/>
    <w:rsid w:val="00F04783"/>
    <w:rsid w:val="00F639CB"/>
    <w:rsid w:val="00F70EB7"/>
    <w:rsid w:val="00F766E4"/>
    <w:rsid w:val="00F86341"/>
    <w:rsid w:val="00F86EDF"/>
    <w:rsid w:val="00FA2117"/>
    <w:rsid w:val="00FA2483"/>
    <w:rsid w:val="00FA71A0"/>
    <w:rsid w:val="00FB3F7B"/>
    <w:rsid w:val="00FB4AB3"/>
    <w:rsid w:val="00FD1C8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90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91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74913"/>
  </w:style>
  <w:style w:type="paragraph" w:styleId="Footer">
    <w:name w:val="footer"/>
    <w:basedOn w:val="Normal"/>
    <w:link w:val="FooterChar"/>
    <w:uiPriority w:val="99"/>
    <w:unhideWhenUsed/>
    <w:rsid w:val="00D7491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74913"/>
  </w:style>
  <w:style w:type="paragraph" w:styleId="BalloonText">
    <w:name w:val="Balloon Text"/>
    <w:basedOn w:val="Normal"/>
    <w:link w:val="BalloonTextChar"/>
    <w:uiPriority w:val="99"/>
    <w:semiHidden/>
    <w:unhideWhenUsed/>
    <w:rsid w:val="00D74913"/>
    <w:rPr>
      <w:rFonts w:ascii="Tahoma" w:hAnsi="Tahoma" w:cs="Tahoma"/>
      <w:sz w:val="16"/>
      <w:szCs w:val="16"/>
    </w:rPr>
  </w:style>
  <w:style w:type="character" w:customStyle="1" w:styleId="BalloonTextChar">
    <w:name w:val="Balloon Text Char"/>
    <w:basedOn w:val="DefaultParagraphFont"/>
    <w:link w:val="BalloonText"/>
    <w:uiPriority w:val="99"/>
    <w:semiHidden/>
    <w:rsid w:val="00D74913"/>
    <w:rPr>
      <w:rFonts w:ascii="Tahoma" w:hAnsi="Tahoma" w:cs="Tahoma"/>
      <w:sz w:val="16"/>
      <w:szCs w:val="16"/>
    </w:rPr>
  </w:style>
  <w:style w:type="character" w:styleId="Hyperlink">
    <w:name w:val="Hyperlink"/>
    <w:basedOn w:val="DefaultParagraphFont"/>
    <w:uiPriority w:val="99"/>
    <w:unhideWhenUsed/>
    <w:rsid w:val="00403B66"/>
    <w:rPr>
      <w:color w:val="0000FF" w:themeColor="hyperlink"/>
      <w:u w:val="single"/>
    </w:rPr>
  </w:style>
  <w:style w:type="paragraph" w:styleId="ListParagraph">
    <w:name w:val="List Paragraph"/>
    <w:basedOn w:val="Normal"/>
    <w:uiPriority w:val="34"/>
    <w:qFormat/>
    <w:rsid w:val="00291D00"/>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FB4AB3"/>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FB4AB3"/>
    <w:rPr>
      <w:sz w:val="20"/>
      <w:szCs w:val="20"/>
    </w:rPr>
  </w:style>
  <w:style w:type="character" w:styleId="FootnoteReference">
    <w:name w:val="footnote reference"/>
    <w:basedOn w:val="DefaultParagraphFont"/>
    <w:uiPriority w:val="99"/>
    <w:semiHidden/>
    <w:unhideWhenUsed/>
    <w:rsid w:val="00FB4AB3"/>
    <w:rPr>
      <w:vertAlign w:val="superscript"/>
    </w:rPr>
  </w:style>
  <w:style w:type="paragraph" w:styleId="ListBullet">
    <w:name w:val="List Bullet"/>
    <w:basedOn w:val="Normal"/>
    <w:uiPriority w:val="99"/>
    <w:unhideWhenUsed/>
    <w:rsid w:val="00276801"/>
    <w:pPr>
      <w:numPr>
        <w:numId w:val="12"/>
      </w:numPr>
      <w:contextualSpacing/>
    </w:pPr>
  </w:style>
  <w:style w:type="character" w:styleId="CommentReference">
    <w:name w:val="annotation reference"/>
    <w:basedOn w:val="DefaultParagraphFont"/>
    <w:uiPriority w:val="99"/>
    <w:semiHidden/>
    <w:unhideWhenUsed/>
    <w:rsid w:val="00EC2BDB"/>
    <w:rPr>
      <w:sz w:val="16"/>
      <w:szCs w:val="16"/>
    </w:rPr>
  </w:style>
  <w:style w:type="paragraph" w:styleId="CommentText">
    <w:name w:val="annotation text"/>
    <w:basedOn w:val="Normal"/>
    <w:link w:val="CommentTextChar"/>
    <w:uiPriority w:val="99"/>
    <w:semiHidden/>
    <w:unhideWhenUsed/>
    <w:rsid w:val="00EC2BDB"/>
    <w:rPr>
      <w:sz w:val="20"/>
    </w:rPr>
  </w:style>
  <w:style w:type="character" w:customStyle="1" w:styleId="CommentTextChar">
    <w:name w:val="Comment Text Char"/>
    <w:basedOn w:val="DefaultParagraphFont"/>
    <w:link w:val="CommentText"/>
    <w:uiPriority w:val="99"/>
    <w:semiHidden/>
    <w:rsid w:val="00EC2BDB"/>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C2BDB"/>
    <w:rPr>
      <w:b/>
      <w:bCs/>
    </w:rPr>
  </w:style>
  <w:style w:type="character" w:customStyle="1" w:styleId="CommentSubjectChar">
    <w:name w:val="Comment Subject Char"/>
    <w:basedOn w:val="CommentTextChar"/>
    <w:link w:val="CommentSubject"/>
    <w:uiPriority w:val="99"/>
    <w:semiHidden/>
    <w:rsid w:val="00EC2BDB"/>
    <w:rPr>
      <w:rFonts w:ascii="Times" w:eastAsia="Times" w:hAnsi="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903"/>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91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74913"/>
  </w:style>
  <w:style w:type="paragraph" w:styleId="Footer">
    <w:name w:val="footer"/>
    <w:basedOn w:val="Normal"/>
    <w:link w:val="FooterChar"/>
    <w:uiPriority w:val="99"/>
    <w:unhideWhenUsed/>
    <w:rsid w:val="00D7491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74913"/>
  </w:style>
  <w:style w:type="paragraph" w:styleId="BalloonText">
    <w:name w:val="Balloon Text"/>
    <w:basedOn w:val="Normal"/>
    <w:link w:val="BalloonTextChar"/>
    <w:uiPriority w:val="99"/>
    <w:semiHidden/>
    <w:unhideWhenUsed/>
    <w:rsid w:val="00D74913"/>
    <w:rPr>
      <w:rFonts w:ascii="Tahoma" w:hAnsi="Tahoma" w:cs="Tahoma"/>
      <w:sz w:val="16"/>
      <w:szCs w:val="16"/>
    </w:rPr>
  </w:style>
  <w:style w:type="character" w:customStyle="1" w:styleId="BalloonTextChar">
    <w:name w:val="Balloon Text Char"/>
    <w:basedOn w:val="DefaultParagraphFont"/>
    <w:link w:val="BalloonText"/>
    <w:uiPriority w:val="99"/>
    <w:semiHidden/>
    <w:rsid w:val="00D74913"/>
    <w:rPr>
      <w:rFonts w:ascii="Tahoma" w:hAnsi="Tahoma" w:cs="Tahoma"/>
      <w:sz w:val="16"/>
      <w:szCs w:val="16"/>
    </w:rPr>
  </w:style>
  <w:style w:type="character" w:styleId="Hyperlink">
    <w:name w:val="Hyperlink"/>
    <w:basedOn w:val="DefaultParagraphFont"/>
    <w:uiPriority w:val="99"/>
    <w:unhideWhenUsed/>
    <w:rsid w:val="00403B66"/>
    <w:rPr>
      <w:color w:val="0000FF" w:themeColor="hyperlink"/>
      <w:u w:val="single"/>
    </w:rPr>
  </w:style>
  <w:style w:type="paragraph" w:styleId="ListParagraph">
    <w:name w:val="List Paragraph"/>
    <w:basedOn w:val="Normal"/>
    <w:uiPriority w:val="34"/>
    <w:qFormat/>
    <w:rsid w:val="00291D00"/>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FB4AB3"/>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FB4AB3"/>
    <w:rPr>
      <w:sz w:val="20"/>
      <w:szCs w:val="20"/>
    </w:rPr>
  </w:style>
  <w:style w:type="character" w:styleId="FootnoteReference">
    <w:name w:val="footnote reference"/>
    <w:basedOn w:val="DefaultParagraphFont"/>
    <w:uiPriority w:val="99"/>
    <w:semiHidden/>
    <w:unhideWhenUsed/>
    <w:rsid w:val="00FB4AB3"/>
    <w:rPr>
      <w:vertAlign w:val="superscript"/>
    </w:rPr>
  </w:style>
  <w:style w:type="paragraph" w:styleId="ListBullet">
    <w:name w:val="List Bullet"/>
    <w:basedOn w:val="Normal"/>
    <w:uiPriority w:val="99"/>
    <w:unhideWhenUsed/>
    <w:rsid w:val="00276801"/>
    <w:pPr>
      <w:numPr>
        <w:numId w:val="12"/>
      </w:numPr>
      <w:contextualSpacing/>
    </w:pPr>
  </w:style>
  <w:style w:type="character" w:styleId="CommentReference">
    <w:name w:val="annotation reference"/>
    <w:basedOn w:val="DefaultParagraphFont"/>
    <w:uiPriority w:val="99"/>
    <w:semiHidden/>
    <w:unhideWhenUsed/>
    <w:rsid w:val="00EC2BDB"/>
    <w:rPr>
      <w:sz w:val="16"/>
      <w:szCs w:val="16"/>
    </w:rPr>
  </w:style>
  <w:style w:type="paragraph" w:styleId="CommentText">
    <w:name w:val="annotation text"/>
    <w:basedOn w:val="Normal"/>
    <w:link w:val="CommentTextChar"/>
    <w:uiPriority w:val="99"/>
    <w:semiHidden/>
    <w:unhideWhenUsed/>
    <w:rsid w:val="00EC2BDB"/>
    <w:rPr>
      <w:sz w:val="20"/>
    </w:rPr>
  </w:style>
  <w:style w:type="character" w:customStyle="1" w:styleId="CommentTextChar">
    <w:name w:val="Comment Text Char"/>
    <w:basedOn w:val="DefaultParagraphFont"/>
    <w:link w:val="CommentText"/>
    <w:uiPriority w:val="99"/>
    <w:semiHidden/>
    <w:rsid w:val="00EC2BDB"/>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C2BDB"/>
    <w:rPr>
      <w:b/>
      <w:bCs/>
    </w:rPr>
  </w:style>
  <w:style w:type="character" w:customStyle="1" w:styleId="CommentSubjectChar">
    <w:name w:val="Comment Subject Char"/>
    <w:basedOn w:val="CommentTextChar"/>
    <w:link w:val="CommentSubject"/>
    <w:uiPriority w:val="99"/>
    <w:semiHidden/>
    <w:rsid w:val="00EC2BDB"/>
    <w:rPr>
      <w:rFonts w:ascii="Times" w:eastAsia="Times" w:hAnsi="Times"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98386953">
      <w:bodyDiv w:val="1"/>
      <w:marLeft w:val="0"/>
      <w:marRight w:val="0"/>
      <w:marTop w:val="0"/>
      <w:marBottom w:val="0"/>
      <w:divBdr>
        <w:top w:val="none" w:sz="0" w:space="0" w:color="auto"/>
        <w:left w:val="none" w:sz="0" w:space="0" w:color="auto"/>
        <w:bottom w:val="none" w:sz="0" w:space="0" w:color="auto"/>
        <w:right w:val="none" w:sz="0" w:space="0" w:color="auto"/>
      </w:divBdr>
    </w:div>
    <w:div w:id="470824636">
      <w:bodyDiv w:val="1"/>
      <w:marLeft w:val="0"/>
      <w:marRight w:val="0"/>
      <w:marTop w:val="0"/>
      <w:marBottom w:val="0"/>
      <w:divBdr>
        <w:top w:val="none" w:sz="0" w:space="0" w:color="auto"/>
        <w:left w:val="none" w:sz="0" w:space="0" w:color="auto"/>
        <w:bottom w:val="none" w:sz="0" w:space="0" w:color="auto"/>
        <w:right w:val="none" w:sz="0" w:space="0" w:color="auto"/>
      </w:divBdr>
    </w:div>
    <w:div w:id="557283013">
      <w:bodyDiv w:val="1"/>
      <w:marLeft w:val="0"/>
      <w:marRight w:val="0"/>
      <w:marTop w:val="0"/>
      <w:marBottom w:val="0"/>
      <w:divBdr>
        <w:top w:val="none" w:sz="0" w:space="0" w:color="auto"/>
        <w:left w:val="none" w:sz="0" w:space="0" w:color="auto"/>
        <w:bottom w:val="none" w:sz="0" w:space="0" w:color="auto"/>
        <w:right w:val="none" w:sz="0" w:space="0" w:color="auto"/>
      </w:divBdr>
    </w:div>
    <w:div w:id="671562871">
      <w:bodyDiv w:val="1"/>
      <w:marLeft w:val="0"/>
      <w:marRight w:val="0"/>
      <w:marTop w:val="0"/>
      <w:marBottom w:val="0"/>
      <w:divBdr>
        <w:top w:val="none" w:sz="0" w:space="0" w:color="auto"/>
        <w:left w:val="none" w:sz="0" w:space="0" w:color="auto"/>
        <w:bottom w:val="none" w:sz="0" w:space="0" w:color="auto"/>
        <w:right w:val="none" w:sz="0" w:space="0" w:color="auto"/>
      </w:divBdr>
    </w:div>
    <w:div w:id="928275888">
      <w:bodyDiv w:val="1"/>
      <w:marLeft w:val="0"/>
      <w:marRight w:val="0"/>
      <w:marTop w:val="0"/>
      <w:marBottom w:val="0"/>
      <w:divBdr>
        <w:top w:val="none" w:sz="0" w:space="0" w:color="auto"/>
        <w:left w:val="none" w:sz="0" w:space="0" w:color="auto"/>
        <w:bottom w:val="none" w:sz="0" w:space="0" w:color="auto"/>
        <w:right w:val="none" w:sz="0" w:space="0" w:color="auto"/>
      </w:divBdr>
    </w:div>
    <w:div w:id="1396853330">
      <w:bodyDiv w:val="1"/>
      <w:marLeft w:val="0"/>
      <w:marRight w:val="0"/>
      <w:marTop w:val="0"/>
      <w:marBottom w:val="0"/>
      <w:divBdr>
        <w:top w:val="none" w:sz="0" w:space="0" w:color="auto"/>
        <w:left w:val="none" w:sz="0" w:space="0" w:color="auto"/>
        <w:bottom w:val="none" w:sz="0" w:space="0" w:color="auto"/>
        <w:right w:val="none" w:sz="0" w:space="0" w:color="auto"/>
      </w:divBdr>
    </w:div>
    <w:div w:id="1559592327">
      <w:bodyDiv w:val="1"/>
      <w:marLeft w:val="0"/>
      <w:marRight w:val="0"/>
      <w:marTop w:val="0"/>
      <w:marBottom w:val="0"/>
      <w:divBdr>
        <w:top w:val="none" w:sz="0" w:space="0" w:color="auto"/>
        <w:left w:val="none" w:sz="0" w:space="0" w:color="auto"/>
        <w:bottom w:val="none" w:sz="0" w:space="0" w:color="auto"/>
        <w:right w:val="none" w:sz="0" w:space="0" w:color="auto"/>
      </w:divBdr>
    </w:div>
    <w:div w:id="19056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sh.fear@mhca.org.a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E1FDF-8225-4B37-8C97-38B5FA8A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2327</Words>
  <Characters>13112</Characters>
  <Application>Microsoft Office Word</Application>
  <DocSecurity>0</DocSecurity>
  <Lines>242</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Voodoo_8</dc:creator>
  <cp:lastModifiedBy>tina.obrien</cp:lastModifiedBy>
  <cp:revision>2</cp:revision>
  <cp:lastPrinted>2013-12-02T22:37:00Z</cp:lastPrinted>
  <dcterms:created xsi:type="dcterms:W3CDTF">2014-01-21T00:08:00Z</dcterms:created>
  <dcterms:modified xsi:type="dcterms:W3CDTF">2014-01-21T00:08:00Z</dcterms:modified>
</cp:coreProperties>
</file>