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140FEE" w:rsidRDefault="00140FEE">
      <w:pPr>
        <w:rPr>
          <w:sz w:val="32"/>
          <w:szCs w:val="32"/>
        </w:rPr>
      </w:pPr>
      <w:r w:rsidRPr="00140FEE">
        <w:rPr>
          <w:sz w:val="32"/>
          <w:szCs w:val="32"/>
        </w:rPr>
        <w:t>489._org_ Community Newspaper Australia</w:t>
      </w:r>
    </w:p>
    <w:tbl>
      <w:tblPr>
        <w:tblW w:w="5000" w:type="pct"/>
        <w:jc w:val="center"/>
        <w:tblCellSpacing w:w="0" w:type="dxa"/>
        <w:shd w:val="clear" w:color="auto" w:fill="FFFFFF"/>
        <w:tblCellMar>
          <w:left w:w="0" w:type="dxa"/>
          <w:right w:w="0" w:type="dxa"/>
        </w:tblCellMar>
        <w:tblLook w:val="04A0"/>
      </w:tblPr>
      <w:tblGrid>
        <w:gridCol w:w="13958"/>
      </w:tblGrid>
      <w:tr w:rsidR="00140FEE" w:rsidTr="00140FEE">
        <w:trPr>
          <w:tblCellSpacing w:w="0" w:type="dxa"/>
          <w:jc w:val="center"/>
        </w:trPr>
        <w:tc>
          <w:tcPr>
            <w:tcW w:w="0" w:type="auto"/>
            <w:shd w:val="clear" w:color="auto" w:fill="FFFFFF"/>
            <w:vAlign w:val="center"/>
            <w:hideMark/>
          </w:tcPr>
          <w:tbl>
            <w:tblPr>
              <w:tblW w:w="14490" w:type="dxa"/>
              <w:jc w:val="center"/>
              <w:tblCellSpacing w:w="0" w:type="dxa"/>
              <w:tblCellMar>
                <w:left w:w="0" w:type="dxa"/>
                <w:right w:w="0" w:type="dxa"/>
              </w:tblCellMar>
              <w:tblLook w:val="04A0"/>
            </w:tblPr>
            <w:tblGrid>
              <w:gridCol w:w="435"/>
              <w:gridCol w:w="13620"/>
              <w:gridCol w:w="435"/>
            </w:tblGrid>
            <w:tr w:rsidR="00140FEE">
              <w:trPr>
                <w:tblCellSpacing w:w="0" w:type="dxa"/>
                <w:jc w:val="center"/>
              </w:trPr>
              <w:tc>
                <w:tcPr>
                  <w:tcW w:w="450" w:type="dxa"/>
                  <w:vAlign w:val="center"/>
                  <w:hideMark/>
                </w:tcPr>
                <w:p w:rsidR="00140FEE" w:rsidRDefault="00140FEE">
                  <w:pPr>
                    <w:rPr>
                      <w:rFonts w:eastAsia="Times New Roman"/>
                      <w:sz w:val="24"/>
                      <w:szCs w:val="24"/>
                    </w:rPr>
                  </w:pPr>
                  <w:r>
                    <w:rPr>
                      <w:rFonts w:eastAsia="Times New Roman"/>
                    </w:rPr>
                    <w:t> </w:t>
                  </w:r>
                </w:p>
              </w:tc>
              <w:tc>
                <w:tcPr>
                  <w:tcW w:w="13590" w:type="dxa"/>
                  <w:shd w:val="clear" w:color="auto" w:fill="FFFFFF"/>
                  <w:vAlign w:val="center"/>
                </w:tcPr>
                <w:tbl>
                  <w:tblPr>
                    <w:tblW w:w="13590" w:type="dxa"/>
                    <w:tblCellSpacing w:w="0" w:type="dxa"/>
                    <w:shd w:val="clear" w:color="auto" w:fill="FFFFFF"/>
                    <w:tblCellMar>
                      <w:left w:w="0" w:type="dxa"/>
                      <w:right w:w="0" w:type="dxa"/>
                    </w:tblCellMar>
                    <w:tblLook w:val="04A0"/>
                  </w:tblPr>
                  <w:tblGrid>
                    <w:gridCol w:w="13590"/>
                  </w:tblGrid>
                  <w:tr w:rsidR="00140FEE">
                    <w:trPr>
                      <w:trHeight w:val="600"/>
                      <w:tblCellSpacing w:w="0" w:type="dxa"/>
                    </w:trPr>
                    <w:tc>
                      <w:tcPr>
                        <w:tcW w:w="13590" w:type="dxa"/>
                        <w:shd w:val="clear" w:color="auto" w:fill="FFFFFF"/>
                        <w:vAlign w:val="center"/>
                        <w:hideMark/>
                      </w:tcPr>
                      <w:p w:rsidR="00140FEE" w:rsidRDefault="00140FEE">
                        <w:pPr>
                          <w:rPr>
                            <w:rFonts w:eastAsiaTheme="minorEastAsia"/>
                          </w:rPr>
                        </w:pPr>
                      </w:p>
                    </w:tc>
                  </w:tr>
                  <w:tr w:rsidR="00140FEE">
                    <w:trPr>
                      <w:trHeight w:val="300"/>
                      <w:tblCellSpacing w:w="0" w:type="dxa"/>
                    </w:trPr>
                    <w:tc>
                      <w:tcPr>
                        <w:tcW w:w="13590" w:type="dxa"/>
                        <w:shd w:val="clear" w:color="auto" w:fill="19B628"/>
                        <w:vAlign w:val="center"/>
                        <w:hideMark/>
                      </w:tcPr>
                      <w:p w:rsidR="00140FEE" w:rsidRDefault="00140FEE">
                        <w:pPr>
                          <w:rPr>
                            <w:rFonts w:eastAsiaTheme="minorEastAsia"/>
                          </w:rPr>
                        </w:pPr>
                      </w:p>
                    </w:tc>
                  </w:tr>
                </w:tbl>
                <w:p w:rsidR="00140FEE" w:rsidRDefault="00140FEE">
                  <w:pPr>
                    <w:rPr>
                      <w:rFonts w:ascii="Times New Roman" w:eastAsia="Times New Roman" w:hAnsi="Times New Roman" w:cs="Times New Roman"/>
                      <w:vanish/>
                      <w:sz w:val="24"/>
                      <w:szCs w:val="24"/>
                    </w:rPr>
                  </w:pPr>
                </w:p>
                <w:tbl>
                  <w:tblPr>
                    <w:tblW w:w="13590" w:type="dxa"/>
                    <w:jc w:val="center"/>
                    <w:tblCellSpacing w:w="0" w:type="dxa"/>
                    <w:tblCellMar>
                      <w:left w:w="0" w:type="dxa"/>
                      <w:right w:w="0" w:type="dxa"/>
                    </w:tblCellMar>
                    <w:tblLook w:val="04A0"/>
                  </w:tblPr>
                  <w:tblGrid>
                    <w:gridCol w:w="10740"/>
                    <w:gridCol w:w="2880"/>
                  </w:tblGrid>
                  <w:tr w:rsidR="00140FEE">
                    <w:trPr>
                      <w:tblCellSpacing w:w="0" w:type="dxa"/>
                      <w:jc w:val="center"/>
                    </w:trPr>
                    <w:tc>
                      <w:tcPr>
                        <w:tcW w:w="13590" w:type="dxa"/>
                        <w:gridSpan w:val="2"/>
                        <w:vAlign w:val="center"/>
                        <w:hideMark/>
                      </w:tcPr>
                      <w:p w:rsidR="00140FEE" w:rsidRDefault="00140FEE">
                        <w:pPr>
                          <w:jc w:val="center"/>
                          <w:rPr>
                            <w:rFonts w:eastAsia="Times New Roman"/>
                            <w:sz w:val="24"/>
                            <w:szCs w:val="24"/>
                          </w:rPr>
                        </w:pPr>
                        <w:r>
                          <w:rPr>
                            <w:rFonts w:eastAsia="Times New Roman"/>
                            <w:noProof/>
                            <w:lang w:eastAsia="en-AU"/>
                          </w:rPr>
                          <w:drawing>
                            <wp:inline distT="0" distB="0" distL="0" distR="0">
                              <wp:extent cx="8629650" cy="1543050"/>
                              <wp:effectExtent l="19050" t="0" r="0" b="0"/>
                              <wp:docPr id="1" name="fd151c9d-f3b7-426c-86a8-843cf2429bfe" descr="cid:A3A7FDEB-CF0F-4717-A9B2-77321F77150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151c9d-f3b7-426c-86a8-843cf2429bfe" descr="cid:A3A7FDEB-CF0F-4717-A9B2-77321F771502/top.jpg"/>
                                      <pic:cNvPicPr>
                                        <a:picLocks noChangeAspect="1" noChangeArrowheads="1"/>
                                      </pic:cNvPicPr>
                                    </pic:nvPicPr>
                                    <pic:blipFill>
                                      <a:blip r:embed="rId4" r:link="rId5" cstate="print"/>
                                      <a:srcRect/>
                                      <a:stretch>
                                        <a:fillRect/>
                                      </a:stretch>
                                    </pic:blipFill>
                                    <pic:spPr bwMode="auto">
                                      <a:xfrm>
                                        <a:off x="0" y="0"/>
                                        <a:ext cx="8629650" cy="1543050"/>
                                      </a:xfrm>
                                      <a:prstGeom prst="rect">
                                        <a:avLst/>
                                      </a:prstGeom>
                                      <a:noFill/>
                                      <a:ln w="9525">
                                        <a:noFill/>
                                        <a:miter lim="800000"/>
                                        <a:headEnd/>
                                        <a:tailEnd/>
                                      </a:ln>
                                    </pic:spPr>
                                  </pic:pic>
                                </a:graphicData>
                              </a:graphic>
                            </wp:inline>
                          </w:drawing>
                        </w:r>
                      </w:p>
                    </w:tc>
                  </w:tr>
                  <w:tr w:rsidR="00140FEE">
                    <w:trPr>
                      <w:tblCellSpacing w:w="0" w:type="dxa"/>
                      <w:jc w:val="center"/>
                    </w:trPr>
                    <w:tc>
                      <w:tcPr>
                        <w:tcW w:w="10740" w:type="dxa"/>
                        <w:hideMark/>
                      </w:tcPr>
                      <w:tbl>
                        <w:tblPr>
                          <w:tblW w:w="10740" w:type="dxa"/>
                          <w:tblCellSpacing w:w="0" w:type="dxa"/>
                          <w:tblCellMar>
                            <w:left w:w="0" w:type="dxa"/>
                            <w:right w:w="0" w:type="dxa"/>
                          </w:tblCellMar>
                          <w:tblLook w:val="04A0"/>
                        </w:tblPr>
                        <w:tblGrid>
                          <w:gridCol w:w="330"/>
                          <w:gridCol w:w="10260"/>
                          <w:gridCol w:w="150"/>
                        </w:tblGrid>
                        <w:tr w:rsidR="00140FEE">
                          <w:trPr>
                            <w:tblCellSpacing w:w="0" w:type="dxa"/>
                          </w:trPr>
                          <w:tc>
                            <w:tcPr>
                              <w:tcW w:w="330" w:type="dxa"/>
                              <w:vAlign w:val="center"/>
                              <w:hideMark/>
                            </w:tcPr>
                            <w:p w:rsidR="00140FEE" w:rsidRDefault="00140FEE">
                              <w:pPr>
                                <w:rPr>
                                  <w:rFonts w:eastAsia="Times New Roman"/>
                                  <w:sz w:val="24"/>
                                  <w:szCs w:val="24"/>
                                </w:rPr>
                              </w:pPr>
                              <w:r>
                                <w:rPr>
                                  <w:rFonts w:eastAsia="Times New Roman"/>
                                </w:rPr>
                                <w:lastRenderedPageBreak/>
                                <w:t> </w:t>
                              </w:r>
                            </w:p>
                          </w:tc>
                          <w:tc>
                            <w:tcPr>
                              <w:tcW w:w="10260" w:type="dxa"/>
                            </w:tcPr>
                            <w:p w:rsidR="00140FEE" w:rsidRDefault="00140FEE">
                              <w:pPr>
                                <w:rPr>
                                  <w:rFonts w:ascii="Lucida Grande" w:eastAsia="Times New Roman" w:hAnsi="Lucida Grande" w:cs="Times New Roman"/>
                                  <w:sz w:val="24"/>
                                  <w:szCs w:val="24"/>
                                </w:rPr>
                              </w:pPr>
                              <w:r>
                                <w:rPr>
                                  <w:rFonts w:ascii="Arial" w:eastAsia="Times New Roman" w:hAnsi="Arial" w:cs="Arial"/>
                                  <w:sz w:val="20"/>
                                  <w:szCs w:val="20"/>
                                </w:rPr>
                                <w:t>To whom it may concern,</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 xml:space="preserve">Submission to the Australian Law Reform Commission on its Issues </w:t>
                              </w:r>
                              <w:proofErr w:type="spellStart"/>
                              <w:r>
                                <w:rPr>
                                  <w:rFonts w:ascii="Arial" w:eastAsia="Times New Roman" w:hAnsi="Arial" w:cs="Arial"/>
                                  <w:sz w:val="20"/>
                                  <w:szCs w:val="20"/>
                                </w:rPr>
                                <w:t>Paper:Copyright</w:t>
                              </w:r>
                              <w:proofErr w:type="spellEnd"/>
                              <w:r>
                                <w:rPr>
                                  <w:rFonts w:ascii="Arial" w:eastAsia="Times New Roman" w:hAnsi="Arial" w:cs="Arial"/>
                                  <w:sz w:val="20"/>
                                  <w:szCs w:val="20"/>
                                </w:rPr>
                                <w:t xml:space="preserve"> and the Digital Economy</w:t>
                              </w:r>
                            </w:p>
                            <w:p w:rsidR="00140FEE" w:rsidRDefault="00140FEE">
                              <w:pPr>
                                <w:rPr>
                                  <w:rFonts w:ascii="Lucida Grande" w:eastAsia="Times New Roman" w:hAnsi="Lucida Grande"/>
                                </w:rPr>
                              </w:pPr>
                              <w:r>
                                <w:rPr>
                                  <w:rFonts w:ascii="Arial" w:eastAsia="Times New Roman" w:hAnsi="Arial" w:cs="Arial"/>
                                  <w:sz w:val="20"/>
                                  <w:szCs w:val="20"/>
                                </w:rPr>
                                <w:t> </w:t>
                              </w:r>
                            </w:p>
                            <w:p w:rsidR="00140FEE" w:rsidRDefault="00140FEE">
                              <w:pPr>
                                <w:rPr>
                                  <w:rFonts w:ascii="Lucida Grande" w:eastAsia="Times New Roman" w:hAnsi="Lucida Grande"/>
                                </w:rPr>
                              </w:pPr>
                              <w:r>
                                <w:rPr>
                                  <w:rFonts w:ascii="Arial" w:eastAsia="Times New Roman" w:hAnsi="Arial" w:cs="Arial"/>
                                  <w:sz w:val="20"/>
                                  <w:szCs w:val="20"/>
                                </w:rPr>
                                <w:t xml:space="preserve">Community Newspapers of Australia is an industry organisation of over 150 community newspapers representing all corners of Australia and supported by all major publishing groups (Fairfax, News Ltd, </w:t>
                              </w:r>
                              <w:proofErr w:type="spellStart"/>
                              <w:r>
                                <w:rPr>
                                  <w:rFonts w:ascii="Arial" w:eastAsia="Times New Roman" w:hAnsi="Arial" w:cs="Arial"/>
                                  <w:sz w:val="20"/>
                                  <w:szCs w:val="20"/>
                                </w:rPr>
                                <w:t>StarNews</w:t>
                              </w:r>
                              <w:proofErr w:type="spellEnd"/>
                              <w:r>
                                <w:rPr>
                                  <w:rFonts w:ascii="Arial" w:eastAsia="Times New Roman" w:hAnsi="Arial" w:cs="Arial"/>
                                  <w:sz w:val="20"/>
                                  <w:szCs w:val="20"/>
                                </w:rPr>
                                <w:t xml:space="preserve">, Torch, </w:t>
                              </w:r>
                              <w:proofErr w:type="spellStart"/>
                              <w:r>
                                <w:rPr>
                                  <w:rFonts w:ascii="Arial" w:eastAsia="Times New Roman" w:hAnsi="Arial" w:cs="Arial"/>
                                  <w:sz w:val="20"/>
                                  <w:szCs w:val="20"/>
                                </w:rPr>
                                <w:t>NewsLocal</w:t>
                              </w:r>
                              <w:proofErr w:type="spellEnd"/>
                              <w:r>
                                <w:rPr>
                                  <w:rFonts w:ascii="Arial" w:eastAsia="Times New Roman" w:hAnsi="Arial" w:cs="Arial"/>
                                  <w:sz w:val="20"/>
                                  <w:szCs w:val="20"/>
                                </w:rPr>
                                <w:t>, Leader etc). </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As you are no doubt aware, newspapers are currently facing significant challenges to their existing business model with advertising revenues dropping and staffing levels under pressure. The proposed changes to the Copyright Laws will add further pressures and challenges to those already being faced. </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All our member publishers invest significantly in grass roots journalism and photography, an investment which differentiates us from the untrained and unscrupulous. This community level empathy is difficult to find elsewhere. We employ large numbers of creative staff as journalists, photographers and illustrators and we believe the content we create, if used by other parties, should be compensated with payments to the publishers. Why should 3rd parties be able to simply take the work that publishers have financed, and use it without cost?</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We believe we provide a valuable service and contribution to the community and anything which threatens our income will, inevitably, threaten our very existence. Without a local paper the community then suffers. </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 xml:space="preserve">We have always supported the existence of the Copyright Act as it endeavours to protect us against the theft of our creative content. We think it's essential to ensure that original materials continue to be created and that business models dependant on the protection of copyright remain viable and proper recompense is made for the use of </w:t>
                              </w:r>
                              <w:r>
                                <w:rPr>
                                  <w:rFonts w:ascii="Arial" w:eastAsia="Times New Roman" w:hAnsi="Arial" w:cs="Arial"/>
                                  <w:sz w:val="20"/>
                                  <w:szCs w:val="20"/>
                                </w:rPr>
                                <w:lastRenderedPageBreak/>
                                <w:t>copyrighted materials. </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The current statutory licence regime is an efficient and fair method by which copyright holders receive payment for use of their content by educational facilities and government agencies and we see no reason for its removal.</w:t>
                              </w:r>
                            </w:p>
                            <w:p w:rsidR="00140FEE" w:rsidRDefault="00140FEE">
                              <w:pPr>
                                <w:rPr>
                                  <w:rFonts w:ascii="Lucida Grande" w:eastAsia="Times New Roman" w:hAnsi="Lucida Grande"/>
                                </w:rPr>
                              </w:pPr>
                              <w:r>
                                <w:rPr>
                                  <w:rFonts w:ascii="Arial" w:eastAsia="Times New Roman" w:hAnsi="Arial" w:cs="Arial"/>
                                  <w:sz w:val="20"/>
                                  <w:szCs w:val="20"/>
                                </w:rPr>
                                <w:t> </w:t>
                              </w:r>
                            </w:p>
                            <w:p w:rsidR="00140FEE" w:rsidRDefault="00140FEE">
                              <w:pPr>
                                <w:rPr>
                                  <w:rFonts w:ascii="Lucida Grande" w:eastAsia="Times New Roman" w:hAnsi="Lucida Grande"/>
                                </w:rPr>
                              </w:pPr>
                              <w:r>
                                <w:rPr>
                                  <w:rFonts w:ascii="Arial" w:eastAsia="Times New Roman" w:hAnsi="Arial" w:cs="Arial"/>
                                  <w:sz w:val="20"/>
                                  <w:szCs w:val="20"/>
                                </w:rPr>
                                <w:t xml:space="preserve">Likewise, we see no reason for the introduction of a new ‘fair </w:t>
                              </w:r>
                              <w:proofErr w:type="gramStart"/>
                              <w:r>
                                <w:rPr>
                                  <w:rFonts w:ascii="Arial" w:eastAsia="Times New Roman" w:hAnsi="Arial" w:cs="Arial"/>
                                  <w:sz w:val="20"/>
                                  <w:szCs w:val="20"/>
                                </w:rPr>
                                <w:t>use‘ copyright</w:t>
                              </w:r>
                              <w:proofErr w:type="gramEnd"/>
                              <w:r>
                                <w:rPr>
                                  <w:rFonts w:ascii="Arial" w:eastAsia="Times New Roman" w:hAnsi="Arial" w:cs="Arial"/>
                                  <w:sz w:val="20"/>
                                  <w:szCs w:val="20"/>
                                </w:rPr>
                                <w:t xml:space="preserve"> exemption and the repeal of the current copyright exemption. We view this proposal as a worrying diminution in the protection of copyright holders which severely undervalues the significant investments we make in quality journalism and photography. With this in mind, Community Newspapers Australia does not support the introduction of a new ‘fair </w:t>
                              </w:r>
                              <w:proofErr w:type="gramStart"/>
                              <w:r>
                                <w:rPr>
                                  <w:rFonts w:ascii="Arial" w:eastAsia="Times New Roman" w:hAnsi="Arial" w:cs="Arial"/>
                                  <w:sz w:val="20"/>
                                  <w:szCs w:val="20"/>
                                </w:rPr>
                                <w:t>use‘ copyright</w:t>
                              </w:r>
                              <w:proofErr w:type="gramEnd"/>
                              <w:r>
                                <w:rPr>
                                  <w:rFonts w:ascii="Arial" w:eastAsia="Times New Roman" w:hAnsi="Arial" w:cs="Arial"/>
                                  <w:sz w:val="20"/>
                                  <w:szCs w:val="20"/>
                                </w:rPr>
                                <w:t xml:space="preserve"> exemption or the repeal of the current copyright exemption.</w:t>
                              </w:r>
                            </w:p>
                            <w:p w:rsidR="00140FEE" w:rsidRDefault="00140FEE">
                              <w:pPr>
                                <w:rPr>
                                  <w:rFonts w:ascii="Lucida Grande" w:eastAsia="Times New Roman" w:hAnsi="Lucida Grande"/>
                                </w:rPr>
                              </w:pPr>
                              <w:r>
                                <w:rPr>
                                  <w:rFonts w:ascii="Arial" w:eastAsia="Times New Roman" w:hAnsi="Arial" w:cs="Arial"/>
                                  <w:sz w:val="20"/>
                                  <w:szCs w:val="20"/>
                                </w:rPr>
                                <w:t> </w:t>
                              </w:r>
                            </w:p>
                            <w:p w:rsidR="00140FEE" w:rsidRDefault="00140FEE">
                              <w:pPr>
                                <w:rPr>
                                  <w:rFonts w:ascii="Lucida Grande" w:eastAsia="Times New Roman" w:hAnsi="Lucida Grande"/>
                                </w:rPr>
                              </w:pPr>
                              <w:r>
                                <w:rPr>
                                  <w:rFonts w:ascii="Arial" w:eastAsia="Times New Roman" w:hAnsi="Arial" w:cs="Arial"/>
                                  <w:sz w:val="20"/>
                                  <w:szCs w:val="20"/>
                                </w:rPr>
                                <w:t>In conclusion, the committee of Community Newspapers Australia does not support the proposed amendments. We believe they will unduly affect those organisations and individuals who rely upon protection of their copyright for their economic livelihood.</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Best regards</w:t>
                              </w:r>
                            </w:p>
                            <w:p w:rsidR="00140FEE" w:rsidRDefault="00140FEE">
                              <w:pPr>
                                <w:rPr>
                                  <w:rFonts w:ascii="Lucida Grande" w:eastAsia="Times New Roman" w:hAnsi="Lucida Grande"/>
                                </w:rPr>
                              </w:pPr>
                            </w:p>
                            <w:p w:rsidR="00140FEE" w:rsidRDefault="00140FEE">
                              <w:pPr>
                                <w:rPr>
                                  <w:rFonts w:ascii="Lucida Grande" w:eastAsia="Times New Roman" w:hAnsi="Lucida Grande"/>
                                </w:rPr>
                              </w:pPr>
                              <w:r>
                                <w:rPr>
                                  <w:rFonts w:ascii="Arial" w:eastAsia="Times New Roman" w:hAnsi="Arial" w:cs="Arial"/>
                                  <w:sz w:val="20"/>
                                  <w:szCs w:val="20"/>
                                </w:rPr>
                                <w:t xml:space="preserve">Kim </w:t>
                              </w:r>
                              <w:proofErr w:type="spellStart"/>
                              <w:r>
                                <w:rPr>
                                  <w:rFonts w:ascii="Arial" w:eastAsia="Times New Roman" w:hAnsi="Arial" w:cs="Arial"/>
                                  <w:sz w:val="20"/>
                                  <w:szCs w:val="20"/>
                                </w:rPr>
                                <w:t>Kohen</w:t>
                              </w:r>
                              <w:proofErr w:type="spellEnd"/>
                              <w:r>
                                <w:rPr>
                                  <w:rFonts w:ascii="Arial" w:eastAsia="Times New Roman" w:hAnsi="Arial" w:cs="Arial"/>
                                  <w:sz w:val="20"/>
                                  <w:szCs w:val="20"/>
                                </w:rPr>
                                <w:br/>
                                <w:t>CNA Co-ordinator and Director</w:t>
                              </w:r>
                            </w:p>
                            <w:p w:rsidR="00140FEE" w:rsidRDefault="00140FEE">
                              <w:pPr>
                                <w:rPr>
                                  <w:rFonts w:ascii="Lucida Grande" w:eastAsia="Times New Roman" w:hAnsi="Lucida Grande"/>
                                </w:rPr>
                              </w:pPr>
                              <w:r>
                                <w:rPr>
                                  <w:rFonts w:ascii="Arial" w:eastAsia="Times New Roman" w:hAnsi="Arial" w:cs="Arial"/>
                                  <w:sz w:val="20"/>
                                  <w:szCs w:val="20"/>
                                </w:rPr>
                                <w:t>Community Newspapers of Australia</w:t>
                              </w:r>
                            </w:p>
                            <w:p w:rsidR="00140FEE" w:rsidRDefault="0025665B">
                              <w:pPr>
                                <w:rPr>
                                  <w:rFonts w:ascii="Lucida Grande" w:eastAsia="Times New Roman" w:hAnsi="Lucida Grande"/>
                                </w:rPr>
                              </w:pPr>
                              <w:hyperlink r:id="rId6" w:history="1">
                                <w:r w:rsidR="00140FEE">
                                  <w:rPr>
                                    <w:rStyle w:val="Hyperlink"/>
                                    <w:rFonts w:ascii="Arial" w:eastAsia="Times New Roman" w:hAnsi="Arial" w:cs="Arial"/>
                                    <w:sz w:val="20"/>
                                    <w:szCs w:val="20"/>
                                  </w:rPr>
                                  <w:t>www.cna.org.au</w:t>
                                </w:r>
                              </w:hyperlink>
                            </w:p>
                            <w:p w:rsidR="00140FEE" w:rsidRDefault="00140FEE">
                              <w:pPr>
                                <w:rPr>
                                  <w:rFonts w:ascii="Lucida Grande" w:eastAsia="Times New Roman" w:hAnsi="Lucida Grande"/>
                                  <w:sz w:val="24"/>
                                  <w:szCs w:val="24"/>
                                </w:rPr>
                              </w:pPr>
                              <w:r>
                                <w:rPr>
                                  <w:rFonts w:ascii="Arial" w:eastAsia="Times New Roman" w:hAnsi="Arial" w:cs="Arial"/>
                                  <w:sz w:val="20"/>
                                  <w:szCs w:val="20"/>
                                </w:rPr>
                                <w:t>0411 796 560</w:t>
                              </w:r>
                            </w:p>
                          </w:tc>
                          <w:tc>
                            <w:tcPr>
                              <w:tcW w:w="150" w:type="dxa"/>
                              <w:vAlign w:val="center"/>
                              <w:hideMark/>
                            </w:tcPr>
                            <w:p w:rsidR="00140FEE" w:rsidRDefault="00140FEE">
                              <w:pPr>
                                <w:rPr>
                                  <w:rFonts w:eastAsia="Times New Roman"/>
                                  <w:sz w:val="24"/>
                                  <w:szCs w:val="24"/>
                                </w:rPr>
                              </w:pPr>
                              <w:r>
                                <w:rPr>
                                  <w:rFonts w:eastAsia="Times New Roman"/>
                                </w:rPr>
                                <w:lastRenderedPageBreak/>
                                <w:t> </w:t>
                              </w:r>
                            </w:p>
                          </w:tc>
                        </w:tr>
                      </w:tbl>
                      <w:p w:rsidR="00140FEE" w:rsidRDefault="00140FEE">
                        <w:pPr>
                          <w:rPr>
                            <w:rFonts w:eastAsiaTheme="minorEastAsia"/>
                          </w:rPr>
                        </w:pPr>
                      </w:p>
                    </w:tc>
                    <w:tc>
                      <w:tcPr>
                        <w:tcW w:w="2850" w:type="dxa"/>
                        <w:hideMark/>
                      </w:tcPr>
                      <w:tbl>
                        <w:tblPr>
                          <w:tblW w:w="2850" w:type="dxa"/>
                          <w:jc w:val="right"/>
                          <w:tblCellSpacing w:w="0" w:type="dxa"/>
                          <w:tblCellMar>
                            <w:left w:w="0" w:type="dxa"/>
                            <w:right w:w="0" w:type="dxa"/>
                          </w:tblCellMar>
                          <w:tblLook w:val="04A0"/>
                        </w:tblPr>
                        <w:tblGrid>
                          <w:gridCol w:w="2880"/>
                        </w:tblGrid>
                        <w:tr w:rsidR="00140FEE">
                          <w:trPr>
                            <w:tblCellSpacing w:w="0" w:type="dxa"/>
                            <w:jc w:val="right"/>
                          </w:trPr>
                          <w:tc>
                            <w:tcPr>
                              <w:tcW w:w="2850" w:type="dxa"/>
                              <w:vAlign w:val="center"/>
                              <w:hideMark/>
                            </w:tcPr>
                            <w:p w:rsidR="00140FEE" w:rsidRDefault="00140FEE">
                              <w:pPr>
                                <w:rPr>
                                  <w:rFonts w:eastAsia="Times New Roman"/>
                                  <w:sz w:val="24"/>
                                  <w:szCs w:val="24"/>
                                </w:rPr>
                              </w:pPr>
                              <w:r>
                                <w:rPr>
                                  <w:rFonts w:eastAsia="Times New Roman"/>
                                  <w:noProof/>
                                  <w:lang w:eastAsia="en-AU"/>
                                </w:rPr>
                                <w:lastRenderedPageBreak/>
                                <w:drawing>
                                  <wp:inline distT="0" distB="0" distL="0" distR="0">
                                    <wp:extent cx="1809750" cy="4829175"/>
                                    <wp:effectExtent l="19050" t="0" r="0" b="0"/>
                                    <wp:docPr id="2" name="0786d2c9-5ddb-4159-8e61-11850df84735" descr="cid:A3A7FDEB-CF0F-4717-A9B2-77321F771502/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86d2c9-5ddb-4159-8e61-11850df84735" descr="cid:A3A7FDEB-CF0F-4717-A9B2-77321F771502/image-1.jpg"/>
                                            <pic:cNvPicPr>
                                              <a:picLocks noChangeAspect="1" noChangeArrowheads="1"/>
                                            </pic:cNvPicPr>
                                          </pic:nvPicPr>
                                          <pic:blipFill>
                                            <a:blip r:embed="rId7" r:link="rId8" cstate="print"/>
                                            <a:srcRect/>
                                            <a:stretch>
                                              <a:fillRect/>
                                            </a:stretch>
                                          </pic:blipFill>
                                          <pic:spPr bwMode="auto">
                                            <a:xfrm>
                                              <a:off x="0" y="0"/>
                                              <a:ext cx="1809750" cy="4829175"/>
                                            </a:xfrm>
                                            <a:prstGeom prst="rect">
                                              <a:avLst/>
                                            </a:prstGeom>
                                            <a:noFill/>
                                            <a:ln w="9525">
                                              <a:noFill/>
                                              <a:miter lim="800000"/>
                                              <a:headEnd/>
                                              <a:tailEnd/>
                                            </a:ln>
                                          </pic:spPr>
                                        </pic:pic>
                                      </a:graphicData>
                                    </a:graphic>
                                  </wp:inline>
                                </w:drawing>
                              </w:r>
                            </w:p>
                          </w:tc>
                        </w:tr>
                        <w:tr w:rsidR="00140FEE">
                          <w:trPr>
                            <w:tblCellSpacing w:w="0" w:type="dxa"/>
                            <w:jc w:val="right"/>
                          </w:trPr>
                          <w:tc>
                            <w:tcPr>
                              <w:tcW w:w="2850" w:type="dxa"/>
                              <w:vAlign w:val="center"/>
                              <w:hideMark/>
                            </w:tcPr>
                            <w:p w:rsidR="00140FEE" w:rsidRDefault="00140FEE">
                              <w:pPr>
                                <w:rPr>
                                  <w:rFonts w:eastAsiaTheme="minorEastAsia"/>
                                </w:rPr>
                              </w:pPr>
                            </w:p>
                          </w:tc>
                        </w:tr>
                      </w:tbl>
                      <w:p w:rsidR="00140FEE" w:rsidRDefault="00140FEE">
                        <w:pPr>
                          <w:jc w:val="right"/>
                          <w:rPr>
                            <w:rFonts w:eastAsiaTheme="minorEastAsia"/>
                          </w:rPr>
                        </w:pPr>
                      </w:p>
                    </w:tc>
                  </w:tr>
                </w:tbl>
                <w:p w:rsidR="00140FEE" w:rsidRDefault="00140FEE">
                  <w:pPr>
                    <w:rPr>
                      <w:rFonts w:ascii="Times New Roman" w:eastAsia="Times New Roman" w:hAnsi="Times New Roman" w:cs="Times New Roman"/>
                      <w:vanish/>
                      <w:sz w:val="24"/>
                      <w:szCs w:val="24"/>
                    </w:rPr>
                  </w:pPr>
                </w:p>
                <w:tbl>
                  <w:tblPr>
                    <w:tblW w:w="13590" w:type="dxa"/>
                    <w:tblCellSpacing w:w="0" w:type="dxa"/>
                    <w:tblCellMar>
                      <w:left w:w="0" w:type="dxa"/>
                      <w:right w:w="0" w:type="dxa"/>
                    </w:tblCellMar>
                    <w:tblLook w:val="04A0"/>
                  </w:tblPr>
                  <w:tblGrid>
                    <w:gridCol w:w="13590"/>
                  </w:tblGrid>
                  <w:tr w:rsidR="00140FEE">
                    <w:trPr>
                      <w:trHeight w:val="600"/>
                      <w:tblCellSpacing w:w="0" w:type="dxa"/>
                    </w:trPr>
                    <w:tc>
                      <w:tcPr>
                        <w:tcW w:w="13590" w:type="dxa"/>
                        <w:vAlign w:val="center"/>
                        <w:hideMark/>
                      </w:tcPr>
                      <w:p w:rsidR="00140FEE" w:rsidRDefault="00140FEE">
                        <w:pPr>
                          <w:rPr>
                            <w:rFonts w:eastAsiaTheme="minorEastAsia"/>
                          </w:rPr>
                        </w:pPr>
                      </w:p>
                    </w:tc>
                  </w:tr>
                  <w:tr w:rsidR="00140FEE">
                    <w:trPr>
                      <w:trHeight w:val="375"/>
                      <w:tblCellSpacing w:w="0" w:type="dxa"/>
                    </w:trPr>
                    <w:tc>
                      <w:tcPr>
                        <w:tcW w:w="13590" w:type="dxa"/>
                        <w:shd w:val="clear" w:color="auto" w:fill="5D44BF"/>
                        <w:vAlign w:val="center"/>
                        <w:hideMark/>
                      </w:tcPr>
                      <w:p w:rsidR="00140FEE" w:rsidRDefault="00140FEE">
                        <w:pPr>
                          <w:rPr>
                            <w:rFonts w:eastAsiaTheme="minorEastAsia"/>
                          </w:rPr>
                        </w:pPr>
                      </w:p>
                    </w:tc>
                  </w:tr>
                </w:tbl>
                <w:p w:rsidR="00140FEE" w:rsidRDefault="00140FEE">
                  <w:pPr>
                    <w:rPr>
                      <w:rFonts w:eastAsiaTheme="minorEastAsia"/>
                    </w:rPr>
                  </w:pPr>
                </w:p>
              </w:tc>
              <w:tc>
                <w:tcPr>
                  <w:tcW w:w="450" w:type="dxa"/>
                  <w:vAlign w:val="center"/>
                  <w:hideMark/>
                </w:tcPr>
                <w:p w:rsidR="00140FEE" w:rsidRDefault="00140FEE">
                  <w:pPr>
                    <w:rPr>
                      <w:rFonts w:eastAsia="Times New Roman"/>
                      <w:sz w:val="24"/>
                      <w:szCs w:val="24"/>
                    </w:rPr>
                  </w:pPr>
                  <w:r>
                    <w:rPr>
                      <w:rFonts w:eastAsia="Times New Roman"/>
                    </w:rPr>
                    <w:lastRenderedPageBreak/>
                    <w:t> </w:t>
                  </w:r>
                </w:p>
              </w:tc>
            </w:tr>
          </w:tbl>
          <w:p w:rsidR="00140FEE" w:rsidRDefault="00140FEE">
            <w:pPr>
              <w:jc w:val="center"/>
              <w:rPr>
                <w:rFonts w:eastAsiaTheme="minorEastAsia"/>
              </w:rPr>
            </w:pPr>
          </w:p>
        </w:tc>
      </w:tr>
      <w:tr w:rsidR="00140FEE" w:rsidTr="00140FEE">
        <w:trPr>
          <w:trHeight w:val="450"/>
          <w:tblCellSpacing w:w="0" w:type="dxa"/>
          <w:jc w:val="center"/>
        </w:trPr>
        <w:tc>
          <w:tcPr>
            <w:tcW w:w="0" w:type="auto"/>
            <w:shd w:val="clear" w:color="auto" w:fill="FFFFFF"/>
            <w:vAlign w:val="center"/>
            <w:hideMark/>
          </w:tcPr>
          <w:p w:rsidR="00140FEE" w:rsidRDefault="00140FEE">
            <w:pPr>
              <w:rPr>
                <w:rFonts w:eastAsia="Times New Roman"/>
                <w:sz w:val="24"/>
                <w:szCs w:val="24"/>
              </w:rPr>
            </w:pPr>
            <w:r>
              <w:rPr>
                <w:rFonts w:eastAsia="Times New Roman"/>
              </w:rPr>
              <w:lastRenderedPageBreak/>
              <w:t> </w:t>
            </w:r>
          </w:p>
        </w:tc>
      </w:tr>
    </w:tbl>
    <w:p w:rsidR="00140FEE" w:rsidRDefault="00140FEE" w:rsidP="00140FEE">
      <w:pPr>
        <w:rPr>
          <w:rFonts w:eastAsia="Times New Roman"/>
        </w:rPr>
      </w:pPr>
    </w:p>
    <w:p w:rsidR="00140FEE" w:rsidRDefault="00140FEE"/>
    <w:sectPr w:rsidR="00140FEE" w:rsidSect="006F6B4C">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0FEE"/>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0FEE"/>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65B"/>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06E"/>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B4C"/>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FEE"/>
    <w:rPr>
      <w:color w:val="0000FF"/>
      <w:u w:val="single"/>
    </w:rPr>
  </w:style>
  <w:style w:type="paragraph" w:styleId="BalloonText">
    <w:name w:val="Balloon Text"/>
    <w:basedOn w:val="Normal"/>
    <w:link w:val="BalloonTextChar"/>
    <w:uiPriority w:val="99"/>
    <w:semiHidden/>
    <w:unhideWhenUsed/>
    <w:rsid w:val="0014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A3A7FDEB-CF0F-4717-A9B2-77321F771502/image-1.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a.org.au" TargetMode="External"/><Relationship Id="rId5" Type="http://schemas.openxmlformats.org/officeDocument/2006/relationships/image" Target="cid:A3A7FDEB-CF0F-4717-A9B2-77321F771502/top.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449</Words>
  <Characters>2565</Characters>
  <Application>Microsoft Office Word</Application>
  <DocSecurity>0</DocSecurity>
  <Lines>21</Lines>
  <Paragraphs>6</Paragraphs>
  <ScaleCrop>false</ScaleCrop>
  <Company>Hewlett-Packard Company</Company>
  <LinksUpToDate>false</LinksUpToDate>
  <CharactersWithSpaces>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2013-07-26T03:16:00Z</cp:lastPrinted>
  <dcterms:created xsi:type="dcterms:W3CDTF">2013-07-29T04:45:00Z</dcterms:created>
  <dcterms:modified xsi:type="dcterms:W3CDTF">2013-07-29T04:45:00Z</dcterms:modified>
</cp:coreProperties>
</file>