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3C" w:rsidRPr="00B554B7" w:rsidRDefault="00CE433C" w:rsidP="00CE433C">
      <w:pPr>
        <w:rPr>
          <w:rFonts w:ascii="Times New Roman" w:hAnsi="Times New Roman" w:cs="Times New Roman"/>
          <w:sz w:val="24"/>
          <w:szCs w:val="24"/>
        </w:rPr>
      </w:pPr>
      <w:r w:rsidRPr="00B554B7">
        <w:rPr>
          <w:rFonts w:ascii="Times New Roman" w:hAnsi="Times New Roman" w:cs="Times New Roman"/>
          <w:sz w:val="24"/>
          <w:szCs w:val="24"/>
        </w:rPr>
        <w:t>15 August 2016</w:t>
      </w:r>
    </w:p>
    <w:p w:rsidR="00CE433C" w:rsidRPr="00B554B7" w:rsidRDefault="00CE433C" w:rsidP="00CE433C">
      <w:pPr>
        <w:rPr>
          <w:rFonts w:ascii="Times New Roman" w:hAnsi="Times New Roman" w:cs="Times New Roman"/>
          <w:sz w:val="24"/>
          <w:szCs w:val="24"/>
        </w:rPr>
      </w:pPr>
    </w:p>
    <w:p w:rsidR="00CE433C" w:rsidRPr="00B554B7" w:rsidRDefault="00CE433C" w:rsidP="00CE433C">
      <w:pPr>
        <w:spacing w:after="0"/>
        <w:rPr>
          <w:rFonts w:ascii="Times New Roman" w:hAnsi="Times New Roman" w:cs="Times New Roman"/>
          <w:sz w:val="24"/>
          <w:szCs w:val="24"/>
        </w:rPr>
      </w:pPr>
      <w:r w:rsidRPr="00B554B7">
        <w:rPr>
          <w:rFonts w:ascii="Times New Roman" w:hAnsi="Times New Roman" w:cs="Times New Roman"/>
          <w:sz w:val="24"/>
          <w:szCs w:val="24"/>
        </w:rPr>
        <w:t>The Executive Director</w:t>
      </w:r>
    </w:p>
    <w:p w:rsidR="00CE433C" w:rsidRPr="00B554B7" w:rsidRDefault="00CE433C" w:rsidP="00CE433C">
      <w:pPr>
        <w:spacing w:after="0"/>
        <w:rPr>
          <w:rFonts w:ascii="Times New Roman" w:hAnsi="Times New Roman" w:cs="Times New Roman"/>
          <w:sz w:val="24"/>
          <w:szCs w:val="24"/>
        </w:rPr>
      </w:pPr>
      <w:r w:rsidRPr="00B554B7">
        <w:rPr>
          <w:rFonts w:ascii="Times New Roman" w:hAnsi="Times New Roman" w:cs="Times New Roman"/>
          <w:sz w:val="24"/>
          <w:szCs w:val="24"/>
        </w:rPr>
        <w:t>Australian Law Reform Commission</w:t>
      </w:r>
    </w:p>
    <w:p w:rsidR="00CE433C" w:rsidRPr="00B554B7" w:rsidRDefault="00CE433C" w:rsidP="00CE433C">
      <w:pPr>
        <w:spacing w:after="0"/>
        <w:rPr>
          <w:rFonts w:ascii="Times New Roman" w:hAnsi="Times New Roman" w:cs="Times New Roman"/>
          <w:sz w:val="24"/>
          <w:szCs w:val="24"/>
        </w:rPr>
      </w:pPr>
      <w:r w:rsidRPr="00B554B7">
        <w:rPr>
          <w:rFonts w:ascii="Times New Roman" w:hAnsi="Times New Roman" w:cs="Times New Roman"/>
          <w:sz w:val="24"/>
          <w:szCs w:val="24"/>
        </w:rPr>
        <w:t>GPO Box 3708</w:t>
      </w:r>
    </w:p>
    <w:p w:rsidR="00CE433C" w:rsidRPr="00B554B7" w:rsidRDefault="00CE433C" w:rsidP="00CE433C">
      <w:pPr>
        <w:spacing w:after="0"/>
        <w:rPr>
          <w:rFonts w:ascii="Times New Roman" w:hAnsi="Times New Roman" w:cs="Times New Roman"/>
          <w:sz w:val="24"/>
          <w:szCs w:val="24"/>
        </w:rPr>
      </w:pPr>
      <w:r w:rsidRPr="00B554B7">
        <w:rPr>
          <w:rFonts w:ascii="Times New Roman" w:hAnsi="Times New Roman" w:cs="Times New Roman"/>
          <w:sz w:val="24"/>
          <w:szCs w:val="24"/>
        </w:rPr>
        <w:t>SYDNEY NSW 2001</w:t>
      </w:r>
    </w:p>
    <w:p w:rsidR="00CE433C" w:rsidRPr="00B554B7" w:rsidRDefault="00CE433C" w:rsidP="00CE433C">
      <w:pPr>
        <w:rPr>
          <w:rFonts w:ascii="Times New Roman" w:hAnsi="Times New Roman" w:cs="Times New Roman"/>
          <w:sz w:val="24"/>
          <w:szCs w:val="24"/>
        </w:rPr>
      </w:pPr>
    </w:p>
    <w:p w:rsidR="00CE433C" w:rsidRPr="00B554B7" w:rsidRDefault="00CE433C" w:rsidP="00CE433C">
      <w:pPr>
        <w:rPr>
          <w:rFonts w:ascii="Times New Roman" w:hAnsi="Times New Roman" w:cs="Times New Roman"/>
          <w:b/>
          <w:sz w:val="24"/>
          <w:szCs w:val="24"/>
        </w:rPr>
      </w:pPr>
      <w:r w:rsidRPr="00B554B7">
        <w:rPr>
          <w:rFonts w:ascii="Times New Roman" w:hAnsi="Times New Roman" w:cs="Times New Roman"/>
          <w:b/>
          <w:sz w:val="24"/>
          <w:szCs w:val="24"/>
        </w:rPr>
        <w:t>PROTECTING THE RIGHTS OF OLDER AUSTRALIANS FROM ABU</w:t>
      </w:r>
      <w:r w:rsidR="00B554B7">
        <w:rPr>
          <w:rFonts w:ascii="Times New Roman" w:hAnsi="Times New Roman" w:cs="Times New Roman"/>
          <w:b/>
          <w:sz w:val="24"/>
          <w:szCs w:val="24"/>
        </w:rPr>
        <w:t>S</w:t>
      </w:r>
      <w:r w:rsidRPr="00B554B7">
        <w:rPr>
          <w:rFonts w:ascii="Times New Roman" w:hAnsi="Times New Roman" w:cs="Times New Roman"/>
          <w:b/>
          <w:sz w:val="24"/>
          <w:szCs w:val="24"/>
        </w:rPr>
        <w:t xml:space="preserve">E: SUBMISSION IN RESPECT TO QUESTION </w:t>
      </w:r>
      <w:r w:rsidR="00471925">
        <w:rPr>
          <w:rFonts w:ascii="Times New Roman" w:hAnsi="Times New Roman" w:cs="Times New Roman"/>
          <w:b/>
          <w:sz w:val="24"/>
          <w:szCs w:val="24"/>
        </w:rPr>
        <w:t>28</w:t>
      </w:r>
    </w:p>
    <w:p w:rsidR="00BC6FF2" w:rsidRDefault="00BC6FF2" w:rsidP="00F763E0">
      <w:pPr>
        <w:jc w:val="both"/>
        <w:rPr>
          <w:rFonts w:ascii="Times New Roman" w:hAnsi="Times New Roman" w:cs="Times New Roman"/>
          <w:sz w:val="24"/>
          <w:szCs w:val="24"/>
        </w:rPr>
      </w:pPr>
    </w:p>
    <w:p w:rsidR="003109CE" w:rsidRPr="003109CE" w:rsidRDefault="003109CE" w:rsidP="00F763E0">
      <w:pPr>
        <w:jc w:val="both"/>
        <w:rPr>
          <w:rFonts w:ascii="Times New Roman" w:hAnsi="Times New Roman" w:cs="Times New Roman"/>
          <w:b/>
          <w:sz w:val="24"/>
          <w:szCs w:val="24"/>
        </w:rPr>
      </w:pPr>
      <w:r w:rsidRPr="003109CE">
        <w:rPr>
          <w:rFonts w:ascii="Times New Roman" w:hAnsi="Times New Roman" w:cs="Times New Roman"/>
          <w:b/>
          <w:sz w:val="24"/>
          <w:szCs w:val="24"/>
        </w:rPr>
        <w:t>Introduction</w:t>
      </w:r>
    </w:p>
    <w:p w:rsidR="00A150C5" w:rsidRDefault="00B554B7" w:rsidP="00F763E0">
      <w:pPr>
        <w:jc w:val="both"/>
        <w:rPr>
          <w:rFonts w:ascii="Times New Roman" w:hAnsi="Times New Roman" w:cs="Times New Roman"/>
          <w:sz w:val="24"/>
          <w:szCs w:val="24"/>
        </w:rPr>
      </w:pPr>
      <w:r>
        <w:rPr>
          <w:rFonts w:ascii="Times New Roman" w:hAnsi="Times New Roman" w:cs="Times New Roman"/>
          <w:sz w:val="24"/>
          <w:szCs w:val="24"/>
        </w:rPr>
        <w:t xml:space="preserve">My name is Kathleen </w:t>
      </w:r>
      <w:proofErr w:type="spellStart"/>
      <w:r>
        <w:rPr>
          <w:rFonts w:ascii="Times New Roman" w:hAnsi="Times New Roman" w:cs="Times New Roman"/>
          <w:sz w:val="24"/>
          <w:szCs w:val="24"/>
        </w:rPr>
        <w:t>Temmen</w:t>
      </w:r>
      <w:proofErr w:type="spellEnd"/>
      <w:r>
        <w:rPr>
          <w:rFonts w:ascii="Times New Roman" w:hAnsi="Times New Roman" w:cs="Times New Roman"/>
          <w:sz w:val="24"/>
          <w:szCs w:val="24"/>
        </w:rPr>
        <w:t xml:space="preserve"> and I am currently studying Law at Murdoch University and at the same time work within a small law office that deals </w:t>
      </w:r>
      <w:r w:rsidR="00BC6FF2">
        <w:rPr>
          <w:rFonts w:ascii="Times New Roman" w:hAnsi="Times New Roman" w:cs="Times New Roman"/>
          <w:sz w:val="24"/>
          <w:szCs w:val="24"/>
        </w:rPr>
        <w:t>partially</w:t>
      </w:r>
      <w:r>
        <w:rPr>
          <w:rFonts w:ascii="Times New Roman" w:hAnsi="Times New Roman" w:cs="Times New Roman"/>
          <w:sz w:val="24"/>
          <w:szCs w:val="24"/>
        </w:rPr>
        <w:t xml:space="preserve"> with </w:t>
      </w:r>
      <w:r w:rsidR="00BC6FF2">
        <w:rPr>
          <w:rFonts w:ascii="Times New Roman" w:hAnsi="Times New Roman" w:cs="Times New Roman"/>
          <w:sz w:val="24"/>
          <w:szCs w:val="24"/>
        </w:rPr>
        <w:t xml:space="preserve">families and </w:t>
      </w:r>
      <w:r w:rsidR="006A4C0C">
        <w:rPr>
          <w:rFonts w:ascii="Times New Roman" w:hAnsi="Times New Roman" w:cs="Times New Roman"/>
          <w:sz w:val="24"/>
          <w:szCs w:val="24"/>
        </w:rPr>
        <w:t>su</w:t>
      </w:r>
      <w:r w:rsidR="00BC6FF2">
        <w:rPr>
          <w:rFonts w:ascii="Times New Roman" w:hAnsi="Times New Roman" w:cs="Times New Roman"/>
          <w:sz w:val="24"/>
          <w:szCs w:val="24"/>
        </w:rPr>
        <w:t>c</w:t>
      </w:r>
      <w:r w:rsidR="006A4C0C">
        <w:rPr>
          <w:rFonts w:ascii="Times New Roman" w:hAnsi="Times New Roman" w:cs="Times New Roman"/>
          <w:sz w:val="24"/>
          <w:szCs w:val="24"/>
        </w:rPr>
        <w:t>c</w:t>
      </w:r>
      <w:bookmarkStart w:id="0" w:name="_GoBack"/>
      <w:bookmarkEnd w:id="0"/>
      <w:r w:rsidR="00BC6FF2">
        <w:rPr>
          <w:rFonts w:ascii="Times New Roman" w:hAnsi="Times New Roman" w:cs="Times New Roman"/>
          <w:sz w:val="24"/>
          <w:szCs w:val="24"/>
        </w:rPr>
        <w:t>ession planning within the rural</w:t>
      </w:r>
      <w:r w:rsidR="00EB2EA9">
        <w:rPr>
          <w:rFonts w:ascii="Times New Roman" w:hAnsi="Times New Roman" w:cs="Times New Roman"/>
          <w:sz w:val="24"/>
          <w:szCs w:val="24"/>
        </w:rPr>
        <w:t xml:space="preserve"> farming </w:t>
      </w:r>
      <w:r w:rsidR="00BC6FF2">
        <w:rPr>
          <w:rFonts w:ascii="Times New Roman" w:hAnsi="Times New Roman" w:cs="Times New Roman"/>
          <w:sz w:val="24"/>
          <w:szCs w:val="24"/>
        </w:rPr>
        <w:t>community.</w:t>
      </w:r>
    </w:p>
    <w:p w:rsidR="009D6137" w:rsidRDefault="00BC6FF2" w:rsidP="00F763E0">
      <w:pPr>
        <w:jc w:val="both"/>
        <w:rPr>
          <w:rFonts w:ascii="Times New Roman" w:hAnsi="Times New Roman" w:cs="Times New Roman"/>
          <w:sz w:val="24"/>
          <w:szCs w:val="24"/>
        </w:rPr>
      </w:pPr>
      <w:r>
        <w:rPr>
          <w:rFonts w:ascii="Times New Roman" w:hAnsi="Times New Roman" w:cs="Times New Roman"/>
          <w:sz w:val="24"/>
          <w:szCs w:val="24"/>
        </w:rPr>
        <w:t xml:space="preserve">I am addressing question 28 of the </w:t>
      </w:r>
      <w:r w:rsidR="0054728C">
        <w:rPr>
          <w:rFonts w:ascii="Times New Roman" w:hAnsi="Times New Roman" w:cs="Times New Roman"/>
          <w:sz w:val="24"/>
          <w:szCs w:val="24"/>
        </w:rPr>
        <w:t>I</w:t>
      </w:r>
      <w:r>
        <w:rPr>
          <w:rFonts w:ascii="Times New Roman" w:hAnsi="Times New Roman" w:cs="Times New Roman"/>
          <w:sz w:val="24"/>
          <w:szCs w:val="24"/>
        </w:rPr>
        <w:t xml:space="preserve">ssue </w:t>
      </w:r>
      <w:r w:rsidR="0054728C">
        <w:rPr>
          <w:rFonts w:ascii="Times New Roman" w:hAnsi="Times New Roman" w:cs="Times New Roman"/>
          <w:sz w:val="24"/>
          <w:szCs w:val="24"/>
        </w:rPr>
        <w:t>P</w:t>
      </w:r>
      <w:r>
        <w:rPr>
          <w:rFonts w:ascii="Times New Roman" w:hAnsi="Times New Roman" w:cs="Times New Roman"/>
          <w:sz w:val="24"/>
          <w:szCs w:val="24"/>
        </w:rPr>
        <w:t xml:space="preserve">aper for </w:t>
      </w:r>
      <w:proofErr w:type="gramStart"/>
      <w:r w:rsidRPr="00BC6FF2">
        <w:rPr>
          <w:rFonts w:ascii="Times New Roman" w:hAnsi="Times New Roman" w:cs="Times New Roman"/>
          <w:i/>
          <w:sz w:val="24"/>
          <w:szCs w:val="24"/>
        </w:rPr>
        <w:t>Protecting</w:t>
      </w:r>
      <w:proofErr w:type="gramEnd"/>
      <w:r w:rsidRPr="00BC6FF2">
        <w:rPr>
          <w:rFonts w:ascii="Times New Roman" w:hAnsi="Times New Roman" w:cs="Times New Roman"/>
          <w:i/>
          <w:sz w:val="24"/>
          <w:szCs w:val="24"/>
        </w:rPr>
        <w:t xml:space="preserve"> the rights of older Australians from abuse</w:t>
      </w:r>
      <w:r>
        <w:rPr>
          <w:rFonts w:ascii="Times New Roman" w:hAnsi="Times New Roman" w:cs="Times New Roman"/>
          <w:sz w:val="24"/>
          <w:szCs w:val="24"/>
        </w:rPr>
        <w:t xml:space="preserve"> which asks the question, “w</w:t>
      </w:r>
      <w:r w:rsidRPr="00BC6FF2">
        <w:rPr>
          <w:rFonts w:ascii="Times New Roman" w:hAnsi="Times New Roman" w:cs="Times New Roman"/>
          <w:sz w:val="24"/>
          <w:szCs w:val="24"/>
        </w:rPr>
        <w:t>hat changes should be made to laws or legal frameworks to better safeguard the interests of older people when family agreements break down</w:t>
      </w:r>
      <w:r>
        <w:rPr>
          <w:rFonts w:ascii="Times New Roman" w:hAnsi="Times New Roman" w:cs="Times New Roman"/>
          <w:sz w:val="24"/>
          <w:szCs w:val="24"/>
        </w:rPr>
        <w:t xml:space="preserve">”.  </w:t>
      </w:r>
    </w:p>
    <w:p w:rsidR="009652AB" w:rsidRDefault="00EB2EA9" w:rsidP="009652AB">
      <w:pPr>
        <w:jc w:val="both"/>
        <w:rPr>
          <w:rFonts w:ascii="Times New Roman" w:hAnsi="Times New Roman" w:cs="Times New Roman"/>
          <w:sz w:val="24"/>
          <w:szCs w:val="24"/>
        </w:rPr>
      </w:pPr>
      <w:r>
        <w:rPr>
          <w:rFonts w:ascii="Times New Roman" w:hAnsi="Times New Roman" w:cs="Times New Roman"/>
          <w:sz w:val="24"/>
          <w:szCs w:val="24"/>
        </w:rPr>
        <w:t xml:space="preserve">I </w:t>
      </w:r>
      <w:r w:rsidR="009652AB">
        <w:rPr>
          <w:rFonts w:ascii="Times New Roman" w:hAnsi="Times New Roman" w:cs="Times New Roman"/>
          <w:sz w:val="24"/>
          <w:szCs w:val="24"/>
        </w:rPr>
        <w:t>am</w:t>
      </w:r>
      <w:r>
        <w:rPr>
          <w:rFonts w:ascii="Times New Roman" w:hAnsi="Times New Roman" w:cs="Times New Roman"/>
          <w:sz w:val="24"/>
          <w:szCs w:val="24"/>
        </w:rPr>
        <w:t xml:space="preserve"> address</w:t>
      </w:r>
      <w:r w:rsidR="009652AB">
        <w:rPr>
          <w:rFonts w:ascii="Times New Roman" w:hAnsi="Times New Roman" w:cs="Times New Roman"/>
          <w:sz w:val="24"/>
          <w:szCs w:val="24"/>
        </w:rPr>
        <w:t>ing</w:t>
      </w:r>
      <w:r>
        <w:rPr>
          <w:rFonts w:ascii="Times New Roman" w:hAnsi="Times New Roman" w:cs="Times New Roman"/>
          <w:sz w:val="24"/>
          <w:szCs w:val="24"/>
        </w:rPr>
        <w:t xml:space="preserve"> </w:t>
      </w:r>
      <w:r w:rsidR="003109CE">
        <w:rPr>
          <w:rFonts w:ascii="Times New Roman" w:hAnsi="Times New Roman" w:cs="Times New Roman"/>
          <w:sz w:val="24"/>
          <w:szCs w:val="24"/>
        </w:rPr>
        <w:t xml:space="preserve">this question by narrowing it to a specific group of elders within </w:t>
      </w:r>
      <w:r w:rsidR="009652AB">
        <w:rPr>
          <w:rFonts w:ascii="Times New Roman" w:hAnsi="Times New Roman" w:cs="Times New Roman"/>
          <w:sz w:val="24"/>
          <w:szCs w:val="24"/>
        </w:rPr>
        <w:t>the rural farming community;</w:t>
      </w:r>
      <w:r w:rsidR="003109CE">
        <w:rPr>
          <w:rFonts w:ascii="Times New Roman" w:hAnsi="Times New Roman" w:cs="Times New Roman"/>
          <w:sz w:val="24"/>
          <w:szCs w:val="24"/>
        </w:rPr>
        <w:t xml:space="preserve"> </w:t>
      </w:r>
      <w:r w:rsidR="009D6137">
        <w:rPr>
          <w:rFonts w:ascii="Times New Roman" w:hAnsi="Times New Roman" w:cs="Times New Roman"/>
          <w:sz w:val="24"/>
          <w:szCs w:val="24"/>
        </w:rPr>
        <w:t>parents</w:t>
      </w:r>
      <w:r>
        <w:rPr>
          <w:rFonts w:ascii="Times New Roman" w:hAnsi="Times New Roman" w:cs="Times New Roman"/>
          <w:sz w:val="24"/>
          <w:szCs w:val="24"/>
        </w:rPr>
        <w:t xml:space="preserve"> </w:t>
      </w:r>
      <w:r w:rsidR="000B5DC1">
        <w:rPr>
          <w:rFonts w:ascii="Times New Roman" w:hAnsi="Times New Roman" w:cs="Times New Roman"/>
          <w:sz w:val="24"/>
          <w:szCs w:val="24"/>
        </w:rPr>
        <w:t xml:space="preserve">who </w:t>
      </w:r>
      <w:r>
        <w:rPr>
          <w:rFonts w:ascii="Times New Roman" w:hAnsi="Times New Roman" w:cs="Times New Roman"/>
          <w:sz w:val="24"/>
          <w:szCs w:val="24"/>
        </w:rPr>
        <w:t xml:space="preserve">retire and </w:t>
      </w:r>
      <w:r w:rsidR="001E5691">
        <w:rPr>
          <w:rFonts w:ascii="Times New Roman" w:hAnsi="Times New Roman" w:cs="Times New Roman"/>
          <w:sz w:val="24"/>
          <w:szCs w:val="24"/>
        </w:rPr>
        <w:t>transfer the</w:t>
      </w:r>
      <w:r>
        <w:rPr>
          <w:rFonts w:ascii="Times New Roman" w:hAnsi="Times New Roman" w:cs="Times New Roman"/>
          <w:sz w:val="24"/>
          <w:szCs w:val="24"/>
        </w:rPr>
        <w:t xml:space="preserve"> land to their </w:t>
      </w:r>
      <w:r w:rsidR="009D6137">
        <w:rPr>
          <w:rFonts w:ascii="Times New Roman" w:hAnsi="Times New Roman" w:cs="Times New Roman"/>
          <w:sz w:val="24"/>
          <w:szCs w:val="24"/>
        </w:rPr>
        <w:t xml:space="preserve">adult child and/or </w:t>
      </w:r>
      <w:r>
        <w:rPr>
          <w:rFonts w:ascii="Times New Roman" w:hAnsi="Times New Roman" w:cs="Times New Roman"/>
          <w:sz w:val="24"/>
          <w:szCs w:val="24"/>
        </w:rPr>
        <w:t xml:space="preserve">children in return they </w:t>
      </w:r>
      <w:r w:rsidR="000B5DC1">
        <w:rPr>
          <w:rFonts w:ascii="Times New Roman" w:hAnsi="Times New Roman" w:cs="Times New Roman"/>
          <w:sz w:val="24"/>
          <w:szCs w:val="24"/>
        </w:rPr>
        <w:t xml:space="preserve">are </w:t>
      </w:r>
      <w:r>
        <w:rPr>
          <w:rFonts w:ascii="Times New Roman" w:hAnsi="Times New Roman" w:cs="Times New Roman"/>
          <w:sz w:val="24"/>
          <w:szCs w:val="24"/>
        </w:rPr>
        <w:t>provide</w:t>
      </w:r>
      <w:r w:rsidR="00FD3402">
        <w:rPr>
          <w:rFonts w:ascii="Times New Roman" w:hAnsi="Times New Roman" w:cs="Times New Roman"/>
          <w:sz w:val="24"/>
          <w:szCs w:val="24"/>
        </w:rPr>
        <w:t xml:space="preserve">d </w:t>
      </w:r>
      <w:r w:rsidR="00C03B41">
        <w:rPr>
          <w:rFonts w:ascii="Times New Roman" w:hAnsi="Times New Roman" w:cs="Times New Roman"/>
          <w:sz w:val="24"/>
          <w:szCs w:val="24"/>
        </w:rPr>
        <w:t>care for life with a</w:t>
      </w:r>
      <w:r w:rsidR="001E5691">
        <w:rPr>
          <w:rFonts w:ascii="Times New Roman" w:hAnsi="Times New Roman" w:cs="Times New Roman"/>
          <w:sz w:val="24"/>
          <w:szCs w:val="24"/>
        </w:rPr>
        <w:t xml:space="preserve"> house and</w:t>
      </w:r>
      <w:r w:rsidR="00C03B41">
        <w:rPr>
          <w:rFonts w:ascii="Times New Roman" w:hAnsi="Times New Roman" w:cs="Times New Roman"/>
          <w:sz w:val="24"/>
          <w:szCs w:val="24"/>
        </w:rPr>
        <w:t>/or</w:t>
      </w:r>
      <w:r w:rsidR="001E5691">
        <w:rPr>
          <w:rFonts w:ascii="Times New Roman" w:hAnsi="Times New Roman" w:cs="Times New Roman"/>
          <w:sz w:val="24"/>
          <w:szCs w:val="24"/>
        </w:rPr>
        <w:t xml:space="preserve"> </w:t>
      </w:r>
      <w:r>
        <w:rPr>
          <w:rFonts w:ascii="Times New Roman" w:hAnsi="Times New Roman" w:cs="Times New Roman"/>
          <w:sz w:val="24"/>
          <w:szCs w:val="24"/>
        </w:rPr>
        <w:t>financial</w:t>
      </w:r>
      <w:r w:rsidR="001E5691">
        <w:rPr>
          <w:rFonts w:ascii="Times New Roman" w:hAnsi="Times New Roman" w:cs="Times New Roman"/>
          <w:sz w:val="24"/>
          <w:szCs w:val="24"/>
        </w:rPr>
        <w:t xml:space="preserve"> support</w:t>
      </w:r>
      <w:r w:rsidR="002005A7">
        <w:rPr>
          <w:rFonts w:ascii="Times New Roman" w:hAnsi="Times New Roman" w:cs="Times New Roman"/>
          <w:sz w:val="24"/>
          <w:szCs w:val="24"/>
        </w:rPr>
        <w:t>.</w:t>
      </w:r>
      <w:r w:rsidR="009D6137">
        <w:rPr>
          <w:rFonts w:ascii="Times New Roman" w:hAnsi="Times New Roman" w:cs="Times New Roman"/>
          <w:sz w:val="24"/>
          <w:szCs w:val="24"/>
        </w:rPr>
        <w:t xml:space="preserve"> </w:t>
      </w:r>
    </w:p>
    <w:p w:rsidR="004F6CD3" w:rsidRPr="004F6CD3" w:rsidRDefault="0062419E" w:rsidP="00F763E0">
      <w:pPr>
        <w:jc w:val="both"/>
        <w:rPr>
          <w:rFonts w:ascii="Times New Roman" w:hAnsi="Times New Roman" w:cs="Times New Roman"/>
          <w:b/>
          <w:sz w:val="24"/>
          <w:szCs w:val="24"/>
        </w:rPr>
      </w:pPr>
      <w:r>
        <w:rPr>
          <w:rFonts w:ascii="Times New Roman" w:hAnsi="Times New Roman" w:cs="Times New Roman"/>
          <w:b/>
          <w:sz w:val="24"/>
          <w:szCs w:val="24"/>
        </w:rPr>
        <w:t>Contractual issues</w:t>
      </w:r>
    </w:p>
    <w:p w:rsidR="005571A5" w:rsidRDefault="005571A5" w:rsidP="00F763E0">
      <w:pPr>
        <w:jc w:val="both"/>
        <w:rPr>
          <w:rFonts w:ascii="Times New Roman" w:hAnsi="Times New Roman" w:cs="Times New Roman"/>
          <w:sz w:val="24"/>
          <w:szCs w:val="24"/>
        </w:rPr>
      </w:pPr>
      <w:r w:rsidRPr="005571A5">
        <w:rPr>
          <w:rFonts w:ascii="Times New Roman" w:hAnsi="Times New Roman" w:cs="Times New Roman"/>
          <w:sz w:val="24"/>
          <w:szCs w:val="24"/>
        </w:rPr>
        <w:t xml:space="preserve">Family Agreements tend to form an arrangement between parties and are often entered into with failing to take into account any possible repercussions if a breakdown in the relationship was to occur.  Most of these agreements are not documented outlining clear intentions and terms of such arrangements leaving the elder unprotected. </w:t>
      </w:r>
    </w:p>
    <w:p w:rsidR="008D2C71" w:rsidRDefault="005571A5" w:rsidP="00F763E0">
      <w:pPr>
        <w:jc w:val="both"/>
        <w:rPr>
          <w:rFonts w:ascii="Times New Roman" w:hAnsi="Times New Roman" w:cs="Times New Roman"/>
          <w:sz w:val="24"/>
          <w:szCs w:val="24"/>
        </w:rPr>
      </w:pPr>
      <w:r>
        <w:rPr>
          <w:rFonts w:ascii="Times New Roman" w:hAnsi="Times New Roman" w:cs="Times New Roman"/>
          <w:sz w:val="24"/>
          <w:szCs w:val="24"/>
        </w:rPr>
        <w:t>These a</w:t>
      </w:r>
      <w:r w:rsidR="00F763E0">
        <w:rPr>
          <w:rFonts w:ascii="Times New Roman" w:hAnsi="Times New Roman" w:cs="Times New Roman"/>
          <w:sz w:val="24"/>
          <w:szCs w:val="24"/>
        </w:rPr>
        <w:t xml:space="preserve">greements </w:t>
      </w:r>
      <w:r w:rsidR="004F6CD3">
        <w:rPr>
          <w:rFonts w:ascii="Times New Roman" w:hAnsi="Times New Roman" w:cs="Times New Roman"/>
          <w:sz w:val="24"/>
          <w:szCs w:val="24"/>
        </w:rPr>
        <w:t>written or orally,</w:t>
      </w:r>
      <w:r w:rsidR="00F763E0">
        <w:rPr>
          <w:rFonts w:ascii="Times New Roman" w:hAnsi="Times New Roman" w:cs="Times New Roman"/>
          <w:sz w:val="24"/>
          <w:szCs w:val="24"/>
        </w:rPr>
        <w:t xml:space="preserve"> </w:t>
      </w:r>
      <w:r>
        <w:rPr>
          <w:rFonts w:ascii="Times New Roman" w:hAnsi="Times New Roman" w:cs="Times New Roman"/>
          <w:sz w:val="24"/>
          <w:szCs w:val="24"/>
        </w:rPr>
        <w:t>help support</w:t>
      </w:r>
      <w:r w:rsidR="00F763E0">
        <w:rPr>
          <w:rFonts w:ascii="Times New Roman" w:hAnsi="Times New Roman" w:cs="Times New Roman"/>
          <w:sz w:val="24"/>
          <w:szCs w:val="24"/>
        </w:rPr>
        <w:t xml:space="preserve"> the intentions of the parties</w:t>
      </w:r>
      <w:r w:rsidR="004F6CD3">
        <w:rPr>
          <w:rFonts w:ascii="Times New Roman" w:hAnsi="Times New Roman" w:cs="Times New Roman"/>
          <w:sz w:val="24"/>
          <w:szCs w:val="24"/>
        </w:rPr>
        <w:t xml:space="preserve"> </w:t>
      </w:r>
      <w:r w:rsidR="005159F7">
        <w:rPr>
          <w:rFonts w:ascii="Times New Roman" w:hAnsi="Times New Roman" w:cs="Times New Roman"/>
          <w:sz w:val="24"/>
          <w:szCs w:val="24"/>
        </w:rPr>
        <w:t>involved</w:t>
      </w:r>
      <w:r w:rsidR="00F763E0">
        <w:rPr>
          <w:rFonts w:ascii="Times New Roman" w:hAnsi="Times New Roman" w:cs="Times New Roman"/>
          <w:sz w:val="24"/>
          <w:szCs w:val="24"/>
        </w:rPr>
        <w:t xml:space="preserve">.  </w:t>
      </w:r>
      <w:r w:rsidR="008D2C71">
        <w:rPr>
          <w:rFonts w:ascii="Times New Roman" w:hAnsi="Times New Roman" w:cs="Times New Roman"/>
          <w:sz w:val="24"/>
          <w:szCs w:val="24"/>
        </w:rPr>
        <w:t xml:space="preserve">However, Bryson J </w:t>
      </w:r>
      <w:r w:rsidR="00730171">
        <w:rPr>
          <w:rFonts w:ascii="Times New Roman" w:hAnsi="Times New Roman" w:cs="Times New Roman"/>
          <w:sz w:val="24"/>
          <w:szCs w:val="24"/>
        </w:rPr>
        <w:t xml:space="preserve">in the case of </w:t>
      </w:r>
      <w:proofErr w:type="spellStart"/>
      <w:r w:rsidR="00730171">
        <w:rPr>
          <w:rFonts w:ascii="Times New Roman" w:hAnsi="Times New Roman" w:cs="Times New Roman"/>
          <w:sz w:val="24"/>
          <w:szCs w:val="24"/>
        </w:rPr>
        <w:t>Schmutz</w:t>
      </w:r>
      <w:proofErr w:type="spellEnd"/>
      <w:r w:rsidR="008D2C71">
        <w:rPr>
          <w:rFonts w:ascii="Times New Roman" w:hAnsi="Times New Roman" w:cs="Times New Roman"/>
          <w:sz w:val="24"/>
          <w:szCs w:val="24"/>
        </w:rPr>
        <w:t xml:space="preserve"> </w:t>
      </w:r>
      <w:r w:rsidR="00F763E0">
        <w:rPr>
          <w:rFonts w:ascii="Times New Roman" w:hAnsi="Times New Roman" w:cs="Times New Roman"/>
          <w:sz w:val="24"/>
          <w:szCs w:val="24"/>
        </w:rPr>
        <w:t>stated:</w:t>
      </w:r>
    </w:p>
    <w:p w:rsidR="00F763E0" w:rsidRPr="00F763E0" w:rsidRDefault="00730171" w:rsidP="00F763E0">
      <w:pPr>
        <w:ind w:left="720" w:right="804"/>
        <w:jc w:val="both"/>
        <w:rPr>
          <w:rFonts w:ascii="Times New Roman" w:hAnsi="Times New Roman" w:cs="Times New Roman"/>
        </w:rPr>
      </w:pPr>
      <w:r>
        <w:rPr>
          <w:rFonts w:ascii="Times New Roman" w:hAnsi="Times New Roman" w:cs="Times New Roman"/>
        </w:rPr>
        <w:t>“</w:t>
      </w:r>
      <w:r w:rsidR="00F763E0" w:rsidRPr="00F763E0">
        <w:rPr>
          <w:rFonts w:ascii="Times New Roman" w:hAnsi="Times New Roman" w:cs="Times New Roman"/>
        </w:rPr>
        <w:t xml:space="preserve">Although Courts have frequently concluded that agreements and arrangements among family members are not intended to be binding and hence do not give rise to contractual or other legal obligations, the key to the question whether they give rise to contractual obligations is the intention of the parties… when arrangements are made among family members, the nature of the arrangements, the value of the </w:t>
      </w:r>
      <w:r w:rsidR="00F763E0" w:rsidRPr="00F763E0">
        <w:rPr>
          <w:rFonts w:ascii="Times New Roman" w:hAnsi="Times New Roman" w:cs="Times New Roman"/>
        </w:rPr>
        <w:lastRenderedPageBreak/>
        <w:t>property affected by them or the extent and nature of the participation required and the period over which it is required may indicate an intention to create obligations.”</w:t>
      </w:r>
      <w:r w:rsidR="00F763E0">
        <w:rPr>
          <w:rStyle w:val="FootnoteReference"/>
          <w:rFonts w:ascii="Times New Roman" w:hAnsi="Times New Roman" w:cs="Times New Roman"/>
        </w:rPr>
        <w:footnoteReference w:id="1"/>
      </w:r>
    </w:p>
    <w:p w:rsidR="00CF5AA7" w:rsidRDefault="00F763E0">
      <w:pPr>
        <w:rPr>
          <w:rFonts w:ascii="Times New Roman" w:hAnsi="Times New Roman" w:cs="Times New Roman"/>
          <w:sz w:val="24"/>
          <w:szCs w:val="24"/>
        </w:rPr>
      </w:pPr>
      <w:r>
        <w:rPr>
          <w:rFonts w:ascii="Times New Roman" w:hAnsi="Times New Roman" w:cs="Times New Roman"/>
          <w:sz w:val="24"/>
          <w:szCs w:val="24"/>
        </w:rPr>
        <w:t>T</w:t>
      </w:r>
      <w:r w:rsidR="008D2C71">
        <w:rPr>
          <w:rFonts w:ascii="Times New Roman" w:hAnsi="Times New Roman" w:cs="Times New Roman"/>
          <w:sz w:val="24"/>
          <w:szCs w:val="24"/>
        </w:rPr>
        <w:t xml:space="preserve">he Alzheimer’s Australia in its submission </w:t>
      </w:r>
      <w:r>
        <w:rPr>
          <w:rFonts w:ascii="Times New Roman" w:hAnsi="Times New Roman" w:cs="Times New Roman"/>
          <w:sz w:val="24"/>
          <w:szCs w:val="24"/>
        </w:rPr>
        <w:t>suggested</w:t>
      </w:r>
      <w:r w:rsidR="00CF5AA7">
        <w:rPr>
          <w:rFonts w:ascii="Times New Roman" w:hAnsi="Times New Roman" w:cs="Times New Roman"/>
          <w:sz w:val="24"/>
          <w:szCs w:val="24"/>
        </w:rPr>
        <w:t>:</w:t>
      </w:r>
      <w:r>
        <w:rPr>
          <w:rFonts w:ascii="Times New Roman" w:hAnsi="Times New Roman" w:cs="Times New Roman"/>
          <w:sz w:val="24"/>
          <w:szCs w:val="24"/>
        </w:rPr>
        <w:t xml:space="preserve"> </w:t>
      </w:r>
    </w:p>
    <w:p w:rsidR="00FD3402" w:rsidRPr="00CF5AA7" w:rsidRDefault="00CF5AA7" w:rsidP="00CF5AA7">
      <w:pPr>
        <w:ind w:left="720" w:right="662"/>
        <w:jc w:val="both"/>
        <w:rPr>
          <w:rFonts w:ascii="Times New Roman" w:hAnsi="Times New Roman" w:cs="Times New Roman"/>
        </w:rPr>
      </w:pPr>
      <w:r w:rsidRPr="00CF5AA7">
        <w:rPr>
          <w:rFonts w:ascii="Times New Roman" w:hAnsi="Times New Roman" w:cs="Times New Roman"/>
        </w:rPr>
        <w:t>“</w:t>
      </w:r>
      <w:r w:rsidR="00F763E0" w:rsidRPr="00CF5AA7">
        <w:rPr>
          <w:rFonts w:ascii="Times New Roman" w:hAnsi="Times New Roman" w:cs="Times New Roman"/>
        </w:rPr>
        <w:t>that there is nothing in theory to prevent a family agreement being enforced as a contract…</w:t>
      </w:r>
      <w:r w:rsidRPr="00CF5AA7">
        <w:rPr>
          <w:rFonts w:ascii="Times New Roman" w:hAnsi="Times New Roman" w:cs="Times New Roman"/>
        </w:rPr>
        <w:t xml:space="preserve"> if all the relevant requirements of a contract are met’ including’… the intention to create legal relations, capacity, offer and acceptance, consideration, and certainty’,  but that the confusion has arisen because there is a presumption that where family or social arrangements are concerned, the law presumes that there is no intention to create legal relations, thus one crucial requirement for a contract is missing</w:t>
      </w:r>
      <w:r>
        <w:rPr>
          <w:rFonts w:ascii="Times New Roman" w:hAnsi="Times New Roman" w:cs="Times New Roman"/>
        </w:rPr>
        <w:t>.”</w:t>
      </w:r>
      <w:r>
        <w:rPr>
          <w:rStyle w:val="FootnoteReference"/>
          <w:rFonts w:ascii="Times New Roman" w:hAnsi="Times New Roman" w:cs="Times New Roman"/>
        </w:rPr>
        <w:footnoteReference w:id="2"/>
      </w:r>
    </w:p>
    <w:p w:rsidR="008D2C71" w:rsidRDefault="005571A5" w:rsidP="00730171">
      <w:pPr>
        <w:jc w:val="both"/>
        <w:rPr>
          <w:rFonts w:ascii="Times New Roman" w:hAnsi="Times New Roman" w:cs="Times New Roman"/>
          <w:sz w:val="24"/>
          <w:szCs w:val="24"/>
        </w:rPr>
      </w:pPr>
      <w:r>
        <w:rPr>
          <w:rFonts w:ascii="Times New Roman" w:hAnsi="Times New Roman" w:cs="Times New Roman"/>
          <w:sz w:val="24"/>
          <w:szCs w:val="24"/>
        </w:rPr>
        <w:t>Issues</w:t>
      </w:r>
      <w:r w:rsidR="00730171">
        <w:rPr>
          <w:rFonts w:ascii="Times New Roman" w:hAnsi="Times New Roman" w:cs="Times New Roman"/>
          <w:sz w:val="24"/>
          <w:szCs w:val="24"/>
        </w:rPr>
        <w:t xml:space="preserve"> </w:t>
      </w:r>
      <w:r w:rsidR="008E511E">
        <w:rPr>
          <w:rFonts w:ascii="Times New Roman" w:hAnsi="Times New Roman" w:cs="Times New Roman"/>
          <w:sz w:val="24"/>
          <w:szCs w:val="24"/>
        </w:rPr>
        <w:t xml:space="preserve">tend to </w:t>
      </w:r>
      <w:r w:rsidR="00730171">
        <w:rPr>
          <w:rFonts w:ascii="Times New Roman" w:hAnsi="Times New Roman" w:cs="Times New Roman"/>
          <w:sz w:val="24"/>
          <w:szCs w:val="24"/>
        </w:rPr>
        <w:t>arise where the agreements are informal or ambiguous</w:t>
      </w:r>
      <w:r w:rsidR="008E511E">
        <w:rPr>
          <w:rFonts w:ascii="Times New Roman" w:hAnsi="Times New Roman" w:cs="Times New Roman"/>
          <w:sz w:val="24"/>
          <w:szCs w:val="24"/>
        </w:rPr>
        <w:t>, t</w:t>
      </w:r>
      <w:r w:rsidR="00730171">
        <w:rPr>
          <w:rFonts w:ascii="Times New Roman" w:hAnsi="Times New Roman" w:cs="Times New Roman"/>
          <w:sz w:val="24"/>
          <w:szCs w:val="24"/>
        </w:rPr>
        <w:t>he Victorian Government stated that such:</w:t>
      </w:r>
    </w:p>
    <w:p w:rsidR="00730171" w:rsidRPr="00730171" w:rsidRDefault="00730171" w:rsidP="00730171">
      <w:pPr>
        <w:tabs>
          <w:tab w:val="left" w:pos="8222"/>
        </w:tabs>
        <w:ind w:left="720" w:right="946"/>
        <w:jc w:val="both"/>
        <w:rPr>
          <w:rFonts w:ascii="Times New Roman" w:hAnsi="Times New Roman" w:cs="Times New Roman"/>
        </w:rPr>
      </w:pPr>
      <w:r>
        <w:rPr>
          <w:rFonts w:ascii="Times New Roman" w:hAnsi="Times New Roman" w:cs="Times New Roman"/>
        </w:rPr>
        <w:t>“</w:t>
      </w:r>
      <w:r w:rsidRPr="00730171">
        <w:rPr>
          <w:rFonts w:ascii="Times New Roman" w:hAnsi="Times New Roman" w:cs="Times New Roman"/>
        </w:rPr>
        <w:t>Informality and familial nature of these agreements may make it difficult for the law to recognise and/or enforce them as contract, and common law presumptions may assume that the transfer of property is a gift with no obligations attached.</w:t>
      </w:r>
      <w:r>
        <w:rPr>
          <w:rFonts w:ascii="Times New Roman" w:hAnsi="Times New Roman" w:cs="Times New Roman"/>
        </w:rPr>
        <w:t>”</w:t>
      </w:r>
      <w:r>
        <w:rPr>
          <w:rStyle w:val="FootnoteReference"/>
          <w:rFonts w:ascii="Times New Roman" w:hAnsi="Times New Roman" w:cs="Times New Roman"/>
        </w:rPr>
        <w:footnoteReference w:id="3"/>
      </w:r>
    </w:p>
    <w:p w:rsidR="008D2C71" w:rsidRDefault="00F24B23" w:rsidP="00F24B23">
      <w:pPr>
        <w:jc w:val="both"/>
        <w:rPr>
          <w:rFonts w:ascii="Times New Roman" w:hAnsi="Times New Roman" w:cs="Times New Roman"/>
          <w:sz w:val="24"/>
          <w:szCs w:val="24"/>
        </w:rPr>
      </w:pPr>
      <w:r>
        <w:rPr>
          <w:rFonts w:ascii="Times New Roman" w:hAnsi="Times New Roman" w:cs="Times New Roman"/>
          <w:sz w:val="24"/>
          <w:szCs w:val="24"/>
        </w:rPr>
        <w:t xml:space="preserve">Carers Queensland </w:t>
      </w:r>
      <w:r w:rsidR="008E511E">
        <w:rPr>
          <w:rFonts w:ascii="Times New Roman" w:hAnsi="Times New Roman" w:cs="Times New Roman"/>
          <w:sz w:val="24"/>
          <w:szCs w:val="24"/>
        </w:rPr>
        <w:t xml:space="preserve">found that when </w:t>
      </w:r>
      <w:r>
        <w:rPr>
          <w:rFonts w:ascii="Times New Roman" w:hAnsi="Times New Roman" w:cs="Times New Roman"/>
          <w:sz w:val="24"/>
          <w:szCs w:val="24"/>
        </w:rPr>
        <w:t xml:space="preserve">these agreements are </w:t>
      </w:r>
      <w:r w:rsidR="008E511E">
        <w:rPr>
          <w:rFonts w:ascii="Times New Roman" w:hAnsi="Times New Roman" w:cs="Times New Roman"/>
          <w:sz w:val="24"/>
          <w:szCs w:val="24"/>
        </w:rPr>
        <w:t>documented with the</w:t>
      </w:r>
      <w:r>
        <w:rPr>
          <w:rFonts w:ascii="Times New Roman" w:hAnsi="Times New Roman" w:cs="Times New Roman"/>
          <w:sz w:val="24"/>
          <w:szCs w:val="24"/>
        </w:rPr>
        <w:t xml:space="preserve"> intentions of the parties, these intentions can still be inadequate to such a degree as to:</w:t>
      </w:r>
    </w:p>
    <w:p w:rsidR="00F24B23" w:rsidRDefault="00F24B23" w:rsidP="00F24B23">
      <w:pPr>
        <w:ind w:left="720" w:right="662"/>
        <w:jc w:val="both"/>
        <w:rPr>
          <w:rFonts w:ascii="Times New Roman" w:hAnsi="Times New Roman" w:cs="Times New Roman"/>
        </w:rPr>
      </w:pPr>
      <w:r>
        <w:rPr>
          <w:rFonts w:ascii="Times New Roman" w:hAnsi="Times New Roman" w:cs="Times New Roman"/>
        </w:rPr>
        <w:t>“</w:t>
      </w:r>
      <w:r w:rsidRPr="00F24B23">
        <w:rPr>
          <w:rFonts w:ascii="Times New Roman" w:hAnsi="Times New Roman" w:cs="Times New Roman"/>
        </w:rPr>
        <w:t>Such contract can oversimplify arrangements and fail to acknowledge the complexities involved in providing care, the uncertainty often inherent to care situations and the fact that other factors in a person’s life also change and may have implications for care.”</w:t>
      </w:r>
      <w:r>
        <w:rPr>
          <w:rStyle w:val="FootnoteReference"/>
          <w:rFonts w:ascii="Times New Roman" w:hAnsi="Times New Roman" w:cs="Times New Roman"/>
        </w:rPr>
        <w:footnoteReference w:id="4"/>
      </w:r>
    </w:p>
    <w:p w:rsidR="005159F7" w:rsidRPr="005159F7" w:rsidRDefault="005159F7">
      <w:pPr>
        <w:rPr>
          <w:rFonts w:ascii="Times New Roman" w:hAnsi="Times New Roman" w:cs="Times New Roman"/>
          <w:b/>
          <w:sz w:val="24"/>
          <w:szCs w:val="24"/>
        </w:rPr>
      </w:pPr>
      <w:r w:rsidRPr="005159F7">
        <w:rPr>
          <w:rFonts w:ascii="Times New Roman" w:hAnsi="Times New Roman" w:cs="Times New Roman"/>
          <w:b/>
          <w:sz w:val="24"/>
          <w:szCs w:val="24"/>
        </w:rPr>
        <w:t>Submission</w:t>
      </w:r>
    </w:p>
    <w:p w:rsidR="008D2C71" w:rsidRDefault="0062419E">
      <w:pPr>
        <w:rPr>
          <w:rFonts w:ascii="Times New Roman" w:hAnsi="Times New Roman" w:cs="Times New Roman"/>
          <w:sz w:val="24"/>
          <w:szCs w:val="24"/>
        </w:rPr>
      </w:pPr>
      <w:r w:rsidRPr="0062419E">
        <w:rPr>
          <w:rFonts w:ascii="Times New Roman" w:hAnsi="Times New Roman" w:cs="Times New Roman"/>
          <w:sz w:val="24"/>
          <w:szCs w:val="24"/>
        </w:rPr>
        <w:t>These Family Agreements are not currently governed or regulated under the Commonwealth,</w:t>
      </w:r>
      <w:r w:rsidR="002C0D2E">
        <w:rPr>
          <w:rFonts w:ascii="Times New Roman" w:hAnsi="Times New Roman" w:cs="Times New Roman"/>
          <w:sz w:val="24"/>
          <w:szCs w:val="24"/>
        </w:rPr>
        <w:t xml:space="preserve"> state or territory </w:t>
      </w:r>
      <w:proofErr w:type="gramStart"/>
      <w:r w:rsidR="002C0D2E">
        <w:rPr>
          <w:rFonts w:ascii="Times New Roman" w:hAnsi="Times New Roman" w:cs="Times New Roman"/>
          <w:sz w:val="24"/>
          <w:szCs w:val="24"/>
        </w:rPr>
        <w:t xml:space="preserve">legislation </w:t>
      </w:r>
      <w:r w:rsidR="00377FE1">
        <w:rPr>
          <w:rFonts w:ascii="Times New Roman" w:hAnsi="Times New Roman" w:cs="Times New Roman"/>
          <w:sz w:val="24"/>
          <w:szCs w:val="24"/>
        </w:rPr>
        <w:t>.</w:t>
      </w:r>
      <w:proofErr w:type="gramEnd"/>
      <w:r w:rsidR="00377FE1">
        <w:rPr>
          <w:rFonts w:ascii="Times New Roman" w:hAnsi="Times New Roman" w:cs="Times New Roman"/>
          <w:sz w:val="24"/>
          <w:szCs w:val="24"/>
        </w:rPr>
        <w:t xml:space="preserve">  The Victorian State Government suggested the Canadian approach to a proposal legislating courts to dissolve family agreements and restore property could have some merit:</w:t>
      </w:r>
    </w:p>
    <w:p w:rsidR="00377FE1" w:rsidRDefault="00377FE1" w:rsidP="00377FE1">
      <w:pPr>
        <w:ind w:left="720" w:right="662"/>
        <w:jc w:val="both"/>
        <w:rPr>
          <w:rFonts w:ascii="Times New Roman" w:hAnsi="Times New Roman" w:cs="Times New Roman"/>
        </w:rPr>
      </w:pPr>
      <w:r>
        <w:rPr>
          <w:rFonts w:ascii="Times New Roman" w:hAnsi="Times New Roman" w:cs="Times New Roman"/>
        </w:rPr>
        <w:t>“</w:t>
      </w:r>
      <w:r w:rsidRPr="00377FE1">
        <w:rPr>
          <w:rFonts w:ascii="Times New Roman" w:hAnsi="Times New Roman" w:cs="Times New Roman"/>
        </w:rPr>
        <w:t xml:space="preserve">It is difficult to see how legislation can specifically address many of the issues raised by family agreements.  However, the British Columbia Law Institute has proposed a legislative provision to deal with situations where the relationship between </w:t>
      </w:r>
      <w:proofErr w:type="gramStart"/>
      <w:r w:rsidRPr="00377FE1">
        <w:rPr>
          <w:rFonts w:ascii="Times New Roman" w:hAnsi="Times New Roman" w:cs="Times New Roman"/>
        </w:rPr>
        <w:t>parties</w:t>
      </w:r>
      <w:proofErr w:type="gramEnd"/>
      <w:r w:rsidRPr="00377FE1">
        <w:rPr>
          <w:rFonts w:ascii="Times New Roman" w:hAnsi="Times New Roman" w:cs="Times New Roman"/>
        </w:rPr>
        <w:t xml:space="preserve"> breaks down that would allow courts to dissolve the agreement, restore property and compensate caregivers.   Such reform would not prevent the problems that arise with </w:t>
      </w:r>
      <w:r w:rsidRPr="00377FE1">
        <w:rPr>
          <w:rFonts w:ascii="Times New Roman" w:hAnsi="Times New Roman" w:cs="Times New Roman"/>
        </w:rPr>
        <w:lastRenderedPageBreak/>
        <w:t>the use of care agreements but it would assist with providing a resolution after the problems have arisen.</w:t>
      </w:r>
      <w:r>
        <w:rPr>
          <w:rFonts w:ascii="Times New Roman" w:hAnsi="Times New Roman" w:cs="Times New Roman"/>
        </w:rPr>
        <w:t>”</w:t>
      </w:r>
      <w:r>
        <w:rPr>
          <w:rStyle w:val="FootnoteReference"/>
          <w:rFonts w:ascii="Times New Roman" w:hAnsi="Times New Roman" w:cs="Times New Roman"/>
        </w:rPr>
        <w:footnoteReference w:id="5"/>
      </w:r>
      <w:r w:rsidRPr="00377FE1">
        <w:rPr>
          <w:rFonts w:ascii="Times New Roman" w:hAnsi="Times New Roman" w:cs="Times New Roman"/>
        </w:rPr>
        <w:t xml:space="preserve">  </w:t>
      </w:r>
    </w:p>
    <w:p w:rsidR="0062419E" w:rsidRPr="00377FE1" w:rsidRDefault="0062419E" w:rsidP="0062419E">
      <w:pPr>
        <w:ind w:right="-46"/>
        <w:jc w:val="both"/>
        <w:rPr>
          <w:rFonts w:ascii="Times New Roman" w:hAnsi="Times New Roman" w:cs="Times New Roman"/>
          <w:sz w:val="24"/>
          <w:szCs w:val="24"/>
        </w:rPr>
      </w:pPr>
      <w:r>
        <w:rPr>
          <w:rFonts w:ascii="Times New Roman" w:hAnsi="Times New Roman" w:cs="Times New Roman"/>
          <w:sz w:val="24"/>
          <w:szCs w:val="24"/>
        </w:rPr>
        <w:t>There needs to be some form of</w:t>
      </w:r>
      <w:r w:rsidR="00880BBF">
        <w:rPr>
          <w:rFonts w:ascii="Times New Roman" w:hAnsi="Times New Roman" w:cs="Times New Roman"/>
          <w:sz w:val="24"/>
          <w:szCs w:val="24"/>
        </w:rPr>
        <w:t xml:space="preserve"> legislation drafted to set out model arrangements for solicitors in the prepar</w:t>
      </w:r>
      <w:r>
        <w:rPr>
          <w:rFonts w:ascii="Times New Roman" w:hAnsi="Times New Roman" w:cs="Times New Roman"/>
          <w:sz w:val="24"/>
          <w:szCs w:val="24"/>
        </w:rPr>
        <w:t>ing</w:t>
      </w:r>
      <w:r w:rsidR="00880BBF">
        <w:rPr>
          <w:rFonts w:ascii="Times New Roman" w:hAnsi="Times New Roman" w:cs="Times New Roman"/>
          <w:sz w:val="24"/>
          <w:szCs w:val="24"/>
        </w:rPr>
        <w:t xml:space="preserve"> such Family Agreements.  The uncertainty and potential devastating disputes that arise can cause the</w:t>
      </w:r>
      <w:r>
        <w:rPr>
          <w:rFonts w:ascii="Times New Roman" w:hAnsi="Times New Roman" w:cs="Times New Roman"/>
          <w:sz w:val="24"/>
          <w:szCs w:val="24"/>
        </w:rPr>
        <w:t xml:space="preserve"> family dynamic to break down, with</w:t>
      </w:r>
      <w:r w:rsidRPr="0062419E">
        <w:rPr>
          <w:rFonts w:ascii="Times New Roman" w:hAnsi="Times New Roman" w:cs="Times New Roman"/>
          <w:sz w:val="24"/>
          <w:szCs w:val="24"/>
        </w:rPr>
        <w:t xml:space="preserve"> long-term implications </w:t>
      </w:r>
      <w:r w:rsidR="008E511E">
        <w:rPr>
          <w:rFonts w:ascii="Times New Roman" w:hAnsi="Times New Roman" w:cs="Times New Roman"/>
          <w:sz w:val="24"/>
          <w:szCs w:val="24"/>
        </w:rPr>
        <w:t>often</w:t>
      </w:r>
      <w:r w:rsidRPr="0062419E">
        <w:rPr>
          <w:rFonts w:ascii="Times New Roman" w:hAnsi="Times New Roman" w:cs="Times New Roman"/>
          <w:sz w:val="24"/>
          <w:szCs w:val="24"/>
        </w:rPr>
        <w:t xml:space="preserve"> lead</w:t>
      </w:r>
      <w:r w:rsidR="008E511E">
        <w:rPr>
          <w:rFonts w:ascii="Times New Roman" w:hAnsi="Times New Roman" w:cs="Times New Roman"/>
          <w:sz w:val="24"/>
          <w:szCs w:val="24"/>
        </w:rPr>
        <w:t>ing</w:t>
      </w:r>
      <w:r w:rsidRPr="0062419E">
        <w:rPr>
          <w:rFonts w:ascii="Times New Roman" w:hAnsi="Times New Roman" w:cs="Times New Roman"/>
          <w:sz w:val="24"/>
          <w:szCs w:val="24"/>
        </w:rPr>
        <w:t xml:space="preserve"> to </w:t>
      </w:r>
      <w:r w:rsidR="008E511E">
        <w:rPr>
          <w:rFonts w:ascii="Times New Roman" w:hAnsi="Times New Roman" w:cs="Times New Roman"/>
          <w:sz w:val="24"/>
          <w:szCs w:val="24"/>
        </w:rPr>
        <w:t>the poor</w:t>
      </w:r>
      <w:r w:rsidRPr="0062419E">
        <w:rPr>
          <w:rFonts w:ascii="Times New Roman" w:hAnsi="Times New Roman" w:cs="Times New Roman"/>
          <w:sz w:val="24"/>
          <w:szCs w:val="24"/>
        </w:rPr>
        <w:t xml:space="preserve"> health of the older person which may </w:t>
      </w:r>
      <w:r w:rsidR="008E511E">
        <w:rPr>
          <w:rFonts w:ascii="Times New Roman" w:hAnsi="Times New Roman" w:cs="Times New Roman"/>
          <w:sz w:val="24"/>
          <w:szCs w:val="24"/>
        </w:rPr>
        <w:t>then l</w:t>
      </w:r>
      <w:r w:rsidRPr="0062419E">
        <w:rPr>
          <w:rFonts w:ascii="Times New Roman" w:hAnsi="Times New Roman" w:cs="Times New Roman"/>
          <w:sz w:val="24"/>
          <w:szCs w:val="24"/>
        </w:rPr>
        <w:t>ead to providing a greater level of care.</w:t>
      </w:r>
    </w:p>
    <w:p w:rsidR="003109CE" w:rsidRPr="003109CE" w:rsidRDefault="003109CE" w:rsidP="00880BBF">
      <w:pPr>
        <w:ind w:right="-46"/>
        <w:jc w:val="both"/>
        <w:rPr>
          <w:rFonts w:ascii="Times New Roman" w:hAnsi="Times New Roman" w:cs="Times New Roman"/>
          <w:b/>
          <w:sz w:val="24"/>
          <w:szCs w:val="24"/>
        </w:rPr>
      </w:pPr>
      <w:r w:rsidRPr="003109CE">
        <w:rPr>
          <w:rFonts w:ascii="Times New Roman" w:hAnsi="Times New Roman" w:cs="Times New Roman"/>
          <w:b/>
          <w:sz w:val="24"/>
          <w:szCs w:val="24"/>
        </w:rPr>
        <w:t>Conclusion</w:t>
      </w:r>
    </w:p>
    <w:p w:rsidR="002C0D2E" w:rsidRDefault="00C03B41" w:rsidP="00880BBF">
      <w:pPr>
        <w:ind w:right="-46"/>
        <w:jc w:val="both"/>
        <w:rPr>
          <w:rFonts w:ascii="Times New Roman" w:hAnsi="Times New Roman" w:cs="Times New Roman"/>
          <w:sz w:val="24"/>
          <w:szCs w:val="24"/>
        </w:rPr>
      </w:pPr>
      <w:r>
        <w:rPr>
          <w:rFonts w:ascii="Times New Roman" w:hAnsi="Times New Roman" w:cs="Times New Roman"/>
          <w:sz w:val="24"/>
          <w:szCs w:val="24"/>
        </w:rPr>
        <w:t>The harsh reality is that families do not confront vagaries and uncertainties within these agreements and failure to do so leads to conflicting expectations that surface after the event.</w:t>
      </w:r>
      <w:r w:rsidR="002C0D2E" w:rsidRPr="002C0D2E">
        <w:rPr>
          <w:rFonts w:ascii="Times New Roman" w:hAnsi="Times New Roman" w:cs="Times New Roman"/>
          <w:sz w:val="24"/>
          <w:szCs w:val="24"/>
        </w:rPr>
        <w:t xml:space="preserve"> </w:t>
      </w:r>
    </w:p>
    <w:p w:rsidR="00C03B41" w:rsidRDefault="002C0D2E" w:rsidP="00880BBF">
      <w:pPr>
        <w:ind w:right="-46"/>
        <w:jc w:val="both"/>
        <w:rPr>
          <w:rFonts w:ascii="Times New Roman" w:hAnsi="Times New Roman" w:cs="Times New Roman"/>
          <w:sz w:val="24"/>
          <w:szCs w:val="24"/>
        </w:rPr>
      </w:pPr>
      <w:r>
        <w:rPr>
          <w:rFonts w:ascii="Times New Roman" w:hAnsi="Times New Roman" w:cs="Times New Roman"/>
          <w:sz w:val="24"/>
          <w:szCs w:val="24"/>
        </w:rPr>
        <w:t>Having legislation enacted would create greater transparency, clarity and certainty of what is required in order to protect the interests of the parties and would go to such lengths as to reducing any ambiguity between the parties, as well as, raise our awareness of the significances of the failure of formal/informal agreements.</w:t>
      </w:r>
    </w:p>
    <w:p w:rsidR="0062419E" w:rsidRPr="00377FE1" w:rsidRDefault="0062419E">
      <w:pPr>
        <w:ind w:right="-46"/>
        <w:jc w:val="both"/>
        <w:rPr>
          <w:rFonts w:ascii="Times New Roman" w:hAnsi="Times New Roman" w:cs="Times New Roman"/>
          <w:sz w:val="24"/>
          <w:szCs w:val="24"/>
        </w:rPr>
      </w:pPr>
    </w:p>
    <w:sectPr w:rsidR="0062419E" w:rsidRPr="00377FE1" w:rsidSect="007E362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8B" w:rsidRDefault="006B438B" w:rsidP="00F763E0">
      <w:pPr>
        <w:spacing w:after="0" w:line="240" w:lineRule="auto"/>
      </w:pPr>
      <w:r>
        <w:separator/>
      </w:r>
    </w:p>
  </w:endnote>
  <w:endnote w:type="continuationSeparator" w:id="0">
    <w:p w:rsidR="006B438B" w:rsidRDefault="006B438B" w:rsidP="00F7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8B" w:rsidRDefault="006B438B" w:rsidP="00F763E0">
      <w:pPr>
        <w:spacing w:after="0" w:line="240" w:lineRule="auto"/>
      </w:pPr>
      <w:r>
        <w:separator/>
      </w:r>
    </w:p>
  </w:footnote>
  <w:footnote w:type="continuationSeparator" w:id="0">
    <w:p w:rsidR="006B438B" w:rsidRDefault="006B438B" w:rsidP="00F763E0">
      <w:pPr>
        <w:spacing w:after="0" w:line="240" w:lineRule="auto"/>
      </w:pPr>
      <w:r>
        <w:continuationSeparator/>
      </w:r>
    </w:p>
  </w:footnote>
  <w:footnote w:id="1">
    <w:p w:rsidR="00F763E0" w:rsidRPr="00F763E0" w:rsidRDefault="00F763E0">
      <w:pPr>
        <w:pStyle w:val="FootnoteText"/>
        <w:rPr>
          <w:rFonts w:ascii="Times New Roman" w:hAnsi="Times New Roman" w:cs="Times New Roman"/>
        </w:rPr>
      </w:pPr>
      <w:r>
        <w:rPr>
          <w:rStyle w:val="FootnoteReference"/>
        </w:rPr>
        <w:footnoteRef/>
      </w:r>
      <w:r>
        <w:t xml:space="preserve"> </w:t>
      </w:r>
      <w:proofErr w:type="spellStart"/>
      <w:proofErr w:type="gramStart"/>
      <w:r w:rsidRPr="00F763E0">
        <w:rPr>
          <w:rFonts w:ascii="Times New Roman" w:hAnsi="Times New Roman" w:cs="Times New Roman"/>
        </w:rPr>
        <w:t>Ruta</w:t>
      </w:r>
      <w:proofErr w:type="spellEnd"/>
      <w:r w:rsidRPr="00F763E0">
        <w:rPr>
          <w:rFonts w:ascii="Times New Roman" w:hAnsi="Times New Roman" w:cs="Times New Roman"/>
        </w:rPr>
        <w:t xml:space="preserve"> </w:t>
      </w:r>
      <w:proofErr w:type="spellStart"/>
      <w:r w:rsidRPr="00F763E0">
        <w:rPr>
          <w:rFonts w:ascii="Times New Roman" w:hAnsi="Times New Roman" w:cs="Times New Roman"/>
        </w:rPr>
        <w:t>Ona</w:t>
      </w:r>
      <w:proofErr w:type="spellEnd"/>
      <w:r w:rsidRPr="00F763E0">
        <w:rPr>
          <w:rFonts w:ascii="Times New Roman" w:hAnsi="Times New Roman" w:cs="Times New Roman"/>
        </w:rPr>
        <w:t xml:space="preserve"> </w:t>
      </w:r>
      <w:proofErr w:type="spellStart"/>
      <w:r w:rsidRPr="00F763E0">
        <w:rPr>
          <w:rFonts w:ascii="Times New Roman" w:hAnsi="Times New Roman" w:cs="Times New Roman"/>
        </w:rPr>
        <w:t>Schmutz</w:t>
      </w:r>
      <w:proofErr w:type="spellEnd"/>
      <w:r w:rsidRPr="00F763E0">
        <w:rPr>
          <w:rFonts w:ascii="Times New Roman" w:hAnsi="Times New Roman" w:cs="Times New Roman"/>
        </w:rPr>
        <w:t xml:space="preserve"> and Ricardo </w:t>
      </w:r>
      <w:proofErr w:type="spellStart"/>
      <w:r w:rsidRPr="00F763E0">
        <w:rPr>
          <w:rFonts w:ascii="Times New Roman" w:hAnsi="Times New Roman" w:cs="Times New Roman"/>
        </w:rPr>
        <w:t>Schmutz</w:t>
      </w:r>
      <w:proofErr w:type="spellEnd"/>
      <w:r w:rsidRPr="00F763E0">
        <w:rPr>
          <w:rFonts w:ascii="Times New Roman" w:hAnsi="Times New Roman" w:cs="Times New Roman"/>
        </w:rPr>
        <w:t xml:space="preserve"> v </w:t>
      </w:r>
      <w:proofErr w:type="spellStart"/>
      <w:r w:rsidRPr="00F763E0">
        <w:rPr>
          <w:rFonts w:ascii="Times New Roman" w:hAnsi="Times New Roman" w:cs="Times New Roman"/>
        </w:rPr>
        <w:t>Vytantas</w:t>
      </w:r>
      <w:proofErr w:type="spellEnd"/>
      <w:r w:rsidRPr="00F763E0">
        <w:rPr>
          <w:rFonts w:ascii="Times New Roman" w:hAnsi="Times New Roman" w:cs="Times New Roman"/>
        </w:rPr>
        <w:t xml:space="preserve"> Aras and Galina Aras [1996] NSWSC 340 (7 August 1996)</w:t>
      </w:r>
      <w:r>
        <w:rPr>
          <w:rFonts w:ascii="Times New Roman" w:hAnsi="Times New Roman" w:cs="Times New Roman"/>
        </w:rPr>
        <w:t>.</w:t>
      </w:r>
      <w:proofErr w:type="gramEnd"/>
    </w:p>
  </w:footnote>
  <w:footnote w:id="2">
    <w:p w:rsidR="00CF5AA7" w:rsidRPr="00CF5AA7" w:rsidRDefault="00CF5AA7">
      <w:pPr>
        <w:pStyle w:val="FootnoteText"/>
        <w:rPr>
          <w:rFonts w:ascii="Times New Roman" w:hAnsi="Times New Roman" w:cs="Times New Roman"/>
        </w:rPr>
      </w:pPr>
      <w:r>
        <w:rPr>
          <w:rStyle w:val="FootnoteReference"/>
        </w:rPr>
        <w:footnoteRef/>
      </w:r>
      <w:r>
        <w:t xml:space="preserve"> </w:t>
      </w:r>
      <w:proofErr w:type="gramStart"/>
      <w:r w:rsidRPr="00CF5AA7">
        <w:rPr>
          <w:rFonts w:ascii="Times New Roman" w:hAnsi="Times New Roman" w:cs="Times New Roman"/>
        </w:rPr>
        <w:t>The Parliament of the Commonwealth of Australia, Older People and the Law, House of Representatives, Standing Committee and Constitutional Affairs, September 200</w:t>
      </w:r>
      <w:r>
        <w:rPr>
          <w:rFonts w:ascii="Times New Roman" w:hAnsi="Times New Roman" w:cs="Times New Roman"/>
        </w:rPr>
        <w:t xml:space="preserve">7, Canberra, Chapter 4 page 138; Alzheimer’s Australia, </w:t>
      </w:r>
      <w:r w:rsidRPr="00CF5AA7">
        <w:rPr>
          <w:rFonts w:ascii="Times New Roman" w:hAnsi="Times New Roman" w:cs="Times New Roman"/>
          <w:u w:val="single"/>
        </w:rPr>
        <w:t>Submission</w:t>
      </w:r>
      <w:r>
        <w:rPr>
          <w:rFonts w:ascii="Times New Roman" w:hAnsi="Times New Roman" w:cs="Times New Roman"/>
        </w:rPr>
        <w:t xml:space="preserve"> No 55, p. 22 and 23.</w:t>
      </w:r>
      <w:proofErr w:type="gramEnd"/>
    </w:p>
  </w:footnote>
  <w:footnote w:id="3">
    <w:p w:rsidR="00730171" w:rsidRPr="00F24B23" w:rsidRDefault="00730171">
      <w:pPr>
        <w:pStyle w:val="FootnoteText"/>
        <w:rPr>
          <w:rFonts w:ascii="Times New Roman" w:hAnsi="Times New Roman" w:cs="Times New Roman"/>
        </w:rPr>
      </w:pPr>
      <w:r w:rsidRPr="00F24B23">
        <w:rPr>
          <w:rStyle w:val="FootnoteReference"/>
          <w:rFonts w:ascii="Times New Roman" w:hAnsi="Times New Roman" w:cs="Times New Roman"/>
        </w:rPr>
        <w:footnoteRef/>
      </w:r>
      <w:r w:rsidRPr="00F24B23">
        <w:rPr>
          <w:rFonts w:ascii="Times New Roman" w:hAnsi="Times New Roman" w:cs="Times New Roman"/>
        </w:rPr>
        <w:t xml:space="preserve"> </w:t>
      </w:r>
      <w:proofErr w:type="gramStart"/>
      <w:r w:rsidRPr="00F24B23">
        <w:rPr>
          <w:rFonts w:ascii="Times New Roman" w:hAnsi="Times New Roman" w:cs="Times New Roman"/>
        </w:rPr>
        <w:t xml:space="preserve">Ibid at 141; Alzheimer’s Australia, </w:t>
      </w:r>
      <w:r w:rsidRPr="00F24B23">
        <w:rPr>
          <w:rFonts w:ascii="Times New Roman" w:hAnsi="Times New Roman" w:cs="Times New Roman"/>
          <w:i/>
        </w:rPr>
        <w:t>Submission</w:t>
      </w:r>
      <w:r w:rsidRPr="00F24B23">
        <w:rPr>
          <w:rFonts w:ascii="Times New Roman" w:hAnsi="Times New Roman" w:cs="Times New Roman"/>
        </w:rPr>
        <w:t xml:space="preserve"> No 55, p 23.</w:t>
      </w:r>
      <w:proofErr w:type="gramEnd"/>
      <w:r w:rsidRPr="00F24B23">
        <w:rPr>
          <w:rFonts w:ascii="Times New Roman" w:hAnsi="Times New Roman" w:cs="Times New Roman"/>
        </w:rPr>
        <w:t xml:space="preserve">  The Aged Rights Advocacy Service Inc (ARAS) also identified a lack of documentary evidence as an issue: Ms Marilyn Crabtree, ARAS, Transcript of Evidence, 31 July 2007, p 21.</w:t>
      </w:r>
    </w:p>
  </w:footnote>
  <w:footnote w:id="4">
    <w:p w:rsidR="00F24B23" w:rsidRPr="00F24B23" w:rsidRDefault="00F24B23">
      <w:pPr>
        <w:pStyle w:val="FootnoteText"/>
        <w:rPr>
          <w:rFonts w:ascii="Times New Roman" w:hAnsi="Times New Roman" w:cs="Times New Roman"/>
        </w:rPr>
      </w:pPr>
      <w:r>
        <w:rPr>
          <w:rStyle w:val="FootnoteReference"/>
        </w:rPr>
        <w:footnoteRef/>
      </w:r>
      <w:r>
        <w:t xml:space="preserve"> </w:t>
      </w:r>
      <w:proofErr w:type="gramStart"/>
      <w:r w:rsidRPr="00F24B23">
        <w:rPr>
          <w:rFonts w:ascii="Times New Roman" w:hAnsi="Times New Roman" w:cs="Times New Roman"/>
        </w:rPr>
        <w:t>Ibid 141-142; Cares Queensland, Submission No. 81, p 6.</w:t>
      </w:r>
      <w:proofErr w:type="gramEnd"/>
    </w:p>
  </w:footnote>
  <w:footnote w:id="5">
    <w:p w:rsidR="00377FE1" w:rsidRDefault="00377FE1">
      <w:pPr>
        <w:pStyle w:val="FootnoteText"/>
      </w:pPr>
      <w:r>
        <w:rPr>
          <w:rStyle w:val="FootnoteReference"/>
        </w:rPr>
        <w:footnoteRef/>
      </w:r>
      <w:r>
        <w:t xml:space="preserve"> </w:t>
      </w:r>
      <w:r w:rsidRPr="00377FE1">
        <w:rPr>
          <w:rFonts w:ascii="Times New Roman" w:hAnsi="Times New Roman" w:cs="Times New Roman"/>
        </w:rPr>
        <w:t>Ibid 145; Victorian Government, Submission No. 121, pp 29-30.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1E" w:rsidRDefault="00C2311E">
    <w:pPr>
      <w:pStyle w:val="Header"/>
    </w:pPr>
    <w:r>
      <w:t xml:space="preserve">48. K </w:t>
    </w:r>
    <w:proofErr w:type="spellStart"/>
    <w:r>
      <w:t>Temmen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E433C"/>
    <w:rsid w:val="00082A6C"/>
    <w:rsid w:val="000B5DC1"/>
    <w:rsid w:val="001E5691"/>
    <w:rsid w:val="002005A7"/>
    <w:rsid w:val="00241165"/>
    <w:rsid w:val="002C0D2E"/>
    <w:rsid w:val="003109CE"/>
    <w:rsid w:val="00377FE1"/>
    <w:rsid w:val="004007CD"/>
    <w:rsid w:val="00467C67"/>
    <w:rsid w:val="00471925"/>
    <w:rsid w:val="004F6CD3"/>
    <w:rsid w:val="005159F7"/>
    <w:rsid w:val="0054728C"/>
    <w:rsid w:val="005571A5"/>
    <w:rsid w:val="0060034B"/>
    <w:rsid w:val="0062419E"/>
    <w:rsid w:val="006A4C0C"/>
    <w:rsid w:val="006B438B"/>
    <w:rsid w:val="006E32C5"/>
    <w:rsid w:val="00730171"/>
    <w:rsid w:val="007E362C"/>
    <w:rsid w:val="00880BBF"/>
    <w:rsid w:val="008D2C71"/>
    <w:rsid w:val="008E511E"/>
    <w:rsid w:val="009652AB"/>
    <w:rsid w:val="00987263"/>
    <w:rsid w:val="009D6137"/>
    <w:rsid w:val="009E6777"/>
    <w:rsid w:val="00A150C5"/>
    <w:rsid w:val="00B45450"/>
    <w:rsid w:val="00B554B7"/>
    <w:rsid w:val="00BC6FF2"/>
    <w:rsid w:val="00C03B41"/>
    <w:rsid w:val="00C2311E"/>
    <w:rsid w:val="00CE433C"/>
    <w:rsid w:val="00CF5AA7"/>
    <w:rsid w:val="00E0440E"/>
    <w:rsid w:val="00EB2EA9"/>
    <w:rsid w:val="00F24B23"/>
    <w:rsid w:val="00F763E0"/>
    <w:rsid w:val="00FD34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3E0"/>
    <w:rPr>
      <w:sz w:val="20"/>
      <w:szCs w:val="20"/>
    </w:rPr>
  </w:style>
  <w:style w:type="character" w:styleId="FootnoteReference">
    <w:name w:val="footnote reference"/>
    <w:basedOn w:val="DefaultParagraphFont"/>
    <w:uiPriority w:val="99"/>
    <w:semiHidden/>
    <w:unhideWhenUsed/>
    <w:rsid w:val="00F763E0"/>
    <w:rPr>
      <w:vertAlign w:val="superscript"/>
    </w:rPr>
  </w:style>
  <w:style w:type="paragraph" w:styleId="BalloonText">
    <w:name w:val="Balloon Text"/>
    <w:basedOn w:val="Normal"/>
    <w:link w:val="BalloonTextChar"/>
    <w:uiPriority w:val="99"/>
    <w:semiHidden/>
    <w:unhideWhenUsed/>
    <w:rsid w:val="0098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63"/>
    <w:rPr>
      <w:rFonts w:ascii="Tahoma" w:hAnsi="Tahoma" w:cs="Tahoma"/>
      <w:sz w:val="16"/>
      <w:szCs w:val="16"/>
    </w:rPr>
  </w:style>
  <w:style w:type="paragraph" w:styleId="Header">
    <w:name w:val="header"/>
    <w:basedOn w:val="Normal"/>
    <w:link w:val="HeaderChar"/>
    <w:uiPriority w:val="99"/>
    <w:semiHidden/>
    <w:unhideWhenUsed/>
    <w:rsid w:val="00C231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11E"/>
  </w:style>
  <w:style w:type="paragraph" w:styleId="Footer">
    <w:name w:val="footer"/>
    <w:basedOn w:val="Normal"/>
    <w:link w:val="FooterChar"/>
    <w:uiPriority w:val="99"/>
    <w:semiHidden/>
    <w:unhideWhenUsed/>
    <w:rsid w:val="00C231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3E0"/>
    <w:rPr>
      <w:sz w:val="20"/>
      <w:szCs w:val="20"/>
    </w:rPr>
  </w:style>
  <w:style w:type="character" w:styleId="FootnoteReference">
    <w:name w:val="footnote reference"/>
    <w:basedOn w:val="DefaultParagraphFont"/>
    <w:uiPriority w:val="99"/>
    <w:semiHidden/>
    <w:unhideWhenUsed/>
    <w:rsid w:val="00F763E0"/>
    <w:rPr>
      <w:vertAlign w:val="superscript"/>
    </w:rPr>
  </w:style>
  <w:style w:type="paragraph" w:styleId="BalloonText">
    <w:name w:val="Balloon Text"/>
    <w:basedOn w:val="Normal"/>
    <w:link w:val="BalloonTextChar"/>
    <w:uiPriority w:val="99"/>
    <w:semiHidden/>
    <w:unhideWhenUsed/>
    <w:rsid w:val="0098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8CFB-4215-4178-A97F-4D6DDC23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Temmen</dc:creator>
  <cp:lastModifiedBy>marie-claire.muir</cp:lastModifiedBy>
  <cp:revision>2</cp:revision>
  <cp:lastPrinted>2016-08-12T06:44:00Z</cp:lastPrinted>
  <dcterms:created xsi:type="dcterms:W3CDTF">2016-08-22T05:02:00Z</dcterms:created>
  <dcterms:modified xsi:type="dcterms:W3CDTF">2016-08-22T05:02:00Z</dcterms:modified>
</cp:coreProperties>
</file>