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B4" w:rsidRDefault="006D4238" w:rsidP="006D4238">
      <w:pPr>
        <w:ind w:left="-1800" w:right="-1800"/>
      </w:pPr>
      <w:r>
        <w:softHyphen/>
      </w:r>
      <w:r>
        <w:softHyphen/>
      </w:r>
    </w:p>
    <w:p w:rsidR="005538B4" w:rsidRDefault="005538B4" w:rsidP="00A55380">
      <w:pPr>
        <w:tabs>
          <w:tab w:val="left" w:pos="851"/>
        </w:tabs>
      </w:pPr>
    </w:p>
    <w:p w:rsidR="005538B4" w:rsidRDefault="005538B4" w:rsidP="00A55380">
      <w:pPr>
        <w:tabs>
          <w:tab w:val="left" w:pos="851"/>
        </w:tabs>
        <w:sectPr w:rsidR="005538B4" w:rsidSect="00654F3B">
          <w:headerReference w:type="default" r:id="rId8"/>
          <w:footerReference w:type="default" r:id="rId9"/>
          <w:pgSz w:w="11900" w:h="16840"/>
          <w:pgMar w:top="4798" w:right="0" w:bottom="0" w:left="0" w:header="0" w:footer="708" w:gutter="0"/>
          <w:cols w:space="708"/>
        </w:sectPr>
      </w:pPr>
    </w:p>
    <w:p w:rsidR="005538B4" w:rsidRDefault="005538B4" w:rsidP="00A55380">
      <w:pPr>
        <w:pStyle w:val="HeadingA"/>
        <w:tabs>
          <w:tab w:val="left" w:pos="851"/>
        </w:tabs>
        <w:spacing w:line="276" w:lineRule="auto"/>
        <w:rPr>
          <w:color w:val="2A4A70"/>
        </w:rPr>
      </w:pPr>
      <w:bookmarkStart w:id="0" w:name="_Toc334625893"/>
      <w:bookmarkStart w:id="1" w:name="_Toc334712366"/>
    </w:p>
    <w:p w:rsidR="005538B4" w:rsidRDefault="005538B4" w:rsidP="00A55380">
      <w:pPr>
        <w:pStyle w:val="HeadingA"/>
        <w:tabs>
          <w:tab w:val="left" w:pos="851"/>
        </w:tabs>
        <w:spacing w:line="276" w:lineRule="auto"/>
        <w:rPr>
          <w:color w:val="2A4A70"/>
        </w:rPr>
      </w:pPr>
    </w:p>
    <w:p w:rsidR="005538B4" w:rsidRDefault="005538B4" w:rsidP="00A55380">
      <w:pPr>
        <w:pStyle w:val="HeadingA"/>
        <w:tabs>
          <w:tab w:val="left" w:pos="851"/>
        </w:tabs>
        <w:spacing w:line="276" w:lineRule="auto"/>
        <w:rPr>
          <w:color w:val="2A4A70"/>
        </w:rPr>
      </w:pPr>
    </w:p>
    <w:p w:rsidR="005538B4" w:rsidRDefault="00607FAD" w:rsidP="00A55380">
      <w:pPr>
        <w:pStyle w:val="HeadingA"/>
        <w:tabs>
          <w:tab w:val="left" w:pos="851"/>
        </w:tabs>
        <w:spacing w:line="276" w:lineRule="auto"/>
        <w:rPr>
          <w:color w:val="2A4A70"/>
        </w:rPr>
      </w:pPr>
      <w:r>
        <w:rPr>
          <w:color w:val="2A4A70"/>
        </w:rPr>
        <w:t xml:space="preserve"> </w:t>
      </w:r>
    </w:p>
    <w:p w:rsidR="005538B4" w:rsidRDefault="005538B4" w:rsidP="00A55380">
      <w:pPr>
        <w:pStyle w:val="HeadingA"/>
        <w:tabs>
          <w:tab w:val="left" w:pos="851"/>
        </w:tabs>
        <w:spacing w:line="276" w:lineRule="auto"/>
        <w:rPr>
          <w:color w:val="2A4A70"/>
        </w:rPr>
      </w:pPr>
    </w:p>
    <w:p w:rsidR="005538B4" w:rsidRDefault="005538B4" w:rsidP="00A55380">
      <w:pPr>
        <w:pStyle w:val="HeadingA"/>
        <w:tabs>
          <w:tab w:val="left" w:pos="851"/>
        </w:tabs>
        <w:spacing w:line="276" w:lineRule="auto"/>
        <w:rPr>
          <w:color w:val="2A4A70"/>
        </w:rPr>
      </w:pPr>
    </w:p>
    <w:p w:rsidR="005538B4" w:rsidRDefault="005538B4" w:rsidP="00A55380">
      <w:pPr>
        <w:pStyle w:val="HeadingA"/>
        <w:tabs>
          <w:tab w:val="left" w:pos="851"/>
        </w:tabs>
        <w:spacing w:line="276" w:lineRule="auto"/>
        <w:rPr>
          <w:color w:val="2A4A70"/>
        </w:rPr>
      </w:pPr>
    </w:p>
    <w:p w:rsidR="005538B4" w:rsidRDefault="005538B4" w:rsidP="00A55380">
      <w:pPr>
        <w:pStyle w:val="HeadingA"/>
        <w:tabs>
          <w:tab w:val="left" w:pos="851"/>
        </w:tabs>
        <w:spacing w:line="276" w:lineRule="auto"/>
        <w:rPr>
          <w:color w:val="2A4A70"/>
        </w:rPr>
      </w:pPr>
    </w:p>
    <w:p w:rsidR="005538B4" w:rsidRPr="00D76A4E" w:rsidRDefault="00E83E8E" w:rsidP="00A55380">
      <w:pPr>
        <w:pStyle w:val="Heading1"/>
        <w:tabs>
          <w:tab w:val="left" w:pos="851"/>
        </w:tabs>
        <w:rPr>
          <w:b w:val="0"/>
          <w:sz w:val="20"/>
          <w:szCs w:val="20"/>
        </w:rPr>
      </w:pPr>
      <w:bookmarkStart w:id="2" w:name="_Toc364241594"/>
      <w:bookmarkEnd w:id="0"/>
      <w:bookmarkEnd w:id="1"/>
      <w:r w:rsidRPr="004205A0">
        <w:t xml:space="preserve"> </w:t>
      </w:r>
      <w:bookmarkEnd w:id="2"/>
    </w:p>
    <w:p w:rsidR="00B455D6" w:rsidRPr="003B3ABB" w:rsidRDefault="00B455D6" w:rsidP="00A55380">
      <w:pPr>
        <w:pStyle w:val="Title"/>
        <w:tabs>
          <w:tab w:val="left" w:pos="426"/>
        </w:tabs>
        <w:ind w:left="426" w:right="502"/>
      </w:pPr>
      <w:r w:rsidRPr="003B3ABB">
        <w:t>Hobsons Bay City Council Submission</w:t>
      </w:r>
      <w:r w:rsidR="003B3ABB" w:rsidRPr="003B3ABB">
        <w:t xml:space="preserve"> to </w:t>
      </w:r>
      <w:r w:rsidR="004915C4">
        <w:t>Equality, Capacity and Disability in Commonwealth Law – Issues Paper</w:t>
      </w:r>
    </w:p>
    <w:p w:rsidR="00CB556E" w:rsidRDefault="004915C4" w:rsidP="00A55380">
      <w:pPr>
        <w:tabs>
          <w:tab w:val="left" w:pos="426"/>
        </w:tabs>
        <w:ind w:left="426" w:right="502"/>
        <w:rPr>
          <w:rStyle w:val="BookTitle"/>
          <w:b/>
          <w:color w:val="17365D"/>
        </w:rPr>
      </w:pPr>
      <w:r>
        <w:rPr>
          <w:rStyle w:val="BookTitle"/>
          <w:b/>
          <w:color w:val="17365D"/>
        </w:rPr>
        <w:t>January 2014</w:t>
      </w:r>
    </w:p>
    <w:p w:rsidR="002133C4" w:rsidRDefault="002133C4" w:rsidP="00B455D6">
      <w:pPr>
        <w:rPr>
          <w:rStyle w:val="BookTitle"/>
          <w:b/>
          <w:color w:val="17365D"/>
        </w:rPr>
      </w:pPr>
    </w:p>
    <w:p w:rsidR="002133C4" w:rsidRDefault="002133C4" w:rsidP="00B455D6">
      <w:pPr>
        <w:rPr>
          <w:rStyle w:val="BookTitle"/>
          <w:b/>
          <w:color w:val="17365D"/>
        </w:rPr>
        <w:sectPr w:rsidR="002133C4" w:rsidSect="00654F3B">
          <w:headerReference w:type="even" r:id="rId10"/>
          <w:headerReference w:type="default" r:id="rId11"/>
          <w:footerReference w:type="default" r:id="rId12"/>
          <w:headerReference w:type="first" r:id="rId13"/>
          <w:type w:val="continuous"/>
          <w:pgSz w:w="11900" w:h="16840"/>
          <w:pgMar w:top="4798" w:right="454" w:bottom="0" w:left="454" w:header="0" w:footer="1117" w:gutter="0"/>
          <w:cols w:space="708"/>
        </w:sectPr>
      </w:pPr>
    </w:p>
    <w:p w:rsidR="009F1528" w:rsidRDefault="009F1528" w:rsidP="00762243">
      <w:pPr>
        <w:jc w:val="both"/>
        <w:rPr>
          <w:rFonts w:eastAsiaTheme="minorHAnsi" w:cs="Arial"/>
          <w:b w:val="0"/>
          <w:color w:val="auto"/>
          <w:sz w:val="22"/>
          <w:szCs w:val="22"/>
          <w:lang w:val="en-AU"/>
        </w:rPr>
      </w:pPr>
    </w:p>
    <w:p w:rsidR="009F1528" w:rsidRPr="00706774" w:rsidRDefault="009F1528" w:rsidP="009F1528">
      <w:pPr>
        <w:tabs>
          <w:tab w:val="left" w:pos="709"/>
        </w:tabs>
        <w:spacing w:after="200" w:line="276" w:lineRule="auto"/>
        <w:jc w:val="both"/>
        <w:rPr>
          <w:color w:val="76923C" w:themeColor="accent3" w:themeShade="BF"/>
          <w:sz w:val="24"/>
          <w:szCs w:val="22"/>
        </w:rPr>
      </w:pPr>
      <w:r>
        <w:rPr>
          <w:color w:val="76923C" w:themeColor="accent3" w:themeShade="BF"/>
          <w:sz w:val="24"/>
          <w:szCs w:val="22"/>
        </w:rPr>
        <w:t>Introduction</w:t>
      </w:r>
    </w:p>
    <w:p w:rsidR="009F1528" w:rsidRDefault="009F1528" w:rsidP="00762243">
      <w:pPr>
        <w:jc w:val="both"/>
        <w:rPr>
          <w:rFonts w:eastAsiaTheme="minorHAnsi" w:cs="Arial"/>
          <w:b w:val="0"/>
          <w:color w:val="auto"/>
          <w:sz w:val="22"/>
          <w:szCs w:val="22"/>
          <w:lang w:val="en-AU"/>
        </w:rPr>
      </w:pPr>
    </w:p>
    <w:p w:rsidR="00F85719" w:rsidRPr="00F85719" w:rsidRDefault="00F85719" w:rsidP="00762243">
      <w:pPr>
        <w:jc w:val="both"/>
        <w:rPr>
          <w:rFonts w:eastAsiaTheme="minorHAnsi" w:cs="Arial"/>
          <w:b w:val="0"/>
          <w:color w:val="auto"/>
          <w:sz w:val="22"/>
          <w:szCs w:val="22"/>
          <w:lang w:val="en-AU"/>
        </w:rPr>
      </w:pPr>
      <w:r w:rsidRPr="005B2098">
        <w:rPr>
          <w:rFonts w:eastAsiaTheme="minorHAnsi" w:cs="Arial"/>
          <w:b w:val="0"/>
          <w:color w:val="auto"/>
          <w:sz w:val="22"/>
          <w:szCs w:val="22"/>
          <w:lang w:val="en-AU"/>
        </w:rPr>
        <w:t xml:space="preserve">Hobsons Bay City Council (the Council) is pleased to see that the </w:t>
      </w:r>
      <w:r w:rsidRPr="00F85719">
        <w:rPr>
          <w:rFonts w:eastAsiaTheme="minorHAnsi" w:cs="Arial"/>
          <w:b w:val="0"/>
          <w:color w:val="auto"/>
          <w:sz w:val="22"/>
          <w:szCs w:val="22"/>
          <w:lang w:val="en-AU"/>
        </w:rPr>
        <w:t xml:space="preserve">Australian Law Reform Commission is reviewing Commonwealth laws and legal frameworks </w:t>
      </w:r>
      <w:r w:rsidR="00F00A15">
        <w:rPr>
          <w:rFonts w:eastAsiaTheme="minorHAnsi" w:cs="Arial"/>
          <w:b w:val="0"/>
          <w:color w:val="auto"/>
          <w:sz w:val="22"/>
          <w:szCs w:val="22"/>
          <w:lang w:val="en-AU"/>
        </w:rPr>
        <w:t xml:space="preserve">that </w:t>
      </w:r>
      <w:r w:rsidR="000A0341">
        <w:rPr>
          <w:rFonts w:eastAsiaTheme="minorHAnsi" w:cs="Arial"/>
          <w:b w:val="0"/>
          <w:color w:val="auto"/>
          <w:sz w:val="22"/>
          <w:szCs w:val="22"/>
          <w:lang w:val="en-AU"/>
        </w:rPr>
        <w:t>either</w:t>
      </w:r>
      <w:r w:rsidR="00F00A15">
        <w:rPr>
          <w:rFonts w:eastAsiaTheme="minorHAnsi" w:cs="Arial"/>
          <w:b w:val="0"/>
          <w:color w:val="auto"/>
          <w:sz w:val="22"/>
          <w:szCs w:val="22"/>
          <w:lang w:val="en-AU"/>
        </w:rPr>
        <w:t xml:space="preserve"> directly or indirectly impact on the recognition of people with disability before the law.</w:t>
      </w:r>
      <w:r w:rsidR="000A0341">
        <w:rPr>
          <w:rFonts w:eastAsiaTheme="minorHAnsi" w:cs="Arial"/>
          <w:b w:val="0"/>
          <w:color w:val="auto"/>
          <w:sz w:val="22"/>
          <w:szCs w:val="22"/>
          <w:lang w:val="en-AU"/>
        </w:rPr>
        <w:t xml:space="preserve">  This is a great step in ensuring </w:t>
      </w:r>
      <w:r w:rsidR="00B37CD6">
        <w:rPr>
          <w:rFonts w:eastAsiaTheme="minorHAnsi" w:cs="Arial"/>
          <w:b w:val="0"/>
          <w:color w:val="auto"/>
          <w:sz w:val="22"/>
          <w:szCs w:val="22"/>
          <w:lang w:val="en-AU"/>
        </w:rPr>
        <w:t xml:space="preserve">that </w:t>
      </w:r>
      <w:r w:rsidR="000A0341">
        <w:rPr>
          <w:rFonts w:eastAsiaTheme="minorHAnsi" w:cs="Arial"/>
          <w:b w:val="0"/>
          <w:color w:val="auto"/>
          <w:sz w:val="22"/>
          <w:szCs w:val="22"/>
          <w:lang w:val="en-AU"/>
        </w:rPr>
        <w:t>the rights of persons with disabilities are adhered to.</w:t>
      </w:r>
    </w:p>
    <w:p w:rsidR="00F85719" w:rsidRPr="00F85719" w:rsidRDefault="00F85719" w:rsidP="00F85719">
      <w:pPr>
        <w:rPr>
          <w:rFonts w:eastAsiaTheme="minorHAnsi" w:cs="Arial"/>
          <w:b w:val="0"/>
          <w:color w:val="auto"/>
          <w:sz w:val="22"/>
          <w:szCs w:val="22"/>
          <w:lang w:val="en-AU"/>
        </w:rPr>
      </w:pPr>
    </w:p>
    <w:p w:rsidR="000A0341" w:rsidRPr="00706774" w:rsidRDefault="000A0341" w:rsidP="00F85719">
      <w:pPr>
        <w:tabs>
          <w:tab w:val="left" w:pos="709"/>
        </w:tabs>
        <w:spacing w:after="200" w:line="276" w:lineRule="auto"/>
        <w:jc w:val="both"/>
        <w:rPr>
          <w:color w:val="76923C" w:themeColor="accent3" w:themeShade="BF"/>
          <w:sz w:val="24"/>
          <w:szCs w:val="22"/>
        </w:rPr>
      </w:pPr>
      <w:r w:rsidRPr="00706774">
        <w:rPr>
          <w:color w:val="76923C" w:themeColor="accent3" w:themeShade="BF"/>
          <w:sz w:val="24"/>
          <w:szCs w:val="22"/>
        </w:rPr>
        <w:t>People with disability in Hobsons Bay</w:t>
      </w:r>
    </w:p>
    <w:p w:rsidR="00F85719" w:rsidRPr="00496EB1" w:rsidRDefault="00F85719" w:rsidP="00F85719">
      <w:pPr>
        <w:tabs>
          <w:tab w:val="left" w:pos="709"/>
        </w:tabs>
        <w:spacing w:after="200" w:line="276" w:lineRule="auto"/>
        <w:jc w:val="both"/>
        <w:rPr>
          <w:b w:val="0"/>
          <w:color w:val="auto"/>
          <w:sz w:val="22"/>
          <w:szCs w:val="22"/>
        </w:rPr>
      </w:pPr>
      <w:r w:rsidRPr="00496EB1">
        <w:rPr>
          <w:b w:val="0"/>
          <w:color w:val="auto"/>
          <w:sz w:val="22"/>
          <w:szCs w:val="22"/>
        </w:rPr>
        <w:t xml:space="preserve">Hobsons Bay City Council is situated approximately seven to 20 kilometres south west of the Central Business District (CBD), </w:t>
      </w:r>
      <w:r w:rsidRPr="00496EB1">
        <w:rPr>
          <w:rFonts w:cs="Arial"/>
          <w:b w:val="0"/>
          <w:color w:val="auto"/>
          <w:sz w:val="22"/>
          <w:szCs w:val="22"/>
        </w:rPr>
        <w:t>covering an area of 66 square kilometres. The municipality has a population of 87 360 people which is forecast to increase by 17</w:t>
      </w:r>
      <w:r>
        <w:rPr>
          <w:rFonts w:cs="Arial"/>
          <w:b w:val="0"/>
          <w:color w:val="auto"/>
          <w:sz w:val="22"/>
          <w:szCs w:val="22"/>
        </w:rPr>
        <w:t xml:space="preserve"> per cent</w:t>
      </w:r>
      <w:r w:rsidRPr="00496EB1">
        <w:rPr>
          <w:rFonts w:cs="Arial"/>
          <w:b w:val="0"/>
          <w:color w:val="auto"/>
          <w:sz w:val="22"/>
          <w:szCs w:val="22"/>
        </w:rPr>
        <w:t xml:space="preserve"> (14 864) by 2031. </w:t>
      </w:r>
    </w:p>
    <w:p w:rsidR="00F85719" w:rsidRDefault="00DE6697" w:rsidP="00F85719">
      <w:pPr>
        <w:spacing w:after="200" w:line="276" w:lineRule="auto"/>
        <w:jc w:val="both"/>
        <w:rPr>
          <w:rFonts w:eastAsiaTheme="minorHAnsi" w:cs="Arial"/>
          <w:b w:val="0"/>
          <w:color w:val="auto"/>
          <w:sz w:val="22"/>
          <w:szCs w:val="22"/>
          <w:lang w:val="en-AU"/>
        </w:rPr>
      </w:pPr>
      <w:r>
        <w:rPr>
          <w:rFonts w:eastAsiaTheme="minorHAnsi" w:cs="Arial"/>
          <w:b w:val="0"/>
          <w:color w:val="auto"/>
          <w:sz w:val="22"/>
          <w:szCs w:val="22"/>
          <w:lang w:val="en-AU"/>
        </w:rPr>
        <w:t>Peopl</w:t>
      </w:r>
      <w:r w:rsidR="00CB556E">
        <w:rPr>
          <w:rFonts w:eastAsiaTheme="minorHAnsi" w:cs="Arial"/>
          <w:b w:val="0"/>
          <w:color w:val="auto"/>
          <w:sz w:val="22"/>
          <w:szCs w:val="22"/>
          <w:lang w:val="en-AU"/>
        </w:rPr>
        <w:t xml:space="preserve">e with </w:t>
      </w:r>
      <w:r w:rsidR="00A45BDB">
        <w:rPr>
          <w:rFonts w:eastAsiaTheme="minorHAnsi" w:cs="Arial"/>
          <w:b w:val="0"/>
          <w:color w:val="auto"/>
          <w:sz w:val="22"/>
          <w:szCs w:val="22"/>
          <w:lang w:val="en-AU"/>
        </w:rPr>
        <w:t xml:space="preserve">a </w:t>
      </w:r>
      <w:r w:rsidR="00CB556E">
        <w:rPr>
          <w:rFonts w:eastAsiaTheme="minorHAnsi" w:cs="Arial"/>
          <w:b w:val="0"/>
          <w:color w:val="auto"/>
          <w:sz w:val="22"/>
          <w:szCs w:val="22"/>
          <w:lang w:val="en-AU"/>
        </w:rPr>
        <w:t xml:space="preserve">disability </w:t>
      </w:r>
      <w:r w:rsidR="00F85719" w:rsidRPr="004C4D0D">
        <w:rPr>
          <w:rFonts w:eastAsiaTheme="minorHAnsi" w:cs="Arial"/>
          <w:b w:val="0"/>
          <w:color w:val="auto"/>
          <w:sz w:val="22"/>
          <w:szCs w:val="22"/>
          <w:lang w:val="en-AU"/>
        </w:rPr>
        <w:t xml:space="preserve">make up approximately </w:t>
      </w:r>
      <w:r w:rsidR="00F85719">
        <w:rPr>
          <w:rFonts w:eastAsiaTheme="minorHAnsi" w:cs="Arial"/>
          <w:b w:val="0"/>
          <w:color w:val="auto"/>
          <w:sz w:val="22"/>
          <w:szCs w:val="22"/>
          <w:lang w:val="en-AU"/>
        </w:rPr>
        <w:t>17</w:t>
      </w:r>
      <w:r w:rsidR="00F85719" w:rsidRPr="004C4D0D">
        <w:rPr>
          <w:rFonts w:eastAsiaTheme="minorHAnsi" w:cs="Arial"/>
          <w:b w:val="0"/>
          <w:color w:val="auto"/>
          <w:sz w:val="22"/>
          <w:szCs w:val="22"/>
          <w:lang w:val="en-AU"/>
        </w:rPr>
        <w:t xml:space="preserve"> per cent of the Hobsons Bay population.  </w:t>
      </w:r>
      <w:r w:rsidR="00A45BDB">
        <w:rPr>
          <w:rFonts w:eastAsiaTheme="minorHAnsi" w:cs="Arial"/>
          <w:b w:val="0"/>
          <w:color w:val="auto"/>
          <w:sz w:val="22"/>
          <w:szCs w:val="22"/>
          <w:lang w:val="en-AU"/>
        </w:rPr>
        <w:t>Disability is a key priority for the Council, as noted in the Councils directional plans</w:t>
      </w:r>
      <w:r w:rsidR="00A55380">
        <w:rPr>
          <w:rFonts w:eastAsiaTheme="minorHAnsi" w:cs="Arial"/>
          <w:b w:val="0"/>
          <w:color w:val="auto"/>
          <w:sz w:val="22"/>
          <w:szCs w:val="22"/>
          <w:lang w:val="en-AU"/>
        </w:rPr>
        <w:t xml:space="preserve">, the </w:t>
      </w:r>
      <w:r w:rsidR="00A45BDB">
        <w:rPr>
          <w:rFonts w:eastAsiaTheme="minorHAnsi" w:cs="Arial"/>
          <w:b w:val="0"/>
          <w:color w:val="auto"/>
          <w:sz w:val="22"/>
          <w:szCs w:val="22"/>
          <w:lang w:val="en-AU"/>
        </w:rPr>
        <w:t xml:space="preserve">Community Health and Wellbeing Plan 2013-2017 and the Council Plan 2013-2017.  </w:t>
      </w:r>
    </w:p>
    <w:p w:rsidR="0041718A" w:rsidRDefault="00F85719" w:rsidP="00F85719">
      <w:pPr>
        <w:spacing w:after="200" w:line="276" w:lineRule="auto"/>
        <w:jc w:val="both"/>
        <w:rPr>
          <w:rFonts w:asciiTheme="majorHAnsi" w:hAnsiTheme="majorHAnsi" w:cstheme="majorHAnsi"/>
        </w:rPr>
      </w:pPr>
      <w:r w:rsidRPr="00DF23C4">
        <w:rPr>
          <w:rFonts w:eastAsiaTheme="minorHAnsi" w:cs="Arial"/>
          <w:b w:val="0"/>
          <w:color w:val="auto"/>
          <w:sz w:val="22"/>
          <w:szCs w:val="22"/>
          <w:lang w:val="en-AU"/>
        </w:rPr>
        <w:t xml:space="preserve">The </w:t>
      </w:r>
      <w:r w:rsidR="00CB0781" w:rsidRPr="00DF23C4">
        <w:rPr>
          <w:rFonts w:eastAsiaTheme="minorHAnsi" w:cs="Arial"/>
          <w:b w:val="0"/>
          <w:color w:val="auto"/>
          <w:sz w:val="22"/>
          <w:szCs w:val="22"/>
          <w:lang w:val="en-AU"/>
        </w:rPr>
        <w:t>Council</w:t>
      </w:r>
      <w:r w:rsidR="00CB0781">
        <w:rPr>
          <w:rFonts w:eastAsiaTheme="minorHAnsi" w:cs="Arial"/>
          <w:b w:val="0"/>
          <w:color w:val="auto"/>
          <w:sz w:val="22"/>
          <w:szCs w:val="22"/>
          <w:lang w:val="en-AU"/>
        </w:rPr>
        <w:t>’s commitment</w:t>
      </w:r>
      <w:r w:rsidR="0041718A">
        <w:rPr>
          <w:rFonts w:eastAsiaTheme="minorHAnsi" w:cs="Arial"/>
          <w:b w:val="0"/>
          <w:color w:val="auto"/>
          <w:sz w:val="22"/>
          <w:szCs w:val="22"/>
          <w:lang w:val="en-AU"/>
        </w:rPr>
        <w:t xml:space="preserve"> is </w:t>
      </w:r>
      <w:r w:rsidR="00A55380">
        <w:rPr>
          <w:rFonts w:eastAsiaTheme="minorHAnsi" w:cs="Arial"/>
          <w:b w:val="0"/>
          <w:color w:val="auto"/>
          <w:sz w:val="22"/>
          <w:szCs w:val="22"/>
          <w:lang w:val="en-AU"/>
        </w:rPr>
        <w:t xml:space="preserve">further </w:t>
      </w:r>
      <w:r w:rsidR="0041718A">
        <w:rPr>
          <w:rFonts w:eastAsiaTheme="minorHAnsi" w:cs="Arial"/>
          <w:b w:val="0"/>
          <w:color w:val="auto"/>
          <w:sz w:val="22"/>
          <w:szCs w:val="22"/>
          <w:lang w:val="en-AU"/>
        </w:rPr>
        <w:t xml:space="preserve">confirmed </w:t>
      </w:r>
      <w:r w:rsidR="00A55380">
        <w:rPr>
          <w:rFonts w:eastAsiaTheme="minorHAnsi" w:cs="Arial"/>
          <w:b w:val="0"/>
          <w:color w:val="auto"/>
          <w:sz w:val="22"/>
          <w:szCs w:val="22"/>
          <w:lang w:val="en-AU"/>
        </w:rPr>
        <w:t>with</w:t>
      </w:r>
      <w:r w:rsidR="00A45BDB">
        <w:rPr>
          <w:rFonts w:eastAsiaTheme="minorHAnsi" w:cs="Arial"/>
          <w:b w:val="0"/>
          <w:color w:val="auto"/>
          <w:sz w:val="22"/>
          <w:szCs w:val="22"/>
          <w:lang w:val="en-AU"/>
        </w:rPr>
        <w:t xml:space="preserve"> the development and implementation of the </w:t>
      </w:r>
      <w:r w:rsidR="00DE6697">
        <w:rPr>
          <w:rFonts w:eastAsiaTheme="minorHAnsi" w:cs="Arial"/>
          <w:b w:val="0"/>
          <w:color w:val="auto"/>
          <w:sz w:val="22"/>
          <w:szCs w:val="22"/>
          <w:lang w:val="en-AU"/>
        </w:rPr>
        <w:t xml:space="preserve">Disability Access and </w:t>
      </w:r>
      <w:r w:rsidR="00A45BDB">
        <w:rPr>
          <w:rFonts w:eastAsiaTheme="minorHAnsi" w:cs="Arial"/>
          <w:b w:val="0"/>
          <w:color w:val="auto"/>
          <w:sz w:val="22"/>
          <w:szCs w:val="22"/>
          <w:lang w:val="en-AU"/>
        </w:rPr>
        <w:t>Inclusion</w:t>
      </w:r>
      <w:r w:rsidR="00DE6697">
        <w:rPr>
          <w:rFonts w:eastAsiaTheme="minorHAnsi" w:cs="Arial"/>
          <w:b w:val="0"/>
          <w:color w:val="auto"/>
          <w:sz w:val="22"/>
          <w:szCs w:val="22"/>
          <w:lang w:val="en-AU"/>
        </w:rPr>
        <w:t xml:space="preserve"> Strategy</w:t>
      </w:r>
      <w:r w:rsidR="0041718A">
        <w:rPr>
          <w:rFonts w:eastAsiaTheme="minorHAnsi" w:cs="Arial"/>
          <w:b w:val="0"/>
          <w:color w:val="auto"/>
          <w:sz w:val="22"/>
          <w:szCs w:val="22"/>
          <w:lang w:val="en-AU"/>
        </w:rPr>
        <w:t xml:space="preserve"> 2013 – 2017, which </w:t>
      </w:r>
      <w:r w:rsidR="00A45BDB">
        <w:rPr>
          <w:rFonts w:eastAsiaTheme="minorHAnsi" w:cs="Arial"/>
          <w:b w:val="0"/>
          <w:color w:val="auto"/>
          <w:sz w:val="22"/>
          <w:szCs w:val="22"/>
          <w:lang w:val="en-AU"/>
        </w:rPr>
        <w:t>work</w:t>
      </w:r>
      <w:r w:rsidR="00A55380">
        <w:rPr>
          <w:rFonts w:eastAsiaTheme="minorHAnsi" w:cs="Arial"/>
          <w:b w:val="0"/>
          <w:color w:val="auto"/>
          <w:sz w:val="22"/>
          <w:szCs w:val="22"/>
          <w:lang w:val="en-AU"/>
        </w:rPr>
        <w:t>s</w:t>
      </w:r>
      <w:r w:rsidR="00A45BDB">
        <w:rPr>
          <w:rFonts w:eastAsiaTheme="minorHAnsi" w:cs="Arial"/>
          <w:b w:val="0"/>
          <w:color w:val="auto"/>
          <w:sz w:val="22"/>
          <w:szCs w:val="22"/>
          <w:lang w:val="en-AU"/>
        </w:rPr>
        <w:t xml:space="preserve"> towards achieving a fully accessible and inclusive municipality where all residents, regardless of their ability</w:t>
      </w:r>
      <w:r w:rsidR="00A55380">
        <w:rPr>
          <w:rFonts w:eastAsiaTheme="minorHAnsi" w:cs="Arial"/>
          <w:b w:val="0"/>
          <w:color w:val="auto"/>
          <w:sz w:val="22"/>
          <w:szCs w:val="22"/>
          <w:lang w:val="en-AU"/>
        </w:rPr>
        <w:t>,</w:t>
      </w:r>
      <w:r w:rsidR="00A45BDB">
        <w:rPr>
          <w:rFonts w:eastAsiaTheme="minorHAnsi" w:cs="Arial"/>
          <w:b w:val="0"/>
          <w:color w:val="auto"/>
          <w:sz w:val="22"/>
          <w:szCs w:val="22"/>
          <w:lang w:val="en-AU"/>
        </w:rPr>
        <w:t xml:space="preserve"> can reach their full potential and lead fulfilling lives.</w:t>
      </w:r>
      <w:r w:rsidR="0041718A" w:rsidRPr="00B15136">
        <w:rPr>
          <w:rFonts w:asciiTheme="majorHAnsi" w:hAnsiTheme="majorHAnsi" w:cstheme="majorHAnsi"/>
        </w:rPr>
        <w:t xml:space="preserve">  </w:t>
      </w:r>
    </w:p>
    <w:p w:rsidR="00F85719" w:rsidRDefault="00CB0781" w:rsidP="00F85719">
      <w:pPr>
        <w:spacing w:after="200" w:line="276" w:lineRule="auto"/>
        <w:jc w:val="both"/>
        <w:rPr>
          <w:rFonts w:eastAsiaTheme="minorHAnsi" w:cs="Arial"/>
          <w:b w:val="0"/>
          <w:color w:val="auto"/>
          <w:sz w:val="22"/>
          <w:szCs w:val="22"/>
          <w:lang w:val="en-AU"/>
        </w:rPr>
      </w:pPr>
      <w:r w:rsidRPr="004C4D0D">
        <w:rPr>
          <w:rFonts w:eastAsiaTheme="minorHAnsi" w:cs="Arial"/>
          <w:b w:val="0"/>
          <w:color w:val="auto"/>
          <w:sz w:val="22"/>
          <w:szCs w:val="22"/>
          <w:lang w:val="en-AU"/>
        </w:rPr>
        <w:t xml:space="preserve">The </w:t>
      </w:r>
      <w:r w:rsidR="000F3FAE">
        <w:rPr>
          <w:rFonts w:eastAsiaTheme="minorHAnsi" w:cs="Arial"/>
          <w:b w:val="0"/>
          <w:color w:val="auto"/>
          <w:sz w:val="22"/>
          <w:szCs w:val="22"/>
          <w:lang w:val="en-AU"/>
        </w:rPr>
        <w:t xml:space="preserve">Disability </w:t>
      </w:r>
      <w:r w:rsidR="006F3536">
        <w:rPr>
          <w:rFonts w:eastAsiaTheme="minorHAnsi" w:cs="Arial"/>
          <w:b w:val="0"/>
          <w:color w:val="auto"/>
          <w:sz w:val="22"/>
          <w:szCs w:val="22"/>
          <w:lang w:val="en-AU"/>
        </w:rPr>
        <w:t>Access and Inclusion Strategy 2013 – 2017</w:t>
      </w:r>
      <w:r w:rsidR="00A55380">
        <w:rPr>
          <w:rFonts w:eastAsiaTheme="minorHAnsi" w:cs="Arial"/>
          <w:b w:val="0"/>
          <w:color w:val="auto"/>
          <w:sz w:val="22"/>
          <w:szCs w:val="22"/>
          <w:lang w:val="en-AU"/>
        </w:rPr>
        <w:t xml:space="preserve"> (DAIS)</w:t>
      </w:r>
      <w:r w:rsidR="006F3536">
        <w:rPr>
          <w:rFonts w:eastAsiaTheme="minorHAnsi" w:cs="Arial"/>
          <w:b w:val="0"/>
          <w:color w:val="auto"/>
          <w:sz w:val="22"/>
          <w:szCs w:val="22"/>
          <w:lang w:val="en-AU"/>
        </w:rPr>
        <w:t xml:space="preserve"> is underpinned by </w:t>
      </w:r>
      <w:r w:rsidR="00373537">
        <w:rPr>
          <w:rFonts w:eastAsiaTheme="minorHAnsi" w:cs="Arial"/>
          <w:b w:val="0"/>
          <w:color w:val="auto"/>
          <w:sz w:val="22"/>
          <w:szCs w:val="22"/>
          <w:lang w:val="en-AU"/>
        </w:rPr>
        <w:t xml:space="preserve">various International, Commonwealth, State and Local legislation and policies, including </w:t>
      </w:r>
      <w:r w:rsidRPr="004C4D0D">
        <w:rPr>
          <w:rFonts w:eastAsiaTheme="minorHAnsi" w:cs="Arial"/>
          <w:b w:val="0"/>
          <w:color w:val="auto"/>
          <w:sz w:val="22"/>
          <w:szCs w:val="22"/>
          <w:lang w:val="en-AU"/>
        </w:rPr>
        <w:t>the United Nation</w:t>
      </w:r>
      <w:r>
        <w:rPr>
          <w:rFonts w:eastAsiaTheme="minorHAnsi" w:cs="Arial"/>
          <w:b w:val="0"/>
          <w:color w:val="auto"/>
          <w:sz w:val="22"/>
          <w:szCs w:val="22"/>
          <w:lang w:val="en-AU"/>
        </w:rPr>
        <w:t>s</w:t>
      </w:r>
      <w:r w:rsidRPr="004C4D0D">
        <w:rPr>
          <w:rFonts w:eastAsiaTheme="minorHAnsi" w:cs="Arial"/>
          <w:b w:val="0"/>
          <w:color w:val="auto"/>
          <w:sz w:val="22"/>
          <w:szCs w:val="22"/>
          <w:lang w:val="en-AU"/>
        </w:rPr>
        <w:t xml:space="preserve"> Convention </w:t>
      </w:r>
      <w:r w:rsidR="006F3536" w:rsidRPr="006F3536">
        <w:rPr>
          <w:rFonts w:eastAsiaTheme="minorHAnsi" w:cs="Arial"/>
          <w:b w:val="0"/>
          <w:color w:val="auto"/>
          <w:sz w:val="22"/>
          <w:szCs w:val="22"/>
          <w:lang w:val="en-AU"/>
        </w:rPr>
        <w:t>on the Rights of Persons with Disabilities</w:t>
      </w:r>
      <w:r w:rsidR="006F3536">
        <w:rPr>
          <w:rFonts w:eastAsiaTheme="minorHAnsi" w:cs="Arial"/>
          <w:b w:val="0"/>
          <w:color w:val="auto"/>
          <w:sz w:val="22"/>
          <w:szCs w:val="22"/>
          <w:lang w:val="en-AU"/>
        </w:rPr>
        <w:t>, and the Commonwealth Disability Discrimination Act 1992.</w:t>
      </w:r>
      <w:r>
        <w:rPr>
          <w:rFonts w:eastAsiaTheme="minorHAnsi" w:cs="Arial"/>
          <w:b w:val="0"/>
          <w:color w:val="auto"/>
          <w:sz w:val="22"/>
          <w:szCs w:val="22"/>
          <w:lang w:val="en-AU"/>
        </w:rPr>
        <w:t xml:space="preserve">  This enables</w:t>
      </w:r>
      <w:r w:rsidRPr="004C4D0D">
        <w:rPr>
          <w:rFonts w:eastAsiaTheme="minorHAnsi" w:cs="Arial"/>
          <w:b w:val="0"/>
          <w:color w:val="auto"/>
          <w:sz w:val="22"/>
          <w:szCs w:val="22"/>
          <w:lang w:val="en-AU"/>
        </w:rPr>
        <w:t xml:space="preserve"> the Council to ensure appropriate methods and strategies </w:t>
      </w:r>
      <w:r>
        <w:rPr>
          <w:rFonts w:eastAsiaTheme="minorHAnsi" w:cs="Arial"/>
          <w:b w:val="0"/>
          <w:color w:val="auto"/>
          <w:sz w:val="22"/>
          <w:szCs w:val="22"/>
          <w:lang w:val="en-AU"/>
        </w:rPr>
        <w:t>are</w:t>
      </w:r>
      <w:r w:rsidRPr="004C4D0D">
        <w:rPr>
          <w:rFonts w:eastAsiaTheme="minorHAnsi" w:cs="Arial"/>
          <w:b w:val="0"/>
          <w:color w:val="auto"/>
          <w:sz w:val="22"/>
          <w:szCs w:val="22"/>
          <w:lang w:val="en-AU"/>
        </w:rPr>
        <w:t xml:space="preserve"> included in the plan, strengthening its ability to </w:t>
      </w:r>
      <w:r w:rsidR="000443B3">
        <w:rPr>
          <w:rFonts w:eastAsiaTheme="minorHAnsi" w:cs="Arial"/>
          <w:b w:val="0"/>
          <w:color w:val="auto"/>
          <w:sz w:val="22"/>
          <w:szCs w:val="22"/>
          <w:lang w:val="en-AU"/>
        </w:rPr>
        <w:t>address discrimination experienced by</w:t>
      </w:r>
      <w:r w:rsidRPr="004C4D0D">
        <w:rPr>
          <w:rFonts w:eastAsiaTheme="minorHAnsi" w:cs="Arial"/>
          <w:b w:val="0"/>
          <w:color w:val="auto"/>
          <w:sz w:val="22"/>
          <w:szCs w:val="22"/>
          <w:lang w:val="en-AU"/>
        </w:rPr>
        <w:t xml:space="preserve"> people</w:t>
      </w:r>
      <w:r w:rsidR="000443B3">
        <w:rPr>
          <w:rFonts w:eastAsiaTheme="minorHAnsi" w:cs="Arial"/>
          <w:b w:val="0"/>
          <w:color w:val="auto"/>
          <w:sz w:val="22"/>
          <w:szCs w:val="22"/>
          <w:lang w:val="en-AU"/>
        </w:rPr>
        <w:t xml:space="preserve"> with disability.</w:t>
      </w:r>
    </w:p>
    <w:p w:rsidR="00A45BDB" w:rsidRPr="00DF23C4" w:rsidRDefault="00A45BDB" w:rsidP="002133C4">
      <w:pPr>
        <w:spacing w:after="200" w:line="276" w:lineRule="auto"/>
        <w:jc w:val="both"/>
        <w:rPr>
          <w:rFonts w:eastAsiaTheme="minorHAnsi" w:cs="Arial"/>
          <w:b w:val="0"/>
          <w:color w:val="auto"/>
          <w:sz w:val="22"/>
          <w:szCs w:val="22"/>
          <w:lang w:val="en-AU"/>
        </w:rPr>
      </w:pPr>
      <w:r>
        <w:rPr>
          <w:rFonts w:eastAsiaTheme="minorHAnsi" w:cs="Arial"/>
          <w:b w:val="0"/>
          <w:color w:val="auto"/>
          <w:sz w:val="22"/>
          <w:szCs w:val="22"/>
          <w:lang w:val="en-AU"/>
        </w:rPr>
        <w:t xml:space="preserve">The </w:t>
      </w:r>
      <w:r w:rsidR="00A55380">
        <w:rPr>
          <w:rFonts w:eastAsiaTheme="minorHAnsi" w:cs="Arial"/>
          <w:b w:val="0"/>
          <w:color w:val="auto"/>
          <w:sz w:val="22"/>
          <w:szCs w:val="22"/>
          <w:lang w:val="en-AU"/>
        </w:rPr>
        <w:t>DAIS</w:t>
      </w:r>
      <w:r>
        <w:rPr>
          <w:rFonts w:eastAsiaTheme="minorHAnsi" w:cs="Arial"/>
          <w:b w:val="0"/>
          <w:color w:val="auto"/>
          <w:sz w:val="22"/>
          <w:szCs w:val="22"/>
          <w:lang w:val="en-AU"/>
        </w:rPr>
        <w:t xml:space="preserve"> has also been developed in consultation with our community, with ongoing consultation throughout its implementation and evaluation.  A key advisory group for this strategy</w:t>
      </w:r>
      <w:r w:rsidR="00A55380">
        <w:rPr>
          <w:rFonts w:eastAsiaTheme="minorHAnsi" w:cs="Arial"/>
          <w:b w:val="0"/>
          <w:color w:val="auto"/>
          <w:sz w:val="22"/>
          <w:szCs w:val="22"/>
          <w:lang w:val="en-AU"/>
        </w:rPr>
        <w:t>,</w:t>
      </w:r>
      <w:r>
        <w:rPr>
          <w:rFonts w:eastAsiaTheme="minorHAnsi" w:cs="Arial"/>
          <w:b w:val="0"/>
          <w:color w:val="auto"/>
          <w:sz w:val="22"/>
          <w:szCs w:val="22"/>
          <w:lang w:val="en-AU"/>
        </w:rPr>
        <w:t xml:space="preserve"> and the work the Council undertakes within disability</w:t>
      </w:r>
      <w:r w:rsidR="00A55380">
        <w:rPr>
          <w:rFonts w:eastAsiaTheme="minorHAnsi" w:cs="Arial"/>
          <w:b w:val="0"/>
          <w:color w:val="auto"/>
          <w:sz w:val="22"/>
          <w:szCs w:val="22"/>
          <w:lang w:val="en-AU"/>
        </w:rPr>
        <w:t>,</w:t>
      </w:r>
      <w:r>
        <w:rPr>
          <w:rFonts w:eastAsiaTheme="minorHAnsi" w:cs="Arial"/>
          <w:b w:val="0"/>
          <w:color w:val="auto"/>
          <w:sz w:val="22"/>
          <w:szCs w:val="22"/>
          <w:lang w:val="en-AU"/>
        </w:rPr>
        <w:t xml:space="preserve"> is the Council</w:t>
      </w:r>
      <w:r w:rsidR="00A55380">
        <w:rPr>
          <w:rFonts w:eastAsiaTheme="minorHAnsi" w:cs="Arial"/>
          <w:b w:val="0"/>
          <w:color w:val="auto"/>
          <w:sz w:val="22"/>
          <w:szCs w:val="22"/>
          <w:lang w:val="en-AU"/>
        </w:rPr>
        <w:t>’</w:t>
      </w:r>
      <w:r>
        <w:rPr>
          <w:rFonts w:eastAsiaTheme="minorHAnsi" w:cs="Arial"/>
          <w:b w:val="0"/>
          <w:color w:val="auto"/>
          <w:sz w:val="22"/>
          <w:szCs w:val="22"/>
          <w:lang w:val="en-AU"/>
        </w:rPr>
        <w:t>s Disability Advisory Committee.</w:t>
      </w:r>
    </w:p>
    <w:p w:rsidR="00281577" w:rsidRDefault="00281577" w:rsidP="002133C4">
      <w:pPr>
        <w:autoSpaceDE w:val="0"/>
        <w:autoSpaceDN w:val="0"/>
        <w:adjustRightInd w:val="0"/>
        <w:jc w:val="both"/>
        <w:rPr>
          <w:rFonts w:cs="Arial"/>
          <w:sz w:val="24"/>
        </w:rPr>
      </w:pPr>
    </w:p>
    <w:p w:rsidR="00E445AA" w:rsidRPr="00706774" w:rsidRDefault="00E445AA" w:rsidP="002133C4">
      <w:pPr>
        <w:autoSpaceDE w:val="0"/>
        <w:autoSpaceDN w:val="0"/>
        <w:adjustRightInd w:val="0"/>
        <w:jc w:val="both"/>
        <w:rPr>
          <w:rFonts w:cs="Arial"/>
          <w:color w:val="76923C" w:themeColor="accent3" w:themeShade="BF"/>
          <w:sz w:val="24"/>
        </w:rPr>
      </w:pPr>
      <w:r w:rsidRPr="00706774">
        <w:rPr>
          <w:rFonts w:cs="Arial"/>
          <w:color w:val="76923C" w:themeColor="accent3" w:themeShade="BF"/>
          <w:sz w:val="24"/>
        </w:rPr>
        <w:t>Key elements of concern</w:t>
      </w:r>
    </w:p>
    <w:p w:rsidR="00E445AA" w:rsidRDefault="00E445AA" w:rsidP="002133C4">
      <w:pPr>
        <w:autoSpaceDE w:val="0"/>
        <w:autoSpaceDN w:val="0"/>
        <w:adjustRightInd w:val="0"/>
        <w:jc w:val="both"/>
        <w:rPr>
          <w:rFonts w:cs="Arial"/>
          <w:sz w:val="24"/>
        </w:rPr>
      </w:pPr>
    </w:p>
    <w:p w:rsidR="007B7C62" w:rsidRDefault="009F1528" w:rsidP="002133C4">
      <w:pPr>
        <w:autoSpaceDE w:val="0"/>
        <w:autoSpaceDN w:val="0"/>
        <w:adjustRightInd w:val="0"/>
        <w:jc w:val="both"/>
        <w:rPr>
          <w:rFonts w:cs="Arial"/>
          <w:b w:val="0"/>
          <w:color w:val="auto"/>
          <w:sz w:val="22"/>
        </w:rPr>
      </w:pPr>
      <w:r>
        <w:rPr>
          <w:rFonts w:cs="Arial"/>
          <w:b w:val="0"/>
          <w:color w:val="auto"/>
          <w:sz w:val="22"/>
        </w:rPr>
        <w:t>Hi</w:t>
      </w:r>
      <w:r w:rsidR="00E445AA">
        <w:rPr>
          <w:rFonts w:cs="Arial"/>
          <w:b w:val="0"/>
          <w:color w:val="auto"/>
          <w:sz w:val="22"/>
        </w:rPr>
        <w:t xml:space="preserve">ghlighted </w:t>
      </w:r>
      <w:r>
        <w:rPr>
          <w:rFonts w:cs="Arial"/>
          <w:b w:val="0"/>
          <w:color w:val="auto"/>
          <w:sz w:val="22"/>
        </w:rPr>
        <w:t xml:space="preserve">below are </w:t>
      </w:r>
      <w:r w:rsidR="00E445AA">
        <w:rPr>
          <w:rFonts w:cs="Arial"/>
          <w:b w:val="0"/>
          <w:color w:val="auto"/>
          <w:sz w:val="22"/>
        </w:rPr>
        <w:t xml:space="preserve">key elements </w:t>
      </w:r>
      <w:r w:rsidR="00B37CD6">
        <w:rPr>
          <w:rFonts w:cs="Arial"/>
          <w:b w:val="0"/>
          <w:color w:val="auto"/>
          <w:sz w:val="22"/>
        </w:rPr>
        <w:t xml:space="preserve">of concern to the Council: </w:t>
      </w:r>
    </w:p>
    <w:p w:rsidR="0047690A" w:rsidRPr="00EA3181" w:rsidRDefault="00510FAA" w:rsidP="002133C4">
      <w:pPr>
        <w:pStyle w:val="ListParagraph"/>
        <w:numPr>
          <w:ilvl w:val="0"/>
          <w:numId w:val="17"/>
        </w:numPr>
        <w:autoSpaceDE w:val="0"/>
        <w:autoSpaceDN w:val="0"/>
        <w:adjustRightInd w:val="0"/>
        <w:jc w:val="both"/>
        <w:rPr>
          <w:rFonts w:cs="Arial"/>
          <w:b w:val="0"/>
          <w:color w:val="auto"/>
        </w:rPr>
      </w:pPr>
      <w:r>
        <w:rPr>
          <w:rFonts w:cs="Arial"/>
          <w:b w:val="0"/>
          <w:color w:val="auto"/>
        </w:rPr>
        <w:t xml:space="preserve">Framing </w:t>
      </w:r>
      <w:r w:rsidR="00730661">
        <w:rPr>
          <w:rFonts w:cs="Arial"/>
          <w:b w:val="0"/>
          <w:color w:val="auto"/>
        </w:rPr>
        <w:t>p</w:t>
      </w:r>
      <w:r>
        <w:rPr>
          <w:rFonts w:cs="Arial"/>
          <w:b w:val="0"/>
          <w:color w:val="auto"/>
        </w:rPr>
        <w:t xml:space="preserve">rinciples: </w:t>
      </w:r>
      <w:r w:rsidR="009F1528">
        <w:rPr>
          <w:rFonts w:cs="Arial"/>
          <w:b w:val="0"/>
          <w:color w:val="auto"/>
        </w:rPr>
        <w:t>T</w:t>
      </w:r>
      <w:r>
        <w:rPr>
          <w:rFonts w:cs="Arial"/>
          <w:b w:val="0"/>
          <w:color w:val="auto"/>
        </w:rPr>
        <w:t>he framing principles</w:t>
      </w:r>
      <w:r w:rsidR="00730661">
        <w:rPr>
          <w:rFonts w:cs="Arial"/>
          <w:b w:val="0"/>
          <w:color w:val="auto"/>
        </w:rPr>
        <w:t xml:space="preserve"> (dignity, equality, autonomy, inclusion and participation, and accountability)</w:t>
      </w:r>
      <w:r w:rsidR="009F1528">
        <w:rPr>
          <w:rFonts w:cs="Arial"/>
          <w:b w:val="0"/>
          <w:color w:val="auto"/>
        </w:rPr>
        <w:t xml:space="preserve"> are supported,</w:t>
      </w:r>
      <w:r>
        <w:rPr>
          <w:rFonts w:cs="Arial"/>
          <w:b w:val="0"/>
          <w:color w:val="auto"/>
        </w:rPr>
        <w:t xml:space="preserve"> </w:t>
      </w:r>
      <w:r w:rsidR="0047690A">
        <w:rPr>
          <w:rFonts w:cs="Arial"/>
          <w:b w:val="0"/>
          <w:color w:val="auto"/>
        </w:rPr>
        <w:t>however equality should also recognise that in some instances people with disabilities need to be treated with equity in order to create equality.  For exa</w:t>
      </w:r>
      <w:r w:rsidR="00730661">
        <w:rPr>
          <w:rFonts w:cs="Arial"/>
          <w:b w:val="0"/>
          <w:color w:val="auto"/>
        </w:rPr>
        <w:t>mple, needing</w:t>
      </w:r>
      <w:r w:rsidR="0047690A">
        <w:rPr>
          <w:rFonts w:cs="Arial"/>
          <w:b w:val="0"/>
          <w:color w:val="auto"/>
        </w:rPr>
        <w:t xml:space="preserve"> additional assistance with some elements of the law</w:t>
      </w:r>
      <w:r w:rsidR="00730661">
        <w:rPr>
          <w:rFonts w:cs="Arial"/>
          <w:b w:val="0"/>
          <w:color w:val="auto"/>
        </w:rPr>
        <w:t xml:space="preserve"> in order to fully </w:t>
      </w:r>
      <w:r w:rsidR="00730661" w:rsidRPr="00EA3181">
        <w:rPr>
          <w:rFonts w:cs="Arial"/>
          <w:b w:val="0"/>
          <w:color w:val="auto"/>
        </w:rPr>
        <w:t>participate</w:t>
      </w:r>
      <w:r w:rsidR="0047690A" w:rsidRPr="00EA3181">
        <w:rPr>
          <w:rFonts w:cs="Arial"/>
          <w:b w:val="0"/>
          <w:color w:val="auto"/>
        </w:rPr>
        <w:t>.</w:t>
      </w:r>
    </w:p>
    <w:p w:rsidR="00080BC9" w:rsidRPr="00EA3181" w:rsidRDefault="00080BC9">
      <w:pPr>
        <w:autoSpaceDE w:val="0"/>
        <w:autoSpaceDN w:val="0"/>
        <w:adjustRightInd w:val="0"/>
        <w:ind w:left="720"/>
        <w:jc w:val="both"/>
        <w:rPr>
          <w:rFonts w:cs="Arial"/>
          <w:b w:val="0"/>
          <w:color w:val="auto"/>
        </w:rPr>
      </w:pPr>
    </w:p>
    <w:p w:rsidR="003D0120" w:rsidRPr="00EA3181" w:rsidRDefault="003D0120" w:rsidP="00FE3FA8">
      <w:pPr>
        <w:pStyle w:val="Default"/>
        <w:numPr>
          <w:ilvl w:val="0"/>
          <w:numId w:val="19"/>
        </w:numPr>
        <w:jc w:val="both"/>
        <w:rPr>
          <w:rFonts w:ascii="Arial" w:hAnsi="Arial" w:cs="Arial"/>
          <w:b w:val="0"/>
          <w:bCs w:val="0"/>
          <w:caps w:val="0"/>
          <w:color w:val="auto"/>
          <w:sz w:val="22"/>
          <w:szCs w:val="22"/>
        </w:rPr>
      </w:pPr>
      <w:r w:rsidRPr="00EA3181">
        <w:rPr>
          <w:rFonts w:ascii="Arial" w:hAnsi="Arial" w:cs="Arial"/>
          <w:b w:val="0"/>
          <w:bCs w:val="0"/>
          <w:caps w:val="0"/>
          <w:color w:val="auto"/>
          <w:sz w:val="22"/>
          <w:szCs w:val="22"/>
        </w:rPr>
        <w:t xml:space="preserve">Gay, Lesbian, Bisexual, Transgender, Intersex and Queer (GLBTIQ) people with a disability: Discrimination and abuse against GLBTIQ people can have acute impacts on mental health and wellbeing (including internalised homophobia and transphobia). </w:t>
      </w:r>
      <w:r w:rsidR="00FE3FA8" w:rsidRPr="00EA3181">
        <w:rPr>
          <w:rFonts w:ascii="Arial" w:hAnsi="Arial" w:cs="Arial"/>
          <w:b w:val="0"/>
          <w:bCs w:val="0"/>
          <w:caps w:val="0"/>
          <w:color w:val="auto"/>
          <w:sz w:val="22"/>
          <w:szCs w:val="22"/>
          <w:lang w:val="en-US"/>
        </w:rPr>
        <w:t>People with disabilities have the same range of sexual orientations, gender identity and intersex variations as in the general population, so any discrimination in law against gay, lesbian, bisexual, transgender and intersex people affects people with disabilities.  This discrimination compounds the discrimination already experienced by people with disabilities, and includes laws relating to marriage and parenthood.</w:t>
      </w:r>
      <w:r w:rsidR="00FE3FA8" w:rsidRPr="00EA3181">
        <w:rPr>
          <w:rFonts w:ascii="Arial" w:hAnsi="Arial" w:cs="Arial"/>
          <w:bCs w:val="0"/>
          <w:caps w:val="0"/>
          <w:color w:val="auto"/>
          <w:sz w:val="22"/>
          <w:szCs w:val="22"/>
          <w:lang w:val="en-US"/>
        </w:rPr>
        <w:t xml:space="preserve"> </w:t>
      </w:r>
      <w:r w:rsidR="00FE3FA8" w:rsidRPr="00EA3181">
        <w:rPr>
          <w:rFonts w:ascii="Arial" w:hAnsi="Arial" w:cs="Arial"/>
          <w:b w:val="0"/>
          <w:bCs w:val="0"/>
          <w:caps w:val="0"/>
          <w:color w:val="auto"/>
          <w:sz w:val="22"/>
          <w:szCs w:val="22"/>
        </w:rPr>
        <w:t>It is therefore imperative to</w:t>
      </w:r>
      <w:r w:rsidRPr="00EA3181">
        <w:rPr>
          <w:rFonts w:ascii="Arial" w:hAnsi="Arial" w:cs="Arial"/>
          <w:b w:val="0"/>
          <w:bCs w:val="0"/>
          <w:caps w:val="0"/>
          <w:color w:val="auto"/>
          <w:sz w:val="22"/>
          <w:szCs w:val="22"/>
        </w:rPr>
        <w:t xml:space="preserve"> recognise these additional challenges </w:t>
      </w:r>
      <w:r w:rsidR="00470989" w:rsidRPr="00EA3181">
        <w:rPr>
          <w:rFonts w:ascii="Arial" w:hAnsi="Arial" w:cs="Arial"/>
          <w:b w:val="0"/>
          <w:bCs w:val="0"/>
          <w:caps w:val="0"/>
          <w:color w:val="auto"/>
          <w:sz w:val="22"/>
          <w:szCs w:val="22"/>
        </w:rPr>
        <w:t xml:space="preserve">and inequities </w:t>
      </w:r>
      <w:r w:rsidRPr="00EA3181">
        <w:rPr>
          <w:rFonts w:ascii="Arial" w:hAnsi="Arial" w:cs="Arial"/>
          <w:b w:val="0"/>
          <w:bCs w:val="0"/>
          <w:caps w:val="0"/>
          <w:color w:val="auto"/>
          <w:sz w:val="22"/>
          <w:szCs w:val="22"/>
        </w:rPr>
        <w:lastRenderedPageBreak/>
        <w:t>faced by GLBTIQ people with disabilities</w:t>
      </w:r>
      <w:r w:rsidR="00470989" w:rsidRPr="00EA3181">
        <w:rPr>
          <w:rFonts w:ascii="Arial" w:hAnsi="Arial" w:cs="Arial"/>
          <w:b w:val="0"/>
          <w:bCs w:val="0"/>
          <w:caps w:val="0"/>
          <w:color w:val="auto"/>
          <w:sz w:val="22"/>
          <w:szCs w:val="22"/>
        </w:rPr>
        <w:t xml:space="preserve">. In addition </w:t>
      </w:r>
      <w:r w:rsidRPr="00EA3181">
        <w:rPr>
          <w:rFonts w:ascii="Arial" w:hAnsi="Arial" w:cs="Arial"/>
          <w:b w:val="0"/>
          <w:bCs w:val="0"/>
          <w:caps w:val="0"/>
          <w:color w:val="auto"/>
          <w:sz w:val="22"/>
          <w:szCs w:val="22"/>
        </w:rPr>
        <w:t xml:space="preserve">legal frameworks </w:t>
      </w:r>
      <w:r w:rsidR="00470989" w:rsidRPr="00EA3181">
        <w:rPr>
          <w:rFonts w:ascii="Arial" w:hAnsi="Arial" w:cs="Arial"/>
          <w:b w:val="0"/>
          <w:bCs w:val="0"/>
          <w:caps w:val="0"/>
          <w:color w:val="auto"/>
          <w:sz w:val="22"/>
          <w:szCs w:val="22"/>
        </w:rPr>
        <w:t>need to include</w:t>
      </w:r>
      <w:r w:rsidRPr="00EA3181">
        <w:rPr>
          <w:rFonts w:ascii="Arial" w:hAnsi="Arial" w:cs="Arial"/>
          <w:b w:val="0"/>
          <w:bCs w:val="0"/>
          <w:caps w:val="0"/>
          <w:color w:val="auto"/>
          <w:sz w:val="22"/>
          <w:szCs w:val="22"/>
        </w:rPr>
        <w:t xml:space="preserve"> education and training that explores these issues and identifies policy directions within services that validate individual self-expression and explicitly include</w:t>
      </w:r>
      <w:r w:rsidR="00470989" w:rsidRPr="00EA3181">
        <w:rPr>
          <w:rFonts w:ascii="Arial" w:hAnsi="Arial" w:cs="Arial"/>
          <w:b w:val="0"/>
          <w:bCs w:val="0"/>
          <w:caps w:val="0"/>
          <w:color w:val="auto"/>
          <w:sz w:val="22"/>
          <w:szCs w:val="22"/>
        </w:rPr>
        <w:t>s</w:t>
      </w:r>
      <w:r w:rsidRPr="00EA3181">
        <w:rPr>
          <w:rFonts w:ascii="Arial" w:hAnsi="Arial" w:cs="Arial"/>
          <w:b w:val="0"/>
          <w:bCs w:val="0"/>
          <w:caps w:val="0"/>
          <w:color w:val="auto"/>
          <w:sz w:val="22"/>
          <w:szCs w:val="22"/>
        </w:rPr>
        <w:t xml:space="preserve"> sexual orientation and gender identity.  </w:t>
      </w:r>
    </w:p>
    <w:p w:rsidR="0058143F" w:rsidRPr="00EA3181" w:rsidRDefault="0047690A" w:rsidP="002133C4">
      <w:pPr>
        <w:pStyle w:val="ListParagraph"/>
        <w:autoSpaceDE w:val="0"/>
        <w:autoSpaceDN w:val="0"/>
        <w:adjustRightInd w:val="0"/>
        <w:jc w:val="both"/>
        <w:rPr>
          <w:rFonts w:cs="Arial"/>
          <w:b w:val="0"/>
          <w:color w:val="auto"/>
        </w:rPr>
      </w:pPr>
      <w:r w:rsidRPr="00EA3181">
        <w:rPr>
          <w:rFonts w:cs="Arial"/>
          <w:b w:val="0"/>
          <w:color w:val="auto"/>
        </w:rPr>
        <w:t xml:space="preserve"> </w:t>
      </w:r>
      <w:r w:rsidR="00510FAA" w:rsidRPr="00EA3181">
        <w:rPr>
          <w:rFonts w:cs="Arial"/>
          <w:b w:val="0"/>
          <w:color w:val="auto"/>
        </w:rPr>
        <w:t xml:space="preserve"> </w:t>
      </w:r>
    </w:p>
    <w:p w:rsidR="0058143F" w:rsidRDefault="0085163E" w:rsidP="002133C4">
      <w:pPr>
        <w:pStyle w:val="ListParagraph"/>
        <w:numPr>
          <w:ilvl w:val="0"/>
          <w:numId w:val="17"/>
        </w:numPr>
        <w:autoSpaceDE w:val="0"/>
        <w:autoSpaceDN w:val="0"/>
        <w:adjustRightInd w:val="0"/>
        <w:jc w:val="both"/>
        <w:rPr>
          <w:rFonts w:cs="Arial"/>
          <w:b w:val="0"/>
          <w:color w:val="auto"/>
        </w:rPr>
      </w:pPr>
      <w:r w:rsidRPr="0085163E">
        <w:rPr>
          <w:rFonts w:cs="Arial"/>
          <w:b w:val="0"/>
          <w:color w:val="auto"/>
        </w:rPr>
        <w:t>National Disability Strategy:</w:t>
      </w:r>
      <w:r w:rsidR="00411201">
        <w:rPr>
          <w:rFonts w:cs="Arial"/>
          <w:b w:val="0"/>
          <w:color w:val="auto"/>
        </w:rPr>
        <w:t xml:space="preserve"> Once the Australian Law Reform Commission completes its report, and </w:t>
      </w:r>
      <w:r w:rsidR="002133C4">
        <w:rPr>
          <w:rFonts w:cs="Arial"/>
          <w:b w:val="0"/>
          <w:color w:val="auto"/>
        </w:rPr>
        <w:t>it is</w:t>
      </w:r>
      <w:r w:rsidR="00411201">
        <w:rPr>
          <w:rFonts w:cs="Arial"/>
          <w:b w:val="0"/>
          <w:color w:val="auto"/>
        </w:rPr>
        <w:t xml:space="preserve"> endorsed by</w:t>
      </w:r>
      <w:r w:rsidR="002133C4">
        <w:rPr>
          <w:rFonts w:cs="Arial"/>
          <w:b w:val="0"/>
          <w:color w:val="auto"/>
        </w:rPr>
        <w:t xml:space="preserve"> the Australian Parli</w:t>
      </w:r>
      <w:r w:rsidR="00730661">
        <w:rPr>
          <w:rFonts w:cs="Arial"/>
          <w:b w:val="0"/>
          <w:color w:val="auto"/>
        </w:rPr>
        <w:t>ament, the recommendations should</w:t>
      </w:r>
      <w:r w:rsidR="002133C4">
        <w:rPr>
          <w:rFonts w:cs="Arial"/>
          <w:b w:val="0"/>
          <w:color w:val="auto"/>
        </w:rPr>
        <w:t xml:space="preserve"> be </w:t>
      </w:r>
      <w:r w:rsidR="00411201">
        <w:rPr>
          <w:rFonts w:cs="Arial"/>
          <w:b w:val="0"/>
          <w:color w:val="auto"/>
        </w:rPr>
        <w:t xml:space="preserve">included in the National Disability </w:t>
      </w:r>
      <w:r w:rsidR="00AC22E5">
        <w:rPr>
          <w:rFonts w:cs="Arial"/>
          <w:b w:val="0"/>
          <w:color w:val="auto"/>
        </w:rPr>
        <w:t xml:space="preserve">Strategy to ensure </w:t>
      </w:r>
      <w:r w:rsidR="002133C4">
        <w:rPr>
          <w:rFonts w:cs="Arial"/>
          <w:b w:val="0"/>
          <w:color w:val="auto"/>
        </w:rPr>
        <w:t>they are</w:t>
      </w:r>
      <w:r w:rsidR="00AC22E5">
        <w:rPr>
          <w:rFonts w:cs="Arial"/>
          <w:b w:val="0"/>
          <w:color w:val="auto"/>
        </w:rPr>
        <w:t xml:space="preserve"> implemented.</w:t>
      </w:r>
    </w:p>
    <w:p w:rsidR="007B7C62" w:rsidRDefault="007B7C62" w:rsidP="002133C4">
      <w:pPr>
        <w:autoSpaceDE w:val="0"/>
        <w:autoSpaceDN w:val="0"/>
        <w:adjustRightInd w:val="0"/>
        <w:jc w:val="both"/>
        <w:rPr>
          <w:rFonts w:cs="Arial"/>
          <w:b w:val="0"/>
          <w:color w:val="auto"/>
          <w:sz w:val="22"/>
        </w:rPr>
      </w:pPr>
    </w:p>
    <w:p w:rsidR="0058143F" w:rsidRDefault="0085163E" w:rsidP="002133C4">
      <w:pPr>
        <w:pStyle w:val="ListParagraph"/>
        <w:numPr>
          <w:ilvl w:val="0"/>
          <w:numId w:val="16"/>
        </w:numPr>
        <w:autoSpaceDE w:val="0"/>
        <w:autoSpaceDN w:val="0"/>
        <w:adjustRightInd w:val="0"/>
        <w:jc w:val="both"/>
        <w:rPr>
          <w:rFonts w:cs="Arial"/>
          <w:b w:val="0"/>
          <w:color w:val="auto"/>
        </w:rPr>
      </w:pPr>
      <w:r w:rsidRPr="0085163E">
        <w:rPr>
          <w:rFonts w:cs="Arial"/>
          <w:b w:val="0"/>
          <w:color w:val="auto"/>
        </w:rPr>
        <w:t>National Disability and Insurance Scheme (NDIS):  While the NDIS is still yet to be largely implemented, gaps can already been seen.  This is largely within the a</w:t>
      </w:r>
      <w:r w:rsidR="00730661">
        <w:rPr>
          <w:rFonts w:cs="Arial"/>
          <w:b w:val="0"/>
          <w:color w:val="auto"/>
        </w:rPr>
        <w:t xml:space="preserve">ge range, with people over 65 years being </w:t>
      </w:r>
      <w:r w:rsidRPr="0085163E">
        <w:rPr>
          <w:rFonts w:cs="Arial"/>
          <w:b w:val="0"/>
          <w:color w:val="auto"/>
        </w:rPr>
        <w:t xml:space="preserve">ineligible.  This is of great concern as it is often </w:t>
      </w:r>
      <w:r w:rsidR="00B37CD6">
        <w:rPr>
          <w:rFonts w:cs="Arial"/>
          <w:b w:val="0"/>
          <w:color w:val="auto"/>
        </w:rPr>
        <w:t xml:space="preserve">people </w:t>
      </w:r>
      <w:r w:rsidRPr="0085163E">
        <w:rPr>
          <w:rFonts w:cs="Arial"/>
          <w:b w:val="0"/>
          <w:color w:val="auto"/>
        </w:rPr>
        <w:t xml:space="preserve">within the older age group that need the most support and financial assistance in order to maintain their health and wellbeing.     </w:t>
      </w:r>
    </w:p>
    <w:p w:rsidR="007B7C62" w:rsidRPr="00E445AA" w:rsidRDefault="007B7C62" w:rsidP="004915C4">
      <w:pPr>
        <w:autoSpaceDE w:val="0"/>
        <w:autoSpaceDN w:val="0"/>
        <w:adjustRightInd w:val="0"/>
        <w:rPr>
          <w:rFonts w:cs="Arial"/>
          <w:b w:val="0"/>
          <w:color w:val="auto"/>
          <w:sz w:val="22"/>
        </w:rPr>
      </w:pPr>
    </w:p>
    <w:p w:rsidR="00510FAA" w:rsidRPr="00510FAA" w:rsidRDefault="004915C4" w:rsidP="00510FAA">
      <w:pPr>
        <w:pStyle w:val="ListParagraph"/>
        <w:numPr>
          <w:ilvl w:val="0"/>
          <w:numId w:val="14"/>
        </w:numPr>
        <w:spacing w:after="200" w:line="276" w:lineRule="auto"/>
        <w:jc w:val="both"/>
        <w:rPr>
          <w:rFonts w:eastAsiaTheme="minorHAnsi" w:cs="Arial"/>
          <w:b w:val="0"/>
          <w:color w:val="auto"/>
          <w:szCs w:val="22"/>
        </w:rPr>
      </w:pPr>
      <w:r w:rsidRPr="00510FAA">
        <w:rPr>
          <w:rFonts w:eastAsiaTheme="minorHAnsi" w:cs="Arial"/>
          <w:b w:val="0"/>
          <w:color w:val="auto"/>
          <w:szCs w:val="22"/>
        </w:rPr>
        <w:t>Financial services</w:t>
      </w:r>
      <w:r w:rsidR="00DA7CC2" w:rsidRPr="00510FAA">
        <w:rPr>
          <w:rFonts w:eastAsiaTheme="minorHAnsi" w:cs="Arial"/>
          <w:b w:val="0"/>
          <w:color w:val="auto"/>
          <w:szCs w:val="22"/>
        </w:rPr>
        <w:t xml:space="preserve">: </w:t>
      </w:r>
      <w:r w:rsidRPr="00510FAA">
        <w:rPr>
          <w:rFonts w:eastAsiaTheme="minorHAnsi" w:cs="Arial"/>
          <w:b w:val="0"/>
          <w:color w:val="auto"/>
          <w:szCs w:val="22"/>
        </w:rPr>
        <w:t xml:space="preserve">People with disability may be refused access to a bank account, or if they have a bank account, the financial institution may refuse to allow them to operate it independently. Banks also frequently refuse to recognise informal support people, such as family members from whom a person may wish to receive assistance to operate a bank account. </w:t>
      </w:r>
      <w:r w:rsidR="00DA7CC2" w:rsidRPr="00510FAA">
        <w:rPr>
          <w:rFonts w:eastAsiaTheme="minorHAnsi" w:cs="Arial"/>
          <w:b w:val="0"/>
          <w:color w:val="auto"/>
          <w:szCs w:val="22"/>
        </w:rPr>
        <w:t>This needs to be addressed in order to allow people with disabilities to be able to manage their finances.</w:t>
      </w:r>
      <w:r w:rsidR="00510FAA" w:rsidRPr="00510FAA">
        <w:rPr>
          <w:rFonts w:eastAsiaTheme="minorHAnsi" w:cs="Arial"/>
          <w:b w:val="0"/>
          <w:color w:val="auto"/>
          <w:szCs w:val="22"/>
        </w:rPr>
        <w:t xml:space="preserve">  This could include </w:t>
      </w:r>
      <w:r w:rsidR="00510FAA">
        <w:rPr>
          <w:rFonts w:eastAsiaTheme="minorHAnsi" w:cs="Arial"/>
          <w:b w:val="0"/>
          <w:color w:val="auto"/>
          <w:szCs w:val="22"/>
        </w:rPr>
        <w:t>d</w:t>
      </w:r>
      <w:r w:rsidR="00510FAA" w:rsidRPr="00510FAA">
        <w:rPr>
          <w:rFonts w:eastAsiaTheme="minorHAnsi" w:cs="Arial"/>
          <w:b w:val="0"/>
          <w:color w:val="auto"/>
          <w:szCs w:val="22"/>
        </w:rPr>
        <w:t xml:space="preserve">efining and recognising the different types of persons to assist </w:t>
      </w:r>
      <w:r w:rsidR="00730661">
        <w:rPr>
          <w:rFonts w:eastAsiaTheme="minorHAnsi" w:cs="Arial"/>
          <w:b w:val="0"/>
          <w:color w:val="auto"/>
          <w:szCs w:val="22"/>
        </w:rPr>
        <w:t>people</w:t>
      </w:r>
      <w:r w:rsidR="00510FAA" w:rsidRPr="00510FAA">
        <w:rPr>
          <w:rFonts w:eastAsiaTheme="minorHAnsi" w:cs="Arial"/>
          <w:b w:val="0"/>
          <w:color w:val="auto"/>
          <w:szCs w:val="22"/>
        </w:rPr>
        <w:t xml:space="preserve"> with disability to exercise </w:t>
      </w:r>
      <w:r w:rsidR="00730661">
        <w:rPr>
          <w:rFonts w:eastAsiaTheme="minorHAnsi" w:cs="Arial"/>
          <w:b w:val="0"/>
          <w:color w:val="auto"/>
          <w:szCs w:val="22"/>
        </w:rPr>
        <w:t xml:space="preserve">their </w:t>
      </w:r>
      <w:r w:rsidR="00510FAA" w:rsidRPr="00510FAA">
        <w:rPr>
          <w:rFonts w:eastAsiaTheme="minorHAnsi" w:cs="Arial"/>
          <w:b w:val="0"/>
          <w:color w:val="auto"/>
          <w:szCs w:val="22"/>
        </w:rPr>
        <w:t xml:space="preserve">capacity, or to exercise capacity on their behalf. </w:t>
      </w:r>
    </w:p>
    <w:p w:rsidR="004915C4" w:rsidRPr="00920B78" w:rsidRDefault="004915C4" w:rsidP="004915C4">
      <w:pPr>
        <w:pStyle w:val="ListParagraph"/>
        <w:numPr>
          <w:ilvl w:val="0"/>
          <w:numId w:val="14"/>
        </w:numPr>
        <w:spacing w:after="200" w:line="276" w:lineRule="auto"/>
        <w:jc w:val="both"/>
        <w:rPr>
          <w:rFonts w:eastAsiaTheme="minorHAnsi" w:cs="Arial"/>
          <w:b w:val="0"/>
          <w:color w:val="auto"/>
          <w:szCs w:val="22"/>
        </w:rPr>
      </w:pPr>
      <w:r w:rsidRPr="00920B78">
        <w:rPr>
          <w:rFonts w:eastAsiaTheme="minorHAnsi" w:cs="Arial"/>
          <w:b w:val="0"/>
          <w:color w:val="auto"/>
          <w:szCs w:val="22"/>
        </w:rPr>
        <w:t>Board participation</w:t>
      </w:r>
      <w:r w:rsidR="00DA7CC2" w:rsidRPr="00920B78">
        <w:rPr>
          <w:rFonts w:eastAsiaTheme="minorHAnsi" w:cs="Arial"/>
          <w:b w:val="0"/>
          <w:color w:val="auto"/>
          <w:szCs w:val="22"/>
        </w:rPr>
        <w:t>:</w:t>
      </w:r>
      <w:r w:rsidRPr="00920B78">
        <w:rPr>
          <w:rFonts w:eastAsiaTheme="minorHAnsi" w:cs="Arial"/>
          <w:b w:val="0"/>
          <w:color w:val="auto"/>
          <w:szCs w:val="22"/>
        </w:rPr>
        <w:t xml:space="preserve"> Under </w:t>
      </w:r>
      <w:r w:rsidR="00CB556E" w:rsidRPr="00920B78">
        <w:rPr>
          <w:rFonts w:eastAsiaTheme="minorHAnsi" w:cs="Arial"/>
          <w:b w:val="0"/>
          <w:color w:val="auto"/>
          <w:szCs w:val="22"/>
        </w:rPr>
        <w:t>Commonwealth</w:t>
      </w:r>
      <w:r w:rsidRPr="00920B78">
        <w:rPr>
          <w:rFonts w:eastAsiaTheme="minorHAnsi" w:cs="Arial"/>
          <w:b w:val="0"/>
          <w:color w:val="auto"/>
          <w:szCs w:val="22"/>
        </w:rPr>
        <w:t xml:space="preserve"> corporations and associations law, a person with disability, such as a person with psychosocial or intellectual disability can be automatically disqualified from holding the office of a director or committee member. </w:t>
      </w:r>
      <w:r w:rsidR="00DA7CC2" w:rsidRPr="00920B78">
        <w:rPr>
          <w:rFonts w:eastAsiaTheme="minorHAnsi" w:cs="Arial"/>
          <w:b w:val="0"/>
          <w:color w:val="auto"/>
          <w:szCs w:val="22"/>
        </w:rPr>
        <w:t>This should be reviewed to ensure inappropriate dismissals do not occur when people are still able to perform their jobs to the required capacity.</w:t>
      </w:r>
    </w:p>
    <w:p w:rsidR="0058143F" w:rsidRPr="00EA3181" w:rsidRDefault="004915C4" w:rsidP="002133C4">
      <w:pPr>
        <w:pStyle w:val="ListParagraph"/>
        <w:numPr>
          <w:ilvl w:val="0"/>
          <w:numId w:val="14"/>
        </w:numPr>
        <w:spacing w:after="200" w:line="276" w:lineRule="auto"/>
        <w:jc w:val="both"/>
        <w:rPr>
          <w:rFonts w:eastAsiaTheme="minorHAnsi" w:cs="Arial"/>
          <w:b w:val="0"/>
          <w:color w:val="auto"/>
          <w:szCs w:val="22"/>
        </w:rPr>
      </w:pPr>
      <w:r w:rsidRPr="002133C4">
        <w:rPr>
          <w:rFonts w:eastAsiaTheme="minorHAnsi" w:cs="Arial"/>
          <w:b w:val="0"/>
          <w:color w:val="auto"/>
          <w:szCs w:val="22"/>
        </w:rPr>
        <w:t xml:space="preserve">Access to </w:t>
      </w:r>
      <w:r w:rsidR="00730661">
        <w:rPr>
          <w:rFonts w:eastAsiaTheme="minorHAnsi" w:cs="Arial"/>
          <w:b w:val="0"/>
          <w:color w:val="auto"/>
          <w:szCs w:val="22"/>
        </w:rPr>
        <w:t>j</w:t>
      </w:r>
      <w:r w:rsidRPr="002133C4">
        <w:rPr>
          <w:rFonts w:eastAsiaTheme="minorHAnsi" w:cs="Arial"/>
          <w:b w:val="0"/>
          <w:color w:val="auto"/>
          <w:szCs w:val="22"/>
        </w:rPr>
        <w:t>ustice</w:t>
      </w:r>
      <w:r w:rsidR="00341E7E" w:rsidRPr="002133C4">
        <w:rPr>
          <w:rFonts w:eastAsiaTheme="minorHAnsi" w:cs="Arial"/>
          <w:b w:val="0"/>
          <w:color w:val="auto"/>
          <w:szCs w:val="22"/>
        </w:rPr>
        <w:t xml:space="preserve">: </w:t>
      </w:r>
      <w:r w:rsidRPr="002133C4">
        <w:rPr>
          <w:rFonts w:eastAsiaTheme="minorHAnsi" w:cs="Arial"/>
          <w:b w:val="0"/>
          <w:color w:val="auto"/>
          <w:szCs w:val="22"/>
        </w:rPr>
        <w:t xml:space="preserve"> </w:t>
      </w:r>
      <w:r w:rsidR="00341E7E" w:rsidRPr="002133C4">
        <w:rPr>
          <w:rFonts w:eastAsiaTheme="minorHAnsi" w:cs="Arial"/>
          <w:b w:val="0"/>
          <w:color w:val="auto"/>
          <w:szCs w:val="22"/>
        </w:rPr>
        <w:t>P</w:t>
      </w:r>
      <w:r w:rsidRPr="002133C4">
        <w:rPr>
          <w:rFonts w:eastAsiaTheme="minorHAnsi" w:cs="Arial"/>
          <w:b w:val="0"/>
          <w:color w:val="auto"/>
          <w:szCs w:val="22"/>
        </w:rPr>
        <w:t xml:space="preserve">eople with disability may be unable to obtain equal benefit and protection of the law because they do </w:t>
      </w:r>
      <w:r w:rsidRPr="00EA3181">
        <w:rPr>
          <w:rFonts w:eastAsiaTheme="minorHAnsi" w:cs="Arial"/>
          <w:b w:val="0"/>
          <w:color w:val="auto"/>
          <w:szCs w:val="22"/>
        </w:rPr>
        <w:t>not receive supports to enable them to take action</w:t>
      </w:r>
      <w:r w:rsidRPr="00EA3181">
        <w:rPr>
          <w:rFonts w:cs="Arial"/>
          <w:color w:val="auto"/>
        </w:rPr>
        <w:t xml:space="preserve"> </w:t>
      </w:r>
      <w:r w:rsidRPr="00EA3181">
        <w:rPr>
          <w:rFonts w:eastAsiaTheme="minorHAnsi" w:cs="Arial"/>
          <w:b w:val="0"/>
          <w:color w:val="auto"/>
          <w:szCs w:val="22"/>
        </w:rPr>
        <w:t>to protect their interests</w:t>
      </w:r>
      <w:r w:rsidR="00730661" w:rsidRPr="00EA3181">
        <w:rPr>
          <w:rFonts w:eastAsiaTheme="minorHAnsi" w:cs="Arial"/>
          <w:b w:val="0"/>
          <w:color w:val="auto"/>
          <w:szCs w:val="22"/>
        </w:rPr>
        <w:t>,</w:t>
      </w:r>
      <w:r w:rsidRPr="00EA3181">
        <w:rPr>
          <w:rFonts w:eastAsiaTheme="minorHAnsi" w:cs="Arial"/>
          <w:b w:val="0"/>
          <w:color w:val="auto"/>
          <w:szCs w:val="22"/>
        </w:rPr>
        <w:t xml:space="preserve"> and no one else may do so on their behalf.</w:t>
      </w:r>
      <w:r w:rsidR="00470989" w:rsidRPr="00EA3181">
        <w:rPr>
          <w:rFonts w:eastAsiaTheme="minorHAnsi" w:cs="Arial"/>
          <w:b w:val="0"/>
          <w:color w:val="auto"/>
          <w:szCs w:val="22"/>
        </w:rPr>
        <w:t xml:space="preserve">  </w:t>
      </w:r>
      <w:r w:rsidRPr="00EA3181">
        <w:rPr>
          <w:rFonts w:eastAsiaTheme="minorHAnsi" w:cs="Arial"/>
          <w:b w:val="0"/>
          <w:color w:val="auto"/>
          <w:szCs w:val="22"/>
        </w:rPr>
        <w:t>For example, some people with disability cannot obtain a personal violence order unless supported to do so.</w:t>
      </w:r>
      <w:r w:rsidR="00341E7E" w:rsidRPr="00EA3181">
        <w:rPr>
          <w:rFonts w:eastAsiaTheme="minorHAnsi" w:cs="Arial"/>
          <w:b w:val="0"/>
          <w:color w:val="auto"/>
          <w:szCs w:val="22"/>
        </w:rPr>
        <w:t xml:space="preserve">  </w:t>
      </w:r>
      <w:r w:rsidR="00470989" w:rsidRPr="00EA3181">
        <w:rPr>
          <w:rFonts w:eastAsiaTheme="minorHAnsi" w:cs="Arial"/>
          <w:b w:val="0"/>
          <w:color w:val="auto"/>
          <w:szCs w:val="22"/>
        </w:rPr>
        <w:t xml:space="preserve">This is further compounded for people that are newly arrived or of a Cultural and Linguistically Diverse (CALD) background, navigating an often complex system. This needs to be reviewed to ensure all people can access the justice system. </w:t>
      </w:r>
      <w:r w:rsidR="00510FAA" w:rsidRPr="00EA3181">
        <w:rPr>
          <w:rFonts w:eastAsiaTheme="minorHAnsi" w:cs="Arial"/>
          <w:b w:val="0"/>
          <w:color w:val="auto"/>
          <w:szCs w:val="22"/>
        </w:rPr>
        <w:t>This could include establishing principles to determine the level and type of support a person may require to exercise his or her capacity before the law.</w:t>
      </w:r>
    </w:p>
    <w:p w:rsidR="0058143F" w:rsidRPr="00EA3181" w:rsidRDefault="00341E7E">
      <w:pPr>
        <w:pStyle w:val="ListParagraph"/>
        <w:spacing w:line="276" w:lineRule="auto"/>
        <w:jc w:val="both"/>
        <w:rPr>
          <w:rFonts w:eastAsiaTheme="minorHAnsi" w:cs="Arial"/>
          <w:b w:val="0"/>
          <w:color w:val="auto"/>
          <w:szCs w:val="22"/>
        </w:rPr>
      </w:pPr>
      <w:r w:rsidRPr="00EA3181">
        <w:rPr>
          <w:rFonts w:eastAsiaTheme="minorHAnsi" w:cs="Arial"/>
          <w:b w:val="0"/>
          <w:color w:val="auto"/>
          <w:szCs w:val="22"/>
        </w:rPr>
        <w:t>In addition, t</w:t>
      </w:r>
      <w:r w:rsidR="004915C4" w:rsidRPr="00EA3181">
        <w:rPr>
          <w:rFonts w:eastAsiaTheme="minorHAnsi" w:cs="Arial"/>
          <w:b w:val="0"/>
          <w:color w:val="auto"/>
          <w:szCs w:val="22"/>
        </w:rPr>
        <w:t>he capacity of people with cognitive impairments to participate as witnesses in court proceedings is not supported</w:t>
      </w:r>
      <w:r w:rsidRPr="00EA3181">
        <w:rPr>
          <w:rFonts w:eastAsiaTheme="minorHAnsi" w:cs="Arial"/>
          <w:b w:val="0"/>
          <w:color w:val="auto"/>
          <w:szCs w:val="22"/>
        </w:rPr>
        <w:t xml:space="preserve">. This could lead to serious </w:t>
      </w:r>
      <w:r w:rsidR="004915C4" w:rsidRPr="00EA3181">
        <w:rPr>
          <w:rFonts w:eastAsiaTheme="minorHAnsi" w:cs="Arial"/>
          <w:b w:val="0"/>
          <w:color w:val="auto"/>
          <w:szCs w:val="22"/>
        </w:rPr>
        <w:t>crimes going unprosecuted</w:t>
      </w:r>
      <w:r w:rsidRPr="00EA3181">
        <w:rPr>
          <w:rFonts w:eastAsiaTheme="minorHAnsi" w:cs="Arial"/>
          <w:b w:val="0"/>
          <w:color w:val="auto"/>
          <w:szCs w:val="22"/>
        </w:rPr>
        <w:t>.  Witnesses should be supported in order to be able to give evidence.</w:t>
      </w:r>
    </w:p>
    <w:p w:rsidR="0058143F" w:rsidRPr="00EA3181" w:rsidRDefault="0058143F">
      <w:pPr>
        <w:pStyle w:val="ListParagraph"/>
        <w:spacing w:line="276" w:lineRule="auto"/>
        <w:jc w:val="both"/>
        <w:rPr>
          <w:rFonts w:eastAsiaTheme="minorHAnsi" w:cs="Arial"/>
          <w:b w:val="0"/>
          <w:color w:val="auto"/>
          <w:szCs w:val="22"/>
        </w:rPr>
      </w:pPr>
    </w:p>
    <w:p w:rsidR="0058143F" w:rsidRPr="00EA3181" w:rsidRDefault="0047690A">
      <w:pPr>
        <w:pStyle w:val="ListParagraph"/>
        <w:numPr>
          <w:ilvl w:val="0"/>
          <w:numId w:val="18"/>
        </w:numPr>
        <w:spacing w:line="276" w:lineRule="auto"/>
        <w:ind w:left="709" w:hanging="283"/>
        <w:jc w:val="both"/>
        <w:rPr>
          <w:rFonts w:eastAsiaTheme="minorHAnsi" w:cs="Arial"/>
          <w:b w:val="0"/>
          <w:color w:val="auto"/>
          <w:szCs w:val="22"/>
        </w:rPr>
      </w:pPr>
      <w:r w:rsidRPr="00EA3181">
        <w:rPr>
          <w:rFonts w:eastAsiaTheme="minorHAnsi" w:cs="Arial"/>
          <w:b w:val="0"/>
          <w:color w:val="auto"/>
          <w:szCs w:val="22"/>
        </w:rPr>
        <w:t>Communication: Adapting communication and using a variety of communication methods to implement and discuss the law is essential for all community members, particularly those with a disability</w:t>
      </w:r>
      <w:r w:rsidR="00470989" w:rsidRPr="00EA3181">
        <w:rPr>
          <w:rFonts w:eastAsiaTheme="minorHAnsi" w:cs="Arial"/>
          <w:b w:val="0"/>
          <w:color w:val="auto"/>
          <w:szCs w:val="22"/>
        </w:rPr>
        <w:t xml:space="preserve"> and CALD people with a disability</w:t>
      </w:r>
      <w:r w:rsidRPr="00EA3181">
        <w:rPr>
          <w:rFonts w:eastAsiaTheme="minorHAnsi" w:cs="Arial"/>
          <w:b w:val="0"/>
          <w:color w:val="auto"/>
          <w:szCs w:val="22"/>
        </w:rPr>
        <w:t xml:space="preserve">. This should be a key priority for the Government via using </w:t>
      </w:r>
      <w:r w:rsidR="00706774" w:rsidRPr="00EA3181">
        <w:rPr>
          <w:rFonts w:eastAsiaTheme="minorHAnsi" w:cs="Arial"/>
          <w:b w:val="0"/>
          <w:color w:val="auto"/>
          <w:szCs w:val="22"/>
        </w:rPr>
        <w:t xml:space="preserve">such tools as screen readers, </w:t>
      </w:r>
      <w:r w:rsidR="006E4BBF" w:rsidRPr="00EA3181">
        <w:rPr>
          <w:rFonts w:eastAsiaTheme="minorHAnsi" w:cs="Arial"/>
          <w:b w:val="0"/>
          <w:color w:val="auto"/>
          <w:szCs w:val="22"/>
        </w:rPr>
        <w:t>BrowseAloud, font size, Au</w:t>
      </w:r>
      <w:r w:rsidR="00470989" w:rsidRPr="00EA3181">
        <w:rPr>
          <w:rFonts w:eastAsiaTheme="minorHAnsi" w:cs="Arial"/>
          <w:b w:val="0"/>
          <w:color w:val="auto"/>
          <w:szCs w:val="22"/>
        </w:rPr>
        <w:t>slan interpreters, easy English, and interpreters</w:t>
      </w:r>
      <w:r w:rsidR="006E4BBF" w:rsidRPr="00EA3181">
        <w:rPr>
          <w:rFonts w:eastAsiaTheme="minorHAnsi" w:cs="Arial"/>
          <w:b w:val="0"/>
          <w:color w:val="auto"/>
          <w:szCs w:val="22"/>
        </w:rPr>
        <w:t xml:space="preserve">.  </w:t>
      </w:r>
      <w:r w:rsidR="00706774" w:rsidRPr="00EA3181">
        <w:rPr>
          <w:rFonts w:eastAsiaTheme="minorHAnsi" w:cs="Arial"/>
          <w:b w:val="0"/>
          <w:color w:val="auto"/>
          <w:szCs w:val="22"/>
        </w:rPr>
        <w:t>Caution needs to be taken however to ensure key information is not lost</w:t>
      </w:r>
      <w:r w:rsidR="00470989" w:rsidRPr="00EA3181">
        <w:rPr>
          <w:rFonts w:eastAsiaTheme="minorHAnsi" w:cs="Arial"/>
          <w:b w:val="0"/>
          <w:color w:val="auto"/>
          <w:szCs w:val="22"/>
        </w:rPr>
        <w:t xml:space="preserve"> through simplification</w:t>
      </w:r>
      <w:r w:rsidR="00706774" w:rsidRPr="00EA3181">
        <w:rPr>
          <w:rFonts w:eastAsiaTheme="minorHAnsi" w:cs="Arial"/>
          <w:b w:val="0"/>
          <w:color w:val="auto"/>
          <w:szCs w:val="22"/>
        </w:rPr>
        <w:t>.</w:t>
      </w:r>
    </w:p>
    <w:p w:rsidR="0058143F" w:rsidRDefault="0058143F">
      <w:pPr>
        <w:pStyle w:val="ListParagraph"/>
        <w:spacing w:line="276" w:lineRule="auto"/>
        <w:ind w:left="709"/>
        <w:jc w:val="both"/>
        <w:rPr>
          <w:rFonts w:eastAsiaTheme="minorHAnsi" w:cs="Arial"/>
          <w:b w:val="0"/>
          <w:color w:val="auto"/>
          <w:szCs w:val="22"/>
        </w:rPr>
      </w:pPr>
    </w:p>
    <w:p w:rsidR="0058143F" w:rsidRDefault="00706774">
      <w:pPr>
        <w:pStyle w:val="ListParagraph"/>
        <w:numPr>
          <w:ilvl w:val="0"/>
          <w:numId w:val="18"/>
        </w:numPr>
        <w:spacing w:line="276" w:lineRule="auto"/>
        <w:ind w:left="709" w:hanging="283"/>
        <w:jc w:val="both"/>
        <w:rPr>
          <w:rFonts w:eastAsiaTheme="minorHAnsi" w:cs="Arial"/>
          <w:b w:val="0"/>
          <w:color w:val="auto"/>
          <w:szCs w:val="22"/>
        </w:rPr>
      </w:pPr>
      <w:r>
        <w:rPr>
          <w:rFonts w:eastAsiaTheme="minorHAnsi" w:cs="Arial"/>
          <w:b w:val="0"/>
          <w:color w:val="auto"/>
          <w:szCs w:val="22"/>
        </w:rPr>
        <w:lastRenderedPageBreak/>
        <w:t>Universal d</w:t>
      </w:r>
      <w:r w:rsidR="00B25FDF">
        <w:rPr>
          <w:rFonts w:eastAsiaTheme="minorHAnsi" w:cs="Arial"/>
          <w:b w:val="0"/>
          <w:color w:val="auto"/>
          <w:szCs w:val="22"/>
        </w:rPr>
        <w:t>esign</w:t>
      </w:r>
      <w:r w:rsidR="00341E7E">
        <w:rPr>
          <w:rFonts w:eastAsiaTheme="minorHAnsi" w:cs="Arial"/>
          <w:b w:val="0"/>
          <w:color w:val="auto"/>
          <w:szCs w:val="22"/>
        </w:rPr>
        <w:t xml:space="preserve">:  Currently </w:t>
      </w:r>
      <w:r w:rsidR="00B25FDF">
        <w:rPr>
          <w:rFonts w:eastAsiaTheme="minorHAnsi" w:cs="Arial"/>
          <w:b w:val="0"/>
          <w:color w:val="auto"/>
          <w:szCs w:val="22"/>
        </w:rPr>
        <w:t>new buildings have to comply with the Building Code</w:t>
      </w:r>
      <w:r>
        <w:rPr>
          <w:rFonts w:eastAsiaTheme="minorHAnsi" w:cs="Arial"/>
          <w:b w:val="0"/>
          <w:color w:val="auto"/>
          <w:szCs w:val="22"/>
        </w:rPr>
        <w:t xml:space="preserve"> of Australia</w:t>
      </w:r>
      <w:r w:rsidR="00B25FDF">
        <w:rPr>
          <w:rFonts w:eastAsiaTheme="minorHAnsi" w:cs="Arial"/>
          <w:b w:val="0"/>
          <w:color w:val="auto"/>
          <w:szCs w:val="22"/>
        </w:rPr>
        <w:t xml:space="preserve">, however unfortunately this does not go far enough in creating spaces and buildings that are accessible for all ages and abilities.  Universal design principles need to be included within the </w:t>
      </w:r>
      <w:r>
        <w:rPr>
          <w:rFonts w:eastAsiaTheme="minorHAnsi" w:cs="Arial"/>
          <w:b w:val="0"/>
          <w:color w:val="auto"/>
          <w:szCs w:val="22"/>
        </w:rPr>
        <w:t>legislation</w:t>
      </w:r>
      <w:r w:rsidR="00B25FDF">
        <w:rPr>
          <w:rFonts w:eastAsiaTheme="minorHAnsi" w:cs="Arial"/>
          <w:b w:val="0"/>
          <w:color w:val="auto"/>
          <w:szCs w:val="22"/>
        </w:rPr>
        <w:t xml:space="preserve"> when developing new buildings and public infrastructure.</w:t>
      </w:r>
      <w:r w:rsidR="00341E7E">
        <w:rPr>
          <w:rFonts w:eastAsiaTheme="minorHAnsi" w:cs="Arial"/>
          <w:b w:val="0"/>
          <w:color w:val="auto"/>
          <w:szCs w:val="22"/>
        </w:rPr>
        <w:t xml:space="preserve"> </w:t>
      </w:r>
    </w:p>
    <w:p w:rsidR="0058143F" w:rsidRDefault="0058143F">
      <w:pPr>
        <w:pStyle w:val="ListParagraph"/>
        <w:rPr>
          <w:rFonts w:eastAsiaTheme="minorHAnsi" w:cs="Arial"/>
          <w:b w:val="0"/>
          <w:color w:val="auto"/>
          <w:szCs w:val="22"/>
        </w:rPr>
      </w:pPr>
    </w:p>
    <w:p w:rsidR="0058143F" w:rsidRDefault="006E4BBF">
      <w:pPr>
        <w:pStyle w:val="ListParagraph"/>
        <w:numPr>
          <w:ilvl w:val="0"/>
          <w:numId w:val="18"/>
        </w:numPr>
        <w:spacing w:line="276" w:lineRule="auto"/>
        <w:ind w:left="709" w:hanging="283"/>
        <w:jc w:val="both"/>
        <w:rPr>
          <w:rFonts w:eastAsiaTheme="minorHAnsi" w:cs="Arial"/>
          <w:b w:val="0"/>
          <w:color w:val="auto"/>
          <w:szCs w:val="22"/>
        </w:rPr>
      </w:pPr>
      <w:r>
        <w:rPr>
          <w:rFonts w:eastAsiaTheme="minorHAnsi" w:cs="Arial"/>
          <w:b w:val="0"/>
          <w:color w:val="auto"/>
          <w:szCs w:val="22"/>
        </w:rPr>
        <w:t>Women and girls with a disability: Gender equity is a key priority for the Council</w:t>
      </w:r>
      <w:r w:rsidR="00B5598F">
        <w:rPr>
          <w:rFonts w:eastAsiaTheme="minorHAnsi" w:cs="Arial"/>
          <w:b w:val="0"/>
          <w:color w:val="auto"/>
          <w:szCs w:val="22"/>
        </w:rPr>
        <w:t>. Women and girls with a disability are often faced with equities therefore it is essential that the law and legal frameworks identify this and put strategies in place to address them, such as greater support for women with disabilities at risk of violence, abuse, and or neglect.</w:t>
      </w:r>
    </w:p>
    <w:p w:rsidR="0058143F" w:rsidRDefault="0058143F">
      <w:pPr>
        <w:pStyle w:val="ListParagraph"/>
        <w:rPr>
          <w:rFonts w:eastAsiaTheme="minorHAnsi" w:cs="Arial"/>
          <w:b w:val="0"/>
          <w:color w:val="auto"/>
          <w:szCs w:val="22"/>
        </w:rPr>
      </w:pPr>
    </w:p>
    <w:p w:rsidR="0058143F" w:rsidRDefault="00706774">
      <w:pPr>
        <w:pStyle w:val="ListParagraph"/>
        <w:numPr>
          <w:ilvl w:val="0"/>
          <w:numId w:val="18"/>
        </w:numPr>
        <w:spacing w:line="276" w:lineRule="auto"/>
        <w:ind w:left="709" w:hanging="283"/>
        <w:jc w:val="both"/>
        <w:rPr>
          <w:rFonts w:eastAsiaTheme="minorHAnsi" w:cs="Arial"/>
          <w:b w:val="0"/>
          <w:color w:val="auto"/>
          <w:szCs w:val="22"/>
        </w:rPr>
      </w:pPr>
      <w:r>
        <w:rPr>
          <w:rFonts w:eastAsiaTheme="minorHAnsi" w:cs="Arial"/>
          <w:b w:val="0"/>
          <w:color w:val="auto"/>
          <w:szCs w:val="22"/>
        </w:rPr>
        <w:t>Human r</w:t>
      </w:r>
      <w:r w:rsidR="00B5598F">
        <w:rPr>
          <w:rFonts w:eastAsiaTheme="minorHAnsi" w:cs="Arial"/>
          <w:b w:val="0"/>
          <w:color w:val="auto"/>
          <w:szCs w:val="22"/>
        </w:rPr>
        <w:t xml:space="preserve">ights: </w:t>
      </w:r>
      <w:r w:rsidR="00411B3A">
        <w:rPr>
          <w:rFonts w:eastAsiaTheme="minorHAnsi" w:cs="Arial"/>
          <w:b w:val="0"/>
          <w:color w:val="auto"/>
          <w:szCs w:val="22"/>
        </w:rPr>
        <w:t xml:space="preserve">While the issues paper identifies the need to review and or link with specific state and territory laws, it should also identify the need for the development of a National Human Rights Charter which can set the direction for the nation on all human rights, including people with disabilities. </w:t>
      </w:r>
    </w:p>
    <w:p w:rsidR="00AC22E5" w:rsidRPr="00AC22E5" w:rsidRDefault="00AC22E5" w:rsidP="00AC22E5">
      <w:pPr>
        <w:pStyle w:val="ListParagraph"/>
        <w:rPr>
          <w:rFonts w:eastAsiaTheme="minorHAnsi" w:cs="Arial"/>
          <w:b w:val="0"/>
          <w:color w:val="auto"/>
          <w:szCs w:val="22"/>
        </w:rPr>
      </w:pPr>
    </w:p>
    <w:p w:rsidR="00AC22E5" w:rsidRDefault="00B92CA1">
      <w:pPr>
        <w:pStyle w:val="ListParagraph"/>
        <w:numPr>
          <w:ilvl w:val="0"/>
          <w:numId w:val="18"/>
        </w:numPr>
        <w:spacing w:line="276" w:lineRule="auto"/>
        <w:ind w:left="709" w:hanging="283"/>
        <w:jc w:val="both"/>
        <w:rPr>
          <w:rFonts w:eastAsiaTheme="minorHAnsi" w:cs="Arial"/>
          <w:b w:val="0"/>
          <w:color w:val="auto"/>
          <w:szCs w:val="22"/>
        </w:rPr>
      </w:pPr>
      <w:r>
        <w:rPr>
          <w:rFonts w:eastAsiaTheme="minorHAnsi" w:cs="Arial"/>
          <w:b w:val="0"/>
          <w:color w:val="auto"/>
          <w:szCs w:val="22"/>
        </w:rPr>
        <w:t xml:space="preserve">Disability </w:t>
      </w:r>
      <w:r w:rsidR="00AC22E5">
        <w:rPr>
          <w:rFonts w:eastAsiaTheme="minorHAnsi" w:cs="Arial"/>
          <w:b w:val="0"/>
          <w:color w:val="auto"/>
          <w:szCs w:val="22"/>
        </w:rPr>
        <w:t>an</w:t>
      </w:r>
      <w:r w:rsidR="00706774">
        <w:rPr>
          <w:rFonts w:eastAsiaTheme="minorHAnsi" w:cs="Arial"/>
          <w:b w:val="0"/>
          <w:color w:val="auto"/>
          <w:szCs w:val="22"/>
        </w:rPr>
        <w:t>d a</w:t>
      </w:r>
      <w:r w:rsidR="00AC22E5">
        <w:rPr>
          <w:rFonts w:eastAsiaTheme="minorHAnsi" w:cs="Arial"/>
          <w:b w:val="0"/>
          <w:color w:val="auto"/>
          <w:szCs w:val="22"/>
        </w:rPr>
        <w:t xml:space="preserve">ged </w:t>
      </w:r>
      <w:r w:rsidR="00706774">
        <w:rPr>
          <w:rFonts w:eastAsiaTheme="minorHAnsi" w:cs="Arial"/>
          <w:b w:val="0"/>
          <w:color w:val="auto"/>
          <w:szCs w:val="22"/>
        </w:rPr>
        <w:t>c</w:t>
      </w:r>
      <w:r w:rsidR="00AC22E5">
        <w:rPr>
          <w:rFonts w:eastAsiaTheme="minorHAnsi" w:cs="Arial"/>
          <w:b w:val="0"/>
          <w:color w:val="auto"/>
          <w:szCs w:val="22"/>
        </w:rPr>
        <w:t>are: Currently young people with disabilities are placed in nursing homes when no appropriate accommodation is available</w:t>
      </w:r>
      <w:r>
        <w:rPr>
          <w:rFonts w:eastAsiaTheme="minorHAnsi" w:cs="Arial"/>
          <w:b w:val="0"/>
          <w:color w:val="auto"/>
          <w:szCs w:val="22"/>
        </w:rPr>
        <w:t xml:space="preserve">. This is of </w:t>
      </w:r>
      <w:r w:rsidR="002133C4">
        <w:rPr>
          <w:rFonts w:eastAsiaTheme="minorHAnsi" w:cs="Arial"/>
          <w:b w:val="0"/>
          <w:color w:val="auto"/>
          <w:szCs w:val="22"/>
        </w:rPr>
        <w:t>great concern. L</w:t>
      </w:r>
      <w:r>
        <w:rPr>
          <w:rFonts w:eastAsiaTheme="minorHAnsi" w:cs="Arial"/>
          <w:b w:val="0"/>
          <w:color w:val="auto"/>
          <w:szCs w:val="22"/>
        </w:rPr>
        <w:t>egislatio</w:t>
      </w:r>
      <w:r w:rsidR="00FC6CFC">
        <w:rPr>
          <w:rFonts w:eastAsiaTheme="minorHAnsi" w:cs="Arial"/>
          <w:b w:val="0"/>
          <w:color w:val="auto"/>
          <w:szCs w:val="22"/>
        </w:rPr>
        <w:t>n</w:t>
      </w:r>
      <w:r w:rsidR="002133C4">
        <w:rPr>
          <w:rFonts w:eastAsiaTheme="minorHAnsi" w:cs="Arial"/>
          <w:b w:val="0"/>
          <w:color w:val="auto"/>
          <w:szCs w:val="22"/>
        </w:rPr>
        <w:t xml:space="preserve"> needs to be in place to ensure there is appropriate housing for young people with disabilities and that they are placed in accommodation that is age appropriate. </w:t>
      </w:r>
    </w:p>
    <w:p w:rsidR="004915C4" w:rsidRPr="00B117F7" w:rsidRDefault="004915C4" w:rsidP="004915C4">
      <w:pPr>
        <w:autoSpaceDE w:val="0"/>
        <w:autoSpaceDN w:val="0"/>
        <w:adjustRightInd w:val="0"/>
        <w:rPr>
          <w:rFonts w:cs="Arial"/>
          <w:sz w:val="24"/>
        </w:rPr>
      </w:pPr>
    </w:p>
    <w:p w:rsidR="004915C4" w:rsidRPr="004915C4" w:rsidRDefault="004915C4" w:rsidP="004915C4">
      <w:pPr>
        <w:spacing w:line="276" w:lineRule="auto"/>
        <w:jc w:val="both"/>
        <w:rPr>
          <w:rFonts w:eastAsiaTheme="minorHAnsi" w:cs="Arial"/>
          <w:b w:val="0"/>
          <w:color w:val="auto"/>
          <w:sz w:val="22"/>
          <w:szCs w:val="22"/>
          <w:lang w:val="en-AU"/>
        </w:rPr>
      </w:pPr>
      <w:r w:rsidRPr="004915C4">
        <w:rPr>
          <w:rFonts w:eastAsiaTheme="minorHAnsi" w:cs="Arial"/>
          <w:b w:val="0"/>
          <w:color w:val="auto"/>
          <w:sz w:val="22"/>
          <w:szCs w:val="22"/>
          <w:lang w:val="en-AU"/>
        </w:rPr>
        <w:t>The Council also understands people with disability are denied the right to recognition before the law in a wide range of civil law contexts – for example, in the law of contracts, the law of succession, in relationship (family) law, and in laws related to civic duties and employment law.</w:t>
      </w:r>
      <w:r w:rsidR="00510FAA">
        <w:rPr>
          <w:rFonts w:eastAsiaTheme="minorHAnsi" w:cs="Arial"/>
          <w:b w:val="0"/>
          <w:color w:val="auto"/>
          <w:sz w:val="22"/>
          <w:szCs w:val="22"/>
          <w:lang w:val="en-AU"/>
        </w:rPr>
        <w:t xml:space="preserve">  These should also be reviewed to ensure recognition is achieved.</w:t>
      </w:r>
    </w:p>
    <w:p w:rsidR="004915C4" w:rsidRDefault="004915C4" w:rsidP="004915C4"/>
    <w:p w:rsidR="00B5598F" w:rsidRPr="00706774" w:rsidRDefault="00B5598F" w:rsidP="00B5598F">
      <w:pPr>
        <w:rPr>
          <w:color w:val="76923C" w:themeColor="accent3" w:themeShade="BF"/>
          <w:sz w:val="24"/>
          <w:lang w:val="en-AU"/>
        </w:rPr>
      </w:pPr>
      <w:r w:rsidRPr="00706774">
        <w:rPr>
          <w:color w:val="76923C" w:themeColor="accent3" w:themeShade="BF"/>
          <w:sz w:val="24"/>
          <w:lang w:val="en-AU"/>
        </w:rPr>
        <w:t>Conclusion</w:t>
      </w:r>
    </w:p>
    <w:p w:rsidR="00B5598F" w:rsidRDefault="00B5598F" w:rsidP="00B5598F">
      <w:pPr>
        <w:spacing w:line="324" w:lineRule="auto"/>
        <w:jc w:val="both"/>
        <w:rPr>
          <w:rFonts w:eastAsiaTheme="minorHAnsi" w:cs="Arial"/>
          <w:b w:val="0"/>
          <w:color w:val="auto"/>
          <w:sz w:val="22"/>
          <w:szCs w:val="22"/>
          <w:lang w:val="en-AU"/>
        </w:rPr>
      </w:pPr>
    </w:p>
    <w:p w:rsidR="00B5598F" w:rsidRPr="005B2098" w:rsidRDefault="00B5598F" w:rsidP="00B5598F">
      <w:pPr>
        <w:spacing w:after="200" w:line="324" w:lineRule="auto"/>
        <w:jc w:val="both"/>
        <w:rPr>
          <w:rFonts w:eastAsiaTheme="minorHAnsi" w:cs="Arial"/>
          <w:b w:val="0"/>
          <w:color w:val="auto"/>
          <w:sz w:val="22"/>
          <w:szCs w:val="22"/>
        </w:rPr>
      </w:pPr>
      <w:r w:rsidRPr="005B2098">
        <w:rPr>
          <w:rFonts w:eastAsiaTheme="minorHAnsi" w:cs="Arial"/>
          <w:b w:val="0"/>
          <w:color w:val="auto"/>
          <w:sz w:val="22"/>
          <w:szCs w:val="22"/>
        </w:rPr>
        <w:t xml:space="preserve">The Council looks </w:t>
      </w:r>
      <w:r>
        <w:rPr>
          <w:rFonts w:eastAsiaTheme="minorHAnsi" w:cs="Arial"/>
          <w:b w:val="0"/>
          <w:color w:val="auto"/>
          <w:sz w:val="22"/>
          <w:szCs w:val="22"/>
        </w:rPr>
        <w:t>forward to reading the final report by the commission and seeing change implemented to support and enable full participation and recognition of people with disabilities in the law and legal frameworks.</w:t>
      </w:r>
      <w:r w:rsidRPr="005B2098">
        <w:rPr>
          <w:rFonts w:eastAsiaTheme="minorHAnsi" w:cs="Arial"/>
          <w:b w:val="0"/>
          <w:color w:val="auto"/>
          <w:sz w:val="22"/>
          <w:szCs w:val="22"/>
        </w:rPr>
        <w:t xml:space="preserve"> </w:t>
      </w:r>
    </w:p>
    <w:p w:rsidR="00035DB9" w:rsidRDefault="00035DB9">
      <w:pPr>
        <w:rPr>
          <w:rFonts w:eastAsiaTheme="minorHAnsi" w:cs="Arial"/>
          <w:sz w:val="22"/>
          <w:szCs w:val="22"/>
          <w:lang w:val="en-AU"/>
        </w:rPr>
      </w:pPr>
    </w:p>
    <w:sectPr w:rsidR="00035DB9" w:rsidSect="004C4D0D">
      <w:footerReference w:type="default" r:id="rId14"/>
      <w:pgSz w:w="11900" w:h="16840"/>
      <w:pgMar w:top="1702" w:right="1127" w:bottom="0" w:left="680" w:header="0" w:footer="6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D8" w:rsidRDefault="00150AD8">
      <w:r>
        <w:separator/>
      </w:r>
    </w:p>
  </w:endnote>
  <w:endnote w:type="continuationSeparator" w:id="0">
    <w:p w:rsidR="00150AD8" w:rsidRDefault="00150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C2" w:rsidRDefault="000163C2">
    <w:pPr>
      <w:pStyle w:val="Footer"/>
    </w:pPr>
    <w:r>
      <w:rPr>
        <w:noProof/>
        <w:lang w:val="en-AU" w:eastAsia="en-AU"/>
      </w:rPr>
      <w:drawing>
        <wp:anchor distT="0" distB="0" distL="114300" distR="114300" simplePos="0" relativeHeight="251679744" behindDoc="0" locked="0" layoutInCell="1" allowOverlap="1">
          <wp:simplePos x="0" y="0"/>
          <wp:positionH relativeFrom="column">
            <wp:posOffset>152400</wp:posOffset>
          </wp:positionH>
          <wp:positionV relativeFrom="paragraph">
            <wp:posOffset>141605</wp:posOffset>
          </wp:positionV>
          <wp:extent cx="7910195" cy="638810"/>
          <wp:effectExtent l="19050" t="0" r="0" b="0"/>
          <wp:wrapSquare wrapText="bothSides"/>
          <wp:docPr id="7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r="1559" b="12820"/>
                  <a:stretch>
                    <a:fillRect/>
                  </a:stretch>
                </pic:blipFill>
                <pic:spPr bwMode="auto">
                  <a:xfrm>
                    <a:off x="0" y="0"/>
                    <a:ext cx="7910195" cy="6388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C2" w:rsidRPr="00DF24D4" w:rsidRDefault="000163C2">
    <w:pPr>
      <w:pStyle w:val="Footer"/>
      <w:jc w:val="center"/>
      <w:rPr>
        <w:b w:val="0"/>
        <w:color w:val="auto"/>
        <w:sz w:val="16"/>
        <w:szCs w:val="16"/>
      </w:rPr>
    </w:pPr>
    <w:r w:rsidRPr="00DF24D4">
      <w:rPr>
        <w:b w:val="0"/>
        <w:noProof/>
        <w:color w:val="auto"/>
        <w:sz w:val="16"/>
        <w:szCs w:val="16"/>
        <w:lang w:val="en-AU" w:eastAsia="en-AU"/>
      </w:rPr>
      <w:drawing>
        <wp:anchor distT="0" distB="0" distL="114300" distR="114300" simplePos="0" relativeHeight="251634688" behindDoc="0" locked="0" layoutInCell="1" allowOverlap="1">
          <wp:simplePos x="0" y="0"/>
          <wp:positionH relativeFrom="column">
            <wp:posOffset>-278765</wp:posOffset>
          </wp:positionH>
          <wp:positionV relativeFrom="paragraph">
            <wp:posOffset>148590</wp:posOffset>
          </wp:positionV>
          <wp:extent cx="7543800" cy="920115"/>
          <wp:effectExtent l="19050" t="0" r="0" b="0"/>
          <wp:wrapSquare wrapText="bothSides"/>
          <wp:docPr id="7" name="Picture 7" descr="Smal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 footer"/>
                  <pic:cNvPicPr>
                    <a:picLocks noChangeAspect="1" noChangeArrowheads="1"/>
                  </pic:cNvPicPr>
                </pic:nvPicPr>
                <pic:blipFill>
                  <a:blip r:embed="rId1"/>
                  <a:srcRect/>
                  <a:stretch>
                    <a:fillRect/>
                  </a:stretch>
                </pic:blipFill>
                <pic:spPr bwMode="auto">
                  <a:xfrm>
                    <a:off x="0" y="0"/>
                    <a:ext cx="7543800" cy="920115"/>
                  </a:xfrm>
                  <a:prstGeom prst="rect">
                    <a:avLst/>
                  </a:prstGeom>
                  <a:noFill/>
                  <a:ln w="9525">
                    <a:noFill/>
                    <a:miter lim="800000"/>
                    <a:headEnd/>
                    <a:tailEnd/>
                  </a:ln>
                </pic:spPr>
              </pic:pic>
            </a:graphicData>
          </a:graphic>
        </wp:anchor>
      </w:drawing>
    </w:r>
    <w:r w:rsidR="00BF281E" w:rsidRPr="00DF24D4">
      <w:rPr>
        <w:b w:val="0"/>
        <w:color w:val="auto"/>
        <w:sz w:val="16"/>
        <w:szCs w:val="16"/>
      </w:rPr>
      <w:fldChar w:fldCharType="begin"/>
    </w:r>
    <w:r w:rsidR="00032704" w:rsidRPr="00DF24D4">
      <w:rPr>
        <w:b w:val="0"/>
        <w:color w:val="auto"/>
        <w:sz w:val="16"/>
        <w:szCs w:val="16"/>
      </w:rPr>
      <w:instrText xml:space="preserve"> PAGE   \* MERGEFORMAT </w:instrText>
    </w:r>
    <w:r w:rsidR="00BF281E" w:rsidRPr="00DF24D4">
      <w:rPr>
        <w:b w:val="0"/>
        <w:color w:val="auto"/>
        <w:sz w:val="16"/>
        <w:szCs w:val="16"/>
      </w:rPr>
      <w:fldChar w:fldCharType="separate"/>
    </w:r>
    <w:r w:rsidR="002133C4">
      <w:rPr>
        <w:b w:val="0"/>
        <w:noProof/>
        <w:color w:val="auto"/>
        <w:sz w:val="16"/>
        <w:szCs w:val="16"/>
      </w:rPr>
      <w:t>2</w:t>
    </w:r>
    <w:r w:rsidR="00BF281E" w:rsidRPr="00DF24D4">
      <w:rPr>
        <w:b w:val="0"/>
        <w:color w:val="auto"/>
        <w:sz w:val="16"/>
        <w:szCs w:val="16"/>
      </w:rPr>
      <w:fldChar w:fldCharType="end"/>
    </w:r>
  </w:p>
  <w:p w:rsidR="000163C2" w:rsidRDefault="00016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C2" w:rsidRPr="00827443" w:rsidRDefault="00BF281E">
    <w:pPr>
      <w:pStyle w:val="Footer"/>
      <w:jc w:val="center"/>
      <w:rPr>
        <w:b w:val="0"/>
        <w:color w:val="auto"/>
        <w:sz w:val="16"/>
        <w:szCs w:val="16"/>
      </w:rPr>
    </w:pPr>
    <w:r w:rsidRPr="00827443">
      <w:rPr>
        <w:b w:val="0"/>
        <w:color w:val="auto"/>
        <w:sz w:val="16"/>
        <w:szCs w:val="16"/>
      </w:rPr>
      <w:fldChar w:fldCharType="begin"/>
    </w:r>
    <w:r w:rsidR="000163C2" w:rsidRPr="00827443">
      <w:rPr>
        <w:b w:val="0"/>
        <w:color w:val="auto"/>
        <w:sz w:val="16"/>
        <w:szCs w:val="16"/>
      </w:rPr>
      <w:instrText xml:space="preserve"> PAGE   \* MERGEFORMAT </w:instrText>
    </w:r>
    <w:r w:rsidRPr="00827443">
      <w:rPr>
        <w:b w:val="0"/>
        <w:color w:val="auto"/>
        <w:sz w:val="16"/>
        <w:szCs w:val="16"/>
      </w:rPr>
      <w:fldChar w:fldCharType="separate"/>
    </w:r>
    <w:r w:rsidR="00790879">
      <w:rPr>
        <w:b w:val="0"/>
        <w:noProof/>
        <w:color w:val="auto"/>
        <w:sz w:val="16"/>
        <w:szCs w:val="16"/>
      </w:rPr>
      <w:t>4</w:t>
    </w:r>
    <w:r w:rsidRPr="00827443">
      <w:rPr>
        <w:b w:val="0"/>
        <w:color w:val="auto"/>
        <w:sz w:val="16"/>
        <w:szCs w:val="16"/>
      </w:rPr>
      <w:fldChar w:fldCharType="end"/>
    </w:r>
  </w:p>
  <w:p w:rsidR="000163C2" w:rsidRDefault="000163C2">
    <w:pPr>
      <w:pStyle w:val="Footer"/>
    </w:pPr>
    <w:r>
      <w:rPr>
        <w:noProof/>
        <w:lang w:val="en-AU" w:eastAsia="en-AU"/>
      </w:rPr>
      <w:drawing>
        <wp:anchor distT="0" distB="0" distL="114300" distR="114300" simplePos="0" relativeHeight="251678720" behindDoc="0" locked="0" layoutInCell="1" allowOverlap="1">
          <wp:simplePos x="0" y="0"/>
          <wp:positionH relativeFrom="column">
            <wp:posOffset>-135890</wp:posOffset>
          </wp:positionH>
          <wp:positionV relativeFrom="paragraph">
            <wp:posOffset>125730</wp:posOffset>
          </wp:positionV>
          <wp:extent cx="7910195" cy="638810"/>
          <wp:effectExtent l="19050" t="0" r="0" b="0"/>
          <wp:wrapSquare wrapText="bothSides"/>
          <wp:docPr id="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r="1559" b="12820"/>
                  <a:stretch>
                    <a:fillRect/>
                  </a:stretch>
                </pic:blipFill>
                <pic:spPr bwMode="auto">
                  <a:xfrm>
                    <a:off x="0" y="0"/>
                    <a:ext cx="7910195" cy="6388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D8" w:rsidRDefault="00150AD8">
      <w:r>
        <w:separator/>
      </w:r>
    </w:p>
  </w:footnote>
  <w:footnote w:type="continuationSeparator" w:id="0">
    <w:p w:rsidR="00150AD8" w:rsidRDefault="00150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C2" w:rsidRDefault="00BF281E">
    <w:pPr>
      <w:pStyle w:val="Header"/>
    </w:pPr>
    <w:r>
      <w:rPr>
        <w:noProof/>
        <w:lang w:val="en-AU" w:eastAsia="en-AU"/>
      </w:rPr>
      <w:pict>
        <v:shapetype id="_x0000_t202" coordsize="21600,21600" o:spt="202" path="m,l,21600r21600,l21600,xe">
          <v:stroke joinstyle="miter"/>
          <v:path gradientshapeok="t" o:connecttype="rect"/>
        </v:shapetype>
        <v:shape id="_x0000_s2049" type="#_x0000_t202" style="position:absolute;margin-left:-.75pt;margin-top:0;width:589.5pt;height:232.45pt;z-index:251633664" filled="f" stroked="f">
          <v:textbox style="mso-next-textbox:#_x0000_s2049" inset="0,0,0,0">
            <w:txbxContent>
              <w:p w:rsidR="000163C2" w:rsidRDefault="000163C2" w:rsidP="00D60549">
                <w:pPr>
                  <w:ind w:right="-12"/>
                </w:pPr>
                <w:r>
                  <w:rPr>
                    <w:noProof/>
                    <w:lang w:val="en-AU" w:eastAsia="en-AU"/>
                  </w:rPr>
                  <w:drawing>
                    <wp:inline distT="0" distB="0" distL="0" distR="0">
                      <wp:extent cx="7403833" cy="2700000"/>
                      <wp:effectExtent l="19050" t="0" r="6617" b="0"/>
                      <wp:docPr id="1" name="Picture 1" descr="Invita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header"/>
                              <pic:cNvPicPr>
                                <a:picLocks noChangeAspect="1" noChangeArrowheads="1"/>
                              </pic:cNvPicPr>
                            </pic:nvPicPr>
                            <pic:blipFill>
                              <a:blip r:embed="rId1"/>
                              <a:srcRect/>
                              <a:stretch>
                                <a:fillRect/>
                              </a:stretch>
                            </pic:blipFill>
                            <pic:spPr bwMode="auto">
                              <a:xfrm>
                                <a:off x="0" y="0"/>
                                <a:ext cx="7403833" cy="270000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C2" w:rsidRDefault="00016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C2" w:rsidRDefault="000163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C2" w:rsidRDefault="00016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C9D"/>
    <w:multiLevelType w:val="hybridMultilevel"/>
    <w:tmpl w:val="34C4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278E3"/>
    <w:multiLevelType w:val="hybridMultilevel"/>
    <w:tmpl w:val="D57EC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71108"/>
    <w:multiLevelType w:val="hybridMultilevel"/>
    <w:tmpl w:val="1CB23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B73741"/>
    <w:multiLevelType w:val="hybridMultilevel"/>
    <w:tmpl w:val="FE940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35D4B"/>
    <w:multiLevelType w:val="hybridMultilevel"/>
    <w:tmpl w:val="A12698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1FC6E06"/>
    <w:multiLevelType w:val="hybridMultilevel"/>
    <w:tmpl w:val="3CF0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AD3CA1"/>
    <w:multiLevelType w:val="hybridMultilevel"/>
    <w:tmpl w:val="6DE8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5726FB"/>
    <w:multiLevelType w:val="hybridMultilevel"/>
    <w:tmpl w:val="3F529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163F63"/>
    <w:multiLevelType w:val="hybridMultilevel"/>
    <w:tmpl w:val="AD7A9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533A21"/>
    <w:multiLevelType w:val="hybridMultilevel"/>
    <w:tmpl w:val="879C06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33A860C5"/>
    <w:multiLevelType w:val="hybridMultilevel"/>
    <w:tmpl w:val="3CA28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9324B1"/>
    <w:multiLevelType w:val="hybridMultilevel"/>
    <w:tmpl w:val="A12A6BAC"/>
    <w:lvl w:ilvl="0" w:tplc="0F58E92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10121F"/>
    <w:multiLevelType w:val="hybridMultilevel"/>
    <w:tmpl w:val="E2C06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B97D5F"/>
    <w:multiLevelType w:val="hybridMultilevel"/>
    <w:tmpl w:val="22021F64"/>
    <w:lvl w:ilvl="0" w:tplc="0C09000F">
      <w:start w:val="1"/>
      <w:numFmt w:val="decimal"/>
      <w:lvlText w:val="%1."/>
      <w:lvlJc w:val="left"/>
      <w:pPr>
        <w:ind w:left="360" w:hanging="360"/>
      </w:pPr>
      <w:rPr>
        <w:rFonts w:hint="default"/>
        <w:b w:val="0"/>
        <w:color w:val="000000" w:themeColor="text1"/>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59C6FAE"/>
    <w:multiLevelType w:val="hybridMultilevel"/>
    <w:tmpl w:val="D82C9AD4"/>
    <w:lvl w:ilvl="0" w:tplc="2436B83C">
      <w:start w:val="1"/>
      <w:numFmt w:val="decimal"/>
      <w:lvlText w:val="%1."/>
      <w:lvlJc w:val="left"/>
      <w:pPr>
        <w:ind w:left="360" w:hanging="360"/>
      </w:pPr>
      <w:rPr>
        <w:rFonts w:ascii="Arial" w:hAnsi="Arial" w:cs="Arial" w:hint="default"/>
        <w:b w:val="0"/>
        <w:i w:val="0"/>
        <w:color w:val="000000" w:themeColor="text1"/>
        <w:sz w:val="22"/>
        <w:szCs w:val="22"/>
      </w:rPr>
    </w:lvl>
    <w:lvl w:ilvl="1" w:tplc="0C090001">
      <w:start w:val="1"/>
      <w:numFmt w:val="bullet"/>
      <w:lvlText w:val=""/>
      <w:lvlJc w:val="left"/>
      <w:pPr>
        <w:ind w:left="1080" w:hanging="360"/>
      </w:pPr>
      <w:rPr>
        <w:rFonts w:ascii="Symbol" w:hAnsi="Symbol"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ED05F46"/>
    <w:multiLevelType w:val="hybridMultilevel"/>
    <w:tmpl w:val="80129F42"/>
    <w:lvl w:ilvl="0" w:tplc="A0460A72">
      <w:start w:val="1"/>
      <w:numFmt w:val="decimal"/>
      <w:lvlText w:val="%1."/>
      <w:lvlJc w:val="left"/>
      <w:pPr>
        <w:ind w:left="360" w:hanging="360"/>
      </w:pPr>
      <w:rPr>
        <w:rFonts w:hint="default"/>
        <w:b w:val="0"/>
        <w:i w:val="0"/>
        <w:color w:val="000000" w:themeColor="text1"/>
        <w:sz w:val="20"/>
        <w:szCs w:val="20"/>
      </w:rPr>
    </w:lvl>
    <w:lvl w:ilvl="1" w:tplc="0C090019">
      <w:start w:val="1"/>
      <w:numFmt w:val="lowerLetter"/>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16F6CB0"/>
    <w:multiLevelType w:val="hybridMultilevel"/>
    <w:tmpl w:val="E582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7D3711"/>
    <w:multiLevelType w:val="hybridMultilevel"/>
    <w:tmpl w:val="B0EA8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D660A6"/>
    <w:multiLevelType w:val="hybridMultilevel"/>
    <w:tmpl w:val="AAAE8568"/>
    <w:lvl w:ilvl="0" w:tplc="6C6848A2">
      <w:start w:val="1"/>
      <w:numFmt w:val="decimal"/>
      <w:lvlText w:val="%1."/>
      <w:lvlJc w:val="left"/>
      <w:pPr>
        <w:ind w:left="720" w:hanging="720"/>
      </w:pPr>
      <w:rPr>
        <w:rFonts w:hint="default"/>
        <w:b/>
        <w:sz w:val="52"/>
        <w:szCs w:val="5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8"/>
  </w:num>
  <w:num w:numId="3">
    <w:abstractNumId w:val="10"/>
  </w:num>
  <w:num w:numId="4">
    <w:abstractNumId w:val="14"/>
  </w:num>
  <w:num w:numId="5">
    <w:abstractNumId w:val="15"/>
  </w:num>
  <w:num w:numId="6">
    <w:abstractNumId w:val="1"/>
  </w:num>
  <w:num w:numId="7">
    <w:abstractNumId w:val="17"/>
  </w:num>
  <w:num w:numId="8">
    <w:abstractNumId w:val="5"/>
  </w:num>
  <w:num w:numId="9">
    <w:abstractNumId w:val="16"/>
  </w:num>
  <w:num w:numId="10">
    <w:abstractNumId w:val="7"/>
  </w:num>
  <w:num w:numId="11">
    <w:abstractNumId w:val="13"/>
  </w:num>
  <w:num w:numId="12">
    <w:abstractNumId w:val="3"/>
  </w:num>
  <w:num w:numId="13">
    <w:abstractNumId w:val="2"/>
  </w:num>
  <w:num w:numId="14">
    <w:abstractNumId w:val="12"/>
  </w:num>
  <w:num w:numId="15">
    <w:abstractNumId w:val="11"/>
  </w:num>
  <w:num w:numId="16">
    <w:abstractNumId w:val="0"/>
  </w:num>
  <w:num w:numId="17">
    <w:abstractNumId w:val="6"/>
  </w:num>
  <w:num w:numId="18">
    <w:abstractNumId w:val="4"/>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21"/>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455D6"/>
    <w:rsid w:val="00006A6C"/>
    <w:rsid w:val="000163C2"/>
    <w:rsid w:val="00017F33"/>
    <w:rsid w:val="00021B66"/>
    <w:rsid w:val="00022A3D"/>
    <w:rsid w:val="00024ED7"/>
    <w:rsid w:val="00032704"/>
    <w:rsid w:val="00035DB9"/>
    <w:rsid w:val="000443B3"/>
    <w:rsid w:val="00045F19"/>
    <w:rsid w:val="000561AE"/>
    <w:rsid w:val="00061E98"/>
    <w:rsid w:val="00072302"/>
    <w:rsid w:val="00080BC9"/>
    <w:rsid w:val="000955A9"/>
    <w:rsid w:val="000A0341"/>
    <w:rsid w:val="000A3526"/>
    <w:rsid w:val="000B6B5A"/>
    <w:rsid w:val="000D73EB"/>
    <w:rsid w:val="000F08B5"/>
    <w:rsid w:val="000F3FAE"/>
    <w:rsid w:val="001265F0"/>
    <w:rsid w:val="00150AD8"/>
    <w:rsid w:val="00165F26"/>
    <w:rsid w:val="00172F37"/>
    <w:rsid w:val="001772D1"/>
    <w:rsid w:val="001A3A54"/>
    <w:rsid w:val="001C091A"/>
    <w:rsid w:val="001D2151"/>
    <w:rsid w:val="001D5411"/>
    <w:rsid w:val="001D7C2A"/>
    <w:rsid w:val="001E5609"/>
    <w:rsid w:val="002133C4"/>
    <w:rsid w:val="0023481C"/>
    <w:rsid w:val="00237B3F"/>
    <w:rsid w:val="002427E5"/>
    <w:rsid w:val="0024325A"/>
    <w:rsid w:val="00254AF3"/>
    <w:rsid w:val="0025635A"/>
    <w:rsid w:val="00263BD3"/>
    <w:rsid w:val="00270D07"/>
    <w:rsid w:val="002728C2"/>
    <w:rsid w:val="002806FE"/>
    <w:rsid w:val="00281577"/>
    <w:rsid w:val="00283C34"/>
    <w:rsid w:val="00295E99"/>
    <w:rsid w:val="0029635D"/>
    <w:rsid w:val="00296C6B"/>
    <w:rsid w:val="002C2BFB"/>
    <w:rsid w:val="002F182F"/>
    <w:rsid w:val="003072DF"/>
    <w:rsid w:val="00312599"/>
    <w:rsid w:val="00323BD3"/>
    <w:rsid w:val="00337B71"/>
    <w:rsid w:val="00341E7E"/>
    <w:rsid w:val="00343E44"/>
    <w:rsid w:val="00363FBD"/>
    <w:rsid w:val="00373537"/>
    <w:rsid w:val="003938B8"/>
    <w:rsid w:val="003A355B"/>
    <w:rsid w:val="003A69DE"/>
    <w:rsid w:val="003B3ABB"/>
    <w:rsid w:val="003C7E19"/>
    <w:rsid w:val="003D0120"/>
    <w:rsid w:val="003D410D"/>
    <w:rsid w:val="003D463E"/>
    <w:rsid w:val="003F4829"/>
    <w:rsid w:val="00401F17"/>
    <w:rsid w:val="004026BF"/>
    <w:rsid w:val="00405515"/>
    <w:rsid w:val="00411201"/>
    <w:rsid w:val="00411B3A"/>
    <w:rsid w:val="004161C5"/>
    <w:rsid w:val="00416D58"/>
    <w:rsid w:val="0041718A"/>
    <w:rsid w:val="004205A0"/>
    <w:rsid w:val="00436750"/>
    <w:rsid w:val="0043693B"/>
    <w:rsid w:val="00440B3F"/>
    <w:rsid w:val="00455F53"/>
    <w:rsid w:val="00470989"/>
    <w:rsid w:val="0047690A"/>
    <w:rsid w:val="004769BE"/>
    <w:rsid w:val="004915C4"/>
    <w:rsid w:val="00496EB1"/>
    <w:rsid w:val="004B1B43"/>
    <w:rsid w:val="004C4D0D"/>
    <w:rsid w:val="004C6909"/>
    <w:rsid w:val="004D0B4F"/>
    <w:rsid w:val="004E309D"/>
    <w:rsid w:val="004E7ADC"/>
    <w:rsid w:val="004F1EF4"/>
    <w:rsid w:val="005100A3"/>
    <w:rsid w:val="00510577"/>
    <w:rsid w:val="00510FAA"/>
    <w:rsid w:val="0053245E"/>
    <w:rsid w:val="0053524D"/>
    <w:rsid w:val="005418B4"/>
    <w:rsid w:val="005538B4"/>
    <w:rsid w:val="00572DF0"/>
    <w:rsid w:val="0058143F"/>
    <w:rsid w:val="00590E87"/>
    <w:rsid w:val="005B2098"/>
    <w:rsid w:val="005B49F3"/>
    <w:rsid w:val="005B4D9D"/>
    <w:rsid w:val="005C563A"/>
    <w:rsid w:val="005D79DA"/>
    <w:rsid w:val="005E0510"/>
    <w:rsid w:val="005E7911"/>
    <w:rsid w:val="005F43DF"/>
    <w:rsid w:val="00607FAD"/>
    <w:rsid w:val="0061065F"/>
    <w:rsid w:val="00627115"/>
    <w:rsid w:val="00633EF2"/>
    <w:rsid w:val="00637D91"/>
    <w:rsid w:val="00643469"/>
    <w:rsid w:val="00654F3B"/>
    <w:rsid w:val="0068446B"/>
    <w:rsid w:val="0068641C"/>
    <w:rsid w:val="00695683"/>
    <w:rsid w:val="006A5721"/>
    <w:rsid w:val="006B205A"/>
    <w:rsid w:val="006B3443"/>
    <w:rsid w:val="006C4B00"/>
    <w:rsid w:val="006D4238"/>
    <w:rsid w:val="006D567E"/>
    <w:rsid w:val="006E4BBF"/>
    <w:rsid w:val="006F3536"/>
    <w:rsid w:val="006F5F58"/>
    <w:rsid w:val="00706774"/>
    <w:rsid w:val="0072195D"/>
    <w:rsid w:val="0072391F"/>
    <w:rsid w:val="00730661"/>
    <w:rsid w:val="007331C8"/>
    <w:rsid w:val="00762243"/>
    <w:rsid w:val="00790879"/>
    <w:rsid w:val="007946EB"/>
    <w:rsid w:val="0079522D"/>
    <w:rsid w:val="007959FE"/>
    <w:rsid w:val="007A4B86"/>
    <w:rsid w:val="007B219E"/>
    <w:rsid w:val="007B7C62"/>
    <w:rsid w:val="007D7CD8"/>
    <w:rsid w:val="007E5AEE"/>
    <w:rsid w:val="007E635D"/>
    <w:rsid w:val="007F0952"/>
    <w:rsid w:val="007F177E"/>
    <w:rsid w:val="007F1F92"/>
    <w:rsid w:val="00801F47"/>
    <w:rsid w:val="00827443"/>
    <w:rsid w:val="00835A39"/>
    <w:rsid w:val="0085163E"/>
    <w:rsid w:val="008664ED"/>
    <w:rsid w:val="00870EA4"/>
    <w:rsid w:val="00872F4A"/>
    <w:rsid w:val="00880A68"/>
    <w:rsid w:val="00895981"/>
    <w:rsid w:val="008A1D55"/>
    <w:rsid w:val="008D3783"/>
    <w:rsid w:val="008F482B"/>
    <w:rsid w:val="008F55AB"/>
    <w:rsid w:val="00920B78"/>
    <w:rsid w:val="00930509"/>
    <w:rsid w:val="00953D1C"/>
    <w:rsid w:val="009A0F58"/>
    <w:rsid w:val="009A1E8B"/>
    <w:rsid w:val="009A4342"/>
    <w:rsid w:val="009C0AD1"/>
    <w:rsid w:val="009C6BA5"/>
    <w:rsid w:val="009E2744"/>
    <w:rsid w:val="009F1528"/>
    <w:rsid w:val="009F6312"/>
    <w:rsid w:val="00A07556"/>
    <w:rsid w:val="00A30DFF"/>
    <w:rsid w:val="00A351FF"/>
    <w:rsid w:val="00A355D3"/>
    <w:rsid w:val="00A456C8"/>
    <w:rsid w:val="00A45BDB"/>
    <w:rsid w:val="00A51A07"/>
    <w:rsid w:val="00A55380"/>
    <w:rsid w:val="00A85E46"/>
    <w:rsid w:val="00AB44DD"/>
    <w:rsid w:val="00AC22E5"/>
    <w:rsid w:val="00AD49B3"/>
    <w:rsid w:val="00AD6B28"/>
    <w:rsid w:val="00AF2C13"/>
    <w:rsid w:val="00B00FF9"/>
    <w:rsid w:val="00B053A0"/>
    <w:rsid w:val="00B117F7"/>
    <w:rsid w:val="00B2479C"/>
    <w:rsid w:val="00B25A09"/>
    <w:rsid w:val="00B25FDF"/>
    <w:rsid w:val="00B37CD6"/>
    <w:rsid w:val="00B4216C"/>
    <w:rsid w:val="00B4323E"/>
    <w:rsid w:val="00B448BF"/>
    <w:rsid w:val="00B455D6"/>
    <w:rsid w:val="00B5598F"/>
    <w:rsid w:val="00B71274"/>
    <w:rsid w:val="00B92CA1"/>
    <w:rsid w:val="00B933FB"/>
    <w:rsid w:val="00B946CD"/>
    <w:rsid w:val="00BB3003"/>
    <w:rsid w:val="00BB3C98"/>
    <w:rsid w:val="00BB64E6"/>
    <w:rsid w:val="00BC4565"/>
    <w:rsid w:val="00BF281E"/>
    <w:rsid w:val="00C021FB"/>
    <w:rsid w:val="00C40D6A"/>
    <w:rsid w:val="00C90410"/>
    <w:rsid w:val="00C92DF0"/>
    <w:rsid w:val="00CA0A6D"/>
    <w:rsid w:val="00CB0781"/>
    <w:rsid w:val="00CB556E"/>
    <w:rsid w:val="00CD75EC"/>
    <w:rsid w:val="00D23E51"/>
    <w:rsid w:val="00D4009B"/>
    <w:rsid w:val="00D4378D"/>
    <w:rsid w:val="00D564B3"/>
    <w:rsid w:val="00D60549"/>
    <w:rsid w:val="00D66326"/>
    <w:rsid w:val="00D76A4E"/>
    <w:rsid w:val="00D80770"/>
    <w:rsid w:val="00D91308"/>
    <w:rsid w:val="00DA3892"/>
    <w:rsid w:val="00DA6AF6"/>
    <w:rsid w:val="00DA7CC2"/>
    <w:rsid w:val="00DC0888"/>
    <w:rsid w:val="00DD46D4"/>
    <w:rsid w:val="00DE6697"/>
    <w:rsid w:val="00DF23C4"/>
    <w:rsid w:val="00DF24D4"/>
    <w:rsid w:val="00E04B9D"/>
    <w:rsid w:val="00E15F77"/>
    <w:rsid w:val="00E34401"/>
    <w:rsid w:val="00E353B8"/>
    <w:rsid w:val="00E445AA"/>
    <w:rsid w:val="00E55601"/>
    <w:rsid w:val="00E7358D"/>
    <w:rsid w:val="00E75E3E"/>
    <w:rsid w:val="00E83E8E"/>
    <w:rsid w:val="00E927C9"/>
    <w:rsid w:val="00E94F84"/>
    <w:rsid w:val="00EA3181"/>
    <w:rsid w:val="00EA3EC2"/>
    <w:rsid w:val="00EA43FF"/>
    <w:rsid w:val="00EA58DF"/>
    <w:rsid w:val="00EB0D95"/>
    <w:rsid w:val="00EB27C1"/>
    <w:rsid w:val="00ED16A7"/>
    <w:rsid w:val="00ED1C25"/>
    <w:rsid w:val="00ED2D1B"/>
    <w:rsid w:val="00ED4D5A"/>
    <w:rsid w:val="00EF3145"/>
    <w:rsid w:val="00EF59E6"/>
    <w:rsid w:val="00F00A15"/>
    <w:rsid w:val="00F13F78"/>
    <w:rsid w:val="00F25089"/>
    <w:rsid w:val="00F61EBC"/>
    <w:rsid w:val="00F63210"/>
    <w:rsid w:val="00F85251"/>
    <w:rsid w:val="00F85719"/>
    <w:rsid w:val="00F86C8C"/>
    <w:rsid w:val="00F87C98"/>
    <w:rsid w:val="00F96872"/>
    <w:rsid w:val="00FC0D71"/>
    <w:rsid w:val="00FC522D"/>
    <w:rsid w:val="00FC65C6"/>
    <w:rsid w:val="00FC6CFC"/>
    <w:rsid w:val="00FD185F"/>
    <w:rsid w:val="00FE3FA8"/>
    <w:rsid w:val="00FE46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ead 3"/>
    <w:qFormat/>
    <w:rsid w:val="00C90410"/>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5B49F3"/>
    <w:pPr>
      <w:keepNext/>
      <w:spacing w:before="240" w:after="60"/>
      <w:outlineLvl w:val="1"/>
    </w:pPr>
    <w:rPr>
      <w:rFonts w:eastAsia="Times New Roman"/>
      <w:bCs/>
      <w:iCs/>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0163C2"/>
    <w:pPr>
      <w:spacing w:line="276" w:lineRule="auto"/>
      <w:jc w:val="both"/>
      <w:outlineLvl w:val="5"/>
    </w:pPr>
    <w:rPr>
      <w:rFonts w:eastAsiaTheme="majorEastAsia" w:cstheme="majorBidi"/>
      <w:i/>
      <w:i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5B49F3"/>
    <w:rPr>
      <w:rFonts w:eastAsia="Times New Roman"/>
      <w:b/>
      <w:bCs/>
      <w:iCs/>
      <w:color w:val="76923C"/>
      <w:sz w:val="28"/>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uiPriority w:val="99"/>
    <w:rsid w:val="007F177E"/>
    <w:rPr>
      <w:sz w:val="20"/>
      <w:szCs w:val="20"/>
    </w:rPr>
  </w:style>
  <w:style w:type="character" w:customStyle="1" w:styleId="FootnoteTextChar">
    <w:name w:val="Footnote Text Char"/>
    <w:basedOn w:val="DefaultParagraphFont"/>
    <w:link w:val="FootnoteText"/>
    <w:uiPriority w:val="99"/>
    <w:rsid w:val="007F177E"/>
    <w:rPr>
      <w:b/>
      <w:color w:val="76923C"/>
      <w:lang w:val="en-US" w:eastAsia="en-US"/>
    </w:rPr>
  </w:style>
  <w:style w:type="character" w:styleId="FootnoteReference">
    <w:name w:val="footnote reference"/>
    <w:basedOn w:val="DefaultParagraphFont"/>
    <w:uiPriority w:val="99"/>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CA0A6D"/>
    <w:pPr>
      <w:tabs>
        <w:tab w:val="right" w:leader="dot" w:pos="10490"/>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0163C2"/>
    <w:rPr>
      <w:rFonts w:eastAsiaTheme="majorEastAsia" w:cstheme="majorBidi"/>
      <w:b/>
      <w:i/>
      <w:iCs/>
      <w:szCs w:val="24"/>
      <w:lang w:val="en-US" w:eastAsia="en-US"/>
    </w:rPr>
  </w:style>
  <w:style w:type="paragraph" w:styleId="Title">
    <w:name w:val="Title"/>
    <w:basedOn w:val="Normal"/>
    <w:next w:val="Normal"/>
    <w:link w:val="TitleChar"/>
    <w:qFormat/>
    <w:rsid w:val="00B455D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B455D6"/>
    <w:rPr>
      <w:rFonts w:eastAsiaTheme="majorEastAsia" w:cstheme="majorBidi"/>
      <w:b/>
      <w:color w:val="17365D" w:themeColor="text2" w:themeShade="BF"/>
      <w:spacing w:val="5"/>
      <w:kern w:val="28"/>
      <w:sz w:val="52"/>
      <w:szCs w:val="52"/>
      <w:lang w:val="en-US" w:eastAsia="en-US"/>
    </w:rPr>
  </w:style>
  <w:style w:type="paragraph" w:styleId="BodyText">
    <w:name w:val="Body Text"/>
    <w:basedOn w:val="Normal"/>
    <w:link w:val="BodyTextChar"/>
    <w:rsid w:val="007331C8"/>
    <w:pPr>
      <w:tabs>
        <w:tab w:val="left" w:pos="567"/>
        <w:tab w:val="left" w:pos="1134"/>
        <w:tab w:val="left" w:pos="1701"/>
      </w:tabs>
      <w:spacing w:before="120" w:after="120"/>
    </w:pPr>
    <w:rPr>
      <w:rFonts w:eastAsia="Times New Roman"/>
      <w:b w:val="0"/>
      <w:color w:val="FF0000"/>
      <w:sz w:val="22"/>
      <w:szCs w:val="20"/>
    </w:rPr>
  </w:style>
  <w:style w:type="character" w:customStyle="1" w:styleId="BodyTextChar">
    <w:name w:val="Body Text Char"/>
    <w:basedOn w:val="DefaultParagraphFont"/>
    <w:link w:val="BodyText"/>
    <w:rsid w:val="007331C8"/>
    <w:rPr>
      <w:rFonts w:eastAsia="Times New Roman"/>
      <w:color w:val="FF0000"/>
      <w:sz w:val="22"/>
      <w:lang w:val="en-US" w:eastAsia="en-US"/>
    </w:rPr>
  </w:style>
  <w:style w:type="table" w:styleId="TableGrid">
    <w:name w:val="Table Grid"/>
    <w:basedOn w:val="TableNormal"/>
    <w:uiPriority w:val="59"/>
    <w:rsid w:val="00E927C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3B3ABB"/>
    <w:rPr>
      <w:b/>
      <w:bCs/>
      <w:smallCaps/>
      <w:spacing w:val="5"/>
    </w:rPr>
  </w:style>
  <w:style w:type="character" w:styleId="CommentReference">
    <w:name w:val="annotation reference"/>
    <w:basedOn w:val="DefaultParagraphFont"/>
    <w:rsid w:val="00496EB1"/>
    <w:rPr>
      <w:sz w:val="16"/>
      <w:szCs w:val="16"/>
    </w:rPr>
  </w:style>
  <w:style w:type="paragraph" w:styleId="CommentText">
    <w:name w:val="annotation text"/>
    <w:basedOn w:val="Normal"/>
    <w:link w:val="CommentTextChar"/>
    <w:rsid w:val="00496EB1"/>
    <w:rPr>
      <w:sz w:val="20"/>
      <w:szCs w:val="20"/>
    </w:rPr>
  </w:style>
  <w:style w:type="character" w:customStyle="1" w:styleId="CommentTextChar">
    <w:name w:val="Comment Text Char"/>
    <w:basedOn w:val="DefaultParagraphFont"/>
    <w:link w:val="CommentText"/>
    <w:rsid w:val="00496EB1"/>
    <w:rPr>
      <w:b/>
      <w:color w:val="76923C"/>
      <w:lang w:val="en-US" w:eastAsia="en-US"/>
    </w:rPr>
  </w:style>
  <w:style w:type="paragraph" w:styleId="CommentSubject">
    <w:name w:val="annotation subject"/>
    <w:basedOn w:val="CommentText"/>
    <w:next w:val="CommentText"/>
    <w:link w:val="CommentSubjectChar"/>
    <w:rsid w:val="00496EB1"/>
    <w:rPr>
      <w:bCs/>
    </w:rPr>
  </w:style>
  <w:style w:type="character" w:customStyle="1" w:styleId="CommentSubjectChar">
    <w:name w:val="Comment Subject Char"/>
    <w:basedOn w:val="CommentTextChar"/>
    <w:link w:val="CommentSubject"/>
    <w:rsid w:val="00496EB1"/>
    <w:rPr>
      <w:bCs/>
    </w:rPr>
  </w:style>
  <w:style w:type="paragraph" w:customStyle="1" w:styleId="Default">
    <w:name w:val="Default"/>
    <w:basedOn w:val="Normal"/>
    <w:rsid w:val="003D0120"/>
    <w:pPr>
      <w:autoSpaceDE w:val="0"/>
      <w:autoSpaceDN w:val="0"/>
    </w:pPr>
    <w:rPr>
      <w:rFonts w:ascii="Times New Roman" w:eastAsiaTheme="minorHAnsi" w:hAnsi="Times New Roman"/>
      <w:bCs/>
      <w:caps/>
      <w:color w:val="000000"/>
      <w:sz w:val="24"/>
      <w:lang w:val="en-AU" w:eastAsia="en-AU"/>
    </w:rPr>
  </w:style>
</w:styles>
</file>

<file path=word/webSettings.xml><?xml version="1.0" encoding="utf-8"?>
<w:webSettings xmlns:r="http://schemas.openxmlformats.org/officeDocument/2006/relationships" xmlns:w="http://schemas.openxmlformats.org/wordprocessingml/2006/main">
  <w:divs>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895051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ouniot\hbouniot\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455F1-00EA-4668-92B5-02C5C54C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(A1797820).dotx</Template>
  <TotalTime>1</TotalTime>
  <Pages>4</Pages>
  <Words>1353</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8864</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bouniotis</dc:creator>
  <cp:lastModifiedBy>tina.obrien</cp:lastModifiedBy>
  <cp:revision>2</cp:revision>
  <cp:lastPrinted>2014-02-04T03:21:00Z</cp:lastPrinted>
  <dcterms:created xsi:type="dcterms:W3CDTF">2014-02-04T03:22:00Z</dcterms:created>
  <dcterms:modified xsi:type="dcterms:W3CDTF">2014-02-04T03:22:00Z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A1849229</vt:lpwstr>
  </property>
  <property fmtid="{D5CDD505-2E9C-101B-9397-08002B2CF9AE}" pid="3" name="Objective-Title">
    <vt:lpwstr>Commonwealth Laws - Council's submission</vt:lpwstr>
  </property>
  <property fmtid="{D5CDD505-2E9C-101B-9397-08002B2CF9AE}" pid="4" name="Objective-Comment">
    <vt:lpwstr>
    </vt:lpwstr>
  </property>
  <property fmtid="{D5CDD505-2E9C-101B-9397-08002B2CF9AE}" pid="5" name="Objective-CreationStamp">
    <vt:filetime>2013-12-10T01:01:19Z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2014-02-03T23:42:19Z</vt:filetime>
  </property>
  <property fmtid="{D5CDD505-2E9C-101B-9397-08002B2CF9AE}" pid="10" name="Objective-Owner">
    <vt:lpwstr>Maria Cesarello</vt:lpwstr>
  </property>
  <property fmtid="{D5CDD505-2E9C-101B-9397-08002B2CF9AE}" pid="11" name="Objective-Path">
    <vt:lpwstr>Objective Global Folder:.Strategy and Advocacy:Social Planning and Development:Disability:Advocacy and Submissions:National Disability Strategy:Disability and Commonwealth Laws:</vt:lpwstr>
  </property>
  <property fmtid="{D5CDD505-2E9C-101B-9397-08002B2CF9AE}" pid="12" name="Objective-Parent">
    <vt:lpwstr>Disability and Commonwealth Laws</vt:lpwstr>
  </property>
  <property fmtid="{D5CDD505-2E9C-101B-9397-08002B2CF9AE}" pid="13" name="Objective-State">
    <vt:lpwstr>Being Drafted</vt:lpwstr>
  </property>
  <property fmtid="{D5CDD505-2E9C-101B-9397-08002B2CF9AE}" pid="14" name="Objective-Version">
    <vt:lpwstr>10.2</vt:lpwstr>
  </property>
  <property fmtid="{D5CDD505-2E9C-101B-9397-08002B2CF9AE}" pid="15" name="Objective-VersionNumber">
    <vt:r8>23</vt:r8>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Business Unit [system]">
    <vt:lpwstr>
    </vt:lpwstr>
  </property>
  <property fmtid="{D5CDD505-2E9C-101B-9397-08002B2CF9AE}" pid="21" name="Objective-Document Type [system]">
    <vt:lpwstr>
    </vt:lpwstr>
  </property>
  <property fmtid="{D5CDD505-2E9C-101B-9397-08002B2CF9AE}" pid="22" name="Objective-MC - ObjectiveCmd 1 [system]">
    <vt:lpwstr>Copy URL</vt:lpwstr>
  </property>
</Properties>
</file>