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ED" w:rsidRPr="008D72ED" w:rsidRDefault="008D72ED" w:rsidP="00F926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>14 August 2016</w:t>
      </w:r>
    </w:p>
    <w:p w:rsidR="008D72ED" w:rsidRPr="008D72ED" w:rsidRDefault="008D72ED" w:rsidP="00F9269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D72ED">
        <w:rPr>
          <w:rFonts w:ascii="Arial" w:hAnsi="Arial" w:cs="Arial"/>
        </w:rPr>
        <w:t>Haya Snobar</w:t>
      </w:r>
    </w:p>
    <w:p w:rsidR="008D72ED" w:rsidRPr="008D72ED" w:rsidRDefault="008D72ED" w:rsidP="00F926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>The Executive Director</w:t>
      </w:r>
    </w:p>
    <w:p w:rsidR="008D72ED" w:rsidRPr="008D72ED" w:rsidRDefault="008D72ED" w:rsidP="00F926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>Australian Law Reform Commission</w:t>
      </w:r>
    </w:p>
    <w:p w:rsidR="008D72ED" w:rsidRPr="008D72ED" w:rsidRDefault="008D72ED" w:rsidP="00F926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>GPO Box 3708</w:t>
      </w:r>
    </w:p>
    <w:p w:rsidR="00E34E88" w:rsidRPr="008D72ED" w:rsidRDefault="008D72ED" w:rsidP="00F9269A">
      <w:pPr>
        <w:spacing w:line="276" w:lineRule="auto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>SYDNEY NSW 2001</w:t>
      </w:r>
    </w:p>
    <w:p w:rsidR="008D72ED" w:rsidRPr="008D72ED" w:rsidRDefault="008D72ED" w:rsidP="00F9269A">
      <w:pPr>
        <w:spacing w:line="276" w:lineRule="auto"/>
        <w:jc w:val="both"/>
        <w:rPr>
          <w:rFonts w:ascii="Arial" w:hAnsi="Arial" w:cs="Arial"/>
        </w:rPr>
      </w:pPr>
    </w:p>
    <w:p w:rsidR="008D72ED" w:rsidRPr="008D72ED" w:rsidRDefault="008D72ED" w:rsidP="00F9269A">
      <w:pPr>
        <w:spacing w:line="276" w:lineRule="auto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 xml:space="preserve">Dear </w:t>
      </w:r>
      <w:r w:rsidR="007D35DD">
        <w:rPr>
          <w:rFonts w:ascii="Arial" w:hAnsi="Arial" w:cs="Arial"/>
        </w:rPr>
        <w:t>Ms Wynn</w:t>
      </w:r>
      <w:r w:rsidRPr="008D72ED">
        <w:rPr>
          <w:rFonts w:ascii="Arial" w:hAnsi="Arial" w:cs="Arial"/>
        </w:rPr>
        <w:t xml:space="preserve"> </w:t>
      </w:r>
    </w:p>
    <w:p w:rsidR="008D72ED" w:rsidRPr="008D72ED" w:rsidRDefault="008D72ED" w:rsidP="00F9269A">
      <w:pPr>
        <w:spacing w:line="276" w:lineRule="auto"/>
        <w:jc w:val="both"/>
        <w:rPr>
          <w:rFonts w:ascii="Arial" w:hAnsi="Arial" w:cs="Arial"/>
          <w:b/>
        </w:rPr>
      </w:pPr>
    </w:p>
    <w:p w:rsidR="00E34E88" w:rsidRPr="008D72ED" w:rsidRDefault="00E34E88" w:rsidP="00F9269A">
      <w:pPr>
        <w:spacing w:line="276" w:lineRule="auto"/>
        <w:jc w:val="both"/>
        <w:rPr>
          <w:rFonts w:ascii="Arial" w:hAnsi="Arial" w:cs="Arial"/>
          <w:b/>
        </w:rPr>
      </w:pPr>
      <w:r w:rsidRPr="008D72ED">
        <w:rPr>
          <w:rFonts w:ascii="Arial" w:hAnsi="Arial" w:cs="Arial"/>
          <w:b/>
        </w:rPr>
        <w:t>Re:</w:t>
      </w:r>
      <w:r w:rsidR="008D72ED" w:rsidRPr="008D72ED">
        <w:rPr>
          <w:rFonts w:ascii="Arial" w:hAnsi="Arial" w:cs="Arial"/>
          <w:b/>
        </w:rPr>
        <w:t xml:space="preserve"> Elder Abuse (IP: 47) Submission on</w:t>
      </w:r>
      <w:r w:rsidRPr="008D72ED">
        <w:rPr>
          <w:rFonts w:ascii="Arial" w:hAnsi="Arial" w:cs="Arial"/>
          <w:b/>
        </w:rPr>
        <w:t xml:space="preserve"> Question 2 </w:t>
      </w:r>
    </w:p>
    <w:p w:rsidR="006E347F" w:rsidRPr="008D72ED" w:rsidRDefault="006E347F" w:rsidP="00F9269A">
      <w:pPr>
        <w:spacing w:line="276" w:lineRule="auto"/>
        <w:jc w:val="both"/>
        <w:rPr>
          <w:rFonts w:ascii="Arial" w:hAnsi="Arial" w:cs="Arial"/>
          <w:b/>
        </w:rPr>
      </w:pPr>
    </w:p>
    <w:p w:rsidR="00B640A0" w:rsidRPr="008D72ED" w:rsidRDefault="00B640A0" w:rsidP="00F9269A">
      <w:pPr>
        <w:spacing w:line="276" w:lineRule="auto"/>
        <w:jc w:val="both"/>
        <w:rPr>
          <w:rFonts w:ascii="Arial" w:hAnsi="Arial" w:cs="Arial"/>
          <w:b/>
        </w:rPr>
      </w:pPr>
      <w:r w:rsidRPr="008D72ED">
        <w:rPr>
          <w:rFonts w:ascii="Arial" w:hAnsi="Arial" w:cs="Arial"/>
          <w:b/>
        </w:rPr>
        <w:t xml:space="preserve">Best Practice Guidelines for lawyers and advocates </w:t>
      </w:r>
      <w:r w:rsidR="00E34E88" w:rsidRPr="008D72ED">
        <w:rPr>
          <w:rFonts w:ascii="Arial" w:hAnsi="Arial" w:cs="Arial"/>
          <w:b/>
        </w:rPr>
        <w:t>assisting</w:t>
      </w:r>
      <w:r w:rsidRPr="008D72ED">
        <w:rPr>
          <w:rFonts w:ascii="Arial" w:hAnsi="Arial" w:cs="Arial"/>
          <w:b/>
        </w:rPr>
        <w:t xml:space="preserve"> elderly persons suffering from financial abuse with specific emph</w:t>
      </w:r>
      <w:bookmarkStart w:id="0" w:name="_GoBack"/>
      <w:bookmarkEnd w:id="0"/>
      <w:r w:rsidRPr="008D72ED">
        <w:rPr>
          <w:rFonts w:ascii="Arial" w:hAnsi="Arial" w:cs="Arial"/>
          <w:b/>
        </w:rPr>
        <w:t>asis on Culturally and Linguistically Diverse (CALD) elderlies</w:t>
      </w:r>
    </w:p>
    <w:p w:rsidR="00B640A0" w:rsidRPr="008D72ED" w:rsidRDefault="00B640A0" w:rsidP="00F9269A">
      <w:pPr>
        <w:spacing w:line="276" w:lineRule="auto"/>
        <w:jc w:val="both"/>
        <w:rPr>
          <w:rFonts w:ascii="Arial" w:hAnsi="Arial" w:cs="Arial"/>
        </w:rPr>
      </w:pPr>
    </w:p>
    <w:p w:rsidR="00AD5A93" w:rsidRPr="008D72ED" w:rsidRDefault="00AD5A93" w:rsidP="00F9269A">
      <w:pPr>
        <w:spacing w:line="276" w:lineRule="auto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>I am currently in my final semester of a Bachelor of Laws at Murdoch University. Throughout my degree I have completed various research tasks to a high standard. In addition</w:t>
      </w:r>
      <w:r w:rsidR="005F311E">
        <w:rPr>
          <w:rFonts w:ascii="Arial" w:hAnsi="Arial" w:cs="Arial"/>
        </w:rPr>
        <w:t>,</w:t>
      </w:r>
      <w:r w:rsidRPr="008D72ED">
        <w:rPr>
          <w:rFonts w:ascii="Arial" w:hAnsi="Arial" w:cs="Arial"/>
        </w:rPr>
        <w:t xml:space="preserve"> I have volunteered at SCALES Community Legal Centre (Human Rights Clinic) </w:t>
      </w:r>
      <w:r w:rsidR="005F311E">
        <w:rPr>
          <w:rFonts w:ascii="Arial" w:hAnsi="Arial" w:cs="Arial"/>
        </w:rPr>
        <w:t xml:space="preserve">(“SCALES”) </w:t>
      </w:r>
      <w:r w:rsidRPr="008D72ED">
        <w:rPr>
          <w:rFonts w:ascii="Arial" w:hAnsi="Arial" w:cs="Arial"/>
        </w:rPr>
        <w:t>and The Humanitarian Group</w:t>
      </w:r>
      <w:r w:rsidR="005F311E">
        <w:rPr>
          <w:rFonts w:ascii="Arial" w:hAnsi="Arial" w:cs="Arial"/>
        </w:rPr>
        <w:t xml:space="preserve"> (“THG”)</w:t>
      </w:r>
      <w:r w:rsidRPr="008D72ED">
        <w:rPr>
          <w:rFonts w:ascii="Arial" w:hAnsi="Arial" w:cs="Arial"/>
        </w:rPr>
        <w:t xml:space="preserve"> for over two years as a legal clerk and Arabic int</w:t>
      </w:r>
      <w:r w:rsidR="005F311E">
        <w:rPr>
          <w:rFonts w:ascii="Arial" w:hAnsi="Arial" w:cs="Arial"/>
        </w:rPr>
        <w:t>erpreter. At both SCALES and THG I</w:t>
      </w:r>
      <w:r w:rsidR="008C4A1D">
        <w:rPr>
          <w:rFonts w:ascii="Arial" w:hAnsi="Arial" w:cs="Arial"/>
        </w:rPr>
        <w:t xml:space="preserve"> dealt extensively with vu</w:t>
      </w:r>
      <w:r w:rsidR="008C4A1D" w:rsidRPr="008D72ED">
        <w:rPr>
          <w:rFonts w:ascii="Arial" w:hAnsi="Arial" w:cs="Arial"/>
        </w:rPr>
        <w:t>lnerable</w:t>
      </w:r>
      <w:r w:rsidRPr="008D72ED">
        <w:rPr>
          <w:rFonts w:ascii="Arial" w:hAnsi="Arial" w:cs="Arial"/>
        </w:rPr>
        <w:t xml:space="preserve"> c</w:t>
      </w:r>
      <w:r w:rsidR="00B640A0" w:rsidRPr="008D72ED">
        <w:rPr>
          <w:rFonts w:ascii="Arial" w:hAnsi="Arial" w:cs="Arial"/>
        </w:rPr>
        <w:t>lients including those who are</w:t>
      </w:r>
      <w:r w:rsidR="001E39D1">
        <w:rPr>
          <w:rFonts w:ascii="Arial" w:hAnsi="Arial" w:cs="Arial"/>
        </w:rPr>
        <w:t xml:space="preserve"> from a</w:t>
      </w:r>
      <w:r w:rsidR="00B640A0" w:rsidRPr="008D72ED">
        <w:rPr>
          <w:rFonts w:ascii="Arial" w:hAnsi="Arial" w:cs="Arial"/>
        </w:rPr>
        <w:t xml:space="preserve"> CALD</w:t>
      </w:r>
      <w:r w:rsidR="001E39D1">
        <w:rPr>
          <w:rFonts w:ascii="Arial" w:hAnsi="Arial" w:cs="Arial"/>
        </w:rPr>
        <w:t xml:space="preserve"> background</w:t>
      </w:r>
      <w:r w:rsidR="001807B8" w:rsidRPr="008D72ED">
        <w:rPr>
          <w:rFonts w:ascii="Arial" w:hAnsi="Arial" w:cs="Arial"/>
        </w:rPr>
        <w:t xml:space="preserve">, homeless, Indigenous and LGBT. </w:t>
      </w:r>
      <w:r w:rsidR="008C4A1D">
        <w:rPr>
          <w:rFonts w:ascii="Arial" w:hAnsi="Arial" w:cs="Arial"/>
        </w:rPr>
        <w:t xml:space="preserve">During my time at SCALES and THG </w:t>
      </w:r>
      <w:r w:rsidRPr="008D72ED">
        <w:rPr>
          <w:rFonts w:ascii="Arial" w:hAnsi="Arial" w:cs="Arial"/>
        </w:rPr>
        <w:t xml:space="preserve">I </w:t>
      </w:r>
      <w:r w:rsidR="008C4A1D">
        <w:rPr>
          <w:rFonts w:ascii="Arial" w:hAnsi="Arial" w:cs="Arial"/>
        </w:rPr>
        <w:t>was</w:t>
      </w:r>
      <w:r w:rsidRPr="008D72ED">
        <w:rPr>
          <w:rFonts w:ascii="Arial" w:hAnsi="Arial" w:cs="Arial"/>
        </w:rPr>
        <w:t xml:space="preserve"> greatly aided by best practice guidelines for lawyers dealing with specific client groups. </w:t>
      </w: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  <w:u w:val="single"/>
        </w:rPr>
      </w:pP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  <w:b/>
        </w:rPr>
      </w:pPr>
      <w:r w:rsidRPr="008D72ED">
        <w:rPr>
          <w:rFonts w:ascii="Arial" w:hAnsi="Arial" w:cs="Arial"/>
          <w:b/>
        </w:rPr>
        <w:t>CURRENT BEST PRACTICE GUIDELINES</w:t>
      </w: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 xml:space="preserve">At present, there is no uniform best practice guideline that </w:t>
      </w:r>
      <w:r w:rsidR="008C4A1D">
        <w:rPr>
          <w:rFonts w:ascii="Arial" w:hAnsi="Arial" w:cs="Arial"/>
        </w:rPr>
        <w:t>aides</w:t>
      </w:r>
      <w:r w:rsidRPr="008D72ED">
        <w:rPr>
          <w:rFonts w:ascii="Arial" w:hAnsi="Arial" w:cs="Arial"/>
        </w:rPr>
        <w:t xml:space="preserve"> lawyers assisting elderly clients. Seniors Rights Victoria has published a best practice guideline for lawyers assisting elderly clients at risk of financial abuse</w:t>
      </w:r>
      <w:r w:rsidR="00CA5381">
        <w:rPr>
          <w:rFonts w:ascii="Arial" w:hAnsi="Arial" w:cs="Arial"/>
        </w:rPr>
        <w:t xml:space="preserve"> (“the SRV Guideline”)</w:t>
      </w:r>
      <w:r w:rsidRPr="008D72ED">
        <w:rPr>
          <w:rFonts w:ascii="Arial" w:hAnsi="Arial" w:cs="Arial"/>
        </w:rPr>
        <w:t>.</w:t>
      </w:r>
      <w:r w:rsidRPr="008D72ED">
        <w:rPr>
          <w:rStyle w:val="FootnoteReference"/>
          <w:rFonts w:ascii="Arial" w:hAnsi="Arial" w:cs="Arial"/>
        </w:rPr>
        <w:footnoteReference w:id="1"/>
      </w:r>
      <w:r w:rsidRPr="008D72ED">
        <w:rPr>
          <w:rFonts w:ascii="Arial" w:hAnsi="Arial" w:cs="Arial"/>
        </w:rPr>
        <w:t xml:space="preserve"> This guideline sets out:</w:t>
      </w:r>
    </w:p>
    <w:p w:rsidR="00047367" w:rsidRPr="008D72ED" w:rsidRDefault="008C4A1D" w:rsidP="000473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47367" w:rsidRPr="008D72ED">
        <w:rPr>
          <w:rFonts w:ascii="Arial" w:hAnsi="Arial" w:cs="Arial"/>
        </w:rPr>
        <w:t>he legal practitioner’s role;</w:t>
      </w:r>
    </w:p>
    <w:p w:rsidR="00047367" w:rsidRPr="008D72ED" w:rsidRDefault="008C4A1D" w:rsidP="000473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47367" w:rsidRPr="008D72ED">
        <w:rPr>
          <w:rFonts w:ascii="Arial" w:hAnsi="Arial" w:cs="Arial"/>
        </w:rPr>
        <w:t>ests in assessing the capacity of an elderly person;</w:t>
      </w:r>
    </w:p>
    <w:p w:rsidR="00047367" w:rsidRPr="008D72ED" w:rsidRDefault="008C4A1D" w:rsidP="000473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47367" w:rsidRPr="008D72ED">
        <w:rPr>
          <w:rFonts w:ascii="Arial" w:hAnsi="Arial" w:cs="Arial"/>
        </w:rPr>
        <w:t>ducation materials on preventative measures;</w:t>
      </w:r>
    </w:p>
    <w:p w:rsidR="00047367" w:rsidRPr="008D72ED" w:rsidRDefault="008C4A1D" w:rsidP="000473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47367" w:rsidRPr="008D72ED">
        <w:rPr>
          <w:rFonts w:ascii="Arial" w:hAnsi="Arial" w:cs="Arial"/>
        </w:rPr>
        <w:t>elevant law;</w:t>
      </w:r>
    </w:p>
    <w:p w:rsidR="00047367" w:rsidRPr="008D72ED" w:rsidRDefault="008C4A1D" w:rsidP="000473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47367" w:rsidRPr="008D72ED">
        <w:rPr>
          <w:rFonts w:ascii="Arial" w:hAnsi="Arial" w:cs="Arial"/>
        </w:rPr>
        <w:t>otes on issues with substituted decision-making; and</w:t>
      </w:r>
    </w:p>
    <w:p w:rsidR="00047367" w:rsidRPr="008D72ED" w:rsidRDefault="008C4A1D" w:rsidP="000473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47367" w:rsidRPr="008D72ED">
        <w:rPr>
          <w:rFonts w:ascii="Arial" w:hAnsi="Arial" w:cs="Arial"/>
        </w:rPr>
        <w:t>eferrals and resources.</w:t>
      </w:r>
    </w:p>
    <w:p w:rsidR="00CA5381" w:rsidRDefault="00CA5381" w:rsidP="00047367">
      <w:pPr>
        <w:spacing w:line="276" w:lineRule="auto"/>
        <w:jc w:val="both"/>
        <w:rPr>
          <w:rFonts w:ascii="Arial" w:hAnsi="Arial" w:cs="Arial"/>
        </w:rPr>
      </w:pP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>The</w:t>
      </w:r>
      <w:r w:rsidR="00CA5381">
        <w:rPr>
          <w:rFonts w:ascii="Arial" w:hAnsi="Arial" w:cs="Arial"/>
        </w:rPr>
        <w:t xml:space="preserve"> SRV G</w:t>
      </w:r>
      <w:r w:rsidRPr="008D72ED">
        <w:rPr>
          <w:rFonts w:ascii="Arial" w:hAnsi="Arial" w:cs="Arial"/>
        </w:rPr>
        <w:t xml:space="preserve">uideline briefly mentions specific considerations regarding CALD clients. </w:t>
      </w:r>
      <w:r w:rsidR="0084131F">
        <w:rPr>
          <w:rFonts w:ascii="Arial" w:hAnsi="Arial" w:cs="Arial"/>
        </w:rPr>
        <w:t>A lawyer who wishes to assist these types of clients will require much more detailed and specialized information.</w:t>
      </w: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  <w:u w:val="single"/>
        </w:rPr>
      </w:pP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  <w:b/>
        </w:rPr>
      </w:pPr>
      <w:r w:rsidRPr="008D72ED">
        <w:rPr>
          <w:rFonts w:ascii="Arial" w:hAnsi="Arial" w:cs="Arial"/>
          <w:b/>
        </w:rPr>
        <w:t>EMPHASIS ON BEST PRACTICES FOR ASSISTING CALD ELDERLIES</w:t>
      </w: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</w:rPr>
      </w:pP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>“Australia is a culturally diverse society.”</w:t>
      </w:r>
      <w:r w:rsidRPr="008D72ED">
        <w:rPr>
          <w:rStyle w:val="FootnoteReference"/>
          <w:rFonts w:ascii="Arial" w:hAnsi="Arial" w:cs="Arial"/>
        </w:rPr>
        <w:footnoteReference w:id="2"/>
      </w:r>
      <w:r w:rsidRPr="008D72ED">
        <w:rPr>
          <w:rFonts w:ascii="Arial" w:hAnsi="Arial" w:cs="Arial"/>
        </w:rPr>
        <w:t xml:space="preserve"> </w:t>
      </w: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  <w:u w:val="single"/>
        </w:rPr>
      </w:pPr>
    </w:p>
    <w:p w:rsidR="00047367" w:rsidRPr="008D72ED" w:rsidRDefault="0084131F" w:rsidP="0004736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2021 more than</w:t>
      </w:r>
      <w:r w:rsidR="00047367" w:rsidRPr="008D72ED">
        <w:rPr>
          <w:rFonts w:ascii="Arial" w:hAnsi="Arial" w:cs="Arial"/>
          <w:b/>
        </w:rPr>
        <w:t xml:space="preserve"> 30% of Australia’s older population will have been born outside of Australia.</w:t>
      </w:r>
      <w:r w:rsidR="00047367" w:rsidRPr="008D72ED">
        <w:rPr>
          <w:rStyle w:val="FootnoteReference"/>
          <w:rFonts w:ascii="Arial" w:hAnsi="Arial" w:cs="Arial"/>
          <w:b/>
        </w:rPr>
        <w:footnoteReference w:id="3"/>
      </w:r>
      <w:r w:rsidR="00047367" w:rsidRPr="008D72ED">
        <w:rPr>
          <w:rFonts w:ascii="Arial" w:hAnsi="Arial" w:cs="Arial"/>
          <w:b/>
        </w:rPr>
        <w:t xml:space="preserve"> </w:t>
      </w: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</w:rPr>
      </w:pP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 xml:space="preserve">The Advocare ‘Elderly Abuse in CALD Communities: Best Practices Guidelines’ study states that this increase may be the result of </w:t>
      </w:r>
      <w:r w:rsidR="001E39D1">
        <w:rPr>
          <w:rFonts w:ascii="Arial" w:hAnsi="Arial" w:cs="Arial"/>
        </w:rPr>
        <w:t>c</w:t>
      </w:r>
      <w:r w:rsidRPr="008D72ED">
        <w:rPr>
          <w:rFonts w:ascii="Arial" w:hAnsi="Arial" w:cs="Arial"/>
        </w:rPr>
        <w:t>hanging patterns of Ethnic Migration to Australia.</w:t>
      </w:r>
      <w:r w:rsidRPr="008D72ED">
        <w:rPr>
          <w:rStyle w:val="FootnoteReference"/>
          <w:rFonts w:ascii="Arial" w:hAnsi="Arial" w:cs="Arial"/>
        </w:rPr>
        <w:footnoteReference w:id="4"/>
      </w: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</w:rPr>
      </w:pP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>The House of Representatives</w:t>
      </w:r>
      <w:r w:rsidR="0084131F">
        <w:rPr>
          <w:rFonts w:ascii="Arial" w:hAnsi="Arial" w:cs="Arial"/>
        </w:rPr>
        <w:t xml:space="preserve"> in their</w:t>
      </w:r>
      <w:r w:rsidRPr="008D72ED">
        <w:rPr>
          <w:rFonts w:ascii="Arial" w:hAnsi="Arial" w:cs="Arial"/>
        </w:rPr>
        <w:t xml:space="preserve"> report </w:t>
      </w:r>
      <w:r w:rsidRPr="008D72ED">
        <w:rPr>
          <w:rFonts w:ascii="Arial" w:hAnsi="Arial" w:cs="Arial"/>
          <w:i/>
        </w:rPr>
        <w:t xml:space="preserve">Older People and the Law </w:t>
      </w:r>
      <w:r w:rsidRPr="008D72ED">
        <w:rPr>
          <w:rFonts w:ascii="Arial" w:hAnsi="Arial" w:cs="Arial"/>
        </w:rPr>
        <w:t>(2007)</w:t>
      </w:r>
      <w:r w:rsidRPr="008D72ED">
        <w:rPr>
          <w:rStyle w:val="FootnoteReference"/>
          <w:rFonts w:ascii="Arial" w:hAnsi="Arial" w:cs="Arial"/>
        </w:rPr>
        <w:footnoteReference w:id="5"/>
      </w:r>
      <w:r w:rsidRPr="008D72ED">
        <w:rPr>
          <w:rFonts w:ascii="Arial" w:hAnsi="Arial" w:cs="Arial"/>
        </w:rPr>
        <w:t xml:space="preserve"> and </w:t>
      </w:r>
      <w:r w:rsidR="0084131F">
        <w:rPr>
          <w:rFonts w:ascii="Arial" w:hAnsi="Arial" w:cs="Arial"/>
        </w:rPr>
        <w:t xml:space="preserve">the organization </w:t>
      </w:r>
      <w:r w:rsidRPr="008D72ED">
        <w:rPr>
          <w:rFonts w:ascii="Arial" w:hAnsi="Arial" w:cs="Arial"/>
        </w:rPr>
        <w:t>Capacity Australia</w:t>
      </w:r>
      <w:r w:rsidRPr="008D72ED">
        <w:rPr>
          <w:rStyle w:val="FootnoteReference"/>
          <w:rFonts w:ascii="Arial" w:hAnsi="Arial" w:cs="Arial"/>
        </w:rPr>
        <w:footnoteReference w:id="6"/>
      </w:r>
      <w:r w:rsidRPr="008D72ED">
        <w:rPr>
          <w:rFonts w:ascii="Arial" w:hAnsi="Arial" w:cs="Arial"/>
        </w:rPr>
        <w:t xml:space="preserve"> acknowledge that Elderly CALD clients are</w:t>
      </w:r>
      <w:r w:rsidR="0084131F">
        <w:rPr>
          <w:rFonts w:ascii="Arial" w:hAnsi="Arial" w:cs="Arial"/>
        </w:rPr>
        <w:t xml:space="preserve"> both</w:t>
      </w:r>
      <w:r w:rsidRPr="008D72ED">
        <w:rPr>
          <w:rFonts w:ascii="Arial" w:hAnsi="Arial" w:cs="Arial"/>
        </w:rPr>
        <w:t xml:space="preserve"> at higher risk of financial abuse and significantly disadvantaged when it comes to accessing services for several reasons</w:t>
      </w:r>
      <w:r w:rsidR="0084131F">
        <w:rPr>
          <w:rFonts w:ascii="Arial" w:hAnsi="Arial" w:cs="Arial"/>
        </w:rPr>
        <w:t>,</w:t>
      </w:r>
      <w:r w:rsidRPr="008D72ED">
        <w:rPr>
          <w:rFonts w:ascii="Arial" w:hAnsi="Arial" w:cs="Arial"/>
        </w:rPr>
        <w:t xml:space="preserve"> including:</w:t>
      </w:r>
    </w:p>
    <w:p w:rsidR="00047367" w:rsidRPr="008D72ED" w:rsidRDefault="0084131F" w:rsidP="0004736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language barriers;</w:t>
      </w:r>
    </w:p>
    <w:p w:rsidR="00047367" w:rsidRPr="008D72ED" w:rsidRDefault="0084131F" w:rsidP="0004736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47367" w:rsidRPr="008D72ED">
        <w:rPr>
          <w:rFonts w:ascii="Arial" w:hAnsi="Arial" w:cs="Arial"/>
        </w:rPr>
        <w:t xml:space="preserve">nerous cultural </w:t>
      </w:r>
      <w:r>
        <w:rPr>
          <w:rFonts w:ascii="Arial" w:hAnsi="Arial" w:cs="Arial"/>
        </w:rPr>
        <w:t>expectations that elderly people</w:t>
      </w:r>
      <w:r w:rsidR="00047367" w:rsidRPr="008D72ED">
        <w:rPr>
          <w:rFonts w:ascii="Arial" w:hAnsi="Arial" w:cs="Arial"/>
        </w:rPr>
        <w:t xml:space="preserve"> should be primarily cared for by their families</w:t>
      </w:r>
      <w:r>
        <w:rPr>
          <w:rFonts w:ascii="Arial" w:hAnsi="Arial" w:cs="Arial"/>
        </w:rPr>
        <w:t>;</w:t>
      </w:r>
    </w:p>
    <w:p w:rsidR="00047367" w:rsidRPr="008D72ED" w:rsidRDefault="0084131F" w:rsidP="0004736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47367" w:rsidRPr="008D72ED">
        <w:rPr>
          <w:rFonts w:ascii="Arial" w:hAnsi="Arial" w:cs="Arial"/>
        </w:rPr>
        <w:t>ssues with trusting authorities as a result of experiences with public figures/ authorities in their country of origin</w:t>
      </w:r>
      <w:r>
        <w:rPr>
          <w:rFonts w:ascii="Arial" w:hAnsi="Arial" w:cs="Arial"/>
        </w:rPr>
        <w:t>;</w:t>
      </w:r>
      <w:r w:rsidR="00047367" w:rsidRPr="008D72ED">
        <w:rPr>
          <w:rFonts w:ascii="Arial" w:hAnsi="Arial" w:cs="Arial"/>
        </w:rPr>
        <w:t xml:space="preserve"> </w:t>
      </w:r>
    </w:p>
    <w:p w:rsidR="00047367" w:rsidRPr="008D72ED" w:rsidRDefault="0084131F" w:rsidP="0004736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47367" w:rsidRPr="008D72ED">
        <w:rPr>
          <w:rFonts w:ascii="Arial" w:hAnsi="Arial" w:cs="Arial"/>
        </w:rPr>
        <w:t>ultures that do not recognize the signs of financial abuse due to the expectation that a parents finances should be passed on to the children</w:t>
      </w:r>
      <w:r>
        <w:rPr>
          <w:rFonts w:ascii="Arial" w:hAnsi="Arial" w:cs="Arial"/>
        </w:rPr>
        <w:t>; and</w:t>
      </w:r>
    </w:p>
    <w:p w:rsidR="00047367" w:rsidRPr="008D72ED" w:rsidRDefault="0084131F" w:rsidP="0004736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7367" w:rsidRPr="008D72ED">
        <w:rPr>
          <w:rFonts w:ascii="Arial" w:hAnsi="Arial" w:cs="Arial"/>
        </w:rPr>
        <w:t>pecific mental illnesses related to torture and trauma for elderly CALD persons from a refugee background.</w:t>
      </w: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</w:rPr>
      </w:pPr>
    </w:p>
    <w:p w:rsidR="00047367" w:rsidRPr="008D72ED" w:rsidRDefault="00047367" w:rsidP="00047367">
      <w:pPr>
        <w:spacing w:line="276" w:lineRule="auto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 xml:space="preserve">For these reasons, any national best practice guidelines must </w:t>
      </w:r>
      <w:r w:rsidR="001E39D1">
        <w:rPr>
          <w:rFonts w:ascii="Arial" w:hAnsi="Arial" w:cs="Arial"/>
        </w:rPr>
        <w:t>extensively address</w:t>
      </w:r>
      <w:r w:rsidRPr="008D72ED">
        <w:rPr>
          <w:rFonts w:ascii="Arial" w:hAnsi="Arial" w:cs="Arial"/>
        </w:rPr>
        <w:t xml:space="preserve"> best practices for lawyers and advocates assisting elderly clients from a CALD background. </w:t>
      </w:r>
    </w:p>
    <w:p w:rsidR="001E39D1" w:rsidRDefault="001E39D1" w:rsidP="00F9269A">
      <w:pPr>
        <w:spacing w:line="276" w:lineRule="auto"/>
        <w:jc w:val="both"/>
        <w:rPr>
          <w:rFonts w:ascii="Arial" w:hAnsi="Arial" w:cs="Arial"/>
          <w:b/>
        </w:rPr>
      </w:pPr>
    </w:p>
    <w:p w:rsidR="00CA5381" w:rsidRDefault="00CA5381" w:rsidP="00F9269A">
      <w:pPr>
        <w:spacing w:line="276" w:lineRule="auto"/>
        <w:jc w:val="both"/>
        <w:rPr>
          <w:rFonts w:ascii="Arial" w:hAnsi="Arial" w:cs="Arial"/>
          <w:b/>
        </w:rPr>
      </w:pPr>
    </w:p>
    <w:p w:rsidR="00CA5381" w:rsidRDefault="00CA5381" w:rsidP="00F9269A">
      <w:pPr>
        <w:spacing w:line="276" w:lineRule="auto"/>
        <w:jc w:val="both"/>
        <w:rPr>
          <w:rFonts w:ascii="Arial" w:hAnsi="Arial" w:cs="Arial"/>
          <w:b/>
        </w:rPr>
      </w:pPr>
    </w:p>
    <w:p w:rsidR="001E39D1" w:rsidRPr="008C4A1D" w:rsidRDefault="008D72ED" w:rsidP="00F9269A">
      <w:pPr>
        <w:spacing w:line="276" w:lineRule="auto"/>
        <w:jc w:val="both"/>
        <w:rPr>
          <w:rFonts w:ascii="Arial" w:hAnsi="Arial" w:cs="Arial"/>
          <w:b/>
        </w:rPr>
      </w:pPr>
      <w:r w:rsidRPr="008D72ED">
        <w:rPr>
          <w:rFonts w:ascii="Arial" w:hAnsi="Arial" w:cs="Arial"/>
          <w:b/>
        </w:rPr>
        <w:t>PURPOSE OF A BES</w:t>
      </w:r>
      <w:r w:rsidR="00CA5381">
        <w:rPr>
          <w:rFonts w:ascii="Arial" w:hAnsi="Arial" w:cs="Arial"/>
          <w:b/>
        </w:rPr>
        <w:t>T PRACTICES GUIDELINE ON ELDER</w:t>
      </w:r>
      <w:r w:rsidRPr="008D72ED">
        <w:rPr>
          <w:rFonts w:ascii="Arial" w:hAnsi="Arial" w:cs="Arial"/>
          <w:b/>
        </w:rPr>
        <w:t xml:space="preserve"> FINANCIAL ABUSE</w:t>
      </w:r>
    </w:p>
    <w:p w:rsidR="00AD5A93" w:rsidRPr="008D72ED" w:rsidRDefault="0039119C" w:rsidP="00F9269A">
      <w:pPr>
        <w:spacing w:line="276" w:lineRule="auto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lastRenderedPageBreak/>
        <w:t>Financ</w:t>
      </w:r>
      <w:r w:rsidR="00CA5381">
        <w:rPr>
          <w:rFonts w:ascii="Arial" w:hAnsi="Arial" w:cs="Arial"/>
        </w:rPr>
        <w:t xml:space="preserve">ial abuse and consumer fraud are </w:t>
      </w:r>
      <w:r w:rsidRPr="008D72ED">
        <w:rPr>
          <w:rFonts w:ascii="Arial" w:hAnsi="Arial" w:cs="Arial"/>
        </w:rPr>
        <w:t xml:space="preserve">the most common type of </w:t>
      </w:r>
      <w:r w:rsidR="00CA5381">
        <w:rPr>
          <w:rFonts w:ascii="Arial" w:hAnsi="Arial" w:cs="Arial"/>
        </w:rPr>
        <w:t>elder</w:t>
      </w:r>
      <w:r w:rsidR="001E39D1">
        <w:rPr>
          <w:rFonts w:ascii="Arial" w:hAnsi="Arial" w:cs="Arial"/>
        </w:rPr>
        <w:t xml:space="preserve"> abuse.</w:t>
      </w:r>
      <w:r w:rsidRPr="008D72ED">
        <w:rPr>
          <w:rStyle w:val="FootnoteReference"/>
          <w:rFonts w:ascii="Arial" w:hAnsi="Arial" w:cs="Arial"/>
        </w:rPr>
        <w:footnoteReference w:id="7"/>
      </w:r>
      <w:r w:rsidRPr="008D72ED">
        <w:rPr>
          <w:rFonts w:ascii="Arial" w:hAnsi="Arial" w:cs="Arial"/>
        </w:rPr>
        <w:t xml:space="preserve"> Legal</w:t>
      </w:r>
      <w:r w:rsidR="00AD5A93" w:rsidRPr="008D72ED">
        <w:rPr>
          <w:rFonts w:ascii="Arial" w:hAnsi="Arial" w:cs="Arial"/>
        </w:rPr>
        <w:t xml:space="preserve"> services are costly and</w:t>
      </w:r>
      <w:r w:rsidRPr="008D72ED">
        <w:rPr>
          <w:rFonts w:ascii="Arial" w:hAnsi="Arial" w:cs="Arial"/>
        </w:rPr>
        <w:t xml:space="preserve"> often</w:t>
      </w:r>
      <w:r w:rsidR="00AD5A93" w:rsidRPr="008D72ED">
        <w:rPr>
          <w:rFonts w:ascii="Arial" w:hAnsi="Arial" w:cs="Arial"/>
        </w:rPr>
        <w:t xml:space="preserve"> beyond an elderly person’s budget, particularly </w:t>
      </w:r>
      <w:r w:rsidR="00CA5381">
        <w:rPr>
          <w:rFonts w:ascii="Arial" w:hAnsi="Arial" w:cs="Arial"/>
        </w:rPr>
        <w:t>in cases where one has suffered or is suffering</w:t>
      </w:r>
      <w:r w:rsidR="00AD5A93" w:rsidRPr="008D72ED">
        <w:rPr>
          <w:rFonts w:ascii="Arial" w:hAnsi="Arial" w:cs="Arial"/>
        </w:rPr>
        <w:t xml:space="preserve"> from financial abuse</w:t>
      </w:r>
      <w:r w:rsidRPr="008D72ED">
        <w:rPr>
          <w:rFonts w:ascii="Arial" w:hAnsi="Arial" w:cs="Arial"/>
        </w:rPr>
        <w:t>. The</w:t>
      </w:r>
      <w:r w:rsidR="00AD5A93" w:rsidRPr="008D72ED">
        <w:rPr>
          <w:rFonts w:ascii="Arial" w:hAnsi="Arial" w:cs="Arial"/>
        </w:rPr>
        <w:t xml:space="preserve"> majority of elderly clients receive assistance from community legal centres</w:t>
      </w:r>
      <w:r w:rsidR="00CA5381">
        <w:rPr>
          <w:rFonts w:ascii="Arial" w:hAnsi="Arial" w:cs="Arial"/>
        </w:rPr>
        <w:t>. Community legal centres are often lacking in</w:t>
      </w:r>
      <w:r w:rsidR="00AD5A93" w:rsidRPr="008D72ED">
        <w:rPr>
          <w:rFonts w:ascii="Arial" w:hAnsi="Arial" w:cs="Arial"/>
        </w:rPr>
        <w:t xml:space="preserve"> funding and resources. As a result, they are often forced to rely on volunteers with limited experience. The creation of a national uniform best practice guideline for legal </w:t>
      </w:r>
      <w:r w:rsidR="001E39D1">
        <w:rPr>
          <w:rFonts w:ascii="Arial" w:hAnsi="Arial" w:cs="Arial"/>
        </w:rPr>
        <w:t>practitioners assisting elderly victims of financial abuse</w:t>
      </w:r>
      <w:r w:rsidR="00AD5A93" w:rsidRPr="008D72ED">
        <w:rPr>
          <w:rFonts w:ascii="Arial" w:hAnsi="Arial" w:cs="Arial"/>
        </w:rPr>
        <w:t xml:space="preserve"> is essential as it will:</w:t>
      </w:r>
    </w:p>
    <w:p w:rsidR="00AD5A93" w:rsidRPr="008D72ED" w:rsidRDefault="00CA5381" w:rsidP="00F9269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D5A93" w:rsidRPr="008D72ED">
        <w:rPr>
          <w:rFonts w:ascii="Arial" w:hAnsi="Arial" w:cs="Arial"/>
        </w:rPr>
        <w:t>lleviate stress on community legal centres struggling to properly equip lawyers and legal volunteers;</w:t>
      </w:r>
    </w:p>
    <w:p w:rsidR="00AD5A93" w:rsidRPr="008D72ED" w:rsidRDefault="00CA5381" w:rsidP="00F9269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</w:t>
      </w:r>
      <w:r w:rsidR="00AD5A93" w:rsidRPr="008D72ED">
        <w:rPr>
          <w:rFonts w:ascii="Arial" w:hAnsi="Arial" w:cs="Arial"/>
        </w:rPr>
        <w:t>eate a national expectation of the standard of care owed to elderly persons; and</w:t>
      </w:r>
    </w:p>
    <w:p w:rsidR="002611EF" w:rsidRPr="008D72ED" w:rsidRDefault="00CA5381" w:rsidP="00F9269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D5A93" w:rsidRPr="008D72ED">
        <w:rPr>
          <w:rFonts w:ascii="Arial" w:hAnsi="Arial" w:cs="Arial"/>
        </w:rPr>
        <w:t xml:space="preserve">ncourage private firms to assist in providing pro-bono legal services to elderly persons by giving lawyers a quick guide to basic practices essential to assisting elderly clients. </w:t>
      </w:r>
    </w:p>
    <w:p w:rsidR="002611EF" w:rsidRPr="008D72ED" w:rsidRDefault="002611EF" w:rsidP="00F9269A">
      <w:pPr>
        <w:spacing w:line="276" w:lineRule="auto"/>
        <w:jc w:val="both"/>
        <w:rPr>
          <w:rFonts w:ascii="Arial" w:hAnsi="Arial" w:cs="Arial"/>
        </w:rPr>
      </w:pPr>
    </w:p>
    <w:p w:rsidR="002611EF" w:rsidRPr="008D72ED" w:rsidRDefault="002611EF" w:rsidP="00F9269A">
      <w:pPr>
        <w:spacing w:line="276" w:lineRule="auto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 xml:space="preserve">A best practices guideline will promote and support older people’s ability to participate equally in their community and access services and advice, </w:t>
      </w:r>
      <w:r w:rsidR="00CA5381">
        <w:rPr>
          <w:rFonts w:ascii="Arial" w:hAnsi="Arial" w:cs="Arial"/>
        </w:rPr>
        <w:t>allowing it to meet</w:t>
      </w:r>
      <w:r w:rsidRPr="008D72ED">
        <w:rPr>
          <w:rFonts w:ascii="Arial" w:hAnsi="Arial" w:cs="Arial"/>
        </w:rPr>
        <w:t xml:space="preserve"> the scope of the ALRC Terms of Reference.</w:t>
      </w:r>
      <w:r w:rsidR="00B3202A" w:rsidRPr="008D72ED">
        <w:rPr>
          <w:rStyle w:val="FootnoteReference"/>
          <w:rFonts w:ascii="Arial" w:hAnsi="Arial" w:cs="Arial"/>
        </w:rPr>
        <w:footnoteReference w:id="8"/>
      </w:r>
    </w:p>
    <w:p w:rsidR="005F4535" w:rsidRPr="008D72ED" w:rsidRDefault="005F4535" w:rsidP="00F9269A">
      <w:pPr>
        <w:spacing w:line="276" w:lineRule="auto"/>
        <w:jc w:val="both"/>
        <w:rPr>
          <w:rFonts w:ascii="Arial" w:hAnsi="Arial" w:cs="Arial"/>
          <w:b/>
        </w:rPr>
      </w:pPr>
    </w:p>
    <w:p w:rsidR="005F4535" w:rsidRPr="008D72ED" w:rsidRDefault="008D72ED" w:rsidP="00F9269A">
      <w:pPr>
        <w:spacing w:line="276" w:lineRule="auto"/>
        <w:jc w:val="both"/>
        <w:rPr>
          <w:rFonts w:ascii="Arial" w:hAnsi="Arial" w:cs="Arial"/>
          <w:b/>
        </w:rPr>
      </w:pPr>
      <w:r w:rsidRPr="008D72ED">
        <w:rPr>
          <w:rFonts w:ascii="Arial" w:hAnsi="Arial" w:cs="Arial"/>
          <w:b/>
        </w:rPr>
        <w:t>POTENTIAL CHALLENGES</w:t>
      </w:r>
    </w:p>
    <w:p w:rsidR="00E34E88" w:rsidRPr="008D72ED" w:rsidRDefault="00A97484" w:rsidP="00F9269A">
      <w:pPr>
        <w:spacing w:line="276" w:lineRule="auto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 xml:space="preserve">The Australian government must be prepared to invest significant financial and material resources in order to create a best practices guideline with specific emphasis on CALD elderlies because: </w:t>
      </w:r>
    </w:p>
    <w:p w:rsidR="00B640A0" w:rsidRPr="008D72ED" w:rsidRDefault="00CA5381" w:rsidP="00F9269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640A0" w:rsidRPr="008D72ED">
        <w:rPr>
          <w:rFonts w:ascii="Arial" w:hAnsi="Arial" w:cs="Arial"/>
        </w:rPr>
        <w:t>reating a best practices guideline will require inter-agency collaboration between NGO CALD groups and government agencies such as the Department of Health, My Aged Care and HACC</w:t>
      </w:r>
      <w:r>
        <w:rPr>
          <w:rFonts w:ascii="Arial" w:hAnsi="Arial" w:cs="Arial"/>
        </w:rPr>
        <w:t>;</w:t>
      </w:r>
      <w:r w:rsidR="00E34E88" w:rsidRPr="008D72ED">
        <w:rPr>
          <w:rStyle w:val="FootnoteReference"/>
          <w:rFonts w:ascii="Arial" w:hAnsi="Arial" w:cs="Arial"/>
        </w:rPr>
        <w:footnoteReference w:id="9"/>
      </w:r>
      <w:r w:rsidR="00E34E88" w:rsidRPr="008D72ED">
        <w:rPr>
          <w:rFonts w:ascii="Arial" w:hAnsi="Arial" w:cs="Arial"/>
        </w:rPr>
        <w:t xml:space="preserve"> </w:t>
      </w:r>
    </w:p>
    <w:p w:rsidR="00E34E88" w:rsidRPr="008D72ED" w:rsidRDefault="00E34E88" w:rsidP="00F9269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D72ED">
        <w:rPr>
          <w:rFonts w:ascii="Arial" w:hAnsi="Arial" w:cs="Arial"/>
        </w:rPr>
        <w:t xml:space="preserve">CALD seniors must be involved in projects </w:t>
      </w:r>
      <w:r w:rsidR="00CA5381">
        <w:rPr>
          <w:rFonts w:ascii="Arial" w:hAnsi="Arial" w:cs="Arial"/>
        </w:rPr>
        <w:t>to explore the issues of elder</w:t>
      </w:r>
      <w:r w:rsidRPr="008D72ED">
        <w:rPr>
          <w:rFonts w:ascii="Arial" w:hAnsi="Arial" w:cs="Arial"/>
        </w:rPr>
        <w:t xml:space="preserve"> abuse. This requires outreach into CALD communities, education and the formation of st</w:t>
      </w:r>
      <w:r w:rsidR="00CA5381">
        <w:rPr>
          <w:rFonts w:ascii="Arial" w:hAnsi="Arial" w:cs="Arial"/>
        </w:rPr>
        <w:t>rong networks with CALD leaders;</w:t>
      </w:r>
      <w:r w:rsidRPr="008D72ED">
        <w:rPr>
          <w:rFonts w:ascii="Arial" w:hAnsi="Arial" w:cs="Arial"/>
        </w:rPr>
        <w:t xml:space="preserve"> </w:t>
      </w:r>
      <w:r w:rsidR="00CA5381">
        <w:rPr>
          <w:rFonts w:ascii="Arial" w:hAnsi="Arial" w:cs="Arial"/>
        </w:rPr>
        <w:t>and</w:t>
      </w:r>
    </w:p>
    <w:p w:rsidR="002611EF" w:rsidRPr="008D72ED" w:rsidRDefault="00CA5381" w:rsidP="00F9269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97484" w:rsidRPr="008D72ED">
        <w:rPr>
          <w:rFonts w:ascii="Arial" w:hAnsi="Arial" w:cs="Arial"/>
        </w:rPr>
        <w:t>iversities exist within CALD communities.</w:t>
      </w:r>
    </w:p>
    <w:p w:rsidR="008D72ED" w:rsidRPr="008D72ED" w:rsidRDefault="008D72ED" w:rsidP="00F9269A">
      <w:pPr>
        <w:spacing w:line="276" w:lineRule="auto"/>
        <w:jc w:val="both"/>
        <w:rPr>
          <w:rFonts w:ascii="Arial" w:hAnsi="Arial" w:cs="Arial"/>
        </w:rPr>
      </w:pPr>
    </w:p>
    <w:p w:rsidR="001E39D1" w:rsidRDefault="001E39D1" w:rsidP="00F9269A">
      <w:pPr>
        <w:spacing w:line="276" w:lineRule="auto"/>
        <w:jc w:val="both"/>
        <w:rPr>
          <w:rFonts w:ascii="Arial" w:hAnsi="Arial" w:cs="Arial"/>
          <w:b/>
        </w:rPr>
      </w:pPr>
    </w:p>
    <w:p w:rsidR="001E39D1" w:rsidRDefault="001E39D1" w:rsidP="00F9269A">
      <w:pPr>
        <w:spacing w:line="276" w:lineRule="auto"/>
        <w:jc w:val="both"/>
        <w:rPr>
          <w:rFonts w:ascii="Arial" w:hAnsi="Arial" w:cs="Arial"/>
          <w:b/>
        </w:rPr>
      </w:pPr>
    </w:p>
    <w:p w:rsidR="002611EF" w:rsidRPr="00F9269A" w:rsidRDefault="008D72ED" w:rsidP="00F9269A">
      <w:pPr>
        <w:spacing w:line="276" w:lineRule="auto"/>
        <w:jc w:val="both"/>
        <w:rPr>
          <w:rFonts w:ascii="Arial" w:hAnsi="Arial" w:cs="Arial"/>
          <w:b/>
        </w:rPr>
      </w:pPr>
      <w:r w:rsidRPr="008D72ED">
        <w:rPr>
          <w:rFonts w:ascii="Arial" w:hAnsi="Arial" w:cs="Arial"/>
          <w:b/>
        </w:rPr>
        <w:t xml:space="preserve">CONCLUSION </w:t>
      </w:r>
    </w:p>
    <w:p w:rsidR="002611EF" w:rsidRPr="008D72ED" w:rsidRDefault="008D72ED" w:rsidP="00F926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="00F9269A">
        <w:rPr>
          <w:rFonts w:ascii="Arial" w:hAnsi="Arial" w:cs="Arial"/>
        </w:rPr>
        <w:t>uniform</w:t>
      </w:r>
      <w:r>
        <w:rPr>
          <w:rFonts w:ascii="Arial" w:hAnsi="Arial" w:cs="Arial"/>
        </w:rPr>
        <w:t xml:space="preserve"> best practice guideline for lawyers and advocates assisting elderly persons suffering from financial elderly abuse plays a significant role in an elderly pe</w:t>
      </w:r>
      <w:r w:rsidR="00F9269A">
        <w:rPr>
          <w:rFonts w:ascii="Arial" w:hAnsi="Arial" w:cs="Arial"/>
        </w:rPr>
        <w:t>rson’s right to access justice. I endorse the submission made by</w:t>
      </w:r>
      <w:r w:rsidR="00CA5381">
        <w:rPr>
          <w:rFonts w:ascii="Arial" w:hAnsi="Arial" w:cs="Arial"/>
        </w:rPr>
        <w:t xml:space="preserve"> Advocare and the Center for Vuln</w:t>
      </w:r>
      <w:r w:rsidR="00F9269A">
        <w:rPr>
          <w:rFonts w:ascii="Arial" w:hAnsi="Arial" w:cs="Arial"/>
        </w:rPr>
        <w:t xml:space="preserve">erable Children and Families on elder abuse in CALD communities. I further recommend the structure and content of the </w:t>
      </w:r>
      <w:r w:rsidR="00CA5381">
        <w:rPr>
          <w:rFonts w:ascii="Arial" w:hAnsi="Arial" w:cs="Arial"/>
        </w:rPr>
        <w:t>SRV Guideline</w:t>
      </w:r>
      <w:r w:rsidR="00F9269A">
        <w:rPr>
          <w:rFonts w:ascii="Arial" w:hAnsi="Arial" w:cs="Arial"/>
        </w:rPr>
        <w:t xml:space="preserve"> when forming a national best practice guideline for lawyers</w:t>
      </w:r>
      <w:r w:rsidR="00CA5381">
        <w:rPr>
          <w:rFonts w:ascii="Arial" w:hAnsi="Arial" w:cs="Arial"/>
        </w:rPr>
        <w:t xml:space="preserve"> as it provides complex information in a simple, easy to understand format</w:t>
      </w:r>
      <w:r w:rsidR="00F9269A">
        <w:rPr>
          <w:rFonts w:ascii="Arial" w:hAnsi="Arial" w:cs="Arial"/>
        </w:rPr>
        <w:t>. Finally, I submit that special emphasis should be made on best practices when assisting CALD clients in any uniform best practice guideline implemented.</w:t>
      </w:r>
    </w:p>
    <w:sectPr w:rsidR="002611EF" w:rsidRPr="008D72ED" w:rsidSect="00CD1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1F" w:rsidRDefault="0084131F" w:rsidP="00AD5A93">
      <w:r>
        <w:separator/>
      </w:r>
    </w:p>
  </w:endnote>
  <w:endnote w:type="continuationSeparator" w:id="0">
    <w:p w:rsidR="0084131F" w:rsidRDefault="0084131F" w:rsidP="00AD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1F" w:rsidRDefault="003A670E" w:rsidP="008845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13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131F" w:rsidRDefault="008413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1F" w:rsidRDefault="003A670E" w:rsidP="008845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13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7AF">
      <w:rPr>
        <w:rStyle w:val="PageNumber"/>
        <w:noProof/>
      </w:rPr>
      <w:t>2</w:t>
    </w:r>
    <w:r>
      <w:rPr>
        <w:rStyle w:val="PageNumber"/>
      </w:rPr>
      <w:fldChar w:fldCharType="end"/>
    </w:r>
  </w:p>
  <w:p w:rsidR="0084131F" w:rsidRDefault="008413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43" w:rsidRDefault="00E97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1F" w:rsidRDefault="0084131F" w:rsidP="00AD5A93">
      <w:r>
        <w:separator/>
      </w:r>
    </w:p>
  </w:footnote>
  <w:footnote w:type="continuationSeparator" w:id="0">
    <w:p w:rsidR="0084131F" w:rsidRDefault="0084131F" w:rsidP="00AD5A93">
      <w:r>
        <w:continuationSeparator/>
      </w:r>
    </w:p>
  </w:footnote>
  <w:footnote w:id="1">
    <w:p w:rsidR="0084131F" w:rsidRPr="00514572" w:rsidRDefault="0084131F" w:rsidP="00047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145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14572">
        <w:rPr>
          <w:rFonts w:ascii="Times New Roman" w:hAnsi="Times New Roman" w:cs="Times New Roman"/>
          <w:sz w:val="20"/>
          <w:szCs w:val="20"/>
        </w:rPr>
        <w:t xml:space="preserve"> Louise Kyle, 'Assets for Care: A Guide for Lawyers to Assist Older Clients at Risk of Financial Abuse (Guideline, Seniors Rights Victoria/ Council on the Ageing, 2012).</w:t>
      </w:r>
    </w:p>
  </w:footnote>
  <w:footnote w:id="2">
    <w:p w:rsidR="0084131F" w:rsidRPr="00514572" w:rsidRDefault="0084131F" w:rsidP="00047367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5145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14572">
        <w:rPr>
          <w:rFonts w:ascii="Times New Roman" w:hAnsi="Times New Roman" w:cs="Times New Roman"/>
          <w:sz w:val="20"/>
          <w:szCs w:val="20"/>
        </w:rPr>
        <w:t xml:space="preserve"> Above n 2.</w:t>
      </w:r>
    </w:p>
  </w:footnote>
  <w:footnote w:id="3">
    <w:p w:rsidR="0084131F" w:rsidRPr="00514572" w:rsidRDefault="0084131F" w:rsidP="00047367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5145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14572">
        <w:rPr>
          <w:rFonts w:ascii="Times New Roman" w:hAnsi="Times New Roman" w:cs="Times New Roman"/>
          <w:sz w:val="20"/>
          <w:szCs w:val="20"/>
        </w:rPr>
        <w:t xml:space="preserve"> Department of Social Services,  Australian Government, </w:t>
      </w:r>
      <w:r w:rsidRPr="00514572">
        <w:rPr>
          <w:rFonts w:ascii="Times New Roman" w:hAnsi="Times New Roman" w:cs="Times New Roman"/>
          <w:i/>
          <w:iCs/>
          <w:sz w:val="20"/>
          <w:szCs w:val="20"/>
        </w:rPr>
        <w:t>National Ageing and Aged Care Strategy &lt;</w:t>
      </w:r>
      <w:hyperlink r:id="rId1" w:history="1">
        <w:r w:rsidRPr="00514572">
          <w:rPr>
            <w:rStyle w:val="Hyperlink"/>
            <w:rFonts w:ascii="Times New Roman" w:hAnsi="Times New Roman" w:cs="Times New Roman"/>
            <w:sz w:val="20"/>
            <w:szCs w:val="20"/>
          </w:rPr>
          <w:t>https://agedcare.health.gov.au/sites/g/files/net1426/f/documents/07_2015/dss1582_aged_care_strategy_cald_a4_vaccessible.pdf</w:t>
        </w:r>
      </w:hyperlink>
      <w:r w:rsidRPr="00514572">
        <w:rPr>
          <w:rFonts w:ascii="Times New Roman" w:hAnsi="Times New Roman" w:cs="Times New Roman"/>
          <w:sz w:val="20"/>
          <w:szCs w:val="20"/>
        </w:rPr>
        <w:t>&gt;</w:t>
      </w:r>
    </w:p>
  </w:footnote>
  <w:footnote w:id="4">
    <w:p w:rsidR="0084131F" w:rsidRPr="00514572" w:rsidRDefault="0084131F" w:rsidP="00047367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5145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14572">
        <w:rPr>
          <w:rFonts w:ascii="Times New Roman" w:hAnsi="Times New Roman" w:cs="Times New Roman"/>
          <w:sz w:val="20"/>
          <w:szCs w:val="20"/>
        </w:rPr>
        <w:t xml:space="preserve"> Dr Barbara Black Blundell</w:t>
      </w:r>
      <w:r>
        <w:rPr>
          <w:rFonts w:ascii="Times New Roman" w:hAnsi="Times New Roman" w:cs="Times New Roman"/>
          <w:sz w:val="20"/>
          <w:szCs w:val="20"/>
        </w:rPr>
        <w:t xml:space="preserve"> and Prof. Mike Clare, 'Elder Ab</w:t>
      </w:r>
      <w:r w:rsidRPr="00514572">
        <w:rPr>
          <w:rFonts w:ascii="Times New Roman" w:hAnsi="Times New Roman" w:cs="Times New Roman"/>
          <w:sz w:val="20"/>
          <w:szCs w:val="20"/>
        </w:rPr>
        <w:t>use In Culturally and Linguistically Diverse Communities: Developing Best Practice' (Report, Centre for Venerable Children and Families/ Advocare Incorporated, September 2012), 3, 7.2.3.</w:t>
      </w:r>
    </w:p>
  </w:footnote>
  <w:footnote w:id="5">
    <w:p w:rsidR="0084131F" w:rsidRPr="00514572" w:rsidRDefault="0084131F" w:rsidP="00047367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5145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14572">
        <w:rPr>
          <w:rFonts w:ascii="Times New Roman" w:hAnsi="Times New Roman" w:cs="Times New Roman"/>
          <w:sz w:val="20"/>
          <w:szCs w:val="20"/>
        </w:rPr>
        <w:t xml:space="preserve"> Standing Committee on Legal and Constitutional Affairs, House of Representatives, </w:t>
      </w:r>
      <w:r w:rsidRPr="00514572">
        <w:rPr>
          <w:rFonts w:ascii="Times New Roman" w:hAnsi="Times New Roman" w:cs="Times New Roman"/>
          <w:i/>
          <w:sz w:val="20"/>
          <w:szCs w:val="20"/>
        </w:rPr>
        <w:t xml:space="preserve">Older People and the Law </w:t>
      </w:r>
      <w:r w:rsidRPr="00514572">
        <w:rPr>
          <w:rFonts w:ascii="Times New Roman" w:hAnsi="Times New Roman" w:cs="Times New Roman"/>
          <w:sz w:val="20"/>
          <w:szCs w:val="20"/>
        </w:rPr>
        <w:t>(2007), 166.</w:t>
      </w:r>
    </w:p>
  </w:footnote>
  <w:footnote w:id="6">
    <w:p w:rsidR="0084131F" w:rsidRPr="00514572" w:rsidRDefault="0084131F" w:rsidP="00047367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5145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14572">
        <w:rPr>
          <w:rFonts w:ascii="Times New Roman" w:hAnsi="Times New Roman" w:cs="Times New Roman"/>
          <w:sz w:val="20"/>
          <w:szCs w:val="20"/>
        </w:rPr>
        <w:t xml:space="preserve"> </w:t>
      </w:r>
      <w:r w:rsidRPr="00514572">
        <w:rPr>
          <w:rFonts w:ascii="Times New Roman" w:hAnsi="Times New Roman" w:cs="Times New Roman"/>
          <w:i/>
          <w:iCs/>
          <w:sz w:val="20"/>
          <w:szCs w:val="20"/>
        </w:rPr>
        <w:t xml:space="preserve">Sangita Bhatia, 'Elder Financial Abuse in CALD Groups' </w:t>
      </w:r>
      <w:r w:rsidRPr="00514572">
        <w:rPr>
          <w:rFonts w:ascii="Times New Roman" w:hAnsi="Times New Roman" w:cs="Times New Roman"/>
          <w:sz w:val="20"/>
          <w:szCs w:val="20"/>
        </w:rPr>
        <w:t>(Presentation, Capacity Australia, accessed 14 August 2016).</w:t>
      </w:r>
    </w:p>
  </w:footnote>
  <w:footnote w:id="7">
    <w:p w:rsidR="0084131F" w:rsidRPr="00514572" w:rsidRDefault="0084131F" w:rsidP="0039119C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5145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14572">
        <w:rPr>
          <w:rFonts w:ascii="Times New Roman" w:hAnsi="Times New Roman" w:cs="Times New Roman"/>
          <w:sz w:val="20"/>
          <w:szCs w:val="20"/>
        </w:rPr>
        <w:t xml:space="preserve">Standing Committee on Legal and Constitutional Affairs, House of Representatives, </w:t>
      </w:r>
      <w:r w:rsidRPr="00514572">
        <w:rPr>
          <w:rFonts w:ascii="Times New Roman" w:hAnsi="Times New Roman" w:cs="Times New Roman"/>
          <w:i/>
          <w:sz w:val="20"/>
          <w:szCs w:val="20"/>
        </w:rPr>
        <w:t xml:space="preserve">Older People and the Law </w:t>
      </w:r>
      <w:r w:rsidRPr="00514572">
        <w:rPr>
          <w:rFonts w:ascii="Times New Roman" w:hAnsi="Times New Roman" w:cs="Times New Roman"/>
          <w:sz w:val="20"/>
          <w:szCs w:val="20"/>
        </w:rPr>
        <w:t>(2007), 15.</w:t>
      </w:r>
    </w:p>
  </w:footnote>
  <w:footnote w:id="8">
    <w:p w:rsidR="0084131F" w:rsidRPr="008D72ED" w:rsidRDefault="0084131F" w:rsidP="008D72ED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 w:cs="Times"/>
          <w:sz w:val="20"/>
          <w:szCs w:val="20"/>
        </w:rPr>
        <w:t>Australian Law Reform Commission, Protecting the Rights of Older Australians from Abuse, Terms of Reference (Elder Abuse: IP 47)</w:t>
      </w:r>
      <w:r>
        <w:rPr>
          <w:rFonts w:ascii="Times" w:hAnsi="Times" w:cs="Times"/>
          <w:i/>
          <w:iCs/>
          <w:sz w:val="20"/>
          <w:szCs w:val="20"/>
        </w:rPr>
        <w:t xml:space="preserve"> &lt;</w:t>
      </w:r>
      <w:hyperlink r:id="rId2" w:history="1">
        <w:r>
          <w:rPr>
            <w:rFonts w:ascii="Times" w:hAnsi="Times" w:cs="Times"/>
            <w:i/>
            <w:iCs/>
            <w:sz w:val="20"/>
            <w:szCs w:val="20"/>
          </w:rPr>
          <w:t>https://www.alrc.gov.au/publications/terms-reference-15</w:t>
        </w:r>
      </w:hyperlink>
      <w:r>
        <w:rPr>
          <w:rFonts w:ascii="Times" w:hAnsi="Times" w:cs="Times"/>
          <w:i/>
          <w:iCs/>
          <w:sz w:val="20"/>
          <w:szCs w:val="20"/>
        </w:rPr>
        <w:t>&gt;.</w:t>
      </w:r>
    </w:p>
  </w:footnote>
  <w:footnote w:id="9">
    <w:p w:rsidR="0084131F" w:rsidRPr="00514572" w:rsidRDefault="0084131F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5145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14572">
        <w:rPr>
          <w:rFonts w:ascii="Times New Roman" w:hAnsi="Times New Roman" w:cs="Times New Roman"/>
          <w:sz w:val="20"/>
          <w:szCs w:val="20"/>
        </w:rPr>
        <w:t xml:space="preserve"> </w:t>
      </w:r>
      <w:r w:rsidRPr="00514572">
        <w:rPr>
          <w:rFonts w:ascii="Times New Roman" w:hAnsi="Times New Roman" w:cs="Times New Roman"/>
          <w:i/>
          <w:iCs/>
          <w:sz w:val="20"/>
          <w:szCs w:val="20"/>
        </w:rPr>
        <w:t xml:space="preserve">Sangita Bhatia, 'Elder Financial Abuse in CALD Groups' </w:t>
      </w:r>
      <w:r w:rsidRPr="00514572">
        <w:rPr>
          <w:rFonts w:ascii="Times New Roman" w:hAnsi="Times New Roman" w:cs="Times New Roman"/>
          <w:sz w:val="20"/>
          <w:szCs w:val="20"/>
        </w:rPr>
        <w:t>(Presentation, Capacity Australia, accessed 14 August 2016).</w:t>
      </w:r>
    </w:p>
    <w:p w:rsidR="0084131F" w:rsidRPr="00514572" w:rsidRDefault="0084131F">
      <w:pPr>
        <w:pStyle w:val="FootnoteText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43" w:rsidRDefault="00E97A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43" w:rsidRPr="00E97A43" w:rsidRDefault="00E97A43" w:rsidP="00E97A43">
    <w:pPr>
      <w:pStyle w:val="PlainText"/>
      <w:rPr>
        <w:rFonts w:ascii="Times New Roman" w:hAnsi="Times New Roman" w:cs="Times New Roman"/>
        <w:sz w:val="32"/>
        <w:szCs w:val="32"/>
      </w:rPr>
    </w:pPr>
    <w:r w:rsidRPr="00E97A43">
      <w:rPr>
        <w:rFonts w:ascii="Times New Roman" w:hAnsi="Times New Roman" w:cs="Times New Roman"/>
        <w:sz w:val="32"/>
        <w:szCs w:val="32"/>
      </w:rPr>
      <w:t>41. H Snobar</w:t>
    </w:r>
  </w:p>
  <w:p w:rsidR="00E97A43" w:rsidRPr="00E97A43" w:rsidRDefault="00E97A43">
    <w:pPr>
      <w:pStyle w:val="Header"/>
      <w:rPr>
        <w:lang w:val="en-A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43" w:rsidRDefault="00E97A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0426"/>
    <w:multiLevelType w:val="hybridMultilevel"/>
    <w:tmpl w:val="A2B6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76215"/>
    <w:multiLevelType w:val="hybridMultilevel"/>
    <w:tmpl w:val="F1BC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A0D2A"/>
    <w:multiLevelType w:val="hybridMultilevel"/>
    <w:tmpl w:val="592A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14F6C"/>
    <w:multiLevelType w:val="hybridMultilevel"/>
    <w:tmpl w:val="65F6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67D8E"/>
    <w:multiLevelType w:val="hybridMultilevel"/>
    <w:tmpl w:val="01183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A93"/>
    <w:rsid w:val="0003725E"/>
    <w:rsid w:val="00047367"/>
    <w:rsid w:val="000E46D6"/>
    <w:rsid w:val="001807B8"/>
    <w:rsid w:val="001E39D1"/>
    <w:rsid w:val="001E695B"/>
    <w:rsid w:val="00205CAC"/>
    <w:rsid w:val="00213C12"/>
    <w:rsid w:val="002611EF"/>
    <w:rsid w:val="00347B1A"/>
    <w:rsid w:val="0039119C"/>
    <w:rsid w:val="003A670E"/>
    <w:rsid w:val="0051307D"/>
    <w:rsid w:val="00514572"/>
    <w:rsid w:val="005C655C"/>
    <w:rsid w:val="005E0C45"/>
    <w:rsid w:val="005F311E"/>
    <w:rsid w:val="005F4535"/>
    <w:rsid w:val="006E347F"/>
    <w:rsid w:val="00765FB6"/>
    <w:rsid w:val="007D35DD"/>
    <w:rsid w:val="00826788"/>
    <w:rsid w:val="0084131F"/>
    <w:rsid w:val="008845CD"/>
    <w:rsid w:val="008C4A1D"/>
    <w:rsid w:val="008D72ED"/>
    <w:rsid w:val="00A07916"/>
    <w:rsid w:val="00A10832"/>
    <w:rsid w:val="00A97484"/>
    <w:rsid w:val="00AD5A93"/>
    <w:rsid w:val="00AE27AF"/>
    <w:rsid w:val="00B3202A"/>
    <w:rsid w:val="00B640A0"/>
    <w:rsid w:val="00CA5381"/>
    <w:rsid w:val="00CD12E1"/>
    <w:rsid w:val="00E34E88"/>
    <w:rsid w:val="00E97A43"/>
    <w:rsid w:val="00F254F5"/>
    <w:rsid w:val="00F32FF3"/>
    <w:rsid w:val="00F37B22"/>
    <w:rsid w:val="00F74338"/>
    <w:rsid w:val="00F9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A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D5A93"/>
  </w:style>
  <w:style w:type="character" w:customStyle="1" w:styleId="FootnoteTextChar">
    <w:name w:val="Footnote Text Char"/>
    <w:basedOn w:val="DefaultParagraphFont"/>
    <w:link w:val="FootnoteText"/>
    <w:uiPriority w:val="99"/>
    <w:rsid w:val="00AD5A93"/>
  </w:style>
  <w:style w:type="character" w:styleId="FootnoteReference">
    <w:name w:val="footnote reference"/>
    <w:basedOn w:val="DefaultParagraphFont"/>
    <w:uiPriority w:val="99"/>
    <w:unhideWhenUsed/>
    <w:rsid w:val="00AD5A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3C1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4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5CD"/>
  </w:style>
  <w:style w:type="character" w:styleId="PageNumber">
    <w:name w:val="page number"/>
    <w:basedOn w:val="DefaultParagraphFont"/>
    <w:uiPriority w:val="99"/>
    <w:semiHidden/>
    <w:unhideWhenUsed/>
    <w:rsid w:val="008845CD"/>
  </w:style>
  <w:style w:type="paragraph" w:styleId="Header">
    <w:name w:val="header"/>
    <w:basedOn w:val="Normal"/>
    <w:link w:val="HeaderChar"/>
    <w:uiPriority w:val="99"/>
    <w:semiHidden/>
    <w:unhideWhenUsed/>
    <w:rsid w:val="00E97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A43"/>
  </w:style>
  <w:style w:type="paragraph" w:styleId="PlainText">
    <w:name w:val="Plain Text"/>
    <w:basedOn w:val="Normal"/>
    <w:link w:val="PlainTextChar"/>
    <w:uiPriority w:val="99"/>
    <w:semiHidden/>
    <w:unhideWhenUsed/>
    <w:rsid w:val="00E97A43"/>
    <w:rPr>
      <w:rFonts w:ascii="Consolas" w:eastAsiaTheme="minorHAnsi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7A43"/>
    <w:rPr>
      <w:rFonts w:ascii="Consolas" w:eastAsiaTheme="minorHAnsi" w:hAnsi="Consolas"/>
      <w:sz w:val="21"/>
      <w:szCs w:val="21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A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D5A93"/>
  </w:style>
  <w:style w:type="character" w:customStyle="1" w:styleId="FootnoteTextChar">
    <w:name w:val="Footnote Text Char"/>
    <w:basedOn w:val="DefaultParagraphFont"/>
    <w:link w:val="FootnoteText"/>
    <w:uiPriority w:val="99"/>
    <w:rsid w:val="00AD5A93"/>
  </w:style>
  <w:style w:type="character" w:styleId="FootnoteReference">
    <w:name w:val="footnote reference"/>
    <w:basedOn w:val="DefaultParagraphFont"/>
    <w:uiPriority w:val="99"/>
    <w:unhideWhenUsed/>
    <w:rsid w:val="00AD5A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3C1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4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5CD"/>
  </w:style>
  <w:style w:type="character" w:styleId="PageNumber">
    <w:name w:val="page number"/>
    <w:basedOn w:val="DefaultParagraphFont"/>
    <w:uiPriority w:val="99"/>
    <w:semiHidden/>
    <w:unhideWhenUsed/>
    <w:rsid w:val="00884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rc.gov.au/publications/terms-reference-15" TargetMode="External"/><Relationship Id="rId1" Type="http://schemas.openxmlformats.org/officeDocument/2006/relationships/hyperlink" Target="https://agedcare.health.gov.au/sites/g/files/net1426/f/documents/07_2015/dss1582_aged_care_strategy_cald_a4_vaccessi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44580-87F8-4175-B446-C6AE741D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4825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 Snobar</dc:creator>
  <cp:lastModifiedBy>marie-claire.muir</cp:lastModifiedBy>
  <cp:revision>2</cp:revision>
  <dcterms:created xsi:type="dcterms:W3CDTF">2016-08-18T01:27:00Z</dcterms:created>
  <dcterms:modified xsi:type="dcterms:W3CDTF">2016-08-18T01:27:00Z</dcterms:modified>
</cp:coreProperties>
</file>