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2B" w:rsidRDefault="0070162B" w:rsidP="009E5F6C">
      <w:pPr>
        <w:rPr>
          <w:b/>
          <w:sz w:val="28"/>
        </w:rPr>
      </w:pPr>
      <w:bookmarkStart w:id="0" w:name="_GoBack"/>
      <w:bookmarkEnd w:id="0"/>
      <w:r>
        <w:rPr>
          <w:b/>
          <w:sz w:val="28"/>
        </w:rPr>
        <w:t>State Trustees Limited</w:t>
      </w:r>
    </w:p>
    <w:p w:rsidR="001A3709" w:rsidRDefault="0070162B" w:rsidP="009E5F6C">
      <w:pPr>
        <w:rPr>
          <w:b/>
          <w:sz w:val="28"/>
        </w:rPr>
      </w:pPr>
      <w:r>
        <w:rPr>
          <w:b/>
          <w:sz w:val="28"/>
        </w:rPr>
        <w:t xml:space="preserve">Submission to the </w:t>
      </w:r>
      <w:r w:rsidR="00B3517F">
        <w:rPr>
          <w:b/>
          <w:sz w:val="28"/>
        </w:rPr>
        <w:t xml:space="preserve">Australian Law Reform Commission (ALRC) </w:t>
      </w:r>
    </w:p>
    <w:p w:rsidR="009E5F6C" w:rsidRPr="0071431F" w:rsidRDefault="0070162B" w:rsidP="009E5F6C">
      <w:pPr>
        <w:rPr>
          <w:b/>
        </w:rPr>
      </w:pPr>
      <w:proofErr w:type="gramStart"/>
      <w:r>
        <w:rPr>
          <w:b/>
          <w:sz w:val="28"/>
        </w:rPr>
        <w:t>in</w:t>
      </w:r>
      <w:proofErr w:type="gramEnd"/>
      <w:r>
        <w:rPr>
          <w:b/>
          <w:sz w:val="28"/>
        </w:rPr>
        <w:t xml:space="preserve"> response to </w:t>
      </w:r>
      <w:r w:rsidR="00B3517F">
        <w:rPr>
          <w:b/>
          <w:sz w:val="28"/>
        </w:rPr>
        <w:t>Elder Abuse Discussion Paper</w:t>
      </w:r>
      <w:r>
        <w:rPr>
          <w:b/>
          <w:sz w:val="28"/>
        </w:rPr>
        <w:t xml:space="preserve"> 83</w:t>
      </w:r>
      <w:r w:rsidR="00B3517F">
        <w:rPr>
          <w:b/>
          <w:sz w:val="28"/>
        </w:rPr>
        <w:t xml:space="preserve"> </w:t>
      </w:r>
    </w:p>
    <w:p w:rsidR="001A5ACE" w:rsidRDefault="001A5ACE" w:rsidP="009E5F6C">
      <w:pPr>
        <w:rPr>
          <w:i/>
        </w:rPr>
      </w:pPr>
    </w:p>
    <w:p w:rsidR="009E5F6C" w:rsidRPr="0071431F" w:rsidRDefault="009E5F6C" w:rsidP="009E5F6C">
      <w:pPr>
        <w:rPr>
          <w:i/>
        </w:rPr>
      </w:pPr>
      <w:r>
        <w:rPr>
          <w:i/>
        </w:rPr>
        <w:t>6 March</w:t>
      </w:r>
      <w:r w:rsidRPr="0071431F">
        <w:rPr>
          <w:i/>
        </w:rPr>
        <w:t xml:space="preserve"> 2017</w:t>
      </w:r>
    </w:p>
    <w:p w:rsidR="009E5F6C" w:rsidRDefault="009E5F6C" w:rsidP="009E5F6C"/>
    <w:p w:rsidR="009E5F6C" w:rsidRPr="001B08B7" w:rsidRDefault="009E5F6C" w:rsidP="009E5F6C">
      <w:pPr>
        <w:rPr>
          <w:b/>
        </w:rPr>
      </w:pPr>
      <w:r>
        <w:t>State Trustees Limited (</w:t>
      </w:r>
      <w:r w:rsidRPr="008542E8">
        <w:rPr>
          <w:b/>
        </w:rPr>
        <w:t>State Trustees</w:t>
      </w:r>
      <w:r>
        <w:t>) welcomes the opportunity to comment on the proposals, and respond to the questions, in the ALRC’s Discussion Paper regarding elder abuse.</w:t>
      </w:r>
    </w:p>
    <w:p w:rsidR="009E5F6C" w:rsidRDefault="009E5F6C" w:rsidP="009E5F6C"/>
    <w:p w:rsidR="005E47DC" w:rsidRDefault="005E47DC" w:rsidP="005E47DC">
      <w:r>
        <w:t xml:space="preserve">In this submission, we have responded to those </w:t>
      </w:r>
      <w:r w:rsidR="00455CE0">
        <w:t xml:space="preserve">proposals and </w:t>
      </w:r>
      <w:r>
        <w:t>questions relat</w:t>
      </w:r>
      <w:r w:rsidR="001A3709">
        <w:t>ing</w:t>
      </w:r>
      <w:r>
        <w:t xml:space="preserve"> to </w:t>
      </w:r>
      <w:proofErr w:type="gramStart"/>
      <w:r w:rsidR="00455CE0">
        <w:t xml:space="preserve">matters </w:t>
      </w:r>
      <w:r w:rsidR="001A3709">
        <w:t xml:space="preserve"> on</w:t>
      </w:r>
      <w:proofErr w:type="gramEnd"/>
      <w:r w:rsidR="001A3709">
        <w:t xml:space="preserve"> </w:t>
      </w:r>
      <w:r w:rsidR="00E5239D">
        <w:t xml:space="preserve">which </w:t>
      </w:r>
      <w:r>
        <w:t>State Trustees has most experience and knowledge.</w:t>
      </w:r>
    </w:p>
    <w:p w:rsidR="005E47DC" w:rsidRDefault="005E47DC" w:rsidP="009E5F6C"/>
    <w:p w:rsidR="009E5F6C" w:rsidRDefault="009E5F6C" w:rsidP="009E5F6C">
      <w:r>
        <w:rPr>
          <w:b/>
        </w:rPr>
        <w:t>About States Trustees</w:t>
      </w:r>
    </w:p>
    <w:p w:rsidR="009E5F6C" w:rsidRDefault="009E5F6C" w:rsidP="009E5F6C"/>
    <w:p w:rsidR="009E5F6C" w:rsidRDefault="009E5F6C" w:rsidP="009E5F6C">
      <w:r>
        <w:t>State Trustees is the public trustee for Victoria.  Elder abuse</w:t>
      </w:r>
      <w:r w:rsidR="005E47DC">
        <w:t>, particularly financial elder abuse,</w:t>
      </w:r>
      <w:r>
        <w:t xml:space="preserve"> is a central issue for State Trustees</w:t>
      </w:r>
      <w:r w:rsidR="005E47DC">
        <w:t>.</w:t>
      </w:r>
      <w:r>
        <w:t xml:space="preserve">  We are committed to working with the Victorian and Commonwealth Governments</w:t>
      </w:r>
      <w:r w:rsidR="005E47DC">
        <w:t>,</w:t>
      </w:r>
      <w:r>
        <w:t xml:space="preserve"> and relevant agencies and services</w:t>
      </w:r>
      <w:r w:rsidR="005E47DC">
        <w:t>,</w:t>
      </w:r>
      <w:r>
        <w:t xml:space="preserve"> to find improved ways to identify, prevent and remedy instances of such abuse.    </w:t>
      </w:r>
    </w:p>
    <w:p w:rsidR="009E5F6C" w:rsidRDefault="009E5F6C" w:rsidP="009E5F6C"/>
    <w:p w:rsidR="009E5F6C" w:rsidRDefault="009E5F6C" w:rsidP="009E5F6C">
      <w:r>
        <w:t xml:space="preserve">State Trustees plays a pivotal role in </w:t>
      </w:r>
      <w:proofErr w:type="spellStart"/>
      <w:r>
        <w:t>combatting</w:t>
      </w:r>
      <w:proofErr w:type="spellEnd"/>
      <w:r>
        <w:t xml:space="preserve"> elder abuse in the Victorian community:  </w:t>
      </w:r>
    </w:p>
    <w:p w:rsidR="009E5F6C" w:rsidRDefault="009E5F6C" w:rsidP="009E5F6C"/>
    <w:p w:rsidR="009E5F6C" w:rsidRDefault="009E5F6C" w:rsidP="00E35DAB">
      <w:pPr>
        <w:pStyle w:val="ListParagraph"/>
        <w:numPr>
          <w:ilvl w:val="0"/>
          <w:numId w:val="7"/>
        </w:numPr>
        <w:ind w:left="357" w:hanging="357"/>
      </w:pPr>
      <w:r>
        <w:t>State Trustees has been appointed by the Victorian Civil and Administrative Tribunal (</w:t>
      </w:r>
      <w:r w:rsidRPr="00E35DAB">
        <w:rPr>
          <w:b/>
        </w:rPr>
        <w:t>VCAT</w:t>
      </w:r>
      <w:r>
        <w:t xml:space="preserve">) as the financial administrator for approximately 10,000 Victorians who, due to disability, are unable to administer their own affairs.  In many cases, the need for such appointment arises because the older person has been exposed to, or is vulnerable to, </w:t>
      </w:r>
      <w:proofErr w:type="gramStart"/>
      <w:r>
        <w:t>financial</w:t>
      </w:r>
      <w:proofErr w:type="gramEnd"/>
      <w:r>
        <w:t xml:space="preserve"> elder abuse because they have an age-related </w:t>
      </w:r>
      <w:r w:rsidR="005E47DC">
        <w:t xml:space="preserve">or other </w:t>
      </w:r>
      <w:r>
        <w:t xml:space="preserve">disability.  </w:t>
      </w:r>
    </w:p>
    <w:p w:rsidR="009E5F6C" w:rsidRDefault="009E5F6C" w:rsidP="009E5F6C"/>
    <w:p w:rsidR="009E5F6C" w:rsidRDefault="009E5F6C" w:rsidP="00E35DAB">
      <w:pPr>
        <w:pStyle w:val="ListParagraph"/>
        <w:numPr>
          <w:ilvl w:val="0"/>
          <w:numId w:val="7"/>
        </w:numPr>
        <w:ind w:left="357" w:hanging="357"/>
      </w:pPr>
      <w:r>
        <w:t xml:space="preserve">Many Victorians have also entrusted the management of their financial affairs to State Trustees by appointing us under an enduring power of attorney, thereby ensuring their financial resources are protected and applied appropriately for their benefit, even where the person is unable to make decisions for </w:t>
      </w:r>
      <w:proofErr w:type="gramStart"/>
      <w:r>
        <w:t>themselves</w:t>
      </w:r>
      <w:proofErr w:type="gramEnd"/>
      <w:r>
        <w:t xml:space="preserve">.  </w:t>
      </w:r>
    </w:p>
    <w:p w:rsidR="009E5F6C" w:rsidRDefault="009E5F6C"/>
    <w:p w:rsidR="009E5F6C" w:rsidRDefault="009E5F6C" w:rsidP="00E35DAB">
      <w:pPr>
        <w:pStyle w:val="ListParagraph"/>
        <w:numPr>
          <w:ilvl w:val="0"/>
          <w:numId w:val="7"/>
        </w:numPr>
        <w:ind w:left="357" w:hanging="357"/>
      </w:pPr>
      <w:r>
        <w:t xml:space="preserve">A further State Trustees service that can involve detection and prevention of financial elder abuse is the examination of the accounts of private administrators appointed by VCAT.  Where State Trustees identifies any such irregularities, it is open to VCAT to revoke the appointment of the private administrator and appoint a professional administrator such as State Trustees.  </w:t>
      </w:r>
    </w:p>
    <w:p w:rsidR="009E5F6C" w:rsidRDefault="009E5F6C" w:rsidP="009E5F6C"/>
    <w:p w:rsidR="009E5F6C" w:rsidRDefault="009E5F6C" w:rsidP="009E5F6C">
      <w:proofErr w:type="gramStart"/>
      <w:r>
        <w:t xml:space="preserve">Its activities in these and other areas mean that State Trustees is playing a leading role in </w:t>
      </w:r>
      <w:proofErr w:type="spellStart"/>
      <w:r>
        <w:t>combatting</w:t>
      </w:r>
      <w:proofErr w:type="spellEnd"/>
      <w:r>
        <w:t xml:space="preserve"> elder abuse in the Victorian community.</w:t>
      </w:r>
      <w:proofErr w:type="gramEnd"/>
      <w:r>
        <w:t xml:space="preserve">  </w:t>
      </w:r>
    </w:p>
    <w:p w:rsidR="001A5ACE" w:rsidRPr="00E35DAB" w:rsidRDefault="001A5ACE" w:rsidP="009E5F6C">
      <w:pPr>
        <w:rPr>
          <w:b/>
        </w:rPr>
      </w:pPr>
    </w:p>
    <w:p w:rsidR="001A3709" w:rsidRDefault="001A3709" w:rsidP="009E5F6C">
      <w:pPr>
        <w:autoSpaceDE w:val="0"/>
        <w:autoSpaceDN w:val="0"/>
        <w:rPr>
          <w:b/>
        </w:rPr>
      </w:pPr>
    </w:p>
    <w:p w:rsidR="00455CE0" w:rsidRDefault="001A5ACE" w:rsidP="009E5F6C">
      <w:pPr>
        <w:autoSpaceDE w:val="0"/>
        <w:autoSpaceDN w:val="0"/>
        <w:rPr>
          <w:rFonts w:eastAsia="Times New Roman" w:cs="Arial"/>
          <w:bCs/>
          <w:lang w:eastAsia="en-AU"/>
        </w:rPr>
      </w:pPr>
      <w:r w:rsidRPr="00E35DAB">
        <w:rPr>
          <w:b/>
        </w:rPr>
        <w:t>Responses to proposals and questions</w:t>
      </w:r>
      <w:r w:rsidR="00912A50">
        <w:rPr>
          <w:rFonts w:eastAsia="Times New Roman" w:cs="Arial"/>
          <w:b/>
          <w:bCs/>
          <w:i/>
          <w:color w:val="000000" w:themeColor="text1"/>
          <w:lang w:eastAsia="en-AU"/>
        </w:rPr>
        <w:br/>
      </w:r>
      <w:r w:rsidR="00912A50">
        <w:rPr>
          <w:rFonts w:eastAsia="Times New Roman" w:cs="Arial"/>
          <w:b/>
          <w:bCs/>
          <w:i/>
          <w:color w:val="000000" w:themeColor="text1"/>
          <w:lang w:eastAsia="en-AU"/>
        </w:rPr>
        <w:br/>
      </w:r>
      <w:r w:rsidR="009E5F6C" w:rsidRPr="0043691B">
        <w:rPr>
          <w:rFonts w:eastAsia="Times New Roman" w:cs="Arial"/>
          <w:b/>
          <w:bCs/>
          <w:i/>
          <w:color w:val="000000" w:themeColor="text1"/>
          <w:lang w:eastAsia="en-AU"/>
        </w:rPr>
        <w:t xml:space="preserve">Proposal 2–1 </w:t>
      </w:r>
      <w:r w:rsidR="009E5F6C" w:rsidRPr="0043691B">
        <w:rPr>
          <w:rFonts w:eastAsia="Times New Roman" w:cs="Arial"/>
          <w:i/>
          <w:color w:val="000000" w:themeColor="text1"/>
          <w:lang w:eastAsia="en-AU"/>
        </w:rPr>
        <w:t>A National Plan to address elder abuse should be developed.</w:t>
      </w:r>
      <w:r>
        <w:rPr>
          <w:rFonts w:eastAsia="Times New Roman" w:cs="Arial"/>
          <w:i/>
          <w:color w:val="000000" w:themeColor="text1"/>
          <w:lang w:eastAsia="en-AU"/>
        </w:rPr>
        <w:t xml:space="preserve">  </w:t>
      </w:r>
      <w:r w:rsidR="00912A50">
        <w:rPr>
          <w:rFonts w:eastAsia="Times New Roman" w:cs="Arial"/>
          <w:bCs/>
          <w:lang w:eastAsia="en-AU"/>
        </w:rPr>
        <w:br/>
      </w:r>
      <w:r w:rsidR="00912A50">
        <w:rPr>
          <w:rFonts w:eastAsia="Times New Roman" w:cs="Arial"/>
          <w:bCs/>
          <w:lang w:eastAsia="en-AU"/>
        </w:rPr>
        <w:br/>
      </w:r>
      <w:r w:rsidR="009E5F6C">
        <w:rPr>
          <w:rFonts w:eastAsia="Times New Roman" w:cs="Arial"/>
          <w:bCs/>
          <w:lang w:eastAsia="en-AU"/>
        </w:rPr>
        <w:t>State Trustees</w:t>
      </w:r>
      <w:r w:rsidR="009E5F6C" w:rsidRPr="0043691B">
        <w:rPr>
          <w:rFonts w:eastAsia="Times New Roman" w:cs="Arial"/>
          <w:bCs/>
          <w:lang w:eastAsia="en-AU"/>
        </w:rPr>
        <w:t xml:space="preserve"> supports this </w:t>
      </w:r>
      <w:r w:rsidR="001A3709">
        <w:rPr>
          <w:rFonts w:eastAsia="Times New Roman" w:cs="Arial"/>
          <w:bCs/>
          <w:lang w:eastAsia="en-AU"/>
        </w:rPr>
        <w:t>proposal</w:t>
      </w:r>
      <w:r w:rsidR="009E5F6C" w:rsidRPr="0043691B">
        <w:rPr>
          <w:rFonts w:eastAsia="Times New Roman" w:cs="Arial"/>
          <w:bCs/>
          <w:lang w:eastAsia="en-AU"/>
        </w:rPr>
        <w:t xml:space="preserve">. </w:t>
      </w:r>
    </w:p>
    <w:p w:rsidR="00455CE0" w:rsidRDefault="00455CE0" w:rsidP="009E5F6C">
      <w:pPr>
        <w:autoSpaceDE w:val="0"/>
        <w:autoSpaceDN w:val="0"/>
        <w:rPr>
          <w:rFonts w:eastAsia="Times New Roman" w:cs="Arial"/>
          <w:bCs/>
          <w:lang w:eastAsia="en-AU"/>
        </w:rPr>
      </w:pPr>
    </w:p>
    <w:p w:rsidR="009E5F6C" w:rsidRPr="008542E8" w:rsidRDefault="009E5F6C" w:rsidP="009E5F6C">
      <w:pPr>
        <w:autoSpaceDE w:val="0"/>
        <w:autoSpaceDN w:val="0"/>
        <w:rPr>
          <w:color w:val="000000" w:themeColor="text1"/>
        </w:rPr>
      </w:pPr>
      <w:r w:rsidRPr="0043691B">
        <w:rPr>
          <w:rFonts w:eastAsia="Times New Roman" w:cs="Arial"/>
          <w:bCs/>
          <w:lang w:eastAsia="en-AU"/>
        </w:rPr>
        <w:t xml:space="preserve">There will be a critical need for co-ordination between governments at all levels, particularly given that most of the activity to actually combat elder abuse will occur at a state or local level, through public advocates and guardians, tribunals, public trustees, health workers, geriatricians, advocates, and police. </w:t>
      </w:r>
      <w:r w:rsidR="00912A50">
        <w:rPr>
          <w:color w:val="000000" w:themeColor="text1"/>
          <w:szCs w:val="24"/>
        </w:rPr>
        <w:br/>
      </w:r>
      <w:r w:rsidR="00912A50">
        <w:rPr>
          <w:color w:val="000000" w:themeColor="text1"/>
          <w:szCs w:val="24"/>
        </w:rPr>
        <w:br/>
      </w:r>
      <w:r w:rsidRPr="008542E8">
        <w:rPr>
          <w:color w:val="000000" w:themeColor="text1"/>
          <w:szCs w:val="24"/>
        </w:rPr>
        <w:lastRenderedPageBreak/>
        <w:t xml:space="preserve">We recommend that any national plan should be underpinned by agreed definitions and a comprehensive prevalence study </w:t>
      </w:r>
      <w:r>
        <w:rPr>
          <w:color w:val="000000" w:themeColor="text1"/>
          <w:szCs w:val="24"/>
        </w:rPr>
        <w:t xml:space="preserve">(per Proposal 2–2 below) </w:t>
      </w:r>
      <w:r w:rsidRPr="008542E8">
        <w:rPr>
          <w:color w:val="000000" w:themeColor="text1"/>
          <w:szCs w:val="24"/>
        </w:rPr>
        <w:t>which should identify the diversity of the victims and perpetrators, and any key contributing factors to the occurrence of elder abuse.</w:t>
      </w:r>
    </w:p>
    <w:p w:rsidR="009E5F6C" w:rsidRPr="0043691B" w:rsidRDefault="009E5F6C" w:rsidP="009E5F6C">
      <w:pPr>
        <w:rPr>
          <w:rFonts w:eastAsia="Times New Roman" w:cs="Arial"/>
          <w:bCs/>
          <w:color w:val="C45911" w:themeColor="accent2" w:themeShade="BF"/>
          <w:lang w:eastAsia="en-AU"/>
        </w:rPr>
      </w:pPr>
    </w:p>
    <w:p w:rsidR="009E5F6C" w:rsidRPr="0043691B" w:rsidRDefault="009E5F6C" w:rsidP="009E5F6C">
      <w:pPr>
        <w:rPr>
          <w:rFonts w:eastAsia="Times New Roman" w:cs="Arial"/>
          <w:i/>
          <w:color w:val="000000" w:themeColor="text1"/>
          <w:lang w:eastAsia="en-AU"/>
        </w:rPr>
      </w:pPr>
      <w:r w:rsidRPr="0043691B">
        <w:rPr>
          <w:rFonts w:eastAsia="Times New Roman" w:cs="Arial"/>
          <w:b/>
          <w:bCs/>
          <w:i/>
          <w:color w:val="000000" w:themeColor="text1"/>
          <w:lang w:eastAsia="en-AU"/>
        </w:rPr>
        <w:t xml:space="preserve">Proposal 2–2 </w:t>
      </w:r>
      <w:r w:rsidRPr="0043691B">
        <w:rPr>
          <w:rFonts w:eastAsia="Times New Roman" w:cs="Arial"/>
          <w:i/>
          <w:color w:val="000000" w:themeColor="text1"/>
          <w:lang w:eastAsia="en-AU"/>
        </w:rPr>
        <w:t>A national prevalence study of elder abuse should be commissioned.</w:t>
      </w:r>
    </w:p>
    <w:p w:rsidR="009E5F6C" w:rsidRDefault="009E5F6C" w:rsidP="009E5F6C"/>
    <w:p w:rsidR="00E5239D" w:rsidRDefault="009E5F6C" w:rsidP="009E5F6C">
      <w:pPr>
        <w:rPr>
          <w:rFonts w:cs="Arial"/>
        </w:rPr>
      </w:pPr>
      <w:r>
        <w:rPr>
          <w:rFonts w:cs="Arial"/>
        </w:rPr>
        <w:t xml:space="preserve">State Trustees </w:t>
      </w:r>
      <w:r w:rsidR="00E5239D">
        <w:rPr>
          <w:rFonts w:cs="Arial"/>
        </w:rPr>
        <w:t xml:space="preserve">supports this proposal.  </w:t>
      </w:r>
    </w:p>
    <w:p w:rsidR="00E5239D" w:rsidRDefault="00E5239D" w:rsidP="009E5F6C">
      <w:pPr>
        <w:rPr>
          <w:rFonts w:cs="Arial"/>
        </w:rPr>
      </w:pPr>
    </w:p>
    <w:p w:rsidR="005129FC" w:rsidRDefault="009E5F6C" w:rsidP="009E5F6C">
      <w:pPr>
        <w:rPr>
          <w:rFonts w:cs="Arial"/>
        </w:rPr>
      </w:pPr>
      <w:r>
        <w:rPr>
          <w:rFonts w:cs="Arial"/>
        </w:rPr>
        <w:t xml:space="preserve">There is a distinct lack of reliable data on elder abuse, which impedes the ability of Government and responsible agencies to assess the most appropriate targeting and responses.  </w:t>
      </w:r>
      <w:r w:rsidR="00912A50">
        <w:rPr>
          <w:rFonts w:cs="Arial"/>
        </w:rPr>
        <w:t xml:space="preserve">In response to </w:t>
      </w:r>
      <w:r>
        <w:rPr>
          <w:rFonts w:cs="Arial"/>
        </w:rPr>
        <w:t xml:space="preserve">the </w:t>
      </w:r>
      <w:r w:rsidR="00912A50">
        <w:rPr>
          <w:rFonts w:cs="Arial"/>
        </w:rPr>
        <w:t xml:space="preserve">deficiency </w:t>
      </w:r>
      <w:r w:rsidR="00014D18">
        <w:rPr>
          <w:rFonts w:cs="Arial"/>
        </w:rPr>
        <w:t xml:space="preserve">in comprehensive </w:t>
      </w:r>
      <w:r>
        <w:rPr>
          <w:rFonts w:cs="Arial"/>
        </w:rPr>
        <w:t>Australian re</w:t>
      </w:r>
      <w:r w:rsidR="005129FC">
        <w:rPr>
          <w:rFonts w:cs="Arial"/>
        </w:rPr>
        <w:t>search in this area</w:t>
      </w:r>
      <w:r>
        <w:rPr>
          <w:rFonts w:cs="Arial"/>
        </w:rPr>
        <w:t>, State Trustees commissioned Monash University</w:t>
      </w:r>
      <w:r w:rsidR="005129FC">
        <w:rPr>
          <w:rFonts w:cs="Arial"/>
        </w:rPr>
        <w:t xml:space="preserve"> to undertake a three-year research project</w:t>
      </w:r>
      <w:r w:rsidR="00912A50">
        <w:rPr>
          <w:rFonts w:cs="Arial"/>
        </w:rPr>
        <w:t xml:space="preserve"> into elder financial </w:t>
      </w:r>
      <w:proofErr w:type="gramStart"/>
      <w:r w:rsidR="00912A50">
        <w:rPr>
          <w:rFonts w:cs="Arial"/>
        </w:rPr>
        <w:t>abuse</w:t>
      </w:r>
      <w:r w:rsidR="005129FC">
        <w:rPr>
          <w:rFonts w:cs="Arial"/>
        </w:rPr>
        <w:t>,</w:t>
      </w:r>
      <w:proofErr w:type="gramEnd"/>
      <w:r w:rsidR="005129FC">
        <w:rPr>
          <w:rFonts w:cs="Arial"/>
        </w:rPr>
        <w:t xml:space="preserve"> entitled the </w:t>
      </w:r>
      <w:r w:rsidR="005129FC" w:rsidRPr="00E35DAB">
        <w:rPr>
          <w:rFonts w:cs="Arial"/>
          <w:i/>
        </w:rPr>
        <w:t>Protecting Elders Assets Study (PEAS): Ethical Management of Older Persons’ Financial Assets</w:t>
      </w:r>
      <w:r w:rsidR="005129FC">
        <w:rPr>
          <w:rFonts w:cs="Arial"/>
          <w:i/>
        </w:rPr>
        <w:t xml:space="preserve"> (2009-2011)</w:t>
      </w:r>
      <w:r w:rsidR="005129FC">
        <w:rPr>
          <w:rFonts w:cs="Arial"/>
        </w:rPr>
        <w:t xml:space="preserve">.  </w:t>
      </w:r>
      <w:r>
        <w:rPr>
          <w:rFonts w:cs="Arial"/>
        </w:rPr>
        <w:t xml:space="preserve"> </w:t>
      </w:r>
      <w:r w:rsidR="005129FC">
        <w:rPr>
          <w:rFonts w:cs="Arial"/>
        </w:rPr>
        <w:t xml:space="preserve">The five PEAS reports generated in the course of the project are available at: </w:t>
      </w:r>
      <w:r>
        <w:rPr>
          <w:rFonts w:cs="Arial"/>
        </w:rPr>
        <w:t xml:space="preserve"> </w:t>
      </w:r>
    </w:p>
    <w:p w:rsidR="005129FC" w:rsidRDefault="005129FC" w:rsidP="009E5F6C">
      <w:pPr>
        <w:rPr>
          <w:rFonts w:cs="Arial"/>
        </w:rPr>
      </w:pPr>
    </w:p>
    <w:p w:rsidR="009E5F6C" w:rsidRDefault="00FE25DF" w:rsidP="009E5F6C">
      <w:pPr>
        <w:rPr>
          <w:rFonts w:cs="Arial"/>
        </w:rPr>
      </w:pPr>
      <w:r w:rsidRPr="00FE25DF">
        <w:rPr>
          <w:rFonts w:cs="Arial"/>
        </w:rPr>
        <w:t>https://www.statetrustees.com.au/community/financial-elder-abuse/financial-elder-abuse-research/</w:t>
      </w:r>
      <w:r w:rsidR="009E5F6C">
        <w:rPr>
          <w:rFonts w:cs="Arial"/>
        </w:rPr>
        <w:t xml:space="preserve"> </w:t>
      </w:r>
    </w:p>
    <w:p w:rsidR="00E5239D" w:rsidRDefault="00E5239D" w:rsidP="009E5F6C">
      <w:pPr>
        <w:rPr>
          <w:rFonts w:cs="Arial"/>
        </w:rPr>
      </w:pPr>
    </w:p>
    <w:p w:rsidR="00E5239D" w:rsidRDefault="00455CE0" w:rsidP="009E5F6C">
      <w:pPr>
        <w:rPr>
          <w:rFonts w:cs="Arial"/>
        </w:rPr>
      </w:pPr>
      <w:proofErr w:type="gramStart"/>
      <w:r>
        <w:rPr>
          <w:rFonts w:cs="Arial"/>
        </w:rPr>
        <w:t>Whilst the findings of the PEAS study have been of great value, i</w:t>
      </w:r>
      <w:r w:rsidR="00E5239D">
        <w:rPr>
          <w:rFonts w:cs="Arial"/>
        </w:rPr>
        <w:t>t essential that a comprehensive prevalence study be undertaken to build on the existing research and data.</w:t>
      </w:r>
      <w:proofErr w:type="gramEnd"/>
      <w:r w:rsidR="00E5239D">
        <w:rPr>
          <w:rFonts w:cs="Arial"/>
        </w:rPr>
        <w:t xml:space="preserve">  </w:t>
      </w:r>
    </w:p>
    <w:p w:rsidR="009E5F6C" w:rsidRDefault="009E5F6C" w:rsidP="009E5F6C"/>
    <w:p w:rsidR="001A5ACE" w:rsidRDefault="009E5F6C" w:rsidP="009E5F6C">
      <w:pPr>
        <w:rPr>
          <w:rFonts w:eastAsia="Times New Roman" w:cs="Arial"/>
          <w:b/>
          <w:bCs/>
          <w:i/>
          <w:lang w:eastAsia="en-AU"/>
        </w:rPr>
      </w:pPr>
      <w:r w:rsidRPr="008542E8">
        <w:rPr>
          <w:rFonts w:eastAsia="Times New Roman" w:cs="Arial"/>
          <w:b/>
          <w:bCs/>
          <w:i/>
          <w:lang w:eastAsia="en-AU"/>
        </w:rPr>
        <w:t xml:space="preserve">Proposal 3–1 </w:t>
      </w:r>
    </w:p>
    <w:p w:rsidR="009E5F6C" w:rsidRPr="008542E8" w:rsidRDefault="009E5F6C" w:rsidP="009E5F6C">
      <w:pPr>
        <w:rPr>
          <w:rFonts w:eastAsia="Times New Roman" w:cs="Arial"/>
          <w:i/>
          <w:lang w:eastAsia="en-AU"/>
        </w:rPr>
      </w:pPr>
      <w:r w:rsidRPr="008542E8">
        <w:rPr>
          <w:rFonts w:eastAsia="Times New Roman" w:cs="Arial"/>
          <w:i/>
          <w:lang w:eastAsia="en-AU"/>
        </w:rPr>
        <w:t>State and territory public advocates or public guardians should be given the power to investigate elder abuse where they have a reasonable cause to suspect that an older person:</w:t>
      </w:r>
    </w:p>
    <w:p w:rsidR="009E5F6C" w:rsidRPr="008542E8" w:rsidRDefault="009E5F6C" w:rsidP="00E35DAB">
      <w:pPr>
        <w:rPr>
          <w:rFonts w:eastAsia="Times New Roman" w:cs="Arial"/>
          <w:i/>
          <w:lang w:eastAsia="en-AU"/>
        </w:rPr>
      </w:pPr>
      <w:r w:rsidRPr="008542E8">
        <w:rPr>
          <w:rFonts w:eastAsia="Times New Roman" w:cs="Arial"/>
          <w:i/>
          <w:lang w:eastAsia="en-AU"/>
        </w:rPr>
        <w:t xml:space="preserve">(a) </w:t>
      </w:r>
      <w:proofErr w:type="gramStart"/>
      <w:r w:rsidRPr="008542E8">
        <w:rPr>
          <w:rFonts w:eastAsia="Times New Roman" w:cs="Arial"/>
          <w:i/>
          <w:lang w:eastAsia="en-AU"/>
        </w:rPr>
        <w:t>has</w:t>
      </w:r>
      <w:proofErr w:type="gramEnd"/>
      <w:r w:rsidRPr="008542E8">
        <w:rPr>
          <w:rFonts w:eastAsia="Times New Roman" w:cs="Arial"/>
          <w:i/>
          <w:lang w:eastAsia="en-AU"/>
        </w:rPr>
        <w:t xml:space="preserve"> care and support needs;</w:t>
      </w:r>
    </w:p>
    <w:p w:rsidR="009E5F6C" w:rsidRPr="008542E8" w:rsidRDefault="009E5F6C" w:rsidP="00E35DAB">
      <w:pPr>
        <w:rPr>
          <w:rFonts w:eastAsia="Times New Roman" w:cs="Arial"/>
          <w:i/>
          <w:lang w:eastAsia="en-AU"/>
        </w:rPr>
      </w:pPr>
      <w:r w:rsidRPr="008542E8">
        <w:rPr>
          <w:rFonts w:eastAsia="Times New Roman" w:cs="Arial"/>
          <w:i/>
          <w:lang w:eastAsia="en-AU"/>
        </w:rPr>
        <w:t xml:space="preserve">(b) </w:t>
      </w:r>
      <w:proofErr w:type="gramStart"/>
      <w:r w:rsidRPr="008542E8">
        <w:rPr>
          <w:rFonts w:eastAsia="Times New Roman" w:cs="Arial"/>
          <w:i/>
          <w:lang w:eastAsia="en-AU"/>
        </w:rPr>
        <w:t>is</w:t>
      </w:r>
      <w:proofErr w:type="gramEnd"/>
      <w:r w:rsidRPr="008542E8">
        <w:rPr>
          <w:rFonts w:eastAsia="Times New Roman" w:cs="Arial"/>
          <w:i/>
          <w:lang w:eastAsia="en-AU"/>
        </w:rPr>
        <w:t>, or is at risk of, being abused or neglected; and</w:t>
      </w:r>
    </w:p>
    <w:p w:rsidR="009E5F6C" w:rsidRPr="008542E8" w:rsidRDefault="009E5F6C" w:rsidP="00E35DAB">
      <w:pPr>
        <w:rPr>
          <w:rFonts w:eastAsia="Times New Roman" w:cs="Arial"/>
          <w:i/>
          <w:lang w:eastAsia="en-AU"/>
        </w:rPr>
      </w:pPr>
      <w:r w:rsidRPr="008542E8">
        <w:rPr>
          <w:rFonts w:eastAsia="Times New Roman" w:cs="Arial"/>
          <w:i/>
          <w:lang w:eastAsia="en-AU"/>
        </w:rPr>
        <w:t>(</w:t>
      </w:r>
      <w:proofErr w:type="gramStart"/>
      <w:r w:rsidRPr="008542E8">
        <w:rPr>
          <w:rFonts w:eastAsia="Times New Roman" w:cs="Arial"/>
          <w:i/>
          <w:lang w:eastAsia="en-AU"/>
        </w:rPr>
        <w:t>c</w:t>
      </w:r>
      <w:proofErr w:type="gramEnd"/>
      <w:r w:rsidRPr="008542E8">
        <w:rPr>
          <w:rFonts w:eastAsia="Times New Roman" w:cs="Arial"/>
          <w:i/>
          <w:lang w:eastAsia="en-AU"/>
        </w:rPr>
        <w:t>) is unable to protect themselves from the abuse or neglect, or the risk of it because of care and support needs.</w:t>
      </w:r>
    </w:p>
    <w:p w:rsidR="009E5F6C" w:rsidRPr="008542E8" w:rsidRDefault="009E5F6C" w:rsidP="00E35DAB">
      <w:pPr>
        <w:rPr>
          <w:rFonts w:eastAsia="Times New Roman" w:cs="Arial"/>
          <w:i/>
          <w:lang w:eastAsia="en-AU"/>
        </w:rPr>
      </w:pPr>
      <w:r w:rsidRPr="008542E8">
        <w:rPr>
          <w:rFonts w:eastAsia="Times New Roman" w:cs="Arial"/>
          <w:i/>
          <w:lang w:eastAsia="en-AU"/>
        </w:rPr>
        <w:t>Public advocates or public guardians should be able to exercise this power on receipt of a complaint or referral or on their own motion.</w:t>
      </w:r>
    </w:p>
    <w:p w:rsidR="00E5239D" w:rsidRPr="00E35DAB" w:rsidRDefault="00E5239D" w:rsidP="00E5239D">
      <w:pPr>
        <w:spacing w:before="100" w:beforeAutospacing="1" w:after="100" w:afterAutospacing="1"/>
        <w:rPr>
          <w:rFonts w:ascii="PMingLiU" w:hAnsi="PMingLiU"/>
          <w:color w:val="000000"/>
        </w:rPr>
      </w:pPr>
      <w:r>
        <w:rPr>
          <w:rFonts w:hint="eastAsia"/>
          <w:color w:val="000000"/>
        </w:rPr>
        <w:t>State Trustees supports this proposal.  </w:t>
      </w:r>
    </w:p>
    <w:p w:rsidR="00E5239D" w:rsidRDefault="00E5239D" w:rsidP="00E5239D">
      <w:pPr>
        <w:spacing w:before="100" w:beforeAutospacing="1" w:after="100" w:afterAutospacing="1"/>
        <w:rPr>
          <w:color w:val="000000"/>
        </w:rPr>
      </w:pPr>
      <w:r>
        <w:rPr>
          <w:rFonts w:hint="eastAsia"/>
          <w:color w:val="000000"/>
        </w:rPr>
        <w:t xml:space="preserve">In some instances it may be more appropriate for </w:t>
      </w:r>
      <w:r>
        <w:rPr>
          <w:color w:val="000000"/>
        </w:rPr>
        <w:t xml:space="preserve">there to be </w:t>
      </w:r>
      <w:r>
        <w:rPr>
          <w:rFonts w:hint="eastAsia"/>
          <w:color w:val="000000"/>
        </w:rPr>
        <w:t>immediate police intervention</w:t>
      </w:r>
      <w:r>
        <w:rPr>
          <w:color w:val="000000"/>
        </w:rPr>
        <w:t>.  We</w:t>
      </w:r>
      <w:r>
        <w:rPr>
          <w:rFonts w:hint="eastAsia"/>
          <w:color w:val="000000"/>
        </w:rPr>
        <w:t xml:space="preserve"> therefore recommend clear protocols be in put in place to ensure the older person is not exposed to any further unreasonable levels of risk, taking into account the older person</w:t>
      </w:r>
      <w:r>
        <w:rPr>
          <w:color w:val="000000"/>
        </w:rPr>
        <w:t>’</w:t>
      </w:r>
      <w:r>
        <w:rPr>
          <w:rFonts w:hint="eastAsia"/>
          <w:color w:val="000000"/>
        </w:rPr>
        <w:t xml:space="preserve">s decision making capacity, will and preferences.  Care would </w:t>
      </w:r>
      <w:r>
        <w:rPr>
          <w:color w:val="000000"/>
        </w:rPr>
        <w:t xml:space="preserve">also </w:t>
      </w:r>
      <w:r>
        <w:rPr>
          <w:rFonts w:hint="eastAsia"/>
          <w:color w:val="000000"/>
        </w:rPr>
        <w:t xml:space="preserve">need to be exercised as regards the manner in which these new powers were able to be exercised, having regard to the potential for </w:t>
      </w:r>
      <w:r w:rsidR="00455CE0">
        <w:rPr>
          <w:color w:val="000000"/>
        </w:rPr>
        <w:t xml:space="preserve">some interventions to result in </w:t>
      </w:r>
      <w:r>
        <w:rPr>
          <w:rFonts w:hint="eastAsia"/>
          <w:color w:val="000000"/>
        </w:rPr>
        <w:t xml:space="preserve">harmful overreach.    </w:t>
      </w:r>
    </w:p>
    <w:p w:rsidR="00E5239D" w:rsidRDefault="00E5239D" w:rsidP="00E5239D">
      <w:pPr>
        <w:spacing w:before="100" w:beforeAutospacing="1" w:after="100" w:afterAutospacing="1"/>
        <w:rPr>
          <w:color w:val="000000"/>
        </w:rPr>
      </w:pPr>
      <w:proofErr w:type="gramStart"/>
      <w:r>
        <w:rPr>
          <w:rFonts w:hint="eastAsia"/>
          <w:color w:val="000000"/>
        </w:rPr>
        <w:t>More broadly, and outside the scope of this inquiry, the entity given the responsibility to investigate elder abuse cases should not limit its use of power to older Australians, but rather be able to investigate cases of abuse involving all vulnerable adults.</w:t>
      </w:r>
      <w:proofErr w:type="gramEnd"/>
      <w:r>
        <w:rPr>
          <w:rFonts w:hint="eastAsia"/>
          <w:color w:val="000000"/>
        </w:rPr>
        <w:t xml:space="preserve">  </w:t>
      </w:r>
    </w:p>
    <w:p w:rsidR="003A2C6F" w:rsidRDefault="003A2C6F" w:rsidP="00E35DAB">
      <w:pPr>
        <w:spacing w:before="100" w:beforeAutospacing="1"/>
        <w:rPr>
          <w:i/>
          <w:color w:val="000000" w:themeColor="text1"/>
        </w:rPr>
      </w:pPr>
      <w:r w:rsidRPr="00E35DAB">
        <w:rPr>
          <w:rFonts w:hint="eastAsia"/>
          <w:b/>
          <w:bCs/>
          <w:i/>
          <w:color w:val="000000" w:themeColor="text1"/>
        </w:rPr>
        <w:t>Proposal 3</w:t>
      </w:r>
      <w:r w:rsidRPr="00E35DAB">
        <w:rPr>
          <w:rFonts w:hint="eastAsia"/>
          <w:b/>
          <w:bCs/>
          <w:i/>
          <w:color w:val="000000" w:themeColor="text1"/>
        </w:rPr>
        <w:t>–</w:t>
      </w:r>
      <w:r w:rsidRPr="00E35DAB">
        <w:rPr>
          <w:rFonts w:hint="eastAsia"/>
          <w:b/>
          <w:bCs/>
          <w:i/>
          <w:color w:val="000000" w:themeColor="text1"/>
        </w:rPr>
        <w:t>2</w:t>
      </w:r>
      <w:r w:rsidRPr="00E35DAB">
        <w:rPr>
          <w:rFonts w:hint="eastAsia"/>
          <w:i/>
          <w:color w:val="000000" w:themeColor="text1"/>
        </w:rPr>
        <w:t xml:space="preserve"> </w:t>
      </w:r>
    </w:p>
    <w:p w:rsidR="003A2C6F" w:rsidRPr="00E35DAB" w:rsidRDefault="003A2C6F" w:rsidP="00E35DAB">
      <w:pPr>
        <w:spacing w:after="100" w:afterAutospacing="1"/>
        <w:rPr>
          <w:i/>
          <w:color w:val="000000" w:themeColor="text1"/>
        </w:rPr>
      </w:pPr>
      <w:r w:rsidRPr="00E35DAB">
        <w:rPr>
          <w:rFonts w:hint="eastAsia"/>
          <w:i/>
          <w:color w:val="000000" w:themeColor="text1"/>
        </w:rPr>
        <w:t>Public advocates or public guardians should be guided by the following principles: (a) older people experiencing abuse or neglect have the right to refuse support, assistance or protection; (b) the need to protect someone from abuse or neglect must be balanced with respect for the person</w:t>
      </w:r>
      <w:r w:rsidR="00455CE0">
        <w:rPr>
          <w:i/>
          <w:color w:val="000000" w:themeColor="text1"/>
        </w:rPr>
        <w:t>’s</w:t>
      </w:r>
      <w:r w:rsidRPr="00E35DAB">
        <w:rPr>
          <w:rFonts w:hint="eastAsia"/>
          <w:i/>
          <w:color w:val="000000" w:themeColor="text1"/>
        </w:rPr>
        <w:t xml:space="preserve"> right to make their own decisions about their care; and (c) the will, preferences and rights of the older person must be respected.</w:t>
      </w:r>
    </w:p>
    <w:p w:rsidR="003A2C6F" w:rsidRDefault="003A2C6F" w:rsidP="003A2C6F">
      <w:pPr>
        <w:spacing w:before="100" w:beforeAutospacing="1" w:after="100" w:afterAutospacing="1"/>
        <w:rPr>
          <w:color w:val="000000"/>
        </w:rPr>
      </w:pPr>
      <w:r>
        <w:rPr>
          <w:rFonts w:hint="eastAsia"/>
          <w:color w:val="000000"/>
        </w:rPr>
        <w:lastRenderedPageBreak/>
        <w:t>State T</w:t>
      </w:r>
      <w:r w:rsidR="001A3709">
        <w:rPr>
          <w:rFonts w:hint="eastAsia"/>
          <w:color w:val="000000"/>
        </w:rPr>
        <w:t xml:space="preserve">rustees </w:t>
      </w:r>
      <w:r w:rsidR="001F3392">
        <w:rPr>
          <w:color w:val="000000"/>
        </w:rPr>
        <w:t>supports this</w:t>
      </w:r>
      <w:r>
        <w:rPr>
          <w:rFonts w:hint="eastAsia"/>
          <w:color w:val="000000"/>
        </w:rPr>
        <w:t xml:space="preserve"> proposal.  </w:t>
      </w:r>
    </w:p>
    <w:p w:rsidR="003A2C6F" w:rsidRDefault="003A2C6F" w:rsidP="00E35DAB">
      <w:pPr>
        <w:spacing w:before="100" w:beforeAutospacing="1"/>
        <w:rPr>
          <w:i/>
          <w:color w:val="000000" w:themeColor="text1"/>
        </w:rPr>
      </w:pPr>
      <w:r w:rsidRPr="00E35DAB">
        <w:rPr>
          <w:rFonts w:hint="eastAsia"/>
          <w:b/>
          <w:bCs/>
          <w:i/>
          <w:color w:val="000000" w:themeColor="text1"/>
        </w:rPr>
        <w:t>Proposal 3</w:t>
      </w:r>
      <w:r w:rsidRPr="00E35DAB">
        <w:rPr>
          <w:rFonts w:hint="eastAsia"/>
          <w:b/>
          <w:bCs/>
          <w:i/>
          <w:color w:val="000000" w:themeColor="text1"/>
        </w:rPr>
        <w:t>–</w:t>
      </w:r>
      <w:r w:rsidRPr="00E35DAB">
        <w:rPr>
          <w:rFonts w:hint="eastAsia"/>
          <w:b/>
          <w:bCs/>
          <w:i/>
          <w:color w:val="000000" w:themeColor="text1"/>
        </w:rPr>
        <w:t>3</w:t>
      </w:r>
      <w:r w:rsidRPr="00E35DAB">
        <w:rPr>
          <w:rFonts w:hint="eastAsia"/>
          <w:i/>
          <w:color w:val="000000" w:themeColor="text1"/>
        </w:rPr>
        <w:t xml:space="preserve"> </w:t>
      </w:r>
    </w:p>
    <w:p w:rsidR="003A2C6F" w:rsidRPr="00E35DAB" w:rsidRDefault="003A2C6F" w:rsidP="00E35DAB">
      <w:pPr>
        <w:spacing w:after="100" w:afterAutospacing="1"/>
        <w:rPr>
          <w:i/>
          <w:color w:val="000000" w:themeColor="text1"/>
        </w:rPr>
      </w:pPr>
      <w:r w:rsidRPr="00E35DAB">
        <w:rPr>
          <w:rFonts w:hint="eastAsia"/>
          <w:i/>
          <w:color w:val="000000" w:themeColor="text1"/>
        </w:rPr>
        <w:t>Public advocates or public guardians should have the power to require that a person, other than the older person: (a) furnish information; (b) produce documents; or (c) participate in an interview relating to an investigation of the abuse or neglect of an older person.</w:t>
      </w:r>
    </w:p>
    <w:p w:rsidR="003A2C6F" w:rsidRDefault="003A2C6F" w:rsidP="003A2C6F">
      <w:pPr>
        <w:spacing w:before="100" w:beforeAutospacing="1" w:after="100" w:afterAutospacing="1"/>
        <w:rPr>
          <w:color w:val="000000"/>
        </w:rPr>
      </w:pPr>
      <w:r>
        <w:rPr>
          <w:rFonts w:hint="eastAsia"/>
          <w:color w:val="000000"/>
        </w:rPr>
        <w:t>State T</w:t>
      </w:r>
      <w:r w:rsidR="001A3709">
        <w:rPr>
          <w:rFonts w:hint="eastAsia"/>
          <w:color w:val="000000"/>
        </w:rPr>
        <w:t xml:space="preserve">rustees supports </w:t>
      </w:r>
      <w:r>
        <w:rPr>
          <w:rFonts w:hint="eastAsia"/>
          <w:color w:val="000000"/>
        </w:rPr>
        <w:t>this proposal.  </w:t>
      </w:r>
    </w:p>
    <w:p w:rsidR="003A2C6F" w:rsidRPr="00E35DAB" w:rsidRDefault="003A2C6F" w:rsidP="003A2C6F">
      <w:pPr>
        <w:pStyle w:val="Heading3"/>
        <w:rPr>
          <w:rFonts w:ascii="Arial" w:hAnsi="Arial"/>
          <w:b w:val="0"/>
          <w:bCs w:val="0"/>
          <w:i/>
          <w:color w:val="000000" w:themeColor="text1"/>
          <w:sz w:val="22"/>
        </w:rPr>
      </w:pPr>
      <w:r w:rsidRPr="00E35DAB">
        <w:rPr>
          <w:rFonts w:ascii="Arial" w:hAnsi="Arial"/>
          <w:i/>
          <w:color w:val="000000" w:themeColor="text1"/>
          <w:sz w:val="22"/>
        </w:rPr>
        <w:t>Proposal 3–4</w:t>
      </w:r>
      <w:r w:rsidRPr="00E35DAB">
        <w:rPr>
          <w:rFonts w:ascii="Arial" w:hAnsi="Arial"/>
          <w:bCs w:val="0"/>
          <w:i/>
          <w:color w:val="000000" w:themeColor="text1"/>
          <w:sz w:val="22"/>
        </w:rPr>
        <w:t xml:space="preserve"> </w:t>
      </w:r>
      <w:r>
        <w:rPr>
          <w:rFonts w:ascii="Arial" w:hAnsi="Arial"/>
          <w:b w:val="0"/>
          <w:bCs w:val="0"/>
          <w:i/>
          <w:color w:val="000000" w:themeColor="text1"/>
          <w:sz w:val="22"/>
        </w:rPr>
        <w:br/>
      </w:r>
      <w:r w:rsidRPr="00E35DAB">
        <w:rPr>
          <w:rFonts w:ascii="Arial" w:hAnsi="Arial"/>
          <w:b w:val="0"/>
          <w:bCs w:val="0"/>
          <w:i/>
          <w:color w:val="000000" w:themeColor="text1"/>
          <w:sz w:val="22"/>
        </w:rPr>
        <w:t>In responding to the suspected abuse or neglect of an older person, public advocates or public guardians may:</w:t>
      </w:r>
      <w:r w:rsidRPr="00E35DAB">
        <w:rPr>
          <w:rFonts w:ascii="Arial" w:hAnsi="Arial"/>
          <w:b w:val="0"/>
          <w:bCs w:val="0"/>
          <w:i/>
          <w:color w:val="000000" w:themeColor="text1"/>
          <w:sz w:val="22"/>
        </w:rPr>
        <w:br/>
        <w:t>(a) refer the older person or the perpetrator to available health care, social, legal, accommodation or other services;</w:t>
      </w:r>
      <w:r w:rsidRPr="00E35DAB">
        <w:rPr>
          <w:rFonts w:ascii="Arial" w:hAnsi="Arial"/>
          <w:b w:val="0"/>
          <w:bCs w:val="0"/>
          <w:i/>
          <w:color w:val="000000" w:themeColor="text1"/>
          <w:sz w:val="22"/>
        </w:rPr>
        <w:br/>
        <w:t>(b) assist the older person or perpetrator in obtaining those services;</w:t>
      </w:r>
      <w:r w:rsidRPr="00E35DAB">
        <w:rPr>
          <w:rFonts w:ascii="Arial" w:hAnsi="Arial"/>
          <w:b w:val="0"/>
          <w:bCs w:val="0"/>
          <w:i/>
          <w:color w:val="000000" w:themeColor="text1"/>
          <w:sz w:val="22"/>
        </w:rPr>
        <w:br/>
        <w:t>(c) prepare, in consultation with the older person, a support and assistance plan that specifies any services needed by the older person; or</w:t>
      </w:r>
      <w:r w:rsidRPr="00E35DAB">
        <w:rPr>
          <w:rFonts w:ascii="Arial" w:hAnsi="Arial"/>
          <w:b w:val="0"/>
          <w:bCs w:val="0"/>
          <w:i/>
          <w:color w:val="000000" w:themeColor="text1"/>
          <w:sz w:val="22"/>
        </w:rPr>
        <w:br/>
        <w:t>(d) decide to take no further action.</w:t>
      </w:r>
    </w:p>
    <w:p w:rsidR="003A2C6F" w:rsidRDefault="003A2C6F" w:rsidP="003A2C6F">
      <w:pPr>
        <w:spacing w:before="100" w:beforeAutospacing="1" w:after="100" w:afterAutospacing="1"/>
        <w:rPr>
          <w:color w:val="000000"/>
        </w:rPr>
      </w:pPr>
      <w:r>
        <w:rPr>
          <w:rFonts w:hint="eastAsia"/>
          <w:color w:val="000000"/>
        </w:rPr>
        <w:t>State T</w:t>
      </w:r>
      <w:r w:rsidR="001A3709">
        <w:rPr>
          <w:rFonts w:hint="eastAsia"/>
          <w:color w:val="000000"/>
        </w:rPr>
        <w:t xml:space="preserve">rustees supports </w:t>
      </w:r>
      <w:r>
        <w:rPr>
          <w:rFonts w:hint="eastAsia"/>
          <w:color w:val="000000"/>
        </w:rPr>
        <w:t>this proposal</w:t>
      </w:r>
    </w:p>
    <w:p w:rsidR="000C6BC5" w:rsidRPr="00E35DAB" w:rsidRDefault="003A2C6F" w:rsidP="00E35DAB">
      <w:pPr>
        <w:pStyle w:val="Heading3"/>
        <w:spacing w:before="0" w:beforeAutospacing="0" w:after="0" w:afterAutospacing="0"/>
        <w:rPr>
          <w:rFonts w:ascii="Arial" w:hAnsi="Arial"/>
          <w:i/>
          <w:color w:val="000000" w:themeColor="text1"/>
          <w:sz w:val="22"/>
        </w:rPr>
      </w:pPr>
      <w:r w:rsidRPr="00E35DAB">
        <w:rPr>
          <w:rFonts w:ascii="Arial" w:hAnsi="Arial"/>
          <w:i/>
          <w:color w:val="000000" w:themeColor="text1"/>
          <w:sz w:val="22"/>
        </w:rPr>
        <w:t xml:space="preserve">Proposal 3–5 </w:t>
      </w:r>
    </w:p>
    <w:p w:rsidR="003A2C6F" w:rsidRPr="00E35DAB" w:rsidRDefault="003A2C6F" w:rsidP="00E35DAB">
      <w:pPr>
        <w:pStyle w:val="Heading3"/>
        <w:spacing w:before="0" w:beforeAutospacing="0"/>
        <w:rPr>
          <w:rFonts w:ascii="Arial" w:hAnsi="Arial"/>
          <w:b w:val="0"/>
          <w:i/>
          <w:color w:val="000000" w:themeColor="text1"/>
          <w:sz w:val="22"/>
        </w:rPr>
      </w:pPr>
      <w:r w:rsidRPr="00E35DAB">
        <w:rPr>
          <w:rFonts w:ascii="Arial" w:hAnsi="Arial"/>
          <w:b w:val="0"/>
          <w:bCs w:val="0"/>
          <w:i/>
          <w:color w:val="000000" w:themeColor="text1"/>
          <w:sz w:val="22"/>
        </w:rPr>
        <w:t>Any person who reports elder abuse to the public advocate or public guardian in good faith and based on a reasonable suspicion should not, as a consequence of their report, be</w:t>
      </w:r>
      <w:proofErr w:type="gramStart"/>
      <w:r w:rsidRPr="00E35DAB">
        <w:rPr>
          <w:rFonts w:ascii="Arial" w:hAnsi="Arial"/>
          <w:b w:val="0"/>
          <w:bCs w:val="0"/>
          <w:i/>
          <w:color w:val="000000" w:themeColor="text1"/>
          <w:sz w:val="22"/>
        </w:rPr>
        <w:t>:</w:t>
      </w:r>
      <w:proofErr w:type="gramEnd"/>
      <w:r w:rsidRPr="00E35DAB">
        <w:rPr>
          <w:rFonts w:ascii="Arial" w:hAnsi="Arial"/>
          <w:b w:val="0"/>
          <w:bCs w:val="0"/>
          <w:i/>
          <w:color w:val="000000" w:themeColor="text1"/>
          <w:sz w:val="22"/>
        </w:rPr>
        <w:br/>
        <w:t>(a) liable, civilly, criminally or under an administrative process;</w:t>
      </w:r>
      <w:r w:rsidRPr="00E35DAB">
        <w:rPr>
          <w:rFonts w:ascii="Arial" w:hAnsi="Arial"/>
          <w:b w:val="0"/>
          <w:bCs w:val="0"/>
          <w:i/>
          <w:color w:val="000000" w:themeColor="text1"/>
          <w:sz w:val="22"/>
        </w:rPr>
        <w:br/>
        <w:t>(b) found to have departed from standards of professional conduct;</w:t>
      </w:r>
      <w:r w:rsidRPr="00E35DAB">
        <w:rPr>
          <w:rFonts w:ascii="Arial" w:hAnsi="Arial"/>
          <w:b w:val="0"/>
          <w:bCs w:val="0"/>
          <w:i/>
          <w:color w:val="000000" w:themeColor="text1"/>
          <w:sz w:val="22"/>
        </w:rPr>
        <w:br/>
        <w:t>(c) dismissed or threatened in the course of their employment; or</w:t>
      </w:r>
      <w:r w:rsidRPr="00E35DAB">
        <w:rPr>
          <w:rFonts w:ascii="Arial" w:hAnsi="Arial"/>
          <w:b w:val="0"/>
          <w:bCs w:val="0"/>
          <w:i/>
          <w:color w:val="000000" w:themeColor="text1"/>
          <w:sz w:val="22"/>
        </w:rPr>
        <w:br/>
        <w:t>(d) discriminated against with respect to employment or membership in a profession or trade union.</w:t>
      </w:r>
    </w:p>
    <w:p w:rsidR="003A2C6F" w:rsidRDefault="003A2C6F" w:rsidP="00E5239D">
      <w:pPr>
        <w:spacing w:before="100" w:beforeAutospacing="1" w:after="100" w:afterAutospacing="1"/>
        <w:rPr>
          <w:color w:val="000000"/>
        </w:rPr>
      </w:pPr>
      <w:r>
        <w:rPr>
          <w:rFonts w:hint="eastAsia"/>
          <w:color w:val="000000"/>
        </w:rPr>
        <w:t>State T</w:t>
      </w:r>
      <w:r w:rsidR="001A3709">
        <w:rPr>
          <w:rFonts w:hint="eastAsia"/>
          <w:color w:val="000000"/>
        </w:rPr>
        <w:t xml:space="preserve">rustees supports </w:t>
      </w:r>
      <w:r>
        <w:rPr>
          <w:rFonts w:hint="eastAsia"/>
          <w:color w:val="000000"/>
        </w:rPr>
        <w:t>this proposal.</w:t>
      </w:r>
      <w:r w:rsidR="00455CE0">
        <w:rPr>
          <w:color w:val="000000"/>
        </w:rPr>
        <w:t xml:space="preserve">  </w:t>
      </w:r>
    </w:p>
    <w:p w:rsidR="00455CE0" w:rsidRDefault="00455CE0" w:rsidP="00E5239D">
      <w:pPr>
        <w:spacing w:before="100" w:beforeAutospacing="1" w:after="100" w:afterAutospacing="1"/>
        <w:rPr>
          <w:color w:val="000000"/>
        </w:rPr>
      </w:pPr>
      <w:r>
        <w:rPr>
          <w:color w:val="000000"/>
        </w:rPr>
        <w:t xml:space="preserve">The persons protected from detriment in such circumstances should include legal persons, such as trustee companies. </w:t>
      </w:r>
    </w:p>
    <w:p w:rsidR="009E5F6C" w:rsidRPr="00E35DAB" w:rsidRDefault="009E5F6C" w:rsidP="009E5F6C">
      <w:pPr>
        <w:rPr>
          <w:i/>
          <w:color w:val="000000" w:themeColor="text1"/>
        </w:rPr>
      </w:pPr>
      <w:r w:rsidRPr="00E35DAB">
        <w:rPr>
          <w:rFonts w:eastAsia="Times New Roman" w:cs="Arial"/>
          <w:b/>
          <w:bCs/>
          <w:i/>
          <w:color w:val="000000" w:themeColor="text1"/>
          <w:lang w:eastAsia="en-AU"/>
        </w:rPr>
        <w:t>Proposal 5–1</w:t>
      </w:r>
      <w:r w:rsidR="00383C73">
        <w:rPr>
          <w:rFonts w:eastAsia="Times New Roman" w:cs="Arial"/>
          <w:b/>
          <w:bCs/>
          <w:i/>
          <w:color w:val="000000" w:themeColor="text1"/>
          <w:lang w:eastAsia="en-AU"/>
        </w:rPr>
        <w:br/>
      </w:r>
      <w:r w:rsidRPr="00E35DAB">
        <w:rPr>
          <w:rFonts w:eastAsia="Times New Roman" w:cs="Arial"/>
          <w:i/>
          <w:color w:val="000000" w:themeColor="text1"/>
          <w:lang w:eastAsia="en-AU"/>
        </w:rPr>
        <w:t>A national online register of enduring documents, and court and tribunal orders for the appointment of guardians and financial administrators, should be established.</w:t>
      </w:r>
    </w:p>
    <w:p w:rsidR="009E5F6C" w:rsidRDefault="009E5F6C" w:rsidP="009E5F6C">
      <w:pPr>
        <w:outlineLvl w:val="1"/>
        <w:rPr>
          <w:rFonts w:eastAsia="Times New Roman" w:cs="Arial"/>
          <w:bCs/>
          <w:i/>
          <w:color w:val="2E74B5" w:themeColor="accent1" w:themeShade="BF"/>
          <w:lang w:eastAsia="en-AU"/>
        </w:rPr>
      </w:pPr>
    </w:p>
    <w:p w:rsidR="009E5F6C" w:rsidRDefault="009E5F6C" w:rsidP="009E5F6C">
      <w:pPr>
        <w:rPr>
          <w:rFonts w:eastAsia="Times New Roman" w:cs="Arial"/>
          <w:bCs/>
          <w:lang w:eastAsia="en-AU"/>
        </w:rPr>
      </w:pPr>
      <w:r>
        <w:rPr>
          <w:rFonts w:eastAsia="Times New Roman" w:cs="Arial"/>
          <w:bCs/>
          <w:lang w:eastAsia="en-AU"/>
        </w:rPr>
        <w:t>State Trustees</w:t>
      </w:r>
      <w:r w:rsidRPr="008542E8">
        <w:rPr>
          <w:rFonts w:eastAsia="Times New Roman" w:cs="Arial"/>
          <w:bCs/>
          <w:lang w:eastAsia="en-AU"/>
        </w:rPr>
        <w:t xml:space="preserve"> supports this </w:t>
      </w:r>
      <w:r w:rsidR="001A3709">
        <w:rPr>
          <w:rFonts w:eastAsia="Times New Roman" w:cs="Arial"/>
          <w:bCs/>
          <w:lang w:eastAsia="en-AU"/>
        </w:rPr>
        <w:t>proposal</w:t>
      </w:r>
      <w:r w:rsidR="00E5239D">
        <w:rPr>
          <w:rFonts w:eastAsia="Times New Roman" w:cs="Arial"/>
          <w:bCs/>
          <w:lang w:eastAsia="en-AU"/>
        </w:rPr>
        <w:t>, subject to the comments below</w:t>
      </w:r>
      <w:r w:rsidRPr="008542E8">
        <w:rPr>
          <w:rFonts w:eastAsia="Times New Roman" w:cs="Arial"/>
          <w:bCs/>
          <w:lang w:eastAsia="en-AU"/>
        </w:rPr>
        <w:t xml:space="preserve">. </w:t>
      </w:r>
    </w:p>
    <w:p w:rsidR="009E5F6C" w:rsidRDefault="009E5F6C" w:rsidP="009E5F6C">
      <w:pPr>
        <w:rPr>
          <w:rFonts w:eastAsia="Times New Roman" w:cs="Arial"/>
          <w:bCs/>
          <w:lang w:eastAsia="en-AU"/>
        </w:rPr>
      </w:pPr>
    </w:p>
    <w:p w:rsidR="00F506DB" w:rsidRDefault="00383C73" w:rsidP="00F506DB">
      <w:pPr>
        <w:pStyle w:val="Default"/>
        <w:rPr>
          <w:sz w:val="22"/>
          <w:szCs w:val="22"/>
        </w:rPr>
      </w:pPr>
      <w:r>
        <w:rPr>
          <w:sz w:val="22"/>
          <w:szCs w:val="22"/>
        </w:rPr>
        <w:t xml:space="preserve">On balance, </w:t>
      </w:r>
      <w:r w:rsidR="00F506DB">
        <w:rPr>
          <w:sz w:val="22"/>
          <w:szCs w:val="22"/>
        </w:rPr>
        <w:t xml:space="preserve">State Trustees </w:t>
      </w:r>
      <w:r>
        <w:rPr>
          <w:sz w:val="22"/>
          <w:szCs w:val="22"/>
        </w:rPr>
        <w:t xml:space="preserve">believes </w:t>
      </w:r>
      <w:r w:rsidR="00F506DB">
        <w:rPr>
          <w:sz w:val="22"/>
          <w:szCs w:val="22"/>
        </w:rPr>
        <w:t>the creation of a mandatory</w:t>
      </w:r>
      <w:r w:rsidR="00455CE0">
        <w:rPr>
          <w:sz w:val="22"/>
          <w:szCs w:val="22"/>
        </w:rPr>
        <w:t>,</w:t>
      </w:r>
      <w:r w:rsidR="00F506DB">
        <w:rPr>
          <w:sz w:val="22"/>
          <w:szCs w:val="22"/>
        </w:rPr>
        <w:t xml:space="preserve"> national</w:t>
      </w:r>
      <w:r w:rsidR="00455CE0">
        <w:rPr>
          <w:sz w:val="22"/>
          <w:szCs w:val="22"/>
        </w:rPr>
        <w:t>,</w:t>
      </w:r>
      <w:r w:rsidR="00F506DB">
        <w:rPr>
          <w:sz w:val="22"/>
          <w:szCs w:val="22"/>
        </w:rPr>
        <w:t xml:space="preserve"> online registration system for enduring powers, supportive attorney appointments, and Court/Tribunal appointments of substitute decision makers</w:t>
      </w:r>
      <w:r w:rsidR="00E5239D">
        <w:rPr>
          <w:sz w:val="22"/>
          <w:szCs w:val="22"/>
        </w:rPr>
        <w:t xml:space="preserve">, </w:t>
      </w:r>
      <w:r>
        <w:rPr>
          <w:sz w:val="22"/>
          <w:szCs w:val="22"/>
        </w:rPr>
        <w:t xml:space="preserve">will bring overall benefits, </w:t>
      </w:r>
      <w:r w:rsidR="00E5239D">
        <w:rPr>
          <w:sz w:val="22"/>
          <w:szCs w:val="22"/>
        </w:rPr>
        <w:t xml:space="preserve">so long as </w:t>
      </w:r>
      <w:r>
        <w:rPr>
          <w:sz w:val="22"/>
          <w:szCs w:val="22"/>
        </w:rPr>
        <w:t xml:space="preserve">appropriate </w:t>
      </w:r>
      <w:r w:rsidR="00E5239D">
        <w:rPr>
          <w:sz w:val="22"/>
          <w:szCs w:val="22"/>
        </w:rPr>
        <w:t xml:space="preserve">protections are </w:t>
      </w:r>
      <w:r w:rsidR="009833C0">
        <w:rPr>
          <w:sz w:val="22"/>
          <w:szCs w:val="22"/>
        </w:rPr>
        <w:t xml:space="preserve">maintained.  </w:t>
      </w:r>
      <w:r w:rsidR="00F506DB">
        <w:rPr>
          <w:sz w:val="22"/>
          <w:szCs w:val="22"/>
        </w:rPr>
        <w:t xml:space="preserve">  </w:t>
      </w:r>
    </w:p>
    <w:p w:rsidR="00F506DB" w:rsidRDefault="00F506DB" w:rsidP="00F506DB">
      <w:pPr>
        <w:pStyle w:val="Default"/>
        <w:rPr>
          <w:sz w:val="22"/>
          <w:szCs w:val="22"/>
        </w:rPr>
      </w:pPr>
    </w:p>
    <w:p w:rsidR="00231E63" w:rsidRDefault="009833C0" w:rsidP="00EA4464">
      <w:pPr>
        <w:rPr>
          <w:rFonts w:eastAsia="Times New Roman" w:cs="Arial"/>
          <w:lang w:eastAsia="en-AU"/>
        </w:rPr>
      </w:pPr>
      <w:r>
        <w:rPr>
          <w:rFonts w:eastAsia="Times New Roman" w:cs="Arial"/>
          <w:bCs/>
          <w:lang w:eastAsia="en-AU"/>
        </w:rPr>
        <w:t>T</w:t>
      </w:r>
      <w:r w:rsidR="009E5F6C">
        <w:rPr>
          <w:rFonts w:eastAsia="Times New Roman" w:cs="Arial"/>
          <w:bCs/>
          <w:lang w:eastAsia="en-AU"/>
        </w:rPr>
        <w:t>he Victorian Law Reform Commission (</w:t>
      </w:r>
      <w:r w:rsidR="009E5F6C" w:rsidRPr="008542E8">
        <w:rPr>
          <w:rFonts w:eastAsia="Times New Roman" w:cs="Arial"/>
          <w:b/>
          <w:bCs/>
          <w:lang w:eastAsia="en-AU"/>
        </w:rPr>
        <w:t>VLRC</w:t>
      </w:r>
      <w:r w:rsidR="009E5F6C">
        <w:rPr>
          <w:rFonts w:eastAsia="Times New Roman" w:cs="Arial"/>
          <w:bCs/>
          <w:lang w:eastAsia="en-AU"/>
        </w:rPr>
        <w:t xml:space="preserve">) in its 2012 report </w:t>
      </w:r>
      <w:r w:rsidR="009E5F6C">
        <w:rPr>
          <w:rFonts w:eastAsia="Times New Roman" w:cs="Arial"/>
          <w:lang w:eastAsia="en-AU"/>
        </w:rPr>
        <w:t xml:space="preserve">envisioned </w:t>
      </w:r>
      <w:r>
        <w:rPr>
          <w:rFonts w:eastAsia="Times New Roman" w:cs="Arial"/>
          <w:lang w:eastAsia="en-AU"/>
        </w:rPr>
        <w:t xml:space="preserve">the </w:t>
      </w:r>
      <w:r w:rsidR="009E5F6C">
        <w:rPr>
          <w:rFonts w:eastAsia="Times New Roman" w:cs="Arial"/>
          <w:lang w:eastAsia="en-AU"/>
        </w:rPr>
        <w:t xml:space="preserve">register </w:t>
      </w:r>
      <w:r>
        <w:rPr>
          <w:rFonts w:eastAsia="Times New Roman" w:cs="Arial"/>
          <w:lang w:eastAsia="en-AU"/>
        </w:rPr>
        <w:t xml:space="preserve">being initially </w:t>
      </w:r>
      <w:r w:rsidR="009E5F6C">
        <w:rPr>
          <w:rFonts w:eastAsia="Times New Roman" w:cs="Arial"/>
          <w:lang w:eastAsia="en-AU"/>
        </w:rPr>
        <w:t>within Victoria</w:t>
      </w:r>
      <w:r>
        <w:rPr>
          <w:rFonts w:eastAsia="Times New Roman" w:cs="Arial"/>
          <w:lang w:eastAsia="en-AU"/>
        </w:rPr>
        <w:t xml:space="preserve"> alone</w:t>
      </w:r>
      <w:r w:rsidR="00907425">
        <w:rPr>
          <w:rFonts w:eastAsia="Times New Roman" w:cs="Arial"/>
          <w:lang w:eastAsia="en-AU"/>
        </w:rPr>
        <w:t xml:space="preserve">. </w:t>
      </w:r>
      <w:r w:rsidR="00EA4464">
        <w:rPr>
          <w:rFonts w:eastAsia="Times New Roman" w:cs="Arial"/>
          <w:lang w:eastAsia="en-AU"/>
        </w:rPr>
        <w:t xml:space="preserve">STL envisions significant advantages starting with a state-based system of registration given </w:t>
      </w:r>
      <w:r>
        <w:rPr>
          <w:rFonts w:eastAsia="Times New Roman" w:cs="Arial"/>
          <w:lang w:eastAsia="en-AU"/>
        </w:rPr>
        <w:t>t</w:t>
      </w:r>
      <w:r w:rsidR="00B43466">
        <w:rPr>
          <w:rFonts w:eastAsia="Times New Roman" w:cs="Arial"/>
          <w:lang w:eastAsia="en-AU"/>
        </w:rPr>
        <w:t>he current significant differences between the laws</w:t>
      </w:r>
      <w:r w:rsidR="00383C73">
        <w:rPr>
          <w:rFonts w:eastAsia="Times New Roman" w:cs="Arial"/>
          <w:lang w:eastAsia="en-AU"/>
        </w:rPr>
        <w:t xml:space="preserve">, and forms of documents, for </w:t>
      </w:r>
      <w:r w:rsidR="00B43466">
        <w:rPr>
          <w:rFonts w:eastAsia="Times New Roman" w:cs="Arial"/>
          <w:lang w:eastAsia="en-AU"/>
        </w:rPr>
        <w:t>substitute decision-making appointments in the various Australian jurisdictions</w:t>
      </w:r>
      <w:r w:rsidR="0058567C">
        <w:rPr>
          <w:rFonts w:eastAsia="Times New Roman" w:cs="Arial"/>
          <w:lang w:eastAsia="en-AU"/>
        </w:rPr>
        <w:t xml:space="preserve">.  </w:t>
      </w:r>
    </w:p>
    <w:p w:rsidR="00231E63" w:rsidRDefault="00231E63" w:rsidP="00EA4464">
      <w:pPr>
        <w:rPr>
          <w:rFonts w:eastAsia="Times New Roman" w:cs="Arial"/>
          <w:lang w:eastAsia="en-AU"/>
        </w:rPr>
      </w:pPr>
    </w:p>
    <w:p w:rsidR="00455CE0" w:rsidRDefault="00AB0D28" w:rsidP="009E5F6C">
      <w:pPr>
        <w:rPr>
          <w:rFonts w:eastAsia="Times New Roman" w:cs="Arial"/>
          <w:lang w:eastAsia="en-AU"/>
        </w:rPr>
      </w:pPr>
      <w:r>
        <w:rPr>
          <w:rFonts w:eastAsia="Times New Roman" w:cs="Arial"/>
          <w:lang w:eastAsia="en-AU"/>
        </w:rPr>
        <w:t xml:space="preserve">It should also be borne in mind that </w:t>
      </w:r>
      <w:r w:rsidR="0058567C">
        <w:rPr>
          <w:rFonts w:eastAsia="Times New Roman" w:cs="Arial"/>
          <w:lang w:eastAsia="en-AU"/>
        </w:rPr>
        <w:t xml:space="preserve">enduring documents that were validly made under </w:t>
      </w:r>
      <w:r w:rsidR="00455CE0">
        <w:rPr>
          <w:rFonts w:eastAsia="Times New Roman" w:cs="Arial"/>
          <w:lang w:eastAsia="en-AU"/>
        </w:rPr>
        <w:t>a</w:t>
      </w:r>
      <w:r w:rsidR="0058567C">
        <w:rPr>
          <w:rFonts w:eastAsia="Times New Roman" w:cs="Arial"/>
          <w:lang w:eastAsia="en-AU"/>
        </w:rPr>
        <w:t xml:space="preserve"> law </w:t>
      </w:r>
      <w:r w:rsidR="00455CE0">
        <w:rPr>
          <w:rFonts w:eastAsia="Times New Roman" w:cs="Arial"/>
          <w:lang w:eastAsia="en-AU"/>
        </w:rPr>
        <w:t>previously in</w:t>
      </w:r>
      <w:r w:rsidR="0058567C">
        <w:rPr>
          <w:rFonts w:eastAsia="Times New Roman" w:cs="Arial"/>
          <w:lang w:eastAsia="en-AU"/>
        </w:rPr>
        <w:t xml:space="preserve"> force </w:t>
      </w:r>
      <w:r>
        <w:rPr>
          <w:rFonts w:eastAsia="Times New Roman" w:cs="Arial"/>
          <w:lang w:eastAsia="en-AU"/>
        </w:rPr>
        <w:t xml:space="preserve">will generally </w:t>
      </w:r>
      <w:r w:rsidR="0058567C">
        <w:rPr>
          <w:rFonts w:eastAsia="Times New Roman" w:cs="Arial"/>
          <w:lang w:eastAsia="en-AU"/>
        </w:rPr>
        <w:t xml:space="preserve">remain valid under the </w:t>
      </w:r>
      <w:r w:rsidR="00455CE0">
        <w:rPr>
          <w:rFonts w:eastAsia="Times New Roman" w:cs="Arial"/>
          <w:lang w:eastAsia="en-AU"/>
        </w:rPr>
        <w:t xml:space="preserve">(new) </w:t>
      </w:r>
      <w:r w:rsidR="0058567C">
        <w:rPr>
          <w:rFonts w:eastAsia="Times New Roman" w:cs="Arial"/>
          <w:lang w:eastAsia="en-AU"/>
        </w:rPr>
        <w:t>current law</w:t>
      </w:r>
      <w:r>
        <w:rPr>
          <w:rFonts w:eastAsia="Times New Roman" w:cs="Arial"/>
          <w:lang w:eastAsia="en-AU"/>
        </w:rPr>
        <w:t>: f</w:t>
      </w:r>
      <w:r w:rsidR="0058567C">
        <w:rPr>
          <w:rFonts w:eastAsia="Times New Roman" w:cs="Arial"/>
          <w:lang w:eastAsia="en-AU"/>
        </w:rPr>
        <w:t xml:space="preserve">or example, in </w:t>
      </w:r>
      <w:r w:rsidR="0058567C">
        <w:rPr>
          <w:rFonts w:eastAsia="Times New Roman" w:cs="Arial"/>
          <w:lang w:eastAsia="en-AU"/>
        </w:rPr>
        <w:lastRenderedPageBreak/>
        <w:t xml:space="preserve">Victoria, enduring powers of attorney validly made prior to the commencement of the new Act </w:t>
      </w:r>
      <w:r w:rsidR="009833C0">
        <w:rPr>
          <w:rFonts w:eastAsia="Times New Roman" w:cs="Arial"/>
          <w:lang w:eastAsia="en-AU"/>
        </w:rPr>
        <w:t>(</w:t>
      </w:r>
      <w:r w:rsidR="0058567C">
        <w:rPr>
          <w:rFonts w:eastAsia="Times New Roman" w:cs="Arial"/>
          <w:lang w:eastAsia="en-AU"/>
        </w:rPr>
        <w:t>on 1 September 2015</w:t>
      </w:r>
      <w:r w:rsidR="009833C0">
        <w:rPr>
          <w:rFonts w:eastAsia="Times New Roman" w:cs="Arial"/>
          <w:lang w:eastAsia="en-AU"/>
        </w:rPr>
        <w:t>)</w:t>
      </w:r>
      <w:r w:rsidR="0058567C">
        <w:rPr>
          <w:rFonts w:eastAsia="Times New Roman" w:cs="Arial"/>
          <w:lang w:eastAsia="en-AU"/>
        </w:rPr>
        <w:t xml:space="preserve"> are recognised </w:t>
      </w:r>
      <w:r w:rsidR="009833C0">
        <w:rPr>
          <w:rFonts w:eastAsia="Times New Roman" w:cs="Arial"/>
          <w:lang w:eastAsia="en-AU"/>
        </w:rPr>
        <w:t xml:space="preserve">as remaining valid </w:t>
      </w:r>
      <w:r w:rsidR="0058567C">
        <w:rPr>
          <w:rFonts w:eastAsia="Times New Roman" w:cs="Arial"/>
          <w:lang w:eastAsia="en-AU"/>
        </w:rPr>
        <w:t xml:space="preserve">under the new law. </w:t>
      </w:r>
      <w:r>
        <w:rPr>
          <w:rFonts w:eastAsia="Times New Roman" w:cs="Arial"/>
          <w:lang w:eastAsia="en-AU"/>
        </w:rPr>
        <w:t>It is essential that any register allow the registration of all existing enduring documents that have been validly made, irrespective of whether they were made under the current</w:t>
      </w:r>
      <w:r w:rsidR="00383C73">
        <w:rPr>
          <w:rFonts w:eastAsia="Times New Roman" w:cs="Arial"/>
          <w:lang w:eastAsia="en-AU"/>
        </w:rPr>
        <w:t xml:space="preserve"> </w:t>
      </w:r>
      <w:r>
        <w:rPr>
          <w:rFonts w:eastAsia="Times New Roman" w:cs="Arial"/>
          <w:lang w:eastAsia="en-AU"/>
        </w:rPr>
        <w:t>legislation, or its previous equivalents.  This is because i</w:t>
      </w:r>
      <w:r w:rsidR="0058567C">
        <w:rPr>
          <w:rFonts w:eastAsia="Times New Roman" w:cs="Arial"/>
          <w:lang w:eastAsia="en-AU"/>
        </w:rPr>
        <w:t>t w</w:t>
      </w:r>
      <w:r>
        <w:rPr>
          <w:rFonts w:eastAsia="Times New Roman" w:cs="Arial"/>
          <w:lang w:eastAsia="en-AU"/>
        </w:rPr>
        <w:t>ill</w:t>
      </w:r>
      <w:r w:rsidR="0058567C">
        <w:rPr>
          <w:rFonts w:eastAsia="Times New Roman" w:cs="Arial"/>
          <w:lang w:eastAsia="en-AU"/>
        </w:rPr>
        <w:t xml:space="preserve"> not always be possible for the principal to ‘update’ their enduring document to the latest version</w:t>
      </w:r>
      <w:r w:rsidR="008E0423">
        <w:rPr>
          <w:rFonts w:eastAsia="Times New Roman" w:cs="Arial"/>
          <w:lang w:eastAsia="en-AU"/>
        </w:rPr>
        <w:t xml:space="preserve">; for example, </w:t>
      </w:r>
      <w:r w:rsidR="0058567C">
        <w:rPr>
          <w:rFonts w:eastAsia="Times New Roman" w:cs="Arial"/>
          <w:lang w:eastAsia="en-AU"/>
        </w:rPr>
        <w:t>the</w:t>
      </w:r>
      <w:r w:rsidR="009833C0">
        <w:rPr>
          <w:rFonts w:eastAsia="Times New Roman" w:cs="Arial"/>
          <w:lang w:eastAsia="en-AU"/>
        </w:rPr>
        <w:t xml:space="preserve"> principal </w:t>
      </w:r>
      <w:r w:rsidR="00383C73">
        <w:rPr>
          <w:rFonts w:eastAsia="Times New Roman" w:cs="Arial"/>
          <w:lang w:eastAsia="en-AU"/>
        </w:rPr>
        <w:t>m</w:t>
      </w:r>
      <w:r w:rsidR="0058567C">
        <w:rPr>
          <w:rFonts w:eastAsia="Times New Roman" w:cs="Arial"/>
          <w:lang w:eastAsia="en-AU"/>
        </w:rPr>
        <w:t xml:space="preserve">ay no longer have the decision making capacity to make a new document.  </w:t>
      </w:r>
      <w:r w:rsidR="008E0423">
        <w:rPr>
          <w:rFonts w:eastAsia="Times New Roman" w:cs="Arial"/>
          <w:lang w:eastAsia="en-AU"/>
        </w:rPr>
        <w:t>I</w:t>
      </w:r>
      <w:r>
        <w:rPr>
          <w:rFonts w:eastAsia="Times New Roman" w:cs="Arial"/>
          <w:lang w:eastAsia="en-AU"/>
        </w:rPr>
        <w:t>n</w:t>
      </w:r>
      <w:r w:rsidR="008E0423">
        <w:rPr>
          <w:rFonts w:eastAsia="Times New Roman" w:cs="Arial"/>
          <w:lang w:eastAsia="en-AU"/>
        </w:rPr>
        <w:t xml:space="preserve"> the event </w:t>
      </w:r>
      <w:r>
        <w:rPr>
          <w:rFonts w:eastAsia="Times New Roman" w:cs="Arial"/>
          <w:lang w:eastAsia="en-AU"/>
        </w:rPr>
        <w:t>a new law were to deem their existing</w:t>
      </w:r>
      <w:r w:rsidR="008E0423">
        <w:rPr>
          <w:rFonts w:eastAsia="Times New Roman" w:cs="Arial"/>
          <w:lang w:eastAsia="en-AU"/>
        </w:rPr>
        <w:t xml:space="preserve"> appointment invalid, without any chance of preserving its validity by registration, then the only recourse would be an application to the relevant court or tribunal</w:t>
      </w:r>
      <w:r>
        <w:rPr>
          <w:rFonts w:eastAsia="Times New Roman" w:cs="Arial"/>
          <w:lang w:eastAsia="en-AU"/>
        </w:rPr>
        <w:t>, with a consequential increase in the administrative burden on such forums, and the prospect that the principal’s wishes will not be followed</w:t>
      </w:r>
      <w:r w:rsidR="008E0423">
        <w:rPr>
          <w:rFonts w:eastAsia="Times New Roman" w:cs="Arial"/>
          <w:lang w:eastAsia="en-AU"/>
        </w:rPr>
        <w:t xml:space="preserve">.  As an indication of the quantum of such </w:t>
      </w:r>
      <w:r>
        <w:rPr>
          <w:rFonts w:eastAsia="Times New Roman" w:cs="Arial"/>
          <w:lang w:eastAsia="en-AU"/>
        </w:rPr>
        <w:t xml:space="preserve">existing </w:t>
      </w:r>
      <w:r w:rsidR="008E0423">
        <w:rPr>
          <w:rFonts w:eastAsia="Times New Roman" w:cs="Arial"/>
          <w:lang w:eastAsia="en-AU"/>
        </w:rPr>
        <w:t xml:space="preserve">appointments </w:t>
      </w:r>
      <w:r>
        <w:rPr>
          <w:rFonts w:eastAsia="Times New Roman" w:cs="Arial"/>
          <w:lang w:eastAsia="en-AU"/>
        </w:rPr>
        <w:t>that exist, S</w:t>
      </w:r>
      <w:r w:rsidR="008E0423">
        <w:rPr>
          <w:rFonts w:eastAsia="Times New Roman" w:cs="Arial"/>
          <w:lang w:eastAsia="en-AU"/>
        </w:rPr>
        <w:t xml:space="preserve">tate Trustees </w:t>
      </w:r>
      <w:r w:rsidR="009833C0">
        <w:rPr>
          <w:rFonts w:eastAsia="Times New Roman" w:cs="Arial"/>
          <w:lang w:eastAsia="en-AU"/>
        </w:rPr>
        <w:t xml:space="preserve">alone </w:t>
      </w:r>
      <w:r w:rsidR="008E0423">
        <w:rPr>
          <w:rFonts w:eastAsia="Times New Roman" w:cs="Arial"/>
          <w:lang w:eastAsia="en-AU"/>
        </w:rPr>
        <w:t>holds in the o</w:t>
      </w:r>
      <w:r>
        <w:rPr>
          <w:rFonts w:eastAsia="Times New Roman" w:cs="Arial"/>
          <w:lang w:eastAsia="en-AU"/>
        </w:rPr>
        <w:t>r</w:t>
      </w:r>
      <w:r w:rsidR="008E0423">
        <w:rPr>
          <w:rFonts w:eastAsia="Times New Roman" w:cs="Arial"/>
          <w:lang w:eastAsia="en-AU"/>
        </w:rPr>
        <w:t xml:space="preserve">der of 27,000 </w:t>
      </w:r>
      <w:r w:rsidR="009833C0">
        <w:rPr>
          <w:rFonts w:eastAsia="Times New Roman" w:cs="Arial"/>
          <w:lang w:eastAsia="en-AU"/>
        </w:rPr>
        <w:t xml:space="preserve">currently </w:t>
      </w:r>
      <w:r w:rsidR="008E0423">
        <w:rPr>
          <w:rFonts w:eastAsia="Times New Roman" w:cs="Arial"/>
          <w:lang w:eastAsia="en-AU"/>
        </w:rPr>
        <w:t>inactive enduring powers of attorney</w:t>
      </w:r>
      <w:r>
        <w:rPr>
          <w:rFonts w:eastAsia="Times New Roman" w:cs="Arial"/>
          <w:lang w:eastAsia="en-AU"/>
        </w:rPr>
        <w:t xml:space="preserve"> on behalf of its clients</w:t>
      </w:r>
      <w:r w:rsidR="008E0423">
        <w:rPr>
          <w:rFonts w:eastAsia="Times New Roman" w:cs="Arial"/>
          <w:lang w:eastAsia="en-AU"/>
        </w:rPr>
        <w:t xml:space="preserve">.  </w:t>
      </w:r>
    </w:p>
    <w:p w:rsidR="00455CE0" w:rsidRDefault="00455CE0" w:rsidP="009E5F6C">
      <w:pPr>
        <w:rPr>
          <w:rFonts w:eastAsia="Times New Roman" w:cs="Arial"/>
          <w:lang w:eastAsia="en-AU"/>
        </w:rPr>
      </w:pPr>
    </w:p>
    <w:p w:rsidR="008E0423" w:rsidRDefault="008E3ABA" w:rsidP="009E5F6C">
      <w:pPr>
        <w:rPr>
          <w:rFonts w:eastAsia="Times New Roman" w:cs="Arial"/>
          <w:lang w:eastAsia="en-AU"/>
        </w:rPr>
      </w:pPr>
      <w:r>
        <w:rPr>
          <w:rFonts w:eastAsia="Times New Roman" w:cs="Arial"/>
          <w:lang w:eastAsia="en-AU"/>
        </w:rPr>
        <w:t xml:space="preserve">Establishment of a </w:t>
      </w:r>
      <w:r w:rsidR="009833C0">
        <w:rPr>
          <w:rFonts w:eastAsia="Times New Roman" w:cs="Arial"/>
          <w:lang w:eastAsia="en-AU"/>
        </w:rPr>
        <w:t xml:space="preserve">central </w:t>
      </w:r>
      <w:r>
        <w:rPr>
          <w:rFonts w:eastAsia="Times New Roman" w:cs="Arial"/>
          <w:lang w:eastAsia="en-AU"/>
        </w:rPr>
        <w:t xml:space="preserve">register </w:t>
      </w:r>
      <w:r w:rsidR="00460607">
        <w:rPr>
          <w:rFonts w:eastAsia="Times New Roman" w:cs="Arial"/>
          <w:lang w:eastAsia="en-AU"/>
        </w:rPr>
        <w:t xml:space="preserve">should not be made conditional upon the </w:t>
      </w:r>
      <w:r w:rsidR="00DF0C96">
        <w:rPr>
          <w:rFonts w:eastAsia="Times New Roman" w:cs="Arial"/>
          <w:lang w:eastAsia="en-AU"/>
        </w:rPr>
        <w:t xml:space="preserve">unavoidable </w:t>
      </w:r>
      <w:r w:rsidR="00460607">
        <w:rPr>
          <w:rFonts w:eastAsia="Times New Roman" w:cs="Arial"/>
          <w:lang w:eastAsia="en-AU"/>
        </w:rPr>
        <w:t xml:space="preserve">invalidation of the estate planning arrangements </w:t>
      </w:r>
      <w:r w:rsidR="00DF0C96">
        <w:rPr>
          <w:rFonts w:eastAsia="Times New Roman" w:cs="Arial"/>
          <w:lang w:eastAsia="en-AU"/>
        </w:rPr>
        <w:t xml:space="preserve">that </w:t>
      </w:r>
      <w:r w:rsidR="00460607">
        <w:rPr>
          <w:rFonts w:eastAsia="Times New Roman" w:cs="Arial"/>
          <w:lang w:eastAsia="en-AU"/>
        </w:rPr>
        <w:t>hundreds of thousands of Australians</w:t>
      </w:r>
      <w:r w:rsidR="00DF0C96">
        <w:rPr>
          <w:rFonts w:eastAsia="Times New Roman" w:cs="Arial"/>
          <w:lang w:eastAsia="en-AU"/>
        </w:rPr>
        <w:t xml:space="preserve"> </w:t>
      </w:r>
      <w:r w:rsidR="00460607">
        <w:rPr>
          <w:rFonts w:eastAsia="Times New Roman" w:cs="Arial"/>
          <w:lang w:eastAsia="en-AU"/>
        </w:rPr>
        <w:t xml:space="preserve">have </w:t>
      </w:r>
      <w:r w:rsidR="00DF0C96">
        <w:rPr>
          <w:rFonts w:eastAsia="Times New Roman" w:cs="Arial"/>
          <w:lang w:eastAsia="en-AU"/>
        </w:rPr>
        <w:t xml:space="preserve">thoughtfully </w:t>
      </w:r>
      <w:r w:rsidR="00460607">
        <w:rPr>
          <w:rFonts w:eastAsia="Times New Roman" w:cs="Arial"/>
          <w:lang w:eastAsia="en-AU"/>
        </w:rPr>
        <w:t xml:space="preserve">put in place and are relying on for their future wellbeing.  </w:t>
      </w:r>
      <w:r w:rsidR="00DF0C96">
        <w:rPr>
          <w:rFonts w:eastAsia="Times New Roman" w:cs="Arial"/>
          <w:lang w:eastAsia="en-AU"/>
        </w:rPr>
        <w:t>The law should not unilaterally negate the validity of the enduring appointment: the principal or the appointee (attorney, enduring guardian, etc.</w:t>
      </w:r>
      <w:r w:rsidR="00AB0D28">
        <w:rPr>
          <w:rFonts w:eastAsia="Times New Roman" w:cs="Arial"/>
          <w:lang w:eastAsia="en-AU"/>
        </w:rPr>
        <w:t xml:space="preserve">) </w:t>
      </w:r>
      <w:r w:rsidR="00DF0C96">
        <w:rPr>
          <w:rFonts w:eastAsia="Times New Roman" w:cs="Arial"/>
          <w:lang w:eastAsia="en-AU"/>
        </w:rPr>
        <w:t xml:space="preserve">should be able to maintain </w:t>
      </w:r>
      <w:r w:rsidR="008E0423">
        <w:rPr>
          <w:rFonts w:eastAsia="Times New Roman" w:cs="Arial"/>
          <w:lang w:eastAsia="en-AU"/>
        </w:rPr>
        <w:t xml:space="preserve">its validity </w:t>
      </w:r>
      <w:r w:rsidR="00DF0C96">
        <w:rPr>
          <w:rFonts w:eastAsia="Times New Roman" w:cs="Arial"/>
          <w:lang w:eastAsia="en-AU"/>
        </w:rPr>
        <w:t>by regist</w:t>
      </w:r>
      <w:r w:rsidR="00AB0D28">
        <w:rPr>
          <w:rFonts w:eastAsia="Times New Roman" w:cs="Arial"/>
          <w:lang w:eastAsia="en-AU"/>
        </w:rPr>
        <w:t xml:space="preserve">ering it </w:t>
      </w:r>
      <w:r w:rsidR="00DF0C96">
        <w:rPr>
          <w:rFonts w:eastAsia="Times New Roman" w:cs="Arial"/>
          <w:lang w:eastAsia="en-AU"/>
        </w:rPr>
        <w:t xml:space="preserve">within </w:t>
      </w:r>
      <w:r w:rsidR="008E0423">
        <w:rPr>
          <w:rFonts w:eastAsia="Times New Roman" w:cs="Arial"/>
          <w:lang w:eastAsia="en-AU"/>
        </w:rPr>
        <w:t>a generous transition period</w:t>
      </w:r>
      <w:r>
        <w:rPr>
          <w:rFonts w:eastAsia="Times New Roman" w:cs="Arial"/>
          <w:lang w:eastAsia="en-AU"/>
        </w:rPr>
        <w:t xml:space="preserve"> (</w:t>
      </w:r>
      <w:r w:rsidR="008E0423">
        <w:rPr>
          <w:rFonts w:eastAsia="Times New Roman" w:cs="Arial"/>
          <w:lang w:eastAsia="en-AU"/>
        </w:rPr>
        <w:t>the VLRC suggests five years)</w:t>
      </w:r>
      <w:r w:rsidR="00DF0C96">
        <w:rPr>
          <w:rFonts w:eastAsia="Times New Roman" w:cs="Arial"/>
          <w:lang w:eastAsia="en-AU"/>
        </w:rPr>
        <w:t xml:space="preserve">.  </w:t>
      </w:r>
      <w:r w:rsidR="00460607">
        <w:rPr>
          <w:rFonts w:eastAsia="Times New Roman" w:cs="Arial"/>
          <w:lang w:eastAsia="en-AU"/>
        </w:rPr>
        <w:t xml:space="preserve">    </w:t>
      </w:r>
    </w:p>
    <w:p w:rsidR="008E0423" w:rsidRDefault="008E0423" w:rsidP="009E5F6C">
      <w:pPr>
        <w:rPr>
          <w:rFonts w:eastAsia="Times New Roman" w:cs="Arial"/>
          <w:lang w:eastAsia="en-AU"/>
        </w:rPr>
      </w:pPr>
    </w:p>
    <w:p w:rsidR="006924F3" w:rsidRDefault="008E0423" w:rsidP="009E5F6C">
      <w:pPr>
        <w:rPr>
          <w:rFonts w:eastAsia="Times New Roman" w:cs="Arial"/>
          <w:lang w:eastAsia="en-AU"/>
        </w:rPr>
      </w:pPr>
      <w:r>
        <w:rPr>
          <w:rFonts w:eastAsia="Times New Roman" w:cs="Arial"/>
          <w:lang w:eastAsia="en-AU"/>
        </w:rPr>
        <w:t xml:space="preserve">This does not mean that </w:t>
      </w:r>
      <w:r w:rsidR="00AB0D28">
        <w:rPr>
          <w:rFonts w:eastAsia="Times New Roman" w:cs="Arial"/>
          <w:lang w:eastAsia="en-AU"/>
        </w:rPr>
        <w:t xml:space="preserve">there should not be </w:t>
      </w:r>
      <w:r>
        <w:rPr>
          <w:rFonts w:eastAsia="Times New Roman" w:cs="Arial"/>
          <w:lang w:eastAsia="en-AU"/>
        </w:rPr>
        <w:t xml:space="preserve">greater </w:t>
      </w:r>
      <w:r w:rsidR="00AB0D28">
        <w:rPr>
          <w:rFonts w:eastAsia="Times New Roman" w:cs="Arial"/>
          <w:lang w:eastAsia="en-AU"/>
        </w:rPr>
        <w:t xml:space="preserve">uniformity in the law.  </w:t>
      </w:r>
      <w:r w:rsidR="009833C0">
        <w:rPr>
          <w:rFonts w:eastAsia="Times New Roman" w:cs="Arial"/>
          <w:lang w:eastAsia="en-AU"/>
        </w:rPr>
        <w:t>However, a</w:t>
      </w:r>
      <w:r w:rsidR="00907425">
        <w:rPr>
          <w:rFonts w:eastAsia="Times New Roman" w:cs="Arial"/>
          <w:lang w:eastAsia="en-AU"/>
        </w:rPr>
        <w:t>ttempts to bring about</w:t>
      </w:r>
      <w:r w:rsidR="00B43466">
        <w:rPr>
          <w:rFonts w:eastAsia="Times New Roman" w:cs="Arial"/>
          <w:lang w:eastAsia="en-AU"/>
        </w:rPr>
        <w:t xml:space="preserve"> Australia-wide uniformity</w:t>
      </w:r>
      <w:r w:rsidR="00383C73">
        <w:rPr>
          <w:rFonts w:eastAsia="Times New Roman" w:cs="Arial"/>
          <w:lang w:eastAsia="en-AU"/>
        </w:rPr>
        <w:t>,</w:t>
      </w:r>
      <w:r w:rsidR="00B43466">
        <w:rPr>
          <w:rFonts w:eastAsia="Times New Roman" w:cs="Arial"/>
          <w:lang w:eastAsia="en-AU"/>
        </w:rPr>
        <w:t xml:space="preserve"> </w:t>
      </w:r>
      <w:r w:rsidR="00AB0D28">
        <w:rPr>
          <w:rFonts w:eastAsia="Times New Roman" w:cs="Arial"/>
          <w:lang w:eastAsia="en-AU"/>
        </w:rPr>
        <w:t xml:space="preserve">in a variety of areas </w:t>
      </w:r>
      <w:r w:rsidR="00631E54">
        <w:rPr>
          <w:rFonts w:eastAsia="Times New Roman" w:cs="Arial"/>
          <w:lang w:eastAsia="en-AU"/>
        </w:rPr>
        <w:t>of the law</w:t>
      </w:r>
      <w:r w:rsidR="00383C73">
        <w:rPr>
          <w:rFonts w:eastAsia="Times New Roman" w:cs="Arial"/>
          <w:lang w:eastAsia="en-AU"/>
        </w:rPr>
        <w:t>,</w:t>
      </w:r>
      <w:r w:rsidR="00631E54">
        <w:rPr>
          <w:rFonts w:eastAsia="Times New Roman" w:cs="Arial"/>
          <w:lang w:eastAsia="en-AU"/>
        </w:rPr>
        <w:t xml:space="preserve"> </w:t>
      </w:r>
      <w:r w:rsidR="00B43466">
        <w:rPr>
          <w:rFonts w:eastAsia="Times New Roman" w:cs="Arial"/>
          <w:lang w:eastAsia="en-AU"/>
        </w:rPr>
        <w:t xml:space="preserve">have had </w:t>
      </w:r>
      <w:r w:rsidR="00631E54">
        <w:rPr>
          <w:rFonts w:eastAsia="Times New Roman" w:cs="Arial"/>
          <w:lang w:eastAsia="en-AU"/>
        </w:rPr>
        <w:t>success in only a limited number of cases, and in some of those on</w:t>
      </w:r>
      <w:r w:rsidR="009833C0">
        <w:rPr>
          <w:rFonts w:eastAsia="Times New Roman" w:cs="Arial"/>
          <w:lang w:eastAsia="en-AU"/>
        </w:rPr>
        <w:t>ly to a limited degree</w:t>
      </w:r>
      <w:r w:rsidR="00B43466">
        <w:rPr>
          <w:rFonts w:eastAsia="Times New Roman" w:cs="Arial"/>
          <w:lang w:eastAsia="en-AU"/>
        </w:rPr>
        <w:t xml:space="preserve">.  </w:t>
      </w:r>
      <w:r w:rsidR="00907425">
        <w:rPr>
          <w:rFonts w:eastAsia="Times New Roman" w:cs="Arial"/>
          <w:lang w:eastAsia="en-AU"/>
        </w:rPr>
        <w:t>For example, the Legal Profession Uniform Law only currently applies in two jurisdictions, New South Wales and Victoria.</w:t>
      </w:r>
      <w:r w:rsidR="00A81B3F">
        <w:rPr>
          <w:rFonts w:eastAsia="Times New Roman" w:cs="Arial"/>
          <w:lang w:eastAsia="en-AU"/>
        </w:rPr>
        <w:t>)</w:t>
      </w:r>
      <w:r w:rsidR="00907425">
        <w:rPr>
          <w:rFonts w:eastAsia="Times New Roman" w:cs="Arial"/>
          <w:lang w:eastAsia="en-AU"/>
        </w:rPr>
        <w:t xml:space="preserve">  </w:t>
      </w:r>
      <w:r w:rsidR="009833C0">
        <w:rPr>
          <w:rFonts w:eastAsia="Times New Roman" w:cs="Arial"/>
          <w:lang w:eastAsia="en-AU"/>
        </w:rPr>
        <w:t xml:space="preserve">The process is </w:t>
      </w:r>
      <w:r w:rsidR="00383C73">
        <w:rPr>
          <w:rFonts w:eastAsia="Times New Roman" w:cs="Arial"/>
          <w:lang w:eastAsia="en-AU"/>
        </w:rPr>
        <w:t xml:space="preserve">also </w:t>
      </w:r>
      <w:r w:rsidR="009833C0">
        <w:rPr>
          <w:rFonts w:eastAsia="Times New Roman" w:cs="Arial"/>
          <w:lang w:eastAsia="en-AU"/>
        </w:rPr>
        <w:t xml:space="preserve">generally a very protracted one.  </w:t>
      </w:r>
    </w:p>
    <w:p w:rsidR="006924F3" w:rsidRDefault="006924F3" w:rsidP="009E5F6C">
      <w:pPr>
        <w:rPr>
          <w:rFonts w:eastAsia="Times New Roman" w:cs="Arial"/>
          <w:lang w:eastAsia="en-AU"/>
        </w:rPr>
      </w:pPr>
    </w:p>
    <w:p w:rsidR="00095097" w:rsidRDefault="009833C0" w:rsidP="009E5F6C">
      <w:pPr>
        <w:rPr>
          <w:rFonts w:eastAsia="Times New Roman" w:cs="Arial"/>
          <w:lang w:eastAsia="en-AU"/>
        </w:rPr>
      </w:pPr>
      <w:r>
        <w:rPr>
          <w:rFonts w:eastAsia="Times New Roman" w:cs="Arial"/>
          <w:lang w:eastAsia="en-AU"/>
        </w:rPr>
        <w:t xml:space="preserve">In our view, </w:t>
      </w:r>
      <w:r w:rsidR="00231E63">
        <w:rPr>
          <w:rFonts w:eastAsia="Times New Roman" w:cs="Arial"/>
          <w:lang w:eastAsia="en-AU"/>
        </w:rPr>
        <w:t>it would be difficult to design a central register</w:t>
      </w:r>
      <w:r w:rsidR="00A81B3F">
        <w:rPr>
          <w:rFonts w:eastAsia="Times New Roman" w:cs="Arial"/>
          <w:lang w:eastAsia="en-AU"/>
        </w:rPr>
        <w:t xml:space="preserve"> to accommodate the current array of appointment types</w:t>
      </w:r>
      <w:r>
        <w:rPr>
          <w:rFonts w:eastAsia="Times New Roman" w:cs="Arial"/>
          <w:lang w:eastAsia="en-AU"/>
        </w:rPr>
        <w:t xml:space="preserve"> recognised in each state and territory</w:t>
      </w:r>
      <w:r w:rsidR="00231E63">
        <w:rPr>
          <w:rFonts w:eastAsia="Times New Roman" w:cs="Arial"/>
          <w:lang w:eastAsia="en-AU"/>
        </w:rPr>
        <w:t>, and creating one would take significant time</w:t>
      </w:r>
      <w:r w:rsidR="00866A78">
        <w:rPr>
          <w:rFonts w:eastAsia="Times New Roman" w:cs="Arial"/>
          <w:lang w:eastAsia="en-AU"/>
        </w:rPr>
        <w:t>.  T</w:t>
      </w:r>
      <w:r w:rsidR="00A81B3F">
        <w:rPr>
          <w:rFonts w:eastAsia="Times New Roman" w:cs="Arial"/>
          <w:lang w:eastAsia="en-AU"/>
        </w:rPr>
        <w:t xml:space="preserve">he design, establishment and operation of the register would </w:t>
      </w:r>
      <w:r>
        <w:rPr>
          <w:rFonts w:eastAsia="Times New Roman" w:cs="Arial"/>
          <w:lang w:eastAsia="en-AU"/>
        </w:rPr>
        <w:t xml:space="preserve">initially </w:t>
      </w:r>
      <w:r w:rsidR="00A81B3F">
        <w:rPr>
          <w:rFonts w:eastAsia="Times New Roman" w:cs="Arial"/>
          <w:lang w:eastAsia="en-AU"/>
        </w:rPr>
        <w:t xml:space="preserve">be complicated and </w:t>
      </w:r>
      <w:r w:rsidR="00502E1D">
        <w:rPr>
          <w:rFonts w:eastAsia="Times New Roman" w:cs="Arial"/>
          <w:lang w:eastAsia="en-AU"/>
        </w:rPr>
        <w:t xml:space="preserve">correspondingly </w:t>
      </w:r>
      <w:r w:rsidR="00A81B3F">
        <w:rPr>
          <w:rFonts w:eastAsia="Times New Roman" w:cs="Arial"/>
          <w:lang w:eastAsia="en-AU"/>
        </w:rPr>
        <w:t xml:space="preserve">expensive.  Such a </w:t>
      </w:r>
      <w:r w:rsidR="00907425">
        <w:rPr>
          <w:rFonts w:eastAsia="Times New Roman" w:cs="Arial"/>
          <w:lang w:eastAsia="en-AU"/>
        </w:rPr>
        <w:t xml:space="preserve">register could </w:t>
      </w:r>
      <w:r w:rsidR="00A81B3F">
        <w:rPr>
          <w:rFonts w:eastAsia="Times New Roman" w:cs="Arial"/>
          <w:lang w:eastAsia="en-AU"/>
        </w:rPr>
        <w:t xml:space="preserve">nevertheless </w:t>
      </w:r>
      <w:r w:rsidR="00907425">
        <w:rPr>
          <w:rFonts w:eastAsia="Times New Roman" w:cs="Arial"/>
          <w:lang w:eastAsia="en-AU"/>
        </w:rPr>
        <w:t xml:space="preserve">be established as a joint state-federal initiative, with partial funding through annual subscriptions for frequent users, and search fees. </w:t>
      </w:r>
      <w:r w:rsidR="00A81B3F">
        <w:rPr>
          <w:rFonts w:eastAsia="Times New Roman" w:cs="Arial"/>
          <w:lang w:eastAsia="en-AU"/>
        </w:rPr>
        <w:t xml:space="preserve">An alternative option is that the register </w:t>
      </w:r>
      <w:r w:rsidR="00095097">
        <w:rPr>
          <w:rFonts w:eastAsia="Times New Roman" w:cs="Arial"/>
          <w:lang w:eastAsia="en-AU"/>
        </w:rPr>
        <w:t xml:space="preserve">commence across those </w:t>
      </w:r>
      <w:r w:rsidR="00A81B3F">
        <w:rPr>
          <w:rFonts w:eastAsia="Times New Roman" w:cs="Arial"/>
          <w:lang w:eastAsia="en-AU"/>
        </w:rPr>
        <w:t xml:space="preserve">jurisdictions </w:t>
      </w:r>
      <w:r w:rsidR="00095097">
        <w:rPr>
          <w:rFonts w:eastAsia="Times New Roman" w:cs="Arial"/>
          <w:lang w:eastAsia="en-AU"/>
        </w:rPr>
        <w:t xml:space="preserve">that adopt an </w:t>
      </w:r>
      <w:r w:rsidR="00A81B3F">
        <w:rPr>
          <w:rFonts w:eastAsia="Times New Roman" w:cs="Arial"/>
          <w:lang w:eastAsia="en-AU"/>
        </w:rPr>
        <w:t>align</w:t>
      </w:r>
      <w:r w:rsidR="00095097">
        <w:rPr>
          <w:rFonts w:eastAsia="Times New Roman" w:cs="Arial"/>
          <w:lang w:eastAsia="en-AU"/>
        </w:rPr>
        <w:t xml:space="preserve">ed model (whether </w:t>
      </w:r>
      <w:r w:rsidR="00502E1D">
        <w:rPr>
          <w:rFonts w:eastAsia="Times New Roman" w:cs="Arial"/>
          <w:lang w:eastAsia="en-AU"/>
        </w:rPr>
        <w:t>‘</w:t>
      </w:r>
      <w:r w:rsidR="00095097">
        <w:rPr>
          <w:rFonts w:eastAsia="Times New Roman" w:cs="Arial"/>
          <w:lang w:eastAsia="en-AU"/>
        </w:rPr>
        <w:t>Commonwealth</w:t>
      </w:r>
      <w:r w:rsidR="00502E1D">
        <w:rPr>
          <w:rFonts w:eastAsia="Times New Roman" w:cs="Arial"/>
          <w:lang w:eastAsia="en-AU"/>
        </w:rPr>
        <w:t>’</w:t>
      </w:r>
      <w:r w:rsidR="00095097">
        <w:rPr>
          <w:rFonts w:eastAsia="Times New Roman" w:cs="Arial"/>
          <w:lang w:eastAsia="en-AU"/>
        </w:rPr>
        <w:t xml:space="preserve"> or otherwise)</w:t>
      </w:r>
      <w:r>
        <w:rPr>
          <w:rFonts w:eastAsia="Times New Roman" w:cs="Arial"/>
          <w:lang w:eastAsia="en-AU"/>
        </w:rPr>
        <w:t xml:space="preserve">, and that </w:t>
      </w:r>
      <w:r w:rsidR="00095097">
        <w:rPr>
          <w:rFonts w:eastAsia="Times New Roman" w:cs="Arial"/>
          <w:lang w:eastAsia="en-AU"/>
        </w:rPr>
        <w:t xml:space="preserve">prior, valid </w:t>
      </w:r>
      <w:r>
        <w:rPr>
          <w:rFonts w:eastAsia="Times New Roman" w:cs="Arial"/>
          <w:lang w:eastAsia="en-AU"/>
        </w:rPr>
        <w:t>non-aligned documents remain valid under grandfathering provisions</w:t>
      </w:r>
      <w:r w:rsidR="00A81B3F">
        <w:rPr>
          <w:rFonts w:eastAsia="Times New Roman" w:cs="Arial"/>
          <w:lang w:eastAsia="en-AU"/>
        </w:rPr>
        <w:t xml:space="preserve">.  </w:t>
      </w:r>
      <w:r w:rsidR="00095097">
        <w:rPr>
          <w:rFonts w:eastAsia="Times New Roman" w:cs="Arial"/>
          <w:lang w:eastAsia="en-AU"/>
        </w:rPr>
        <w:t xml:space="preserve">This approach may result in a shared register being established sooner.  </w:t>
      </w:r>
    </w:p>
    <w:p w:rsidR="00095097" w:rsidRDefault="00095097" w:rsidP="009E5F6C">
      <w:pPr>
        <w:rPr>
          <w:rFonts w:eastAsia="Times New Roman" w:cs="Arial"/>
          <w:lang w:eastAsia="en-AU"/>
        </w:rPr>
      </w:pPr>
    </w:p>
    <w:p w:rsidR="009E5F6C" w:rsidRDefault="009E5F6C" w:rsidP="009E5F6C">
      <w:pPr>
        <w:pStyle w:val="Default"/>
      </w:pPr>
      <w:r>
        <w:rPr>
          <w:sz w:val="22"/>
          <w:szCs w:val="22"/>
        </w:rPr>
        <w:t>The entity selected</w:t>
      </w:r>
      <w:r w:rsidR="00376598">
        <w:rPr>
          <w:sz w:val="22"/>
          <w:szCs w:val="22"/>
        </w:rPr>
        <w:t xml:space="preserve">, or set </w:t>
      </w:r>
      <w:proofErr w:type="gramStart"/>
      <w:r w:rsidR="00376598">
        <w:rPr>
          <w:sz w:val="22"/>
          <w:szCs w:val="22"/>
        </w:rPr>
        <w:t>up,</w:t>
      </w:r>
      <w:proofErr w:type="gramEnd"/>
      <w:r>
        <w:rPr>
          <w:sz w:val="22"/>
          <w:szCs w:val="22"/>
        </w:rPr>
        <w:t xml:space="preserve"> to operate the registry must have the qualities, skills and organisational competencies require</w:t>
      </w:r>
      <w:r w:rsidR="00376598">
        <w:rPr>
          <w:sz w:val="22"/>
          <w:szCs w:val="22"/>
        </w:rPr>
        <w:t xml:space="preserve">d for the </w:t>
      </w:r>
      <w:r>
        <w:rPr>
          <w:sz w:val="22"/>
          <w:szCs w:val="22"/>
        </w:rPr>
        <w:t>run</w:t>
      </w:r>
      <w:r w:rsidR="00376598">
        <w:rPr>
          <w:sz w:val="22"/>
          <w:szCs w:val="22"/>
        </w:rPr>
        <w:t>ning of</w:t>
      </w:r>
      <w:r>
        <w:rPr>
          <w:sz w:val="22"/>
          <w:szCs w:val="22"/>
        </w:rPr>
        <w:t xml:space="preserve"> a </w:t>
      </w:r>
      <w:r w:rsidR="009A3AC1">
        <w:rPr>
          <w:sz w:val="22"/>
          <w:szCs w:val="22"/>
        </w:rPr>
        <w:t>‘</w:t>
      </w:r>
      <w:r>
        <w:rPr>
          <w:sz w:val="22"/>
          <w:szCs w:val="22"/>
        </w:rPr>
        <w:t>dynamic</w:t>
      </w:r>
      <w:r w:rsidR="009A3AC1">
        <w:rPr>
          <w:sz w:val="22"/>
          <w:szCs w:val="22"/>
        </w:rPr>
        <w:t xml:space="preserve">’ </w:t>
      </w:r>
      <w:r>
        <w:rPr>
          <w:sz w:val="22"/>
          <w:szCs w:val="22"/>
        </w:rPr>
        <w:t xml:space="preserve">registry; for example, </w:t>
      </w:r>
      <w:r w:rsidR="00376598">
        <w:rPr>
          <w:sz w:val="22"/>
          <w:szCs w:val="22"/>
        </w:rPr>
        <w:t>the</w:t>
      </w:r>
      <w:r w:rsidR="00F506DB">
        <w:rPr>
          <w:sz w:val="22"/>
          <w:szCs w:val="22"/>
        </w:rPr>
        <w:t xml:space="preserve"> capacity to </w:t>
      </w:r>
      <w:r>
        <w:rPr>
          <w:sz w:val="22"/>
          <w:szCs w:val="22"/>
        </w:rPr>
        <w:t>respond quickly to urgent registrations.</w:t>
      </w:r>
      <w:r w:rsidR="001501AB">
        <w:rPr>
          <w:sz w:val="22"/>
          <w:szCs w:val="22"/>
        </w:rPr>
        <w:t xml:space="preserve"> If it were appropriately-funded, State Trustees could </w:t>
      </w:r>
      <w:r w:rsidR="00866A78">
        <w:rPr>
          <w:sz w:val="22"/>
          <w:szCs w:val="22"/>
        </w:rPr>
        <w:t xml:space="preserve">be the body to </w:t>
      </w:r>
      <w:r w:rsidR="001501AB">
        <w:rPr>
          <w:sz w:val="22"/>
          <w:szCs w:val="22"/>
        </w:rPr>
        <w:t>operate the register in Victoria.</w:t>
      </w:r>
      <w:r>
        <w:rPr>
          <w:sz w:val="22"/>
          <w:szCs w:val="22"/>
        </w:rPr>
        <w:t xml:space="preserve">  </w:t>
      </w:r>
    </w:p>
    <w:p w:rsidR="009E5F6C" w:rsidRDefault="009E5F6C" w:rsidP="009E5F6C">
      <w:pPr>
        <w:pStyle w:val="Default"/>
      </w:pPr>
    </w:p>
    <w:p w:rsidR="009E5F6C" w:rsidRDefault="001B7617" w:rsidP="009E5F6C">
      <w:pPr>
        <w:pStyle w:val="Default"/>
      </w:pPr>
      <w:r>
        <w:rPr>
          <w:sz w:val="22"/>
          <w:szCs w:val="22"/>
        </w:rPr>
        <w:t xml:space="preserve">Registration of </w:t>
      </w:r>
      <w:r w:rsidR="009E5F6C">
        <w:rPr>
          <w:sz w:val="22"/>
          <w:szCs w:val="22"/>
        </w:rPr>
        <w:t>advance</w:t>
      </w:r>
      <w:r w:rsidR="00014D18">
        <w:rPr>
          <w:sz w:val="22"/>
          <w:szCs w:val="22"/>
        </w:rPr>
        <w:t xml:space="preserve"> care</w:t>
      </w:r>
      <w:r w:rsidR="009A3AC1">
        <w:rPr>
          <w:sz w:val="22"/>
          <w:szCs w:val="22"/>
        </w:rPr>
        <w:t xml:space="preserve"> </w:t>
      </w:r>
      <w:r w:rsidR="009E5F6C">
        <w:rPr>
          <w:sz w:val="22"/>
          <w:szCs w:val="22"/>
        </w:rPr>
        <w:t>directives</w:t>
      </w:r>
      <w:r w:rsidR="0011369F">
        <w:rPr>
          <w:sz w:val="22"/>
          <w:szCs w:val="22"/>
        </w:rPr>
        <w:t xml:space="preserve">, </w:t>
      </w:r>
      <w:r w:rsidR="00014D18">
        <w:rPr>
          <w:sz w:val="22"/>
          <w:szCs w:val="22"/>
        </w:rPr>
        <w:t>such as are contemplated</w:t>
      </w:r>
      <w:r w:rsidR="0011369F">
        <w:rPr>
          <w:sz w:val="22"/>
          <w:szCs w:val="22"/>
        </w:rPr>
        <w:t xml:space="preserve"> in the </w:t>
      </w:r>
      <w:r w:rsidR="0011369F" w:rsidRPr="00E35DAB">
        <w:rPr>
          <w:i/>
          <w:sz w:val="22"/>
          <w:szCs w:val="22"/>
        </w:rPr>
        <w:t>Medical Treatment Planning and Decisions Act 2016</w:t>
      </w:r>
      <w:r w:rsidR="0011369F">
        <w:rPr>
          <w:sz w:val="22"/>
          <w:szCs w:val="22"/>
        </w:rPr>
        <w:t xml:space="preserve"> (Vic.)</w:t>
      </w:r>
      <w:r>
        <w:rPr>
          <w:sz w:val="22"/>
          <w:szCs w:val="22"/>
        </w:rPr>
        <w:t>,</w:t>
      </w:r>
      <w:r>
        <w:rPr>
          <w:rStyle w:val="FootnoteReference"/>
          <w:sz w:val="22"/>
          <w:szCs w:val="22"/>
        </w:rPr>
        <w:footnoteReference w:id="1"/>
      </w:r>
      <w:r>
        <w:rPr>
          <w:sz w:val="22"/>
          <w:szCs w:val="22"/>
        </w:rPr>
        <w:t xml:space="preserve"> should be permitted</w:t>
      </w:r>
      <w:r w:rsidR="00502E1D">
        <w:rPr>
          <w:sz w:val="22"/>
          <w:szCs w:val="22"/>
        </w:rPr>
        <w:t xml:space="preserve">, because the My Health site arguably fulfils a different purpose than that of the proposed register.  </w:t>
      </w:r>
      <w:r w:rsidR="0011369F">
        <w:rPr>
          <w:sz w:val="22"/>
          <w:szCs w:val="22"/>
        </w:rPr>
        <w:t xml:space="preserve">However, </w:t>
      </w:r>
      <w:r>
        <w:rPr>
          <w:sz w:val="22"/>
          <w:szCs w:val="22"/>
        </w:rPr>
        <w:t xml:space="preserve">due to the limited scope of such directives, </w:t>
      </w:r>
      <w:r w:rsidR="00502E1D">
        <w:rPr>
          <w:sz w:val="22"/>
          <w:szCs w:val="22"/>
        </w:rPr>
        <w:t xml:space="preserve">it is submitted that </w:t>
      </w:r>
      <w:r>
        <w:rPr>
          <w:sz w:val="22"/>
          <w:szCs w:val="22"/>
        </w:rPr>
        <w:t>non-</w:t>
      </w:r>
      <w:r w:rsidR="009E5F6C">
        <w:rPr>
          <w:sz w:val="22"/>
          <w:szCs w:val="22"/>
        </w:rPr>
        <w:t>regist</w:t>
      </w:r>
      <w:r>
        <w:rPr>
          <w:sz w:val="22"/>
          <w:szCs w:val="22"/>
        </w:rPr>
        <w:t xml:space="preserve">ration </w:t>
      </w:r>
      <w:r w:rsidR="009E5F6C">
        <w:rPr>
          <w:sz w:val="22"/>
          <w:szCs w:val="22"/>
        </w:rPr>
        <w:t xml:space="preserve">should not render </w:t>
      </w:r>
      <w:r w:rsidR="00F506DB">
        <w:rPr>
          <w:sz w:val="22"/>
          <w:szCs w:val="22"/>
        </w:rPr>
        <w:t xml:space="preserve">them </w:t>
      </w:r>
      <w:r w:rsidR="009E5F6C">
        <w:rPr>
          <w:sz w:val="22"/>
          <w:szCs w:val="22"/>
        </w:rPr>
        <w:t>ineffective.</w:t>
      </w:r>
      <w:r w:rsidR="00502E1D">
        <w:rPr>
          <w:sz w:val="22"/>
          <w:szCs w:val="22"/>
        </w:rPr>
        <w:t xml:space="preserve">  </w:t>
      </w:r>
    </w:p>
    <w:p w:rsidR="00206A72" w:rsidRDefault="00206A72" w:rsidP="009E5F6C">
      <w:pPr>
        <w:pStyle w:val="Default"/>
        <w:rPr>
          <w:sz w:val="22"/>
          <w:szCs w:val="22"/>
        </w:rPr>
      </w:pPr>
    </w:p>
    <w:p w:rsidR="009E5F6C" w:rsidRDefault="00F506DB" w:rsidP="00E35DAB">
      <w:pPr>
        <w:pStyle w:val="Default"/>
        <w:rPr>
          <w:sz w:val="22"/>
          <w:szCs w:val="22"/>
        </w:rPr>
      </w:pPr>
      <w:r>
        <w:rPr>
          <w:sz w:val="22"/>
          <w:szCs w:val="22"/>
        </w:rPr>
        <w:t>P</w:t>
      </w:r>
      <w:r w:rsidR="009E5F6C">
        <w:rPr>
          <w:sz w:val="22"/>
          <w:szCs w:val="22"/>
        </w:rPr>
        <w:t xml:space="preserve">otential benefits of online registration include: </w:t>
      </w:r>
    </w:p>
    <w:p w:rsidR="009E5F6C" w:rsidRDefault="009E5F6C" w:rsidP="00E35DAB">
      <w:pPr>
        <w:pStyle w:val="Default"/>
        <w:ind w:left="357" w:hanging="357"/>
        <w:rPr>
          <w:sz w:val="22"/>
          <w:szCs w:val="22"/>
        </w:rPr>
      </w:pPr>
      <w:r>
        <w:rPr>
          <w:sz w:val="22"/>
          <w:szCs w:val="22"/>
        </w:rPr>
        <w:t>(</w:t>
      </w:r>
      <w:proofErr w:type="spellStart"/>
      <w:r>
        <w:rPr>
          <w:sz w:val="22"/>
          <w:szCs w:val="22"/>
        </w:rPr>
        <w:t>i</w:t>
      </w:r>
      <w:proofErr w:type="spellEnd"/>
      <w:r>
        <w:rPr>
          <w:sz w:val="22"/>
          <w:szCs w:val="22"/>
        </w:rPr>
        <w:t xml:space="preserve">) </w:t>
      </w:r>
      <w:proofErr w:type="gramStart"/>
      <w:r>
        <w:rPr>
          <w:sz w:val="22"/>
          <w:szCs w:val="22"/>
        </w:rPr>
        <w:t>reducing</w:t>
      </w:r>
      <w:proofErr w:type="gramEnd"/>
      <w:r>
        <w:rPr>
          <w:sz w:val="22"/>
          <w:szCs w:val="22"/>
        </w:rPr>
        <w:t xml:space="preserve"> the risk of persons relying or acting on invalid documents; </w:t>
      </w:r>
    </w:p>
    <w:p w:rsidR="00B04A57" w:rsidRDefault="009E5F6C" w:rsidP="00E35DAB">
      <w:pPr>
        <w:pStyle w:val="Default"/>
        <w:ind w:left="357" w:hanging="357"/>
        <w:rPr>
          <w:sz w:val="22"/>
          <w:szCs w:val="22"/>
        </w:rPr>
      </w:pPr>
      <w:r>
        <w:rPr>
          <w:sz w:val="22"/>
          <w:szCs w:val="22"/>
        </w:rPr>
        <w:t xml:space="preserve">(ii) </w:t>
      </w:r>
      <w:proofErr w:type="gramStart"/>
      <w:r>
        <w:rPr>
          <w:sz w:val="22"/>
          <w:szCs w:val="22"/>
        </w:rPr>
        <w:t>being</w:t>
      </w:r>
      <w:proofErr w:type="gramEnd"/>
      <w:r>
        <w:rPr>
          <w:sz w:val="22"/>
          <w:szCs w:val="22"/>
        </w:rPr>
        <w:t xml:space="preserve"> able to verify whether an enduring power exists and is current</w:t>
      </w:r>
      <w:r w:rsidR="00853868">
        <w:rPr>
          <w:sz w:val="22"/>
          <w:szCs w:val="22"/>
        </w:rPr>
        <w:t xml:space="preserve">; </w:t>
      </w:r>
    </w:p>
    <w:p w:rsidR="009E5F6C" w:rsidRDefault="009E5F6C" w:rsidP="00E35DAB">
      <w:pPr>
        <w:pStyle w:val="Default"/>
        <w:ind w:left="357" w:hanging="357"/>
        <w:rPr>
          <w:sz w:val="22"/>
          <w:szCs w:val="22"/>
        </w:rPr>
      </w:pPr>
      <w:r>
        <w:rPr>
          <w:sz w:val="22"/>
          <w:szCs w:val="22"/>
        </w:rPr>
        <w:t xml:space="preserve">(iii) </w:t>
      </w:r>
      <w:proofErr w:type="gramStart"/>
      <w:r>
        <w:rPr>
          <w:sz w:val="22"/>
          <w:szCs w:val="22"/>
        </w:rPr>
        <w:t>providing</w:t>
      </w:r>
      <w:proofErr w:type="gramEnd"/>
      <w:r>
        <w:rPr>
          <w:sz w:val="22"/>
          <w:szCs w:val="22"/>
        </w:rPr>
        <w:t xml:space="preserve"> the ability to ascertain the scope of the power, and whether it has been activated; </w:t>
      </w:r>
    </w:p>
    <w:p w:rsidR="009E5F6C" w:rsidRDefault="009E5F6C" w:rsidP="00E35DAB">
      <w:pPr>
        <w:pStyle w:val="Default"/>
        <w:ind w:left="357" w:hanging="357"/>
        <w:rPr>
          <w:sz w:val="22"/>
          <w:szCs w:val="22"/>
        </w:rPr>
      </w:pPr>
      <w:r>
        <w:rPr>
          <w:sz w:val="22"/>
          <w:szCs w:val="22"/>
        </w:rPr>
        <w:lastRenderedPageBreak/>
        <w:t xml:space="preserve">(iv) </w:t>
      </w:r>
      <w:proofErr w:type="gramStart"/>
      <w:r>
        <w:rPr>
          <w:sz w:val="22"/>
          <w:szCs w:val="22"/>
        </w:rPr>
        <w:t>providing</w:t>
      </w:r>
      <w:proofErr w:type="gramEnd"/>
      <w:r>
        <w:rPr>
          <w:sz w:val="22"/>
          <w:szCs w:val="22"/>
        </w:rPr>
        <w:t xml:space="preserve"> scope for monitoring and imposing accountabilities on appointees; and </w:t>
      </w:r>
    </w:p>
    <w:p w:rsidR="009E5F6C" w:rsidRDefault="009E5F6C" w:rsidP="00E35DAB">
      <w:pPr>
        <w:pStyle w:val="Default"/>
        <w:ind w:left="357" w:hanging="357"/>
        <w:rPr>
          <w:sz w:val="22"/>
          <w:szCs w:val="22"/>
        </w:rPr>
      </w:pPr>
      <w:r>
        <w:rPr>
          <w:sz w:val="22"/>
          <w:szCs w:val="22"/>
        </w:rPr>
        <w:t xml:space="preserve">(v) </w:t>
      </w:r>
      <w:proofErr w:type="gramStart"/>
      <w:r>
        <w:rPr>
          <w:sz w:val="22"/>
          <w:szCs w:val="22"/>
        </w:rPr>
        <w:t>providing</w:t>
      </w:r>
      <w:proofErr w:type="gramEnd"/>
      <w:r>
        <w:rPr>
          <w:sz w:val="22"/>
          <w:szCs w:val="22"/>
        </w:rPr>
        <w:t xml:space="preserve"> the ability to determine at a later date whether financial transactions were made by the donor themselves, or by the relevant appointee</w:t>
      </w:r>
      <w:r>
        <w:rPr>
          <w:i/>
          <w:iCs/>
          <w:sz w:val="22"/>
          <w:szCs w:val="22"/>
        </w:rPr>
        <w:t xml:space="preserve">. </w:t>
      </w:r>
    </w:p>
    <w:p w:rsidR="00502E1D" w:rsidRDefault="00502E1D" w:rsidP="009E5F6C">
      <w:pPr>
        <w:pStyle w:val="Default"/>
        <w:rPr>
          <w:sz w:val="22"/>
          <w:szCs w:val="22"/>
        </w:rPr>
      </w:pPr>
    </w:p>
    <w:p w:rsidR="009E5F6C" w:rsidRDefault="009E5F6C" w:rsidP="009E5F6C">
      <w:pPr>
        <w:pStyle w:val="Default"/>
        <w:spacing w:after="252"/>
        <w:rPr>
          <w:sz w:val="22"/>
          <w:szCs w:val="22"/>
        </w:rPr>
      </w:pPr>
      <w:r>
        <w:rPr>
          <w:sz w:val="22"/>
          <w:szCs w:val="22"/>
        </w:rPr>
        <w:t xml:space="preserve">The objective of registration should be to capture the existence of all Tribunal appointments and enduring powers irrespective of whether they are activated or dormant. </w:t>
      </w:r>
      <w:r w:rsidR="00206A72">
        <w:rPr>
          <w:sz w:val="22"/>
          <w:szCs w:val="22"/>
        </w:rPr>
        <w:t xml:space="preserve"> </w:t>
      </w:r>
      <w:r>
        <w:rPr>
          <w:sz w:val="22"/>
          <w:szCs w:val="22"/>
        </w:rPr>
        <w:t xml:space="preserve">Registration should ideally occur as soon as reasonably practicable after the relevant instrument is executed to promote awareness that registration is a necessary step in the creation of a valid enduring power. If registration has not occurred within a specified timeframe after the date of execution (e.g. within six months), it should still be possible to register, but only after an additional procedure to elicit the reasons for the delay (which could also involve an additional fee component) or Tribunal approval. </w:t>
      </w:r>
    </w:p>
    <w:p w:rsidR="009E5F6C" w:rsidRDefault="009E5F6C" w:rsidP="009E5F6C">
      <w:pPr>
        <w:pStyle w:val="Default"/>
        <w:spacing w:after="252"/>
        <w:rPr>
          <w:sz w:val="22"/>
          <w:szCs w:val="22"/>
        </w:rPr>
      </w:pPr>
      <w:r>
        <w:rPr>
          <w:sz w:val="22"/>
          <w:szCs w:val="22"/>
        </w:rPr>
        <w:t>If registration is a condition precedent to the efficacy of an enduring appointment, then an efficient registration process will be crucial, particularly in urgent cases where any delay could be detrimental to the donor.</w:t>
      </w:r>
      <w:r w:rsidR="00206A72">
        <w:rPr>
          <w:sz w:val="22"/>
          <w:szCs w:val="22"/>
        </w:rPr>
        <w:t xml:space="preserve">  </w:t>
      </w:r>
      <w:r>
        <w:rPr>
          <w:sz w:val="22"/>
          <w:szCs w:val="22"/>
        </w:rPr>
        <w:t>If there is a hiatus between submitting the document and the issue of a registration certificate, it would be desirable to have a mechanism so that enduring powers of attorney executed and activated for immediate use can be registered and an ‘interim’ certificate of authority issued</w:t>
      </w:r>
      <w:r w:rsidR="00F42584">
        <w:rPr>
          <w:sz w:val="22"/>
          <w:szCs w:val="22"/>
        </w:rPr>
        <w:t>, granting certain limited powers to act</w:t>
      </w:r>
      <w:r>
        <w:rPr>
          <w:sz w:val="22"/>
          <w:szCs w:val="22"/>
        </w:rPr>
        <w:t xml:space="preserve">. </w:t>
      </w:r>
    </w:p>
    <w:p w:rsidR="009E5F6C" w:rsidRDefault="009E5F6C" w:rsidP="009E5F6C">
      <w:pPr>
        <w:pStyle w:val="Default"/>
        <w:spacing w:after="252"/>
        <w:rPr>
          <w:sz w:val="22"/>
          <w:szCs w:val="22"/>
        </w:rPr>
      </w:pPr>
      <w:r>
        <w:rPr>
          <w:sz w:val="22"/>
          <w:szCs w:val="22"/>
        </w:rPr>
        <w:t xml:space="preserve">Incentives should be built into the system to encourage registration of pre-existing appointments as well as protections to ensure pre-existing dormant enduring powers are not deemed ineffectual by virtue of non-registration.  The VLRC recommended there be a generous lead-in period of five years for pre-existing documents to be registered. </w:t>
      </w:r>
    </w:p>
    <w:p w:rsidR="009E5F6C" w:rsidRDefault="009E5F6C" w:rsidP="009E5F6C">
      <w:pPr>
        <w:pStyle w:val="Default"/>
        <w:spacing w:after="252"/>
        <w:rPr>
          <w:sz w:val="22"/>
          <w:szCs w:val="22"/>
        </w:rPr>
      </w:pPr>
      <w:r>
        <w:rPr>
          <w:sz w:val="22"/>
          <w:szCs w:val="22"/>
        </w:rPr>
        <w:t xml:space="preserve">The registration system should record whether the appointment is ‘active‘, however, the act of registration should not mean the appointment has been ‘activated’. The register could also capture loss of capacity notifications but the presumption of capacity must prevail until it is determined that a donor no longer has decision making capacity. </w:t>
      </w:r>
    </w:p>
    <w:p w:rsidR="009E5F6C" w:rsidRDefault="009E5F6C" w:rsidP="009E5F6C">
      <w:pPr>
        <w:pStyle w:val="Default"/>
        <w:rPr>
          <w:sz w:val="22"/>
          <w:szCs w:val="22"/>
        </w:rPr>
      </w:pPr>
      <w:r>
        <w:rPr>
          <w:sz w:val="22"/>
          <w:szCs w:val="22"/>
        </w:rPr>
        <w:t xml:space="preserve">In this regard, State </w:t>
      </w:r>
      <w:r w:rsidR="001F3392">
        <w:rPr>
          <w:sz w:val="22"/>
          <w:szCs w:val="22"/>
        </w:rPr>
        <w:t xml:space="preserve">Trustees’ </w:t>
      </w:r>
      <w:proofErr w:type="gramStart"/>
      <w:r w:rsidR="001F3392">
        <w:rPr>
          <w:sz w:val="22"/>
          <w:szCs w:val="22"/>
        </w:rPr>
        <w:t>experience</w:t>
      </w:r>
      <w:r>
        <w:rPr>
          <w:sz w:val="22"/>
          <w:szCs w:val="22"/>
        </w:rPr>
        <w:t xml:space="preserve"> of powers of attorney under management include</w:t>
      </w:r>
      <w:proofErr w:type="gramEnd"/>
      <w:r>
        <w:rPr>
          <w:sz w:val="22"/>
          <w:szCs w:val="22"/>
        </w:rPr>
        <w:t xml:space="preserve">: </w:t>
      </w:r>
      <w:r>
        <w:rPr>
          <w:sz w:val="22"/>
          <w:szCs w:val="22"/>
        </w:rPr>
        <w:br/>
      </w:r>
    </w:p>
    <w:p w:rsidR="009E5F6C" w:rsidRDefault="009E5F6C" w:rsidP="00E35DAB">
      <w:pPr>
        <w:pStyle w:val="Default"/>
        <w:spacing w:after="252"/>
        <w:ind w:left="357" w:hanging="357"/>
        <w:rPr>
          <w:sz w:val="22"/>
          <w:szCs w:val="22"/>
        </w:rPr>
      </w:pPr>
      <w:r>
        <w:rPr>
          <w:sz w:val="22"/>
          <w:szCs w:val="22"/>
        </w:rPr>
        <w:t>(</w:t>
      </w:r>
      <w:proofErr w:type="spellStart"/>
      <w:r>
        <w:rPr>
          <w:sz w:val="22"/>
          <w:szCs w:val="22"/>
        </w:rPr>
        <w:t>i</w:t>
      </w:r>
      <w:proofErr w:type="spellEnd"/>
      <w:r>
        <w:rPr>
          <w:sz w:val="22"/>
          <w:szCs w:val="22"/>
        </w:rPr>
        <w:t xml:space="preserve">) </w:t>
      </w:r>
      <w:r w:rsidR="00502E1D">
        <w:rPr>
          <w:sz w:val="22"/>
          <w:szCs w:val="22"/>
        </w:rPr>
        <w:tab/>
      </w:r>
      <w:r>
        <w:rPr>
          <w:sz w:val="22"/>
          <w:szCs w:val="22"/>
        </w:rPr>
        <w:t>Enduring powers made for future need – Enduring powers of attorney (financial) are a powerful estate planning tool that puts choice in the hands of the individual because the enduring power of attorney is not ‘activated‘ until either specified by the donor or from a time, in a circumstance, or on an occasion, specified in the document. In these circumstances, the power would not be ‘activated</w:t>
      </w:r>
      <w:r w:rsidR="001F3392">
        <w:rPr>
          <w:sz w:val="22"/>
          <w:szCs w:val="22"/>
        </w:rPr>
        <w:t>’</w:t>
      </w:r>
      <w:r>
        <w:rPr>
          <w:sz w:val="22"/>
          <w:szCs w:val="22"/>
        </w:rPr>
        <w:t xml:space="preserve"> at registration. </w:t>
      </w:r>
    </w:p>
    <w:p w:rsidR="00502E1D" w:rsidRDefault="009E5F6C" w:rsidP="00E35DAB">
      <w:pPr>
        <w:pStyle w:val="Default"/>
        <w:ind w:left="357" w:hanging="357"/>
        <w:rPr>
          <w:sz w:val="22"/>
          <w:szCs w:val="22"/>
        </w:rPr>
      </w:pPr>
      <w:r>
        <w:rPr>
          <w:sz w:val="22"/>
          <w:szCs w:val="22"/>
        </w:rPr>
        <w:t xml:space="preserve">(ii) </w:t>
      </w:r>
      <w:r w:rsidR="00502E1D">
        <w:rPr>
          <w:sz w:val="22"/>
          <w:szCs w:val="22"/>
        </w:rPr>
        <w:tab/>
      </w:r>
      <w:r>
        <w:rPr>
          <w:sz w:val="22"/>
          <w:szCs w:val="22"/>
        </w:rPr>
        <w:t>Temporary circumstances – An enduring power may be made for temporary purposes e.g. due to a period of personal crisis (e.g. injury or grief) or physical absence (e.g. overseas holidays). The donor may require the attorney to assist in co-decision making, or for the attorney to manage a specific function associated with their personal circumstances. In these circumstances, the power would be ‘activated</w:t>
      </w:r>
      <w:r w:rsidR="001F3392">
        <w:rPr>
          <w:sz w:val="22"/>
          <w:szCs w:val="22"/>
        </w:rPr>
        <w:t>’</w:t>
      </w:r>
      <w:r>
        <w:rPr>
          <w:sz w:val="22"/>
          <w:szCs w:val="22"/>
        </w:rPr>
        <w:t xml:space="preserve"> and ‘deactivated</w:t>
      </w:r>
      <w:r w:rsidR="001F3392">
        <w:rPr>
          <w:sz w:val="22"/>
          <w:szCs w:val="22"/>
        </w:rPr>
        <w:t>’</w:t>
      </w:r>
      <w:r>
        <w:rPr>
          <w:sz w:val="22"/>
          <w:szCs w:val="22"/>
        </w:rPr>
        <w:t xml:space="preserve"> at the donor‘s request. </w:t>
      </w:r>
      <w:r>
        <w:rPr>
          <w:sz w:val="22"/>
          <w:szCs w:val="22"/>
        </w:rPr>
        <w:br/>
      </w:r>
    </w:p>
    <w:p w:rsidR="009E5F6C" w:rsidRDefault="009E5F6C" w:rsidP="00E35DAB">
      <w:pPr>
        <w:pStyle w:val="Default"/>
        <w:ind w:left="357" w:hanging="357"/>
        <w:rPr>
          <w:sz w:val="22"/>
          <w:szCs w:val="22"/>
        </w:rPr>
      </w:pPr>
      <w:r>
        <w:rPr>
          <w:sz w:val="22"/>
          <w:szCs w:val="22"/>
        </w:rPr>
        <w:t xml:space="preserve">(iii) Fluctuating capacity – Enduring power of attorney (financial) clients frequently have fluctuating capacity. In such cases, the service provided by State Trustees is often, in effect, a form of supported decision making. </w:t>
      </w:r>
    </w:p>
    <w:p w:rsidR="00F42584" w:rsidRDefault="00F42584" w:rsidP="009E5F6C">
      <w:pPr>
        <w:pStyle w:val="Default"/>
        <w:rPr>
          <w:sz w:val="22"/>
          <w:szCs w:val="22"/>
        </w:rPr>
      </w:pPr>
    </w:p>
    <w:p w:rsidR="009E5F6C" w:rsidRDefault="009E5F6C" w:rsidP="00E35DAB">
      <w:pPr>
        <w:pStyle w:val="Default"/>
        <w:ind w:left="357" w:hanging="357"/>
        <w:rPr>
          <w:sz w:val="22"/>
          <w:szCs w:val="22"/>
        </w:rPr>
      </w:pPr>
      <w:r>
        <w:rPr>
          <w:sz w:val="22"/>
          <w:szCs w:val="22"/>
        </w:rPr>
        <w:t>(iv) ‘Enduring</w:t>
      </w:r>
      <w:r w:rsidR="001F3392">
        <w:rPr>
          <w:sz w:val="22"/>
          <w:szCs w:val="22"/>
        </w:rPr>
        <w:t>’</w:t>
      </w:r>
      <w:r>
        <w:rPr>
          <w:sz w:val="22"/>
          <w:szCs w:val="22"/>
        </w:rPr>
        <w:t xml:space="preserve"> circumstances – State Trustees</w:t>
      </w:r>
      <w:r w:rsidR="001F3392">
        <w:rPr>
          <w:sz w:val="22"/>
          <w:szCs w:val="22"/>
        </w:rPr>
        <w:t>’</w:t>
      </w:r>
      <w:r>
        <w:rPr>
          <w:sz w:val="22"/>
          <w:szCs w:val="22"/>
        </w:rPr>
        <w:t xml:space="preserve"> practice of ensuring (wherever possible) that there is medical evidence of loss of capacity should be reflected in the registration system. There should also be powers provided to the relevant Tribunal to make a determination where such evidence is not able to be produced. </w:t>
      </w:r>
    </w:p>
    <w:p w:rsidR="009E5F6C" w:rsidRDefault="009E5F6C" w:rsidP="009E5F6C">
      <w:pPr>
        <w:pStyle w:val="Default"/>
        <w:rPr>
          <w:sz w:val="22"/>
          <w:szCs w:val="22"/>
        </w:rPr>
      </w:pPr>
    </w:p>
    <w:p w:rsidR="009E5F6C" w:rsidRDefault="00C5766B" w:rsidP="009E5F6C">
      <w:pPr>
        <w:pStyle w:val="Default"/>
        <w:spacing w:after="254"/>
        <w:rPr>
          <w:sz w:val="22"/>
          <w:szCs w:val="22"/>
        </w:rPr>
      </w:pPr>
      <w:r>
        <w:rPr>
          <w:sz w:val="22"/>
          <w:szCs w:val="22"/>
        </w:rPr>
        <w:lastRenderedPageBreak/>
        <w:t>Ideally, r</w:t>
      </w:r>
      <w:r w:rsidR="009E5F6C">
        <w:rPr>
          <w:sz w:val="22"/>
          <w:szCs w:val="22"/>
        </w:rPr>
        <w:t xml:space="preserve">egistration </w:t>
      </w:r>
      <w:r>
        <w:rPr>
          <w:sz w:val="22"/>
          <w:szCs w:val="22"/>
        </w:rPr>
        <w:t xml:space="preserve">would </w:t>
      </w:r>
      <w:r w:rsidR="009E5F6C">
        <w:rPr>
          <w:sz w:val="22"/>
          <w:szCs w:val="22"/>
        </w:rPr>
        <w:t xml:space="preserve">include validation of the instrument in accordance with the requirements for a valid enduring power under the relevant Act. </w:t>
      </w:r>
    </w:p>
    <w:p w:rsidR="009E5F6C" w:rsidRDefault="009E5F6C" w:rsidP="009E5F6C">
      <w:pPr>
        <w:pStyle w:val="Default"/>
        <w:spacing w:after="254"/>
        <w:rPr>
          <w:sz w:val="22"/>
          <w:szCs w:val="22"/>
        </w:rPr>
      </w:pPr>
      <w:r>
        <w:rPr>
          <w:sz w:val="22"/>
          <w:szCs w:val="22"/>
        </w:rPr>
        <w:t xml:space="preserve">Registration should be the means of determining whether or not an appointment is current, and has not been revoked, so that the attorney can be contacted in relation to the </w:t>
      </w:r>
      <w:r w:rsidR="00C5766B">
        <w:rPr>
          <w:sz w:val="22"/>
          <w:szCs w:val="22"/>
        </w:rPr>
        <w:t>principal</w:t>
      </w:r>
      <w:r>
        <w:rPr>
          <w:sz w:val="22"/>
          <w:szCs w:val="22"/>
        </w:rPr>
        <w:t>. Automatic access to limited information held on the register could be provided to authorised organisations and certain approved third parties (e.g. the Public Advocate, police, banks, professional trustee organisations, health professionals and legal professionals), although access arrangements need to be designed on clear ‘need to know</w:t>
      </w:r>
      <w:r w:rsidR="001F3392">
        <w:rPr>
          <w:sz w:val="22"/>
          <w:szCs w:val="22"/>
        </w:rPr>
        <w:t>’ p</w:t>
      </w:r>
      <w:r>
        <w:rPr>
          <w:sz w:val="22"/>
          <w:szCs w:val="22"/>
        </w:rPr>
        <w:t xml:space="preserve">rinciples. </w:t>
      </w:r>
    </w:p>
    <w:p w:rsidR="009E5F6C" w:rsidRDefault="009E5F6C" w:rsidP="009E5F6C">
      <w:pPr>
        <w:pStyle w:val="Default"/>
        <w:spacing w:after="254"/>
        <w:rPr>
          <w:sz w:val="22"/>
          <w:szCs w:val="22"/>
        </w:rPr>
      </w:pPr>
      <w:r>
        <w:rPr>
          <w:sz w:val="22"/>
          <w:szCs w:val="22"/>
        </w:rPr>
        <w:t xml:space="preserve">Appropriate information technology security mechanisms would be required to facilitate authorised access to the register and notifications of activation or cancellation. </w:t>
      </w:r>
      <w:r w:rsidR="00F42584">
        <w:rPr>
          <w:sz w:val="22"/>
          <w:szCs w:val="22"/>
        </w:rPr>
        <w:t xml:space="preserve"> A</w:t>
      </w:r>
      <w:r>
        <w:rPr>
          <w:sz w:val="22"/>
          <w:szCs w:val="22"/>
        </w:rPr>
        <w:t xml:space="preserve">n attorney should not be able to act under an enduring power unless the appointment has been registered and activation has been notified. A crisis service is likely to be required of the registering organisation for emergency situations. </w:t>
      </w:r>
    </w:p>
    <w:p w:rsidR="009E5F6C" w:rsidRDefault="009E5F6C" w:rsidP="009E5F6C">
      <w:pPr>
        <w:pStyle w:val="Default"/>
        <w:rPr>
          <w:sz w:val="22"/>
          <w:szCs w:val="22"/>
        </w:rPr>
      </w:pPr>
      <w:r>
        <w:rPr>
          <w:sz w:val="22"/>
          <w:szCs w:val="22"/>
        </w:rPr>
        <w:t xml:space="preserve">The new registry should ideally be designed in such a way that there is no duplication with other process for filing of powers of attorney (including enduring powers of attorney), e.g. with the relevant Registrar of Land Titles. </w:t>
      </w:r>
    </w:p>
    <w:p w:rsidR="009E5F6C" w:rsidRDefault="009E5F6C" w:rsidP="009E5F6C">
      <w:pPr>
        <w:rPr>
          <w:rFonts w:eastAsia="Times New Roman" w:cs="Arial"/>
          <w:bCs/>
          <w:lang w:eastAsia="en-AU"/>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5–2 </w:t>
      </w:r>
      <w:r w:rsidR="00F42584">
        <w:rPr>
          <w:rFonts w:eastAsia="Times New Roman" w:cs="Arial"/>
          <w:b/>
          <w:bCs/>
          <w:i/>
          <w:color w:val="000000" w:themeColor="text1"/>
          <w:lang w:eastAsia="en-AU"/>
        </w:rPr>
        <w:br/>
      </w:r>
      <w:proofErr w:type="gramStart"/>
      <w:r w:rsidRPr="00E35DAB">
        <w:rPr>
          <w:rFonts w:eastAsia="Times New Roman" w:cs="Arial"/>
          <w:i/>
          <w:color w:val="000000" w:themeColor="text1"/>
          <w:lang w:eastAsia="en-AU"/>
        </w:rPr>
        <w:t>The</w:t>
      </w:r>
      <w:proofErr w:type="gramEnd"/>
      <w:r w:rsidRPr="00E35DAB">
        <w:rPr>
          <w:rFonts w:eastAsia="Times New Roman" w:cs="Arial"/>
          <w:i/>
          <w:color w:val="000000" w:themeColor="text1"/>
          <w:lang w:eastAsia="en-AU"/>
        </w:rPr>
        <w:t xml:space="preserve"> making or revocation of an enduring document should not be valid until registered. The making and registering of a subsequent enduring document should automatically revoke the previous document of the same type.</w:t>
      </w:r>
    </w:p>
    <w:p w:rsidR="009E5F6C" w:rsidRDefault="009E5F6C" w:rsidP="009E5F6C">
      <w:r>
        <w:tab/>
      </w:r>
    </w:p>
    <w:p w:rsidR="009E5F6C" w:rsidRPr="00E35DAB" w:rsidRDefault="00F42584" w:rsidP="009E5F6C">
      <w:pPr>
        <w:rPr>
          <w:color w:val="000000" w:themeColor="text1"/>
        </w:rPr>
      </w:pPr>
      <w:r>
        <w:rPr>
          <w:color w:val="000000" w:themeColor="text1"/>
        </w:rPr>
        <w:t xml:space="preserve">State Trustees supports this proposal, subject to the observations already made relating to dormant enduring documents, and the following further qualification: </w:t>
      </w:r>
      <w:r w:rsidR="009E5F6C" w:rsidRPr="00E35DAB">
        <w:rPr>
          <w:color w:val="000000" w:themeColor="text1"/>
        </w:rPr>
        <w:t xml:space="preserve">Not all appointments should revoke a prior appointment of the same type: e.g. a principal can appoint a son to manage </w:t>
      </w:r>
      <w:r>
        <w:rPr>
          <w:color w:val="000000" w:themeColor="text1"/>
        </w:rPr>
        <w:t xml:space="preserve">the principal’s </w:t>
      </w:r>
      <w:r w:rsidR="009E5F6C" w:rsidRPr="00E35DAB">
        <w:rPr>
          <w:color w:val="000000" w:themeColor="text1"/>
        </w:rPr>
        <w:t>shares, and</w:t>
      </w:r>
      <w:r>
        <w:rPr>
          <w:color w:val="000000" w:themeColor="text1"/>
        </w:rPr>
        <w:t>, in a separate concurrent documents,</w:t>
      </w:r>
      <w:r w:rsidR="009E5F6C" w:rsidRPr="00E35DAB">
        <w:rPr>
          <w:color w:val="000000" w:themeColor="text1"/>
        </w:rPr>
        <w:t xml:space="preserve"> a daughter to </w:t>
      </w:r>
      <w:r>
        <w:rPr>
          <w:color w:val="000000" w:themeColor="text1"/>
        </w:rPr>
        <w:t xml:space="preserve">manage the principal’s </w:t>
      </w:r>
      <w:r w:rsidR="009E5F6C" w:rsidRPr="00E35DAB">
        <w:rPr>
          <w:color w:val="000000" w:themeColor="text1"/>
        </w:rPr>
        <w:t xml:space="preserve">manage bank accounts.  </w:t>
      </w:r>
      <w:r>
        <w:rPr>
          <w:color w:val="000000" w:themeColor="text1"/>
        </w:rPr>
        <w:t xml:space="preserve">The law in Victoria permits the principal to specify any existing documents that are not intended to be revoked by the making of a new enduring power of attorney.  </w:t>
      </w:r>
    </w:p>
    <w:p w:rsidR="009E5F6C" w:rsidRDefault="009E5F6C" w:rsidP="009E5F6C">
      <w:pPr>
        <w:rPr>
          <w:color w:val="7030A0"/>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5–3 </w:t>
      </w:r>
      <w:r w:rsidR="00206A72">
        <w:rPr>
          <w:rFonts w:eastAsia="Times New Roman" w:cs="Arial"/>
          <w:b/>
          <w:bCs/>
          <w:i/>
          <w:color w:val="000000" w:themeColor="text1"/>
          <w:lang w:eastAsia="en-AU"/>
        </w:rPr>
        <w:br/>
      </w:r>
      <w:proofErr w:type="gramStart"/>
      <w:r w:rsidRPr="00E35DAB">
        <w:rPr>
          <w:rFonts w:eastAsia="Times New Roman" w:cs="Arial"/>
          <w:i/>
          <w:color w:val="000000" w:themeColor="text1"/>
          <w:lang w:eastAsia="en-AU"/>
        </w:rPr>
        <w:t>The</w:t>
      </w:r>
      <w:proofErr w:type="gramEnd"/>
      <w:r w:rsidRPr="00E35DAB">
        <w:rPr>
          <w:rFonts w:eastAsia="Times New Roman" w:cs="Arial"/>
          <w:i/>
          <w:color w:val="000000" w:themeColor="text1"/>
          <w:lang w:eastAsia="en-AU"/>
        </w:rPr>
        <w:t xml:space="preserve"> implementation of the national online register should include transitional arrangements to ensure that existing enduring documents can be registered and that unregistered enduring documents remain valid for a prescribed period.</w:t>
      </w:r>
    </w:p>
    <w:p w:rsidR="009E5F6C" w:rsidRDefault="009E5F6C" w:rsidP="009E5F6C"/>
    <w:p w:rsidR="009E5F6C" w:rsidRDefault="00262CDE" w:rsidP="009E5F6C">
      <w:pPr>
        <w:rPr>
          <w:color w:val="7030A0"/>
        </w:rPr>
      </w:pPr>
      <w:r>
        <w:rPr>
          <w:rFonts w:eastAsia="Times New Roman" w:cs="Arial"/>
          <w:bCs/>
          <w:lang w:eastAsia="en-AU"/>
        </w:rPr>
        <w:t xml:space="preserve">If the decision is made to adopt a national register, </w:t>
      </w:r>
      <w:r w:rsidR="001A3709">
        <w:rPr>
          <w:rFonts w:eastAsia="Times New Roman" w:cs="Arial"/>
          <w:bCs/>
          <w:lang w:eastAsia="en-AU"/>
        </w:rPr>
        <w:t>State Trustees</w:t>
      </w:r>
      <w:r w:rsidR="009E5F6C" w:rsidRPr="008542E8">
        <w:rPr>
          <w:rFonts w:eastAsia="Times New Roman" w:cs="Arial"/>
          <w:bCs/>
          <w:lang w:eastAsia="en-AU"/>
        </w:rPr>
        <w:t xml:space="preserve"> </w:t>
      </w:r>
      <w:r>
        <w:rPr>
          <w:rFonts w:eastAsia="Times New Roman" w:cs="Arial"/>
          <w:bCs/>
          <w:lang w:eastAsia="en-AU"/>
        </w:rPr>
        <w:t xml:space="preserve">would </w:t>
      </w:r>
      <w:r w:rsidR="009E5F6C" w:rsidRPr="008542E8">
        <w:rPr>
          <w:rFonts w:eastAsia="Times New Roman" w:cs="Arial"/>
          <w:bCs/>
          <w:lang w:eastAsia="en-AU"/>
        </w:rPr>
        <w:t>support</w:t>
      </w:r>
      <w:r>
        <w:rPr>
          <w:rFonts w:eastAsia="Times New Roman" w:cs="Arial"/>
          <w:bCs/>
          <w:lang w:eastAsia="en-AU"/>
        </w:rPr>
        <w:t xml:space="preserve"> such transitional arrangements</w:t>
      </w:r>
      <w:r w:rsidR="009E5F6C" w:rsidRPr="008542E8">
        <w:rPr>
          <w:rFonts w:eastAsia="Times New Roman" w:cs="Arial"/>
          <w:bCs/>
          <w:lang w:eastAsia="en-AU"/>
        </w:rPr>
        <w:t xml:space="preserve">. </w:t>
      </w:r>
      <w:r w:rsidR="00F42584">
        <w:rPr>
          <w:rFonts w:eastAsia="Times New Roman" w:cs="Arial"/>
          <w:bCs/>
          <w:lang w:eastAsia="en-AU"/>
        </w:rPr>
        <w:t xml:space="preserve"> As noted, t</w:t>
      </w:r>
      <w:r w:rsidR="009E5F6C" w:rsidRPr="008542E8">
        <w:t xml:space="preserve">he </w:t>
      </w:r>
      <w:r w:rsidR="00F42584">
        <w:t xml:space="preserve">processes in relation to existing documents of various types </w:t>
      </w:r>
      <w:r w:rsidR="009E5F6C" w:rsidRPr="008542E8">
        <w:t xml:space="preserve">will </w:t>
      </w:r>
      <w:r w:rsidR="00F42584">
        <w:t xml:space="preserve">necessarily </w:t>
      </w:r>
      <w:r w:rsidR="009E5F6C" w:rsidRPr="008542E8">
        <w:t xml:space="preserve">be complex, but </w:t>
      </w:r>
      <w:r w:rsidR="001F3392">
        <w:t xml:space="preserve">a transition to mandatory registration is </w:t>
      </w:r>
      <w:r w:rsidR="009E5F6C" w:rsidRPr="008542E8">
        <w:t>achievable, particularly with</w:t>
      </w:r>
      <w:r w:rsidR="009E5F6C" w:rsidRPr="00A725C3">
        <w:t xml:space="preserve"> a generous transition period (for example, </w:t>
      </w:r>
      <w:r w:rsidR="00F42584">
        <w:t>5</w:t>
      </w:r>
      <w:r w:rsidR="009E5F6C" w:rsidRPr="008542E8">
        <w:t xml:space="preserve"> years).</w:t>
      </w:r>
      <w:r w:rsidR="001F3392">
        <w:t xml:space="preserve">  The onus should be on the principal to register, not the appointee; but it should be open to an appointee in possession of the original </w:t>
      </w:r>
      <w:r w:rsidR="00C5766B">
        <w:t xml:space="preserve">document </w:t>
      </w:r>
      <w:r w:rsidR="001F3392">
        <w:t>to seek to have it registered</w:t>
      </w:r>
      <w:r w:rsidR="00C5766B">
        <w:t xml:space="preserve"> without requiring additional instructions from the principal</w:t>
      </w:r>
      <w:r w:rsidR="001F3392">
        <w:t xml:space="preserve">.  </w:t>
      </w:r>
    </w:p>
    <w:p w:rsidR="009E5F6C" w:rsidRDefault="009E5F6C" w:rsidP="009E5F6C">
      <w:pPr>
        <w:rPr>
          <w:color w:val="C45911" w:themeColor="accent2" w:themeShade="BF"/>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Question 5–1 </w:t>
      </w:r>
      <w:r w:rsidR="001F3392">
        <w:rPr>
          <w:rFonts w:eastAsia="Times New Roman" w:cs="Arial"/>
          <w:b/>
          <w:bCs/>
          <w:i/>
          <w:color w:val="000000" w:themeColor="text1"/>
          <w:lang w:eastAsia="en-AU"/>
        </w:rPr>
        <w:br/>
      </w:r>
      <w:proofErr w:type="gramStart"/>
      <w:r w:rsidRPr="00E35DAB">
        <w:rPr>
          <w:rFonts w:eastAsia="Times New Roman" w:cs="Arial"/>
          <w:i/>
          <w:color w:val="000000" w:themeColor="text1"/>
          <w:lang w:eastAsia="en-AU"/>
        </w:rPr>
        <w:t>Who</w:t>
      </w:r>
      <w:proofErr w:type="gramEnd"/>
      <w:r w:rsidRPr="00E35DAB">
        <w:rPr>
          <w:rFonts w:eastAsia="Times New Roman" w:cs="Arial"/>
          <w:i/>
          <w:color w:val="000000" w:themeColor="text1"/>
          <w:lang w:eastAsia="en-AU"/>
        </w:rPr>
        <w:t xml:space="preserve"> should be permitted to search the national online register without restriction?</w:t>
      </w:r>
    </w:p>
    <w:p w:rsidR="009E5F6C" w:rsidRDefault="009E5F6C" w:rsidP="009E5F6C"/>
    <w:p w:rsidR="00D956A4" w:rsidRDefault="001A3709" w:rsidP="00D956A4">
      <w:r>
        <w:t>State Trustees</w:t>
      </w:r>
      <w:r w:rsidR="00383C73">
        <w:t xml:space="preserve"> submits that there should be </w:t>
      </w:r>
      <w:r w:rsidR="00206A72">
        <w:t xml:space="preserve">several </w:t>
      </w:r>
      <w:r w:rsidR="00383C73" w:rsidRPr="00E85689">
        <w:t>different levels of access</w:t>
      </w:r>
      <w:r w:rsidR="00206A72">
        <w:t>, according to authorisation and/or need</w:t>
      </w:r>
      <w:r w:rsidR="00383C73" w:rsidRPr="00E85689">
        <w:t xml:space="preserve">. </w:t>
      </w:r>
      <w:r w:rsidR="00D956A4">
        <w:t xml:space="preserve"> I</w:t>
      </w:r>
      <w:r w:rsidR="00D956A4" w:rsidRPr="001A3E6D">
        <w:t xml:space="preserve">t will be important to have sufficient controls and limitations that people are not deterred from making enduring documents because of privacy concerns.  </w:t>
      </w:r>
    </w:p>
    <w:p w:rsidR="00D956A4" w:rsidRPr="0043691B" w:rsidRDefault="00D956A4" w:rsidP="00D956A4"/>
    <w:p w:rsidR="00006F8A" w:rsidRDefault="00006F8A" w:rsidP="009E5F6C">
      <w:r>
        <w:lastRenderedPageBreak/>
        <w:t xml:space="preserve">The principal him- or herself should have full access to their particular </w:t>
      </w:r>
      <w:r w:rsidR="00206A72">
        <w:t xml:space="preserve">registered </w:t>
      </w:r>
      <w:r>
        <w:t xml:space="preserve">documents, and the ability to </w:t>
      </w:r>
      <w:r w:rsidR="00D956A4">
        <w:t xml:space="preserve">grant the same </w:t>
      </w:r>
      <w:r>
        <w:t xml:space="preserve">access </w:t>
      </w:r>
      <w:r w:rsidR="00D956A4">
        <w:t>to</w:t>
      </w:r>
      <w:r>
        <w:t xml:space="preserve"> </w:t>
      </w:r>
      <w:r w:rsidR="00D956A4">
        <w:t xml:space="preserve">one or more </w:t>
      </w:r>
      <w:r>
        <w:t>other trusted part</w:t>
      </w:r>
      <w:r w:rsidR="00D956A4">
        <w:t>ies</w:t>
      </w:r>
      <w:r>
        <w:t xml:space="preserve">, by </w:t>
      </w:r>
      <w:r w:rsidR="00D956A4">
        <w:t xml:space="preserve">means </w:t>
      </w:r>
      <w:r>
        <w:t xml:space="preserve">of an access code, or the like.  </w:t>
      </w:r>
    </w:p>
    <w:p w:rsidR="00D956A4" w:rsidRDefault="00D956A4" w:rsidP="009E5F6C"/>
    <w:p w:rsidR="001D140D" w:rsidRDefault="009E5F6C" w:rsidP="009E5F6C">
      <w:r w:rsidRPr="000863A4">
        <w:t xml:space="preserve">A person who is being asked to rely upon the validity of </w:t>
      </w:r>
      <w:r w:rsidR="00D956A4">
        <w:t>a</w:t>
      </w:r>
      <w:r w:rsidRPr="000863A4">
        <w:t xml:space="preserve"> document </w:t>
      </w:r>
      <w:r w:rsidR="00D956A4">
        <w:t xml:space="preserve">presented to them </w:t>
      </w:r>
      <w:r w:rsidRPr="000863A4">
        <w:t>should be able to confirm its currency by checking the register “live”</w:t>
      </w:r>
      <w:r w:rsidR="001A3709">
        <w:t>,</w:t>
      </w:r>
      <w:r w:rsidRPr="000863A4">
        <w:t xml:space="preserve"> and possibly r</w:t>
      </w:r>
      <w:r>
        <w:t xml:space="preserve">eceiving a confirmation email. </w:t>
      </w:r>
      <w:r w:rsidR="00006F8A">
        <w:t xml:space="preserve"> </w:t>
      </w:r>
    </w:p>
    <w:p w:rsidR="001D140D" w:rsidRPr="00E35DAB" w:rsidRDefault="001D140D" w:rsidP="001D140D">
      <w:pPr>
        <w:rPr>
          <w:color w:val="000000" w:themeColor="text1"/>
        </w:rPr>
      </w:pPr>
    </w:p>
    <w:p w:rsidR="001D140D" w:rsidRPr="00E35DAB" w:rsidRDefault="001D140D" w:rsidP="001D140D">
      <w:pPr>
        <w:rPr>
          <w:color w:val="000000" w:themeColor="text1"/>
        </w:rPr>
      </w:pPr>
      <w:r w:rsidRPr="00E35DAB">
        <w:rPr>
          <w:color w:val="000000" w:themeColor="text1"/>
        </w:rPr>
        <w:t xml:space="preserve">One option is that each registered document would </w:t>
      </w:r>
      <w:r>
        <w:rPr>
          <w:color w:val="000000" w:themeColor="text1"/>
        </w:rPr>
        <w:t xml:space="preserve">be stamped with </w:t>
      </w:r>
      <w:r w:rsidRPr="00E35DAB">
        <w:rPr>
          <w:color w:val="000000" w:themeColor="text1"/>
        </w:rPr>
        <w:t>a registration number.  Any person c</w:t>
      </w:r>
      <w:r>
        <w:rPr>
          <w:color w:val="000000" w:themeColor="text1"/>
        </w:rPr>
        <w:t xml:space="preserve">ould then </w:t>
      </w:r>
      <w:r w:rsidRPr="00E35DAB">
        <w:rPr>
          <w:color w:val="000000" w:themeColor="text1"/>
        </w:rPr>
        <w:t>use the registration number to check the currency of that document.</w:t>
      </w:r>
    </w:p>
    <w:p w:rsidR="009E5F6C" w:rsidRPr="0043691B" w:rsidRDefault="00D956A4" w:rsidP="009E5F6C">
      <w:r>
        <w:t xml:space="preserve">In such circumstances, the </w:t>
      </w:r>
      <w:r w:rsidR="009E5F6C" w:rsidRPr="0043691B">
        <w:t xml:space="preserve">search </w:t>
      </w:r>
      <w:r>
        <w:t>w</w:t>
      </w:r>
      <w:r w:rsidR="009E5F6C" w:rsidRPr="0043691B">
        <w:t xml:space="preserve">ould show: </w:t>
      </w:r>
    </w:p>
    <w:p w:rsidR="009E5F6C" w:rsidRPr="0043691B" w:rsidRDefault="009E5F6C" w:rsidP="009E5F6C">
      <w:pPr>
        <w:pStyle w:val="ListParagraph"/>
        <w:numPr>
          <w:ilvl w:val="0"/>
          <w:numId w:val="2"/>
        </w:numPr>
      </w:pPr>
      <w:r w:rsidRPr="0043691B">
        <w:t xml:space="preserve">Is the document presented to me registered and current (based on </w:t>
      </w:r>
      <w:r w:rsidR="00D956A4">
        <w:t>its</w:t>
      </w:r>
      <w:r w:rsidRPr="0043691B">
        <w:t xml:space="preserve"> registration number)?    YES / NO (and if no</w:t>
      </w:r>
      <w:r w:rsidR="00D956A4">
        <w:t>, on which</w:t>
      </w:r>
      <w:r w:rsidRPr="0043691B">
        <w:t xml:space="preserve"> date </w:t>
      </w:r>
      <w:r w:rsidR="00D956A4">
        <w:t xml:space="preserve">did it </w:t>
      </w:r>
      <w:r w:rsidRPr="0043691B">
        <w:t>cease to be current?)</w:t>
      </w:r>
    </w:p>
    <w:p w:rsidR="009E5F6C" w:rsidRPr="0043691B" w:rsidRDefault="009E5F6C" w:rsidP="009E5F6C"/>
    <w:p w:rsidR="000D357B" w:rsidRDefault="000D357B" w:rsidP="000D357B">
      <w:r>
        <w:t xml:space="preserve">Beyond this </w:t>
      </w:r>
      <w:r w:rsidR="00C5766B">
        <w:t xml:space="preserve">document-confirmation </w:t>
      </w:r>
      <w:r>
        <w:t>circumstance, the degree of access could be staggered</w:t>
      </w:r>
      <w:r w:rsidR="001D140D">
        <w:t>,</w:t>
      </w:r>
      <w:r>
        <w:t xml:space="preserve"> according to </w:t>
      </w:r>
      <w:r w:rsidR="001D140D">
        <w:t xml:space="preserve">public-interest </w:t>
      </w:r>
      <w:r>
        <w:t xml:space="preserve">need.  </w:t>
      </w:r>
      <w:r w:rsidR="001D140D">
        <w:t>The following table shows</w:t>
      </w:r>
      <w:r w:rsidR="00206A72">
        <w:t>, for consideration,</w:t>
      </w:r>
      <w:r w:rsidR="001D140D">
        <w:t xml:space="preserve"> </w:t>
      </w:r>
      <w:r w:rsidR="00206A72">
        <w:t xml:space="preserve">some potential candidates for </w:t>
      </w:r>
      <w:r w:rsidR="001D140D">
        <w:t xml:space="preserve">‘as of right’ access, </w:t>
      </w:r>
      <w:r w:rsidR="00206A72">
        <w:t xml:space="preserve">including </w:t>
      </w:r>
      <w:r w:rsidR="001D140D">
        <w:t xml:space="preserve">some observations as to </w:t>
      </w:r>
      <w:r w:rsidR="00206A72">
        <w:t xml:space="preserve">‘need to know’ </w:t>
      </w:r>
      <w:r w:rsidR="001D140D">
        <w:t xml:space="preserve">restrictions: </w:t>
      </w:r>
    </w:p>
    <w:p w:rsidR="009E5F6C" w:rsidRPr="001A3E6D" w:rsidRDefault="009E5F6C" w:rsidP="00E35DAB">
      <w:pPr>
        <w:rPr>
          <w:b/>
          <w:color w:val="385623" w:themeColor="accent6" w:themeShade="80"/>
        </w:rPr>
      </w:pPr>
    </w:p>
    <w:tbl>
      <w:tblPr>
        <w:tblStyle w:val="TableGrid"/>
        <w:tblW w:w="9781" w:type="dxa"/>
        <w:tblInd w:w="-5" w:type="dxa"/>
        <w:tblLook w:val="04A0"/>
      </w:tblPr>
      <w:tblGrid>
        <w:gridCol w:w="5629"/>
        <w:gridCol w:w="4152"/>
      </w:tblGrid>
      <w:tr w:rsidR="00D956A4" w:rsidRPr="00E35DAB" w:rsidTr="00E35DAB">
        <w:trPr>
          <w:tblHeader/>
        </w:trPr>
        <w:tc>
          <w:tcPr>
            <w:tcW w:w="5629" w:type="dxa"/>
            <w:shd w:val="clear" w:color="auto" w:fill="E2EFD9" w:themeFill="accent6" w:themeFillTint="33"/>
          </w:tcPr>
          <w:p w:rsidR="00D956A4" w:rsidRPr="00E35DAB" w:rsidRDefault="001D140D" w:rsidP="005129FC">
            <w:pPr>
              <w:rPr>
                <w:rFonts w:eastAsia="Times New Roman" w:cs="Times New Roman"/>
                <w:b/>
                <w:color w:val="000000" w:themeColor="text1"/>
                <w:sz w:val="21"/>
                <w:szCs w:val="53"/>
                <w:lang w:eastAsia="en-AU"/>
              </w:rPr>
            </w:pPr>
            <w:r>
              <w:rPr>
                <w:rFonts w:eastAsia="Times New Roman" w:cs="Times New Roman"/>
                <w:b/>
                <w:color w:val="000000" w:themeColor="text1"/>
                <w:sz w:val="21"/>
                <w:szCs w:val="53"/>
                <w:lang w:eastAsia="en-AU"/>
              </w:rPr>
              <w:t>P</w:t>
            </w:r>
            <w:r w:rsidR="00D956A4" w:rsidRPr="00E35DAB">
              <w:rPr>
                <w:rFonts w:eastAsia="Times New Roman" w:cs="Times New Roman"/>
                <w:b/>
                <w:color w:val="000000" w:themeColor="text1"/>
                <w:sz w:val="21"/>
                <w:szCs w:val="53"/>
                <w:lang w:eastAsia="en-AU"/>
              </w:rPr>
              <w:t>arty type</w:t>
            </w:r>
          </w:p>
        </w:tc>
        <w:tc>
          <w:tcPr>
            <w:tcW w:w="4152" w:type="dxa"/>
            <w:shd w:val="clear" w:color="auto" w:fill="E2EFD9" w:themeFill="accent6" w:themeFillTint="33"/>
          </w:tcPr>
          <w:p w:rsidR="00D956A4" w:rsidRPr="00E35DAB" w:rsidRDefault="001D140D" w:rsidP="001F3392">
            <w:pPr>
              <w:rPr>
                <w:rFonts w:eastAsia="Times New Roman" w:cs="Times New Roman"/>
                <w:b/>
                <w:color w:val="000000" w:themeColor="text1"/>
                <w:sz w:val="21"/>
                <w:szCs w:val="53"/>
                <w:lang w:eastAsia="en-AU"/>
              </w:rPr>
            </w:pPr>
            <w:r w:rsidRPr="001F3392">
              <w:rPr>
                <w:rFonts w:eastAsia="Times New Roman" w:cs="Times New Roman"/>
                <w:b/>
                <w:color w:val="000000" w:themeColor="text1"/>
                <w:sz w:val="21"/>
                <w:szCs w:val="53"/>
                <w:lang w:eastAsia="en-AU"/>
              </w:rPr>
              <w:t>Potential scope</w:t>
            </w:r>
          </w:p>
        </w:tc>
      </w:tr>
      <w:tr w:rsidR="001D140D" w:rsidRPr="00E35DAB" w:rsidTr="00455CE0">
        <w:trPr>
          <w:trHeight w:val="493"/>
        </w:trPr>
        <w:tc>
          <w:tcPr>
            <w:tcW w:w="5629" w:type="dxa"/>
          </w:tcPr>
          <w:p w:rsidR="001D140D" w:rsidRPr="001F3392" w:rsidRDefault="001D140D" w:rsidP="000D357B">
            <w:pPr>
              <w:pStyle w:val="ListParagraph"/>
              <w:numPr>
                <w:ilvl w:val="0"/>
                <w:numId w:val="3"/>
              </w:numPr>
              <w:rPr>
                <w:rFonts w:eastAsia="Times New Roman" w:cs="Times New Roman"/>
                <w:b/>
                <w:color w:val="000000" w:themeColor="text1"/>
                <w:sz w:val="21"/>
                <w:szCs w:val="53"/>
                <w:lang w:eastAsia="en-AU"/>
              </w:rPr>
            </w:pPr>
            <w:r w:rsidRPr="00E35DAB">
              <w:rPr>
                <w:rFonts w:eastAsia="Times New Roman" w:cs="Times New Roman"/>
                <w:b/>
                <w:color w:val="000000" w:themeColor="text1"/>
                <w:sz w:val="21"/>
                <w:szCs w:val="53"/>
                <w:lang w:eastAsia="en-AU"/>
              </w:rPr>
              <w:t xml:space="preserve">“First </w:t>
            </w:r>
            <w:proofErr w:type="spellStart"/>
            <w:r w:rsidRPr="00E35DAB">
              <w:rPr>
                <w:rFonts w:eastAsia="Times New Roman" w:cs="Times New Roman"/>
                <w:b/>
                <w:color w:val="000000" w:themeColor="text1"/>
                <w:sz w:val="21"/>
                <w:szCs w:val="53"/>
                <w:lang w:eastAsia="en-AU"/>
              </w:rPr>
              <w:t>attenders</w:t>
            </w:r>
            <w:proofErr w:type="spellEnd"/>
            <w:r w:rsidRPr="00E35DAB">
              <w:rPr>
                <w:rFonts w:eastAsia="Times New Roman" w:cs="Times New Roman"/>
                <w:b/>
                <w:color w:val="000000" w:themeColor="text1"/>
                <w:sz w:val="21"/>
                <w:szCs w:val="53"/>
                <w:lang w:eastAsia="en-AU"/>
              </w:rPr>
              <w:t>”:</w:t>
            </w:r>
          </w:p>
          <w:p w:rsidR="001D140D" w:rsidRPr="00E35DAB" w:rsidRDefault="001D140D" w:rsidP="00E35DAB">
            <w:pPr>
              <w:pStyle w:val="ListParagraph"/>
              <w:numPr>
                <w:ilvl w:val="1"/>
                <w:numId w:val="3"/>
              </w:numPr>
              <w:rPr>
                <w:rFonts w:eastAsia="Times New Roman" w:cs="Times New Roman"/>
                <w:b/>
                <w:color w:val="000000" w:themeColor="text1"/>
                <w:sz w:val="21"/>
                <w:szCs w:val="53"/>
                <w:lang w:eastAsia="en-AU"/>
              </w:rPr>
            </w:pPr>
            <w:r w:rsidRPr="00E35DAB">
              <w:rPr>
                <w:rFonts w:eastAsia="Times New Roman" w:cs="Times New Roman"/>
                <w:color w:val="000000" w:themeColor="text1"/>
                <w:sz w:val="21"/>
                <w:szCs w:val="53"/>
                <w:lang w:eastAsia="en-AU"/>
              </w:rPr>
              <w:t xml:space="preserve">Police </w:t>
            </w:r>
          </w:p>
        </w:tc>
        <w:tc>
          <w:tcPr>
            <w:tcW w:w="4152" w:type="dxa"/>
          </w:tcPr>
          <w:p w:rsidR="001D140D" w:rsidRPr="00E35DAB" w:rsidRDefault="001D140D" w:rsidP="005129FC">
            <w:p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br/>
              <w:t xml:space="preserve">Full access.  </w:t>
            </w:r>
          </w:p>
        </w:tc>
      </w:tr>
      <w:tr w:rsidR="001D140D" w:rsidRPr="00E35DAB" w:rsidTr="00455CE0">
        <w:trPr>
          <w:trHeight w:val="493"/>
        </w:trPr>
        <w:tc>
          <w:tcPr>
            <w:tcW w:w="5629" w:type="dxa"/>
          </w:tcPr>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the Aged Care Assessment Services (ACAS) </w:t>
            </w:r>
          </w:p>
          <w:p w:rsidR="001D140D" w:rsidRPr="00E35DAB"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Ambulance </w:t>
            </w:r>
          </w:p>
        </w:tc>
        <w:tc>
          <w:tcPr>
            <w:tcW w:w="4152" w:type="dxa"/>
            <w:vMerge w:val="restart"/>
          </w:tcPr>
          <w:p w:rsidR="001D140D" w:rsidRPr="00E35DAB" w:rsidRDefault="001D140D" w:rsidP="005129FC">
            <w:p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t>Access to ‘personal/health’ matter’ details only (not financial/property)</w:t>
            </w:r>
          </w:p>
        </w:tc>
      </w:tr>
      <w:tr w:rsidR="001D140D" w:rsidRPr="00E35DAB" w:rsidTr="00455CE0">
        <w:trPr>
          <w:trHeight w:val="1247"/>
        </w:trPr>
        <w:tc>
          <w:tcPr>
            <w:tcW w:w="5629" w:type="dxa"/>
          </w:tcPr>
          <w:p w:rsidR="001D140D" w:rsidRPr="001F3392" w:rsidRDefault="001D140D" w:rsidP="001D140D">
            <w:pPr>
              <w:pStyle w:val="ListParagraph"/>
              <w:numPr>
                <w:ilvl w:val="0"/>
                <w:numId w:val="3"/>
              </w:numPr>
              <w:rPr>
                <w:rFonts w:eastAsia="Times New Roman" w:cs="Times New Roman"/>
                <w:b/>
                <w:color w:val="000000" w:themeColor="text1"/>
                <w:sz w:val="21"/>
                <w:szCs w:val="53"/>
                <w:lang w:eastAsia="en-AU"/>
              </w:rPr>
            </w:pPr>
            <w:r>
              <w:rPr>
                <w:rFonts w:eastAsia="Times New Roman" w:cs="Times New Roman"/>
                <w:b/>
                <w:color w:val="000000" w:themeColor="text1"/>
                <w:sz w:val="21"/>
                <w:szCs w:val="53"/>
                <w:lang w:eastAsia="en-AU"/>
              </w:rPr>
              <w:t>Other m</w:t>
            </w:r>
            <w:r w:rsidRPr="00E35DAB">
              <w:rPr>
                <w:rFonts w:eastAsia="Times New Roman" w:cs="Times New Roman"/>
                <w:b/>
                <w:color w:val="000000" w:themeColor="text1"/>
                <w:sz w:val="21"/>
                <w:szCs w:val="53"/>
                <w:lang w:eastAsia="en-AU"/>
              </w:rPr>
              <w:t xml:space="preserve">edical: </w:t>
            </w:r>
          </w:p>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the Royal District Nursing Service </w:t>
            </w:r>
          </w:p>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hospitals </w:t>
            </w:r>
          </w:p>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aged care facilities </w:t>
            </w:r>
          </w:p>
          <w:p w:rsidR="001D140D" w:rsidRPr="00E35DAB" w:rsidRDefault="001D140D" w:rsidP="00E35DAB">
            <w:pPr>
              <w:pStyle w:val="ListParagraph"/>
              <w:numPr>
                <w:ilvl w:val="1"/>
                <w:numId w:val="3"/>
              </w:numPr>
              <w:rPr>
                <w:rFonts w:eastAsia="Times New Roman" w:cs="Times New Roman"/>
                <w:b/>
                <w:color w:val="000000" w:themeColor="text1"/>
                <w:sz w:val="21"/>
                <w:szCs w:val="53"/>
                <w:lang w:eastAsia="en-AU"/>
              </w:rPr>
            </w:pPr>
            <w:r w:rsidRPr="00E35DAB">
              <w:rPr>
                <w:rFonts w:eastAsia="Times New Roman" w:cs="Times New Roman"/>
                <w:color w:val="000000" w:themeColor="text1"/>
                <w:sz w:val="21"/>
                <w:szCs w:val="53"/>
                <w:lang w:eastAsia="en-AU"/>
              </w:rPr>
              <w:t xml:space="preserve">medical practitioners </w:t>
            </w:r>
          </w:p>
        </w:tc>
        <w:tc>
          <w:tcPr>
            <w:tcW w:w="4152" w:type="dxa"/>
            <w:vMerge/>
          </w:tcPr>
          <w:p w:rsidR="001D140D" w:rsidRPr="00E35DAB" w:rsidRDefault="001D140D" w:rsidP="005129FC">
            <w:pPr>
              <w:rPr>
                <w:rFonts w:eastAsia="Times New Roman" w:cs="Times New Roman"/>
                <w:color w:val="000000" w:themeColor="text1"/>
                <w:sz w:val="21"/>
                <w:szCs w:val="53"/>
                <w:lang w:eastAsia="en-AU"/>
              </w:rPr>
            </w:pPr>
          </w:p>
        </w:tc>
      </w:tr>
      <w:tr w:rsidR="001D140D" w:rsidRPr="00E35DAB" w:rsidTr="00455CE0">
        <w:trPr>
          <w:trHeight w:val="744"/>
        </w:trPr>
        <w:tc>
          <w:tcPr>
            <w:tcW w:w="5629" w:type="dxa"/>
          </w:tcPr>
          <w:p w:rsidR="001D140D" w:rsidRPr="001F3392" w:rsidRDefault="001D140D" w:rsidP="005129FC">
            <w:pPr>
              <w:pStyle w:val="ListParagraph"/>
              <w:numPr>
                <w:ilvl w:val="0"/>
                <w:numId w:val="3"/>
              </w:numPr>
              <w:rPr>
                <w:rFonts w:eastAsia="Times New Roman" w:cs="Times New Roman"/>
                <w:b/>
                <w:color w:val="000000" w:themeColor="text1"/>
                <w:sz w:val="21"/>
                <w:szCs w:val="53"/>
                <w:lang w:eastAsia="en-AU"/>
              </w:rPr>
            </w:pPr>
            <w:r w:rsidRPr="00E35DAB">
              <w:rPr>
                <w:rFonts w:eastAsia="Times New Roman" w:cs="Times New Roman"/>
                <w:b/>
                <w:color w:val="000000" w:themeColor="text1"/>
                <w:sz w:val="21"/>
                <w:szCs w:val="53"/>
                <w:lang w:eastAsia="en-AU"/>
              </w:rPr>
              <w:t xml:space="preserve">Federal agencies: </w:t>
            </w:r>
          </w:p>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Medicare </w:t>
            </w:r>
          </w:p>
          <w:p w:rsidR="001D140D" w:rsidRPr="00E35DAB" w:rsidRDefault="001D140D" w:rsidP="005129FC">
            <w:pPr>
              <w:pStyle w:val="ListParagraph"/>
              <w:numPr>
                <w:ilvl w:val="1"/>
                <w:numId w:val="3"/>
              </w:numPr>
              <w:rPr>
                <w:rFonts w:eastAsia="Times New Roman" w:cs="Times New Roman"/>
                <w:b/>
                <w:color w:val="000000" w:themeColor="text1"/>
                <w:sz w:val="21"/>
                <w:szCs w:val="53"/>
                <w:lang w:eastAsia="en-AU"/>
              </w:rPr>
            </w:pPr>
            <w:proofErr w:type="spellStart"/>
            <w:r w:rsidRPr="00E35DAB">
              <w:rPr>
                <w:rFonts w:eastAsia="Times New Roman" w:cs="Times New Roman"/>
                <w:color w:val="000000" w:themeColor="text1"/>
                <w:sz w:val="21"/>
                <w:szCs w:val="53"/>
                <w:lang w:eastAsia="en-AU"/>
              </w:rPr>
              <w:t>Centrelink</w:t>
            </w:r>
            <w:proofErr w:type="spellEnd"/>
            <w:r w:rsidRPr="00E35DAB">
              <w:rPr>
                <w:rFonts w:eastAsia="Times New Roman" w:cs="Times New Roman"/>
                <w:color w:val="000000" w:themeColor="text1"/>
                <w:sz w:val="21"/>
                <w:szCs w:val="53"/>
                <w:lang w:eastAsia="en-AU"/>
              </w:rPr>
              <w:t xml:space="preserve"> [&amp; DVA] </w:t>
            </w:r>
          </w:p>
        </w:tc>
        <w:tc>
          <w:tcPr>
            <w:tcW w:w="4152" w:type="dxa"/>
          </w:tcPr>
          <w:p w:rsidR="001D140D" w:rsidRDefault="001D140D" w:rsidP="005129FC">
            <w:pPr>
              <w:rPr>
                <w:rFonts w:eastAsia="Times New Roman" w:cs="Times New Roman"/>
                <w:color w:val="000000" w:themeColor="text1"/>
                <w:sz w:val="21"/>
                <w:szCs w:val="53"/>
                <w:lang w:eastAsia="en-AU"/>
              </w:rPr>
            </w:pPr>
          </w:p>
          <w:p w:rsidR="001D140D" w:rsidRPr="00E35DAB" w:rsidRDefault="001D140D" w:rsidP="005129FC">
            <w:p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t>Full access</w:t>
            </w:r>
          </w:p>
        </w:tc>
      </w:tr>
      <w:tr w:rsidR="001D140D" w:rsidRPr="00E35DAB" w:rsidTr="00455CE0">
        <w:trPr>
          <w:trHeight w:val="744"/>
        </w:trPr>
        <w:tc>
          <w:tcPr>
            <w:tcW w:w="5629" w:type="dxa"/>
          </w:tcPr>
          <w:p w:rsidR="001D140D" w:rsidRPr="001F3392" w:rsidRDefault="001D140D" w:rsidP="005129FC">
            <w:pPr>
              <w:pStyle w:val="ListParagraph"/>
              <w:numPr>
                <w:ilvl w:val="0"/>
                <w:numId w:val="3"/>
              </w:numPr>
              <w:rPr>
                <w:rFonts w:eastAsia="Times New Roman" w:cs="Times New Roman"/>
                <w:b/>
                <w:color w:val="000000" w:themeColor="text1"/>
                <w:sz w:val="21"/>
                <w:szCs w:val="53"/>
                <w:lang w:eastAsia="en-AU"/>
              </w:rPr>
            </w:pPr>
            <w:r w:rsidRPr="00E35DAB">
              <w:rPr>
                <w:rFonts w:eastAsia="Times New Roman" w:cs="Times New Roman"/>
                <w:b/>
                <w:color w:val="000000" w:themeColor="text1"/>
                <w:sz w:val="21"/>
                <w:szCs w:val="53"/>
                <w:lang w:eastAsia="en-AU"/>
              </w:rPr>
              <w:t xml:space="preserve">Financial: </w:t>
            </w:r>
          </w:p>
          <w:p w:rsidR="001D140D" w:rsidRPr="001F3392" w:rsidRDefault="001D140D" w:rsidP="00D956A4">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 xml:space="preserve">banks and other financial institutions </w:t>
            </w:r>
          </w:p>
          <w:p w:rsidR="001D140D" w:rsidRPr="00E35DAB" w:rsidRDefault="001D140D" w:rsidP="00D956A4">
            <w:pPr>
              <w:pStyle w:val="ListParagraph"/>
              <w:numPr>
                <w:ilvl w:val="1"/>
                <w:numId w:val="3"/>
              </w:numPr>
              <w:rPr>
                <w:rFonts w:eastAsia="Times New Roman" w:cs="Times New Roman"/>
                <w:b/>
                <w:color w:val="000000" w:themeColor="text1"/>
                <w:sz w:val="21"/>
                <w:szCs w:val="53"/>
                <w:lang w:eastAsia="en-AU"/>
              </w:rPr>
            </w:pPr>
            <w:r w:rsidRPr="00E35DAB">
              <w:rPr>
                <w:rFonts w:eastAsia="Times New Roman" w:cs="Times New Roman"/>
                <w:color w:val="000000" w:themeColor="text1"/>
                <w:sz w:val="21"/>
                <w:szCs w:val="53"/>
                <w:lang w:eastAsia="en-AU"/>
              </w:rPr>
              <w:t xml:space="preserve">insurance companies </w:t>
            </w:r>
          </w:p>
        </w:tc>
        <w:tc>
          <w:tcPr>
            <w:tcW w:w="4152" w:type="dxa"/>
          </w:tcPr>
          <w:p w:rsidR="001D140D" w:rsidRPr="00E35DAB" w:rsidRDefault="001D140D" w:rsidP="001F3392">
            <w:p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br/>
              <w:t xml:space="preserve">Access only where the principal appears to lack decision making capacity.  </w:t>
            </w:r>
          </w:p>
        </w:tc>
      </w:tr>
      <w:tr w:rsidR="001D140D" w:rsidRPr="00E35DAB" w:rsidTr="00455CE0">
        <w:trPr>
          <w:trHeight w:val="1247"/>
        </w:trPr>
        <w:tc>
          <w:tcPr>
            <w:tcW w:w="5629" w:type="dxa"/>
          </w:tcPr>
          <w:p w:rsidR="001D140D" w:rsidRPr="001F3392" w:rsidRDefault="001D140D" w:rsidP="005129FC">
            <w:pPr>
              <w:pStyle w:val="ListParagraph"/>
              <w:numPr>
                <w:ilvl w:val="0"/>
                <w:numId w:val="3"/>
              </w:numPr>
              <w:rPr>
                <w:rFonts w:eastAsia="Times New Roman" w:cs="Times New Roman"/>
                <w:b/>
                <w:color w:val="000000" w:themeColor="text1"/>
                <w:sz w:val="21"/>
                <w:szCs w:val="53"/>
                <w:lang w:eastAsia="en-AU"/>
              </w:rPr>
            </w:pPr>
            <w:r w:rsidRPr="00E35DAB">
              <w:rPr>
                <w:rFonts w:eastAsia="Times New Roman" w:cs="Times New Roman"/>
                <w:b/>
                <w:color w:val="000000" w:themeColor="text1"/>
                <w:sz w:val="21"/>
                <w:szCs w:val="53"/>
                <w:lang w:eastAsia="en-AU"/>
              </w:rPr>
              <w:t xml:space="preserve">Judicial / investigative / legal: </w:t>
            </w:r>
          </w:p>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Courts and Tribunals</w:t>
            </w:r>
          </w:p>
          <w:p w:rsidR="001D140D" w:rsidRPr="001F3392" w:rsidRDefault="001D140D" w:rsidP="00D956A4">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Coroner</w:t>
            </w:r>
            <w:r>
              <w:rPr>
                <w:rFonts w:eastAsia="Times New Roman" w:cs="Times New Roman"/>
                <w:color w:val="000000" w:themeColor="text1"/>
                <w:sz w:val="21"/>
                <w:szCs w:val="53"/>
                <w:lang w:eastAsia="en-AU"/>
              </w:rPr>
              <w:t xml:space="preserve"> </w:t>
            </w:r>
          </w:p>
          <w:p w:rsidR="001D140D" w:rsidRPr="001F3392" w:rsidRDefault="001D140D" w:rsidP="005129FC">
            <w:pPr>
              <w:pStyle w:val="ListParagraph"/>
              <w:numPr>
                <w:ilvl w:val="1"/>
                <w:numId w:val="3"/>
              </w:numPr>
              <w:rPr>
                <w:rFonts w:eastAsia="Times New Roman" w:cs="Times New Roman"/>
                <w:color w:val="000000" w:themeColor="text1"/>
                <w:sz w:val="21"/>
                <w:szCs w:val="53"/>
                <w:lang w:eastAsia="en-AU"/>
              </w:rPr>
            </w:pPr>
            <w:r w:rsidRPr="00E35DAB">
              <w:rPr>
                <w:rFonts w:eastAsia="Times New Roman" w:cs="Times New Roman"/>
                <w:color w:val="000000" w:themeColor="text1"/>
                <w:sz w:val="21"/>
                <w:szCs w:val="53"/>
                <w:lang w:eastAsia="en-AU"/>
              </w:rPr>
              <w:t>State/Federal police</w:t>
            </w:r>
            <w:r>
              <w:rPr>
                <w:rFonts w:eastAsia="Times New Roman" w:cs="Times New Roman"/>
                <w:color w:val="000000" w:themeColor="text1"/>
                <w:sz w:val="21"/>
                <w:szCs w:val="53"/>
                <w:lang w:eastAsia="en-AU"/>
              </w:rPr>
              <w:t xml:space="preserve"> </w:t>
            </w:r>
          </w:p>
          <w:p w:rsidR="001D140D" w:rsidRPr="00E35DAB" w:rsidRDefault="001D140D" w:rsidP="005129FC">
            <w:pPr>
              <w:pStyle w:val="ListParagraph"/>
              <w:numPr>
                <w:ilvl w:val="1"/>
                <w:numId w:val="3"/>
              </w:numPr>
              <w:rPr>
                <w:rFonts w:eastAsia="Times New Roman" w:cs="Times New Roman"/>
                <w:b/>
                <w:color w:val="000000" w:themeColor="text1"/>
                <w:sz w:val="21"/>
                <w:szCs w:val="53"/>
                <w:lang w:eastAsia="en-AU"/>
              </w:rPr>
            </w:pPr>
            <w:r w:rsidRPr="00E35DAB">
              <w:rPr>
                <w:rFonts w:eastAsia="Times New Roman" w:cs="Times New Roman"/>
                <w:color w:val="000000" w:themeColor="text1"/>
                <w:sz w:val="21"/>
                <w:szCs w:val="53"/>
                <w:lang w:eastAsia="en-AU"/>
              </w:rPr>
              <w:t>Public advocate/guardian</w:t>
            </w:r>
            <w:r>
              <w:rPr>
                <w:rFonts w:eastAsia="Times New Roman" w:cs="Times New Roman"/>
                <w:color w:val="000000" w:themeColor="text1"/>
                <w:sz w:val="21"/>
                <w:szCs w:val="53"/>
                <w:lang w:eastAsia="en-AU"/>
              </w:rPr>
              <w:t xml:space="preserve"> </w:t>
            </w:r>
          </w:p>
        </w:tc>
        <w:tc>
          <w:tcPr>
            <w:tcW w:w="4152" w:type="dxa"/>
          </w:tcPr>
          <w:p w:rsidR="001D140D" w:rsidRDefault="001D140D" w:rsidP="005129FC">
            <w:pPr>
              <w:rPr>
                <w:rFonts w:eastAsia="Times New Roman" w:cs="Times New Roman"/>
                <w:color w:val="000000" w:themeColor="text1"/>
                <w:sz w:val="21"/>
                <w:szCs w:val="53"/>
                <w:lang w:eastAsia="en-AU"/>
              </w:rPr>
            </w:pPr>
          </w:p>
          <w:p w:rsidR="001D140D" w:rsidRDefault="001D140D" w:rsidP="005129FC">
            <w:pPr>
              <w:rPr>
                <w:rFonts w:eastAsia="Times New Roman" w:cs="Times New Roman"/>
                <w:color w:val="000000" w:themeColor="text1"/>
                <w:sz w:val="21"/>
                <w:szCs w:val="53"/>
                <w:lang w:eastAsia="en-AU"/>
              </w:rPr>
            </w:pPr>
          </w:p>
          <w:p w:rsidR="001D140D" w:rsidRPr="00E35DAB" w:rsidRDefault="001D140D" w:rsidP="001F3392">
            <w:p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t xml:space="preserve">Full access </w:t>
            </w:r>
          </w:p>
        </w:tc>
      </w:tr>
      <w:tr w:rsidR="001D140D" w:rsidRPr="00E35DAB" w:rsidTr="00D956A4">
        <w:tc>
          <w:tcPr>
            <w:tcW w:w="5629" w:type="dxa"/>
          </w:tcPr>
          <w:p w:rsidR="001D140D" w:rsidRPr="00E35DAB" w:rsidRDefault="001D140D" w:rsidP="001F3392">
            <w:pPr>
              <w:pStyle w:val="ListParagraph"/>
              <w:numPr>
                <w:ilvl w:val="1"/>
                <w:numId w:val="3"/>
              </w:num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t>Public Trustees</w:t>
            </w:r>
            <w:r w:rsidRPr="00E35DAB">
              <w:rPr>
                <w:rFonts w:eastAsia="Times New Roman" w:cs="Times New Roman"/>
                <w:color w:val="000000" w:themeColor="text1"/>
                <w:sz w:val="21"/>
                <w:szCs w:val="53"/>
                <w:lang w:eastAsia="en-AU"/>
              </w:rPr>
              <w:t xml:space="preserve"> </w:t>
            </w:r>
          </w:p>
        </w:tc>
        <w:tc>
          <w:tcPr>
            <w:tcW w:w="4152" w:type="dxa"/>
            <w:vMerge w:val="restart"/>
          </w:tcPr>
          <w:p w:rsidR="001D140D" w:rsidRPr="00E35DAB" w:rsidRDefault="001D140D" w:rsidP="00E35DAB">
            <w:pPr>
              <w:rPr>
                <w:rFonts w:eastAsia="Times New Roman" w:cs="Times New Roman"/>
                <w:color w:val="000000" w:themeColor="text1"/>
                <w:sz w:val="21"/>
                <w:szCs w:val="53"/>
                <w:lang w:eastAsia="en-AU"/>
              </w:rPr>
            </w:pPr>
            <w:r>
              <w:rPr>
                <w:rFonts w:eastAsia="Times New Roman" w:cs="Times New Roman"/>
                <w:color w:val="000000" w:themeColor="text1"/>
                <w:sz w:val="21"/>
                <w:szCs w:val="53"/>
                <w:lang w:eastAsia="en-AU"/>
              </w:rPr>
              <w:t xml:space="preserve">Access where the principal is instructing in relation to a will or enduring  appointment     </w:t>
            </w:r>
          </w:p>
        </w:tc>
      </w:tr>
      <w:tr w:rsidR="001D140D" w:rsidRPr="00E35DAB" w:rsidTr="00D956A4">
        <w:tc>
          <w:tcPr>
            <w:tcW w:w="5629" w:type="dxa"/>
          </w:tcPr>
          <w:p w:rsidR="001D140D" w:rsidRDefault="001D140D" w:rsidP="00D956A4">
            <w:pPr>
              <w:pStyle w:val="ListParagraph"/>
              <w:numPr>
                <w:ilvl w:val="1"/>
                <w:numId w:val="3"/>
              </w:numPr>
              <w:rPr>
                <w:rFonts w:eastAsia="Times New Roman" w:cs="Times New Roman"/>
                <w:color w:val="000000" w:themeColor="text1"/>
                <w:sz w:val="21"/>
                <w:szCs w:val="53"/>
                <w:lang w:eastAsia="en-AU"/>
              </w:rPr>
            </w:pPr>
            <w:r w:rsidRPr="002E6A3A">
              <w:rPr>
                <w:rFonts w:eastAsia="Times New Roman" w:cs="Times New Roman"/>
                <w:color w:val="000000" w:themeColor="text1"/>
                <w:sz w:val="21"/>
                <w:szCs w:val="53"/>
                <w:lang w:eastAsia="en-AU"/>
              </w:rPr>
              <w:t>Legal practitioner</w:t>
            </w:r>
          </w:p>
        </w:tc>
        <w:tc>
          <w:tcPr>
            <w:tcW w:w="4152" w:type="dxa"/>
            <w:vMerge/>
          </w:tcPr>
          <w:p w:rsidR="001D140D" w:rsidRDefault="001D140D" w:rsidP="001D140D">
            <w:pPr>
              <w:rPr>
                <w:rFonts w:eastAsia="Times New Roman" w:cs="Times New Roman"/>
                <w:color w:val="000000" w:themeColor="text1"/>
                <w:sz w:val="21"/>
                <w:szCs w:val="53"/>
                <w:lang w:eastAsia="en-AU"/>
              </w:rPr>
            </w:pPr>
          </w:p>
        </w:tc>
      </w:tr>
    </w:tbl>
    <w:p w:rsidR="009E5F6C" w:rsidRDefault="009E5F6C" w:rsidP="009E5F6C">
      <w:pPr>
        <w:rPr>
          <w:color w:val="7030A0"/>
        </w:rPr>
      </w:pPr>
    </w:p>
    <w:p w:rsidR="009E5F6C" w:rsidRPr="00E35DAB" w:rsidRDefault="00206A72" w:rsidP="009E5F6C">
      <w:pPr>
        <w:rPr>
          <w:color w:val="000000" w:themeColor="text1"/>
        </w:rPr>
      </w:pPr>
      <w:r w:rsidRPr="00E35DAB">
        <w:rPr>
          <w:color w:val="000000" w:themeColor="text1"/>
        </w:rPr>
        <w:t xml:space="preserve">Again, to avoid discouraging use of enduring appointments, the scope of any access where there is no express consent of the person would require very careful delineation.  </w:t>
      </w:r>
      <w:r w:rsidR="009E5F6C" w:rsidRPr="00E35DAB">
        <w:rPr>
          <w:color w:val="000000" w:themeColor="text1"/>
        </w:rPr>
        <w:t xml:space="preserve">There </w:t>
      </w:r>
      <w:r w:rsidR="001D140D" w:rsidRPr="00E35DAB">
        <w:rPr>
          <w:color w:val="000000" w:themeColor="text1"/>
        </w:rPr>
        <w:t xml:space="preserve">would </w:t>
      </w:r>
      <w:r w:rsidRPr="00E35DAB">
        <w:rPr>
          <w:color w:val="000000" w:themeColor="text1"/>
        </w:rPr>
        <w:t xml:space="preserve">also </w:t>
      </w:r>
      <w:r w:rsidR="009E5F6C" w:rsidRPr="00E35DAB">
        <w:rPr>
          <w:color w:val="000000" w:themeColor="text1"/>
        </w:rPr>
        <w:t xml:space="preserve">need to be </w:t>
      </w:r>
      <w:r w:rsidR="001D140D" w:rsidRPr="00E35DAB">
        <w:rPr>
          <w:color w:val="000000" w:themeColor="text1"/>
        </w:rPr>
        <w:t xml:space="preserve">strict </w:t>
      </w:r>
      <w:r w:rsidR="009E5F6C" w:rsidRPr="00E35DAB">
        <w:rPr>
          <w:color w:val="000000" w:themeColor="text1"/>
        </w:rPr>
        <w:t xml:space="preserve">consequences for abuse of the right to access the </w:t>
      </w:r>
      <w:r w:rsidRPr="00E35DAB">
        <w:rPr>
          <w:color w:val="000000" w:themeColor="text1"/>
        </w:rPr>
        <w:t>register, and t</w:t>
      </w:r>
      <w:r w:rsidR="009E5F6C" w:rsidRPr="00E35DAB">
        <w:rPr>
          <w:color w:val="000000" w:themeColor="text1"/>
        </w:rPr>
        <w:t xml:space="preserve">hose with a right of access </w:t>
      </w:r>
      <w:r w:rsidR="001D140D" w:rsidRPr="00E35DAB">
        <w:rPr>
          <w:color w:val="000000" w:themeColor="text1"/>
        </w:rPr>
        <w:t xml:space="preserve">would </w:t>
      </w:r>
      <w:r w:rsidR="009E5F6C" w:rsidRPr="00E35DAB">
        <w:rPr>
          <w:color w:val="000000" w:themeColor="text1"/>
        </w:rPr>
        <w:t>need to be accountable for each search performed.</w:t>
      </w:r>
    </w:p>
    <w:p w:rsidR="009E5F6C" w:rsidRDefault="009E5F6C" w:rsidP="009E5F6C">
      <w:pPr>
        <w:rPr>
          <w:color w:val="C45911" w:themeColor="accent2" w:themeShade="BF"/>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Question 5–2 </w:t>
      </w:r>
      <w:r w:rsidR="00006F8A">
        <w:rPr>
          <w:rFonts w:eastAsia="Times New Roman" w:cs="Arial"/>
          <w:b/>
          <w:bCs/>
          <w:i/>
          <w:color w:val="000000" w:themeColor="text1"/>
          <w:lang w:eastAsia="en-AU"/>
        </w:rPr>
        <w:br/>
      </w:r>
      <w:proofErr w:type="gramStart"/>
      <w:r w:rsidRPr="00E35DAB">
        <w:rPr>
          <w:rFonts w:eastAsia="Times New Roman" w:cs="Arial"/>
          <w:i/>
          <w:color w:val="000000" w:themeColor="text1"/>
          <w:lang w:eastAsia="en-AU"/>
        </w:rPr>
        <w:t>Should</w:t>
      </w:r>
      <w:proofErr w:type="gramEnd"/>
      <w:r w:rsidRPr="00E35DAB">
        <w:rPr>
          <w:rFonts w:eastAsia="Times New Roman" w:cs="Arial"/>
          <w:i/>
          <w:color w:val="000000" w:themeColor="text1"/>
          <w:lang w:eastAsia="en-AU"/>
        </w:rPr>
        <w:t xml:space="preserve"> public advocates and public guardians have the power to conduct random checks of enduring attorneys’ management of principals’ financial affairs?</w:t>
      </w:r>
    </w:p>
    <w:p w:rsidR="009E5F6C" w:rsidRDefault="009E5F6C" w:rsidP="009E5F6C"/>
    <w:p w:rsidR="009E5F6C" w:rsidRDefault="009E5F6C" w:rsidP="009E5F6C">
      <w:pPr>
        <w:outlineLvl w:val="1"/>
        <w:rPr>
          <w:rFonts w:eastAsia="Times New Roman" w:cs="Arial"/>
          <w:bCs/>
          <w:color w:val="C45911" w:themeColor="accent2" w:themeShade="BF"/>
          <w:lang w:eastAsia="en-AU"/>
        </w:rPr>
      </w:pPr>
      <w:r w:rsidRPr="0043691B">
        <w:rPr>
          <w:rFonts w:eastAsia="Times New Roman" w:cs="Arial"/>
          <w:bCs/>
          <w:lang w:eastAsia="en-AU"/>
        </w:rPr>
        <w:t>I</w:t>
      </w:r>
      <w:r w:rsidRPr="008D3CAF">
        <w:rPr>
          <w:rFonts w:eastAsia="Times New Roman" w:cs="Arial"/>
          <w:bCs/>
          <w:lang w:eastAsia="en-AU"/>
        </w:rPr>
        <w:t xml:space="preserve">n Victoria, </w:t>
      </w:r>
      <w:r w:rsidRPr="0043691B">
        <w:rPr>
          <w:rFonts w:eastAsia="Times New Roman" w:cs="Arial"/>
          <w:bCs/>
          <w:lang w:eastAsia="en-AU"/>
        </w:rPr>
        <w:t>VCAT has the power to order examinations and audits of an attorney’s management of the principal’s financial affairs, but such orders are not ‘</w:t>
      </w:r>
      <w:r w:rsidRPr="008D3CAF">
        <w:rPr>
          <w:rFonts w:eastAsia="Times New Roman" w:cs="Arial"/>
          <w:bCs/>
          <w:lang w:eastAsia="en-AU"/>
        </w:rPr>
        <w:t>random</w:t>
      </w:r>
      <w:r w:rsidRPr="0043691B">
        <w:rPr>
          <w:rFonts w:eastAsia="Times New Roman" w:cs="Arial"/>
          <w:bCs/>
          <w:lang w:eastAsia="en-AU"/>
        </w:rPr>
        <w:t xml:space="preserve">’. An </w:t>
      </w:r>
      <w:r w:rsidRPr="0043691B">
        <w:rPr>
          <w:rFonts w:eastAsia="Times New Roman" w:cs="Arial"/>
          <w:bCs/>
          <w:lang w:eastAsia="en-AU"/>
        </w:rPr>
        <w:lastRenderedPageBreak/>
        <w:t xml:space="preserve">examination or audit, if ordered, would be performed by an accountant or auditor. </w:t>
      </w:r>
      <w:r w:rsidR="00006F8A">
        <w:rPr>
          <w:rFonts w:eastAsia="Times New Roman" w:cs="Arial"/>
          <w:bCs/>
          <w:lang w:eastAsia="en-AU"/>
        </w:rPr>
        <w:t xml:space="preserve"> </w:t>
      </w:r>
      <w:r w:rsidRPr="0043691B">
        <w:rPr>
          <w:rFonts w:eastAsia="Times New Roman" w:cs="Arial"/>
          <w:bCs/>
          <w:lang w:eastAsia="en-AU"/>
        </w:rPr>
        <w:t xml:space="preserve">The Office of Public Advocate is currently not sufficiently resourced or skilled to perform such examinations or audits. </w:t>
      </w:r>
      <w:r w:rsidR="00006F8A">
        <w:rPr>
          <w:rFonts w:eastAsia="Times New Roman" w:cs="Arial"/>
          <w:bCs/>
          <w:lang w:eastAsia="en-AU"/>
        </w:rPr>
        <w:t xml:space="preserve"> </w:t>
      </w:r>
      <w:r w:rsidRPr="0043691B">
        <w:rPr>
          <w:rFonts w:eastAsia="Times New Roman" w:cs="Arial"/>
          <w:bCs/>
          <w:lang w:eastAsia="en-AU"/>
        </w:rPr>
        <w:t xml:space="preserve">The scope of a ‘random check’ </w:t>
      </w:r>
      <w:r w:rsidR="00006F8A">
        <w:rPr>
          <w:rFonts w:eastAsia="Times New Roman" w:cs="Arial"/>
          <w:bCs/>
          <w:lang w:eastAsia="en-AU"/>
        </w:rPr>
        <w:t xml:space="preserve">is likely to </w:t>
      </w:r>
      <w:r w:rsidRPr="0043691B">
        <w:rPr>
          <w:rFonts w:eastAsia="Times New Roman" w:cs="Arial"/>
          <w:bCs/>
          <w:lang w:eastAsia="en-AU"/>
        </w:rPr>
        <w:t>be of lesser scope than an ‘examination’ or ‘audit’</w:t>
      </w:r>
      <w:r w:rsidR="00006F8A">
        <w:rPr>
          <w:rFonts w:eastAsia="Times New Roman" w:cs="Arial"/>
          <w:bCs/>
          <w:lang w:eastAsia="en-AU"/>
        </w:rPr>
        <w:t xml:space="preserve">, meaning that </w:t>
      </w:r>
      <w:r w:rsidRPr="0043691B">
        <w:rPr>
          <w:rFonts w:eastAsia="Times New Roman" w:cs="Arial"/>
          <w:bCs/>
          <w:lang w:eastAsia="en-AU"/>
        </w:rPr>
        <w:t xml:space="preserve">the result may be misleading or provide false comfort.  Nevertheless the prospect of a random check would </w:t>
      </w:r>
      <w:r w:rsidR="00006F8A">
        <w:rPr>
          <w:rFonts w:eastAsia="Times New Roman" w:cs="Arial"/>
          <w:bCs/>
          <w:lang w:eastAsia="en-AU"/>
        </w:rPr>
        <w:t xml:space="preserve">most likely </w:t>
      </w:r>
      <w:r w:rsidRPr="0043691B">
        <w:rPr>
          <w:rFonts w:eastAsia="Times New Roman" w:cs="Arial"/>
          <w:bCs/>
          <w:lang w:eastAsia="en-AU"/>
        </w:rPr>
        <w:t xml:space="preserve">have a deterrent effect on attorneys who are otherwise tempted to engage in financial abuse.  </w:t>
      </w:r>
    </w:p>
    <w:p w:rsidR="009E5F6C" w:rsidRDefault="009E5F6C" w:rsidP="009E5F6C">
      <w:pPr>
        <w:outlineLvl w:val="1"/>
        <w:rPr>
          <w:rFonts w:eastAsia="Times New Roman" w:cs="Arial"/>
          <w:bCs/>
          <w:lang w:eastAsia="en-AU"/>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5–4 </w:t>
      </w:r>
      <w:r w:rsidR="00006F8A">
        <w:rPr>
          <w:rFonts w:eastAsia="Times New Roman" w:cs="Arial"/>
          <w:b/>
          <w:bCs/>
          <w:i/>
          <w:color w:val="000000" w:themeColor="text1"/>
          <w:lang w:eastAsia="en-AU"/>
        </w:rPr>
        <w:br/>
      </w:r>
      <w:r w:rsidRPr="00E35DAB">
        <w:rPr>
          <w:rFonts w:eastAsia="Times New Roman" w:cs="Arial"/>
          <w:i/>
          <w:color w:val="000000" w:themeColor="text1"/>
          <w:lang w:eastAsia="en-AU"/>
        </w:rPr>
        <w:t>Enduring documents should be witnessed by two independent witnesses, one of whom must be either a:</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(a) </w:t>
      </w:r>
      <w:proofErr w:type="gramStart"/>
      <w:r w:rsidRPr="00E35DAB">
        <w:rPr>
          <w:rFonts w:eastAsia="Times New Roman" w:cs="Arial"/>
          <w:i/>
          <w:color w:val="000000" w:themeColor="text1"/>
          <w:lang w:eastAsia="en-AU"/>
        </w:rPr>
        <w:t>legal</w:t>
      </w:r>
      <w:proofErr w:type="gramEnd"/>
      <w:r w:rsidRPr="00E35DAB">
        <w:rPr>
          <w:rFonts w:eastAsia="Times New Roman" w:cs="Arial"/>
          <w:i/>
          <w:color w:val="000000" w:themeColor="text1"/>
          <w:lang w:eastAsia="en-AU"/>
        </w:rPr>
        <w:t xml:space="preserve"> practitioner;</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(b) </w:t>
      </w:r>
      <w:proofErr w:type="gramStart"/>
      <w:r w:rsidRPr="00E35DAB">
        <w:rPr>
          <w:rFonts w:eastAsia="Times New Roman" w:cs="Arial"/>
          <w:i/>
          <w:color w:val="000000" w:themeColor="text1"/>
          <w:lang w:eastAsia="en-AU"/>
        </w:rPr>
        <w:t>medical</w:t>
      </w:r>
      <w:proofErr w:type="gramEnd"/>
      <w:r w:rsidRPr="00E35DAB">
        <w:rPr>
          <w:rFonts w:eastAsia="Times New Roman" w:cs="Arial"/>
          <w:i/>
          <w:color w:val="000000" w:themeColor="text1"/>
          <w:lang w:eastAsia="en-AU"/>
        </w:rPr>
        <w:t xml:space="preserve"> practitioner;</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(c) </w:t>
      </w:r>
      <w:proofErr w:type="gramStart"/>
      <w:r w:rsidRPr="00E35DAB">
        <w:rPr>
          <w:rFonts w:eastAsia="Times New Roman" w:cs="Arial"/>
          <w:i/>
          <w:color w:val="000000" w:themeColor="text1"/>
          <w:lang w:eastAsia="en-AU"/>
        </w:rPr>
        <w:t>justice</w:t>
      </w:r>
      <w:proofErr w:type="gramEnd"/>
      <w:r w:rsidRPr="00E35DAB">
        <w:rPr>
          <w:rFonts w:eastAsia="Times New Roman" w:cs="Arial"/>
          <w:i/>
          <w:color w:val="000000" w:themeColor="text1"/>
          <w:lang w:eastAsia="en-AU"/>
        </w:rPr>
        <w:t xml:space="preserve"> of the peace;</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(d) </w:t>
      </w:r>
      <w:proofErr w:type="gramStart"/>
      <w:r w:rsidRPr="00E35DAB">
        <w:rPr>
          <w:rFonts w:eastAsia="Times New Roman" w:cs="Arial"/>
          <w:i/>
          <w:color w:val="000000" w:themeColor="text1"/>
          <w:lang w:eastAsia="en-AU"/>
        </w:rPr>
        <w:t>registrar</w:t>
      </w:r>
      <w:proofErr w:type="gramEnd"/>
      <w:r w:rsidRPr="00E35DAB">
        <w:rPr>
          <w:rFonts w:eastAsia="Times New Roman" w:cs="Arial"/>
          <w:i/>
          <w:color w:val="000000" w:themeColor="text1"/>
          <w:lang w:eastAsia="en-AU"/>
        </w:rPr>
        <w:t xml:space="preserve"> of the Local/Magistrates Court; or</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(e) </w:t>
      </w:r>
      <w:proofErr w:type="gramStart"/>
      <w:r w:rsidRPr="00E35DAB">
        <w:rPr>
          <w:rFonts w:eastAsia="Times New Roman" w:cs="Arial"/>
          <w:i/>
          <w:color w:val="000000" w:themeColor="text1"/>
          <w:lang w:eastAsia="en-AU"/>
        </w:rPr>
        <w:t>police</w:t>
      </w:r>
      <w:proofErr w:type="gramEnd"/>
      <w:r w:rsidRPr="00E35DAB">
        <w:rPr>
          <w:rFonts w:eastAsia="Times New Roman" w:cs="Arial"/>
          <w:i/>
          <w:color w:val="000000" w:themeColor="text1"/>
          <w:lang w:eastAsia="en-AU"/>
        </w:rPr>
        <w:t xml:space="preserve"> officer holding the rank of sergeant or above.</w:t>
      </w:r>
    </w:p>
    <w:p w:rsidR="009E5F6C" w:rsidRPr="00E35DAB" w:rsidRDefault="009E5F6C" w:rsidP="009E5F6C">
      <w:pPr>
        <w:rPr>
          <w:rFonts w:eastAsia="Times New Roman" w:cs="Arial"/>
          <w:i/>
          <w:color w:val="000000" w:themeColor="text1"/>
          <w:lang w:eastAsia="en-AU"/>
        </w:rPr>
      </w:pP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Each witness should certify that:</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(a) </w:t>
      </w:r>
      <w:proofErr w:type="gramStart"/>
      <w:r w:rsidRPr="00E35DAB">
        <w:rPr>
          <w:rFonts w:eastAsia="Times New Roman" w:cs="Arial"/>
          <w:i/>
          <w:color w:val="000000" w:themeColor="text1"/>
          <w:lang w:eastAsia="en-AU"/>
        </w:rPr>
        <w:t>the</w:t>
      </w:r>
      <w:proofErr w:type="gramEnd"/>
      <w:r w:rsidRPr="00E35DAB">
        <w:rPr>
          <w:rFonts w:eastAsia="Times New Roman" w:cs="Arial"/>
          <w:i/>
          <w:color w:val="000000" w:themeColor="text1"/>
          <w:lang w:eastAsia="en-AU"/>
        </w:rPr>
        <w:t xml:space="preserve"> principal appeared to freely and voluntarily sign in their presence;</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(b) </w:t>
      </w:r>
      <w:proofErr w:type="gramStart"/>
      <w:r w:rsidRPr="00E35DAB">
        <w:rPr>
          <w:rFonts w:eastAsia="Times New Roman" w:cs="Arial"/>
          <w:i/>
          <w:color w:val="000000" w:themeColor="text1"/>
          <w:lang w:eastAsia="en-AU"/>
        </w:rPr>
        <w:t>the</w:t>
      </w:r>
      <w:proofErr w:type="gramEnd"/>
      <w:r w:rsidRPr="00E35DAB">
        <w:rPr>
          <w:rFonts w:eastAsia="Times New Roman" w:cs="Arial"/>
          <w:i/>
          <w:color w:val="000000" w:themeColor="text1"/>
          <w:lang w:eastAsia="en-AU"/>
        </w:rPr>
        <w:t xml:space="preserve"> principal appeared to understand the nature of the document; and</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(c) </w:t>
      </w:r>
      <w:proofErr w:type="gramStart"/>
      <w:r w:rsidRPr="00E35DAB">
        <w:rPr>
          <w:rFonts w:eastAsia="Times New Roman" w:cs="Arial"/>
          <w:i/>
          <w:color w:val="000000" w:themeColor="text1"/>
          <w:lang w:eastAsia="en-AU"/>
        </w:rPr>
        <w:t>the</w:t>
      </w:r>
      <w:proofErr w:type="gramEnd"/>
      <w:r w:rsidRPr="00E35DAB">
        <w:rPr>
          <w:rFonts w:eastAsia="Times New Roman" w:cs="Arial"/>
          <w:i/>
          <w:color w:val="000000" w:themeColor="text1"/>
          <w:lang w:eastAsia="en-AU"/>
        </w:rPr>
        <w:t xml:space="preserve"> enduring attorney or enduring guardian appeared to freely and voluntarily sign in their presence.</w:t>
      </w:r>
    </w:p>
    <w:p w:rsidR="009E5F6C" w:rsidRPr="008D3CAF" w:rsidRDefault="009E5F6C" w:rsidP="009E5F6C"/>
    <w:p w:rsidR="009E5F6C" w:rsidRPr="008D3CAF" w:rsidRDefault="001A3709" w:rsidP="009E5F6C">
      <w:pPr>
        <w:outlineLvl w:val="1"/>
        <w:rPr>
          <w:rFonts w:eastAsia="Times New Roman" w:cs="Arial"/>
          <w:bCs/>
          <w:lang w:eastAsia="en-AU"/>
        </w:rPr>
      </w:pPr>
      <w:r>
        <w:rPr>
          <w:rFonts w:eastAsia="Times New Roman" w:cs="Arial"/>
          <w:bCs/>
          <w:lang w:eastAsia="en-AU"/>
        </w:rPr>
        <w:t>State Trustees</w:t>
      </w:r>
      <w:r w:rsidR="009E5F6C" w:rsidRPr="0043691B">
        <w:rPr>
          <w:rFonts w:eastAsia="Times New Roman" w:cs="Arial"/>
          <w:bCs/>
          <w:lang w:eastAsia="en-AU"/>
        </w:rPr>
        <w:t xml:space="preserve"> favours the requirements as established by the </w:t>
      </w:r>
      <w:r w:rsidR="009E5F6C" w:rsidRPr="0043691B">
        <w:rPr>
          <w:rFonts w:eastAsia="Times New Roman" w:cs="Arial"/>
          <w:bCs/>
          <w:i/>
          <w:lang w:eastAsia="en-AU"/>
        </w:rPr>
        <w:t xml:space="preserve">Powers of Attorney Act 2014 </w:t>
      </w:r>
      <w:r w:rsidR="009E5F6C" w:rsidRPr="0043691B">
        <w:rPr>
          <w:rFonts w:eastAsia="Times New Roman" w:cs="Arial"/>
          <w:bCs/>
          <w:lang w:eastAsia="en-AU"/>
        </w:rPr>
        <w:t>(Vic).</w:t>
      </w:r>
      <w:r w:rsidR="009E5F6C" w:rsidRPr="008D3CAF">
        <w:rPr>
          <w:rFonts w:eastAsia="Times New Roman" w:cs="Arial"/>
          <w:bCs/>
          <w:lang w:eastAsia="en-AU"/>
        </w:rPr>
        <w:t xml:space="preserve"> Of the two witnesses, one must be either a witness authorised to witness affidavits or a medical practitioner. </w:t>
      </w:r>
    </w:p>
    <w:p w:rsidR="009E5F6C" w:rsidRPr="008D3CAF" w:rsidRDefault="009E5F6C" w:rsidP="009E5F6C">
      <w:pPr>
        <w:outlineLvl w:val="1"/>
        <w:rPr>
          <w:rFonts w:eastAsia="Times New Roman" w:cs="Arial"/>
          <w:bCs/>
          <w:lang w:eastAsia="en-AU"/>
        </w:rPr>
      </w:pPr>
    </w:p>
    <w:p w:rsidR="009E5F6C" w:rsidRPr="008D3CAF" w:rsidRDefault="009E5F6C" w:rsidP="009E5F6C">
      <w:pPr>
        <w:outlineLvl w:val="1"/>
        <w:rPr>
          <w:rFonts w:eastAsia="Times New Roman" w:cs="Arial"/>
          <w:bCs/>
          <w:lang w:eastAsia="en-AU"/>
        </w:rPr>
      </w:pPr>
      <w:r w:rsidRPr="008D3CAF">
        <w:rPr>
          <w:rFonts w:eastAsia="Times New Roman" w:cs="Arial"/>
          <w:bCs/>
          <w:lang w:eastAsia="en-AU"/>
        </w:rPr>
        <w:t>The witnesses must confirm that:</w:t>
      </w:r>
    </w:p>
    <w:p w:rsidR="009E5F6C" w:rsidRPr="008D3CAF" w:rsidRDefault="009E5F6C" w:rsidP="009E5F6C">
      <w:pPr>
        <w:numPr>
          <w:ilvl w:val="0"/>
          <w:numId w:val="1"/>
        </w:numPr>
        <w:ind w:left="357" w:hanging="357"/>
        <w:outlineLvl w:val="1"/>
        <w:rPr>
          <w:rFonts w:eastAsia="Times New Roman" w:cs="Arial"/>
          <w:bCs/>
          <w:lang w:eastAsia="en-AU"/>
        </w:rPr>
      </w:pPr>
      <w:r w:rsidRPr="008D3CAF">
        <w:rPr>
          <w:rFonts w:eastAsia="Times New Roman" w:cs="Arial"/>
          <w:bCs/>
          <w:lang w:eastAsia="en-AU"/>
        </w:rPr>
        <w:t>the principal appeared to freely and voluntarily sign in their presence; and</w:t>
      </w:r>
    </w:p>
    <w:p w:rsidR="009E5F6C" w:rsidRPr="008D3CAF" w:rsidRDefault="009E5F6C" w:rsidP="009E5F6C">
      <w:pPr>
        <w:numPr>
          <w:ilvl w:val="0"/>
          <w:numId w:val="1"/>
        </w:numPr>
        <w:ind w:left="357" w:hanging="357"/>
        <w:outlineLvl w:val="1"/>
        <w:rPr>
          <w:rFonts w:eastAsia="Times New Roman" w:cs="Arial"/>
          <w:bCs/>
          <w:lang w:eastAsia="en-AU"/>
        </w:rPr>
      </w:pPr>
      <w:proofErr w:type="gramStart"/>
      <w:r w:rsidRPr="008D3CAF">
        <w:rPr>
          <w:rFonts w:eastAsia="Times New Roman" w:cs="Arial"/>
          <w:bCs/>
          <w:lang w:eastAsia="en-AU"/>
        </w:rPr>
        <w:t>that</w:t>
      </w:r>
      <w:proofErr w:type="gramEnd"/>
      <w:r w:rsidRPr="008D3CAF">
        <w:rPr>
          <w:rFonts w:eastAsia="Times New Roman" w:cs="Arial"/>
          <w:bCs/>
          <w:lang w:eastAsia="en-AU"/>
        </w:rPr>
        <w:t>, at the time the principal signed the instrument, the principal appeared to have decision making capacity in relation to the making of the enduring power of attorney.</w:t>
      </w:r>
    </w:p>
    <w:p w:rsidR="009E5F6C" w:rsidRPr="008D3CAF" w:rsidRDefault="009E5F6C" w:rsidP="009E5F6C">
      <w:pPr>
        <w:outlineLvl w:val="1"/>
        <w:rPr>
          <w:rFonts w:eastAsia="Times New Roman" w:cs="Arial"/>
          <w:bCs/>
          <w:lang w:eastAsia="en-AU"/>
        </w:rPr>
      </w:pPr>
    </w:p>
    <w:p w:rsidR="009E5F6C" w:rsidRPr="0043691B" w:rsidRDefault="009E5F6C" w:rsidP="009E5F6C">
      <w:pPr>
        <w:outlineLvl w:val="1"/>
        <w:rPr>
          <w:rFonts w:eastAsia="Times New Roman" w:cs="Arial"/>
          <w:bCs/>
          <w:color w:val="C45911" w:themeColor="accent2" w:themeShade="BF"/>
          <w:lang w:eastAsia="en-AU"/>
        </w:rPr>
      </w:pPr>
      <w:r w:rsidRPr="008D3CAF">
        <w:rPr>
          <w:rFonts w:eastAsia="Times New Roman" w:cs="Arial"/>
          <w:bCs/>
          <w:lang w:eastAsia="en-AU"/>
        </w:rPr>
        <w:t>The attorney can sign their acceptance later</w:t>
      </w:r>
      <w:r w:rsidRPr="0043691B">
        <w:rPr>
          <w:rFonts w:eastAsia="Times New Roman" w:cs="Arial"/>
          <w:bCs/>
          <w:lang w:eastAsia="en-AU"/>
        </w:rPr>
        <w:t xml:space="preserve">. </w:t>
      </w:r>
    </w:p>
    <w:p w:rsidR="009E5F6C" w:rsidRDefault="009E5F6C" w:rsidP="009E5F6C"/>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5–5 </w:t>
      </w:r>
      <w:r w:rsidR="00006F8A">
        <w:rPr>
          <w:rFonts w:eastAsia="Times New Roman" w:cs="Arial"/>
          <w:b/>
          <w:bCs/>
          <w:i/>
          <w:color w:val="000000" w:themeColor="text1"/>
          <w:lang w:eastAsia="en-AU"/>
        </w:rPr>
        <w:br/>
      </w:r>
      <w:r w:rsidRPr="00E35DAB">
        <w:rPr>
          <w:rFonts w:eastAsia="Times New Roman" w:cs="Arial"/>
          <w:i/>
          <w:color w:val="000000" w:themeColor="text1"/>
          <w:lang w:eastAsia="en-AU"/>
        </w:rPr>
        <w:t>State and territory tribunals should be vested with the power to order that enduring attorneys and enduring guardians or court and tribunal appointed guardians and financial administrators pay compensation where the loss was caused by that person’s failure to comply with their obligations under the relevant Act.</w:t>
      </w:r>
    </w:p>
    <w:p w:rsidR="009E5F6C" w:rsidRDefault="009E5F6C" w:rsidP="009E5F6C">
      <w:pPr>
        <w:outlineLvl w:val="1"/>
      </w:pPr>
    </w:p>
    <w:p w:rsidR="009E5F6C" w:rsidRPr="00442C3C" w:rsidRDefault="001A3709" w:rsidP="009E5F6C">
      <w:pPr>
        <w:outlineLvl w:val="1"/>
      </w:pPr>
      <w:r>
        <w:t>State Trustees</w:t>
      </w:r>
      <w:r w:rsidR="009E5F6C">
        <w:t xml:space="preserve"> supports this </w:t>
      </w:r>
      <w:r>
        <w:t>proposal</w:t>
      </w:r>
      <w:r w:rsidR="009E5F6C">
        <w:t xml:space="preserve">. Section 77 of the </w:t>
      </w:r>
      <w:r w:rsidR="009E5F6C">
        <w:rPr>
          <w:i/>
        </w:rPr>
        <w:t xml:space="preserve">Powers of Attorney Act 2014 </w:t>
      </w:r>
      <w:r w:rsidR="009E5F6C">
        <w:t xml:space="preserve">(Vic) provides an example.  </w:t>
      </w:r>
    </w:p>
    <w:p w:rsidR="009E5F6C" w:rsidRDefault="009E5F6C" w:rsidP="009E5F6C"/>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5–6 </w:t>
      </w:r>
      <w:r w:rsidR="00006F8A">
        <w:rPr>
          <w:rFonts w:eastAsia="Times New Roman" w:cs="Arial"/>
          <w:b/>
          <w:bCs/>
          <w:i/>
          <w:color w:val="000000" w:themeColor="text1"/>
          <w:lang w:eastAsia="en-AU"/>
        </w:rPr>
        <w:br/>
      </w:r>
      <w:r w:rsidRPr="00E35DAB">
        <w:rPr>
          <w:rFonts w:eastAsia="Times New Roman" w:cs="Arial"/>
          <w:i/>
          <w:color w:val="000000" w:themeColor="text1"/>
          <w:lang w:eastAsia="en-AU"/>
        </w:rPr>
        <w:t>Laws governing enduring powers of attorney should provide that an attorney must not enter into a transaction where there is, or may be, a conflict between the attorney’s duty to the principal and the interests of the attorney (or a relative, business associate or close friend of the attorney), unless:</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(a) </w:t>
      </w:r>
      <w:proofErr w:type="gramStart"/>
      <w:r w:rsidRPr="00E35DAB">
        <w:rPr>
          <w:rFonts w:eastAsia="Times New Roman" w:cs="Arial"/>
          <w:i/>
          <w:color w:val="000000" w:themeColor="text1"/>
          <w:lang w:eastAsia="en-AU"/>
        </w:rPr>
        <w:t>the</w:t>
      </w:r>
      <w:proofErr w:type="gramEnd"/>
      <w:r w:rsidRPr="00E35DAB">
        <w:rPr>
          <w:rFonts w:eastAsia="Times New Roman" w:cs="Arial"/>
          <w:i/>
          <w:color w:val="000000" w:themeColor="text1"/>
          <w:lang w:eastAsia="en-AU"/>
        </w:rPr>
        <w:t xml:space="preserve"> principal foresaw the particular type of conflict and gave express authorisation in the enduring power of attorney document; or</w:t>
      </w:r>
    </w:p>
    <w:p w:rsidR="009E5F6C" w:rsidRPr="00E35DAB" w:rsidRDefault="009E5F6C" w:rsidP="009E5F6C">
      <w:pPr>
        <w:rPr>
          <w:color w:val="000000" w:themeColor="text1"/>
        </w:rPr>
      </w:pPr>
      <w:r w:rsidRPr="00E35DAB">
        <w:rPr>
          <w:rFonts w:eastAsia="Times New Roman" w:cs="Arial"/>
          <w:i/>
          <w:color w:val="000000" w:themeColor="text1"/>
          <w:lang w:eastAsia="en-AU"/>
        </w:rPr>
        <w:t xml:space="preserve">(b) </w:t>
      </w:r>
      <w:proofErr w:type="gramStart"/>
      <w:r w:rsidRPr="00E35DAB">
        <w:rPr>
          <w:rFonts w:eastAsia="Times New Roman" w:cs="Arial"/>
          <w:i/>
          <w:color w:val="000000" w:themeColor="text1"/>
          <w:lang w:eastAsia="en-AU"/>
        </w:rPr>
        <w:t>a</w:t>
      </w:r>
      <w:proofErr w:type="gramEnd"/>
      <w:r w:rsidRPr="00E35DAB">
        <w:rPr>
          <w:rFonts w:eastAsia="Times New Roman" w:cs="Arial"/>
          <w:i/>
          <w:color w:val="000000" w:themeColor="text1"/>
          <w:lang w:eastAsia="en-AU"/>
        </w:rPr>
        <w:t xml:space="preserve"> tribunal has authorised the transaction before it is entered into.</w:t>
      </w:r>
    </w:p>
    <w:p w:rsidR="009E5F6C" w:rsidRPr="0043691B" w:rsidRDefault="009E5F6C" w:rsidP="009E5F6C">
      <w:pPr>
        <w:rPr>
          <w:rFonts w:eastAsia="Times New Roman" w:cs="Arial"/>
          <w:bCs/>
          <w:lang w:eastAsia="en-AU"/>
        </w:rPr>
      </w:pPr>
    </w:p>
    <w:p w:rsidR="009E5F6C" w:rsidRPr="0043691B" w:rsidRDefault="009E5F6C" w:rsidP="009E5F6C">
      <w:pPr>
        <w:rPr>
          <w:rFonts w:eastAsia="Times New Roman" w:cs="Arial"/>
          <w:bCs/>
          <w:lang w:eastAsia="en-AU"/>
        </w:rPr>
      </w:pPr>
      <w:r w:rsidRPr="0043691B">
        <w:rPr>
          <w:rFonts w:eastAsia="Times New Roman" w:cs="Arial"/>
          <w:bCs/>
          <w:lang w:eastAsia="en-AU"/>
        </w:rPr>
        <w:t xml:space="preserve">It would be very difficult to prove retrospectively whether someone ‘foresaw’ a particular conflict. </w:t>
      </w:r>
      <w:r w:rsidR="001A3709">
        <w:rPr>
          <w:rFonts w:eastAsia="Times New Roman" w:cs="Arial"/>
          <w:bCs/>
          <w:lang w:eastAsia="en-AU"/>
        </w:rPr>
        <w:t>State Trustees</w:t>
      </w:r>
      <w:r w:rsidRPr="0043691B">
        <w:rPr>
          <w:rFonts w:eastAsia="Times New Roman" w:cs="Arial"/>
          <w:bCs/>
          <w:lang w:eastAsia="en-AU"/>
        </w:rPr>
        <w:t xml:space="preserve"> </w:t>
      </w:r>
      <w:r w:rsidRPr="00656B99">
        <w:rPr>
          <w:rFonts w:eastAsia="Times New Roman" w:cs="Arial"/>
          <w:bCs/>
          <w:lang w:eastAsia="en-AU"/>
        </w:rPr>
        <w:t xml:space="preserve">therefore </w:t>
      </w:r>
      <w:r w:rsidRPr="0043691B">
        <w:rPr>
          <w:rFonts w:eastAsia="Times New Roman" w:cs="Arial"/>
          <w:bCs/>
          <w:lang w:eastAsia="en-AU"/>
        </w:rPr>
        <w:t xml:space="preserve">prefers the existing law in Victoria under ss. 64 and 65 of the </w:t>
      </w:r>
      <w:r w:rsidRPr="0043691B">
        <w:rPr>
          <w:rFonts w:eastAsia="Times New Roman" w:cs="Arial"/>
          <w:bCs/>
          <w:i/>
          <w:lang w:eastAsia="en-AU"/>
        </w:rPr>
        <w:t xml:space="preserve">Powers of Attorney Act 2014 </w:t>
      </w:r>
      <w:r w:rsidRPr="0043691B">
        <w:rPr>
          <w:rFonts w:eastAsia="Times New Roman" w:cs="Arial"/>
          <w:bCs/>
          <w:lang w:eastAsia="en-AU"/>
        </w:rPr>
        <w:t xml:space="preserve">(Vic). The authorisation for the conflicted transaction can </w:t>
      </w:r>
      <w:r w:rsidRPr="0043691B">
        <w:rPr>
          <w:rFonts w:eastAsia="Times New Roman" w:cs="Arial"/>
          <w:bCs/>
          <w:lang w:eastAsia="en-AU"/>
        </w:rPr>
        <w:lastRenderedPageBreak/>
        <w:t xml:space="preserve">occur other than in the document itself, and the Tribunal can retrospectively authorise a conflicted transaction. </w:t>
      </w:r>
    </w:p>
    <w:p w:rsidR="009E5F6C" w:rsidRDefault="009E5F6C" w:rsidP="009E5F6C">
      <w:pPr>
        <w:rPr>
          <w:rFonts w:eastAsia="Times New Roman" w:cs="Arial"/>
          <w:bCs/>
          <w:color w:val="C45911" w:themeColor="accent2" w:themeShade="BF"/>
          <w:lang w:eastAsia="en-AU"/>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5–7 </w:t>
      </w:r>
      <w:r w:rsidR="00006F8A">
        <w:rPr>
          <w:rFonts w:eastAsia="Times New Roman" w:cs="Arial"/>
          <w:b/>
          <w:bCs/>
          <w:i/>
          <w:color w:val="000000" w:themeColor="text1"/>
          <w:lang w:eastAsia="en-AU"/>
        </w:rPr>
        <w:br/>
      </w:r>
      <w:r w:rsidRPr="00E35DAB">
        <w:rPr>
          <w:rFonts w:eastAsia="Times New Roman" w:cs="Arial"/>
          <w:i/>
          <w:color w:val="000000" w:themeColor="text1"/>
          <w:lang w:eastAsia="en-AU"/>
        </w:rPr>
        <w:t>A person should be ineligible to be an enduring attorney if the person:</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(a) </w:t>
      </w:r>
      <w:proofErr w:type="gramStart"/>
      <w:r w:rsidRPr="00E35DAB">
        <w:rPr>
          <w:rFonts w:eastAsia="Times New Roman" w:cs="Arial"/>
          <w:i/>
          <w:color w:val="000000" w:themeColor="text1"/>
          <w:lang w:eastAsia="en-AU"/>
        </w:rPr>
        <w:t>is</w:t>
      </w:r>
      <w:proofErr w:type="gramEnd"/>
      <w:r w:rsidRPr="00E35DAB">
        <w:rPr>
          <w:rFonts w:eastAsia="Times New Roman" w:cs="Arial"/>
          <w:i/>
          <w:color w:val="000000" w:themeColor="text1"/>
          <w:lang w:eastAsia="en-AU"/>
        </w:rPr>
        <w:t xml:space="preserve"> an undischarged bankrupt;</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(b) </w:t>
      </w:r>
      <w:proofErr w:type="gramStart"/>
      <w:r w:rsidRPr="00E35DAB">
        <w:rPr>
          <w:rFonts w:eastAsia="Times New Roman" w:cs="Arial"/>
          <w:i/>
          <w:color w:val="000000" w:themeColor="text1"/>
          <w:lang w:eastAsia="en-AU"/>
        </w:rPr>
        <w:t>is</w:t>
      </w:r>
      <w:proofErr w:type="gramEnd"/>
      <w:r w:rsidRPr="00E35DAB">
        <w:rPr>
          <w:rFonts w:eastAsia="Times New Roman" w:cs="Arial"/>
          <w:i/>
          <w:color w:val="000000" w:themeColor="text1"/>
          <w:lang w:eastAsia="en-AU"/>
        </w:rPr>
        <w:t xml:space="preserve"> prohibited from acting as a director under the </w:t>
      </w:r>
      <w:r w:rsidRPr="00E35DAB">
        <w:rPr>
          <w:rFonts w:eastAsia="Times New Roman" w:cs="Arial"/>
          <w:i/>
          <w:iCs/>
          <w:color w:val="000000" w:themeColor="text1"/>
          <w:lang w:eastAsia="en-AU"/>
        </w:rPr>
        <w:t>Corporations Act 2001</w:t>
      </w:r>
      <w:r w:rsidRPr="00E35DAB">
        <w:rPr>
          <w:rFonts w:eastAsia="Times New Roman" w:cs="Arial"/>
          <w:i/>
          <w:color w:val="000000" w:themeColor="text1"/>
          <w:lang w:eastAsia="en-AU"/>
        </w:rPr>
        <w:t xml:space="preserve"> (</w:t>
      </w:r>
      <w:proofErr w:type="spellStart"/>
      <w:r w:rsidRPr="00E35DAB">
        <w:rPr>
          <w:rFonts w:eastAsia="Times New Roman" w:cs="Arial"/>
          <w:i/>
          <w:color w:val="000000" w:themeColor="text1"/>
          <w:lang w:eastAsia="en-AU"/>
        </w:rPr>
        <w:t>Cth</w:t>
      </w:r>
      <w:proofErr w:type="spellEnd"/>
      <w:r w:rsidRPr="00E35DAB">
        <w:rPr>
          <w:rFonts w:eastAsia="Times New Roman" w:cs="Arial"/>
          <w:i/>
          <w:color w:val="000000" w:themeColor="text1"/>
          <w:lang w:eastAsia="en-AU"/>
        </w:rPr>
        <w:t>);</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(c) </w:t>
      </w:r>
      <w:proofErr w:type="gramStart"/>
      <w:r w:rsidRPr="00E35DAB">
        <w:rPr>
          <w:rFonts w:eastAsia="Times New Roman" w:cs="Arial"/>
          <w:i/>
          <w:color w:val="000000" w:themeColor="text1"/>
          <w:lang w:eastAsia="en-AU"/>
        </w:rPr>
        <w:t>has</w:t>
      </w:r>
      <w:proofErr w:type="gramEnd"/>
      <w:r w:rsidRPr="00E35DAB">
        <w:rPr>
          <w:rFonts w:eastAsia="Times New Roman" w:cs="Arial"/>
          <w:i/>
          <w:color w:val="000000" w:themeColor="text1"/>
          <w:lang w:eastAsia="en-AU"/>
        </w:rPr>
        <w:t xml:space="preserve"> been convicted of an offence involving fraud or dishonesty; or</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(d) </w:t>
      </w:r>
      <w:proofErr w:type="gramStart"/>
      <w:r w:rsidRPr="00E35DAB">
        <w:rPr>
          <w:rFonts w:eastAsia="Times New Roman" w:cs="Arial"/>
          <w:i/>
          <w:color w:val="000000" w:themeColor="text1"/>
          <w:lang w:eastAsia="en-AU"/>
        </w:rPr>
        <w:t>is</w:t>
      </w:r>
      <w:proofErr w:type="gramEnd"/>
      <w:r w:rsidRPr="00E35DAB">
        <w:rPr>
          <w:rFonts w:eastAsia="Times New Roman" w:cs="Arial"/>
          <w:i/>
          <w:color w:val="000000" w:themeColor="text1"/>
          <w:lang w:eastAsia="en-AU"/>
        </w:rPr>
        <w:t>, or has been, a care worker, a health provider or an accommodation provider for the principal.</w:t>
      </w:r>
    </w:p>
    <w:p w:rsidR="009E5F6C" w:rsidRDefault="009E5F6C" w:rsidP="009E5F6C"/>
    <w:p w:rsidR="009E5F6C" w:rsidRDefault="001A3709" w:rsidP="009E5F6C">
      <w:pPr>
        <w:outlineLvl w:val="1"/>
        <w:rPr>
          <w:rFonts w:eastAsia="Times New Roman" w:cs="Arial"/>
          <w:bCs/>
          <w:lang w:eastAsia="en-AU"/>
        </w:rPr>
      </w:pPr>
      <w:r>
        <w:rPr>
          <w:rFonts w:eastAsia="Times New Roman" w:cs="Arial"/>
          <w:bCs/>
          <w:lang w:eastAsia="en-AU"/>
        </w:rPr>
        <w:t>State Trustees’</w:t>
      </w:r>
      <w:r w:rsidR="009E5F6C">
        <w:rPr>
          <w:rFonts w:eastAsia="Times New Roman" w:cs="Arial"/>
          <w:bCs/>
          <w:lang w:eastAsia="en-AU"/>
        </w:rPr>
        <w:t xml:space="preserve"> position on </w:t>
      </w:r>
      <w:r w:rsidR="00006F8A">
        <w:rPr>
          <w:rFonts w:eastAsia="Times New Roman" w:cs="Arial"/>
          <w:bCs/>
          <w:lang w:eastAsia="en-AU"/>
        </w:rPr>
        <w:t xml:space="preserve">items (a) to (d) of </w:t>
      </w:r>
      <w:r w:rsidR="009E5F6C">
        <w:rPr>
          <w:rFonts w:eastAsia="Times New Roman" w:cs="Arial"/>
          <w:bCs/>
          <w:lang w:eastAsia="en-AU"/>
        </w:rPr>
        <w:t>th</w:t>
      </w:r>
      <w:r w:rsidR="00006F8A">
        <w:rPr>
          <w:rFonts w:eastAsia="Times New Roman" w:cs="Arial"/>
          <w:bCs/>
          <w:lang w:eastAsia="en-AU"/>
        </w:rPr>
        <w:t xml:space="preserve">is </w:t>
      </w:r>
      <w:r>
        <w:rPr>
          <w:rFonts w:eastAsia="Times New Roman" w:cs="Arial"/>
          <w:bCs/>
          <w:lang w:eastAsia="en-AU"/>
        </w:rPr>
        <w:t>proposal</w:t>
      </w:r>
      <w:r w:rsidR="009E5F6C">
        <w:rPr>
          <w:rFonts w:eastAsia="Times New Roman" w:cs="Arial"/>
          <w:bCs/>
          <w:lang w:eastAsia="en-AU"/>
        </w:rPr>
        <w:t xml:space="preserve"> is as follows:</w:t>
      </w:r>
      <w:r w:rsidR="00006F8A">
        <w:rPr>
          <w:rFonts w:eastAsia="Times New Roman" w:cs="Arial"/>
          <w:bCs/>
          <w:lang w:eastAsia="en-AU"/>
        </w:rPr>
        <w:br/>
      </w:r>
      <w:r w:rsidR="009E5F6C">
        <w:rPr>
          <w:rFonts w:eastAsia="Times New Roman" w:cs="Arial"/>
          <w:bCs/>
          <w:lang w:eastAsia="en-AU"/>
        </w:rPr>
        <w:t xml:space="preserve"> </w:t>
      </w:r>
    </w:p>
    <w:p w:rsidR="009E5F6C" w:rsidRPr="0043691B" w:rsidRDefault="009E5F6C" w:rsidP="00E35DAB">
      <w:pPr>
        <w:pStyle w:val="ListParagraph"/>
        <w:numPr>
          <w:ilvl w:val="0"/>
          <w:numId w:val="4"/>
        </w:numPr>
        <w:ind w:left="357" w:hanging="357"/>
        <w:outlineLvl w:val="1"/>
        <w:rPr>
          <w:rFonts w:eastAsia="Times New Roman" w:cs="Arial"/>
          <w:bCs/>
          <w:lang w:eastAsia="en-AU"/>
        </w:rPr>
      </w:pPr>
      <w:r w:rsidRPr="0043691B">
        <w:rPr>
          <w:rFonts w:eastAsia="Times New Roman" w:cs="Arial"/>
          <w:bCs/>
          <w:lang w:eastAsia="en-AU"/>
        </w:rPr>
        <w:t>This is identical to s. 28(1</w:t>
      </w:r>
      <w:proofErr w:type="gramStart"/>
      <w:r w:rsidRPr="0043691B">
        <w:rPr>
          <w:rFonts w:eastAsia="Times New Roman" w:cs="Arial"/>
          <w:bCs/>
          <w:lang w:eastAsia="en-AU"/>
        </w:rPr>
        <w:t>)(</w:t>
      </w:r>
      <w:proofErr w:type="gramEnd"/>
      <w:r w:rsidRPr="0043691B">
        <w:rPr>
          <w:rFonts w:eastAsia="Times New Roman" w:cs="Arial"/>
          <w:bCs/>
          <w:lang w:eastAsia="en-AU"/>
        </w:rPr>
        <w:t xml:space="preserve">b) of the </w:t>
      </w:r>
      <w:r w:rsidRPr="0043691B">
        <w:rPr>
          <w:rFonts w:eastAsia="Times New Roman" w:cs="Arial"/>
          <w:bCs/>
          <w:i/>
          <w:lang w:eastAsia="en-AU"/>
        </w:rPr>
        <w:t xml:space="preserve">Powers of Attorney Act 2014 </w:t>
      </w:r>
      <w:r w:rsidRPr="0043691B">
        <w:rPr>
          <w:rFonts w:eastAsia="Times New Roman" w:cs="Arial"/>
          <w:bCs/>
          <w:lang w:eastAsia="en-AU"/>
        </w:rPr>
        <w:t xml:space="preserve">(Vic). </w:t>
      </w:r>
      <w:r w:rsidR="001A3709">
        <w:rPr>
          <w:rFonts w:eastAsia="Times New Roman" w:cs="Arial"/>
          <w:bCs/>
          <w:lang w:eastAsia="en-AU"/>
        </w:rPr>
        <w:t>State Trustees</w:t>
      </w:r>
      <w:r w:rsidRPr="0043691B">
        <w:rPr>
          <w:rFonts w:eastAsia="Times New Roman" w:cs="Arial"/>
          <w:bCs/>
          <w:lang w:eastAsia="en-AU"/>
        </w:rPr>
        <w:t xml:space="preserve"> supports this provision.</w:t>
      </w:r>
      <w:r w:rsidR="00006F8A">
        <w:rPr>
          <w:rFonts w:eastAsia="Times New Roman" w:cs="Arial"/>
          <w:bCs/>
          <w:lang w:eastAsia="en-AU"/>
        </w:rPr>
        <w:br/>
      </w:r>
    </w:p>
    <w:p w:rsidR="009E5F6C" w:rsidRPr="0043691B" w:rsidRDefault="009E5F6C" w:rsidP="00E35DAB">
      <w:pPr>
        <w:pStyle w:val="ListParagraph"/>
        <w:numPr>
          <w:ilvl w:val="0"/>
          <w:numId w:val="4"/>
        </w:numPr>
        <w:ind w:left="357" w:hanging="357"/>
        <w:outlineLvl w:val="1"/>
        <w:rPr>
          <w:rFonts w:eastAsia="Times New Roman" w:cs="Arial"/>
          <w:bCs/>
          <w:lang w:eastAsia="en-AU"/>
        </w:rPr>
      </w:pPr>
      <w:r w:rsidRPr="0043691B">
        <w:rPr>
          <w:rFonts w:eastAsia="Times New Roman" w:cs="Arial"/>
          <w:bCs/>
          <w:lang w:eastAsia="en-AU"/>
        </w:rPr>
        <w:t xml:space="preserve">This provision has no equivalent in current Victorian law. </w:t>
      </w:r>
      <w:r w:rsidR="001A3709">
        <w:rPr>
          <w:rFonts w:eastAsia="Times New Roman" w:cs="Arial"/>
          <w:bCs/>
          <w:lang w:eastAsia="en-AU"/>
        </w:rPr>
        <w:t>State Trustees</w:t>
      </w:r>
      <w:r w:rsidRPr="0043691B">
        <w:rPr>
          <w:rFonts w:eastAsia="Times New Roman" w:cs="Arial"/>
          <w:bCs/>
          <w:lang w:eastAsia="en-AU"/>
        </w:rPr>
        <w:t xml:space="preserve"> supports it, however, as it would be an effective means of establishing good fame and character using a resource which is already maintained – the ASIC banned and disqualified register.</w:t>
      </w:r>
      <w:r w:rsidR="00006F8A">
        <w:rPr>
          <w:rFonts w:eastAsia="Times New Roman" w:cs="Arial"/>
          <w:bCs/>
          <w:lang w:eastAsia="en-AU"/>
        </w:rPr>
        <w:br/>
      </w:r>
      <w:r w:rsidRPr="0043691B">
        <w:rPr>
          <w:rFonts w:eastAsia="Times New Roman" w:cs="Arial"/>
          <w:bCs/>
          <w:lang w:eastAsia="en-AU"/>
        </w:rPr>
        <w:t xml:space="preserve"> </w:t>
      </w:r>
    </w:p>
    <w:p w:rsidR="00006F8A" w:rsidRDefault="009E5F6C" w:rsidP="00E35DAB">
      <w:pPr>
        <w:pStyle w:val="ListParagraph"/>
        <w:numPr>
          <w:ilvl w:val="0"/>
          <w:numId w:val="4"/>
        </w:numPr>
        <w:ind w:left="357" w:hanging="357"/>
        <w:outlineLvl w:val="1"/>
        <w:rPr>
          <w:rFonts w:eastAsia="Times New Roman" w:cs="Arial"/>
          <w:bCs/>
          <w:lang w:eastAsia="en-AU"/>
        </w:rPr>
      </w:pPr>
      <w:r w:rsidRPr="0043691B">
        <w:rPr>
          <w:rFonts w:eastAsia="Times New Roman" w:cs="Arial"/>
          <w:bCs/>
          <w:lang w:eastAsia="en-AU"/>
        </w:rPr>
        <w:t xml:space="preserve">Under s. 28(1)(c) the Act still permits such a person to be appointed if they have disclosed the conviction or finding of guilt to the principal and the disclosure of the conviction or finding of guilt has been recorded in the enduring power of attorney. </w:t>
      </w:r>
      <w:r w:rsidR="001A3709">
        <w:rPr>
          <w:rFonts w:eastAsia="Times New Roman" w:cs="Arial"/>
          <w:bCs/>
          <w:lang w:eastAsia="en-AU"/>
        </w:rPr>
        <w:t>State Trustees</w:t>
      </w:r>
      <w:r w:rsidRPr="0043691B">
        <w:rPr>
          <w:rFonts w:eastAsia="Times New Roman" w:cs="Arial"/>
          <w:bCs/>
          <w:lang w:eastAsia="en-AU"/>
        </w:rPr>
        <w:t xml:space="preserve"> submits that an absolute prohibition on anyone with any conviction of an offence of fraud or dishonesty would be too restrictive. In some cases, excluding all such people may not be in the best interests of the principal or person under administration.</w:t>
      </w:r>
      <w:r w:rsidR="00006F8A">
        <w:rPr>
          <w:rFonts w:eastAsia="Times New Roman" w:cs="Arial"/>
          <w:bCs/>
          <w:lang w:eastAsia="en-AU"/>
        </w:rPr>
        <w:br/>
      </w:r>
    </w:p>
    <w:p w:rsidR="009E5F6C" w:rsidRPr="00E35DAB" w:rsidRDefault="009E5F6C" w:rsidP="00E35DAB">
      <w:pPr>
        <w:pStyle w:val="ListParagraph"/>
        <w:numPr>
          <w:ilvl w:val="0"/>
          <w:numId w:val="4"/>
        </w:numPr>
        <w:ind w:left="357" w:hanging="357"/>
        <w:outlineLvl w:val="1"/>
        <w:rPr>
          <w:rFonts w:eastAsia="Times New Roman" w:cs="Arial"/>
          <w:bCs/>
          <w:lang w:eastAsia="en-AU"/>
        </w:rPr>
      </w:pPr>
      <w:r w:rsidRPr="001F3392">
        <w:rPr>
          <w:rFonts w:eastAsia="Times New Roman" w:cs="Arial"/>
          <w:bCs/>
          <w:lang w:eastAsia="en-AU"/>
        </w:rPr>
        <w:t>This is identical s. 28(1</w:t>
      </w:r>
      <w:proofErr w:type="gramStart"/>
      <w:r w:rsidRPr="001F3392">
        <w:rPr>
          <w:rFonts w:eastAsia="Times New Roman" w:cs="Arial"/>
          <w:bCs/>
          <w:lang w:eastAsia="en-AU"/>
        </w:rPr>
        <w:t>)(</w:t>
      </w:r>
      <w:proofErr w:type="gramEnd"/>
      <w:r w:rsidRPr="001F3392">
        <w:rPr>
          <w:rFonts w:eastAsia="Times New Roman" w:cs="Arial"/>
          <w:bCs/>
          <w:lang w:eastAsia="en-AU"/>
        </w:rPr>
        <w:t xml:space="preserve">d) of the Act. </w:t>
      </w:r>
      <w:r w:rsidR="001A3709" w:rsidRPr="00E35DAB">
        <w:rPr>
          <w:rFonts w:eastAsia="Times New Roman" w:cs="Arial"/>
          <w:bCs/>
          <w:lang w:eastAsia="en-AU"/>
        </w:rPr>
        <w:t>State Trustees</w:t>
      </w:r>
      <w:r w:rsidRPr="00E35DAB">
        <w:rPr>
          <w:rFonts w:eastAsia="Times New Roman" w:cs="Arial"/>
          <w:bCs/>
          <w:lang w:eastAsia="en-AU"/>
        </w:rPr>
        <w:t xml:space="preserve"> supports this provision.</w:t>
      </w:r>
    </w:p>
    <w:p w:rsidR="009E5F6C" w:rsidRDefault="009E5F6C" w:rsidP="009E5F6C"/>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5–8 </w:t>
      </w:r>
      <w:r w:rsidR="00006F8A">
        <w:rPr>
          <w:rFonts w:eastAsia="Times New Roman" w:cs="Arial"/>
          <w:b/>
          <w:bCs/>
          <w:i/>
          <w:color w:val="000000" w:themeColor="text1"/>
          <w:lang w:eastAsia="en-AU"/>
        </w:rPr>
        <w:br/>
      </w:r>
      <w:r w:rsidRPr="00E35DAB">
        <w:rPr>
          <w:rFonts w:eastAsia="Times New Roman" w:cs="Arial"/>
          <w:i/>
          <w:color w:val="000000" w:themeColor="text1"/>
          <w:lang w:eastAsia="en-AU"/>
        </w:rPr>
        <w:t>Legislation governing enduring documents should explicitly list transactions that cannot be completed by an enduring attorney or enduring guardian including:</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(a) </w:t>
      </w:r>
      <w:proofErr w:type="gramStart"/>
      <w:r w:rsidRPr="00E35DAB">
        <w:rPr>
          <w:rFonts w:eastAsia="Times New Roman" w:cs="Arial"/>
          <w:i/>
          <w:color w:val="000000" w:themeColor="text1"/>
          <w:lang w:eastAsia="en-AU"/>
        </w:rPr>
        <w:t>making</w:t>
      </w:r>
      <w:proofErr w:type="gramEnd"/>
      <w:r w:rsidRPr="00E35DAB">
        <w:rPr>
          <w:rFonts w:eastAsia="Times New Roman" w:cs="Arial"/>
          <w:i/>
          <w:color w:val="000000" w:themeColor="text1"/>
          <w:lang w:eastAsia="en-AU"/>
        </w:rPr>
        <w:t xml:space="preserve"> or revoking the principal’s will;</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(b) </w:t>
      </w:r>
      <w:proofErr w:type="gramStart"/>
      <w:r w:rsidRPr="00E35DAB">
        <w:rPr>
          <w:rFonts w:eastAsia="Times New Roman" w:cs="Arial"/>
          <w:i/>
          <w:color w:val="000000" w:themeColor="text1"/>
          <w:lang w:eastAsia="en-AU"/>
        </w:rPr>
        <w:t>making</w:t>
      </w:r>
      <w:proofErr w:type="gramEnd"/>
      <w:r w:rsidRPr="00E35DAB">
        <w:rPr>
          <w:rFonts w:eastAsia="Times New Roman" w:cs="Arial"/>
          <w:i/>
          <w:color w:val="000000" w:themeColor="text1"/>
          <w:lang w:eastAsia="en-AU"/>
        </w:rPr>
        <w:t xml:space="preserve"> or revoking an enduring document on behalf of the principal;</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(c) </w:t>
      </w:r>
      <w:proofErr w:type="gramStart"/>
      <w:r w:rsidRPr="00E35DAB">
        <w:rPr>
          <w:rFonts w:eastAsia="Times New Roman" w:cs="Arial"/>
          <w:i/>
          <w:color w:val="000000" w:themeColor="text1"/>
          <w:lang w:eastAsia="en-AU"/>
        </w:rPr>
        <w:t>voting</w:t>
      </w:r>
      <w:proofErr w:type="gramEnd"/>
      <w:r w:rsidRPr="00E35DAB">
        <w:rPr>
          <w:rFonts w:eastAsia="Times New Roman" w:cs="Arial"/>
          <w:i/>
          <w:color w:val="000000" w:themeColor="text1"/>
          <w:lang w:eastAsia="en-AU"/>
        </w:rPr>
        <w:t xml:space="preserve"> in elections on behalf of the principal;</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(d) </w:t>
      </w:r>
      <w:proofErr w:type="gramStart"/>
      <w:r w:rsidRPr="00E35DAB">
        <w:rPr>
          <w:rFonts w:eastAsia="Times New Roman" w:cs="Arial"/>
          <w:i/>
          <w:color w:val="000000" w:themeColor="text1"/>
          <w:lang w:eastAsia="en-AU"/>
        </w:rPr>
        <w:t>consenting</w:t>
      </w:r>
      <w:proofErr w:type="gramEnd"/>
      <w:r w:rsidRPr="00E35DAB">
        <w:rPr>
          <w:rFonts w:eastAsia="Times New Roman" w:cs="Arial"/>
          <w:i/>
          <w:color w:val="000000" w:themeColor="text1"/>
          <w:lang w:eastAsia="en-AU"/>
        </w:rPr>
        <w:t xml:space="preserve"> to adoption of a child by the principal;</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(e) </w:t>
      </w:r>
      <w:proofErr w:type="gramStart"/>
      <w:r w:rsidRPr="00E35DAB">
        <w:rPr>
          <w:rFonts w:eastAsia="Times New Roman" w:cs="Arial"/>
          <w:i/>
          <w:color w:val="000000" w:themeColor="text1"/>
          <w:lang w:eastAsia="en-AU"/>
        </w:rPr>
        <w:t>consenting</w:t>
      </w:r>
      <w:proofErr w:type="gramEnd"/>
      <w:r w:rsidRPr="00E35DAB">
        <w:rPr>
          <w:rFonts w:eastAsia="Times New Roman" w:cs="Arial"/>
          <w:i/>
          <w:color w:val="000000" w:themeColor="text1"/>
          <w:lang w:eastAsia="en-AU"/>
        </w:rPr>
        <w:t xml:space="preserve"> to marriage or divorce of the principal; or</w:t>
      </w:r>
    </w:p>
    <w:p w:rsidR="009E5F6C" w:rsidRPr="00E35DAB" w:rsidRDefault="009E5F6C" w:rsidP="009E5F6C">
      <w:pPr>
        <w:rPr>
          <w:rFonts w:eastAsia="Times New Roman" w:cs="Arial"/>
          <w:i/>
          <w:color w:val="000000" w:themeColor="text1"/>
          <w:lang w:eastAsia="en-AU"/>
        </w:rPr>
      </w:pPr>
      <w:r w:rsidRPr="00E35DAB">
        <w:rPr>
          <w:rFonts w:eastAsia="Times New Roman" w:cs="Arial"/>
          <w:i/>
          <w:color w:val="000000" w:themeColor="text1"/>
          <w:lang w:eastAsia="en-AU"/>
        </w:rPr>
        <w:t xml:space="preserve">(f)  </w:t>
      </w:r>
      <w:proofErr w:type="gramStart"/>
      <w:r w:rsidRPr="00E35DAB">
        <w:rPr>
          <w:rFonts w:eastAsia="Times New Roman" w:cs="Arial"/>
          <w:i/>
          <w:color w:val="000000" w:themeColor="text1"/>
          <w:lang w:eastAsia="en-AU"/>
        </w:rPr>
        <w:t>consenting</w:t>
      </w:r>
      <w:proofErr w:type="gramEnd"/>
      <w:r w:rsidRPr="00E35DAB">
        <w:rPr>
          <w:rFonts w:eastAsia="Times New Roman" w:cs="Arial"/>
          <w:i/>
          <w:color w:val="000000" w:themeColor="text1"/>
          <w:lang w:eastAsia="en-AU"/>
        </w:rPr>
        <w:t xml:space="preserve"> to the principal entering into a sexual relationship.</w:t>
      </w:r>
    </w:p>
    <w:p w:rsidR="009E5F6C" w:rsidRPr="00E35DAB" w:rsidRDefault="009E5F6C" w:rsidP="009E5F6C">
      <w:pPr>
        <w:rPr>
          <w:color w:val="000000" w:themeColor="text1"/>
        </w:rPr>
      </w:pPr>
    </w:p>
    <w:p w:rsidR="001F2D77" w:rsidRDefault="001A3709" w:rsidP="009E5F6C">
      <w:pPr>
        <w:outlineLvl w:val="1"/>
        <w:rPr>
          <w:rFonts w:eastAsia="Times New Roman" w:cs="Arial"/>
          <w:bCs/>
          <w:lang w:eastAsia="en-AU"/>
        </w:rPr>
      </w:pPr>
      <w:r>
        <w:rPr>
          <w:rFonts w:eastAsia="Times New Roman" w:cs="Arial"/>
          <w:bCs/>
          <w:lang w:eastAsia="en-AU"/>
        </w:rPr>
        <w:t>State Trustees</w:t>
      </w:r>
      <w:r w:rsidR="009E5F6C">
        <w:rPr>
          <w:rFonts w:eastAsia="Times New Roman" w:cs="Arial"/>
          <w:bCs/>
          <w:lang w:eastAsia="en-AU"/>
        </w:rPr>
        <w:t xml:space="preserve"> supports these </w:t>
      </w:r>
      <w:r>
        <w:rPr>
          <w:rFonts w:eastAsia="Times New Roman" w:cs="Arial"/>
          <w:bCs/>
          <w:lang w:eastAsia="en-AU"/>
        </w:rPr>
        <w:t>proposal</w:t>
      </w:r>
      <w:r w:rsidR="009E5F6C">
        <w:rPr>
          <w:rFonts w:eastAsia="Times New Roman" w:cs="Arial"/>
          <w:bCs/>
          <w:lang w:eastAsia="en-AU"/>
        </w:rPr>
        <w:t xml:space="preserve">s.  </w:t>
      </w:r>
    </w:p>
    <w:p w:rsidR="001F2D77" w:rsidRDefault="001F2D77" w:rsidP="009E5F6C">
      <w:pPr>
        <w:outlineLvl w:val="1"/>
        <w:rPr>
          <w:rFonts w:eastAsia="Times New Roman" w:cs="Arial"/>
          <w:bCs/>
          <w:lang w:eastAsia="en-AU"/>
        </w:rPr>
      </w:pPr>
    </w:p>
    <w:p w:rsidR="00E255C9" w:rsidRDefault="009E5F6C" w:rsidP="00E255C9">
      <w:pPr>
        <w:outlineLvl w:val="1"/>
        <w:rPr>
          <w:rFonts w:eastAsia="Times New Roman" w:cs="Arial"/>
          <w:bCs/>
          <w:lang w:eastAsia="en-AU"/>
        </w:rPr>
      </w:pPr>
      <w:r>
        <w:rPr>
          <w:rFonts w:eastAsia="Times New Roman" w:cs="Arial"/>
          <w:bCs/>
          <w:lang w:eastAsia="en-AU"/>
        </w:rPr>
        <w:t>Th</w:t>
      </w:r>
      <w:r w:rsidR="001F2D77">
        <w:rPr>
          <w:rFonts w:eastAsia="Times New Roman" w:cs="Arial"/>
          <w:bCs/>
          <w:lang w:eastAsia="en-AU"/>
        </w:rPr>
        <w:t xml:space="preserve">e proposal in many respects mirrors the equivalent provisions in </w:t>
      </w:r>
      <w:r>
        <w:rPr>
          <w:rFonts w:eastAsia="Times New Roman" w:cs="Arial"/>
          <w:bCs/>
          <w:lang w:eastAsia="en-AU"/>
        </w:rPr>
        <w:t xml:space="preserve">the </w:t>
      </w:r>
      <w:r>
        <w:rPr>
          <w:rFonts w:eastAsia="Times New Roman" w:cs="Arial"/>
          <w:bCs/>
          <w:i/>
          <w:lang w:eastAsia="en-AU"/>
        </w:rPr>
        <w:t xml:space="preserve">Powers of Attorney Act 2014 </w:t>
      </w:r>
      <w:r>
        <w:rPr>
          <w:rFonts w:eastAsia="Times New Roman" w:cs="Arial"/>
          <w:bCs/>
          <w:lang w:eastAsia="en-AU"/>
        </w:rPr>
        <w:t>(Vic), s 26.</w:t>
      </w:r>
      <w:r w:rsidR="001F2D77">
        <w:rPr>
          <w:rFonts w:eastAsia="Times New Roman" w:cs="Arial"/>
          <w:bCs/>
          <w:lang w:eastAsia="en-AU"/>
        </w:rPr>
        <w:t xml:space="preserve">  </w:t>
      </w:r>
    </w:p>
    <w:p w:rsidR="00E255C9" w:rsidRDefault="00E255C9" w:rsidP="00E255C9">
      <w:pPr>
        <w:outlineLvl w:val="1"/>
        <w:rPr>
          <w:rFonts w:eastAsia="Times New Roman" w:cs="Arial"/>
          <w:bCs/>
          <w:lang w:eastAsia="en-AU"/>
        </w:rPr>
      </w:pPr>
    </w:p>
    <w:p w:rsidR="00E255C9" w:rsidRDefault="00E255C9" w:rsidP="00E255C9">
      <w:pPr>
        <w:outlineLvl w:val="1"/>
        <w:rPr>
          <w:rFonts w:eastAsia="Times New Roman" w:cs="Arial"/>
          <w:bCs/>
          <w:lang w:eastAsia="en-AU"/>
        </w:rPr>
      </w:pPr>
      <w:r>
        <w:rPr>
          <w:rFonts w:eastAsia="Times New Roman" w:cs="Arial"/>
          <w:bCs/>
          <w:lang w:eastAsia="en-AU"/>
        </w:rPr>
        <w:t>However, there are further restrictions in the Victorian Act that State Trustees would support, including prohibitions</w:t>
      </w:r>
      <w:r w:rsidR="003A2C6F">
        <w:rPr>
          <w:rFonts w:eastAsia="Times New Roman" w:cs="Arial"/>
          <w:bCs/>
          <w:lang w:eastAsia="en-AU"/>
        </w:rPr>
        <w:t xml:space="preserve"> in regard to</w:t>
      </w:r>
      <w:r>
        <w:rPr>
          <w:rFonts w:eastAsia="Times New Roman" w:cs="Arial"/>
          <w:bCs/>
          <w:lang w:eastAsia="en-AU"/>
        </w:rPr>
        <w:t>:</w:t>
      </w:r>
    </w:p>
    <w:p w:rsidR="00E255C9" w:rsidRDefault="00E255C9" w:rsidP="00E255C9">
      <w:pPr>
        <w:ind w:left="357" w:hanging="357"/>
        <w:contextualSpacing/>
        <w:outlineLvl w:val="1"/>
        <w:rPr>
          <w:rFonts w:eastAsia="Times New Roman" w:cs="Arial"/>
          <w:bCs/>
          <w:lang w:eastAsia="en-AU"/>
        </w:rPr>
      </w:pPr>
    </w:p>
    <w:p w:rsidR="00E255C9" w:rsidRDefault="00E255C9" w:rsidP="00E255C9">
      <w:pPr>
        <w:ind w:left="357" w:hanging="357"/>
        <w:contextualSpacing/>
        <w:outlineLvl w:val="1"/>
        <w:rPr>
          <w:rFonts w:eastAsia="Times New Roman" w:cs="Arial"/>
          <w:bCs/>
          <w:lang w:eastAsia="en-AU"/>
        </w:rPr>
      </w:pPr>
      <w:r>
        <w:rPr>
          <w:rFonts w:eastAsia="Times New Roman" w:cs="Arial"/>
          <w:bCs/>
          <w:lang w:eastAsia="en-AU"/>
        </w:rPr>
        <w:t xml:space="preserve">– </w:t>
      </w:r>
      <w:r w:rsidRPr="0043691B">
        <w:rPr>
          <w:rFonts w:eastAsia="Times New Roman" w:cs="Arial"/>
          <w:bCs/>
          <w:lang w:eastAsia="en-AU"/>
        </w:rPr>
        <w:t>making any decisions about the care of a child</w:t>
      </w:r>
      <w:r>
        <w:rPr>
          <w:rFonts w:eastAsia="Times New Roman" w:cs="Arial"/>
          <w:bCs/>
          <w:lang w:eastAsia="en-AU"/>
        </w:rPr>
        <w:t xml:space="preserve">: s 26(e); </w:t>
      </w:r>
    </w:p>
    <w:p w:rsidR="00E255C9" w:rsidRDefault="00E255C9" w:rsidP="00E255C9">
      <w:pPr>
        <w:ind w:left="357" w:hanging="357"/>
        <w:contextualSpacing/>
        <w:outlineLvl w:val="1"/>
        <w:rPr>
          <w:rFonts w:eastAsia="Times New Roman" w:cs="Arial"/>
          <w:bCs/>
          <w:lang w:eastAsia="en-AU"/>
        </w:rPr>
      </w:pPr>
      <w:r>
        <w:rPr>
          <w:rFonts w:eastAsia="Times New Roman" w:cs="Arial"/>
          <w:bCs/>
          <w:lang w:eastAsia="en-AU"/>
        </w:rPr>
        <w:t xml:space="preserve">– </w:t>
      </w:r>
      <w:proofErr w:type="gramStart"/>
      <w:r>
        <w:rPr>
          <w:rFonts w:eastAsia="Times New Roman" w:cs="Arial"/>
          <w:bCs/>
          <w:lang w:eastAsia="en-AU"/>
        </w:rPr>
        <w:t>surrogacy</w:t>
      </w:r>
      <w:proofErr w:type="gramEnd"/>
      <w:r>
        <w:rPr>
          <w:rFonts w:eastAsia="Times New Roman" w:cs="Arial"/>
          <w:bCs/>
          <w:lang w:eastAsia="en-AU"/>
        </w:rPr>
        <w:t xml:space="preserve">, and substitute parentage: s 26(f) &amp; (g); </w:t>
      </w:r>
    </w:p>
    <w:p w:rsidR="00E255C9" w:rsidRPr="00E35DAB" w:rsidRDefault="00E255C9" w:rsidP="00E35DAB">
      <w:pPr>
        <w:outlineLvl w:val="1"/>
        <w:rPr>
          <w:rFonts w:eastAsia="Times New Roman" w:cs="Arial"/>
          <w:bCs/>
          <w:lang w:eastAsia="en-AU"/>
        </w:rPr>
      </w:pPr>
      <w:r>
        <w:rPr>
          <w:rFonts w:eastAsia="Times New Roman" w:cs="Arial"/>
          <w:bCs/>
          <w:lang w:eastAsia="en-AU"/>
        </w:rPr>
        <w:t xml:space="preserve">– </w:t>
      </w:r>
      <w:r w:rsidRPr="00E35DAB">
        <w:rPr>
          <w:rFonts w:eastAsia="Times New Roman" w:cs="Arial"/>
          <w:bCs/>
          <w:lang w:eastAsia="en-AU"/>
        </w:rPr>
        <w:t xml:space="preserve">managing the deceased estate of the principal: s 26(h); </w:t>
      </w:r>
    </w:p>
    <w:p w:rsidR="00E255C9" w:rsidRDefault="00E255C9" w:rsidP="00E255C9">
      <w:pPr>
        <w:ind w:left="357" w:hanging="357"/>
        <w:contextualSpacing/>
        <w:outlineLvl w:val="1"/>
        <w:rPr>
          <w:rFonts w:eastAsia="Times New Roman" w:cs="Arial"/>
          <w:bCs/>
          <w:lang w:eastAsia="en-AU"/>
        </w:rPr>
      </w:pPr>
      <w:proofErr w:type="gramStart"/>
      <w:r>
        <w:rPr>
          <w:rFonts w:eastAsia="Times New Roman" w:cs="Arial"/>
          <w:bCs/>
          <w:lang w:eastAsia="en-AU"/>
        </w:rPr>
        <w:t>– consenting to an unlawful act: s 26(</w:t>
      </w:r>
      <w:proofErr w:type="spellStart"/>
      <w:r>
        <w:rPr>
          <w:rFonts w:eastAsia="Times New Roman" w:cs="Arial"/>
          <w:bCs/>
          <w:lang w:eastAsia="en-AU"/>
        </w:rPr>
        <w:t>i</w:t>
      </w:r>
      <w:proofErr w:type="spellEnd"/>
      <w:r>
        <w:rPr>
          <w:rFonts w:eastAsia="Times New Roman" w:cs="Arial"/>
          <w:bCs/>
          <w:lang w:eastAsia="en-AU"/>
        </w:rPr>
        <w:t>).</w:t>
      </w:r>
      <w:proofErr w:type="gramEnd"/>
      <w:r>
        <w:rPr>
          <w:rFonts w:eastAsia="Times New Roman" w:cs="Arial"/>
          <w:bCs/>
          <w:lang w:eastAsia="en-AU"/>
        </w:rPr>
        <w:t xml:space="preserve"> </w:t>
      </w:r>
    </w:p>
    <w:p w:rsidR="00E255C9" w:rsidRDefault="00E255C9" w:rsidP="001F3392">
      <w:pPr>
        <w:outlineLvl w:val="1"/>
        <w:rPr>
          <w:rFonts w:eastAsia="Times New Roman" w:cs="Arial"/>
          <w:bCs/>
          <w:lang w:eastAsia="en-AU"/>
        </w:rPr>
      </w:pPr>
    </w:p>
    <w:p w:rsidR="009E5F6C" w:rsidRPr="00E35DAB" w:rsidRDefault="009E5F6C" w:rsidP="009E5F6C">
      <w:pPr>
        <w:rPr>
          <w:rFonts w:eastAsia="Times New Roman" w:cs="Arial"/>
          <w:i/>
          <w:color w:val="000000" w:themeColor="text1"/>
          <w:lang w:eastAsia="en-AU"/>
        </w:rPr>
      </w:pPr>
      <w:r w:rsidRPr="00E35DAB">
        <w:rPr>
          <w:rFonts w:eastAsia="Times New Roman" w:cs="Arial"/>
          <w:b/>
          <w:bCs/>
          <w:i/>
          <w:color w:val="000000" w:themeColor="text1"/>
          <w:lang w:eastAsia="en-AU"/>
        </w:rPr>
        <w:lastRenderedPageBreak/>
        <w:t xml:space="preserve">Proposal 5–9 </w:t>
      </w:r>
      <w:r w:rsidR="00006F8A">
        <w:rPr>
          <w:rFonts w:eastAsia="Times New Roman" w:cs="Arial"/>
          <w:b/>
          <w:bCs/>
          <w:i/>
          <w:color w:val="000000" w:themeColor="text1"/>
          <w:lang w:eastAsia="en-AU"/>
        </w:rPr>
        <w:br/>
      </w:r>
      <w:r w:rsidRPr="00E35DAB">
        <w:rPr>
          <w:rFonts w:eastAsia="Times New Roman" w:cs="Arial"/>
          <w:i/>
          <w:color w:val="000000" w:themeColor="text1"/>
          <w:lang w:eastAsia="en-AU"/>
        </w:rPr>
        <w:t>Enduring attorneys and enduring guardians should be required to keep records. Enduring attorneys should keep their own property separate from the property of the principal.</w:t>
      </w:r>
    </w:p>
    <w:p w:rsidR="009E5F6C" w:rsidRDefault="009E5F6C" w:rsidP="009E5F6C"/>
    <w:p w:rsidR="001F2D77" w:rsidRDefault="001A3709" w:rsidP="009E5F6C">
      <w:pPr>
        <w:outlineLvl w:val="1"/>
        <w:rPr>
          <w:rFonts w:eastAsia="Times New Roman" w:cs="Arial"/>
          <w:bCs/>
          <w:lang w:eastAsia="en-AU"/>
        </w:rPr>
      </w:pPr>
      <w:r>
        <w:rPr>
          <w:rFonts w:eastAsia="Times New Roman" w:cs="Arial"/>
          <w:bCs/>
          <w:lang w:eastAsia="en-AU"/>
        </w:rPr>
        <w:t>State Trustees</w:t>
      </w:r>
      <w:r w:rsidR="009E5F6C">
        <w:rPr>
          <w:rFonts w:eastAsia="Times New Roman" w:cs="Arial"/>
          <w:bCs/>
          <w:lang w:eastAsia="en-AU"/>
        </w:rPr>
        <w:t xml:space="preserve"> supports this </w:t>
      </w:r>
      <w:r w:rsidR="001F2D77">
        <w:rPr>
          <w:rFonts w:eastAsia="Times New Roman" w:cs="Arial"/>
          <w:bCs/>
          <w:lang w:eastAsia="en-AU"/>
        </w:rPr>
        <w:t>proposal</w:t>
      </w:r>
      <w:r w:rsidR="009E5F6C">
        <w:rPr>
          <w:rFonts w:eastAsia="Times New Roman" w:cs="Arial"/>
          <w:bCs/>
          <w:lang w:eastAsia="en-AU"/>
        </w:rPr>
        <w:t xml:space="preserve">. </w:t>
      </w:r>
    </w:p>
    <w:p w:rsidR="001F2D77" w:rsidRDefault="001F2D77" w:rsidP="009E5F6C">
      <w:pPr>
        <w:outlineLvl w:val="1"/>
        <w:rPr>
          <w:rFonts w:eastAsia="Times New Roman" w:cs="Arial"/>
          <w:bCs/>
          <w:lang w:eastAsia="en-AU"/>
        </w:rPr>
      </w:pPr>
    </w:p>
    <w:p w:rsidR="009E5F6C" w:rsidRDefault="009E5F6C" w:rsidP="009E5F6C">
      <w:pPr>
        <w:outlineLvl w:val="1"/>
        <w:rPr>
          <w:rFonts w:eastAsia="Times New Roman" w:cs="Arial"/>
          <w:bCs/>
          <w:lang w:eastAsia="en-AU"/>
        </w:rPr>
      </w:pPr>
      <w:r>
        <w:rPr>
          <w:rFonts w:eastAsia="Times New Roman" w:cs="Arial"/>
          <w:bCs/>
          <w:lang w:eastAsia="en-AU"/>
        </w:rPr>
        <w:t xml:space="preserve">The </w:t>
      </w:r>
      <w:r>
        <w:rPr>
          <w:rFonts w:eastAsia="Times New Roman" w:cs="Arial"/>
          <w:bCs/>
          <w:i/>
          <w:lang w:eastAsia="en-AU"/>
        </w:rPr>
        <w:t xml:space="preserve">Powers of Attorney Act 2014 </w:t>
      </w:r>
      <w:r>
        <w:rPr>
          <w:rFonts w:eastAsia="Times New Roman" w:cs="Arial"/>
          <w:bCs/>
          <w:lang w:eastAsia="en-AU"/>
        </w:rPr>
        <w:t>(Vic) contains provisions requiring attorneys to keep records (s. 63(1</w:t>
      </w:r>
      <w:proofErr w:type="gramStart"/>
      <w:r>
        <w:rPr>
          <w:rFonts w:eastAsia="Times New Roman" w:cs="Arial"/>
          <w:bCs/>
          <w:lang w:eastAsia="en-AU"/>
        </w:rPr>
        <w:t>)(</w:t>
      </w:r>
      <w:proofErr w:type="gramEnd"/>
      <w:r>
        <w:rPr>
          <w:rFonts w:eastAsia="Times New Roman" w:cs="Arial"/>
          <w:bCs/>
          <w:lang w:eastAsia="en-AU"/>
        </w:rPr>
        <w:t>f), 66) and to keep property separate (s. 69).</w:t>
      </w:r>
      <w:r w:rsidR="00006F8A">
        <w:rPr>
          <w:rFonts w:eastAsia="Times New Roman" w:cs="Arial"/>
          <w:bCs/>
          <w:lang w:eastAsia="en-AU"/>
        </w:rPr>
        <w:t xml:space="preserve">  </w:t>
      </w:r>
    </w:p>
    <w:p w:rsidR="00957897" w:rsidRPr="002624BD" w:rsidRDefault="00957897" w:rsidP="001F2D77">
      <w:pPr>
        <w:spacing w:before="100" w:beforeAutospacing="1" w:after="100" w:afterAutospacing="1"/>
        <w:rPr>
          <w:bCs/>
          <w:i/>
          <w:color w:val="000000" w:themeColor="text1"/>
        </w:rPr>
      </w:pPr>
      <w:r w:rsidRPr="002624BD">
        <w:rPr>
          <w:b/>
          <w:bCs/>
          <w:i/>
          <w:color w:val="000000" w:themeColor="text1"/>
        </w:rPr>
        <w:t>Proposals 5</w:t>
      </w:r>
      <w:r w:rsidRPr="002624BD">
        <w:rPr>
          <w:rFonts w:cs="Arial"/>
          <w:b/>
          <w:bCs/>
          <w:i/>
          <w:color w:val="000000" w:themeColor="text1"/>
        </w:rPr>
        <w:t>–</w:t>
      </w:r>
      <w:r w:rsidRPr="002624BD">
        <w:rPr>
          <w:b/>
          <w:bCs/>
          <w:i/>
          <w:color w:val="000000" w:themeColor="text1"/>
        </w:rPr>
        <w:t>10 to 5</w:t>
      </w:r>
      <w:r w:rsidRPr="002624BD">
        <w:rPr>
          <w:rFonts w:cs="Arial"/>
          <w:b/>
          <w:bCs/>
          <w:i/>
          <w:color w:val="000000" w:themeColor="text1"/>
        </w:rPr>
        <w:t>–</w:t>
      </w:r>
      <w:r>
        <w:rPr>
          <w:rFonts w:cs="Arial"/>
          <w:b/>
          <w:bCs/>
          <w:i/>
          <w:color w:val="000000" w:themeColor="text1"/>
        </w:rPr>
        <w:t>1</w:t>
      </w:r>
      <w:r w:rsidRPr="002624BD">
        <w:rPr>
          <w:b/>
          <w:bCs/>
          <w:i/>
          <w:color w:val="000000" w:themeColor="text1"/>
        </w:rPr>
        <w:t xml:space="preserve">3 </w:t>
      </w:r>
      <w:r>
        <w:rPr>
          <w:b/>
          <w:bCs/>
          <w:i/>
          <w:color w:val="000000" w:themeColor="text1"/>
        </w:rPr>
        <w:br/>
      </w:r>
      <w:r>
        <w:rPr>
          <w:bCs/>
          <w:i/>
          <w:color w:val="000000" w:themeColor="text1"/>
        </w:rPr>
        <w:t xml:space="preserve">State and territory governments should introduce nationally consistent laws governing enduring powers of attorney (including financial, medical and personal), enduring guardianship and other decision makers.  The term ‘representative’ should be used for the substitute decision makers […] and the enduring instruments under which these arrangements are made should be called ‘Representatives Agreements’.  A model Representatives Agreement should be developed to facilitate the making of these arrangements.  Representatives should be required to support and represent the will, preferences and rights of the principal.  </w:t>
      </w:r>
    </w:p>
    <w:p w:rsidR="00957897" w:rsidRPr="002624BD" w:rsidRDefault="00957897" w:rsidP="001F2D77">
      <w:pPr>
        <w:spacing w:before="100" w:beforeAutospacing="1" w:after="100" w:afterAutospacing="1"/>
        <w:rPr>
          <w:bCs/>
          <w:color w:val="000000" w:themeColor="text1"/>
        </w:rPr>
      </w:pPr>
      <w:r>
        <w:rPr>
          <w:bCs/>
          <w:color w:val="000000" w:themeColor="text1"/>
        </w:rPr>
        <w:t>State Trustees supports these proposals, subject to our comments above about the need to protect the estate planning arrangements that people have already put in place, and the difficulty of achieving nationally uniform laws.  We are also concerned that the word ‘representative’ may lead to confusion with ‘personal representative’, the term that applies in respect of an executor</w:t>
      </w:r>
      <w:r w:rsidR="00866A78">
        <w:rPr>
          <w:bCs/>
          <w:color w:val="000000" w:themeColor="text1"/>
        </w:rPr>
        <w:t>/</w:t>
      </w:r>
      <w:r>
        <w:rPr>
          <w:bCs/>
          <w:color w:val="000000" w:themeColor="text1"/>
        </w:rPr>
        <w:t xml:space="preserve">administrator </w:t>
      </w:r>
      <w:r w:rsidR="00866A78">
        <w:rPr>
          <w:bCs/>
          <w:color w:val="000000" w:themeColor="text1"/>
        </w:rPr>
        <w:t xml:space="preserve">administering </w:t>
      </w:r>
      <w:r>
        <w:rPr>
          <w:bCs/>
          <w:color w:val="000000" w:themeColor="text1"/>
        </w:rPr>
        <w:t>a deceased estate</w:t>
      </w:r>
      <w:r w:rsidR="00866A78">
        <w:rPr>
          <w:bCs/>
          <w:color w:val="000000" w:themeColor="text1"/>
        </w:rPr>
        <w:t>, and may overstate the nature of the role in cases where the principal has limited the scope of the appointment</w:t>
      </w:r>
      <w:r>
        <w:rPr>
          <w:bCs/>
          <w:color w:val="000000" w:themeColor="text1"/>
        </w:rPr>
        <w:t xml:space="preserve">. </w:t>
      </w:r>
      <w:r w:rsidR="00866A78">
        <w:rPr>
          <w:bCs/>
          <w:color w:val="000000" w:themeColor="text1"/>
        </w:rPr>
        <w:t xml:space="preserve"> </w:t>
      </w:r>
    </w:p>
    <w:p w:rsidR="001F2D77" w:rsidRPr="00E35DAB" w:rsidRDefault="001F2D77" w:rsidP="001F2D77">
      <w:pPr>
        <w:spacing w:before="100" w:beforeAutospacing="1" w:after="100" w:afterAutospacing="1"/>
        <w:rPr>
          <w:color w:val="000000" w:themeColor="text1"/>
        </w:rPr>
      </w:pPr>
      <w:r w:rsidRPr="00E35DAB">
        <w:rPr>
          <w:rFonts w:hint="eastAsia"/>
          <w:b/>
          <w:bCs/>
          <w:color w:val="000000" w:themeColor="text1"/>
        </w:rPr>
        <w:t>Question 6</w:t>
      </w:r>
      <w:r w:rsidRPr="00E35DAB">
        <w:rPr>
          <w:rFonts w:hint="eastAsia"/>
          <w:b/>
          <w:bCs/>
          <w:color w:val="000000" w:themeColor="text1"/>
        </w:rPr>
        <w:t>–</w:t>
      </w:r>
      <w:r w:rsidRPr="00E35DAB">
        <w:rPr>
          <w:rFonts w:hint="eastAsia"/>
          <w:b/>
          <w:bCs/>
          <w:color w:val="000000" w:themeColor="text1"/>
        </w:rPr>
        <w:t>1</w:t>
      </w:r>
      <w:r w:rsidRPr="00E35DAB">
        <w:rPr>
          <w:rFonts w:hint="eastAsia"/>
          <w:color w:val="000000" w:themeColor="text1"/>
        </w:rPr>
        <w:t xml:space="preserve"> </w:t>
      </w:r>
      <w:r w:rsidR="00A55E76">
        <w:rPr>
          <w:color w:val="000000" w:themeColor="text1"/>
        </w:rPr>
        <w:br/>
      </w:r>
      <w:proofErr w:type="gramStart"/>
      <w:r w:rsidRPr="00E35DAB">
        <w:rPr>
          <w:rFonts w:hint="eastAsia"/>
          <w:color w:val="000000" w:themeColor="text1"/>
        </w:rPr>
        <w:t>Should</w:t>
      </w:r>
      <w:proofErr w:type="gramEnd"/>
      <w:r w:rsidRPr="00E35DAB">
        <w:rPr>
          <w:rFonts w:hint="eastAsia"/>
          <w:color w:val="000000" w:themeColor="text1"/>
        </w:rPr>
        <w:t xml:space="preserve"> information for newly-appointed guardians and financial administrators be provided in the form of: (a) compulsory training; (b) training ordered at the discretion of the tribunal; (c) information given by the tribunal to satisfy itself that the person has the competency required for the appointment; or (d) other ways?</w:t>
      </w:r>
    </w:p>
    <w:p w:rsidR="001F2D77" w:rsidRPr="00E35DAB" w:rsidRDefault="001F2D77" w:rsidP="00E35DAB">
      <w:pPr>
        <w:pStyle w:val="ListParagraph"/>
        <w:ind w:left="357" w:hanging="357"/>
        <w:rPr>
          <w:color w:val="000000"/>
        </w:rPr>
      </w:pPr>
      <w:r w:rsidRPr="00E35DAB">
        <w:rPr>
          <w:color w:val="000000"/>
        </w:rPr>
        <w:t>a)</w:t>
      </w:r>
      <w:r w:rsidRPr="00E35DAB">
        <w:rPr>
          <w:rFonts w:cs="Times New Roman"/>
          <w:color w:val="000000"/>
          <w:sz w:val="14"/>
          <w:szCs w:val="14"/>
        </w:rPr>
        <w:t xml:space="preserve">    </w:t>
      </w:r>
      <w:r w:rsidRPr="00E35DAB">
        <w:rPr>
          <w:color w:val="000000"/>
        </w:rPr>
        <w:t>Whilst State Trustees is mindful that a compulsory training requirement may deter some non-professional guardians and financial administrators from accepting appointments we accept it is necessary to ensure they are informed and can appropriately carry out their role.</w:t>
      </w:r>
    </w:p>
    <w:p w:rsidR="001F2D77" w:rsidRPr="00E35DAB" w:rsidRDefault="001F2D77" w:rsidP="001F2D77">
      <w:pPr>
        <w:pStyle w:val="ListParagraph"/>
        <w:rPr>
          <w:color w:val="000000"/>
        </w:rPr>
      </w:pPr>
      <w:r w:rsidRPr="00E35DAB">
        <w:rPr>
          <w:color w:val="000000"/>
        </w:rPr>
        <w:t> </w:t>
      </w:r>
    </w:p>
    <w:p w:rsidR="001F2D77" w:rsidRPr="00E35DAB" w:rsidRDefault="001F2D77" w:rsidP="00E35DAB">
      <w:pPr>
        <w:pStyle w:val="ListParagraph"/>
        <w:ind w:left="357"/>
        <w:rPr>
          <w:color w:val="000000"/>
        </w:rPr>
      </w:pPr>
      <w:r w:rsidRPr="00E35DAB">
        <w:rPr>
          <w:color w:val="000000"/>
        </w:rPr>
        <w:t xml:space="preserve">The training should be accessible in both online and face-to-face formats and should aim to educate and empower users to carry out their role in a manner that respects the dignity and rights of the (older) person they have been appointed to make decisions for. </w:t>
      </w:r>
    </w:p>
    <w:p w:rsidR="001F2D77" w:rsidRPr="00E35DAB" w:rsidRDefault="001F2D77" w:rsidP="001F2D77">
      <w:pPr>
        <w:pStyle w:val="ListParagraph"/>
        <w:rPr>
          <w:color w:val="000000"/>
        </w:rPr>
      </w:pPr>
      <w:r w:rsidRPr="00E35DAB">
        <w:rPr>
          <w:color w:val="000000"/>
        </w:rPr>
        <w:t> </w:t>
      </w:r>
    </w:p>
    <w:p w:rsidR="001F2D77" w:rsidRPr="00E35DAB" w:rsidRDefault="001F2D77" w:rsidP="00E35DAB">
      <w:pPr>
        <w:pStyle w:val="ListParagraph"/>
        <w:ind w:left="357"/>
        <w:rPr>
          <w:color w:val="000000"/>
        </w:rPr>
      </w:pPr>
      <w:r w:rsidRPr="00E35DAB">
        <w:rPr>
          <w:color w:val="000000"/>
        </w:rPr>
        <w:t>The training should explicitly highlight decisions or conduct that contravene their role and/or perpetuate any form of abuse</w:t>
      </w:r>
      <w:r w:rsidR="00A55E76">
        <w:rPr>
          <w:color w:val="000000"/>
        </w:rPr>
        <w:t>,</w:t>
      </w:r>
      <w:r w:rsidRPr="00E35DAB">
        <w:rPr>
          <w:color w:val="000000"/>
        </w:rPr>
        <w:t xml:space="preserve"> and </w:t>
      </w:r>
      <w:r w:rsidR="00A55E76">
        <w:rPr>
          <w:color w:val="000000"/>
        </w:rPr>
        <w:t xml:space="preserve">should </w:t>
      </w:r>
      <w:r w:rsidRPr="00E35DAB">
        <w:rPr>
          <w:color w:val="000000"/>
        </w:rPr>
        <w:t xml:space="preserve">require an undertaking from the guardian or financial administrator. </w:t>
      </w:r>
      <w:r w:rsidR="00A55E76">
        <w:rPr>
          <w:color w:val="000000"/>
        </w:rPr>
        <w:t xml:space="preserve"> </w:t>
      </w:r>
    </w:p>
    <w:p w:rsidR="001F2D77" w:rsidRPr="00E35DAB" w:rsidRDefault="001F2D77" w:rsidP="00E35DAB">
      <w:pPr>
        <w:spacing w:before="100" w:beforeAutospacing="1" w:after="100" w:afterAutospacing="1"/>
        <w:ind w:left="357" w:hanging="357"/>
        <w:rPr>
          <w:color w:val="000000"/>
        </w:rPr>
      </w:pPr>
      <w:r w:rsidRPr="00E35DAB">
        <w:rPr>
          <w:color w:val="000000"/>
        </w:rPr>
        <w:t>b)</w:t>
      </w:r>
      <w:r w:rsidRPr="00E35DAB">
        <w:rPr>
          <w:rFonts w:cs="Times New Roman"/>
          <w:color w:val="000000"/>
          <w:sz w:val="14"/>
          <w:szCs w:val="14"/>
        </w:rPr>
        <w:t xml:space="preserve">    </w:t>
      </w:r>
      <w:r w:rsidRPr="00E35DAB">
        <w:rPr>
          <w:color w:val="000000"/>
        </w:rPr>
        <w:t>Training should be compulsory for all new guardians and financial administrators. Tribunals should use their discretion to direct existing guardians or financial administrators to complete training or retraining.</w:t>
      </w:r>
      <w:r w:rsidR="00A55E76">
        <w:rPr>
          <w:color w:val="000000"/>
        </w:rPr>
        <w:t xml:space="preserve">  </w:t>
      </w:r>
    </w:p>
    <w:p w:rsidR="001F2D77" w:rsidRDefault="001F2D77" w:rsidP="00122F19">
      <w:pPr>
        <w:spacing w:before="100" w:beforeAutospacing="1" w:after="100" w:afterAutospacing="1"/>
        <w:ind w:left="357" w:hanging="357"/>
        <w:rPr>
          <w:color w:val="000000"/>
        </w:rPr>
      </w:pPr>
      <w:r w:rsidRPr="00E35DAB">
        <w:rPr>
          <w:color w:val="000000"/>
        </w:rPr>
        <w:t>c)</w:t>
      </w:r>
      <w:r w:rsidRPr="00E35DAB">
        <w:rPr>
          <w:rFonts w:cs="Times New Roman"/>
          <w:color w:val="000000"/>
          <w:sz w:val="14"/>
          <w:szCs w:val="14"/>
        </w:rPr>
        <w:t xml:space="preserve">    </w:t>
      </w:r>
      <w:r w:rsidR="00122F19">
        <w:rPr>
          <w:color w:val="000000"/>
        </w:rPr>
        <w:t>No view.</w:t>
      </w:r>
      <w:r w:rsidR="00A55E76">
        <w:rPr>
          <w:color w:val="000000"/>
        </w:rPr>
        <w:t xml:space="preserve">    </w:t>
      </w:r>
      <w:r w:rsidRPr="00E35DAB">
        <w:rPr>
          <w:color w:val="000000"/>
        </w:rPr>
        <w:t> </w:t>
      </w:r>
    </w:p>
    <w:p w:rsidR="00122F19" w:rsidRPr="00122F19" w:rsidRDefault="00122F19" w:rsidP="00122F19">
      <w:pPr>
        <w:spacing w:before="100" w:beforeAutospacing="1" w:after="100" w:afterAutospacing="1"/>
        <w:ind w:left="357" w:hanging="357"/>
        <w:rPr>
          <w:rFonts w:cs="Times New Roman"/>
          <w:color w:val="000000"/>
          <w:sz w:val="14"/>
          <w:szCs w:val="14"/>
        </w:rPr>
      </w:pPr>
      <w:r>
        <w:rPr>
          <w:color w:val="000000"/>
        </w:rPr>
        <w:t>d</w:t>
      </w:r>
      <w:r w:rsidRPr="00E35DAB">
        <w:rPr>
          <w:color w:val="000000"/>
        </w:rPr>
        <w:t>)</w:t>
      </w:r>
      <w:r w:rsidRPr="00E35DAB">
        <w:rPr>
          <w:rFonts w:cs="Times New Roman"/>
          <w:color w:val="000000"/>
          <w:sz w:val="14"/>
          <w:szCs w:val="14"/>
        </w:rPr>
        <w:t xml:space="preserve">    </w:t>
      </w:r>
      <w:r w:rsidRPr="001F3392">
        <w:rPr>
          <w:color w:val="000000"/>
        </w:rPr>
        <w:t>In addition, a</w:t>
      </w:r>
      <w:r>
        <w:rPr>
          <w:color w:val="000000"/>
        </w:rPr>
        <w:t xml:space="preserve"> thorough, plain-English guide</w:t>
      </w:r>
      <w:r w:rsidRPr="001F3392">
        <w:rPr>
          <w:color w:val="000000"/>
        </w:rPr>
        <w:t>, such as the Administration</w:t>
      </w:r>
      <w:r w:rsidRPr="00E35DAB">
        <w:rPr>
          <w:color w:val="000000"/>
        </w:rPr>
        <w:t xml:space="preserve"> Guide produced for administrators in Victoria, </w:t>
      </w:r>
      <w:r>
        <w:rPr>
          <w:color w:val="000000"/>
        </w:rPr>
        <w:t xml:space="preserve">should be made available to all new appointees.    </w:t>
      </w:r>
      <w:r w:rsidRPr="00E35DAB">
        <w:rPr>
          <w:color w:val="000000"/>
        </w:rPr>
        <w:t> </w:t>
      </w:r>
    </w:p>
    <w:p w:rsidR="001F2D77" w:rsidRPr="00E35DAB" w:rsidRDefault="001F2D77" w:rsidP="001F2D77">
      <w:pPr>
        <w:spacing w:before="100" w:beforeAutospacing="1" w:after="100" w:afterAutospacing="1"/>
        <w:rPr>
          <w:color w:val="000000" w:themeColor="text1"/>
        </w:rPr>
      </w:pPr>
      <w:r w:rsidRPr="00E35DAB">
        <w:rPr>
          <w:rFonts w:hint="eastAsia"/>
          <w:b/>
          <w:bCs/>
          <w:i/>
          <w:iCs/>
          <w:color w:val="000000" w:themeColor="text1"/>
        </w:rPr>
        <w:lastRenderedPageBreak/>
        <w:t>Proposal 6</w:t>
      </w:r>
      <w:r w:rsidRPr="00E35DAB">
        <w:rPr>
          <w:rFonts w:hint="eastAsia"/>
          <w:b/>
          <w:bCs/>
          <w:i/>
          <w:iCs/>
          <w:color w:val="000000" w:themeColor="text1"/>
        </w:rPr>
        <w:t>–</w:t>
      </w:r>
      <w:r w:rsidRPr="00E35DAB">
        <w:rPr>
          <w:rFonts w:hint="eastAsia"/>
          <w:b/>
          <w:bCs/>
          <w:i/>
          <w:iCs/>
          <w:color w:val="000000" w:themeColor="text1"/>
        </w:rPr>
        <w:t xml:space="preserve">2 </w:t>
      </w:r>
      <w:r w:rsidR="00A55E76">
        <w:rPr>
          <w:i/>
          <w:iCs/>
          <w:color w:val="000000" w:themeColor="text1"/>
        </w:rPr>
        <w:br/>
        <w:t>A</w:t>
      </w:r>
      <w:r w:rsidRPr="00E35DAB">
        <w:rPr>
          <w:rFonts w:hint="eastAsia"/>
          <w:i/>
          <w:iCs/>
          <w:color w:val="000000" w:themeColor="text1"/>
        </w:rPr>
        <w:t>ppointed guardians and financial administrators should be required to sign an undertaking to comply with their responsibilities and obligations.</w:t>
      </w:r>
    </w:p>
    <w:p w:rsidR="001F2D77" w:rsidRDefault="001F2D77" w:rsidP="001F2D77">
      <w:pPr>
        <w:spacing w:before="100" w:beforeAutospacing="1" w:after="100" w:afterAutospacing="1"/>
        <w:rPr>
          <w:color w:val="000000"/>
        </w:rPr>
      </w:pPr>
      <w:r>
        <w:rPr>
          <w:rFonts w:hint="eastAsia"/>
          <w:color w:val="000000"/>
        </w:rPr>
        <w:t xml:space="preserve">State Trustees supports this </w:t>
      </w:r>
      <w:r w:rsidR="001A3709">
        <w:rPr>
          <w:rFonts w:hint="eastAsia"/>
          <w:color w:val="000000"/>
        </w:rPr>
        <w:t>proposal</w:t>
      </w:r>
      <w:r>
        <w:rPr>
          <w:rFonts w:hint="eastAsia"/>
          <w:color w:val="000000"/>
        </w:rPr>
        <w:t xml:space="preserve"> in cases of non-professional guardians and financial administrators. </w:t>
      </w:r>
      <w:r w:rsidR="000128AA">
        <w:rPr>
          <w:color w:val="000000"/>
        </w:rPr>
        <w:t xml:space="preserve"> </w:t>
      </w:r>
      <w:r>
        <w:rPr>
          <w:rFonts w:hint="eastAsia"/>
          <w:color w:val="000000"/>
        </w:rPr>
        <w:t xml:space="preserve">The signed undertaking should clearly articulate that what is being signed is an acknowledgement of potential personal liability in the event of a breach of responsibilities and obligations resulting in loss. </w:t>
      </w:r>
    </w:p>
    <w:p w:rsidR="001F2D77" w:rsidRDefault="00A55E76" w:rsidP="001F2D77">
      <w:pPr>
        <w:spacing w:before="100" w:beforeAutospacing="1" w:after="100" w:afterAutospacing="1"/>
        <w:rPr>
          <w:color w:val="000000"/>
        </w:rPr>
      </w:pPr>
      <w:r>
        <w:rPr>
          <w:color w:val="000000"/>
        </w:rPr>
        <w:t xml:space="preserve">It should not be necessary (and would be impractical) for a public trustees and licensed trustees </w:t>
      </w:r>
      <w:r w:rsidR="001F2D77">
        <w:rPr>
          <w:rFonts w:hint="eastAsia"/>
          <w:color w:val="000000"/>
        </w:rPr>
        <w:t xml:space="preserve">companies to </w:t>
      </w:r>
      <w:r>
        <w:rPr>
          <w:color w:val="000000"/>
        </w:rPr>
        <w:t xml:space="preserve">be required to </w:t>
      </w:r>
      <w:r w:rsidR="001F2D77">
        <w:rPr>
          <w:rFonts w:hint="eastAsia"/>
          <w:color w:val="000000"/>
        </w:rPr>
        <w:t xml:space="preserve">sign </w:t>
      </w:r>
      <w:r>
        <w:rPr>
          <w:color w:val="000000"/>
        </w:rPr>
        <w:t xml:space="preserve">such an </w:t>
      </w:r>
      <w:r w:rsidR="001F2D77">
        <w:rPr>
          <w:rFonts w:hint="eastAsia"/>
          <w:color w:val="000000"/>
        </w:rPr>
        <w:t>undertaking</w:t>
      </w:r>
      <w:r>
        <w:rPr>
          <w:color w:val="000000"/>
        </w:rPr>
        <w:t>,</w:t>
      </w:r>
      <w:r w:rsidR="001F2D77">
        <w:rPr>
          <w:rFonts w:hint="eastAsia"/>
          <w:color w:val="000000"/>
        </w:rPr>
        <w:t xml:space="preserve"> given </w:t>
      </w:r>
      <w:r>
        <w:rPr>
          <w:color w:val="000000"/>
        </w:rPr>
        <w:t xml:space="preserve">the </w:t>
      </w:r>
      <w:r w:rsidR="001F2D77">
        <w:rPr>
          <w:rFonts w:hint="eastAsia"/>
          <w:color w:val="000000"/>
        </w:rPr>
        <w:t>existing compliance and regulatory re</w:t>
      </w:r>
      <w:r>
        <w:rPr>
          <w:color w:val="000000"/>
        </w:rPr>
        <w:t xml:space="preserve">gimes that already apply to those entities. </w:t>
      </w:r>
    </w:p>
    <w:p w:rsidR="00F63EC4" w:rsidRDefault="001F2D77" w:rsidP="00E35DAB">
      <w:pPr>
        <w:spacing w:before="100" w:beforeAutospacing="1"/>
        <w:rPr>
          <w:b/>
          <w:bCs/>
          <w:i/>
          <w:iCs/>
          <w:color w:val="000000" w:themeColor="text1"/>
        </w:rPr>
      </w:pPr>
      <w:r w:rsidRPr="00E35DAB">
        <w:rPr>
          <w:rFonts w:hint="eastAsia"/>
          <w:b/>
          <w:bCs/>
          <w:i/>
          <w:iCs/>
          <w:color w:val="000000" w:themeColor="text1"/>
        </w:rPr>
        <w:t>Question 6</w:t>
      </w:r>
      <w:r w:rsidRPr="00E35DAB">
        <w:rPr>
          <w:rFonts w:hint="eastAsia"/>
          <w:b/>
          <w:bCs/>
          <w:i/>
          <w:iCs/>
          <w:color w:val="000000" w:themeColor="text1"/>
        </w:rPr>
        <w:t>–</w:t>
      </w:r>
      <w:r w:rsidRPr="00E35DAB">
        <w:rPr>
          <w:rFonts w:hint="eastAsia"/>
          <w:b/>
          <w:bCs/>
          <w:i/>
          <w:iCs/>
          <w:color w:val="000000" w:themeColor="text1"/>
        </w:rPr>
        <w:t xml:space="preserve">2 </w:t>
      </w:r>
    </w:p>
    <w:p w:rsidR="001F2D77" w:rsidRPr="00E35DAB" w:rsidRDefault="001F2D77" w:rsidP="00E35DAB">
      <w:pPr>
        <w:spacing w:after="100" w:afterAutospacing="1"/>
        <w:rPr>
          <w:color w:val="000000" w:themeColor="text1"/>
        </w:rPr>
      </w:pPr>
      <w:r w:rsidRPr="00E35DAB">
        <w:rPr>
          <w:rFonts w:hint="eastAsia"/>
          <w:i/>
          <w:iCs/>
          <w:color w:val="000000" w:themeColor="text1"/>
        </w:rPr>
        <w:t>In what circumstances, if any, should financial administrators be required to purchase surety bonds?</w:t>
      </w:r>
    </w:p>
    <w:p w:rsidR="00F63EC4" w:rsidRDefault="001F2D77" w:rsidP="001F2D77">
      <w:pPr>
        <w:spacing w:before="100" w:beforeAutospacing="1" w:after="100" w:afterAutospacing="1"/>
        <w:rPr>
          <w:color w:val="000000"/>
        </w:rPr>
      </w:pPr>
      <w:r>
        <w:rPr>
          <w:rFonts w:hint="eastAsia"/>
          <w:color w:val="000000"/>
        </w:rPr>
        <w:t xml:space="preserve">State Trustees </w:t>
      </w:r>
      <w:r w:rsidR="001A3709">
        <w:rPr>
          <w:color w:val="000000"/>
        </w:rPr>
        <w:t xml:space="preserve">believes a surety bond should be </w:t>
      </w:r>
      <w:r w:rsidR="00F63EC4">
        <w:rPr>
          <w:color w:val="000000"/>
        </w:rPr>
        <w:t xml:space="preserve">a default </w:t>
      </w:r>
      <w:r w:rsidR="001A3709">
        <w:rPr>
          <w:color w:val="000000"/>
        </w:rPr>
        <w:t>require</w:t>
      </w:r>
      <w:r w:rsidR="00F63EC4">
        <w:rPr>
          <w:color w:val="000000"/>
        </w:rPr>
        <w:t>ment</w:t>
      </w:r>
      <w:r w:rsidR="001A3709">
        <w:rPr>
          <w:color w:val="000000"/>
        </w:rPr>
        <w:t xml:space="preserve"> wherever the assets of the person </w:t>
      </w:r>
      <w:r w:rsidR="00F63EC4">
        <w:rPr>
          <w:color w:val="000000"/>
        </w:rPr>
        <w:t xml:space="preserve">requiring </w:t>
      </w:r>
      <w:r w:rsidR="001A3709">
        <w:rPr>
          <w:color w:val="000000"/>
        </w:rPr>
        <w:t>a</w:t>
      </w:r>
      <w:r w:rsidR="00F63EC4">
        <w:rPr>
          <w:color w:val="000000"/>
        </w:rPr>
        <w:t xml:space="preserve"> financial administrator a</w:t>
      </w:r>
      <w:r w:rsidR="001A3709">
        <w:rPr>
          <w:color w:val="000000"/>
        </w:rPr>
        <w:t xml:space="preserve">re </w:t>
      </w:r>
      <w:r w:rsidR="00F63EC4">
        <w:rPr>
          <w:color w:val="000000"/>
        </w:rPr>
        <w:t xml:space="preserve">believed by the Tribunal to be </w:t>
      </w:r>
      <w:r w:rsidR="001A3709">
        <w:rPr>
          <w:color w:val="000000"/>
        </w:rPr>
        <w:t xml:space="preserve">above a set </w:t>
      </w:r>
      <w:r w:rsidR="00F63EC4">
        <w:rPr>
          <w:color w:val="000000"/>
        </w:rPr>
        <w:t xml:space="preserve">threshold </w:t>
      </w:r>
      <w:r w:rsidR="001A3709">
        <w:rPr>
          <w:color w:val="000000"/>
        </w:rPr>
        <w:t>amount (</w:t>
      </w:r>
      <w:r w:rsidR="00F63EC4">
        <w:rPr>
          <w:color w:val="000000"/>
        </w:rPr>
        <w:t xml:space="preserve">e.g. </w:t>
      </w:r>
      <w:r w:rsidR="001A3709">
        <w:rPr>
          <w:color w:val="000000"/>
        </w:rPr>
        <w:t>$50,000)</w:t>
      </w:r>
      <w:r w:rsidR="00F63EC4">
        <w:rPr>
          <w:color w:val="000000"/>
        </w:rPr>
        <w:t xml:space="preserve">.  The requirement should apply to </w:t>
      </w:r>
      <w:r w:rsidR="001A3709">
        <w:rPr>
          <w:color w:val="000000"/>
        </w:rPr>
        <w:t xml:space="preserve">all </w:t>
      </w:r>
      <w:r w:rsidR="00F63EC4">
        <w:rPr>
          <w:color w:val="000000"/>
        </w:rPr>
        <w:t xml:space="preserve">financial </w:t>
      </w:r>
      <w:r w:rsidR="001A3709">
        <w:rPr>
          <w:color w:val="000000"/>
        </w:rPr>
        <w:t>administrators other than public trustees</w:t>
      </w:r>
      <w:r w:rsidR="00F63EC4">
        <w:rPr>
          <w:color w:val="000000"/>
        </w:rPr>
        <w:t>,</w:t>
      </w:r>
      <w:r w:rsidR="001A3709">
        <w:rPr>
          <w:color w:val="000000"/>
        </w:rPr>
        <w:t xml:space="preserve"> licensed trustee companies, and principals of a law practice.  </w:t>
      </w:r>
      <w:r w:rsidR="00F63EC4">
        <w:rPr>
          <w:color w:val="000000"/>
        </w:rPr>
        <w:t xml:space="preserve">There should be the option for the Tribunal to waive the requirement where the financial administrator is the person’s spouse or domestic partner. </w:t>
      </w:r>
    </w:p>
    <w:p w:rsidR="001F2D77" w:rsidRDefault="00F63EC4" w:rsidP="001F3392">
      <w:pPr>
        <w:spacing w:before="100" w:beforeAutospacing="1" w:after="100" w:afterAutospacing="1"/>
        <w:rPr>
          <w:color w:val="000000"/>
        </w:rPr>
      </w:pPr>
      <w:r>
        <w:t xml:space="preserve">Whilst it </w:t>
      </w:r>
      <w:r w:rsidRPr="008542E8">
        <w:t xml:space="preserve">imposes a heavier burden on </w:t>
      </w:r>
      <w:r>
        <w:t xml:space="preserve">financial </w:t>
      </w:r>
      <w:r w:rsidRPr="008542E8">
        <w:t>administrators</w:t>
      </w:r>
      <w:r>
        <w:t>, and is therefore likely to deter some people from acting in that role, a</w:t>
      </w:r>
      <w:r w:rsidRPr="008542E8">
        <w:t xml:space="preserve"> </w:t>
      </w:r>
      <w:r>
        <w:t xml:space="preserve">surety bond </w:t>
      </w:r>
      <w:r w:rsidRPr="008542E8">
        <w:t xml:space="preserve">would </w:t>
      </w:r>
      <w:r>
        <w:t xml:space="preserve">at least </w:t>
      </w:r>
      <w:r w:rsidRPr="008542E8">
        <w:t>ensure some co</w:t>
      </w:r>
      <w:r>
        <w:t xml:space="preserve">mpensation is available in the event of </w:t>
      </w:r>
      <w:r w:rsidRPr="008542E8">
        <w:t xml:space="preserve">a financial loss caused by the </w:t>
      </w:r>
      <w:r>
        <w:t xml:space="preserve">financial </w:t>
      </w:r>
      <w:r w:rsidRPr="008542E8">
        <w:t xml:space="preserve">administrator. </w:t>
      </w:r>
      <w:r>
        <w:t xml:space="preserve"> </w:t>
      </w:r>
      <w:r w:rsidR="001A3709">
        <w:rPr>
          <w:color w:val="000000"/>
        </w:rPr>
        <w:t xml:space="preserve">We </w:t>
      </w:r>
      <w:r w:rsidR="001F2D77">
        <w:rPr>
          <w:rFonts w:hint="eastAsia"/>
          <w:color w:val="000000"/>
        </w:rPr>
        <w:t xml:space="preserve">would </w:t>
      </w:r>
      <w:r>
        <w:rPr>
          <w:color w:val="000000"/>
        </w:rPr>
        <w:t xml:space="preserve">welcome an </w:t>
      </w:r>
      <w:r w:rsidR="001F2D77">
        <w:rPr>
          <w:rFonts w:hint="eastAsia"/>
          <w:color w:val="000000"/>
        </w:rPr>
        <w:t xml:space="preserve">evaluation of the efficacy of the </w:t>
      </w:r>
      <w:r>
        <w:rPr>
          <w:color w:val="000000"/>
        </w:rPr>
        <w:t xml:space="preserve">current </w:t>
      </w:r>
      <w:r w:rsidR="001F2D77">
        <w:rPr>
          <w:rFonts w:hint="eastAsia"/>
          <w:color w:val="000000"/>
        </w:rPr>
        <w:t>NSW scheme</w:t>
      </w:r>
      <w:r>
        <w:rPr>
          <w:color w:val="000000"/>
        </w:rPr>
        <w:t xml:space="preserve"> to enable further assessment of the </w:t>
      </w:r>
      <w:r w:rsidR="001F2D77">
        <w:rPr>
          <w:rFonts w:hint="eastAsia"/>
          <w:color w:val="000000"/>
        </w:rPr>
        <w:t>specific circumstances requiring financial administrators to purchase surety bonds.</w:t>
      </w:r>
      <w:r>
        <w:rPr>
          <w:color w:val="000000"/>
        </w:rPr>
        <w:t xml:space="preserve">  </w:t>
      </w:r>
    </w:p>
    <w:p w:rsidR="009E5F6C" w:rsidRPr="0043691B" w:rsidRDefault="009E5F6C" w:rsidP="009E5F6C">
      <w:r w:rsidRPr="0043691B">
        <w:t xml:space="preserve">The </w:t>
      </w:r>
      <w:r w:rsidRPr="0043691B">
        <w:rPr>
          <w:i/>
        </w:rPr>
        <w:t xml:space="preserve">Powers of Attorney Act 2014 </w:t>
      </w:r>
      <w:r w:rsidRPr="0043691B">
        <w:t xml:space="preserve">(Vic) has a provision (s. 77) permitting the Supreme Court or VCAT to order an attorney to compensate the principal for loss caused by a breach of any provision of the Act, and </w:t>
      </w:r>
      <w:r w:rsidR="001A3709">
        <w:t>State Trustees</w:t>
      </w:r>
      <w:r w:rsidRPr="0043691B">
        <w:t xml:space="preserve"> submits that legislation </w:t>
      </w:r>
      <w:r w:rsidR="00F63EC4">
        <w:t xml:space="preserve">in other jurisdictions </w:t>
      </w:r>
      <w:r w:rsidRPr="0043691B">
        <w:t xml:space="preserve">related to financial administration should have an equivalent section. </w:t>
      </w:r>
    </w:p>
    <w:p w:rsidR="009E5F6C" w:rsidRDefault="009E5F6C" w:rsidP="009E5F6C"/>
    <w:p w:rsidR="00E56807" w:rsidRDefault="00E56807" w:rsidP="00E56807">
      <w:pPr>
        <w:rPr>
          <w:b/>
        </w:rPr>
      </w:pPr>
      <w:r w:rsidRPr="00E56807">
        <w:rPr>
          <w:b/>
        </w:rPr>
        <w:t xml:space="preserve">Question 6–3 </w:t>
      </w:r>
    </w:p>
    <w:p w:rsidR="00E56807" w:rsidRPr="00E56807" w:rsidRDefault="00E56807" w:rsidP="00E56807">
      <w:pPr>
        <w:rPr>
          <w:i/>
        </w:rPr>
      </w:pPr>
      <w:r w:rsidRPr="00E56807">
        <w:rPr>
          <w:i/>
        </w:rPr>
        <w:t>What is the best way to ensure that a person who is subject to a guardianship or financial administration application is included in this process?</w:t>
      </w:r>
    </w:p>
    <w:p w:rsidR="00E56807" w:rsidRDefault="00E56807" w:rsidP="00E56807"/>
    <w:p w:rsidR="00E56807" w:rsidRDefault="00E56807" w:rsidP="00E56807">
      <w:r>
        <w:t xml:space="preserve">In Victoria, VCAT is increasingly conducting hearings at hospitals to ensure the person subject to an application is able to attend. In many instances, were it not for the location of these hearings it would prove difficult for the person subject to the application to safely attend the hearing. </w:t>
      </w:r>
    </w:p>
    <w:p w:rsidR="00E56807" w:rsidRDefault="00E56807" w:rsidP="00E56807"/>
    <w:p w:rsidR="00E56807" w:rsidRDefault="00E56807" w:rsidP="00E56807">
      <w:r>
        <w:t>In cases where it is not medically safe for the person to leave hospital it is common for the person subject to the application to be contacted by telephone during the hearing. This approach can be challenging especially if the person is in a noisy location, is hearing impaired with no access to hearing aids or is not familiar with the reason for the application. Telephone attendance in circumstances described above can be distressing to the person subject to the application.</w:t>
      </w:r>
    </w:p>
    <w:p w:rsidR="00E56807" w:rsidRDefault="00E56807" w:rsidP="00E56807"/>
    <w:p w:rsidR="00E56807" w:rsidRDefault="00E56807" w:rsidP="00E56807">
      <w:r>
        <w:t xml:space="preserve">To ensure the person subject to the application is included in the process, the applicant should be asked to verify they have explained the application to the person, taken all </w:t>
      </w:r>
      <w:r>
        <w:lastRenderedPageBreak/>
        <w:t>reasonable steps to ensure the person is able to attend the hearing and, in the event the person is not medically able to attend the hearing, made appropriate arrangements for the person to attend the hearing by telephone or other methods.</w:t>
      </w:r>
    </w:p>
    <w:p w:rsidR="00E56807" w:rsidRDefault="00E56807" w:rsidP="00E56807"/>
    <w:p w:rsidR="00E56807" w:rsidRDefault="00E56807" w:rsidP="00E56807">
      <w:r>
        <w:t xml:space="preserve">In all cases where the person subject to the application is unable to attend in person, the applicant should be required to verify the non-attendance is due to medical reasons and not due to an inability to facilitate the person’s attendance. </w:t>
      </w:r>
    </w:p>
    <w:p w:rsidR="00E56807" w:rsidRDefault="00E56807" w:rsidP="00E56807"/>
    <w:p w:rsidR="00E56807" w:rsidRPr="0089105B" w:rsidRDefault="00E56807" w:rsidP="00E56807">
      <w:r>
        <w:t>The opportunity for persons to attend via video conferencing should be explored to the extent it is effective and secure, so as to ensure the privacy of the proceedings. The use of video conferencing would require increased planning and collaboration between the applicant and Tribunals. The benefits of including this option seem obvious in situations where the person is unable to attend the hearing in person.</w:t>
      </w:r>
    </w:p>
    <w:p w:rsidR="004161F6" w:rsidRPr="00E35DAB" w:rsidRDefault="004161F6" w:rsidP="004161F6">
      <w:pPr>
        <w:spacing w:before="100" w:beforeAutospacing="1" w:after="100" w:afterAutospacing="1"/>
        <w:rPr>
          <w:rFonts w:ascii="PMingLiU" w:hAnsi="PMingLiU"/>
          <w:color w:val="000000" w:themeColor="text1"/>
        </w:rPr>
      </w:pPr>
      <w:r w:rsidRPr="00E35DAB">
        <w:rPr>
          <w:rFonts w:eastAsia="Times New Roman" w:cs="Arial" w:hint="eastAsia"/>
          <w:b/>
          <w:bCs/>
          <w:i/>
          <w:iCs/>
          <w:color w:val="000000" w:themeColor="text1"/>
          <w:lang w:eastAsia="en-AU"/>
        </w:rPr>
        <w:t xml:space="preserve">Proposal 8–1 </w:t>
      </w:r>
      <w:r>
        <w:rPr>
          <w:rFonts w:eastAsia="Times New Roman" w:cs="Arial"/>
          <w:b/>
          <w:bCs/>
          <w:i/>
          <w:iCs/>
          <w:color w:val="000000" w:themeColor="text1"/>
          <w:lang w:eastAsia="en-AU"/>
        </w:rPr>
        <w:br/>
      </w:r>
      <w:r w:rsidRPr="00E35DAB">
        <w:rPr>
          <w:rFonts w:eastAsia="Times New Roman" w:cs="Arial" w:hint="eastAsia"/>
          <w:i/>
          <w:iCs/>
          <w:color w:val="000000" w:themeColor="text1"/>
          <w:lang w:eastAsia="en-AU"/>
        </w:rPr>
        <w:t>State and territory tribunals should have jurisdiction to resolve family disputes involving residential property under an ‘assets for care’ arrangement.</w:t>
      </w:r>
    </w:p>
    <w:p w:rsidR="004161F6" w:rsidRDefault="004161F6" w:rsidP="00E35DAB">
      <w:pPr>
        <w:spacing w:before="100" w:beforeAutospacing="1" w:after="100" w:afterAutospacing="1"/>
        <w:jc w:val="both"/>
        <w:rPr>
          <w:color w:val="000000"/>
        </w:rPr>
      </w:pPr>
      <w:r>
        <w:rPr>
          <w:rFonts w:hint="eastAsia"/>
          <w:color w:val="000000"/>
        </w:rPr>
        <w:t>State Trustees support</w:t>
      </w:r>
      <w:r>
        <w:rPr>
          <w:color w:val="000000"/>
        </w:rPr>
        <w:t>s</w:t>
      </w:r>
      <w:r>
        <w:rPr>
          <w:rFonts w:hint="eastAsia"/>
          <w:color w:val="000000"/>
        </w:rPr>
        <w:t xml:space="preserve"> this proposal. The ability to resolve disputes relating to</w:t>
      </w:r>
      <w:r>
        <w:rPr>
          <w:color w:val="000000"/>
        </w:rPr>
        <w:t xml:space="preserve"> ‘a</w:t>
      </w:r>
      <w:r>
        <w:rPr>
          <w:rFonts w:hint="eastAsia"/>
          <w:color w:val="000000"/>
        </w:rPr>
        <w:t>ssets for care</w:t>
      </w:r>
      <w:r>
        <w:rPr>
          <w:color w:val="000000"/>
        </w:rPr>
        <w:t xml:space="preserve">’ </w:t>
      </w:r>
      <w:r>
        <w:rPr>
          <w:rFonts w:hint="eastAsia"/>
          <w:color w:val="000000"/>
        </w:rPr>
        <w:t xml:space="preserve">arrangements in a low-cost jurisdiction is extremely positive. </w:t>
      </w:r>
    </w:p>
    <w:p w:rsidR="004161F6" w:rsidRPr="00E35DAB" w:rsidRDefault="004161F6" w:rsidP="004161F6">
      <w:pPr>
        <w:spacing w:before="100" w:beforeAutospacing="1" w:after="100" w:afterAutospacing="1"/>
        <w:rPr>
          <w:i/>
          <w:color w:val="000000" w:themeColor="text1"/>
        </w:rPr>
      </w:pPr>
      <w:r w:rsidRPr="00E35DAB">
        <w:rPr>
          <w:rFonts w:hint="eastAsia"/>
          <w:b/>
          <w:bCs/>
          <w:i/>
          <w:color w:val="000000" w:themeColor="text1"/>
        </w:rPr>
        <w:t>Question 8</w:t>
      </w:r>
      <w:r w:rsidRPr="00E35DAB">
        <w:rPr>
          <w:rFonts w:hint="eastAsia"/>
          <w:b/>
          <w:bCs/>
          <w:i/>
          <w:color w:val="000000" w:themeColor="text1"/>
        </w:rPr>
        <w:t>–</w:t>
      </w:r>
      <w:r w:rsidRPr="00E35DAB">
        <w:rPr>
          <w:rFonts w:hint="eastAsia"/>
          <w:b/>
          <w:bCs/>
          <w:i/>
          <w:color w:val="000000" w:themeColor="text1"/>
        </w:rPr>
        <w:t>1</w:t>
      </w:r>
      <w:r w:rsidRPr="00E35DAB">
        <w:rPr>
          <w:rFonts w:hint="eastAsia"/>
          <w:i/>
          <w:color w:val="000000" w:themeColor="text1"/>
        </w:rPr>
        <w:t xml:space="preserve"> </w:t>
      </w:r>
      <w:r>
        <w:rPr>
          <w:i/>
          <w:color w:val="000000" w:themeColor="text1"/>
        </w:rPr>
        <w:br/>
      </w:r>
      <w:proofErr w:type="gramStart"/>
      <w:r w:rsidRPr="00E35DAB">
        <w:rPr>
          <w:rFonts w:hint="eastAsia"/>
          <w:i/>
          <w:color w:val="000000" w:themeColor="text1"/>
        </w:rPr>
        <w:t>How</w:t>
      </w:r>
      <w:proofErr w:type="gramEnd"/>
      <w:r w:rsidRPr="00E35DAB">
        <w:rPr>
          <w:rFonts w:hint="eastAsia"/>
          <w:i/>
          <w:color w:val="000000" w:themeColor="text1"/>
        </w:rPr>
        <w:t xml:space="preserve"> should</w:t>
      </w:r>
      <w:r>
        <w:rPr>
          <w:i/>
          <w:color w:val="000000" w:themeColor="text1"/>
        </w:rPr>
        <w:t xml:space="preserve"> ‘</w:t>
      </w:r>
      <w:r w:rsidRPr="00E35DAB">
        <w:rPr>
          <w:rFonts w:hint="eastAsia"/>
          <w:i/>
          <w:color w:val="000000" w:themeColor="text1"/>
        </w:rPr>
        <w:t>family</w:t>
      </w:r>
      <w:r>
        <w:rPr>
          <w:i/>
          <w:color w:val="000000" w:themeColor="text1"/>
        </w:rPr>
        <w:t>’</w:t>
      </w:r>
      <w:r w:rsidRPr="00E35DAB">
        <w:rPr>
          <w:rFonts w:hint="eastAsia"/>
          <w:i/>
          <w:color w:val="000000" w:themeColor="text1"/>
        </w:rPr>
        <w:t xml:space="preserve"> be defined for the purposes</w:t>
      </w:r>
      <w:r>
        <w:rPr>
          <w:i/>
          <w:color w:val="000000" w:themeColor="text1"/>
        </w:rPr>
        <w:t xml:space="preserve"> ‘</w:t>
      </w:r>
      <w:r w:rsidRPr="00E35DAB">
        <w:rPr>
          <w:rFonts w:hint="eastAsia"/>
          <w:i/>
          <w:color w:val="000000" w:themeColor="text1"/>
        </w:rPr>
        <w:t>assets for care</w:t>
      </w:r>
      <w:r>
        <w:rPr>
          <w:i/>
          <w:color w:val="000000" w:themeColor="text1"/>
        </w:rPr>
        <w:t xml:space="preserve">’ </w:t>
      </w:r>
      <w:r w:rsidRPr="00E35DAB">
        <w:rPr>
          <w:rFonts w:hint="eastAsia"/>
          <w:i/>
          <w:color w:val="000000" w:themeColor="text1"/>
        </w:rPr>
        <w:t>matters?</w:t>
      </w:r>
    </w:p>
    <w:p w:rsidR="009E5F6C" w:rsidRPr="0043691B" w:rsidRDefault="004161F6" w:rsidP="00E35DAB">
      <w:pPr>
        <w:spacing w:before="100" w:beforeAutospacing="1" w:after="100" w:afterAutospacing="1"/>
        <w:rPr>
          <w:color w:val="002060"/>
        </w:rPr>
      </w:pPr>
      <w:r>
        <w:rPr>
          <w:rFonts w:hint="eastAsia"/>
          <w:color w:val="000000"/>
        </w:rPr>
        <w:t xml:space="preserve">State Trustees agrees that the definition </w:t>
      </w:r>
      <w:r>
        <w:rPr>
          <w:color w:val="000000"/>
        </w:rPr>
        <w:t>of ‘</w:t>
      </w:r>
      <w:r>
        <w:rPr>
          <w:rFonts w:hint="eastAsia"/>
          <w:color w:val="000000"/>
        </w:rPr>
        <w:t>family</w:t>
      </w:r>
      <w:r>
        <w:rPr>
          <w:color w:val="000000"/>
        </w:rPr>
        <w:t xml:space="preserve">’ </w:t>
      </w:r>
      <w:r>
        <w:rPr>
          <w:rFonts w:hint="eastAsia"/>
          <w:color w:val="000000"/>
        </w:rPr>
        <w:t xml:space="preserve">should </w:t>
      </w:r>
      <w:r>
        <w:rPr>
          <w:color w:val="000000"/>
        </w:rPr>
        <w:t xml:space="preserve">extend to all family-like relationships, such as </w:t>
      </w:r>
      <w:r>
        <w:rPr>
          <w:rFonts w:hint="eastAsia"/>
          <w:color w:val="000000"/>
        </w:rPr>
        <w:t xml:space="preserve">same-sex </w:t>
      </w:r>
      <w:r>
        <w:rPr>
          <w:color w:val="000000"/>
        </w:rPr>
        <w:t xml:space="preserve">relationships, and </w:t>
      </w:r>
      <w:r>
        <w:rPr>
          <w:rFonts w:hint="eastAsia"/>
          <w:color w:val="000000"/>
        </w:rPr>
        <w:t>situations involving the children, nieces or nephews of a deceased partner.</w:t>
      </w:r>
      <w:r>
        <w:rPr>
          <w:color w:val="000000"/>
        </w:rPr>
        <w:t xml:space="preserve">  </w:t>
      </w:r>
    </w:p>
    <w:p w:rsidR="009E5F6C" w:rsidRPr="00E35DAB" w:rsidRDefault="009E5F6C" w:rsidP="00E35DAB">
      <w:pPr>
        <w:rPr>
          <w:rFonts w:eastAsia="Times New Roman" w:cs="Arial"/>
          <w:i/>
          <w:color w:val="000000" w:themeColor="text1"/>
          <w:lang w:eastAsia="en-AU"/>
        </w:rPr>
      </w:pPr>
      <w:r w:rsidRPr="00E35DAB">
        <w:rPr>
          <w:rFonts w:eastAsia="Times New Roman" w:cs="Arial"/>
          <w:b/>
          <w:bCs/>
          <w:i/>
          <w:color w:val="000000" w:themeColor="text1"/>
          <w:lang w:eastAsia="en-AU"/>
        </w:rPr>
        <w:t xml:space="preserve">Proposal 10–1 </w:t>
      </w:r>
      <w:r w:rsidR="000128AA">
        <w:rPr>
          <w:rFonts w:eastAsia="Times New Roman" w:cs="Arial"/>
          <w:b/>
          <w:bCs/>
          <w:i/>
          <w:color w:val="000000" w:themeColor="text1"/>
          <w:lang w:eastAsia="en-AU"/>
        </w:rPr>
        <w:br/>
      </w:r>
      <w:r w:rsidRPr="00E35DAB">
        <w:rPr>
          <w:rFonts w:eastAsia="Times New Roman" w:cs="Arial"/>
          <w:i/>
          <w:color w:val="000000" w:themeColor="text1"/>
          <w:lang w:eastAsia="en-AU"/>
        </w:rPr>
        <w:t>The Department of Human Services (</w:t>
      </w:r>
      <w:proofErr w:type="spellStart"/>
      <w:r w:rsidRPr="00E35DAB">
        <w:rPr>
          <w:rFonts w:eastAsia="Times New Roman" w:cs="Arial"/>
          <w:i/>
          <w:color w:val="000000" w:themeColor="text1"/>
          <w:lang w:eastAsia="en-AU"/>
        </w:rPr>
        <w:t>Cth</w:t>
      </w:r>
      <w:proofErr w:type="spellEnd"/>
      <w:r w:rsidRPr="00E35DAB">
        <w:rPr>
          <w:rFonts w:eastAsia="Times New Roman" w:cs="Arial"/>
          <w:i/>
          <w:color w:val="000000" w:themeColor="text1"/>
          <w:lang w:eastAsia="en-AU"/>
        </w:rPr>
        <w:t xml:space="preserve">) should develop an elder abuse strategy to prevent, identify and respond to the abuse of older persons in contact with </w:t>
      </w:r>
      <w:proofErr w:type="spellStart"/>
      <w:r w:rsidRPr="00E35DAB">
        <w:rPr>
          <w:rFonts w:eastAsia="Times New Roman" w:cs="Arial"/>
          <w:i/>
          <w:color w:val="000000" w:themeColor="text1"/>
          <w:lang w:eastAsia="en-AU"/>
        </w:rPr>
        <w:t>Centrelink</w:t>
      </w:r>
      <w:proofErr w:type="spellEnd"/>
      <w:r w:rsidRPr="00E35DAB">
        <w:rPr>
          <w:rFonts w:eastAsia="Times New Roman" w:cs="Arial"/>
          <w:i/>
          <w:color w:val="000000" w:themeColor="text1"/>
          <w:lang w:eastAsia="en-AU"/>
        </w:rPr>
        <w:t>.</w:t>
      </w:r>
    </w:p>
    <w:p w:rsidR="009E5F6C" w:rsidRDefault="009E5F6C" w:rsidP="009E5F6C"/>
    <w:p w:rsidR="009E5F6C" w:rsidRDefault="009E5F6C" w:rsidP="009E5F6C">
      <w:pPr>
        <w:outlineLvl w:val="1"/>
        <w:rPr>
          <w:rFonts w:eastAsia="Times New Roman" w:cs="Arial"/>
          <w:bCs/>
          <w:lang w:eastAsia="en-AU"/>
        </w:rPr>
      </w:pPr>
      <w:r>
        <w:rPr>
          <w:rFonts w:eastAsia="Times New Roman" w:cs="Arial"/>
          <w:bCs/>
          <w:lang w:eastAsia="en-AU"/>
        </w:rPr>
        <w:t>S</w:t>
      </w:r>
      <w:r w:rsidR="004161F6">
        <w:rPr>
          <w:rFonts w:eastAsia="Times New Roman" w:cs="Arial"/>
          <w:bCs/>
          <w:lang w:eastAsia="en-AU"/>
        </w:rPr>
        <w:t>tate Trustees s</w:t>
      </w:r>
      <w:r>
        <w:rPr>
          <w:rFonts w:eastAsia="Times New Roman" w:cs="Arial"/>
          <w:bCs/>
          <w:lang w:eastAsia="en-AU"/>
        </w:rPr>
        <w:t>upport</w:t>
      </w:r>
      <w:r w:rsidR="004161F6">
        <w:rPr>
          <w:rFonts w:eastAsia="Times New Roman" w:cs="Arial"/>
          <w:bCs/>
          <w:lang w:eastAsia="en-AU"/>
        </w:rPr>
        <w:t xml:space="preserve">s this proposal.  </w:t>
      </w:r>
    </w:p>
    <w:p w:rsidR="009E5F6C" w:rsidRPr="0043691B" w:rsidRDefault="009E5F6C" w:rsidP="009E5F6C">
      <w:pPr>
        <w:outlineLvl w:val="1"/>
        <w:rPr>
          <w:rFonts w:eastAsia="Times New Roman" w:cs="Arial"/>
          <w:bCs/>
          <w:color w:val="002060"/>
          <w:lang w:eastAsia="en-AU"/>
        </w:rPr>
      </w:pPr>
    </w:p>
    <w:p w:rsidR="009E5F6C" w:rsidRPr="00E35DAB" w:rsidRDefault="009E5F6C" w:rsidP="00E35DAB">
      <w:pPr>
        <w:rPr>
          <w:rFonts w:eastAsia="Times New Roman" w:cs="Arial"/>
          <w:i/>
          <w:color w:val="000000" w:themeColor="text1"/>
          <w:lang w:eastAsia="en-AU"/>
        </w:rPr>
      </w:pPr>
      <w:r w:rsidRPr="00E35DAB">
        <w:rPr>
          <w:rFonts w:eastAsia="Times New Roman" w:cs="Arial"/>
          <w:b/>
          <w:bCs/>
          <w:i/>
          <w:color w:val="000000" w:themeColor="text1"/>
          <w:lang w:eastAsia="en-AU"/>
        </w:rPr>
        <w:t>Proposal 11–9</w:t>
      </w:r>
      <w:r w:rsidRPr="00E35DAB">
        <w:rPr>
          <w:rFonts w:eastAsia="Times New Roman" w:cs="Arial"/>
          <w:i/>
          <w:color w:val="000000" w:themeColor="text1"/>
          <w:lang w:eastAsia="en-AU"/>
        </w:rPr>
        <w:t xml:space="preserve"> </w:t>
      </w:r>
      <w:r w:rsidR="000128AA">
        <w:rPr>
          <w:rFonts w:eastAsia="Times New Roman" w:cs="Arial"/>
          <w:i/>
          <w:color w:val="000000" w:themeColor="text1"/>
          <w:lang w:eastAsia="en-AU"/>
        </w:rPr>
        <w:br/>
      </w:r>
      <w:r w:rsidRPr="00E35DAB">
        <w:rPr>
          <w:rFonts w:eastAsia="Times New Roman" w:cs="Arial"/>
          <w:i/>
          <w:color w:val="000000" w:themeColor="text1"/>
          <w:lang w:eastAsia="en-AU"/>
        </w:rPr>
        <w:t>The Department of Health (</w:t>
      </w:r>
      <w:proofErr w:type="spellStart"/>
      <w:r w:rsidRPr="00E35DAB">
        <w:rPr>
          <w:rFonts w:eastAsia="Times New Roman" w:cs="Arial"/>
          <w:i/>
          <w:color w:val="000000" w:themeColor="text1"/>
          <w:lang w:eastAsia="en-AU"/>
        </w:rPr>
        <w:t>Cth</w:t>
      </w:r>
      <w:proofErr w:type="spellEnd"/>
      <w:r w:rsidRPr="00E35DAB">
        <w:rPr>
          <w:rFonts w:eastAsia="Times New Roman" w:cs="Arial"/>
          <w:i/>
          <w:color w:val="000000" w:themeColor="text1"/>
          <w:lang w:eastAsia="en-AU"/>
        </w:rPr>
        <w:t>) should develop national guidelines for the community visitors scheme that:</w:t>
      </w:r>
    </w:p>
    <w:p w:rsidR="009E5F6C" w:rsidRPr="00E35DAB" w:rsidRDefault="009E5F6C" w:rsidP="00E35DAB">
      <w:pPr>
        <w:rPr>
          <w:rFonts w:eastAsia="Times New Roman" w:cs="Arial"/>
          <w:i/>
          <w:color w:val="000000" w:themeColor="text1"/>
          <w:lang w:eastAsia="en-AU"/>
        </w:rPr>
      </w:pPr>
      <w:r w:rsidRPr="00E35DAB">
        <w:rPr>
          <w:rFonts w:eastAsia="Times New Roman" w:cs="Arial"/>
          <w:i/>
          <w:color w:val="000000" w:themeColor="text1"/>
          <w:lang w:eastAsia="en-AU"/>
        </w:rPr>
        <w:t xml:space="preserve">(a) </w:t>
      </w:r>
      <w:proofErr w:type="gramStart"/>
      <w:r w:rsidRPr="00E35DAB">
        <w:rPr>
          <w:rFonts w:eastAsia="Times New Roman" w:cs="Arial"/>
          <w:i/>
          <w:color w:val="000000" w:themeColor="text1"/>
          <w:lang w:eastAsia="en-AU"/>
        </w:rPr>
        <w:t>provide</w:t>
      </w:r>
      <w:proofErr w:type="gramEnd"/>
      <w:r w:rsidRPr="00E35DAB">
        <w:rPr>
          <w:rFonts w:eastAsia="Times New Roman" w:cs="Arial"/>
          <w:i/>
          <w:color w:val="000000" w:themeColor="text1"/>
          <w:lang w:eastAsia="en-AU"/>
        </w:rPr>
        <w:t xml:space="preserve"> policies and procedures for community visitors to follow if they have concerns about abuse or neglect of care recipients;</w:t>
      </w:r>
    </w:p>
    <w:p w:rsidR="009E5F6C" w:rsidRPr="00E35DAB" w:rsidRDefault="009E5F6C" w:rsidP="00E35DAB">
      <w:pPr>
        <w:rPr>
          <w:rFonts w:eastAsia="Times New Roman" w:cs="Arial"/>
          <w:i/>
          <w:color w:val="000000" w:themeColor="text1"/>
          <w:lang w:eastAsia="en-AU"/>
        </w:rPr>
      </w:pPr>
      <w:r w:rsidRPr="00E35DAB">
        <w:rPr>
          <w:rFonts w:eastAsia="Times New Roman" w:cs="Arial"/>
          <w:i/>
          <w:color w:val="000000" w:themeColor="text1"/>
          <w:lang w:eastAsia="en-AU"/>
        </w:rPr>
        <w:t xml:space="preserve">(b) </w:t>
      </w:r>
      <w:proofErr w:type="gramStart"/>
      <w:r w:rsidRPr="00E35DAB">
        <w:rPr>
          <w:rFonts w:eastAsia="Times New Roman" w:cs="Arial"/>
          <w:i/>
          <w:color w:val="000000" w:themeColor="text1"/>
          <w:lang w:eastAsia="en-AU"/>
        </w:rPr>
        <w:t>provide</w:t>
      </w:r>
      <w:proofErr w:type="gramEnd"/>
      <w:r w:rsidRPr="00E35DAB">
        <w:rPr>
          <w:rFonts w:eastAsia="Times New Roman" w:cs="Arial"/>
          <w:i/>
          <w:color w:val="000000" w:themeColor="text1"/>
          <w:lang w:eastAsia="en-AU"/>
        </w:rPr>
        <w:t xml:space="preserve"> policies and procedures for community visitors to refer care recipients to advocacy services or complaints mechanisms where this may assist them; and</w:t>
      </w:r>
    </w:p>
    <w:p w:rsidR="009E5F6C" w:rsidRPr="00E35DAB" w:rsidRDefault="009E5F6C" w:rsidP="00E35DAB">
      <w:pPr>
        <w:rPr>
          <w:rFonts w:eastAsia="Times New Roman" w:cs="Arial"/>
          <w:i/>
          <w:color w:val="000000" w:themeColor="text1"/>
          <w:lang w:eastAsia="en-AU"/>
        </w:rPr>
      </w:pPr>
      <w:r w:rsidRPr="00E35DAB">
        <w:rPr>
          <w:rFonts w:eastAsia="Times New Roman" w:cs="Arial"/>
          <w:i/>
          <w:color w:val="000000" w:themeColor="text1"/>
          <w:lang w:eastAsia="en-AU"/>
        </w:rPr>
        <w:t xml:space="preserve">(c) </w:t>
      </w:r>
      <w:proofErr w:type="gramStart"/>
      <w:r w:rsidRPr="00E35DAB">
        <w:rPr>
          <w:rFonts w:eastAsia="Times New Roman" w:cs="Arial"/>
          <w:i/>
          <w:color w:val="000000" w:themeColor="text1"/>
          <w:lang w:eastAsia="en-AU"/>
        </w:rPr>
        <w:t>require</w:t>
      </w:r>
      <w:proofErr w:type="gramEnd"/>
      <w:r w:rsidRPr="00E35DAB">
        <w:rPr>
          <w:rFonts w:eastAsia="Times New Roman" w:cs="Arial"/>
          <w:i/>
          <w:color w:val="000000" w:themeColor="text1"/>
          <w:lang w:eastAsia="en-AU"/>
        </w:rPr>
        <w:t xml:space="preserve"> training of community visitors in these policies and procedures.</w:t>
      </w:r>
    </w:p>
    <w:p w:rsidR="009E5F6C" w:rsidRDefault="009E5F6C" w:rsidP="009E5F6C"/>
    <w:p w:rsidR="00C5766B" w:rsidRDefault="000128AA" w:rsidP="00E35DAB">
      <w:pPr>
        <w:outlineLvl w:val="1"/>
        <w:rPr>
          <w:rFonts w:eastAsia="Times New Roman" w:cs="Arial"/>
          <w:bCs/>
          <w:lang w:eastAsia="en-AU"/>
        </w:rPr>
      </w:pPr>
      <w:r>
        <w:rPr>
          <w:rFonts w:eastAsia="Times New Roman" w:cs="Arial"/>
          <w:bCs/>
          <w:lang w:eastAsia="en-AU"/>
        </w:rPr>
        <w:t>State Trustees supports this proposal.</w:t>
      </w:r>
    </w:p>
    <w:p w:rsidR="00C5766B" w:rsidRDefault="00C5766B" w:rsidP="00E35DAB">
      <w:pPr>
        <w:outlineLvl w:val="1"/>
        <w:rPr>
          <w:rFonts w:eastAsia="Times New Roman" w:cs="Arial"/>
          <w:bCs/>
          <w:lang w:eastAsia="en-AU"/>
        </w:rPr>
      </w:pPr>
    </w:p>
    <w:p w:rsidR="00C5766B" w:rsidRDefault="00C5766B" w:rsidP="00E35DAB">
      <w:pPr>
        <w:outlineLvl w:val="1"/>
        <w:rPr>
          <w:rFonts w:eastAsia="Times New Roman" w:cs="Arial"/>
          <w:bCs/>
          <w:lang w:eastAsia="en-AU"/>
        </w:rPr>
      </w:pPr>
    </w:p>
    <w:p w:rsidR="00C5766B" w:rsidRDefault="00C5766B" w:rsidP="00E35DAB">
      <w:pPr>
        <w:outlineLvl w:val="1"/>
        <w:rPr>
          <w:rFonts w:eastAsia="Times New Roman" w:cs="Arial"/>
          <w:bCs/>
          <w:lang w:eastAsia="en-AU"/>
        </w:rPr>
      </w:pPr>
    </w:p>
    <w:p w:rsidR="00C5766B" w:rsidRDefault="00C5766B" w:rsidP="00E35DAB">
      <w:pPr>
        <w:outlineLvl w:val="1"/>
        <w:rPr>
          <w:rFonts w:eastAsia="Times New Roman" w:cs="Arial"/>
          <w:bCs/>
          <w:lang w:eastAsia="en-AU"/>
        </w:rPr>
      </w:pPr>
      <w:r>
        <w:rPr>
          <w:rFonts w:eastAsia="Times New Roman" w:cs="Arial"/>
          <w:bCs/>
          <w:lang w:eastAsia="en-AU"/>
        </w:rPr>
        <w:t xml:space="preserve">We welcome any queries you may have in relation to this submission.  In this regard, feel free to contact Mr Adam </w:t>
      </w:r>
      <w:proofErr w:type="spellStart"/>
      <w:r>
        <w:rPr>
          <w:rFonts w:eastAsia="Times New Roman" w:cs="Arial"/>
          <w:bCs/>
          <w:lang w:eastAsia="en-AU"/>
        </w:rPr>
        <w:t>Wakeling</w:t>
      </w:r>
      <w:proofErr w:type="spellEnd"/>
      <w:r w:rsidR="00BB1BF9">
        <w:rPr>
          <w:rFonts w:eastAsia="Times New Roman" w:cs="Arial"/>
          <w:bCs/>
          <w:lang w:eastAsia="en-AU"/>
        </w:rPr>
        <w:t>, whose contact details are</w:t>
      </w:r>
      <w:r>
        <w:rPr>
          <w:rFonts w:eastAsia="Times New Roman" w:cs="Arial"/>
          <w:bCs/>
          <w:lang w:eastAsia="en-AU"/>
        </w:rPr>
        <w:t>:</w:t>
      </w:r>
    </w:p>
    <w:p w:rsidR="00C5766B" w:rsidRDefault="00C5766B" w:rsidP="00E35DAB">
      <w:pPr>
        <w:outlineLvl w:val="1"/>
        <w:rPr>
          <w:rFonts w:eastAsia="Times New Roman" w:cs="Arial"/>
          <w:bCs/>
          <w:lang w:eastAsia="en-AU"/>
        </w:rPr>
      </w:pPr>
    </w:p>
    <w:p w:rsidR="00C5766B" w:rsidRDefault="00C5766B" w:rsidP="00E35DAB">
      <w:pPr>
        <w:outlineLvl w:val="1"/>
        <w:rPr>
          <w:rFonts w:eastAsia="Times New Roman" w:cs="Arial"/>
          <w:bCs/>
          <w:lang w:eastAsia="en-AU"/>
        </w:rPr>
      </w:pPr>
      <w:r>
        <w:rPr>
          <w:rFonts w:eastAsia="Times New Roman" w:cs="Arial"/>
          <w:bCs/>
          <w:lang w:eastAsia="en-AU"/>
        </w:rPr>
        <w:t xml:space="preserve">Phone: </w:t>
      </w:r>
      <w:r>
        <w:rPr>
          <w:rFonts w:eastAsia="Times New Roman" w:cs="Arial"/>
          <w:bCs/>
          <w:lang w:eastAsia="en-AU"/>
        </w:rPr>
        <w:tab/>
        <w:t>(03)</w:t>
      </w:r>
      <w:r w:rsidR="000128AA">
        <w:rPr>
          <w:rFonts w:eastAsia="Times New Roman" w:cs="Arial"/>
          <w:bCs/>
          <w:lang w:eastAsia="en-AU"/>
        </w:rPr>
        <w:t xml:space="preserve"> </w:t>
      </w:r>
      <w:r>
        <w:rPr>
          <w:rFonts w:eastAsia="Times New Roman" w:cs="Arial"/>
          <w:bCs/>
          <w:lang w:eastAsia="en-AU"/>
        </w:rPr>
        <w:t xml:space="preserve">9667 6022 or </w:t>
      </w:r>
    </w:p>
    <w:p w:rsidR="00C5766B" w:rsidRDefault="00C5766B" w:rsidP="00E35DAB">
      <w:pPr>
        <w:outlineLvl w:val="1"/>
        <w:rPr>
          <w:rFonts w:eastAsia="Times New Roman" w:cs="Arial"/>
          <w:bCs/>
          <w:lang w:eastAsia="en-AU"/>
        </w:rPr>
      </w:pPr>
      <w:r>
        <w:rPr>
          <w:rFonts w:eastAsia="Times New Roman" w:cs="Arial"/>
          <w:bCs/>
          <w:lang w:eastAsia="en-AU"/>
        </w:rPr>
        <w:t xml:space="preserve">Email: </w:t>
      </w:r>
      <w:r>
        <w:rPr>
          <w:rFonts w:eastAsia="Times New Roman" w:cs="Arial"/>
          <w:bCs/>
          <w:lang w:eastAsia="en-AU"/>
        </w:rPr>
        <w:tab/>
      </w:r>
      <w:r>
        <w:rPr>
          <w:rFonts w:eastAsia="Times New Roman" w:cs="Arial"/>
          <w:bCs/>
          <w:lang w:eastAsia="en-AU"/>
        </w:rPr>
        <w:tab/>
        <w:t>adam.wakeling@statetrustees.com.au</w:t>
      </w:r>
    </w:p>
    <w:p w:rsidR="00C5766B" w:rsidRDefault="00C5766B" w:rsidP="00E35DAB">
      <w:pPr>
        <w:outlineLvl w:val="1"/>
        <w:rPr>
          <w:rFonts w:eastAsia="Times New Roman" w:cs="Arial"/>
          <w:bCs/>
          <w:lang w:eastAsia="en-AU"/>
        </w:rPr>
      </w:pPr>
    </w:p>
    <w:p w:rsidR="00C5766B" w:rsidRDefault="00C5766B" w:rsidP="00E35DAB">
      <w:pPr>
        <w:outlineLvl w:val="1"/>
        <w:rPr>
          <w:rFonts w:eastAsia="Times New Roman" w:cs="Arial"/>
          <w:bCs/>
          <w:lang w:eastAsia="en-AU"/>
        </w:rPr>
      </w:pPr>
    </w:p>
    <w:p w:rsidR="00C5766B" w:rsidRDefault="00C5766B" w:rsidP="00E35DAB">
      <w:pPr>
        <w:outlineLvl w:val="1"/>
        <w:rPr>
          <w:rFonts w:eastAsia="Times New Roman" w:cs="Arial"/>
          <w:bCs/>
          <w:lang w:eastAsia="en-AU"/>
        </w:rPr>
      </w:pPr>
    </w:p>
    <w:p w:rsidR="00BB1BF9" w:rsidRDefault="00BB1BF9" w:rsidP="00E35DAB">
      <w:pPr>
        <w:outlineLvl w:val="1"/>
        <w:rPr>
          <w:rFonts w:eastAsia="Times New Roman" w:cs="Arial"/>
          <w:bCs/>
          <w:lang w:eastAsia="en-AU"/>
        </w:rPr>
      </w:pPr>
    </w:p>
    <w:p w:rsidR="00BB1BF9" w:rsidRDefault="00BB1BF9" w:rsidP="00E35DAB">
      <w:pPr>
        <w:outlineLvl w:val="1"/>
        <w:rPr>
          <w:rFonts w:eastAsia="Times New Roman" w:cs="Arial"/>
          <w:bCs/>
          <w:lang w:eastAsia="en-AU"/>
        </w:rPr>
      </w:pPr>
    </w:p>
    <w:p w:rsidR="005129FC" w:rsidRDefault="00C5766B" w:rsidP="00E35DAB">
      <w:pPr>
        <w:outlineLvl w:val="1"/>
      </w:pPr>
      <w:r w:rsidRPr="00E35DAB">
        <w:rPr>
          <w:rFonts w:eastAsia="Times New Roman" w:cs="Arial"/>
          <w:b/>
          <w:bCs/>
          <w:lang w:eastAsia="en-AU"/>
        </w:rPr>
        <w:t>State Trustees Limited</w:t>
      </w:r>
      <w:r>
        <w:rPr>
          <w:rFonts w:eastAsia="Times New Roman" w:cs="Arial"/>
          <w:bCs/>
          <w:lang w:eastAsia="en-AU"/>
        </w:rPr>
        <w:br/>
        <w:t xml:space="preserve">6 March 2017 </w:t>
      </w:r>
      <w:r w:rsidR="000128AA">
        <w:rPr>
          <w:rFonts w:eastAsia="Times New Roman" w:cs="Arial"/>
          <w:bCs/>
          <w:lang w:eastAsia="en-AU"/>
        </w:rPr>
        <w:t xml:space="preserve"> </w:t>
      </w:r>
    </w:p>
    <w:sectPr w:rsidR="005129FC" w:rsidSect="00C529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5E" w:rsidRDefault="009D575E" w:rsidP="009E5F6C">
      <w:r>
        <w:separator/>
      </w:r>
    </w:p>
  </w:endnote>
  <w:endnote w:type="continuationSeparator" w:id="0">
    <w:p w:rsidR="009D575E" w:rsidRDefault="009D575E" w:rsidP="009E5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A9" w:rsidRDefault="00CC6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82842"/>
      <w:docPartObj>
        <w:docPartGallery w:val="Page Numbers (Bottom of Page)"/>
        <w:docPartUnique/>
      </w:docPartObj>
    </w:sdtPr>
    <w:sdtEndPr>
      <w:rPr>
        <w:noProof/>
      </w:rPr>
    </w:sdtEndPr>
    <w:sdtContent>
      <w:p w:rsidR="00455CE0" w:rsidRDefault="00FA54CD">
        <w:pPr>
          <w:pStyle w:val="Footer"/>
          <w:jc w:val="right"/>
        </w:pPr>
        <w:r>
          <w:fldChar w:fldCharType="begin"/>
        </w:r>
        <w:r w:rsidR="00455CE0">
          <w:instrText xml:space="preserve"> PAGE   \* MERGEFORMAT </w:instrText>
        </w:r>
        <w:r>
          <w:fldChar w:fldCharType="separate"/>
        </w:r>
        <w:r w:rsidR="00496B02">
          <w:rPr>
            <w:noProof/>
          </w:rPr>
          <w:t>1</w:t>
        </w:r>
        <w:r>
          <w:rPr>
            <w:noProof/>
          </w:rPr>
          <w:fldChar w:fldCharType="end"/>
        </w:r>
      </w:p>
    </w:sdtContent>
  </w:sdt>
  <w:p w:rsidR="00455CE0" w:rsidRDefault="00455C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A9" w:rsidRDefault="00CC6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5E" w:rsidRDefault="009D575E" w:rsidP="009E5F6C">
      <w:r>
        <w:separator/>
      </w:r>
    </w:p>
  </w:footnote>
  <w:footnote w:type="continuationSeparator" w:id="0">
    <w:p w:rsidR="009D575E" w:rsidRDefault="009D575E" w:rsidP="009E5F6C">
      <w:r>
        <w:continuationSeparator/>
      </w:r>
    </w:p>
  </w:footnote>
  <w:footnote w:id="1">
    <w:p w:rsidR="00455CE0" w:rsidRPr="00E35DAB" w:rsidRDefault="00455CE0">
      <w:pPr>
        <w:pStyle w:val="FootnoteText"/>
        <w:rPr>
          <w:lang w:val="en-GB"/>
        </w:rPr>
      </w:pPr>
      <w:r>
        <w:rPr>
          <w:rStyle w:val="FootnoteReference"/>
        </w:rPr>
        <w:footnoteRef/>
      </w:r>
      <w:r>
        <w:t xml:space="preserve"> </w:t>
      </w:r>
      <w:r>
        <w:rPr>
          <w:lang w:val="en-GB"/>
        </w:rPr>
        <w:t xml:space="preserve">The Act commences on 12 March 2018, if an earlier commencement is not proclaimed.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A9" w:rsidRDefault="00CC6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A9" w:rsidRDefault="00CC6CA9">
    <w:pPr>
      <w:pStyle w:val="Header"/>
      <w:rPr>
        <w:i/>
      </w:rPr>
    </w:pPr>
    <w:r>
      <w:rPr>
        <w:i/>
      </w:rPr>
      <w:t>367.</w:t>
    </w:r>
  </w:p>
  <w:p w:rsidR="00455CE0" w:rsidRPr="00EA14B4" w:rsidRDefault="00455CE0">
    <w:pPr>
      <w:pStyle w:val="Header"/>
      <w:rPr>
        <w:i/>
      </w:rPr>
    </w:pPr>
    <w:r>
      <w:rPr>
        <w:i/>
      </w:rPr>
      <w:t>State Trustees Submission – ALRC Elder Abuse Discussion Paper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A9" w:rsidRDefault="00CC6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357"/>
    <w:multiLevelType w:val="hybridMultilevel"/>
    <w:tmpl w:val="743A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257A6"/>
    <w:multiLevelType w:val="multilevel"/>
    <w:tmpl w:val="7B06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173DA"/>
    <w:multiLevelType w:val="multilevel"/>
    <w:tmpl w:val="C86ECC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343B60"/>
    <w:multiLevelType w:val="hybridMultilevel"/>
    <w:tmpl w:val="BAF866C8"/>
    <w:lvl w:ilvl="0" w:tplc="697E913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3CB0B38"/>
    <w:multiLevelType w:val="hybridMultilevel"/>
    <w:tmpl w:val="F7B448BE"/>
    <w:lvl w:ilvl="0" w:tplc="3C68CE5A">
      <w:start w:val="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AF1685D"/>
    <w:multiLevelType w:val="hybridMultilevel"/>
    <w:tmpl w:val="2A5099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BB1806"/>
    <w:multiLevelType w:val="hybridMultilevel"/>
    <w:tmpl w:val="84788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F6C"/>
    <w:rsid w:val="00006F8A"/>
    <w:rsid w:val="000128AA"/>
    <w:rsid w:val="00014D18"/>
    <w:rsid w:val="0004400A"/>
    <w:rsid w:val="000714F0"/>
    <w:rsid w:val="00095097"/>
    <w:rsid w:val="000C6BC5"/>
    <w:rsid w:val="000D357B"/>
    <w:rsid w:val="0010469E"/>
    <w:rsid w:val="0011369F"/>
    <w:rsid w:val="00122F19"/>
    <w:rsid w:val="00137B99"/>
    <w:rsid w:val="001501AB"/>
    <w:rsid w:val="001910BB"/>
    <w:rsid w:val="00194225"/>
    <w:rsid w:val="00195AB9"/>
    <w:rsid w:val="001A03D3"/>
    <w:rsid w:val="001A3709"/>
    <w:rsid w:val="001A5ACE"/>
    <w:rsid w:val="001B7617"/>
    <w:rsid w:val="001D140D"/>
    <w:rsid w:val="001F2D77"/>
    <w:rsid w:val="001F3392"/>
    <w:rsid w:val="00206A72"/>
    <w:rsid w:val="00231E63"/>
    <w:rsid w:val="002624BD"/>
    <w:rsid w:val="00262CDE"/>
    <w:rsid w:val="00280FB2"/>
    <w:rsid w:val="00290AB7"/>
    <w:rsid w:val="002A6563"/>
    <w:rsid w:val="002C4F52"/>
    <w:rsid w:val="00376598"/>
    <w:rsid w:val="00383C73"/>
    <w:rsid w:val="00385446"/>
    <w:rsid w:val="003A2C6F"/>
    <w:rsid w:val="003E6B01"/>
    <w:rsid w:val="004161F6"/>
    <w:rsid w:val="00455ACA"/>
    <w:rsid w:val="00455CE0"/>
    <w:rsid w:val="00460607"/>
    <w:rsid w:val="00496B02"/>
    <w:rsid w:val="004A1415"/>
    <w:rsid w:val="004A51CB"/>
    <w:rsid w:val="00502E1D"/>
    <w:rsid w:val="005129FC"/>
    <w:rsid w:val="005218AF"/>
    <w:rsid w:val="0058567C"/>
    <w:rsid w:val="005932C9"/>
    <w:rsid w:val="005E47DC"/>
    <w:rsid w:val="00631E54"/>
    <w:rsid w:val="006924F3"/>
    <w:rsid w:val="006E2B92"/>
    <w:rsid w:val="0070162B"/>
    <w:rsid w:val="00731427"/>
    <w:rsid w:val="00853868"/>
    <w:rsid w:val="00866A78"/>
    <w:rsid w:val="008C3D6A"/>
    <w:rsid w:val="008E0423"/>
    <w:rsid w:val="008E3ABA"/>
    <w:rsid w:val="008F0F99"/>
    <w:rsid w:val="00907425"/>
    <w:rsid w:val="00912A50"/>
    <w:rsid w:val="00924772"/>
    <w:rsid w:val="00957897"/>
    <w:rsid w:val="009833C0"/>
    <w:rsid w:val="009A3AC1"/>
    <w:rsid w:val="009D575E"/>
    <w:rsid w:val="009E5F6C"/>
    <w:rsid w:val="00A55E76"/>
    <w:rsid w:val="00A75FEB"/>
    <w:rsid w:val="00A81B3F"/>
    <w:rsid w:val="00AB0D28"/>
    <w:rsid w:val="00AB785F"/>
    <w:rsid w:val="00B04A57"/>
    <w:rsid w:val="00B3517F"/>
    <w:rsid w:val="00B37B3C"/>
    <w:rsid w:val="00B43466"/>
    <w:rsid w:val="00BB1BF9"/>
    <w:rsid w:val="00BE6A6C"/>
    <w:rsid w:val="00C01DBA"/>
    <w:rsid w:val="00C269C4"/>
    <w:rsid w:val="00C529EA"/>
    <w:rsid w:val="00C5766B"/>
    <w:rsid w:val="00C74522"/>
    <w:rsid w:val="00C956AB"/>
    <w:rsid w:val="00CC6CA9"/>
    <w:rsid w:val="00CD2227"/>
    <w:rsid w:val="00D956A4"/>
    <w:rsid w:val="00DF0C96"/>
    <w:rsid w:val="00E255C9"/>
    <w:rsid w:val="00E35DAB"/>
    <w:rsid w:val="00E50789"/>
    <w:rsid w:val="00E5239D"/>
    <w:rsid w:val="00E56807"/>
    <w:rsid w:val="00E97B20"/>
    <w:rsid w:val="00EA4464"/>
    <w:rsid w:val="00F371DF"/>
    <w:rsid w:val="00F42584"/>
    <w:rsid w:val="00F506DB"/>
    <w:rsid w:val="00F63EC4"/>
    <w:rsid w:val="00F76732"/>
    <w:rsid w:val="00FA54CD"/>
    <w:rsid w:val="00FE25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6C"/>
    <w:pPr>
      <w:spacing w:after="0" w:line="240" w:lineRule="auto"/>
    </w:pPr>
    <w:rPr>
      <w:rFonts w:ascii="Arial" w:hAnsi="Arial"/>
    </w:rPr>
  </w:style>
  <w:style w:type="paragraph" w:styleId="Heading3">
    <w:name w:val="heading 3"/>
    <w:basedOn w:val="Normal"/>
    <w:link w:val="Heading3Char"/>
    <w:uiPriority w:val="9"/>
    <w:unhideWhenUsed/>
    <w:qFormat/>
    <w:rsid w:val="003A2C6F"/>
    <w:pPr>
      <w:spacing w:before="100" w:beforeAutospacing="1" w:after="100" w:afterAutospacing="1"/>
      <w:outlineLvl w:val="2"/>
    </w:pPr>
    <w:rPr>
      <w:rFonts w:ascii="PMingLiU" w:eastAsia="PMingLiU" w:hAnsi="PMingLiU" w:cs="PMingLiU"/>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6C"/>
    <w:pPr>
      <w:tabs>
        <w:tab w:val="center" w:pos="4513"/>
        <w:tab w:val="right" w:pos="9026"/>
      </w:tabs>
    </w:pPr>
  </w:style>
  <w:style w:type="character" w:customStyle="1" w:styleId="HeaderChar">
    <w:name w:val="Header Char"/>
    <w:basedOn w:val="DefaultParagraphFont"/>
    <w:link w:val="Header"/>
    <w:uiPriority w:val="99"/>
    <w:rsid w:val="009E5F6C"/>
    <w:rPr>
      <w:rFonts w:ascii="Arial" w:hAnsi="Arial"/>
    </w:rPr>
  </w:style>
  <w:style w:type="paragraph" w:styleId="Footer">
    <w:name w:val="footer"/>
    <w:basedOn w:val="Normal"/>
    <w:link w:val="FooterChar"/>
    <w:uiPriority w:val="99"/>
    <w:unhideWhenUsed/>
    <w:rsid w:val="009E5F6C"/>
    <w:pPr>
      <w:tabs>
        <w:tab w:val="center" w:pos="4513"/>
        <w:tab w:val="right" w:pos="9026"/>
      </w:tabs>
    </w:pPr>
  </w:style>
  <w:style w:type="character" w:customStyle="1" w:styleId="FooterChar">
    <w:name w:val="Footer Char"/>
    <w:basedOn w:val="DefaultParagraphFont"/>
    <w:link w:val="Footer"/>
    <w:uiPriority w:val="99"/>
    <w:rsid w:val="009E5F6C"/>
    <w:rPr>
      <w:rFonts w:ascii="Arial" w:hAnsi="Arial"/>
    </w:rPr>
  </w:style>
  <w:style w:type="character" w:styleId="CommentReference">
    <w:name w:val="annotation reference"/>
    <w:basedOn w:val="DefaultParagraphFont"/>
    <w:uiPriority w:val="99"/>
    <w:semiHidden/>
    <w:unhideWhenUsed/>
    <w:rsid w:val="009E5F6C"/>
    <w:rPr>
      <w:sz w:val="16"/>
      <w:szCs w:val="16"/>
    </w:rPr>
  </w:style>
  <w:style w:type="paragraph" w:styleId="CommentText">
    <w:name w:val="annotation text"/>
    <w:basedOn w:val="Normal"/>
    <w:link w:val="CommentTextChar"/>
    <w:uiPriority w:val="99"/>
    <w:semiHidden/>
    <w:unhideWhenUsed/>
    <w:rsid w:val="009E5F6C"/>
    <w:rPr>
      <w:sz w:val="20"/>
      <w:szCs w:val="20"/>
    </w:rPr>
  </w:style>
  <w:style w:type="character" w:customStyle="1" w:styleId="CommentTextChar">
    <w:name w:val="Comment Text Char"/>
    <w:basedOn w:val="DefaultParagraphFont"/>
    <w:link w:val="CommentText"/>
    <w:uiPriority w:val="99"/>
    <w:semiHidden/>
    <w:rsid w:val="009E5F6C"/>
    <w:rPr>
      <w:rFonts w:ascii="Arial" w:hAnsi="Arial"/>
      <w:sz w:val="20"/>
      <w:szCs w:val="20"/>
    </w:rPr>
  </w:style>
  <w:style w:type="paragraph" w:styleId="ListParagraph">
    <w:name w:val="List Paragraph"/>
    <w:basedOn w:val="Normal"/>
    <w:uiPriority w:val="34"/>
    <w:qFormat/>
    <w:rsid w:val="009E5F6C"/>
    <w:pPr>
      <w:ind w:left="720"/>
      <w:contextualSpacing/>
    </w:pPr>
  </w:style>
  <w:style w:type="table" w:styleId="TableGrid">
    <w:name w:val="Table Grid"/>
    <w:basedOn w:val="TableNormal"/>
    <w:uiPriority w:val="39"/>
    <w:rsid w:val="009E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F6C"/>
    <w:rPr>
      <w:color w:val="0563C1" w:themeColor="hyperlink"/>
      <w:u w:val="single"/>
    </w:rPr>
  </w:style>
  <w:style w:type="paragraph" w:styleId="FootnoteText">
    <w:name w:val="footnote text"/>
    <w:basedOn w:val="Normal"/>
    <w:link w:val="FootnoteTextChar"/>
    <w:uiPriority w:val="99"/>
    <w:semiHidden/>
    <w:unhideWhenUsed/>
    <w:rsid w:val="009E5F6C"/>
    <w:rPr>
      <w:sz w:val="20"/>
      <w:szCs w:val="20"/>
    </w:rPr>
  </w:style>
  <w:style w:type="character" w:customStyle="1" w:styleId="FootnoteTextChar">
    <w:name w:val="Footnote Text Char"/>
    <w:basedOn w:val="DefaultParagraphFont"/>
    <w:link w:val="FootnoteText"/>
    <w:uiPriority w:val="99"/>
    <w:semiHidden/>
    <w:rsid w:val="009E5F6C"/>
    <w:rPr>
      <w:rFonts w:ascii="Arial" w:hAnsi="Arial"/>
      <w:sz w:val="20"/>
      <w:szCs w:val="20"/>
    </w:rPr>
  </w:style>
  <w:style w:type="character" w:styleId="FootnoteReference">
    <w:name w:val="footnote reference"/>
    <w:basedOn w:val="DefaultParagraphFont"/>
    <w:uiPriority w:val="99"/>
    <w:semiHidden/>
    <w:unhideWhenUsed/>
    <w:rsid w:val="009E5F6C"/>
    <w:rPr>
      <w:vertAlign w:val="superscript"/>
    </w:rPr>
  </w:style>
  <w:style w:type="paragraph" w:customStyle="1" w:styleId="Default">
    <w:name w:val="Default"/>
    <w:rsid w:val="009E5F6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5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6C"/>
    <w:rPr>
      <w:rFonts w:ascii="Segoe UI" w:hAnsi="Segoe UI" w:cs="Segoe UI"/>
      <w:sz w:val="18"/>
      <w:szCs w:val="18"/>
    </w:rPr>
  </w:style>
  <w:style w:type="paragraph" w:styleId="NormalWeb">
    <w:name w:val="Normal (Web)"/>
    <w:basedOn w:val="Normal"/>
    <w:uiPriority w:val="99"/>
    <w:semiHidden/>
    <w:unhideWhenUsed/>
    <w:rsid w:val="001F2D77"/>
    <w:rPr>
      <w:rFonts w:ascii="PMingLiU" w:eastAsia="PMingLiU" w:hAnsi="PMingLiU" w:cs="PMingLiU"/>
      <w:sz w:val="24"/>
      <w:szCs w:val="24"/>
      <w:lang w:eastAsia="zh-TW"/>
    </w:rPr>
  </w:style>
  <w:style w:type="character" w:customStyle="1" w:styleId="Heading3Char">
    <w:name w:val="Heading 3 Char"/>
    <w:basedOn w:val="DefaultParagraphFont"/>
    <w:link w:val="Heading3"/>
    <w:uiPriority w:val="9"/>
    <w:rsid w:val="003A2C6F"/>
    <w:rPr>
      <w:rFonts w:ascii="PMingLiU" w:eastAsia="PMingLiU" w:hAnsi="PMingLiU" w:cs="PMingLiU"/>
      <w:b/>
      <w:bCs/>
      <w:sz w:val="27"/>
      <w:szCs w:val="27"/>
      <w:lang w:eastAsia="zh-TW"/>
    </w:rPr>
  </w:style>
  <w:style w:type="paragraph" w:styleId="Revision">
    <w:name w:val="Revision"/>
    <w:hidden/>
    <w:uiPriority w:val="99"/>
    <w:semiHidden/>
    <w:rsid w:val="00866A78"/>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376778037">
      <w:bodyDiv w:val="1"/>
      <w:marLeft w:val="0"/>
      <w:marRight w:val="0"/>
      <w:marTop w:val="0"/>
      <w:marBottom w:val="0"/>
      <w:divBdr>
        <w:top w:val="none" w:sz="0" w:space="0" w:color="auto"/>
        <w:left w:val="none" w:sz="0" w:space="0" w:color="auto"/>
        <w:bottom w:val="none" w:sz="0" w:space="0" w:color="auto"/>
        <w:right w:val="none" w:sz="0" w:space="0" w:color="auto"/>
      </w:divBdr>
    </w:div>
    <w:div w:id="894661216">
      <w:bodyDiv w:val="1"/>
      <w:marLeft w:val="0"/>
      <w:marRight w:val="0"/>
      <w:marTop w:val="0"/>
      <w:marBottom w:val="0"/>
      <w:divBdr>
        <w:top w:val="none" w:sz="0" w:space="0" w:color="auto"/>
        <w:left w:val="none" w:sz="0" w:space="0" w:color="auto"/>
        <w:bottom w:val="none" w:sz="0" w:space="0" w:color="auto"/>
        <w:right w:val="none" w:sz="0" w:space="0" w:color="auto"/>
      </w:divBdr>
    </w:div>
    <w:div w:id="1321807477">
      <w:bodyDiv w:val="1"/>
      <w:marLeft w:val="0"/>
      <w:marRight w:val="0"/>
      <w:marTop w:val="0"/>
      <w:marBottom w:val="0"/>
      <w:divBdr>
        <w:top w:val="none" w:sz="0" w:space="0" w:color="auto"/>
        <w:left w:val="none" w:sz="0" w:space="0" w:color="auto"/>
        <w:bottom w:val="none" w:sz="0" w:space="0" w:color="auto"/>
        <w:right w:val="none" w:sz="0" w:space="0" w:color="auto"/>
      </w:divBdr>
    </w:div>
    <w:div w:id="1373845527">
      <w:bodyDiv w:val="1"/>
      <w:marLeft w:val="0"/>
      <w:marRight w:val="0"/>
      <w:marTop w:val="0"/>
      <w:marBottom w:val="0"/>
      <w:divBdr>
        <w:top w:val="none" w:sz="0" w:space="0" w:color="auto"/>
        <w:left w:val="none" w:sz="0" w:space="0" w:color="auto"/>
        <w:bottom w:val="none" w:sz="0" w:space="0" w:color="auto"/>
        <w:right w:val="none" w:sz="0" w:space="0" w:color="auto"/>
      </w:divBdr>
    </w:div>
    <w:div w:id="1751851667">
      <w:bodyDiv w:val="1"/>
      <w:marLeft w:val="0"/>
      <w:marRight w:val="0"/>
      <w:marTop w:val="0"/>
      <w:marBottom w:val="0"/>
      <w:divBdr>
        <w:top w:val="none" w:sz="0" w:space="0" w:color="auto"/>
        <w:left w:val="none" w:sz="0" w:space="0" w:color="auto"/>
        <w:bottom w:val="none" w:sz="0" w:space="0" w:color="auto"/>
        <w:right w:val="none" w:sz="0" w:space="0" w:color="auto"/>
      </w:divBdr>
    </w:div>
    <w:div w:id="19411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11481D3002964AAB840DF1B36A72B215" version="1.0.0">
  <systemFields>
    <field name="Objective-Id">
      <value order="0">A5006410</value>
    </field>
    <field name="Objective-Title">
      <value order="0">2017 03 06 - ALRC Elder Abuse Discussion Paper - State Trustees Submission DRAFT - Final</value>
    </field>
    <field name="Objective-Description">
      <value order="0"/>
    </field>
    <field name="Objective-CreationStamp">
      <value order="0">2017-03-05T22:25:29Z</value>
    </field>
    <field name="Objective-IsApproved">
      <value order="0">false</value>
    </field>
    <field name="Objective-IsPublished">
      <value order="0">true</value>
    </field>
    <field name="Objective-DatePublished">
      <value order="0">2017-03-06T02:45:08Z</value>
    </field>
    <field name="Objective-ModificationStamp">
      <value order="0">2017-03-06T02:45:08Z</value>
    </field>
    <field name="Objective-Owner">
      <value order="0">Adam Wakeling</value>
    </field>
    <field name="Objective-Path">
      <value order="0">Objective Global Folder:Corporate Records Folder:CORPORATE MANAGEMENT:COMPLIANCE:Compliance - Submissions</value>
    </field>
    <field name="Objective-Parent">
      <value order="0">Compliance - Submissions</value>
    </field>
    <field name="Objective-State">
      <value order="0">Published</value>
    </field>
    <field name="Objective-VersionId">
      <value order="0">vA6336938</value>
    </field>
    <field name="Objective-Version">
      <value order="0">5.0</value>
    </field>
    <field name="Objective-VersionNumber">
      <value order="0">6</value>
    </field>
    <field name="Objective-VersionComment">
      <value order="0"/>
    </field>
    <field name="Objective-FileNumber">
      <value order="0">qA242910</value>
    </field>
    <field name="Objective-Classification">
      <value order="0">Unclassified</value>
    </field>
    <field name="Objective-Caveats">
      <value order="0"/>
    </field>
  </systemFields>
  <catalogues>
    <catalogue name="Corporate - Internal / Outgoing Type Catalogue" type="type" ori="id:cA4">
      <field name="Objective-Service">
        <value order="0"/>
      </field>
      <field name="Objective-Learning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11481D3002964AAB840DF1B36A72B215"/>
  </ds:schemaRefs>
</ds:datastoreItem>
</file>

<file path=customXml/itemProps2.xml><?xml version="1.0" encoding="utf-8"?>
<ds:datastoreItem xmlns:ds="http://schemas.openxmlformats.org/officeDocument/2006/customXml" ds:itemID="{863DD5D5-A55A-44F9-A79B-9C9C2828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Trustees Limited</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Craig</dc:creator>
  <cp:lastModifiedBy>marie-claire.muir</cp:lastModifiedBy>
  <cp:revision>2</cp:revision>
  <cp:lastPrinted>2017-03-09T03:56:00Z</cp:lastPrinted>
  <dcterms:created xsi:type="dcterms:W3CDTF">2017-03-23T00:36:00Z</dcterms:created>
  <dcterms:modified xsi:type="dcterms:W3CDTF">2017-03-23T00:36:00Z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A5006410</vt:lpwstr>
  </property>
  <property fmtid="{D5CDD505-2E9C-101B-9397-08002B2CF9AE}" pid="4" name="Objective-Title">
    <vt:lpwstr>2017 03 06 - ALRC Elder Abuse Discussion Paper - State Trustees Submission DRAFT - Final</vt:lpwstr>
  </property>
  <property fmtid="{D5CDD505-2E9C-101B-9397-08002B2CF9AE}" pid="5" name="Objective-Description">
    <vt:lpwstr/>
  </property>
  <property fmtid="{D5CDD505-2E9C-101B-9397-08002B2CF9AE}" pid="6" name="Objective-CreationStamp">
    <vt:filetime>2017-03-05T22:25:39Z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2017-03-06T02:45:08Z</vt:filetime>
  </property>
  <property fmtid="{D5CDD505-2E9C-101B-9397-08002B2CF9AE}" pid="10" name="Objective-ModificationStamp">
    <vt:filetime>2017-03-06T03:04:15Z</vt:filetime>
  </property>
  <property fmtid="{D5CDD505-2E9C-101B-9397-08002B2CF9AE}" pid="11" name="Objective-Owner">
    <vt:lpwstr>Adam Wakeling</vt:lpwstr>
  </property>
  <property fmtid="{D5CDD505-2E9C-101B-9397-08002B2CF9AE}" pid="12" name="Objective-Path">
    <vt:lpwstr>Objective Global Folder:Corporate Records Folder:CORPORATE MANAGEMENT:COMPLIANCE:Compliance - Submissions:</vt:lpwstr>
  </property>
  <property fmtid="{D5CDD505-2E9C-101B-9397-08002B2CF9AE}" pid="13" name="Objective-Parent">
    <vt:lpwstr>Compliance - Submissions</vt:lpwstr>
  </property>
  <property fmtid="{D5CDD505-2E9C-101B-9397-08002B2CF9AE}" pid="14" name="Objective-State">
    <vt:lpwstr>Published</vt:lpwstr>
  </property>
  <property fmtid="{D5CDD505-2E9C-101B-9397-08002B2CF9AE}" pid="15" name="Objective-VersionId">
    <vt:lpwstr>vA6336938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qA242910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Service">
    <vt:lpwstr/>
  </property>
  <property fmtid="{D5CDD505-2E9C-101B-9397-08002B2CF9AE}" pid="23" name="Objective-LearningType">
    <vt:lpwstr/>
  </property>
  <property fmtid="{D5CDD505-2E9C-101B-9397-08002B2CF9AE}" pid="24" name="Objective-Comment">
    <vt:lpwstr/>
  </property>
  <property fmtid="{D5CDD505-2E9C-101B-9397-08002B2CF9AE}" pid="25" name="Objective-LearningType [system]">
    <vt:lpwstr/>
  </property>
  <property fmtid="{D5CDD505-2E9C-101B-9397-08002B2CF9AE}" pid="26" name="Objective-Service [system]">
    <vt:lpwstr/>
  </property>
</Properties>
</file>