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C9" w:rsidRPr="006B45C9" w:rsidRDefault="006B45C9" w:rsidP="006B45C9">
      <w:pPr>
        <w:shd w:val="clear" w:color="auto" w:fill="FFFFFF" w:themeFill="background1"/>
        <w:spacing w:line="240" w:lineRule="atLeast"/>
        <w:jc w:val="center"/>
        <w:textAlignment w:val="center"/>
        <w:outlineLvl w:val="1"/>
        <w:rPr>
          <w:rFonts w:eastAsia="Times New Roman" w:cs="Calibri"/>
          <w:color w:val="000000" w:themeColor="text1"/>
          <w:kern w:val="36"/>
          <w:sz w:val="28"/>
          <w:szCs w:val="28"/>
          <w:lang/>
        </w:rPr>
      </w:pPr>
      <w:r>
        <w:rPr>
          <w:b/>
          <w:bCs/>
          <w:iCs/>
          <w:noProof/>
          <w:sz w:val="24"/>
          <w:szCs w:val="24"/>
        </w:rPr>
        <w:drawing>
          <wp:anchor distT="0" distB="0" distL="114300" distR="114300" simplePos="0" relativeHeight="251659264" behindDoc="0" locked="0" layoutInCell="1" allowOverlap="1">
            <wp:simplePos x="0" y="0"/>
            <wp:positionH relativeFrom="margin">
              <wp:posOffset>4295775</wp:posOffset>
            </wp:positionH>
            <wp:positionV relativeFrom="margin">
              <wp:posOffset>-604520</wp:posOffset>
            </wp:positionV>
            <wp:extent cx="2096135" cy="14662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C logo_colour_black text_white background.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6135" cy="1466215"/>
                    </a:xfrm>
                    <a:prstGeom prst="rect">
                      <a:avLst/>
                    </a:prstGeom>
                  </pic:spPr>
                </pic:pic>
              </a:graphicData>
            </a:graphic>
          </wp:anchor>
        </w:drawing>
      </w:r>
    </w:p>
    <w:p w:rsidR="006B45C9" w:rsidRDefault="006B45C9" w:rsidP="006B45C9">
      <w:pPr>
        <w:shd w:val="clear" w:color="auto" w:fill="FFFFFF" w:themeFill="background1"/>
        <w:spacing w:line="240" w:lineRule="atLeast"/>
        <w:jc w:val="center"/>
        <w:textAlignment w:val="center"/>
        <w:outlineLvl w:val="1"/>
        <w:rPr>
          <w:rFonts w:eastAsia="Times New Roman" w:cs="Calibri"/>
          <w:color w:val="000000" w:themeColor="text1"/>
          <w:kern w:val="36"/>
          <w:sz w:val="28"/>
          <w:szCs w:val="28"/>
          <w:lang/>
        </w:rPr>
      </w:pPr>
    </w:p>
    <w:p w:rsidR="006B45C9" w:rsidRDefault="006B45C9" w:rsidP="006B45C9">
      <w:pPr>
        <w:shd w:val="clear" w:color="auto" w:fill="FFFFFF" w:themeFill="background1"/>
        <w:spacing w:line="240" w:lineRule="atLeast"/>
        <w:jc w:val="center"/>
        <w:textAlignment w:val="center"/>
        <w:outlineLvl w:val="1"/>
        <w:rPr>
          <w:rFonts w:eastAsia="Times New Roman" w:cs="Calibri"/>
          <w:color w:val="000000" w:themeColor="text1"/>
          <w:kern w:val="36"/>
          <w:sz w:val="28"/>
          <w:szCs w:val="28"/>
          <w:lang/>
        </w:rPr>
      </w:pPr>
    </w:p>
    <w:p w:rsidR="006B45C9" w:rsidRPr="006B45C9" w:rsidRDefault="006B45C9" w:rsidP="006B45C9">
      <w:pPr>
        <w:shd w:val="clear" w:color="auto" w:fill="FFFFFF" w:themeFill="background1"/>
        <w:spacing w:line="240" w:lineRule="atLeast"/>
        <w:jc w:val="center"/>
        <w:textAlignment w:val="center"/>
        <w:outlineLvl w:val="1"/>
        <w:rPr>
          <w:rFonts w:eastAsia="Times New Roman" w:cs="Calibri"/>
          <w:color w:val="000000" w:themeColor="text1"/>
          <w:kern w:val="36"/>
          <w:sz w:val="28"/>
          <w:szCs w:val="28"/>
          <w:lang/>
        </w:rPr>
      </w:pPr>
    </w:p>
    <w:p w:rsidR="006B45C9" w:rsidRPr="006B45C9" w:rsidRDefault="006B45C9" w:rsidP="006B45C9">
      <w:pPr>
        <w:shd w:val="clear" w:color="auto" w:fill="FFFFFF" w:themeFill="background1"/>
        <w:spacing w:line="240" w:lineRule="atLeast"/>
        <w:jc w:val="center"/>
        <w:textAlignment w:val="center"/>
        <w:outlineLvl w:val="1"/>
        <w:rPr>
          <w:rFonts w:eastAsia="Times New Roman" w:cs="Calibri"/>
          <w:b/>
          <w:color w:val="000000" w:themeColor="text1"/>
          <w:kern w:val="36"/>
          <w:sz w:val="28"/>
          <w:szCs w:val="28"/>
          <w:lang/>
        </w:rPr>
      </w:pPr>
      <w:r w:rsidRPr="006B45C9">
        <w:rPr>
          <w:rFonts w:eastAsia="Times New Roman" w:cs="Calibri"/>
          <w:b/>
          <w:color w:val="000000" w:themeColor="text1"/>
          <w:kern w:val="36"/>
          <w:sz w:val="28"/>
          <w:szCs w:val="28"/>
          <w:lang/>
        </w:rPr>
        <w:t>VICTORIAN MULTICULTURAL COMMISSION</w:t>
      </w:r>
    </w:p>
    <w:p w:rsidR="006B45C9" w:rsidRPr="006B45C9" w:rsidRDefault="006B45C9" w:rsidP="006B45C9">
      <w:pPr>
        <w:shd w:val="clear" w:color="auto" w:fill="FFFFFF" w:themeFill="background1"/>
        <w:spacing w:line="240" w:lineRule="atLeast"/>
        <w:jc w:val="center"/>
        <w:textAlignment w:val="center"/>
        <w:outlineLvl w:val="1"/>
        <w:rPr>
          <w:rFonts w:eastAsia="Times New Roman" w:cs="Calibri"/>
          <w:b/>
          <w:color w:val="000000" w:themeColor="text1"/>
          <w:kern w:val="36"/>
          <w:sz w:val="28"/>
          <w:szCs w:val="28"/>
          <w:lang/>
        </w:rPr>
      </w:pPr>
    </w:p>
    <w:p w:rsidR="00D27A34" w:rsidRPr="006B45C9" w:rsidRDefault="00D27A34" w:rsidP="006B45C9">
      <w:pPr>
        <w:pBdr>
          <w:bottom w:val="single" w:sz="4" w:space="1" w:color="auto"/>
        </w:pBdr>
        <w:shd w:val="clear" w:color="auto" w:fill="FFFFFF" w:themeFill="background1"/>
        <w:spacing w:line="240" w:lineRule="atLeast"/>
        <w:jc w:val="center"/>
        <w:textAlignment w:val="center"/>
        <w:outlineLvl w:val="1"/>
        <w:rPr>
          <w:rFonts w:eastAsia="Times New Roman" w:cs="Calibri"/>
          <w:b/>
          <w:color w:val="000000" w:themeColor="text1"/>
          <w:kern w:val="36"/>
          <w:sz w:val="28"/>
          <w:szCs w:val="28"/>
          <w:lang/>
        </w:rPr>
      </w:pPr>
      <w:r w:rsidRPr="006B45C9">
        <w:rPr>
          <w:rFonts w:eastAsia="Times New Roman" w:cs="Calibri"/>
          <w:b/>
          <w:color w:val="000000" w:themeColor="text1"/>
          <w:kern w:val="36"/>
          <w:sz w:val="28"/>
          <w:szCs w:val="28"/>
          <w:lang/>
        </w:rPr>
        <w:t>Submission to Australian Law Reform Commission Elder Abuse Discussion Paper</w:t>
      </w:r>
    </w:p>
    <w:p w:rsidR="00D27A34" w:rsidRDefault="00D27A34" w:rsidP="00D27A34">
      <w:pPr>
        <w:shd w:val="clear" w:color="auto" w:fill="FFFFFF"/>
        <w:spacing w:line="240" w:lineRule="atLeast"/>
        <w:textAlignment w:val="center"/>
        <w:outlineLvl w:val="1"/>
        <w:rPr>
          <w:rFonts w:eastAsia="Times New Roman" w:cs="Calibri"/>
          <w:color w:val="000000"/>
          <w:kern w:val="36"/>
          <w:sz w:val="28"/>
          <w:szCs w:val="28"/>
          <w:lang/>
        </w:rPr>
      </w:pPr>
    </w:p>
    <w:p w:rsidR="00D27A34" w:rsidRPr="0012351F" w:rsidRDefault="00D27A34" w:rsidP="00D27A34">
      <w:pPr>
        <w:shd w:val="clear" w:color="auto" w:fill="FFFFFF"/>
        <w:spacing w:line="240" w:lineRule="atLeast"/>
        <w:textAlignment w:val="center"/>
        <w:outlineLvl w:val="1"/>
        <w:rPr>
          <w:rFonts w:eastAsia="Times New Roman" w:cs="Calibri"/>
          <w:b/>
          <w:color w:val="000000" w:themeColor="text1"/>
          <w:kern w:val="36"/>
          <w:sz w:val="28"/>
          <w:szCs w:val="28"/>
          <w:lang/>
        </w:rPr>
      </w:pPr>
      <w:r w:rsidRPr="0012351F">
        <w:rPr>
          <w:rFonts w:eastAsia="Times New Roman" w:cs="Calibri"/>
          <w:b/>
          <w:color w:val="000000" w:themeColor="text1"/>
          <w:kern w:val="36"/>
          <w:sz w:val="28"/>
          <w:szCs w:val="28"/>
          <w:lang/>
        </w:rPr>
        <w:t>Part 1 - Introduction</w:t>
      </w:r>
    </w:p>
    <w:p w:rsidR="00D27A34" w:rsidRPr="0012351F" w:rsidRDefault="00D27A34" w:rsidP="00D27A34">
      <w:pPr>
        <w:shd w:val="clear" w:color="auto" w:fill="FFFFFF"/>
        <w:spacing w:line="240" w:lineRule="atLeast"/>
        <w:textAlignment w:val="center"/>
        <w:outlineLvl w:val="1"/>
        <w:rPr>
          <w:rFonts w:eastAsia="Times New Roman" w:cs="Calibri"/>
          <w:color w:val="000000" w:themeColor="text1"/>
          <w:kern w:val="36"/>
          <w:sz w:val="28"/>
          <w:szCs w:val="28"/>
          <w:lang/>
        </w:rPr>
      </w:pPr>
    </w:p>
    <w:p w:rsidR="00D27A34" w:rsidRPr="0012351F" w:rsidRDefault="00D27A34" w:rsidP="00D27A34">
      <w:pPr>
        <w:shd w:val="clear" w:color="auto" w:fill="FFFFFF"/>
        <w:spacing w:line="240" w:lineRule="atLeast"/>
        <w:textAlignment w:val="center"/>
        <w:outlineLvl w:val="1"/>
        <w:rPr>
          <w:rFonts w:eastAsia="Times New Roman" w:cs="Calibri"/>
          <w:b/>
          <w:color w:val="000000" w:themeColor="text1"/>
          <w:sz w:val="24"/>
          <w:szCs w:val="24"/>
          <w:lang/>
        </w:rPr>
      </w:pPr>
      <w:r w:rsidRPr="0012351F">
        <w:rPr>
          <w:rFonts w:eastAsia="Times New Roman" w:cs="Calibri"/>
          <w:b/>
          <w:color w:val="000000" w:themeColor="text1"/>
          <w:sz w:val="24"/>
          <w:szCs w:val="24"/>
          <w:lang/>
        </w:rPr>
        <w:t>The Victorian Multicultural Commission</w:t>
      </w:r>
    </w:p>
    <w:p w:rsidR="00D27A34" w:rsidRPr="0012351F" w:rsidRDefault="00D27A34" w:rsidP="00D27A34">
      <w:pPr>
        <w:shd w:val="clear" w:color="auto" w:fill="FFFFFF"/>
        <w:spacing w:line="240" w:lineRule="atLeast"/>
        <w:textAlignment w:val="center"/>
        <w:outlineLvl w:val="1"/>
        <w:rPr>
          <w:rFonts w:eastAsia="Times New Roman" w:cs="Calibri"/>
          <w:b/>
          <w:color w:val="000000" w:themeColor="text1"/>
          <w:sz w:val="24"/>
          <w:szCs w:val="24"/>
          <w:lang/>
        </w:rPr>
      </w:pPr>
    </w:p>
    <w:p w:rsidR="00D27A34" w:rsidRPr="0012351F" w:rsidRDefault="00D27A34" w:rsidP="00D27A34">
      <w:pPr>
        <w:jc w:val="both"/>
        <w:rPr>
          <w:color w:val="000000" w:themeColor="text1"/>
        </w:rPr>
      </w:pPr>
      <w:r w:rsidRPr="0012351F">
        <w:rPr>
          <w:rFonts w:eastAsia="Times New Roman" w:cs="Calibri"/>
          <w:color w:val="000000" w:themeColor="text1"/>
          <w:lang/>
        </w:rPr>
        <w:t xml:space="preserve">Established in 1983, the Victorian Multicultural Commission (VMC) </w:t>
      </w:r>
      <w:r w:rsidRPr="0012351F">
        <w:rPr>
          <w:color w:val="000000" w:themeColor="text1"/>
        </w:rPr>
        <w:t>is an independent statutory authority and the voice of Victoria’s culturally and linguistically diverse (culturally diverse) communities. It is the main link between them and the government.</w:t>
      </w:r>
    </w:p>
    <w:p w:rsidR="00D27A34" w:rsidRPr="0012351F" w:rsidRDefault="00D27A34" w:rsidP="00D27A34">
      <w:pPr>
        <w:jc w:val="both"/>
        <w:rPr>
          <w:color w:val="000000" w:themeColor="text1"/>
        </w:rPr>
      </w:pPr>
    </w:p>
    <w:p w:rsidR="00D27A34" w:rsidRPr="0012351F" w:rsidRDefault="00D27A34" w:rsidP="00D27A34">
      <w:pPr>
        <w:jc w:val="both"/>
        <w:rPr>
          <w:color w:val="000000" w:themeColor="text1"/>
        </w:rPr>
      </w:pPr>
      <w:r w:rsidRPr="0012351F">
        <w:rPr>
          <w:color w:val="000000" w:themeColor="text1"/>
        </w:rPr>
        <w:t>The VMC advocates on behalf of Victoria’s culturally diverse communities and provides independent advice to State and Federal Government departments. The VMC’s advice is informed by its regional advisory council (RAC)</w:t>
      </w:r>
      <w:r w:rsidRPr="0012351F">
        <w:rPr>
          <w:rStyle w:val="FootnoteReference"/>
          <w:color w:val="000000" w:themeColor="text1"/>
        </w:rPr>
        <w:t xml:space="preserve"> </w:t>
      </w:r>
      <w:r w:rsidRPr="0012351F">
        <w:rPr>
          <w:rStyle w:val="FootnoteReference"/>
          <w:color w:val="000000" w:themeColor="text1"/>
        </w:rPr>
        <w:footnoteReference w:id="1"/>
      </w:r>
      <w:r w:rsidRPr="0012351F">
        <w:rPr>
          <w:color w:val="000000" w:themeColor="text1"/>
        </w:rPr>
        <w:t xml:space="preserve"> meetings and its regular community consultations and engagement meetings.</w:t>
      </w:r>
    </w:p>
    <w:p w:rsidR="00D27A34" w:rsidRPr="0012351F" w:rsidRDefault="00D27A34" w:rsidP="00D27A34">
      <w:pPr>
        <w:jc w:val="both"/>
        <w:rPr>
          <w:color w:val="000000" w:themeColor="text1"/>
        </w:rPr>
      </w:pPr>
    </w:p>
    <w:p w:rsidR="00D27A34" w:rsidRPr="0012351F" w:rsidRDefault="00D27A34" w:rsidP="00D27A34">
      <w:pPr>
        <w:jc w:val="both"/>
        <w:rPr>
          <w:b/>
          <w:color w:val="000000" w:themeColor="text1"/>
        </w:rPr>
      </w:pPr>
      <w:r w:rsidRPr="0012351F">
        <w:rPr>
          <w:b/>
          <w:color w:val="000000" w:themeColor="text1"/>
        </w:rPr>
        <w:t>Victoria’s culturally diverse population</w:t>
      </w:r>
    </w:p>
    <w:p w:rsidR="00D27A34" w:rsidRPr="0012351F" w:rsidRDefault="00D27A34" w:rsidP="00D27A34">
      <w:pPr>
        <w:jc w:val="both"/>
        <w:rPr>
          <w:b/>
          <w:color w:val="000000" w:themeColor="text1"/>
        </w:rPr>
      </w:pPr>
    </w:p>
    <w:p w:rsidR="00D27A34" w:rsidRPr="0012351F" w:rsidRDefault="00D27A34" w:rsidP="00D27A34">
      <w:pPr>
        <w:jc w:val="both"/>
        <w:rPr>
          <w:color w:val="000000" w:themeColor="text1"/>
        </w:rPr>
      </w:pPr>
      <w:r w:rsidRPr="0012351F">
        <w:rPr>
          <w:color w:val="000000" w:themeColor="text1"/>
        </w:rPr>
        <w:t>Of Victoria’s 5.3 million people, 26.2 % were born overseas in more than 200 countries and nearly half of all Victorians, 46.8 %, were born overseas or had at least one parent who was born overseas. In Victoria, 23% of people spoke a language other than English at home in 2011. This indicates how culturally diverse Victoria’s population is and the degree to which different ethnic groups and nationalities are retaining their language</w:t>
      </w:r>
      <w:r w:rsidRPr="0012351F">
        <w:rPr>
          <w:rStyle w:val="FootnoteReference"/>
          <w:color w:val="000000" w:themeColor="text1"/>
        </w:rPr>
        <w:footnoteReference w:id="2"/>
      </w:r>
      <w:r w:rsidRPr="0012351F">
        <w:rPr>
          <w:color w:val="000000" w:themeColor="text1"/>
        </w:rPr>
        <w:t>.</w:t>
      </w:r>
    </w:p>
    <w:p w:rsidR="00D27A34" w:rsidRPr="0012351F" w:rsidRDefault="00D27A34" w:rsidP="00D27A34">
      <w:pPr>
        <w:jc w:val="both"/>
        <w:rPr>
          <w:color w:val="000000" w:themeColor="text1"/>
        </w:rPr>
      </w:pPr>
    </w:p>
    <w:p w:rsidR="00D27A34" w:rsidRPr="0012351F" w:rsidRDefault="00D27A34" w:rsidP="00D27A34">
      <w:pPr>
        <w:jc w:val="both"/>
        <w:rPr>
          <w:b/>
          <w:color w:val="000000" w:themeColor="text1"/>
        </w:rPr>
      </w:pPr>
      <w:r w:rsidRPr="0012351F">
        <w:rPr>
          <w:b/>
          <w:color w:val="000000" w:themeColor="text1"/>
        </w:rPr>
        <w:t>Context</w:t>
      </w:r>
    </w:p>
    <w:p w:rsidR="00D27A34" w:rsidRPr="0012351F" w:rsidRDefault="00D27A34" w:rsidP="00D27A34">
      <w:pPr>
        <w:jc w:val="both"/>
        <w:rPr>
          <w:b/>
          <w:color w:val="000000" w:themeColor="text1"/>
        </w:rPr>
      </w:pPr>
    </w:p>
    <w:p w:rsidR="00D27A34" w:rsidRPr="0012351F" w:rsidRDefault="00D27A34" w:rsidP="00D27A34">
      <w:pPr>
        <w:jc w:val="both"/>
        <w:rPr>
          <w:color w:val="000000" w:themeColor="text1"/>
        </w:rPr>
      </w:pPr>
      <w:r w:rsidRPr="0012351F">
        <w:rPr>
          <w:color w:val="000000" w:themeColor="text1"/>
        </w:rPr>
        <w:t>The VMC welcomes the opportunity to make a submission to the A</w:t>
      </w:r>
      <w:r w:rsidRPr="0012351F">
        <w:rPr>
          <w:rFonts w:eastAsia="Times New Roman" w:cs="Calibri"/>
          <w:color w:val="000000" w:themeColor="text1"/>
          <w:kern w:val="36"/>
          <w:lang/>
        </w:rPr>
        <w:t>ustralian Law Reform Commission’s (ALRC)</w:t>
      </w:r>
      <w:r w:rsidRPr="0012351F">
        <w:rPr>
          <w:rFonts w:eastAsia="Times New Roman" w:cs="Calibri"/>
          <w:color w:val="000000" w:themeColor="text1"/>
          <w:kern w:val="36"/>
          <w:sz w:val="28"/>
          <w:szCs w:val="28"/>
          <w:lang/>
        </w:rPr>
        <w:t xml:space="preserve"> </w:t>
      </w:r>
      <w:r w:rsidRPr="0012351F">
        <w:rPr>
          <w:color w:val="000000" w:themeColor="text1"/>
        </w:rPr>
        <w:t>Elder Abuse Discussion Paper in particular with regard to protecting the needs and rights of seniors in Victoria’s culturally diverse communities.</w:t>
      </w:r>
    </w:p>
    <w:p w:rsidR="00D27A34" w:rsidRPr="0012351F" w:rsidRDefault="00D27A34" w:rsidP="00D27A34">
      <w:pPr>
        <w:jc w:val="both"/>
        <w:rPr>
          <w:color w:val="000000" w:themeColor="text1"/>
        </w:rPr>
      </w:pPr>
    </w:p>
    <w:p w:rsidR="00D27A34" w:rsidRPr="0012351F" w:rsidRDefault="00D27A34" w:rsidP="00D27A34">
      <w:pPr>
        <w:jc w:val="both"/>
        <w:rPr>
          <w:color w:val="000000" w:themeColor="text1"/>
        </w:rPr>
      </w:pPr>
      <w:r w:rsidRPr="0012351F">
        <w:rPr>
          <w:color w:val="000000" w:themeColor="text1"/>
        </w:rPr>
        <w:t>This submission is informed by VMC community consultation findings and its RAC meetings</w:t>
      </w:r>
      <w:r w:rsidRPr="0012351F">
        <w:rPr>
          <w:rStyle w:val="FootnoteReference"/>
          <w:color w:val="000000" w:themeColor="text1"/>
        </w:rPr>
        <w:footnoteReference w:id="3"/>
      </w:r>
      <w:r w:rsidRPr="0012351F">
        <w:rPr>
          <w:color w:val="000000" w:themeColor="text1"/>
        </w:rPr>
        <w:t>. Elder abuse has been identified at RAC meetings over the past three years as an issue of increasing concern impacting Victoria’s culturally diverse communities.</w:t>
      </w:r>
      <w:r w:rsidR="00B07CE5">
        <w:rPr>
          <w:color w:val="000000" w:themeColor="text1"/>
        </w:rPr>
        <w:t xml:space="preserve"> Elder abuse has been </w:t>
      </w:r>
      <w:r w:rsidR="009240CC">
        <w:rPr>
          <w:color w:val="000000" w:themeColor="text1"/>
        </w:rPr>
        <w:t>identified</w:t>
      </w:r>
      <w:r w:rsidR="00B07CE5">
        <w:rPr>
          <w:color w:val="000000" w:themeColor="text1"/>
        </w:rPr>
        <w:t xml:space="preserve"> as occurring in the following communities: Greek, Italian, Chinese, Indian, Vietnamese, Maltese, Karen,</w:t>
      </w:r>
      <w:r w:rsidR="009240CC">
        <w:rPr>
          <w:color w:val="000000" w:themeColor="text1"/>
        </w:rPr>
        <w:t xml:space="preserve"> Filipino, Hispanic, Polish and Russian.</w:t>
      </w:r>
    </w:p>
    <w:p w:rsidR="00D27A34" w:rsidRPr="0012351F" w:rsidRDefault="00D27A34" w:rsidP="00D27A34">
      <w:p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lastRenderedPageBreak/>
        <w:t xml:space="preserve">The VMC has also identified that people from multicultural backgrounds are often not aware of their rights, responsibilities or avenues of redress. </w:t>
      </w:r>
    </w:p>
    <w:p w:rsidR="00D27A34" w:rsidRPr="0012351F" w:rsidRDefault="00D27A34" w:rsidP="00D27A34">
      <w:p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The VMC has identified the following barriers to awareness and reporting, understanding of matters impacting culturally diverse seniors and accessing services</w:t>
      </w:r>
      <w:r w:rsidRPr="0012351F">
        <w:rPr>
          <w:rStyle w:val="FootnoteReference"/>
          <w:rFonts w:eastAsia="Times New Roman" w:cs="Calibri"/>
          <w:color w:val="000000" w:themeColor="text1"/>
          <w:lang/>
        </w:rPr>
        <w:footnoteReference w:id="4"/>
      </w:r>
      <w:r w:rsidRPr="0012351F">
        <w:rPr>
          <w:rFonts w:eastAsia="Times New Roman" w:cs="Calibri"/>
          <w:color w:val="000000" w:themeColor="text1"/>
          <w:lang/>
        </w:rPr>
        <w:t>:</w:t>
      </w:r>
    </w:p>
    <w:p w:rsidR="00D27A34" w:rsidRPr="006026E4" w:rsidRDefault="00D27A34" w:rsidP="00D27A34">
      <w:pPr>
        <w:shd w:val="clear" w:color="auto" w:fill="FFFFFF"/>
        <w:spacing w:before="100" w:beforeAutospacing="1" w:after="288" w:line="360" w:lineRule="atLeast"/>
        <w:rPr>
          <w:rFonts w:eastAsia="Times New Roman" w:cs="Calibri"/>
          <w:b/>
          <w:i/>
          <w:color w:val="333333"/>
          <w:lang/>
        </w:rPr>
      </w:pPr>
      <w:r w:rsidRPr="006026E4">
        <w:rPr>
          <w:rFonts w:eastAsia="Times New Roman" w:cs="Calibri"/>
          <w:b/>
          <w:i/>
          <w:color w:val="333333"/>
          <w:lang/>
        </w:rPr>
        <w:t>Pre-arrival factors</w:t>
      </w:r>
    </w:p>
    <w:p w:rsidR="00D27A34" w:rsidRPr="0012351F" w:rsidRDefault="00D27A34" w:rsidP="00D27A34">
      <w:pPr>
        <w:pStyle w:val="ListParagraph"/>
        <w:numPr>
          <w:ilvl w:val="0"/>
          <w:numId w:val="2"/>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Pre-settlement journeys including the long-lived and significant impacts of pre-arrival trauma due to war, torture, deprivation and separation, and loss of family members</w:t>
      </w:r>
    </w:p>
    <w:p w:rsidR="00D27A34" w:rsidRPr="0012351F" w:rsidRDefault="00D27A34" w:rsidP="00D27A34">
      <w:pPr>
        <w:pStyle w:val="ListParagraph"/>
        <w:numPr>
          <w:ilvl w:val="0"/>
          <w:numId w:val="2"/>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 xml:space="preserve">Mistreatment by overseas government agencies and local authorities resulting in a lack of confidence and trust </w:t>
      </w:r>
    </w:p>
    <w:p w:rsidR="00D27A34" w:rsidRPr="0012351F" w:rsidRDefault="00D27A34" w:rsidP="00D27A34">
      <w:pPr>
        <w:pStyle w:val="ListParagraph"/>
        <w:numPr>
          <w:ilvl w:val="0"/>
          <w:numId w:val="2"/>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Fear of reprisal if issues are raised with government agencies or service providers in country of origin</w:t>
      </w:r>
    </w:p>
    <w:p w:rsidR="00D27A34" w:rsidRPr="0012351F" w:rsidRDefault="00D27A34" w:rsidP="00D27A34">
      <w:pPr>
        <w:pStyle w:val="ListParagraph"/>
        <w:numPr>
          <w:ilvl w:val="0"/>
          <w:numId w:val="2"/>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Limited or lacking education, often at primary school level even in country of origin</w:t>
      </w:r>
    </w:p>
    <w:p w:rsidR="00D27A34" w:rsidRPr="0012351F" w:rsidRDefault="00D27A34" w:rsidP="00D27A34">
      <w:pPr>
        <w:pStyle w:val="ListParagraph"/>
        <w:numPr>
          <w:ilvl w:val="0"/>
          <w:numId w:val="2"/>
        </w:numPr>
        <w:shd w:val="clear" w:color="auto" w:fill="FFFFFF"/>
        <w:spacing w:before="100" w:beforeAutospacing="1" w:after="288" w:line="360" w:lineRule="atLeast"/>
        <w:rPr>
          <w:rFonts w:eastAsia="Times New Roman" w:cs="Calibri"/>
          <w:color w:val="000000" w:themeColor="text1"/>
          <w:lang/>
        </w:rPr>
      </w:pPr>
      <w:r w:rsidRPr="0012351F">
        <w:rPr>
          <w:color w:val="000000" w:themeColor="text1"/>
        </w:rPr>
        <w:t>Social services and options may not have existed in country of origin (causing a lack of awareness/understanding)</w:t>
      </w:r>
      <w:r w:rsidRPr="0012351F">
        <w:rPr>
          <w:rFonts w:eastAsia="Times New Roman" w:cs="Calibri"/>
          <w:color w:val="000000" w:themeColor="text1"/>
          <w:lang/>
        </w:rPr>
        <w:t>.</w:t>
      </w:r>
    </w:p>
    <w:p w:rsidR="00D27A34" w:rsidRPr="0088387B" w:rsidRDefault="00D27A34" w:rsidP="00D27A34">
      <w:pPr>
        <w:shd w:val="clear" w:color="auto" w:fill="FFFFFF"/>
        <w:spacing w:before="100" w:beforeAutospacing="1" w:after="288" w:line="360" w:lineRule="atLeast"/>
        <w:rPr>
          <w:rFonts w:eastAsia="Times New Roman" w:cs="Calibri"/>
          <w:b/>
          <w:i/>
          <w:color w:val="333333"/>
          <w:lang/>
        </w:rPr>
      </w:pPr>
      <w:r w:rsidRPr="0088387B">
        <w:rPr>
          <w:rFonts w:eastAsia="Times New Roman" w:cs="Calibri"/>
          <w:b/>
          <w:i/>
          <w:color w:val="333333"/>
          <w:lang/>
        </w:rPr>
        <w:t>Cultural</w:t>
      </w:r>
    </w:p>
    <w:p w:rsidR="00D27A34" w:rsidRPr="0012351F"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Concern regarding identifying or reporting due to the impact (i.e. shame, stigma) on their families and their broader community</w:t>
      </w:r>
    </w:p>
    <w:p w:rsidR="00D27A34" w:rsidRPr="0012351F"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Fear of reprisal/making things worse</w:t>
      </w:r>
    </w:p>
    <w:p w:rsidR="00D27A34" w:rsidRPr="0012351F"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Stigma and shame</w:t>
      </w:r>
    </w:p>
    <w:p w:rsidR="00D27A34" w:rsidRPr="0012351F"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Elder abuse can be a “taboo” topic within some culturally diverse communities</w:t>
      </w:r>
    </w:p>
    <w:p w:rsidR="00D27A34" w:rsidRPr="0012351F"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Misunderstanding of what services can offer (e.g. counselling in some countries may be viewed as only for people who are mentally ill)</w:t>
      </w:r>
    </w:p>
    <w:p w:rsidR="00D27A34" w:rsidRPr="0012351F"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Lack of awareness of services and how they can intercede or assist in challenging situations.</w:t>
      </w:r>
    </w:p>
    <w:p w:rsidR="00D27A34" w:rsidRPr="00451F1C" w:rsidRDefault="00D27A34" w:rsidP="00D27A34">
      <w:pPr>
        <w:shd w:val="clear" w:color="auto" w:fill="FFFFFF"/>
        <w:spacing w:before="100" w:beforeAutospacing="1" w:after="288" w:line="360" w:lineRule="atLeast"/>
        <w:rPr>
          <w:rFonts w:eastAsia="Times New Roman" w:cs="Calibri"/>
          <w:b/>
          <w:i/>
          <w:color w:val="333333"/>
          <w:lang/>
        </w:rPr>
      </w:pPr>
      <w:r>
        <w:rPr>
          <w:rFonts w:eastAsia="Times New Roman" w:cs="Calibri"/>
          <w:b/>
          <w:i/>
          <w:color w:val="333333"/>
          <w:lang/>
        </w:rPr>
        <w:t>English l</w:t>
      </w:r>
      <w:r w:rsidRPr="00451F1C">
        <w:rPr>
          <w:rFonts w:eastAsia="Times New Roman" w:cs="Calibri"/>
          <w:b/>
          <w:i/>
          <w:color w:val="333333"/>
          <w:lang/>
        </w:rPr>
        <w:t xml:space="preserve">anguage </w:t>
      </w:r>
      <w:r>
        <w:rPr>
          <w:rFonts w:eastAsia="Times New Roman" w:cs="Calibri"/>
          <w:b/>
          <w:i/>
          <w:color w:val="333333"/>
          <w:lang/>
        </w:rPr>
        <w:t>skills and education levels</w:t>
      </w:r>
    </w:p>
    <w:p w:rsidR="00D27A34" w:rsidRPr="006026E4"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sidRPr="006026E4">
        <w:rPr>
          <w:rFonts w:eastAsia="Times New Roman" w:cs="Calibri"/>
          <w:color w:val="333333"/>
          <w:lang/>
        </w:rPr>
        <w:t>L</w:t>
      </w:r>
      <w:r>
        <w:rPr>
          <w:rFonts w:eastAsia="Times New Roman" w:cs="Calibri"/>
          <w:color w:val="333333"/>
          <w:lang/>
        </w:rPr>
        <w:t>imited English language and literacy skills (including in their native tongue)</w:t>
      </w:r>
    </w:p>
    <w:p w:rsidR="00D27A34" w:rsidRPr="006026E4"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sidRPr="006026E4">
        <w:rPr>
          <w:rFonts w:eastAsia="Times New Roman" w:cs="Calibri"/>
          <w:color w:val="333333"/>
          <w:lang/>
        </w:rPr>
        <w:t>Lack of understanding of</w:t>
      </w:r>
      <w:r>
        <w:rPr>
          <w:rFonts w:eastAsia="Times New Roman" w:cs="Calibri"/>
          <w:color w:val="333333"/>
          <w:lang/>
        </w:rPr>
        <w:t xml:space="preserve"> the Australian justice system</w:t>
      </w:r>
    </w:p>
    <w:p w:rsidR="00D27A34" w:rsidRPr="006026E4"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sidRPr="006026E4">
        <w:rPr>
          <w:rFonts w:eastAsia="Times New Roman" w:cs="Calibri"/>
          <w:color w:val="333333"/>
          <w:lang/>
        </w:rPr>
        <w:t xml:space="preserve">Limited education levels – traditionally entered workforce earlier </w:t>
      </w:r>
      <w:r>
        <w:rPr>
          <w:rFonts w:eastAsia="Times New Roman" w:cs="Calibri"/>
          <w:color w:val="333333"/>
          <w:lang/>
        </w:rPr>
        <w:t xml:space="preserve">(e.g. in 1970 only 3% of the population had a university degree, this rose to just over 8% in 1989 and to almost 37% in 2012 </w:t>
      </w:r>
      <w:r>
        <w:rPr>
          <w:rStyle w:val="FootnoteReference"/>
          <w:rFonts w:eastAsia="Times New Roman" w:cs="Calibri"/>
          <w:color w:val="333333"/>
          <w:lang/>
        </w:rPr>
        <w:footnoteReference w:id="5"/>
      </w:r>
      <w:r>
        <w:rPr>
          <w:rFonts w:eastAsia="Times New Roman" w:cs="Calibri"/>
          <w:color w:val="333333"/>
          <w:lang/>
        </w:rPr>
        <w:t>)</w:t>
      </w:r>
      <w:r w:rsidRPr="006026E4">
        <w:rPr>
          <w:rFonts w:eastAsia="Times New Roman" w:cs="Calibri"/>
          <w:color w:val="333333"/>
          <w:lang/>
        </w:rPr>
        <w:t xml:space="preserve"> </w:t>
      </w:r>
    </w:p>
    <w:p w:rsidR="00D27A34"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Pr>
          <w:rFonts w:eastAsia="Times New Roman" w:cs="Calibri"/>
          <w:color w:val="333333"/>
          <w:lang/>
        </w:rPr>
        <w:lastRenderedPageBreak/>
        <w:t>Deterioration</w:t>
      </w:r>
      <w:r w:rsidRPr="006026E4">
        <w:rPr>
          <w:rFonts w:eastAsia="Times New Roman" w:cs="Calibri"/>
          <w:color w:val="333333"/>
          <w:lang/>
        </w:rPr>
        <w:t xml:space="preserve"> </w:t>
      </w:r>
      <w:r>
        <w:rPr>
          <w:rFonts w:eastAsia="Times New Roman" w:cs="Calibri"/>
          <w:color w:val="333333"/>
          <w:lang/>
        </w:rPr>
        <w:t xml:space="preserve">or loss </w:t>
      </w:r>
      <w:r w:rsidRPr="006026E4">
        <w:rPr>
          <w:rFonts w:eastAsia="Times New Roman" w:cs="Calibri"/>
          <w:color w:val="333333"/>
          <w:lang/>
        </w:rPr>
        <w:t>of English language skills and reversion to native language</w:t>
      </w:r>
      <w:r>
        <w:rPr>
          <w:rStyle w:val="FootnoteReference"/>
          <w:rFonts w:eastAsia="Times New Roman" w:cs="Calibri"/>
          <w:color w:val="333333"/>
          <w:lang/>
        </w:rPr>
        <w:footnoteReference w:id="6"/>
      </w:r>
      <w:r w:rsidRPr="006026E4">
        <w:rPr>
          <w:rFonts w:eastAsia="Times New Roman" w:cs="Calibri"/>
          <w:color w:val="333333"/>
          <w:lang/>
        </w:rPr>
        <w:t xml:space="preserve"> or dialect</w:t>
      </w:r>
      <w:r>
        <w:rPr>
          <w:rFonts w:eastAsia="Times New Roman" w:cs="Calibri"/>
          <w:color w:val="333333"/>
          <w:lang/>
        </w:rPr>
        <w:t xml:space="preserve"> as they age.</w:t>
      </w:r>
    </w:p>
    <w:p w:rsidR="00D27A34" w:rsidRDefault="00D27A34" w:rsidP="00D27A34">
      <w:pPr>
        <w:shd w:val="clear" w:color="auto" w:fill="FFFFFF"/>
        <w:spacing w:before="100" w:beforeAutospacing="1" w:after="288" w:line="360" w:lineRule="atLeast"/>
        <w:rPr>
          <w:rFonts w:eastAsia="Times New Roman" w:cs="Calibri"/>
          <w:b/>
          <w:i/>
          <w:color w:val="333333"/>
          <w:lang/>
        </w:rPr>
      </w:pPr>
      <w:r w:rsidRPr="00451F1C">
        <w:rPr>
          <w:rFonts w:eastAsia="Times New Roman" w:cs="Calibri"/>
          <w:b/>
          <w:i/>
          <w:color w:val="333333"/>
          <w:lang/>
        </w:rPr>
        <w:t>Environmental/Other factors</w:t>
      </w:r>
    </w:p>
    <w:p w:rsidR="00D27A34" w:rsidRPr="0064221A"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sidRPr="0064221A">
        <w:rPr>
          <w:rFonts w:eastAsia="Times New Roman" w:cs="Calibri"/>
          <w:color w:val="333333"/>
          <w:lang/>
        </w:rPr>
        <w:t xml:space="preserve">Social isolation including loss of peer, close support due to them ageing at same time or dying, </w:t>
      </w:r>
      <w:r w:rsidR="00992460">
        <w:rPr>
          <w:rFonts w:eastAsia="Times New Roman" w:cs="Calibri"/>
          <w:color w:val="333333"/>
          <w:lang/>
        </w:rPr>
        <w:t>r</w:t>
      </w:r>
      <w:r w:rsidRPr="0064221A">
        <w:rPr>
          <w:rFonts w:eastAsia="Times New Roman" w:cs="Calibri"/>
          <w:color w:val="333333"/>
          <w:lang/>
        </w:rPr>
        <w:t xml:space="preserve">estrictive mental or physical health issues; distance (e.g. living several suburbs away from friends) </w:t>
      </w:r>
    </w:p>
    <w:p w:rsidR="00D27A34" w:rsidRPr="006026E4"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sidRPr="002255BB">
        <w:rPr>
          <w:rFonts w:eastAsia="Times New Roman" w:cs="Calibri"/>
          <w:color w:val="333333"/>
          <w:lang/>
        </w:rPr>
        <w:t xml:space="preserve">Loss of mobility </w:t>
      </w:r>
      <w:r>
        <w:rPr>
          <w:rFonts w:eastAsia="Times New Roman" w:cs="Calibri"/>
          <w:color w:val="333333"/>
          <w:lang/>
        </w:rPr>
        <w:t>and limited transport options</w:t>
      </w:r>
    </w:p>
    <w:p w:rsidR="00D27A34"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sidRPr="002255BB">
        <w:rPr>
          <w:rFonts w:eastAsia="Times New Roman" w:cs="Calibri"/>
          <w:color w:val="333333"/>
          <w:lang/>
        </w:rPr>
        <w:t>Systems and processes are daunting</w:t>
      </w:r>
      <w:r>
        <w:rPr>
          <w:rFonts w:eastAsia="Times New Roman" w:cs="Calibri"/>
          <w:color w:val="333333"/>
          <w:lang/>
        </w:rPr>
        <w:t xml:space="preserve"> to them – requiring</w:t>
      </w:r>
      <w:r w:rsidRPr="002255BB">
        <w:rPr>
          <w:rFonts w:eastAsia="Times New Roman" w:cs="Calibri"/>
          <w:color w:val="333333"/>
          <w:lang/>
        </w:rPr>
        <w:t xml:space="preserve"> considerable effort and internal resilience – huge emotional barrier to reporting a loved one/family member </w:t>
      </w:r>
    </w:p>
    <w:p w:rsidR="00D27A34" w:rsidRPr="006026E4"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sidRPr="002255BB">
        <w:rPr>
          <w:rFonts w:eastAsia="Times New Roman" w:cs="Calibri"/>
          <w:color w:val="333333"/>
          <w:lang/>
        </w:rPr>
        <w:t xml:space="preserve">Intergenerational differences including – financial pressures on younger generation/impact of lifestyle choices </w:t>
      </w:r>
      <w:r>
        <w:rPr>
          <w:rFonts w:eastAsia="Times New Roman" w:cs="Calibri"/>
          <w:color w:val="333333"/>
          <w:lang/>
        </w:rPr>
        <w:t xml:space="preserve">(e.g. </w:t>
      </w:r>
      <w:r w:rsidRPr="002255BB">
        <w:rPr>
          <w:rFonts w:eastAsia="Times New Roman" w:cs="Calibri"/>
          <w:color w:val="333333"/>
          <w:lang/>
        </w:rPr>
        <w:t>drugs and gambling</w:t>
      </w:r>
      <w:r>
        <w:rPr>
          <w:rFonts w:eastAsia="Times New Roman" w:cs="Calibri"/>
          <w:color w:val="333333"/>
          <w:lang/>
        </w:rPr>
        <w:t>)</w:t>
      </w:r>
      <w:r w:rsidRPr="002255BB">
        <w:rPr>
          <w:rFonts w:eastAsia="Times New Roman" w:cs="Calibri"/>
          <w:color w:val="333333"/>
          <w:lang/>
        </w:rPr>
        <w:t xml:space="preserve"> – rise of inheritance entitlement attitudes </w:t>
      </w:r>
    </w:p>
    <w:p w:rsidR="00D27A34" w:rsidRPr="006026E4" w:rsidRDefault="00D27A34" w:rsidP="00D27A34">
      <w:pPr>
        <w:pStyle w:val="ListParagraph"/>
        <w:numPr>
          <w:ilvl w:val="0"/>
          <w:numId w:val="1"/>
        </w:numPr>
        <w:shd w:val="clear" w:color="auto" w:fill="FFFFFF"/>
        <w:spacing w:after="120" w:line="360" w:lineRule="atLeast"/>
        <w:contextualSpacing w:val="0"/>
        <w:rPr>
          <w:rFonts w:eastAsia="Times New Roman" w:cs="Calibri"/>
          <w:color w:val="333333"/>
          <w:lang/>
        </w:rPr>
      </w:pPr>
      <w:r w:rsidRPr="002255BB">
        <w:rPr>
          <w:rFonts w:eastAsia="Times New Roman" w:cs="Calibri"/>
          <w:color w:val="333333"/>
          <w:lang/>
        </w:rPr>
        <w:t xml:space="preserve">Impaired cognitive skills and eroded confidence </w:t>
      </w:r>
    </w:p>
    <w:p w:rsidR="00D27A34" w:rsidRPr="00451F1C" w:rsidRDefault="00D27A34" w:rsidP="00D27A34">
      <w:pPr>
        <w:numPr>
          <w:ilvl w:val="0"/>
          <w:numId w:val="1"/>
        </w:numPr>
        <w:shd w:val="clear" w:color="auto" w:fill="FFFFFF"/>
        <w:spacing w:after="120" w:line="360" w:lineRule="atLeast"/>
        <w:ind w:left="714" w:hanging="357"/>
        <w:rPr>
          <w:rFonts w:eastAsia="Times New Roman" w:cs="Calibri"/>
          <w:color w:val="333333"/>
          <w:lang/>
        </w:rPr>
      </w:pPr>
      <w:r w:rsidRPr="00451F1C">
        <w:rPr>
          <w:rFonts w:eastAsia="Times New Roman" w:cs="Calibri"/>
          <w:color w:val="333333"/>
          <w:lang/>
        </w:rPr>
        <w:t xml:space="preserve">Lack of </w:t>
      </w:r>
      <w:r>
        <w:rPr>
          <w:rFonts w:eastAsia="Times New Roman" w:cs="Calibri"/>
          <w:color w:val="333333"/>
          <w:lang/>
        </w:rPr>
        <w:t>information technology</w:t>
      </w:r>
      <w:r w:rsidRPr="00451F1C">
        <w:rPr>
          <w:rFonts w:eastAsia="Times New Roman" w:cs="Calibri"/>
          <w:color w:val="333333"/>
          <w:lang/>
        </w:rPr>
        <w:t xml:space="preserve"> skills </w:t>
      </w:r>
    </w:p>
    <w:p w:rsidR="00D27A34" w:rsidRDefault="00D27A34" w:rsidP="00D27A34">
      <w:pPr>
        <w:numPr>
          <w:ilvl w:val="0"/>
          <w:numId w:val="1"/>
        </w:numPr>
        <w:shd w:val="clear" w:color="auto" w:fill="FFFFFF"/>
        <w:spacing w:after="120" w:line="360" w:lineRule="atLeast"/>
        <w:ind w:left="714" w:hanging="357"/>
        <w:rPr>
          <w:rFonts w:eastAsia="Times New Roman" w:cs="Calibri"/>
          <w:color w:val="333333"/>
          <w:lang/>
        </w:rPr>
      </w:pPr>
      <w:r>
        <w:rPr>
          <w:rFonts w:eastAsia="Times New Roman" w:cs="Calibri"/>
          <w:color w:val="333333"/>
          <w:lang/>
        </w:rPr>
        <w:t xml:space="preserve">Lack of easy/ready access to computer equipment and </w:t>
      </w:r>
      <w:r w:rsidRPr="00451F1C">
        <w:rPr>
          <w:rFonts w:eastAsia="Times New Roman" w:cs="Calibri"/>
          <w:color w:val="333333"/>
          <w:lang/>
        </w:rPr>
        <w:t>internet</w:t>
      </w:r>
      <w:r>
        <w:rPr>
          <w:rFonts w:eastAsia="Times New Roman" w:cs="Calibri"/>
          <w:color w:val="333333"/>
          <w:lang/>
        </w:rPr>
        <w:t>.</w:t>
      </w:r>
    </w:p>
    <w:p w:rsidR="00D27A34" w:rsidRPr="00556375" w:rsidRDefault="00D27A34" w:rsidP="00D27A34">
      <w:pPr>
        <w:numPr>
          <w:ilvl w:val="0"/>
          <w:numId w:val="1"/>
        </w:numPr>
        <w:shd w:val="clear" w:color="auto" w:fill="FFFFFF"/>
        <w:spacing w:after="120" w:line="360" w:lineRule="atLeast"/>
        <w:ind w:left="714" w:hanging="357"/>
        <w:rPr>
          <w:rFonts w:eastAsia="Times New Roman" w:cs="Calibri"/>
          <w:color w:val="4F81BD" w:themeColor="accent1"/>
          <w:lang/>
        </w:rPr>
      </w:pPr>
      <w:r w:rsidRPr="0012351F">
        <w:rPr>
          <w:rFonts w:eastAsia="Times New Roman" w:cs="Calibri"/>
          <w:color w:val="000000" w:themeColor="text1"/>
          <w:lang/>
        </w:rPr>
        <w:t>Services are not culturally responsive enough – they alienate culturally diverse clients through of intercultural awareness and basic language skills. This can result in clients being non-communicative or engaging because they don’t feel they have a voice</w:t>
      </w:r>
      <w:r w:rsidRPr="00556375">
        <w:rPr>
          <w:rFonts w:eastAsia="Times New Roman" w:cs="Calibri"/>
          <w:color w:val="4F81BD" w:themeColor="accent1"/>
          <w:lang/>
        </w:rPr>
        <w:t>.</w:t>
      </w:r>
    </w:p>
    <w:p w:rsidR="00D27A34" w:rsidRDefault="00D27A34" w:rsidP="00D27A34">
      <w:pPr>
        <w:shd w:val="clear" w:color="auto" w:fill="FFFFFF"/>
        <w:spacing w:before="100" w:beforeAutospacing="1" w:after="288" w:line="360" w:lineRule="atLeast"/>
        <w:rPr>
          <w:rFonts w:eastAsia="Times New Roman" w:cs="Calibri"/>
          <w:b/>
          <w:color w:val="333333"/>
          <w:sz w:val="24"/>
          <w:szCs w:val="24"/>
          <w:lang/>
        </w:rPr>
      </w:pPr>
      <w:r w:rsidRPr="00825866">
        <w:rPr>
          <w:rFonts w:eastAsia="Times New Roman" w:cs="Calibri"/>
          <w:b/>
          <w:color w:val="333333"/>
          <w:sz w:val="24"/>
          <w:szCs w:val="24"/>
          <w:lang/>
        </w:rPr>
        <w:t xml:space="preserve">Effective implementation of Elder Abuse proposals for multicultural communities </w:t>
      </w:r>
    </w:p>
    <w:p w:rsidR="00D27A34" w:rsidRPr="0012351F" w:rsidRDefault="00D27A34" w:rsidP="00D27A34">
      <w:pPr>
        <w:shd w:val="clear" w:color="auto" w:fill="FFFFFF"/>
        <w:spacing w:before="100" w:beforeAutospacing="1" w:after="288" w:line="360" w:lineRule="atLeast"/>
        <w:rPr>
          <w:rFonts w:eastAsia="Times New Roman" w:cs="Calibri"/>
          <w:color w:val="000000" w:themeColor="text1"/>
          <w:lang/>
        </w:rPr>
      </w:pPr>
      <w:r w:rsidRPr="0012351F">
        <w:rPr>
          <w:rFonts w:eastAsia="Times New Roman" w:cs="Calibri"/>
          <w:color w:val="000000" w:themeColor="text1"/>
          <w:lang/>
        </w:rPr>
        <w:t>The VMC suggests that factors which will mitigate the above barriers and assist the effectiveness of the proposals include:</w:t>
      </w:r>
    </w:p>
    <w:p w:rsidR="00D27A34" w:rsidRPr="0012351F" w:rsidRDefault="00D27A34" w:rsidP="00D27A34">
      <w:pPr>
        <w:pStyle w:val="ListParagraph"/>
        <w:numPr>
          <w:ilvl w:val="0"/>
          <w:numId w:val="3"/>
        </w:numPr>
        <w:spacing w:after="120"/>
        <w:jc w:val="both"/>
        <w:rPr>
          <w:rFonts w:cs="Calibri"/>
          <w:color w:val="000000" w:themeColor="text1"/>
        </w:rPr>
      </w:pPr>
      <w:r w:rsidRPr="0012351F">
        <w:rPr>
          <w:rFonts w:cs="Calibri"/>
          <w:color w:val="000000" w:themeColor="text1"/>
        </w:rPr>
        <w:t xml:space="preserve">Intercultural awareness/sensitivity training for service provider staff </w:t>
      </w:r>
    </w:p>
    <w:p w:rsidR="00D27A34" w:rsidRDefault="00D27A34" w:rsidP="00D27A34">
      <w:pPr>
        <w:pStyle w:val="ListParagraph"/>
        <w:numPr>
          <w:ilvl w:val="0"/>
          <w:numId w:val="3"/>
        </w:numPr>
        <w:shd w:val="clear" w:color="auto" w:fill="FFFFFF"/>
        <w:spacing w:before="100" w:beforeAutospacing="1" w:after="288" w:line="360" w:lineRule="atLeast"/>
        <w:rPr>
          <w:rFonts w:cs="Calibri"/>
          <w:color w:val="000000" w:themeColor="text1"/>
        </w:rPr>
      </w:pPr>
      <w:r w:rsidRPr="0012351F">
        <w:rPr>
          <w:rFonts w:cs="Calibri"/>
          <w:color w:val="000000" w:themeColor="text1"/>
        </w:rPr>
        <w:t xml:space="preserve">Compulsory quality intercultural awareness and language skills training of aged care staff – including annual professional development requirements </w:t>
      </w:r>
    </w:p>
    <w:p w:rsidR="00D27A34" w:rsidRPr="0012351F" w:rsidRDefault="00D27A34" w:rsidP="00D27A34">
      <w:pPr>
        <w:pStyle w:val="ListParagraph"/>
        <w:numPr>
          <w:ilvl w:val="0"/>
          <w:numId w:val="3"/>
        </w:numPr>
        <w:shd w:val="clear" w:color="auto" w:fill="FFFFFF"/>
        <w:spacing w:before="100" w:beforeAutospacing="1" w:after="288" w:line="360" w:lineRule="atLeast"/>
        <w:rPr>
          <w:rFonts w:cs="Calibri"/>
          <w:color w:val="000000" w:themeColor="text1"/>
        </w:rPr>
      </w:pPr>
      <w:r w:rsidRPr="0012351F">
        <w:rPr>
          <w:rFonts w:cs="Calibri"/>
          <w:color w:val="000000" w:themeColor="text1"/>
        </w:rPr>
        <w:t>National community awareness education (such as using ethnic media, radio and TV) covering impact, rights, responsibilities (including sponsors), prevention and support,  and including multi-media shock campaigns (i.e. road trauma/safety ) reaching all sections of the mainstream and culturally diverse community,  and Australia Elder Abuse Awareness/Prevention day</w:t>
      </w:r>
    </w:p>
    <w:p w:rsidR="008C6389" w:rsidRPr="008C6389" w:rsidRDefault="00D27A34" w:rsidP="008C6389">
      <w:pPr>
        <w:pStyle w:val="ListParagraph"/>
        <w:numPr>
          <w:ilvl w:val="0"/>
          <w:numId w:val="3"/>
        </w:numPr>
        <w:shd w:val="clear" w:color="auto" w:fill="FFFFFF"/>
        <w:autoSpaceDE w:val="0"/>
        <w:autoSpaceDN w:val="0"/>
        <w:adjustRightInd w:val="0"/>
        <w:spacing w:before="100" w:beforeAutospacing="1" w:after="288" w:line="360" w:lineRule="atLeast"/>
        <w:jc w:val="both"/>
        <w:rPr>
          <w:rFonts w:cs="Calibri"/>
          <w:color w:val="000000" w:themeColor="text1"/>
        </w:rPr>
      </w:pPr>
      <w:r w:rsidRPr="0012351F">
        <w:rPr>
          <w:rFonts w:eastAsia="Times New Roman" w:cs="Calibri"/>
          <w:color w:val="000000" w:themeColor="text1"/>
          <w:lang/>
        </w:rPr>
        <w:t>Information awareness and ongoing education campaigns for culturally diverse seniors to mitigate the barriers they face in raising matters impacting on them</w:t>
      </w:r>
      <w:r w:rsidR="008C6389">
        <w:rPr>
          <w:rFonts w:eastAsia="Times New Roman" w:cs="Calibri"/>
          <w:color w:val="000000" w:themeColor="text1"/>
          <w:lang/>
        </w:rPr>
        <w:t>. For example</w:t>
      </w:r>
      <w:r w:rsidR="008C6389" w:rsidRPr="008C6389">
        <w:rPr>
          <w:rFonts w:eastAsia="Times New Roman" w:cs="Calibri"/>
          <w:color w:val="000000" w:themeColor="text1"/>
          <w:lang/>
        </w:rPr>
        <w:t xml:space="preserve">, </w:t>
      </w:r>
      <w:r w:rsidR="008C6389" w:rsidRPr="008C6389">
        <w:rPr>
          <w:rFonts w:eastAsiaTheme="minorHAnsi" w:cs="Arial"/>
          <w:color w:val="000000"/>
          <w:lang w:eastAsia="en-US"/>
        </w:rPr>
        <w:t>DHHS delivers a specific Elder Abuse Preve</w:t>
      </w:r>
      <w:r w:rsidR="008C6389">
        <w:rPr>
          <w:rFonts w:eastAsiaTheme="minorHAnsi" w:cs="Arial"/>
          <w:color w:val="000000"/>
          <w:lang w:eastAsia="en-US"/>
        </w:rPr>
        <w:t xml:space="preserve">ntion and Response Initiative, </w:t>
      </w:r>
      <w:bookmarkStart w:id="0" w:name="_GoBack"/>
      <w:bookmarkEnd w:id="0"/>
      <w:r w:rsidR="008C6389" w:rsidRPr="008C6389">
        <w:rPr>
          <w:rFonts w:eastAsiaTheme="minorHAnsi" w:cs="Arial"/>
          <w:color w:val="000000"/>
          <w:lang w:eastAsia="en-US"/>
        </w:rPr>
        <w:t xml:space="preserve">which provides community education on elder abuse, specifically of older people from culturally diverse backgrounds. The initiative </w:t>
      </w:r>
      <w:r w:rsidR="008C6389" w:rsidRPr="008C6389">
        <w:rPr>
          <w:rFonts w:eastAsiaTheme="minorHAnsi" w:cs="Arial"/>
          <w:color w:val="000000"/>
          <w:lang w:eastAsia="en-US"/>
        </w:rPr>
        <w:lastRenderedPageBreak/>
        <w:t>delivers professional education to raise the awareness of professionals working with culturally diverse clients regarding elder abuse, as well as a community awareness program to identified communities to increase their awareness of elder abuse and effective means to prevent and respond to this issue.</w:t>
      </w:r>
    </w:p>
    <w:p w:rsidR="00D27A34" w:rsidRPr="008C6389" w:rsidRDefault="00D27A34" w:rsidP="008C6389">
      <w:pPr>
        <w:pStyle w:val="ListParagraph"/>
        <w:shd w:val="clear" w:color="auto" w:fill="FFFFFF"/>
        <w:spacing w:before="100" w:beforeAutospacing="1" w:after="288" w:line="360" w:lineRule="atLeast"/>
        <w:rPr>
          <w:rFonts w:eastAsia="Times New Roman" w:cs="Calibri"/>
          <w:color w:val="000000" w:themeColor="text1"/>
          <w:lang/>
        </w:rPr>
      </w:pPr>
    </w:p>
    <w:p w:rsidR="00D27A34" w:rsidRDefault="00D27A34" w:rsidP="00D27A34">
      <w:pPr>
        <w:pStyle w:val="ListParagraph"/>
        <w:numPr>
          <w:ilvl w:val="0"/>
          <w:numId w:val="1"/>
        </w:numPr>
        <w:shd w:val="clear" w:color="auto" w:fill="FFFFFF"/>
        <w:spacing w:before="100" w:beforeAutospacing="1" w:after="288" w:line="360" w:lineRule="atLeast"/>
        <w:rPr>
          <w:rFonts w:cs="Calibri"/>
          <w:color w:val="000000" w:themeColor="text1"/>
        </w:rPr>
      </w:pPr>
      <w:r w:rsidRPr="0012351F">
        <w:rPr>
          <w:rFonts w:cs="Calibri"/>
          <w:color w:val="000000" w:themeColor="text1"/>
        </w:rPr>
        <w:t>Intergenerational awareness/education throughout communities and as part of general education system (i.e. incorporate into primary and secondary education curriculum)</w:t>
      </w:r>
    </w:p>
    <w:p w:rsidR="006C0B57" w:rsidRPr="00992460" w:rsidRDefault="006C0B57" w:rsidP="00D27A34">
      <w:pPr>
        <w:pStyle w:val="ListParagraph"/>
        <w:numPr>
          <w:ilvl w:val="0"/>
          <w:numId w:val="1"/>
        </w:numPr>
        <w:shd w:val="clear" w:color="auto" w:fill="FFFFFF"/>
        <w:spacing w:before="100" w:beforeAutospacing="1" w:after="288" w:line="360" w:lineRule="atLeast"/>
        <w:rPr>
          <w:rFonts w:cs="Calibri"/>
          <w:color w:val="000000" w:themeColor="text1"/>
        </w:rPr>
      </w:pPr>
      <w:r>
        <w:rPr>
          <w:rFonts w:cs="Calibri"/>
          <w:color w:val="000000" w:themeColor="text1"/>
        </w:rPr>
        <w:t>Make sponsors</w:t>
      </w:r>
      <w:r>
        <w:rPr>
          <w:rStyle w:val="FootnoteReference"/>
          <w:color w:val="000000" w:themeColor="text1"/>
        </w:rPr>
        <w:footnoteReference w:id="7"/>
      </w:r>
      <w:r>
        <w:rPr>
          <w:rFonts w:cs="Calibri"/>
          <w:color w:val="000000" w:themeColor="text1"/>
        </w:rPr>
        <w:t xml:space="preserve"> aware of their roles and responsibilities, the challenges and complexity associated with of looking after culturally diverse elders, particularly in an environment which is foreign to the elder person</w:t>
      </w:r>
      <w:r w:rsidR="00E77A84">
        <w:rPr>
          <w:rFonts w:cs="Calibri"/>
          <w:color w:val="000000" w:themeColor="text1"/>
        </w:rPr>
        <w:t xml:space="preserve"> (for example; t</w:t>
      </w:r>
      <w:r w:rsidR="00E77A84">
        <w:t xml:space="preserve">he importance of their parents </w:t>
      </w:r>
      <w:r w:rsidR="00992460">
        <w:t>being</w:t>
      </w:r>
      <w:r w:rsidR="00E77A84">
        <w:t xml:space="preserve"> connected socially to members of their own community)</w:t>
      </w:r>
    </w:p>
    <w:p w:rsidR="00992460" w:rsidRPr="00992460" w:rsidRDefault="00992460" w:rsidP="00992460">
      <w:pPr>
        <w:pStyle w:val="ListParagraph"/>
        <w:numPr>
          <w:ilvl w:val="0"/>
          <w:numId w:val="1"/>
        </w:numPr>
        <w:shd w:val="clear" w:color="auto" w:fill="FFFFFF"/>
        <w:spacing w:before="100" w:beforeAutospacing="1" w:after="288" w:line="360" w:lineRule="atLeast"/>
        <w:rPr>
          <w:rFonts w:eastAsia="Times New Roman" w:cs="Calibri"/>
          <w:color w:val="333333"/>
          <w:lang/>
        </w:rPr>
      </w:pPr>
      <w:r>
        <w:rPr>
          <w:rFonts w:cs="Calibri"/>
          <w:lang w:eastAsia="en-GB"/>
        </w:rPr>
        <w:t>Provi</w:t>
      </w:r>
      <w:r w:rsidR="004268F6">
        <w:rPr>
          <w:rFonts w:cs="Calibri"/>
          <w:lang w:eastAsia="en-GB"/>
        </w:rPr>
        <w:t>de</w:t>
      </w:r>
      <w:r>
        <w:rPr>
          <w:rFonts w:cs="Calibri"/>
          <w:lang w:eastAsia="en-GB"/>
        </w:rPr>
        <w:t xml:space="preserve"> pre arrival elder abuse awareness information for seniors intending to make Australia their home, including details of rights, prevention and support services </w:t>
      </w:r>
      <w:r>
        <w:rPr>
          <w:rStyle w:val="FootnoteReference"/>
          <w:lang w:eastAsia="en-GB"/>
        </w:rPr>
        <w:footnoteReference w:id="8"/>
      </w:r>
      <w:r>
        <w:rPr>
          <w:rFonts w:cs="Calibri"/>
          <w:lang w:eastAsia="en-GB"/>
        </w:rPr>
        <w:t>(e.g. at overseas embassies, by migration agents)</w:t>
      </w:r>
    </w:p>
    <w:p w:rsidR="00D27A34" w:rsidRPr="0012351F" w:rsidRDefault="00D27A34" w:rsidP="00D27A34">
      <w:pPr>
        <w:pStyle w:val="ListParagraph"/>
        <w:numPr>
          <w:ilvl w:val="0"/>
          <w:numId w:val="1"/>
        </w:numPr>
        <w:shd w:val="clear" w:color="auto" w:fill="FFFFFF"/>
        <w:spacing w:before="100" w:beforeAutospacing="1" w:after="288" w:line="360" w:lineRule="atLeast"/>
        <w:rPr>
          <w:rFonts w:cs="Calibri"/>
          <w:color w:val="000000" w:themeColor="text1"/>
        </w:rPr>
      </w:pPr>
      <w:r w:rsidRPr="0012351F">
        <w:rPr>
          <w:rFonts w:cs="Calibri"/>
          <w:color w:val="000000" w:themeColor="text1"/>
        </w:rPr>
        <w:t xml:space="preserve">Availability of translated materials </w:t>
      </w:r>
    </w:p>
    <w:p w:rsidR="00D27A34" w:rsidRPr="0012351F" w:rsidRDefault="00D27A34" w:rsidP="00D27A34">
      <w:pPr>
        <w:pStyle w:val="ListParagraph"/>
        <w:numPr>
          <w:ilvl w:val="0"/>
          <w:numId w:val="1"/>
        </w:numPr>
        <w:shd w:val="clear" w:color="auto" w:fill="FFFFFF"/>
        <w:spacing w:before="100" w:beforeAutospacing="1" w:after="288" w:line="360" w:lineRule="atLeast"/>
        <w:rPr>
          <w:rFonts w:cs="Calibri"/>
          <w:color w:val="000000" w:themeColor="text1"/>
        </w:rPr>
      </w:pPr>
      <w:r w:rsidRPr="0012351F">
        <w:rPr>
          <w:rFonts w:cs="Calibri"/>
          <w:color w:val="000000" w:themeColor="text1"/>
        </w:rPr>
        <w:t xml:space="preserve">The use of terms (oral and written) which have meaning and context for culturally diverse seniors </w:t>
      </w:r>
    </w:p>
    <w:p w:rsidR="00D27A34" w:rsidRPr="0012351F" w:rsidRDefault="00D27A34" w:rsidP="00D27A34">
      <w:pPr>
        <w:pStyle w:val="ListParagraph"/>
        <w:numPr>
          <w:ilvl w:val="0"/>
          <w:numId w:val="1"/>
        </w:numPr>
        <w:shd w:val="clear" w:color="auto" w:fill="FFFFFF"/>
        <w:spacing w:before="100" w:beforeAutospacing="1" w:after="288" w:line="360" w:lineRule="atLeast"/>
        <w:rPr>
          <w:rFonts w:cs="Calibri"/>
          <w:color w:val="000000" w:themeColor="text1"/>
        </w:rPr>
      </w:pPr>
      <w:r w:rsidRPr="0012351F">
        <w:rPr>
          <w:rFonts w:cs="Calibri"/>
          <w:color w:val="000000" w:themeColor="text1"/>
        </w:rPr>
        <w:t>Use of</w:t>
      </w:r>
      <w:r w:rsidRPr="0012351F">
        <w:rPr>
          <w:color w:val="000000" w:themeColor="text1"/>
        </w:rPr>
        <w:t xml:space="preserve"> pictorial literature in the form of CALD storyboards</w:t>
      </w:r>
      <w:r w:rsidRPr="0012351F">
        <w:rPr>
          <w:rStyle w:val="FootnoteReference"/>
          <w:color w:val="000000" w:themeColor="text1"/>
        </w:rPr>
        <w:footnoteReference w:id="9"/>
      </w:r>
      <w:r w:rsidRPr="0012351F">
        <w:rPr>
          <w:color w:val="000000" w:themeColor="text1"/>
        </w:rPr>
        <w:t xml:space="preserve"> for people with low level literacy</w:t>
      </w:r>
    </w:p>
    <w:p w:rsidR="00D27A34" w:rsidRPr="00AE719E" w:rsidRDefault="00D27A34" w:rsidP="00D27A34">
      <w:pPr>
        <w:pStyle w:val="ListParagraph"/>
        <w:numPr>
          <w:ilvl w:val="0"/>
          <w:numId w:val="1"/>
        </w:numPr>
        <w:shd w:val="clear" w:color="auto" w:fill="FFFFFF"/>
        <w:spacing w:before="100" w:beforeAutospacing="1" w:after="288" w:line="360" w:lineRule="atLeast"/>
        <w:rPr>
          <w:rFonts w:cs="Calibri"/>
        </w:rPr>
      </w:pPr>
      <w:r w:rsidRPr="00AE719E">
        <w:rPr>
          <w:rFonts w:cs="Calibri"/>
        </w:rPr>
        <w:t xml:space="preserve">Use of qualified interpreters </w:t>
      </w:r>
      <w:r>
        <w:rPr>
          <w:rFonts w:cs="Calibri"/>
        </w:rPr>
        <w:t xml:space="preserve"> for all interactions</w:t>
      </w:r>
    </w:p>
    <w:p w:rsidR="00D27A34" w:rsidRPr="00AE719E" w:rsidRDefault="00D27A34" w:rsidP="00D27A34">
      <w:pPr>
        <w:pStyle w:val="ListParagraph"/>
        <w:numPr>
          <w:ilvl w:val="0"/>
          <w:numId w:val="1"/>
        </w:numPr>
        <w:shd w:val="clear" w:color="auto" w:fill="FFFFFF"/>
        <w:spacing w:before="100" w:beforeAutospacing="1" w:after="288" w:line="360" w:lineRule="atLeast"/>
        <w:rPr>
          <w:rFonts w:cs="Calibri"/>
        </w:rPr>
      </w:pPr>
      <w:r w:rsidRPr="00AE719E">
        <w:rPr>
          <w:rFonts w:cs="Calibri"/>
        </w:rPr>
        <w:t xml:space="preserve">Seniors and culturally friendly design of IT information/instructions, forms and systems  </w:t>
      </w:r>
    </w:p>
    <w:p w:rsidR="00D27A34" w:rsidRPr="00992460" w:rsidRDefault="00D27A34"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sidRPr="00AE719E">
        <w:rPr>
          <w:rFonts w:cs="Calibri"/>
          <w:lang w:eastAsia="en-GB"/>
        </w:rPr>
        <w:t>Implement similar guidelines to those at the Victorian Royal Commission Family Violence Recommendation 157</w:t>
      </w:r>
      <w:r>
        <w:rPr>
          <w:rFonts w:cs="Calibri"/>
          <w:lang w:eastAsia="en-GB"/>
        </w:rPr>
        <w:t xml:space="preserve"> – updating guidelines on policy and procedures about the use of interpreters</w:t>
      </w:r>
    </w:p>
    <w:p w:rsidR="00992460" w:rsidRPr="00F33692" w:rsidRDefault="00992460" w:rsidP="00D27A34">
      <w:pPr>
        <w:pStyle w:val="ListParagraph"/>
        <w:numPr>
          <w:ilvl w:val="0"/>
          <w:numId w:val="1"/>
        </w:numPr>
        <w:shd w:val="clear" w:color="auto" w:fill="FFFFFF"/>
        <w:spacing w:before="100" w:beforeAutospacing="1" w:after="288" w:line="360" w:lineRule="atLeast"/>
        <w:rPr>
          <w:rFonts w:eastAsia="Times New Roman" w:cs="Calibri"/>
          <w:color w:val="333333"/>
          <w:lang/>
        </w:rPr>
      </w:pPr>
      <w:r>
        <w:rPr>
          <w:rFonts w:cs="Calibri"/>
          <w:lang w:eastAsia="en-GB"/>
        </w:rPr>
        <w:t>Ensur</w:t>
      </w:r>
      <w:r w:rsidR="004268F6">
        <w:rPr>
          <w:rFonts w:cs="Calibri"/>
          <w:lang w:eastAsia="en-GB"/>
        </w:rPr>
        <w:t>e</w:t>
      </w:r>
      <w:r>
        <w:rPr>
          <w:rFonts w:cs="Calibri"/>
          <w:lang w:eastAsia="en-GB"/>
        </w:rPr>
        <w:t xml:space="preserve"> culturally diverse seniors are aware that they can quarantine a percentage of their assets to protect against mistakes, misappropriation or abuse</w:t>
      </w:r>
      <w:r>
        <w:rPr>
          <w:rStyle w:val="FootnoteReference"/>
          <w:lang w:eastAsia="en-GB"/>
        </w:rPr>
        <w:footnoteReference w:id="10"/>
      </w:r>
      <w:r>
        <w:rPr>
          <w:rFonts w:cs="Calibri"/>
          <w:lang w:eastAsia="en-GB"/>
        </w:rPr>
        <w:t>.</w:t>
      </w:r>
    </w:p>
    <w:p w:rsidR="002E5D46" w:rsidRDefault="00D27A34" w:rsidP="00D27A34">
      <w:pPr>
        <w:shd w:val="clear" w:color="auto" w:fill="FFFFFF"/>
        <w:spacing w:before="100" w:beforeAutospacing="1" w:after="288" w:line="360" w:lineRule="atLeast"/>
        <w:ind w:left="360"/>
        <w:rPr>
          <w:rFonts w:eastAsia="Times New Roman" w:cs="Calibri"/>
          <w:b/>
          <w:color w:val="333333"/>
          <w:sz w:val="24"/>
          <w:szCs w:val="24"/>
          <w:lang/>
        </w:rPr>
      </w:pPr>
      <w:r w:rsidRPr="00F33692">
        <w:rPr>
          <w:rFonts w:eastAsia="Times New Roman" w:cs="Calibri"/>
          <w:b/>
          <w:color w:val="333333"/>
          <w:sz w:val="24"/>
          <w:szCs w:val="24"/>
          <w:lang/>
        </w:rPr>
        <w:t>Specific enablers</w:t>
      </w:r>
    </w:p>
    <w:p w:rsidR="00D27A34" w:rsidRPr="002E5D46" w:rsidRDefault="00D27A34" w:rsidP="002E5D46">
      <w:pPr>
        <w:shd w:val="clear" w:color="auto" w:fill="FFFFFF"/>
        <w:spacing w:before="100" w:beforeAutospacing="1" w:after="288"/>
        <w:ind w:left="357"/>
        <w:rPr>
          <w:rFonts w:eastAsia="Times New Roman" w:cs="Calibri"/>
          <w:color w:val="333333"/>
          <w:lang/>
        </w:rPr>
      </w:pPr>
      <w:r w:rsidRPr="002E5D46">
        <w:rPr>
          <w:rFonts w:eastAsia="Times New Roman" w:cs="Calibri"/>
          <w:color w:val="333333"/>
          <w:lang/>
        </w:rPr>
        <w:t>The VMC suggests consideration of the following enablers</w:t>
      </w:r>
      <w:r w:rsidR="002E5D46" w:rsidRPr="002E5D46">
        <w:rPr>
          <w:rFonts w:eastAsia="Times New Roman" w:cs="Calibri"/>
          <w:color w:val="333333"/>
          <w:lang/>
        </w:rPr>
        <w:t xml:space="preserve"> which are </w:t>
      </w:r>
      <w:r w:rsidR="00B17D16">
        <w:t>a</w:t>
      </w:r>
      <w:r w:rsidR="002E5D46" w:rsidRPr="002E5D46">
        <w:t>dapted from outcomes of the Victorian Royal Commission into Family Violence</w:t>
      </w:r>
      <w:r w:rsidRPr="002E5D46">
        <w:rPr>
          <w:rFonts w:eastAsia="Times New Roman" w:cs="Calibri"/>
          <w:color w:val="333333"/>
          <w:lang/>
        </w:rPr>
        <w:t>.</w:t>
      </w:r>
    </w:p>
    <w:p w:rsidR="00D27A34" w:rsidRPr="00F33692" w:rsidRDefault="00D27A34" w:rsidP="00D27A34">
      <w:pPr>
        <w:numPr>
          <w:ilvl w:val="0"/>
          <w:numId w:val="4"/>
        </w:numPr>
        <w:spacing w:after="120"/>
        <w:ind w:left="709"/>
        <w:textAlignment w:val="baseline"/>
        <w:rPr>
          <w:rFonts w:eastAsia="Times New Roman" w:cs="Arial"/>
          <w:color w:val="000000"/>
        </w:rPr>
      </w:pPr>
      <w:r w:rsidRPr="00F33692">
        <w:rPr>
          <w:rFonts w:eastAsia="Times New Roman" w:cs="Arial"/>
          <w:color w:val="000000"/>
        </w:rPr>
        <w:t xml:space="preserve">Establish a </w:t>
      </w:r>
      <w:r>
        <w:rPr>
          <w:rFonts w:eastAsia="Times New Roman" w:cs="Arial"/>
          <w:color w:val="000000"/>
        </w:rPr>
        <w:t xml:space="preserve">national </w:t>
      </w:r>
      <w:r w:rsidRPr="00F33692">
        <w:rPr>
          <w:rFonts w:eastAsia="Times New Roman" w:cs="Arial"/>
          <w:color w:val="000000"/>
        </w:rPr>
        <w:t>network of Support and Safety Hubs</w:t>
      </w:r>
      <w:r w:rsidR="002E5D46">
        <w:rPr>
          <w:rStyle w:val="FootnoteReference"/>
          <w:rFonts w:eastAsia="Times New Roman"/>
          <w:color w:val="000000"/>
        </w:rPr>
        <w:footnoteReference w:id="11"/>
      </w:r>
      <w:r w:rsidRPr="00F33692">
        <w:rPr>
          <w:rFonts w:eastAsia="Times New Roman" w:cs="Arial"/>
          <w:color w:val="000000"/>
        </w:rPr>
        <w:t>, where culturally diverse seniors (victims and potential victims) can access the support they need to be treated with respect and stay safe</w:t>
      </w:r>
    </w:p>
    <w:p w:rsidR="00D27A34" w:rsidRPr="00F33692" w:rsidRDefault="00D27A34" w:rsidP="00D27A34">
      <w:pPr>
        <w:numPr>
          <w:ilvl w:val="0"/>
          <w:numId w:val="4"/>
        </w:numPr>
        <w:spacing w:after="120"/>
        <w:ind w:left="709"/>
        <w:textAlignment w:val="baseline"/>
        <w:rPr>
          <w:rFonts w:eastAsia="Times New Roman" w:cs="Arial"/>
          <w:color w:val="000000"/>
        </w:rPr>
      </w:pPr>
      <w:r w:rsidRPr="00F33692">
        <w:rPr>
          <w:rFonts w:eastAsia="Times New Roman" w:cs="Arial"/>
          <w:color w:val="000000"/>
        </w:rPr>
        <w:lastRenderedPageBreak/>
        <w:t>Recruit new specialist elder abuse workers to support culturally diverse seniors, especially women access services they need to stay safe and get back on their feet</w:t>
      </w:r>
    </w:p>
    <w:p w:rsidR="00D27A34" w:rsidRPr="00F33692" w:rsidRDefault="00D27A34" w:rsidP="00D27A34">
      <w:pPr>
        <w:numPr>
          <w:ilvl w:val="0"/>
          <w:numId w:val="4"/>
        </w:numPr>
        <w:spacing w:after="120"/>
        <w:ind w:left="709"/>
        <w:textAlignment w:val="baseline"/>
        <w:rPr>
          <w:rFonts w:eastAsia="Times New Roman" w:cs="Arial"/>
          <w:color w:val="000000"/>
        </w:rPr>
      </w:pPr>
      <w:r w:rsidRPr="00F33692">
        <w:rPr>
          <w:rFonts w:eastAsia="Times New Roman" w:cs="Arial"/>
          <w:color w:val="000000"/>
        </w:rPr>
        <w:t xml:space="preserve">Provide specialist training to service providers, aged care workers, official visitors and state </w:t>
      </w:r>
      <w:r>
        <w:rPr>
          <w:rFonts w:eastAsia="Times New Roman" w:cs="Arial"/>
          <w:color w:val="000000"/>
        </w:rPr>
        <w:t>p</w:t>
      </w:r>
      <w:r w:rsidRPr="00F33692">
        <w:rPr>
          <w:rFonts w:eastAsia="Times New Roman" w:cs="Arial"/>
          <w:color w:val="000000"/>
        </w:rPr>
        <w:t>olice officers who play a critical role in identifying and responding to elder abuse</w:t>
      </w:r>
    </w:p>
    <w:p w:rsidR="00D27A34" w:rsidRPr="00F33692" w:rsidRDefault="00D27A34" w:rsidP="00D27A34">
      <w:pPr>
        <w:numPr>
          <w:ilvl w:val="0"/>
          <w:numId w:val="4"/>
        </w:numPr>
        <w:spacing w:after="120"/>
        <w:ind w:left="709"/>
        <w:textAlignment w:val="baseline"/>
        <w:rPr>
          <w:rFonts w:eastAsia="Times New Roman" w:cs="Arial"/>
          <w:color w:val="000000"/>
        </w:rPr>
      </w:pPr>
      <w:r w:rsidRPr="00F33692">
        <w:rPr>
          <w:rFonts w:eastAsia="Times New Roman" w:cs="Arial"/>
          <w:color w:val="000000"/>
        </w:rPr>
        <w:t>Initiate a Primary Prevention strategy, in conjunction with nation-wide behavioural change campaign, to help stop elder abuse happening in the first place</w:t>
      </w:r>
    </w:p>
    <w:p w:rsidR="00D27A34" w:rsidRPr="00F33692" w:rsidRDefault="00D27A34" w:rsidP="00D27A34">
      <w:pPr>
        <w:spacing w:after="150"/>
        <w:ind w:left="709"/>
        <w:textAlignment w:val="baseline"/>
        <w:rPr>
          <w:rFonts w:eastAsia="Times New Roman" w:cs="Arial"/>
          <w:color w:val="000000"/>
        </w:rPr>
      </w:pPr>
      <w:r w:rsidRPr="00F33692">
        <w:rPr>
          <w:rFonts w:eastAsia="Times New Roman" w:cs="Arial"/>
          <w:color w:val="000000"/>
        </w:rPr>
        <w:t>These initiatives will require government, community and related service provider cohorts   to transform the way they approach and work, and should include creation and resourcing of the following:</w:t>
      </w:r>
    </w:p>
    <w:p w:rsidR="00D27A34" w:rsidRPr="00F33692" w:rsidRDefault="00D27A34" w:rsidP="00D27A34">
      <w:pPr>
        <w:numPr>
          <w:ilvl w:val="0"/>
          <w:numId w:val="5"/>
        </w:numPr>
        <w:spacing w:after="120"/>
        <w:ind w:left="709"/>
        <w:textAlignment w:val="baseline"/>
        <w:rPr>
          <w:rFonts w:eastAsia="Times New Roman" w:cs="Arial"/>
          <w:color w:val="000000"/>
        </w:rPr>
      </w:pPr>
      <w:r w:rsidRPr="00F33692">
        <w:rPr>
          <w:rFonts w:eastAsia="Times New Roman" w:cs="Arial"/>
          <w:color w:val="000000"/>
        </w:rPr>
        <w:t>A national co-ordination agency which will oversee the operation of the Support and Safety Hubs</w:t>
      </w:r>
    </w:p>
    <w:p w:rsidR="00D27A34" w:rsidRPr="00F33692" w:rsidRDefault="00D27A34" w:rsidP="00D27A34">
      <w:pPr>
        <w:numPr>
          <w:ilvl w:val="0"/>
          <w:numId w:val="5"/>
        </w:numPr>
        <w:spacing w:after="120"/>
        <w:ind w:left="709"/>
        <w:textAlignment w:val="baseline"/>
        <w:rPr>
          <w:rFonts w:eastAsia="Times New Roman" w:cs="Arial"/>
          <w:color w:val="000000"/>
        </w:rPr>
      </w:pPr>
      <w:r w:rsidRPr="00F33692">
        <w:rPr>
          <w:rFonts w:eastAsia="Times New Roman" w:cs="Arial"/>
          <w:color w:val="000000"/>
        </w:rPr>
        <w:t>A prevention agency</w:t>
      </w:r>
      <w:r w:rsidR="002E5D46">
        <w:rPr>
          <w:rFonts w:eastAsia="Times New Roman" w:cs="Arial"/>
          <w:color w:val="000000"/>
        </w:rPr>
        <w:t>, similar to work being done under Victorian Family violence perpetrator initiatives,</w:t>
      </w:r>
      <w:r w:rsidRPr="00F33692">
        <w:rPr>
          <w:rFonts w:eastAsia="Times New Roman" w:cs="Arial"/>
          <w:color w:val="000000"/>
        </w:rPr>
        <w:t xml:space="preserve"> with dedicated funding focusing on providing advice on best practice</w:t>
      </w:r>
    </w:p>
    <w:p w:rsidR="00D27A34" w:rsidRPr="00F33692" w:rsidRDefault="00D27A34" w:rsidP="00D27A34">
      <w:pPr>
        <w:numPr>
          <w:ilvl w:val="0"/>
          <w:numId w:val="5"/>
        </w:numPr>
        <w:spacing w:after="120"/>
        <w:ind w:left="709"/>
        <w:textAlignment w:val="baseline"/>
        <w:rPr>
          <w:rFonts w:eastAsia="Times New Roman" w:cs="Arial"/>
          <w:color w:val="000000"/>
        </w:rPr>
      </w:pPr>
      <w:r w:rsidRPr="00F33692">
        <w:rPr>
          <w:rFonts w:eastAsia="Times New Roman" w:cs="Arial"/>
          <w:color w:val="000000"/>
        </w:rPr>
        <w:t>A Centre for Service Excellence to focus on building the strongest possible culturally sensitive  workforce for all seniors</w:t>
      </w:r>
    </w:p>
    <w:p w:rsidR="00D27A34" w:rsidRPr="00F33692" w:rsidRDefault="00D27A34" w:rsidP="00D27A34">
      <w:pPr>
        <w:numPr>
          <w:ilvl w:val="0"/>
          <w:numId w:val="5"/>
        </w:numPr>
        <w:spacing w:after="120"/>
        <w:ind w:left="709"/>
        <w:textAlignment w:val="baseline"/>
        <w:rPr>
          <w:rFonts w:eastAsia="Times New Roman" w:cs="Arial"/>
          <w:color w:val="000000"/>
        </w:rPr>
      </w:pPr>
      <w:r w:rsidRPr="00F33692">
        <w:rPr>
          <w:rFonts w:eastAsia="Times New Roman" w:cs="Arial"/>
          <w:color w:val="000000"/>
        </w:rPr>
        <w:t>A national data collection and management strategy to change the way that service providers, aged care facilities and government collect information to develop new capabilities to analyse data to protect at risk culturally diverse seniors</w:t>
      </w:r>
    </w:p>
    <w:p w:rsidR="00D27A34" w:rsidRPr="00F33692" w:rsidRDefault="00D27A34" w:rsidP="00D27A34">
      <w:pPr>
        <w:numPr>
          <w:ilvl w:val="0"/>
          <w:numId w:val="5"/>
        </w:numPr>
        <w:spacing w:after="120"/>
        <w:ind w:left="709"/>
        <w:textAlignment w:val="baseline"/>
        <w:rPr>
          <w:rFonts w:eastAsia="Times New Roman" w:cs="Arial"/>
          <w:color w:val="000000"/>
        </w:rPr>
      </w:pPr>
      <w:r w:rsidRPr="00F33692">
        <w:rPr>
          <w:rFonts w:eastAsia="Times New Roman" w:cs="Arial"/>
          <w:color w:val="000000"/>
        </w:rPr>
        <w:t>Provision of adequate “new funding” to enable all service providers, particularly aged care facility operators, to implement awareness and intercultural training and other initiative and safeguards for culturally diverse seniors, as iden</w:t>
      </w:r>
      <w:r>
        <w:rPr>
          <w:rFonts w:eastAsia="Times New Roman" w:cs="Arial"/>
          <w:color w:val="000000"/>
        </w:rPr>
        <w:t>ti</w:t>
      </w:r>
      <w:r w:rsidRPr="00F33692">
        <w:rPr>
          <w:rFonts w:eastAsia="Times New Roman" w:cs="Arial"/>
          <w:color w:val="000000"/>
        </w:rPr>
        <w:t>fied within the Discussion Paper and above</w:t>
      </w:r>
    </w:p>
    <w:p w:rsidR="00D27A34" w:rsidRPr="00F33692" w:rsidRDefault="00D27A34" w:rsidP="00D27A34">
      <w:pPr>
        <w:numPr>
          <w:ilvl w:val="0"/>
          <w:numId w:val="5"/>
        </w:numPr>
        <w:spacing w:after="120"/>
        <w:ind w:left="709"/>
        <w:textAlignment w:val="baseline"/>
        <w:rPr>
          <w:rFonts w:eastAsia="Times New Roman" w:cs="Arial"/>
          <w:color w:val="000000"/>
        </w:rPr>
      </w:pPr>
      <w:r w:rsidRPr="00F33692">
        <w:rPr>
          <w:rFonts w:eastAsia="Times New Roman" w:cs="Arial"/>
          <w:color w:val="000000"/>
        </w:rPr>
        <w:t xml:space="preserve">Implementation of a joined-up whole of government, community and service provider approach. </w:t>
      </w:r>
    </w:p>
    <w:p w:rsidR="00D27A34" w:rsidRDefault="00D27A34" w:rsidP="00D27A34">
      <w:pPr>
        <w:spacing w:after="160" w:line="259" w:lineRule="auto"/>
        <w:rPr>
          <w:rFonts w:eastAsia="Times New Roman" w:cs="Calibri"/>
          <w:color w:val="333333"/>
          <w:lang/>
        </w:rPr>
      </w:pPr>
      <w:r>
        <w:rPr>
          <w:rFonts w:eastAsia="Times New Roman" w:cs="Calibri"/>
          <w:color w:val="333333"/>
          <w:lang/>
        </w:rPr>
        <w:br w:type="page"/>
      </w:r>
    </w:p>
    <w:p w:rsidR="00D27A34" w:rsidRPr="00AE1664" w:rsidRDefault="00D27A34" w:rsidP="00D27A34">
      <w:pPr>
        <w:shd w:val="clear" w:color="auto" w:fill="FFFFFF"/>
        <w:spacing w:line="240" w:lineRule="atLeast"/>
        <w:textAlignment w:val="center"/>
        <w:outlineLvl w:val="1"/>
        <w:rPr>
          <w:rFonts w:eastAsia="Times New Roman" w:cs="Calibri"/>
          <w:b/>
          <w:color w:val="000000"/>
          <w:kern w:val="36"/>
          <w:sz w:val="28"/>
          <w:szCs w:val="28"/>
          <w:lang/>
        </w:rPr>
      </w:pPr>
      <w:r>
        <w:rPr>
          <w:rFonts w:eastAsia="Times New Roman" w:cs="Calibri"/>
          <w:b/>
          <w:color w:val="000000"/>
          <w:kern w:val="36"/>
          <w:sz w:val="28"/>
          <w:szCs w:val="28"/>
          <w:lang/>
        </w:rPr>
        <w:lastRenderedPageBreak/>
        <w:t xml:space="preserve">Part 2 VMC responses to </w:t>
      </w:r>
      <w:r w:rsidRPr="00AE1664">
        <w:rPr>
          <w:rFonts w:eastAsia="Times New Roman" w:cs="Calibri"/>
          <w:b/>
          <w:color w:val="000000"/>
          <w:kern w:val="36"/>
          <w:sz w:val="28"/>
          <w:szCs w:val="28"/>
          <w:lang/>
        </w:rPr>
        <w:t>Elder Abuse Discussion Paper proposals and questions</w:t>
      </w:r>
    </w:p>
    <w:p w:rsidR="00D27A34" w:rsidRDefault="00D27A34" w:rsidP="00D27A34">
      <w:pPr>
        <w:shd w:val="clear" w:color="auto" w:fill="FFFFFF"/>
        <w:spacing w:before="100" w:beforeAutospacing="1" w:after="288" w:line="360" w:lineRule="atLeast"/>
        <w:rPr>
          <w:rFonts w:eastAsia="Times New Roman" w:cs="Calibri"/>
          <w:color w:val="333333"/>
          <w:lang/>
        </w:rPr>
      </w:pPr>
      <w:r w:rsidRPr="008109BD">
        <w:rPr>
          <w:rFonts w:eastAsia="Times New Roman" w:cs="Calibri"/>
          <w:color w:val="333333"/>
          <w:lang/>
        </w:rPr>
        <w:t xml:space="preserve">The VMC has responded to </w:t>
      </w:r>
      <w:r>
        <w:rPr>
          <w:rFonts w:eastAsia="Times New Roman" w:cs="Calibri"/>
          <w:color w:val="333333"/>
          <w:lang/>
        </w:rPr>
        <w:t>proposal</w:t>
      </w:r>
      <w:r w:rsidRPr="008109BD">
        <w:rPr>
          <w:rFonts w:eastAsia="Times New Roman" w:cs="Calibri"/>
          <w:color w:val="333333"/>
          <w:lang/>
        </w:rPr>
        <w:t xml:space="preserve"> and </w:t>
      </w:r>
      <w:r>
        <w:rPr>
          <w:rFonts w:eastAsia="Times New Roman" w:cs="Calibri"/>
          <w:color w:val="333333"/>
          <w:lang/>
        </w:rPr>
        <w:t>questions</w:t>
      </w:r>
      <w:r w:rsidRPr="008109BD">
        <w:rPr>
          <w:rFonts w:eastAsia="Times New Roman" w:cs="Calibri"/>
          <w:color w:val="333333"/>
          <w:lang/>
        </w:rPr>
        <w:t xml:space="preserve"> within each of the following sections.</w:t>
      </w: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spacing w:after="120"/>
        <w:rPr>
          <w:rFonts w:eastAsia="Times New Roman" w:cs="Calibri"/>
          <w:color w:val="FFFFFF" w:themeColor="background1"/>
        </w:rPr>
      </w:pPr>
      <w:r w:rsidRPr="00D94DA7">
        <w:rPr>
          <w:rFonts w:eastAsia="Times New Roman" w:cs="Calibri"/>
          <w:b/>
          <w:bCs/>
          <w:color w:val="FFFFFF" w:themeColor="background1"/>
          <w:sz w:val="24"/>
          <w:szCs w:val="24"/>
        </w:rPr>
        <w:t xml:space="preserve">2. National Plan - </w:t>
      </w:r>
      <w:r w:rsidRPr="00D94DA7">
        <w:rPr>
          <w:rFonts w:eastAsia="Times New Roman" w:cs="Calibri"/>
          <w:b/>
          <w:bCs/>
          <w:color w:val="FFFFFF" w:themeColor="background1"/>
        </w:rPr>
        <w:t xml:space="preserve">Proposal 2–1 &amp; 2–2 </w:t>
      </w:r>
    </w:p>
    <w:p w:rsidR="00D27A34" w:rsidRPr="00EB458D" w:rsidRDefault="00D27A34" w:rsidP="00D27A34">
      <w:pPr>
        <w:shd w:val="clear" w:color="auto" w:fill="FFFFFF" w:themeFill="background1"/>
        <w:spacing w:before="100" w:beforeAutospacing="1" w:after="100" w:afterAutospacing="1"/>
        <w:outlineLvl w:val="1"/>
        <w:rPr>
          <w:rFonts w:eastAsia="Times New Roman" w:cs="Calibri"/>
          <w:b/>
          <w:bCs/>
        </w:rPr>
      </w:pPr>
      <w:r w:rsidRPr="00EB458D">
        <w:rPr>
          <w:rFonts w:eastAsia="Times New Roman" w:cs="Calibri"/>
          <w:b/>
          <w:bCs/>
        </w:rPr>
        <w:t>VMC Response</w:t>
      </w:r>
    </w:p>
    <w:p w:rsidR="00D27A34" w:rsidRDefault="00D27A34" w:rsidP="00D27A34">
      <w:pPr>
        <w:shd w:val="clear" w:color="auto" w:fill="FFFFFF" w:themeFill="background1"/>
        <w:spacing w:before="100" w:beforeAutospacing="1" w:after="100" w:afterAutospacing="1"/>
        <w:outlineLvl w:val="1"/>
        <w:rPr>
          <w:rFonts w:eastAsia="Times New Roman" w:cs="Calibri"/>
        </w:rPr>
      </w:pPr>
      <w:r w:rsidRPr="003E1D3F">
        <w:rPr>
          <w:rFonts w:eastAsia="Times New Roman" w:cs="Calibri"/>
          <w:bCs/>
        </w:rPr>
        <w:t>Th</w:t>
      </w:r>
      <w:r>
        <w:rPr>
          <w:rFonts w:eastAsia="Times New Roman" w:cs="Calibri"/>
          <w:bCs/>
        </w:rPr>
        <w:t>e VMC supports the development</w:t>
      </w:r>
      <w:r w:rsidR="002E5D46">
        <w:rPr>
          <w:rFonts w:eastAsia="Times New Roman" w:cs="Calibri"/>
          <w:bCs/>
        </w:rPr>
        <w:t xml:space="preserve"> and implementation</w:t>
      </w:r>
      <w:r>
        <w:rPr>
          <w:rFonts w:eastAsia="Times New Roman" w:cs="Calibri"/>
          <w:bCs/>
        </w:rPr>
        <w:t xml:space="preserve"> o</w:t>
      </w:r>
      <w:r w:rsidRPr="003E1D3F">
        <w:rPr>
          <w:rFonts w:eastAsia="Times New Roman" w:cs="Calibri"/>
          <w:bCs/>
        </w:rPr>
        <w:t xml:space="preserve">f a National Plan to address elder abuse and supports the commissioning of a </w:t>
      </w:r>
      <w:r w:rsidRPr="000B176F">
        <w:rPr>
          <w:rFonts w:eastAsia="Times New Roman" w:cs="Calibri"/>
        </w:rPr>
        <w:t>national prevalence study</w:t>
      </w:r>
      <w:r>
        <w:rPr>
          <w:rFonts w:eastAsia="Times New Roman" w:cs="Calibri"/>
        </w:rPr>
        <w:t xml:space="preserve"> that specifically considers, includes and addresses the unique factors associated with or impacting culturally diverse seniors  </w:t>
      </w:r>
    </w:p>
    <w:p w:rsidR="00D27A34" w:rsidRDefault="00D27A34" w:rsidP="00D27A34">
      <w:pPr>
        <w:shd w:val="clear" w:color="auto" w:fill="FFFFFF" w:themeFill="background1"/>
        <w:spacing w:before="100" w:beforeAutospacing="1" w:after="100" w:afterAutospacing="1"/>
        <w:outlineLvl w:val="1"/>
        <w:rPr>
          <w:rFonts w:eastAsia="Times New Roman" w:cs="Calibri"/>
        </w:rPr>
      </w:pPr>
      <w:r>
        <w:rPr>
          <w:rFonts w:eastAsia="Times New Roman" w:cs="Calibri"/>
        </w:rPr>
        <w:t>The VMC notes that the development and implementation of a national plan will only be effective if supported by additional (new) funding and resources. The VMC recommends that the ALRC strongly advocates for the required additional funding and resources.</w:t>
      </w:r>
    </w:p>
    <w:p w:rsidR="00D27A34" w:rsidRDefault="00D27A34" w:rsidP="00D27A34">
      <w:pPr>
        <w:shd w:val="clear" w:color="auto" w:fill="FFFFFF" w:themeFill="background1"/>
        <w:spacing w:before="100" w:beforeAutospacing="1" w:after="100" w:afterAutospacing="1"/>
        <w:outlineLvl w:val="1"/>
        <w:rPr>
          <w:rFonts w:eastAsia="Times New Roman" w:cs="Calibri"/>
        </w:rPr>
      </w:pPr>
      <w:r>
        <w:rPr>
          <w:rFonts w:eastAsia="Times New Roman" w:cs="Calibri"/>
        </w:rPr>
        <w:t xml:space="preserve">The VMC recommends that the study specifically and significantly investigates Elder Abuse within culturally diverse communities as the number of multicultural seniors represents a significant group of society, and as a percentage of the Australian population this will continue to grow. The VMC recommends that the study directly includes consultation with culturally diverse </w:t>
      </w:r>
      <w:proofErr w:type="gramStart"/>
      <w:r>
        <w:rPr>
          <w:rFonts w:eastAsia="Times New Roman" w:cs="Calibri"/>
        </w:rPr>
        <w:t>communities, that</w:t>
      </w:r>
      <w:proofErr w:type="gramEnd"/>
      <w:r>
        <w:rPr>
          <w:rFonts w:eastAsia="Times New Roman" w:cs="Calibri"/>
        </w:rPr>
        <w:t xml:space="preserve"> it listens to the voices of these communities and seeks to co-design and implement effective responses and strategies. The VMC would welcome involvement in the study and can assist in providing access to multicultural cohorts in Victoria.</w:t>
      </w:r>
    </w:p>
    <w:p w:rsidR="00D27A34" w:rsidRPr="00D94DA7" w:rsidRDefault="00D27A34" w:rsidP="00D27A34">
      <w:pPr>
        <w:pStyle w:val="NoSpacing"/>
        <w:rPr>
          <w:rFonts w:eastAsia="Times New Roman"/>
          <w:color w:val="FFFFFF" w:themeColor="background1"/>
          <w:sz w:val="8"/>
          <w:szCs w:val="8"/>
        </w:rPr>
      </w:pP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spacing w:after="60"/>
        <w:rPr>
          <w:rFonts w:eastAsia="Times New Roman" w:cs="Calibri"/>
          <w:color w:val="FFFFFF" w:themeColor="background1"/>
        </w:rPr>
      </w:pPr>
      <w:r w:rsidRPr="00D94DA7">
        <w:rPr>
          <w:rFonts w:eastAsia="Times New Roman" w:cs="Calibri"/>
          <w:b/>
          <w:bCs/>
          <w:color w:val="FFFFFF" w:themeColor="background1"/>
          <w:sz w:val="24"/>
          <w:szCs w:val="24"/>
        </w:rPr>
        <w:t xml:space="preserve">3. Powers of Investigation - </w:t>
      </w:r>
      <w:r w:rsidRPr="00D94DA7">
        <w:rPr>
          <w:rFonts w:eastAsia="Times New Roman" w:cs="Calibri"/>
          <w:b/>
          <w:bCs/>
          <w:color w:val="FFFFFF" w:themeColor="background1"/>
        </w:rPr>
        <w:t xml:space="preserve">Proposals 3–1 </w:t>
      </w:r>
      <w:r w:rsidRPr="00D94DA7">
        <w:rPr>
          <w:rFonts w:eastAsia="Times New Roman" w:cs="Calibri"/>
          <w:b/>
          <w:color w:val="FFFFFF" w:themeColor="background1"/>
        </w:rPr>
        <w:t>to 3</w:t>
      </w:r>
      <w:r w:rsidRPr="00D94DA7">
        <w:rPr>
          <w:rFonts w:eastAsia="Times New Roman" w:cs="Calibri"/>
          <w:b/>
          <w:bCs/>
          <w:color w:val="FFFFFF" w:themeColor="background1"/>
        </w:rPr>
        <w:t>–</w:t>
      </w:r>
      <w:r w:rsidRPr="00D94DA7">
        <w:rPr>
          <w:rFonts w:eastAsia="Times New Roman" w:cs="Calibri"/>
          <w:b/>
          <w:color w:val="FFFFFF" w:themeColor="background1"/>
        </w:rPr>
        <w:t>5</w:t>
      </w:r>
    </w:p>
    <w:p w:rsidR="00D27A34" w:rsidRPr="00EB458D" w:rsidRDefault="00D27A34" w:rsidP="00D27A34">
      <w:pPr>
        <w:shd w:val="clear" w:color="auto" w:fill="FFFFFF" w:themeFill="background1"/>
        <w:spacing w:before="100" w:beforeAutospacing="1" w:after="100" w:afterAutospacing="1"/>
        <w:outlineLvl w:val="1"/>
        <w:rPr>
          <w:rFonts w:eastAsia="Times New Roman" w:cs="Calibri"/>
          <w:b/>
          <w:bCs/>
        </w:rPr>
      </w:pPr>
      <w:r w:rsidRPr="00EB458D">
        <w:rPr>
          <w:rFonts w:eastAsia="Times New Roman" w:cs="Calibri"/>
          <w:b/>
          <w:bCs/>
        </w:rPr>
        <w:t>VMC Response</w:t>
      </w:r>
    </w:p>
    <w:p w:rsidR="00D27A34" w:rsidRDefault="00D27A34" w:rsidP="00D27A34">
      <w:pPr>
        <w:shd w:val="clear" w:color="auto" w:fill="FFFFFF" w:themeFill="background1"/>
        <w:spacing w:after="60"/>
        <w:rPr>
          <w:rFonts w:eastAsia="Times New Roman" w:cs="Calibri"/>
          <w:bCs/>
        </w:rPr>
      </w:pPr>
      <w:r w:rsidRPr="003E1D3F">
        <w:rPr>
          <w:rFonts w:eastAsia="Times New Roman" w:cs="Calibri"/>
          <w:bCs/>
        </w:rPr>
        <w:t>The VMC supports</w:t>
      </w:r>
      <w:r>
        <w:rPr>
          <w:rFonts w:eastAsia="Times New Roman" w:cs="Calibri"/>
          <w:bCs/>
        </w:rPr>
        <w:t xml:space="preserve"> Powers of Investigation proposals 3.1 to 3.5.</w:t>
      </w:r>
    </w:p>
    <w:p w:rsidR="00D27A34" w:rsidRPr="00383903" w:rsidRDefault="00D27A34" w:rsidP="00D27A34">
      <w:pPr>
        <w:spacing w:after="60"/>
        <w:rPr>
          <w:rFonts w:eastAsia="Times New Roman" w:cs="Calibri"/>
          <w:sz w:val="8"/>
          <w:szCs w:val="8"/>
        </w:rPr>
      </w:pP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ind w:left="720" w:hanging="720"/>
        <w:rPr>
          <w:rFonts w:eastAsia="Times New Roman" w:cs="Calibri"/>
          <w:b/>
          <w:bCs/>
          <w:color w:val="FFFFFF" w:themeColor="background1"/>
        </w:rPr>
      </w:pPr>
      <w:r w:rsidRPr="00D94DA7">
        <w:rPr>
          <w:rFonts w:eastAsia="Times New Roman" w:cs="Calibri"/>
          <w:b/>
          <w:bCs/>
          <w:color w:val="FFFFFF" w:themeColor="background1"/>
          <w:sz w:val="24"/>
          <w:szCs w:val="24"/>
        </w:rPr>
        <w:t xml:space="preserve">5. Enduring Powers of Attorney and Enduring Guardianship - </w:t>
      </w:r>
      <w:r w:rsidRPr="00D94DA7">
        <w:rPr>
          <w:rFonts w:eastAsia="Times New Roman" w:cs="Calibri"/>
          <w:b/>
          <w:bCs/>
          <w:color w:val="FFFFFF" w:themeColor="background1"/>
        </w:rPr>
        <w:t>Proposals 5–1 to 5–13</w:t>
      </w: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ind w:left="720" w:hanging="720"/>
        <w:jc w:val="center"/>
        <w:rPr>
          <w:rFonts w:eastAsia="Times New Roman" w:cs="Calibri"/>
          <w:color w:val="FFFFFF" w:themeColor="background1"/>
        </w:rPr>
      </w:pPr>
      <w:proofErr w:type="gramStart"/>
      <w:r w:rsidRPr="00D94DA7">
        <w:rPr>
          <w:rFonts w:eastAsia="Times New Roman" w:cs="Calibri"/>
          <w:b/>
          <w:bCs/>
          <w:color w:val="FFFFFF" w:themeColor="background1"/>
        </w:rPr>
        <w:t>and</w:t>
      </w:r>
      <w:proofErr w:type="gramEnd"/>
      <w:r w:rsidRPr="00D94DA7">
        <w:rPr>
          <w:rFonts w:eastAsia="Times New Roman" w:cs="Calibri"/>
          <w:b/>
          <w:bCs/>
          <w:color w:val="FFFFFF" w:themeColor="background1"/>
        </w:rPr>
        <w:t xml:space="preserve"> questions 5–1 &amp; 5–2</w:t>
      </w:r>
    </w:p>
    <w:p w:rsidR="00D27A34" w:rsidRPr="00EB458D" w:rsidRDefault="00D27A34" w:rsidP="00D27A34">
      <w:pPr>
        <w:shd w:val="clear" w:color="auto" w:fill="FFFFFF" w:themeFill="background1"/>
        <w:spacing w:before="100" w:beforeAutospacing="1" w:after="100" w:afterAutospacing="1"/>
        <w:outlineLvl w:val="1"/>
        <w:rPr>
          <w:rFonts w:eastAsia="Times New Roman" w:cs="Calibri"/>
          <w:b/>
          <w:bCs/>
        </w:rPr>
      </w:pPr>
      <w:r w:rsidRPr="00EB458D">
        <w:rPr>
          <w:rFonts w:eastAsia="Times New Roman" w:cs="Calibri"/>
          <w:b/>
          <w:bCs/>
        </w:rPr>
        <w:t>VMC Response</w:t>
      </w:r>
    </w:p>
    <w:p w:rsidR="00D27A34" w:rsidRPr="006857EE" w:rsidRDefault="00D27A34" w:rsidP="00D27A34">
      <w:pPr>
        <w:shd w:val="clear" w:color="auto" w:fill="FFFFFF" w:themeFill="background1"/>
        <w:spacing w:before="100" w:beforeAutospacing="1" w:after="100" w:afterAutospacing="1"/>
        <w:rPr>
          <w:rFonts w:eastAsia="Times New Roman" w:cs="Calibri"/>
        </w:rPr>
      </w:pPr>
      <w:r w:rsidRPr="006857EE">
        <w:rPr>
          <w:rFonts w:eastAsia="Times New Roman" w:cs="Calibri"/>
        </w:rPr>
        <w:t xml:space="preserve">The VMC supports </w:t>
      </w:r>
      <w:r w:rsidRPr="006857EE">
        <w:rPr>
          <w:rFonts w:eastAsia="Times New Roman" w:cs="Calibri"/>
          <w:bCs/>
        </w:rPr>
        <w:t>Enduring Powers of Attorney and Enduring Guardianship proposals 5.1 to 5.13. The VMC suggests that with respect to proposal 5.4 that consideration be given to including faith</w:t>
      </w:r>
      <w:r>
        <w:rPr>
          <w:rFonts w:eastAsia="Times New Roman" w:cs="Calibri"/>
          <w:bCs/>
        </w:rPr>
        <w:t xml:space="preserve"> and</w:t>
      </w:r>
      <w:r w:rsidRPr="006857EE">
        <w:rPr>
          <w:rFonts w:eastAsia="Times New Roman" w:cs="Calibri"/>
          <w:bCs/>
        </w:rPr>
        <w:t xml:space="preserve"> religious leaders (e.g. local rabbi</w:t>
      </w:r>
      <w:r>
        <w:rPr>
          <w:rFonts w:eastAsia="Times New Roman" w:cs="Calibri"/>
          <w:bCs/>
        </w:rPr>
        <w:t xml:space="preserve">, minister, priest or Imam </w:t>
      </w:r>
      <w:proofErr w:type="gramStart"/>
      <w:r>
        <w:rPr>
          <w:rFonts w:eastAsia="Times New Roman" w:cs="Calibri"/>
          <w:bCs/>
        </w:rPr>
        <w:t>etc</w:t>
      </w:r>
      <w:proofErr w:type="gramEnd"/>
      <w:r>
        <w:rPr>
          <w:rFonts w:eastAsia="Times New Roman" w:cs="Calibri"/>
          <w:bCs/>
        </w:rPr>
        <w:t xml:space="preserve">.) within the witness category. The rationale for this is their likely proximity to the older person’s place of residence and their knowledge of the family. </w:t>
      </w:r>
    </w:p>
    <w:p w:rsidR="00D27A34" w:rsidRDefault="00D27A34" w:rsidP="00D27A34">
      <w:pPr>
        <w:shd w:val="clear" w:color="auto" w:fill="FFFFFF" w:themeFill="background1"/>
        <w:spacing w:before="100" w:beforeAutospacing="1" w:after="100" w:afterAutospacing="1"/>
        <w:rPr>
          <w:rFonts w:eastAsia="Times New Roman" w:cs="Calibri"/>
        </w:rPr>
      </w:pPr>
      <w:r w:rsidRPr="006857EE">
        <w:rPr>
          <w:rFonts w:eastAsia="Times New Roman" w:cs="Calibri"/>
        </w:rPr>
        <w:t>The VMC</w:t>
      </w:r>
      <w:r>
        <w:rPr>
          <w:rFonts w:eastAsia="Times New Roman" w:cs="Calibri"/>
        </w:rPr>
        <w:t xml:space="preserve"> with respect to question 5.1 suggests that irrespective of who is permitted to search the </w:t>
      </w:r>
      <w:proofErr w:type="gramStart"/>
      <w:r>
        <w:rPr>
          <w:rFonts w:eastAsia="Times New Roman" w:cs="Calibri"/>
        </w:rPr>
        <w:t>register, that</w:t>
      </w:r>
      <w:proofErr w:type="gramEnd"/>
      <w:r>
        <w:rPr>
          <w:rFonts w:eastAsia="Times New Roman" w:cs="Calibri"/>
        </w:rPr>
        <w:t xml:space="preserve"> all access is regularly monitored and that safeguards are in place to identify and prevent search access being used for purposes that are, or could be, to the detriment of the elder person, immediately or at some future stage.  </w:t>
      </w:r>
    </w:p>
    <w:p w:rsidR="00D27A34" w:rsidRDefault="00D27A34" w:rsidP="00D27A34">
      <w:pPr>
        <w:shd w:val="clear" w:color="auto" w:fill="FFFFFF" w:themeFill="background1"/>
        <w:spacing w:before="100" w:beforeAutospacing="1" w:after="100" w:afterAutospacing="1"/>
        <w:rPr>
          <w:rFonts w:eastAsia="Times New Roman" w:cs="Calibri"/>
        </w:rPr>
      </w:pPr>
      <w:r>
        <w:rPr>
          <w:rFonts w:eastAsia="Times New Roman" w:cs="Calibri"/>
        </w:rPr>
        <w:t xml:space="preserve">With respect to question 5.2 the VMC suggests that public advocates and public guardians should have the power to conduct random checks of enduring attorneys’ management of the principals’ financial affairs. This would have the effect </w:t>
      </w:r>
      <w:r w:rsidRPr="0045655E">
        <w:rPr>
          <w:rFonts w:eastAsia="Times New Roman" w:cs="Calibri"/>
        </w:rPr>
        <w:t>of increasing the transparency of such arrangements, and increasing accountability and commitment in the best interests of a principal.</w:t>
      </w:r>
    </w:p>
    <w:p w:rsidR="00D27A34" w:rsidRPr="0045655E" w:rsidRDefault="00D27A34" w:rsidP="00D27A34">
      <w:pPr>
        <w:shd w:val="clear" w:color="auto" w:fill="FFFFFF" w:themeFill="background1"/>
        <w:spacing w:before="100" w:beforeAutospacing="1" w:after="100" w:afterAutospacing="1"/>
        <w:rPr>
          <w:rFonts w:eastAsia="Times New Roman" w:cs="Calibri"/>
        </w:rPr>
      </w:pPr>
      <w:r w:rsidRPr="0045655E">
        <w:rPr>
          <w:rFonts w:eastAsia="Times New Roman" w:cs="Calibri"/>
        </w:rPr>
        <w:lastRenderedPageBreak/>
        <w:t xml:space="preserve">It would </w:t>
      </w:r>
      <w:r>
        <w:rPr>
          <w:rFonts w:eastAsia="Times New Roman" w:cs="Calibri"/>
        </w:rPr>
        <w:t xml:space="preserve">also </w:t>
      </w:r>
      <w:r w:rsidRPr="0045655E">
        <w:rPr>
          <w:rFonts w:eastAsia="Times New Roman" w:cs="Calibri"/>
        </w:rPr>
        <w:t xml:space="preserve">promote public confidence in the process and reduce the potential for financial disadvantage accruing to principal due to mismanagement or misunderstanding by enduring attorneys. Further, it provides an incentive for enduring attorneys to ensure they are always acting in the best interests of </w:t>
      </w:r>
      <w:r>
        <w:rPr>
          <w:rFonts w:eastAsia="Times New Roman" w:cs="Calibri"/>
        </w:rPr>
        <w:t>the</w:t>
      </w:r>
      <w:r w:rsidRPr="0045655E">
        <w:rPr>
          <w:rFonts w:eastAsia="Times New Roman" w:cs="Calibri"/>
        </w:rPr>
        <w:t xml:space="preserve"> principal.</w:t>
      </w: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spacing w:before="100" w:beforeAutospacing="1" w:after="100" w:afterAutospacing="1"/>
        <w:rPr>
          <w:rFonts w:eastAsia="Times New Roman" w:cs="Calibri"/>
          <w:color w:val="FFFFFF" w:themeColor="background1"/>
        </w:rPr>
      </w:pPr>
      <w:r w:rsidRPr="00D94DA7">
        <w:rPr>
          <w:rFonts w:eastAsia="Times New Roman" w:cs="Calibri"/>
          <w:b/>
          <w:bCs/>
          <w:color w:val="FFFFFF" w:themeColor="background1"/>
          <w:sz w:val="24"/>
          <w:szCs w:val="24"/>
        </w:rPr>
        <w:t xml:space="preserve">6. Guardianship and Financial Administration Orders - </w:t>
      </w:r>
      <w:r w:rsidRPr="00D94DA7">
        <w:rPr>
          <w:rFonts w:eastAsia="Times New Roman" w:cs="Calibri"/>
          <w:b/>
          <w:bCs/>
          <w:color w:val="FFFFFF" w:themeColor="background1"/>
        </w:rPr>
        <w:t>Proposals 6–1 &amp; 6–2 and question 6–3</w:t>
      </w:r>
      <w:r w:rsidRPr="00D94DA7">
        <w:rPr>
          <w:rFonts w:eastAsia="Times New Roman" w:cs="Calibri"/>
          <w:color w:val="FFFFFF" w:themeColor="background1"/>
        </w:rPr>
        <w:t xml:space="preserve"> </w:t>
      </w:r>
    </w:p>
    <w:p w:rsidR="00D27A34" w:rsidRPr="00EB458D" w:rsidRDefault="00D27A34" w:rsidP="00D27A34">
      <w:pPr>
        <w:shd w:val="clear" w:color="auto" w:fill="FFFFFF" w:themeFill="background1"/>
        <w:spacing w:before="100" w:beforeAutospacing="1" w:after="100" w:afterAutospacing="1"/>
        <w:outlineLvl w:val="1"/>
        <w:rPr>
          <w:rFonts w:eastAsia="Times New Roman" w:cs="Calibri"/>
          <w:b/>
          <w:bCs/>
        </w:rPr>
      </w:pPr>
      <w:r w:rsidRPr="00EB458D">
        <w:rPr>
          <w:rFonts w:eastAsia="Times New Roman" w:cs="Calibri"/>
          <w:b/>
          <w:bCs/>
        </w:rPr>
        <w:t>VMC Response</w:t>
      </w:r>
    </w:p>
    <w:p w:rsidR="00D27A34" w:rsidRDefault="00D27A34" w:rsidP="00D27A34">
      <w:pPr>
        <w:shd w:val="clear" w:color="auto" w:fill="FFFFFF" w:themeFill="background1"/>
        <w:spacing w:before="100" w:beforeAutospacing="1" w:after="100" w:afterAutospacing="1"/>
        <w:rPr>
          <w:rFonts w:eastAsia="Times New Roman" w:cs="Calibri"/>
        </w:rPr>
      </w:pPr>
      <w:r>
        <w:rPr>
          <w:rFonts w:eastAsia="Times New Roman" w:cs="Calibri"/>
        </w:rPr>
        <w:t>The VMC supports Guardianship and Financial Administration Orders proposals 6.1 and 6.2.</w:t>
      </w:r>
    </w:p>
    <w:p w:rsidR="00D27A34" w:rsidRDefault="00D27A34" w:rsidP="00D27A34">
      <w:pPr>
        <w:shd w:val="clear" w:color="auto" w:fill="FFFFFF" w:themeFill="background1"/>
        <w:spacing w:before="100" w:beforeAutospacing="1" w:after="100" w:afterAutospacing="1"/>
        <w:rPr>
          <w:rFonts w:eastAsia="Times New Roman" w:cs="Calibri"/>
        </w:rPr>
      </w:pPr>
      <w:r>
        <w:rPr>
          <w:rFonts w:eastAsia="Times New Roman" w:cs="Calibri"/>
        </w:rPr>
        <w:t xml:space="preserve">With respect to question 6.1 the VMC recommends that there should be compulsory training </w:t>
      </w:r>
      <w:r w:rsidRPr="000B176F">
        <w:rPr>
          <w:rFonts w:eastAsia="Times New Roman" w:cs="Calibri"/>
        </w:rPr>
        <w:t>for newly-appointed guardians and financial administrators</w:t>
      </w:r>
      <w:r>
        <w:rPr>
          <w:rFonts w:eastAsia="Times New Roman" w:cs="Calibri"/>
        </w:rPr>
        <w:t xml:space="preserve"> so that their </w:t>
      </w:r>
      <w:r w:rsidRPr="000B176F">
        <w:rPr>
          <w:rFonts w:eastAsia="Times New Roman" w:cs="Calibri"/>
        </w:rPr>
        <w:t>role, responsibilities and obligations</w:t>
      </w:r>
      <w:r>
        <w:rPr>
          <w:rFonts w:eastAsia="Times New Roman" w:cs="Calibri"/>
        </w:rPr>
        <w:t xml:space="preserve"> are fully understood. Such training should be accompanied by relevant operational reference materials.</w:t>
      </w:r>
    </w:p>
    <w:p w:rsidR="00D27A34" w:rsidRDefault="00D27A34" w:rsidP="00D27A34">
      <w:pPr>
        <w:shd w:val="clear" w:color="auto" w:fill="FFFFFF" w:themeFill="background1"/>
        <w:spacing w:before="100" w:beforeAutospacing="1" w:after="100" w:afterAutospacing="1"/>
        <w:rPr>
          <w:rFonts w:eastAsia="Times New Roman" w:cs="Calibri"/>
        </w:rPr>
      </w:pPr>
      <w:r>
        <w:rPr>
          <w:rFonts w:eastAsia="Times New Roman" w:cs="Calibri"/>
        </w:rPr>
        <w:t>With respect to question 6.3 the VMC suggests that the subject person be informed of the process with their nominated/trusted confidant, a person capable of understanding and assisting the subject person to understand the process and to be in the optimum position to have a say/make informed decisions. With respect to culturally diverse community members who have low English language skills, this would also require the use of an independent qualified interpreter.</w:t>
      </w: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spacing w:before="100" w:beforeAutospacing="1" w:after="100" w:afterAutospacing="1"/>
        <w:rPr>
          <w:rFonts w:eastAsia="Times New Roman" w:cs="Calibri"/>
          <w:color w:val="FFFFFF" w:themeColor="background1"/>
        </w:rPr>
      </w:pPr>
      <w:r w:rsidRPr="00D94DA7">
        <w:rPr>
          <w:rFonts w:eastAsia="Times New Roman" w:cs="Calibri"/>
          <w:b/>
          <w:bCs/>
          <w:color w:val="FFFFFF" w:themeColor="background1"/>
          <w:sz w:val="24"/>
          <w:szCs w:val="24"/>
        </w:rPr>
        <w:t xml:space="preserve">7. Banks and Superannuation - </w:t>
      </w:r>
      <w:r w:rsidRPr="00D94DA7">
        <w:rPr>
          <w:rFonts w:eastAsia="Times New Roman" w:cs="Calibri"/>
          <w:b/>
          <w:bCs/>
          <w:color w:val="FFFFFF" w:themeColor="background1"/>
        </w:rPr>
        <w:t>Proposal 7–1 &amp; 7–2</w:t>
      </w:r>
    </w:p>
    <w:p w:rsidR="00D27A34" w:rsidRPr="00EB458D" w:rsidRDefault="00D27A34" w:rsidP="00D27A34">
      <w:pPr>
        <w:shd w:val="clear" w:color="auto" w:fill="FFFFFF" w:themeFill="background1"/>
        <w:spacing w:before="100" w:beforeAutospacing="1" w:after="100" w:afterAutospacing="1"/>
        <w:outlineLvl w:val="1"/>
        <w:rPr>
          <w:rFonts w:eastAsia="Times New Roman" w:cs="Calibri"/>
          <w:b/>
          <w:bCs/>
        </w:rPr>
      </w:pPr>
      <w:r w:rsidRPr="00EB458D">
        <w:rPr>
          <w:rFonts w:eastAsia="Times New Roman" w:cs="Calibri"/>
          <w:b/>
          <w:bCs/>
        </w:rPr>
        <w:t>VMC Response</w:t>
      </w:r>
    </w:p>
    <w:p w:rsidR="00D27A34" w:rsidRDefault="00D27A34" w:rsidP="00D27A34">
      <w:pPr>
        <w:shd w:val="clear" w:color="auto" w:fill="FFFFFF" w:themeFill="background1"/>
        <w:spacing w:before="100" w:beforeAutospacing="1" w:after="100" w:afterAutospacing="1"/>
        <w:rPr>
          <w:rFonts w:eastAsia="Times New Roman" w:cs="Calibri"/>
          <w:b/>
        </w:rPr>
      </w:pPr>
      <w:r>
        <w:rPr>
          <w:rFonts w:eastAsia="Times New Roman" w:cs="Calibri"/>
        </w:rPr>
        <w:t>The VMC supports Banks and Superannuation proposals 7.1 and 7.2. The VMC recommends that the proposals include provisions that address the unique culturally diverse community issues</w:t>
      </w:r>
      <w:r w:rsidR="002E5D46">
        <w:rPr>
          <w:rFonts w:eastAsia="Times New Roman" w:cs="Calibri"/>
        </w:rPr>
        <w:t xml:space="preserve"> and nuances</w:t>
      </w:r>
      <w:r>
        <w:rPr>
          <w:rFonts w:eastAsia="Times New Roman" w:cs="Calibri"/>
        </w:rPr>
        <w:t xml:space="preserve"> listed at </w:t>
      </w:r>
      <w:r w:rsidRPr="0071212F">
        <w:rPr>
          <w:rFonts w:eastAsia="Times New Roman" w:cs="Calibri"/>
          <w:b/>
        </w:rPr>
        <w:t>Part 1</w:t>
      </w:r>
      <w:r>
        <w:rPr>
          <w:rFonts w:eastAsia="Times New Roman" w:cs="Calibri"/>
          <w:b/>
        </w:rPr>
        <w:t xml:space="preserve"> </w:t>
      </w:r>
      <w:r w:rsidRPr="00383903">
        <w:rPr>
          <w:rFonts w:eastAsia="Times New Roman" w:cs="Calibri"/>
        </w:rPr>
        <w:t>of this submissio</w:t>
      </w:r>
      <w:r>
        <w:rPr>
          <w:rFonts w:eastAsia="Times New Roman" w:cs="Calibri"/>
        </w:rPr>
        <w:t>n</w:t>
      </w:r>
      <w:r>
        <w:rPr>
          <w:rFonts w:eastAsia="Times New Roman" w:cs="Calibri"/>
          <w:b/>
        </w:rPr>
        <w:t>.</w:t>
      </w: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spacing w:before="100" w:beforeAutospacing="1" w:after="100" w:afterAutospacing="1"/>
        <w:rPr>
          <w:rFonts w:eastAsia="Times New Roman" w:cs="Calibri"/>
          <w:color w:val="FFFFFF" w:themeColor="background1"/>
        </w:rPr>
      </w:pPr>
      <w:r w:rsidRPr="00D94DA7">
        <w:rPr>
          <w:rFonts w:eastAsia="Times New Roman" w:cs="Calibri"/>
          <w:b/>
          <w:bCs/>
          <w:color w:val="FFFFFF" w:themeColor="background1"/>
          <w:sz w:val="24"/>
          <w:szCs w:val="24"/>
        </w:rPr>
        <w:t xml:space="preserve">8. Family Agreements - </w:t>
      </w:r>
      <w:r w:rsidRPr="00D94DA7">
        <w:rPr>
          <w:rFonts w:eastAsia="Times New Roman" w:cs="Calibri"/>
          <w:b/>
          <w:bCs/>
          <w:color w:val="FFFFFF" w:themeColor="background1"/>
        </w:rPr>
        <w:t xml:space="preserve">Proposal 8–1 </w:t>
      </w:r>
    </w:p>
    <w:p w:rsidR="00D27A34" w:rsidRPr="00EB458D" w:rsidRDefault="00D27A34" w:rsidP="00D27A34">
      <w:pPr>
        <w:shd w:val="clear" w:color="auto" w:fill="FFFFFF" w:themeFill="background1"/>
        <w:spacing w:before="100" w:beforeAutospacing="1" w:after="100" w:afterAutospacing="1"/>
        <w:outlineLvl w:val="1"/>
        <w:rPr>
          <w:rFonts w:eastAsia="Times New Roman" w:cs="Calibri"/>
          <w:b/>
          <w:bCs/>
        </w:rPr>
      </w:pPr>
      <w:r w:rsidRPr="00EB458D">
        <w:rPr>
          <w:rFonts w:eastAsia="Times New Roman" w:cs="Calibri"/>
          <w:b/>
          <w:bCs/>
        </w:rPr>
        <w:t>VMC Response</w:t>
      </w:r>
    </w:p>
    <w:p w:rsidR="00D27A34" w:rsidRDefault="00D27A34" w:rsidP="00D27A34">
      <w:pPr>
        <w:shd w:val="clear" w:color="auto" w:fill="FFFFFF" w:themeFill="background1"/>
        <w:spacing w:before="100" w:beforeAutospacing="1" w:after="100" w:afterAutospacing="1"/>
        <w:rPr>
          <w:rFonts w:eastAsia="Times New Roman" w:cs="Calibri"/>
        </w:rPr>
      </w:pPr>
      <w:r>
        <w:rPr>
          <w:rFonts w:eastAsia="Times New Roman" w:cs="Calibri"/>
        </w:rPr>
        <w:t xml:space="preserve">The VMC supports the Family Agreements proposal 8.1 but stresses that in the development and application of the proposal significant consideration must be given to the broader concept of family in collective cultures. </w:t>
      </w:r>
    </w:p>
    <w:p w:rsidR="00D27A34" w:rsidRPr="00D94DA7" w:rsidRDefault="00D27A34" w:rsidP="00D27A34">
      <w:pPr>
        <w:shd w:val="clear" w:color="auto" w:fill="FFFFFF" w:themeFill="background1"/>
        <w:spacing w:before="100" w:beforeAutospacing="1" w:after="100" w:afterAutospacing="1"/>
        <w:rPr>
          <w:rFonts w:eastAsia="Times New Roman" w:cs="Calibri"/>
          <w:color w:val="FFFFFF" w:themeColor="background1"/>
          <w:sz w:val="8"/>
          <w:szCs w:val="8"/>
        </w:rPr>
      </w:pPr>
      <w:r>
        <w:rPr>
          <w:rFonts w:eastAsia="Times New Roman" w:cs="Calibri"/>
        </w:rPr>
        <w:t>Further, the VMC recommends that tribunals in resolving family disputes use processes which consider and address the unique culturally diverse community issues</w:t>
      </w:r>
      <w:r w:rsidR="002E5D46">
        <w:rPr>
          <w:rFonts w:eastAsia="Times New Roman" w:cs="Calibri"/>
        </w:rPr>
        <w:t xml:space="preserve"> and nuances</w:t>
      </w:r>
      <w:r>
        <w:rPr>
          <w:rFonts w:eastAsia="Times New Roman" w:cs="Calibri"/>
        </w:rPr>
        <w:t xml:space="preserve"> listed at </w:t>
      </w:r>
      <w:r w:rsidRPr="0071212F">
        <w:rPr>
          <w:rFonts w:eastAsia="Times New Roman" w:cs="Calibri"/>
          <w:b/>
        </w:rPr>
        <w:t>Part 1</w:t>
      </w:r>
      <w:r>
        <w:rPr>
          <w:rFonts w:eastAsia="Times New Roman" w:cs="Calibri"/>
          <w:b/>
        </w:rPr>
        <w:t xml:space="preserve"> </w:t>
      </w:r>
      <w:r w:rsidRPr="00383903">
        <w:rPr>
          <w:rFonts w:eastAsia="Times New Roman" w:cs="Calibri"/>
        </w:rPr>
        <w:t>of this submissio</w:t>
      </w:r>
      <w:r>
        <w:rPr>
          <w:rFonts w:eastAsia="Times New Roman" w:cs="Calibri"/>
        </w:rPr>
        <w:t>n</w:t>
      </w:r>
      <w:r w:rsidRPr="0071212F">
        <w:rPr>
          <w:rFonts w:eastAsia="Times New Roman" w:cs="Calibri"/>
          <w:b/>
        </w:rPr>
        <w:t>.</w:t>
      </w: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spacing w:after="60"/>
        <w:rPr>
          <w:rFonts w:eastAsia="Times New Roman" w:cs="Calibri"/>
          <w:color w:val="FFFFFF" w:themeColor="background1"/>
        </w:rPr>
      </w:pPr>
      <w:r w:rsidRPr="00D94DA7">
        <w:rPr>
          <w:rFonts w:eastAsia="Times New Roman" w:cs="Calibri"/>
          <w:b/>
          <w:bCs/>
          <w:color w:val="FFFFFF" w:themeColor="background1"/>
          <w:sz w:val="24"/>
          <w:szCs w:val="24"/>
        </w:rPr>
        <w:t xml:space="preserve">9. Wills - </w:t>
      </w:r>
      <w:r w:rsidRPr="00D94DA7">
        <w:rPr>
          <w:rFonts w:eastAsia="Times New Roman" w:cs="Calibri"/>
          <w:b/>
          <w:bCs/>
          <w:color w:val="FFFFFF" w:themeColor="background1"/>
        </w:rPr>
        <w:t>Proposals 9–1 to 9–3</w:t>
      </w:r>
    </w:p>
    <w:p w:rsidR="00D27A34" w:rsidRPr="00EB458D" w:rsidRDefault="00D27A34" w:rsidP="00D27A34">
      <w:pPr>
        <w:shd w:val="clear" w:color="auto" w:fill="FFFFFF" w:themeFill="background1"/>
        <w:spacing w:before="100" w:beforeAutospacing="1" w:after="100" w:afterAutospacing="1"/>
        <w:outlineLvl w:val="1"/>
        <w:rPr>
          <w:rFonts w:eastAsia="Times New Roman" w:cs="Calibri"/>
          <w:b/>
          <w:bCs/>
        </w:rPr>
      </w:pPr>
      <w:r w:rsidRPr="00EB458D">
        <w:rPr>
          <w:rFonts w:eastAsia="Times New Roman" w:cs="Calibri"/>
          <w:b/>
          <w:bCs/>
        </w:rPr>
        <w:t>VMC Response</w:t>
      </w:r>
    </w:p>
    <w:p w:rsidR="00D27A34" w:rsidRDefault="00D27A34" w:rsidP="00D27A34">
      <w:pPr>
        <w:shd w:val="clear" w:color="auto" w:fill="FFFFFF" w:themeFill="background1"/>
        <w:spacing w:before="100" w:beforeAutospacing="1" w:after="100" w:afterAutospacing="1"/>
        <w:rPr>
          <w:rFonts w:eastAsia="Times New Roman" w:cs="Calibri"/>
        </w:rPr>
      </w:pPr>
      <w:r>
        <w:rPr>
          <w:rFonts w:eastAsia="Times New Roman" w:cs="Calibri"/>
        </w:rPr>
        <w:t>The VMC supports Wills proposals 9.1 to 9.3 and stresses the need to consider and address the unique cult</w:t>
      </w:r>
      <w:r w:rsidR="002E5D46">
        <w:rPr>
          <w:rFonts w:eastAsia="Times New Roman" w:cs="Calibri"/>
        </w:rPr>
        <w:t xml:space="preserve">urally diverse community issues and nuances </w:t>
      </w:r>
      <w:r>
        <w:rPr>
          <w:rFonts w:eastAsia="Times New Roman" w:cs="Calibri"/>
        </w:rPr>
        <w:t xml:space="preserve">listed at </w:t>
      </w:r>
      <w:r w:rsidRPr="0071212F">
        <w:rPr>
          <w:rFonts w:eastAsia="Times New Roman" w:cs="Calibri"/>
          <w:b/>
        </w:rPr>
        <w:t>Part 1</w:t>
      </w:r>
      <w:r>
        <w:rPr>
          <w:rFonts w:eastAsia="Times New Roman" w:cs="Calibri"/>
          <w:b/>
        </w:rPr>
        <w:t xml:space="preserve"> </w:t>
      </w:r>
      <w:r w:rsidRPr="00383903">
        <w:rPr>
          <w:rFonts w:eastAsia="Times New Roman" w:cs="Calibri"/>
        </w:rPr>
        <w:t>of this submissio</w:t>
      </w:r>
      <w:r>
        <w:rPr>
          <w:rFonts w:eastAsia="Times New Roman" w:cs="Calibri"/>
        </w:rPr>
        <w:t>n.</w:t>
      </w:r>
    </w:p>
    <w:p w:rsidR="00D27A34" w:rsidRPr="00383903" w:rsidRDefault="00D27A34" w:rsidP="00D27A34">
      <w:pPr>
        <w:spacing w:before="100" w:beforeAutospacing="1" w:after="100" w:afterAutospacing="1"/>
        <w:rPr>
          <w:rFonts w:eastAsia="Times New Roman" w:cs="Calibri"/>
          <w:sz w:val="8"/>
          <w:szCs w:val="8"/>
        </w:rPr>
      </w:pP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spacing w:before="100" w:beforeAutospacing="1" w:after="100" w:afterAutospacing="1"/>
        <w:rPr>
          <w:rFonts w:eastAsia="Times New Roman" w:cs="Calibri"/>
          <w:color w:val="FFFFFF" w:themeColor="background1"/>
        </w:rPr>
      </w:pPr>
      <w:r w:rsidRPr="00D94DA7">
        <w:rPr>
          <w:rFonts w:eastAsia="Times New Roman" w:cs="Calibri"/>
          <w:b/>
          <w:bCs/>
          <w:color w:val="FFFFFF" w:themeColor="background1"/>
        </w:rPr>
        <w:lastRenderedPageBreak/>
        <w:t xml:space="preserve">10. Social Security - Proposals 10–1 </w:t>
      </w:r>
      <w:r w:rsidRPr="00D94DA7">
        <w:rPr>
          <w:rFonts w:eastAsia="Times New Roman" w:cs="Calibri"/>
          <w:color w:val="FFFFFF" w:themeColor="background1"/>
        </w:rPr>
        <w:t xml:space="preserve">to </w:t>
      </w:r>
      <w:r w:rsidRPr="00D94DA7">
        <w:rPr>
          <w:rFonts w:eastAsia="Times New Roman" w:cs="Calibri"/>
          <w:b/>
          <w:color w:val="FFFFFF" w:themeColor="background1"/>
        </w:rPr>
        <w:t>10</w:t>
      </w:r>
      <w:r w:rsidRPr="00D94DA7">
        <w:rPr>
          <w:rFonts w:eastAsia="Times New Roman" w:cs="Calibri"/>
          <w:b/>
          <w:bCs/>
          <w:color w:val="FFFFFF" w:themeColor="background1"/>
        </w:rPr>
        <w:t>–4</w:t>
      </w:r>
    </w:p>
    <w:p w:rsidR="00D27A34" w:rsidRPr="00EB458D" w:rsidRDefault="00D27A34" w:rsidP="00D27A34">
      <w:pPr>
        <w:shd w:val="clear" w:color="auto" w:fill="FFFFFF" w:themeFill="background1"/>
        <w:spacing w:before="100" w:beforeAutospacing="1" w:after="100" w:afterAutospacing="1"/>
        <w:outlineLvl w:val="1"/>
        <w:rPr>
          <w:rFonts w:eastAsia="Times New Roman" w:cs="Calibri"/>
          <w:b/>
          <w:bCs/>
        </w:rPr>
      </w:pPr>
      <w:r w:rsidRPr="00EB458D">
        <w:rPr>
          <w:rFonts w:eastAsia="Times New Roman" w:cs="Calibri"/>
          <w:b/>
          <w:bCs/>
        </w:rPr>
        <w:t>VMC Response</w:t>
      </w:r>
    </w:p>
    <w:p w:rsidR="00D27A34" w:rsidRDefault="00D27A34" w:rsidP="00D27A34">
      <w:pPr>
        <w:shd w:val="clear" w:color="auto" w:fill="FFFFFF" w:themeFill="background1"/>
        <w:spacing w:before="100" w:beforeAutospacing="1" w:after="100" w:afterAutospacing="1"/>
        <w:rPr>
          <w:rFonts w:eastAsia="Times New Roman" w:cs="Calibri"/>
        </w:rPr>
      </w:pPr>
      <w:r>
        <w:rPr>
          <w:rFonts w:eastAsia="Times New Roman" w:cs="Calibri"/>
        </w:rPr>
        <w:t xml:space="preserve">The VMC supports Social Security proposals 10.1 to 10.4. The VMC believes that for these proposals to be effective, with respect to culturally diverse seniors, that the </w:t>
      </w:r>
      <w:r w:rsidRPr="000B176F">
        <w:rPr>
          <w:rFonts w:eastAsia="Times New Roman" w:cs="Calibri"/>
        </w:rPr>
        <w:t>Department of Human Services</w:t>
      </w:r>
      <w:r>
        <w:rPr>
          <w:rFonts w:eastAsia="Times New Roman" w:cs="Calibri"/>
        </w:rPr>
        <w:t xml:space="preserve"> in implementing them should consider and address the unique culturally diverse community issues</w:t>
      </w:r>
      <w:r w:rsidR="002E5D46">
        <w:rPr>
          <w:rFonts w:eastAsia="Times New Roman" w:cs="Calibri"/>
        </w:rPr>
        <w:t xml:space="preserve"> and nuances</w:t>
      </w:r>
      <w:r>
        <w:rPr>
          <w:rFonts w:eastAsia="Times New Roman" w:cs="Calibri"/>
        </w:rPr>
        <w:t xml:space="preserve"> listed at </w:t>
      </w:r>
      <w:r w:rsidRPr="0071212F">
        <w:rPr>
          <w:rFonts w:eastAsia="Times New Roman" w:cs="Calibri"/>
          <w:b/>
        </w:rPr>
        <w:t>Part 1</w:t>
      </w:r>
      <w:r>
        <w:rPr>
          <w:rFonts w:eastAsia="Times New Roman" w:cs="Calibri"/>
          <w:b/>
        </w:rPr>
        <w:t xml:space="preserve"> </w:t>
      </w:r>
      <w:r w:rsidRPr="00383903">
        <w:rPr>
          <w:rFonts w:eastAsia="Times New Roman" w:cs="Calibri"/>
        </w:rPr>
        <w:t>of this submissio</w:t>
      </w:r>
      <w:r>
        <w:rPr>
          <w:rFonts w:eastAsia="Times New Roman" w:cs="Calibri"/>
        </w:rPr>
        <w:t xml:space="preserve">n. </w:t>
      </w:r>
    </w:p>
    <w:p w:rsidR="00D27A34" w:rsidRDefault="00D27A34" w:rsidP="00D27A34">
      <w:pPr>
        <w:shd w:val="clear" w:color="auto" w:fill="FFFFFF" w:themeFill="background1"/>
        <w:spacing w:before="100" w:beforeAutospacing="1" w:after="100" w:afterAutospacing="1"/>
        <w:rPr>
          <w:rFonts w:eastAsia="Times New Roman" w:cs="Calibri"/>
        </w:rPr>
      </w:pPr>
      <w:r>
        <w:rPr>
          <w:rFonts w:eastAsia="Times New Roman" w:cs="Calibri"/>
        </w:rPr>
        <w:t>Of particular relevance is the use of qualified interpreters, cultural responsiveness and sensitivity training for staff, funding and provision of translated materials and wherever possible additional multicultural service officers.</w:t>
      </w:r>
    </w:p>
    <w:p w:rsidR="00D27A34" w:rsidRPr="00D94DA7" w:rsidRDefault="00D27A34" w:rsidP="00D27A34">
      <w:pPr>
        <w:pBdr>
          <w:top w:val="single" w:sz="4" w:space="1" w:color="auto"/>
          <w:left w:val="single" w:sz="4" w:space="4" w:color="auto"/>
          <w:bottom w:val="single" w:sz="4" w:space="1" w:color="auto"/>
          <w:right w:val="single" w:sz="4" w:space="4" w:color="auto"/>
        </w:pBdr>
        <w:shd w:val="clear" w:color="auto" w:fill="95B3D7" w:themeFill="accent1" w:themeFillTint="99"/>
        <w:spacing w:before="100" w:beforeAutospacing="1" w:after="100" w:afterAutospacing="1"/>
        <w:rPr>
          <w:rFonts w:eastAsia="Times New Roman" w:cs="Calibri"/>
          <w:color w:val="FFFFFF" w:themeColor="background1"/>
        </w:rPr>
      </w:pPr>
      <w:r w:rsidRPr="00D94DA7">
        <w:rPr>
          <w:rFonts w:eastAsia="Times New Roman" w:cs="Calibri"/>
          <w:b/>
          <w:bCs/>
          <w:color w:val="FFFFFF" w:themeColor="background1"/>
          <w:sz w:val="24"/>
          <w:szCs w:val="24"/>
        </w:rPr>
        <w:t xml:space="preserve">11. Aged care - </w:t>
      </w:r>
      <w:r w:rsidRPr="00D94DA7">
        <w:rPr>
          <w:rFonts w:eastAsia="Times New Roman" w:cs="Calibri"/>
          <w:b/>
          <w:bCs/>
          <w:color w:val="FFFFFF" w:themeColor="background1"/>
        </w:rPr>
        <w:t xml:space="preserve">Proposals 11–1 </w:t>
      </w:r>
      <w:r w:rsidRPr="00D94DA7">
        <w:rPr>
          <w:rFonts w:eastAsia="Times New Roman" w:cs="Calibri"/>
          <w:color w:val="FFFFFF" w:themeColor="background1"/>
        </w:rPr>
        <w:t xml:space="preserve">to </w:t>
      </w:r>
      <w:r w:rsidRPr="00D94DA7">
        <w:rPr>
          <w:rFonts w:eastAsia="Times New Roman" w:cs="Calibri"/>
          <w:b/>
          <w:color w:val="FFFFFF" w:themeColor="background1"/>
        </w:rPr>
        <w:t>11</w:t>
      </w:r>
      <w:r w:rsidRPr="00D94DA7">
        <w:rPr>
          <w:rFonts w:eastAsia="Times New Roman" w:cs="Calibri"/>
          <w:b/>
          <w:bCs/>
          <w:color w:val="FFFFFF" w:themeColor="background1"/>
        </w:rPr>
        <w:t>–11</w:t>
      </w:r>
    </w:p>
    <w:p w:rsidR="00D27A34" w:rsidRPr="00EB458D" w:rsidRDefault="00D27A34" w:rsidP="00D27A34">
      <w:pPr>
        <w:shd w:val="clear" w:color="auto" w:fill="FFFFFF" w:themeFill="background1"/>
        <w:spacing w:before="100" w:beforeAutospacing="1" w:after="100" w:afterAutospacing="1"/>
        <w:outlineLvl w:val="1"/>
        <w:rPr>
          <w:rFonts w:eastAsia="Times New Roman" w:cs="Calibri"/>
          <w:b/>
          <w:bCs/>
        </w:rPr>
      </w:pPr>
      <w:r w:rsidRPr="00EB458D">
        <w:rPr>
          <w:rFonts w:eastAsia="Times New Roman" w:cs="Calibri"/>
          <w:b/>
          <w:bCs/>
        </w:rPr>
        <w:t>VMC Response</w:t>
      </w:r>
    </w:p>
    <w:p w:rsidR="00D27A34" w:rsidRDefault="00D27A34" w:rsidP="00D27A34">
      <w:pPr>
        <w:shd w:val="clear" w:color="auto" w:fill="FFFFFF" w:themeFill="background1"/>
        <w:rPr>
          <w:rFonts w:eastAsia="Times New Roman" w:cs="Calibri"/>
        </w:rPr>
      </w:pPr>
      <w:r>
        <w:rPr>
          <w:rFonts w:eastAsia="Times New Roman" w:cs="Calibri"/>
        </w:rPr>
        <w:t>The VMC supports the Aged Care proposals at 11.1 to 11.11. The VMC recommends compulsory intercultural awareness and sensitivity training for all aged care workers caring for culturally diverse seniors.</w:t>
      </w:r>
    </w:p>
    <w:p w:rsidR="00D27A34" w:rsidRDefault="00D27A34" w:rsidP="00D27A34">
      <w:pPr>
        <w:shd w:val="clear" w:color="auto" w:fill="FFFFFF" w:themeFill="background1"/>
        <w:rPr>
          <w:rFonts w:eastAsia="Times New Roman" w:cs="Calibri"/>
        </w:rPr>
      </w:pPr>
    </w:p>
    <w:p w:rsidR="00D27A34" w:rsidRDefault="00D27A34" w:rsidP="00D27A34">
      <w:pPr>
        <w:shd w:val="clear" w:color="auto" w:fill="FFFFFF" w:themeFill="background1"/>
        <w:rPr>
          <w:rFonts w:eastAsia="Times New Roman" w:cs="Calibri"/>
        </w:rPr>
      </w:pPr>
      <w:r>
        <w:rPr>
          <w:rFonts w:eastAsia="Times New Roman" w:cs="Calibri"/>
        </w:rPr>
        <w:t>With respect to Questions 11.1 to 11.3 the VMC recommends the adoption of policies and requirements similar to Victorian Working with Children Checks and the protection of vulnerable children.</w:t>
      </w:r>
    </w:p>
    <w:p w:rsidR="00D27A34" w:rsidRDefault="00D27A34" w:rsidP="00D27A34">
      <w:pPr>
        <w:shd w:val="clear" w:color="auto" w:fill="FFFFFF" w:themeFill="background1"/>
        <w:rPr>
          <w:rFonts w:eastAsia="Times New Roman" w:cs="Calibri"/>
        </w:rPr>
      </w:pPr>
    </w:p>
    <w:p w:rsidR="00D27A34" w:rsidRDefault="00D27A34" w:rsidP="00D27A34">
      <w:pPr>
        <w:spacing w:after="160" w:line="259" w:lineRule="auto"/>
        <w:rPr>
          <w:rFonts w:eastAsia="Times New Roman" w:cs="Calibri"/>
        </w:rPr>
      </w:pPr>
      <w:r>
        <w:rPr>
          <w:rFonts w:eastAsia="Times New Roman" w:cs="Calibri"/>
        </w:rPr>
        <w:br w:type="page"/>
      </w:r>
    </w:p>
    <w:p w:rsidR="00D27A34" w:rsidRPr="006B45C9" w:rsidRDefault="00D27A34" w:rsidP="00D27A34">
      <w:pPr>
        <w:shd w:val="clear" w:color="auto" w:fill="FFFFFF" w:themeFill="background1"/>
        <w:rPr>
          <w:rFonts w:eastAsia="Times New Roman" w:cs="Calibri"/>
          <w:b/>
          <w:sz w:val="24"/>
          <w:szCs w:val="24"/>
        </w:rPr>
      </w:pPr>
      <w:r w:rsidRPr="006B45C9">
        <w:rPr>
          <w:rFonts w:eastAsia="Times New Roman" w:cs="Calibri"/>
          <w:b/>
          <w:sz w:val="24"/>
          <w:szCs w:val="24"/>
        </w:rPr>
        <w:lastRenderedPageBreak/>
        <w:t>References</w:t>
      </w:r>
    </w:p>
    <w:p w:rsidR="00D27A34" w:rsidRDefault="00D27A34" w:rsidP="00D27A34">
      <w:pPr>
        <w:shd w:val="clear" w:color="auto" w:fill="FFFFFF" w:themeFill="background1"/>
        <w:rPr>
          <w:rFonts w:eastAsia="Times New Roman" w:cs="Calibri"/>
        </w:rPr>
      </w:pPr>
    </w:p>
    <w:p w:rsidR="00D27A34" w:rsidRPr="00F04010"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F04010">
        <w:rPr>
          <w:rFonts w:eastAsia="Times New Roman" w:cs="Calibri"/>
        </w:rPr>
        <w:t>A</w:t>
      </w:r>
      <w:r>
        <w:rPr>
          <w:rFonts w:eastAsia="Times New Roman" w:cs="Calibri"/>
        </w:rPr>
        <w:t>ustralian Law Reform Commission  – Elder Abuse Issues Paper</w:t>
      </w:r>
    </w:p>
    <w:p w:rsidR="00D27A34" w:rsidRPr="00F04010"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F04010">
        <w:rPr>
          <w:rFonts w:eastAsia="Times New Roman" w:cs="Calibri"/>
        </w:rPr>
        <w:t>Australian Bankers Associations Inc – Submission to ALRC Elder Abuse Issues Paper</w:t>
      </w:r>
    </w:p>
    <w:p w:rsidR="00D27A34" w:rsidRPr="00F04010"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F04010">
        <w:rPr>
          <w:rFonts w:eastAsia="Times New Roman" w:cs="Calibri"/>
        </w:rPr>
        <w:t xml:space="preserve">CoHealth and Justice Connect Seniors Law </w:t>
      </w:r>
      <w:r>
        <w:rPr>
          <w:rFonts w:eastAsia="Times New Roman" w:cs="Calibri"/>
        </w:rPr>
        <w:t>- Submission to ALRC Elder Abuse Issues Paper</w:t>
      </w:r>
    </w:p>
    <w:p w:rsidR="00D27A34" w:rsidRPr="00D17AEB"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D17AEB">
        <w:rPr>
          <w:rFonts w:eastAsia="Times New Roman" w:cs="Calibri"/>
        </w:rPr>
        <w:t>Commissione</w:t>
      </w:r>
      <w:r>
        <w:rPr>
          <w:rFonts w:eastAsia="Times New Roman" w:cs="Calibri"/>
        </w:rPr>
        <w:t>r for Senior Victorians</w:t>
      </w:r>
      <w:r w:rsidRPr="00D17AEB">
        <w:rPr>
          <w:rFonts w:eastAsia="Times New Roman" w:cs="Calibri"/>
        </w:rPr>
        <w:t xml:space="preserve"> - Submission to ALRC Elder Abuse Issues Paper</w:t>
      </w:r>
    </w:p>
    <w:p w:rsidR="00D27A34" w:rsidRPr="00AE1664"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AE1664">
        <w:rPr>
          <w:rFonts w:eastAsia="Times New Roman" w:cs="Calibri"/>
        </w:rPr>
        <w:t>Elder Care Watch _ Submission to ALRC Elder Abuse Issues Paper</w:t>
      </w:r>
    </w:p>
    <w:p w:rsidR="00D27A34" w:rsidRPr="00EC4A61"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AE1664">
        <w:rPr>
          <w:rFonts w:eastAsia="Times New Roman" w:cs="Calibri"/>
        </w:rPr>
        <w:t>E</w:t>
      </w:r>
      <w:r w:rsidRPr="00EC4A61">
        <w:rPr>
          <w:rFonts w:eastAsia="Times New Roman" w:cs="Calibri"/>
        </w:rPr>
        <w:t>thnic Communities’ Council of Victoria Submission to ALRC Elder Abuse Issues Paper</w:t>
      </w:r>
    </w:p>
    <w:p w:rsidR="00D27A34" w:rsidRPr="00EC4A61"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EC4A61">
        <w:rPr>
          <w:rFonts w:eastAsia="Times New Roman" w:cs="Calibri"/>
        </w:rPr>
        <w:t>Fed</w:t>
      </w:r>
      <w:r>
        <w:rPr>
          <w:rFonts w:eastAsia="Times New Roman" w:cs="Calibri"/>
        </w:rPr>
        <w:t>e</w:t>
      </w:r>
      <w:r w:rsidRPr="00EC4A61">
        <w:rPr>
          <w:rFonts w:eastAsia="Times New Roman" w:cs="Calibri"/>
        </w:rPr>
        <w:t>ration of Ethnic Community Councils Australia _ Submission to ALRC Elder Abuse Issues Paper</w:t>
      </w:r>
    </w:p>
    <w:p w:rsidR="00D27A34"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EC4A61">
        <w:rPr>
          <w:rFonts w:eastAsia="Times New Roman" w:cs="Calibri"/>
        </w:rPr>
        <w:t xml:space="preserve">Law Council of Australia - Submission to ALRC Elder Abuse Issues </w:t>
      </w:r>
      <w:r w:rsidRPr="00071C94">
        <w:rPr>
          <w:rFonts w:eastAsia="Times New Roman" w:cs="Calibri"/>
        </w:rPr>
        <w:t>Paper</w:t>
      </w:r>
    </w:p>
    <w:p w:rsidR="00D27A34" w:rsidRPr="00D17AEB"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D17AEB">
        <w:rPr>
          <w:rFonts w:eastAsia="Times New Roman" w:cs="Calibri"/>
        </w:rPr>
        <w:t>Office of the Public Advocate - Submission to ALRC Elder Abuse Issues Paper</w:t>
      </w:r>
    </w:p>
    <w:p w:rsidR="00D27A34" w:rsidRPr="00AE1664"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AE1664">
        <w:rPr>
          <w:rFonts w:eastAsia="Times New Roman" w:cs="Calibri"/>
        </w:rPr>
        <w:t>Older Persons Advocacy Network - Submission to ALRC Elder Abuse Issues Paper</w:t>
      </w:r>
    </w:p>
    <w:p w:rsidR="00D27A34" w:rsidRPr="00EC4A61"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AE1664">
        <w:rPr>
          <w:rFonts w:eastAsia="Times New Roman" w:cs="Calibri"/>
        </w:rPr>
        <w:t xml:space="preserve">The University of </w:t>
      </w:r>
      <w:r w:rsidRPr="00EC4A61">
        <w:rPr>
          <w:rFonts w:eastAsia="Times New Roman" w:cs="Calibri"/>
        </w:rPr>
        <w:t>Melbourne - Submission to ALRC Elder Abuse Issues Paper</w:t>
      </w:r>
    </w:p>
    <w:p w:rsidR="00D27A34" w:rsidRPr="00EC4A61"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EC4A61">
        <w:rPr>
          <w:rFonts w:eastAsia="Times New Roman" w:cs="Calibri"/>
        </w:rPr>
        <w:t>Uniting Care Australia - Submission to ALRC Elder Abuse Issues Paper</w:t>
      </w:r>
    </w:p>
    <w:p w:rsidR="00D27A34" w:rsidRPr="00EC4A61"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EC4A61">
        <w:rPr>
          <w:rFonts w:eastAsia="Times New Roman" w:cs="Calibri"/>
        </w:rPr>
        <w:t xml:space="preserve">Victorian Royal </w:t>
      </w:r>
      <w:r>
        <w:rPr>
          <w:rFonts w:eastAsia="Times New Roman" w:cs="Calibri"/>
        </w:rPr>
        <w:t>C</w:t>
      </w:r>
      <w:r w:rsidRPr="00EC4A61">
        <w:rPr>
          <w:rFonts w:eastAsia="Times New Roman" w:cs="Calibri"/>
        </w:rPr>
        <w:t xml:space="preserve">ommission into Family Violence </w:t>
      </w:r>
    </w:p>
    <w:p w:rsidR="00D27A34" w:rsidRPr="00F04010" w:rsidRDefault="00D27A34" w:rsidP="00D27A34">
      <w:pPr>
        <w:pStyle w:val="ListParagraph"/>
        <w:numPr>
          <w:ilvl w:val="0"/>
          <w:numId w:val="6"/>
        </w:numPr>
        <w:shd w:val="clear" w:color="auto" w:fill="FFFFFF" w:themeFill="background1"/>
        <w:spacing w:after="120"/>
        <w:ind w:left="426"/>
        <w:contextualSpacing w:val="0"/>
        <w:rPr>
          <w:rFonts w:eastAsia="Times New Roman" w:cs="Calibri"/>
        </w:rPr>
      </w:pPr>
      <w:r w:rsidRPr="00F04010">
        <w:rPr>
          <w:rFonts w:eastAsia="Times New Roman" w:cs="Calibri"/>
        </w:rPr>
        <w:t>V</w:t>
      </w:r>
      <w:r>
        <w:rPr>
          <w:rFonts w:eastAsia="Times New Roman" w:cs="Calibri"/>
        </w:rPr>
        <w:t xml:space="preserve">ictorian Multicultural Commission </w:t>
      </w:r>
      <w:r w:rsidRPr="00F04010">
        <w:rPr>
          <w:rFonts w:eastAsia="Times New Roman" w:cs="Calibri"/>
        </w:rPr>
        <w:t xml:space="preserve"> Submission to Powers of Attorney Legislation</w:t>
      </w:r>
      <w:r>
        <w:rPr>
          <w:rFonts w:eastAsia="Times New Roman" w:cs="Calibri"/>
        </w:rPr>
        <w:t xml:space="preserve">: </w:t>
      </w:r>
      <w:r>
        <w:t>Understanding and use of Power of Attorney in Victoria’s CALD communities</w:t>
      </w:r>
      <w:r w:rsidRPr="00EC4A61">
        <w:rPr>
          <w:rFonts w:eastAsia="Times New Roman" w:cs="Calibri"/>
        </w:rPr>
        <w:t xml:space="preserve"> http://www.multicultural.vic.gov.au/images/Kathleen/POA.pdf</w:t>
      </w:r>
    </w:p>
    <w:p w:rsidR="00D27A34" w:rsidRDefault="00D27A34" w:rsidP="00D27A34">
      <w:pPr>
        <w:pStyle w:val="ListParagraph"/>
        <w:numPr>
          <w:ilvl w:val="0"/>
          <w:numId w:val="6"/>
        </w:numPr>
        <w:shd w:val="clear" w:color="auto" w:fill="FFFFFF" w:themeFill="background1"/>
        <w:spacing w:after="120"/>
        <w:ind w:left="425" w:hanging="357"/>
        <w:contextualSpacing w:val="0"/>
        <w:rPr>
          <w:rFonts w:eastAsia="Times New Roman" w:cs="Calibri"/>
        </w:rPr>
      </w:pPr>
      <w:r w:rsidRPr="00F04010">
        <w:rPr>
          <w:rFonts w:eastAsia="Times New Roman" w:cs="Calibri"/>
        </w:rPr>
        <w:t>V</w:t>
      </w:r>
      <w:r>
        <w:rPr>
          <w:rFonts w:eastAsia="Times New Roman" w:cs="Calibri"/>
        </w:rPr>
        <w:t>ictorian Multicultural Commission</w:t>
      </w:r>
      <w:r w:rsidRPr="00F04010">
        <w:rPr>
          <w:rFonts w:eastAsia="Times New Roman" w:cs="Calibri"/>
        </w:rPr>
        <w:t xml:space="preserve"> Regional Advisory Council members </w:t>
      </w:r>
      <w:r>
        <w:rPr>
          <w:rFonts w:eastAsia="Times New Roman" w:cs="Calibri"/>
        </w:rPr>
        <w:t xml:space="preserve">2014 – 2016 </w:t>
      </w:r>
    </w:p>
    <w:p w:rsidR="00D27A34" w:rsidRPr="00D17AEB" w:rsidRDefault="00D27A34" w:rsidP="00D27A34">
      <w:pPr>
        <w:pStyle w:val="ListParagraph"/>
        <w:numPr>
          <w:ilvl w:val="0"/>
          <w:numId w:val="6"/>
        </w:numPr>
        <w:ind w:left="426"/>
        <w:rPr>
          <w:rFonts w:eastAsia="Times New Roman" w:cs="Calibri"/>
        </w:rPr>
      </w:pPr>
      <w:r w:rsidRPr="00D17AEB">
        <w:rPr>
          <w:rFonts w:eastAsia="Times New Roman" w:cs="Calibri"/>
        </w:rPr>
        <w:t>Wainer, J., Owada, K., Lowndes, G., &amp; Darzins, P. (2011). Diversity and financial elder abuse in Victoria: Protecting Elders' Assets Study. Retrieved February 23, 2017, from Monash University: http://www.eapu.com.au/uploads/research_resources/VIC-Diversity_and_Financial_Elder_Abuse_FEB_2011-Monash.pdf</w:t>
      </w:r>
    </w:p>
    <w:p w:rsidR="00D27A34" w:rsidRDefault="00D27A34" w:rsidP="00D27A34">
      <w:pPr>
        <w:pStyle w:val="ListParagraph"/>
        <w:shd w:val="clear" w:color="auto" w:fill="FFFFFF" w:themeFill="background1"/>
        <w:spacing w:after="120"/>
        <w:ind w:left="425"/>
        <w:contextualSpacing w:val="0"/>
        <w:rPr>
          <w:rFonts w:eastAsia="Times New Roman" w:cs="Calibri"/>
        </w:rPr>
      </w:pPr>
    </w:p>
    <w:p w:rsidR="00D27A34" w:rsidRDefault="00D27A34" w:rsidP="00D27A34">
      <w:pPr>
        <w:pStyle w:val="ListParagraph"/>
        <w:shd w:val="clear" w:color="auto" w:fill="FFFFFF" w:themeFill="background1"/>
        <w:spacing w:after="120"/>
        <w:ind w:left="425"/>
        <w:contextualSpacing w:val="0"/>
        <w:rPr>
          <w:rFonts w:eastAsia="Times New Roman" w:cs="Calibri"/>
        </w:rPr>
      </w:pPr>
    </w:p>
    <w:p w:rsidR="00D27A34" w:rsidRDefault="00D27A34" w:rsidP="00D27A34">
      <w:pPr>
        <w:pStyle w:val="ListParagraph"/>
        <w:shd w:val="clear" w:color="auto" w:fill="FFFFFF" w:themeFill="background1"/>
        <w:spacing w:after="120"/>
        <w:ind w:left="425"/>
        <w:contextualSpacing w:val="0"/>
        <w:rPr>
          <w:rFonts w:eastAsia="Times New Roman" w:cs="Calibri"/>
        </w:rPr>
      </w:pPr>
    </w:p>
    <w:p w:rsidR="00E74B8F" w:rsidRDefault="00E74B8F" w:rsidP="00A43ADF">
      <w:pPr>
        <w:spacing w:after="160" w:line="259" w:lineRule="auto"/>
      </w:pPr>
    </w:p>
    <w:sectPr w:rsidR="00E74B8F" w:rsidSect="00233841">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34" w:rsidRDefault="00D27A34" w:rsidP="00D27A34">
      <w:r>
        <w:separator/>
      </w:r>
    </w:p>
  </w:endnote>
  <w:endnote w:type="continuationSeparator" w:id="0">
    <w:p w:rsidR="00D27A34" w:rsidRDefault="00D27A34" w:rsidP="00D27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34" w:rsidRDefault="003E2C0A" w:rsidP="003E2C0A">
    <w:pPr>
      <w:pStyle w:val="Footer"/>
      <w:rPr>
        <w:rFonts w:ascii="Arial" w:hAnsi="Arial" w:cs="Arial"/>
        <w:b/>
        <w:color w:val="3F3F3F"/>
        <w:sz w:val="20"/>
      </w:rPr>
    </w:pPr>
    <w:bookmarkStart w:id="1" w:name="aliashNonProtectiveMarki1FooterEvenPages"/>
    <w:r>
      <w:rPr>
        <w:rFonts w:ascii="Arial" w:hAnsi="Arial" w:cs="Arial"/>
        <w:b/>
        <w:color w:val="3F3F3F"/>
        <w:sz w:val="20"/>
      </w:rPr>
      <w:t>For Official Use Only</w:t>
    </w:r>
  </w:p>
  <w:bookmarkEnd w:id="1"/>
  <w:p w:rsidR="00D27A34" w:rsidRDefault="00D27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34" w:rsidRDefault="003E2C0A" w:rsidP="003E2C0A">
    <w:pPr>
      <w:pStyle w:val="Footer"/>
      <w:rPr>
        <w:rFonts w:ascii="Arial" w:hAnsi="Arial" w:cs="Arial"/>
        <w:b/>
        <w:color w:val="3F3F3F"/>
        <w:sz w:val="20"/>
      </w:rPr>
    </w:pPr>
    <w:bookmarkStart w:id="2" w:name="aliashNonProtectiveMarking1FooterPrimary"/>
    <w:r>
      <w:rPr>
        <w:rFonts w:ascii="Arial" w:hAnsi="Arial" w:cs="Arial"/>
        <w:b/>
        <w:color w:val="3F3F3F"/>
        <w:sz w:val="20"/>
      </w:rPr>
      <w:t>For Official Use Only</w:t>
    </w:r>
  </w:p>
  <w:bookmarkEnd w:id="2"/>
  <w:p w:rsidR="00D27A34" w:rsidRDefault="00D27A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34" w:rsidRDefault="003E2C0A" w:rsidP="003E2C0A">
    <w:pPr>
      <w:pStyle w:val="Footer"/>
      <w:rPr>
        <w:rFonts w:ascii="Arial" w:hAnsi="Arial" w:cs="Arial"/>
        <w:b/>
        <w:color w:val="3F3F3F"/>
        <w:sz w:val="20"/>
      </w:rPr>
    </w:pPr>
    <w:bookmarkStart w:id="3" w:name="aliashNonProtectiveMarki1FooterFirstPage"/>
    <w:r>
      <w:rPr>
        <w:rFonts w:ascii="Arial" w:hAnsi="Arial" w:cs="Arial"/>
        <w:b/>
        <w:color w:val="3F3F3F"/>
        <w:sz w:val="20"/>
      </w:rPr>
      <w:t>For Official Use Only</w:t>
    </w:r>
  </w:p>
  <w:bookmarkEnd w:id="3"/>
  <w:p w:rsidR="00D27A34" w:rsidRDefault="00D27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34" w:rsidRDefault="00D27A34" w:rsidP="00D27A34">
      <w:r>
        <w:separator/>
      </w:r>
    </w:p>
  </w:footnote>
  <w:footnote w:type="continuationSeparator" w:id="0">
    <w:p w:rsidR="00D27A34" w:rsidRDefault="00D27A34" w:rsidP="00D27A34">
      <w:r>
        <w:continuationSeparator/>
      </w:r>
    </w:p>
  </w:footnote>
  <w:footnote w:id="1">
    <w:p w:rsidR="00D27A34" w:rsidRDefault="00D27A34" w:rsidP="00D27A34">
      <w:pPr>
        <w:pStyle w:val="FootnoteText"/>
      </w:pPr>
      <w:r>
        <w:rPr>
          <w:rStyle w:val="FootnoteReference"/>
        </w:rPr>
        <w:footnoteRef/>
      </w:r>
      <w:r>
        <w:t xml:space="preserve"> </w:t>
      </w:r>
      <w:r w:rsidRPr="00A501FA">
        <w:rPr>
          <w:sz w:val="18"/>
          <w:szCs w:val="18"/>
        </w:rPr>
        <w:t>There are eight RACs, each with up to 13 members</w:t>
      </w:r>
      <w:r>
        <w:rPr>
          <w:sz w:val="18"/>
          <w:szCs w:val="18"/>
        </w:rPr>
        <w:t xml:space="preserve">, </w:t>
      </w:r>
      <w:r w:rsidRPr="00A501FA">
        <w:rPr>
          <w:sz w:val="18"/>
          <w:szCs w:val="18"/>
        </w:rPr>
        <w:t xml:space="preserve">comprising 37different cultural backgrounds, across metropolitan, regional and rural Victoria. </w:t>
      </w:r>
      <w:r>
        <w:rPr>
          <w:sz w:val="18"/>
          <w:szCs w:val="18"/>
        </w:rPr>
        <w:t>F</w:t>
      </w:r>
      <w:r w:rsidRPr="00A501FA">
        <w:rPr>
          <w:sz w:val="18"/>
          <w:szCs w:val="18"/>
        </w:rPr>
        <w:t>urther detail</w:t>
      </w:r>
      <w:r>
        <w:rPr>
          <w:sz w:val="18"/>
          <w:szCs w:val="18"/>
        </w:rPr>
        <w:t>s are at</w:t>
      </w:r>
      <w:r w:rsidRPr="00A501FA">
        <w:rPr>
          <w:sz w:val="18"/>
          <w:szCs w:val="18"/>
        </w:rPr>
        <w:t xml:space="preserve">  </w:t>
      </w:r>
      <w:hyperlink r:id="rId1" w:history="1">
        <w:r w:rsidRPr="00A501FA">
          <w:rPr>
            <w:rStyle w:val="Hyperlink"/>
            <w:sz w:val="18"/>
            <w:szCs w:val="18"/>
          </w:rPr>
          <w:t>http://www.multicultural.vic.gov.au/regional-advisory-councils/about-rac</w:t>
        </w:r>
      </w:hyperlink>
      <w:r w:rsidRPr="00A501FA">
        <w:rPr>
          <w:sz w:val="18"/>
          <w:szCs w:val="18"/>
        </w:rPr>
        <w:t xml:space="preserve"> </w:t>
      </w:r>
    </w:p>
  </w:footnote>
  <w:footnote w:id="2">
    <w:p w:rsidR="00D27A34" w:rsidRDefault="00D27A34" w:rsidP="00D27A34">
      <w:pPr>
        <w:pStyle w:val="FootnoteText"/>
      </w:pPr>
      <w:r>
        <w:rPr>
          <w:rStyle w:val="FootnoteReference"/>
        </w:rPr>
        <w:footnoteRef/>
      </w:r>
      <w:r>
        <w:t xml:space="preserve"> </w:t>
      </w:r>
      <w:hyperlink r:id="rId2" w:history="1">
        <w:r w:rsidRPr="00A501FA">
          <w:rPr>
            <w:rStyle w:val="Hyperlink"/>
            <w:sz w:val="18"/>
            <w:szCs w:val="18"/>
          </w:rPr>
          <w:t>http://profile.id.com.au/australia/language?WebID=110</w:t>
        </w:r>
      </w:hyperlink>
      <w:r w:rsidRPr="00A501FA">
        <w:rPr>
          <w:sz w:val="18"/>
          <w:szCs w:val="18"/>
        </w:rPr>
        <w:t xml:space="preserve"> </w:t>
      </w:r>
      <w:r>
        <w:rPr>
          <w:sz w:val="18"/>
          <w:szCs w:val="18"/>
        </w:rPr>
        <w:t>(</w:t>
      </w:r>
      <w:r w:rsidRPr="00A501FA">
        <w:rPr>
          <w:sz w:val="18"/>
          <w:szCs w:val="18"/>
        </w:rPr>
        <w:t>Accessed 21 February 2017</w:t>
      </w:r>
      <w:r>
        <w:rPr>
          <w:sz w:val="18"/>
          <w:szCs w:val="18"/>
        </w:rPr>
        <w:t>)</w:t>
      </w:r>
      <w:r w:rsidRPr="00A501FA">
        <w:rPr>
          <w:sz w:val="18"/>
          <w:szCs w:val="18"/>
        </w:rPr>
        <w:t>.</w:t>
      </w:r>
    </w:p>
  </w:footnote>
  <w:footnote w:id="3">
    <w:p w:rsidR="00D27A34" w:rsidRDefault="00D27A34" w:rsidP="00D27A34">
      <w:pPr>
        <w:pStyle w:val="FootnoteText"/>
      </w:pPr>
      <w:r>
        <w:rPr>
          <w:rStyle w:val="FootnoteReference"/>
        </w:rPr>
        <w:footnoteRef/>
      </w:r>
      <w:r>
        <w:t xml:space="preserve"> </w:t>
      </w:r>
      <w:r w:rsidRPr="008A42B6">
        <w:rPr>
          <w:sz w:val="18"/>
          <w:szCs w:val="18"/>
        </w:rPr>
        <w:t>RAC members reflect the diversity of Victorian communities and include local resi</w:t>
      </w:r>
      <w:r>
        <w:rPr>
          <w:sz w:val="18"/>
          <w:szCs w:val="18"/>
        </w:rPr>
        <w:t>d</w:t>
      </w:r>
      <w:r w:rsidRPr="008A42B6">
        <w:rPr>
          <w:sz w:val="18"/>
          <w:szCs w:val="18"/>
        </w:rPr>
        <w:t xml:space="preserve">ents, service provider and local government representatives. The direct feedback and experience of RAC members managing a major ethnic specific aged care facility, providing health consultancy to the government, and managing </w:t>
      </w:r>
      <w:r>
        <w:rPr>
          <w:sz w:val="18"/>
          <w:szCs w:val="18"/>
        </w:rPr>
        <w:t xml:space="preserve">cultural </w:t>
      </w:r>
      <w:r w:rsidRPr="008A42B6">
        <w:rPr>
          <w:sz w:val="18"/>
          <w:szCs w:val="18"/>
        </w:rPr>
        <w:t>we</w:t>
      </w:r>
      <w:r>
        <w:rPr>
          <w:sz w:val="18"/>
          <w:szCs w:val="18"/>
        </w:rPr>
        <w:t>l</w:t>
      </w:r>
      <w:r w:rsidRPr="008A42B6">
        <w:rPr>
          <w:sz w:val="18"/>
          <w:szCs w:val="18"/>
        </w:rPr>
        <w:t>fare services with specific focu</w:t>
      </w:r>
      <w:r>
        <w:rPr>
          <w:sz w:val="18"/>
          <w:szCs w:val="18"/>
        </w:rPr>
        <w:t>s on elder abuse, have assist</w:t>
      </w:r>
      <w:r w:rsidRPr="008A42B6">
        <w:rPr>
          <w:sz w:val="18"/>
          <w:szCs w:val="18"/>
        </w:rPr>
        <w:t>ed in informing this submission.</w:t>
      </w:r>
    </w:p>
  </w:footnote>
  <w:footnote w:id="4">
    <w:p w:rsidR="00D27A34" w:rsidRDefault="00D27A34" w:rsidP="00D27A34">
      <w:pPr>
        <w:pStyle w:val="FootnoteText"/>
      </w:pPr>
      <w:r w:rsidRPr="002255BB">
        <w:rPr>
          <w:rStyle w:val="FootnoteReference"/>
          <w:sz w:val="18"/>
          <w:szCs w:val="18"/>
        </w:rPr>
        <w:footnoteRef/>
      </w:r>
      <w:r w:rsidRPr="002255BB">
        <w:rPr>
          <w:sz w:val="18"/>
          <w:szCs w:val="18"/>
        </w:rPr>
        <w:t xml:space="preserve"> The VMC notes that some of these matters were listed in the Discussion Paper. The</w:t>
      </w:r>
      <w:r>
        <w:rPr>
          <w:sz w:val="18"/>
          <w:szCs w:val="18"/>
        </w:rPr>
        <w:t>i</w:t>
      </w:r>
      <w:r w:rsidRPr="002255BB">
        <w:rPr>
          <w:sz w:val="18"/>
          <w:szCs w:val="18"/>
        </w:rPr>
        <w:t>r listing here provide</w:t>
      </w:r>
      <w:r>
        <w:rPr>
          <w:sz w:val="18"/>
          <w:szCs w:val="18"/>
        </w:rPr>
        <w:t>s</w:t>
      </w:r>
      <w:r w:rsidRPr="002255BB">
        <w:rPr>
          <w:sz w:val="18"/>
          <w:szCs w:val="18"/>
        </w:rPr>
        <w:t xml:space="preserve"> context </w:t>
      </w:r>
      <w:r>
        <w:rPr>
          <w:sz w:val="18"/>
          <w:szCs w:val="18"/>
        </w:rPr>
        <w:t>regarding</w:t>
      </w:r>
      <w:r w:rsidRPr="002255BB">
        <w:rPr>
          <w:sz w:val="18"/>
          <w:szCs w:val="18"/>
        </w:rPr>
        <w:t xml:space="preserve"> VMC responses to Discussion Paper proposals and questions.</w:t>
      </w:r>
    </w:p>
  </w:footnote>
  <w:footnote w:id="5">
    <w:p w:rsidR="00D27A34" w:rsidRDefault="00D27A34" w:rsidP="00D27A34">
      <w:pPr>
        <w:pStyle w:val="FootnoteText"/>
      </w:pPr>
      <w:r>
        <w:rPr>
          <w:rStyle w:val="FootnoteReference"/>
        </w:rPr>
        <w:footnoteRef/>
      </w:r>
      <w:r>
        <w:t xml:space="preserve"> </w:t>
      </w:r>
      <w:proofErr w:type="gramStart"/>
      <w:r w:rsidRPr="00CD20E0">
        <w:rPr>
          <w:sz w:val="18"/>
          <w:szCs w:val="18"/>
        </w:rPr>
        <w:t xml:space="preserve">Universities Australia, Equity and Participation </w:t>
      </w:r>
      <w:hyperlink r:id="rId3" w:anchor=".WK60qzt97ic" w:history="1">
        <w:r w:rsidRPr="00CD20E0">
          <w:rPr>
            <w:rStyle w:val="Hyperlink"/>
            <w:sz w:val="18"/>
            <w:szCs w:val="18"/>
          </w:rPr>
          <w:t>https://www.universitiesaustralia.edu.au/uni-participation-quality/Equity-and-Participation#.WK60qzt97ic</w:t>
        </w:r>
      </w:hyperlink>
      <w:r w:rsidRPr="00CD20E0">
        <w:rPr>
          <w:sz w:val="18"/>
          <w:szCs w:val="18"/>
        </w:rPr>
        <w:t xml:space="preserve"> (Accessed 21 February 2017)</w:t>
      </w:r>
      <w:r>
        <w:rPr>
          <w:sz w:val="18"/>
          <w:szCs w:val="18"/>
        </w:rPr>
        <w:t>.</w:t>
      </w:r>
      <w:proofErr w:type="gramEnd"/>
      <w:r>
        <w:t xml:space="preserve"> </w:t>
      </w:r>
    </w:p>
  </w:footnote>
  <w:footnote w:id="6">
    <w:p w:rsidR="00D27A34" w:rsidRDefault="00D27A34" w:rsidP="00D27A34">
      <w:pPr>
        <w:pStyle w:val="FootnoteText"/>
      </w:pPr>
      <w:r>
        <w:rPr>
          <w:rStyle w:val="FootnoteReference"/>
        </w:rPr>
        <w:footnoteRef/>
      </w:r>
      <w:r>
        <w:t xml:space="preserve"> </w:t>
      </w:r>
      <w:proofErr w:type="gramStart"/>
      <w:r w:rsidRPr="00CD20E0">
        <w:rPr>
          <w:sz w:val="18"/>
          <w:szCs w:val="18"/>
        </w:rPr>
        <w:t>University of Essex, Language Attrition amongst the elderly -</w:t>
      </w:r>
      <w:r w:rsidRPr="00CD20E0">
        <w:rPr>
          <w:rFonts w:eastAsia="Times New Roman" w:cs="Calibri"/>
          <w:color w:val="333333"/>
          <w:sz w:val="18"/>
          <w:szCs w:val="18"/>
          <w:lang/>
        </w:rPr>
        <w:t xml:space="preserve"> </w:t>
      </w:r>
      <w:hyperlink r:id="rId4" w:history="1">
        <w:r w:rsidRPr="00CD20E0">
          <w:rPr>
            <w:rStyle w:val="Hyperlink"/>
            <w:rFonts w:eastAsia="Times New Roman" w:cs="Calibri"/>
            <w:sz w:val="18"/>
            <w:szCs w:val="18"/>
            <w:lang/>
          </w:rPr>
          <w:t>https://languageattrition.org/among-the-elderly/</w:t>
        </w:r>
      </w:hyperlink>
      <w:r w:rsidRPr="00CD20E0">
        <w:rPr>
          <w:rFonts w:eastAsia="Times New Roman" w:cs="Calibri"/>
          <w:color w:val="333333"/>
          <w:sz w:val="18"/>
          <w:szCs w:val="18"/>
          <w:lang/>
        </w:rPr>
        <w:t xml:space="preserve"> </w:t>
      </w:r>
      <w:r w:rsidRPr="00CD20E0">
        <w:rPr>
          <w:sz w:val="18"/>
          <w:szCs w:val="18"/>
        </w:rPr>
        <w:t>(Accessed 21 February 2017)</w:t>
      </w:r>
      <w:r>
        <w:rPr>
          <w:sz w:val="18"/>
          <w:szCs w:val="18"/>
        </w:rPr>
        <w:t>.</w:t>
      </w:r>
      <w:proofErr w:type="gramEnd"/>
    </w:p>
  </w:footnote>
  <w:footnote w:id="7">
    <w:p w:rsidR="006C0B57" w:rsidRPr="006B45C9" w:rsidRDefault="006C0B57" w:rsidP="006C0B57">
      <w:pPr>
        <w:pStyle w:val="FootnoteText"/>
        <w:rPr>
          <w:sz w:val="18"/>
          <w:szCs w:val="18"/>
        </w:rPr>
      </w:pPr>
      <w:r w:rsidRPr="006B45C9">
        <w:rPr>
          <w:rStyle w:val="FootnoteReference"/>
          <w:sz w:val="18"/>
          <w:szCs w:val="18"/>
        </w:rPr>
        <w:footnoteRef/>
      </w:r>
      <w:r w:rsidRPr="006B45C9">
        <w:rPr>
          <w:sz w:val="18"/>
          <w:szCs w:val="18"/>
        </w:rPr>
        <w:t xml:space="preserve"> </w:t>
      </w:r>
      <w:r w:rsidR="00992460">
        <w:rPr>
          <w:sz w:val="18"/>
          <w:szCs w:val="18"/>
        </w:rPr>
        <w:t>Especially re</w:t>
      </w:r>
      <w:r w:rsidR="004268F6">
        <w:rPr>
          <w:sz w:val="18"/>
          <w:szCs w:val="18"/>
        </w:rPr>
        <w:t>garding</w:t>
      </w:r>
      <w:r w:rsidR="00992460">
        <w:rPr>
          <w:sz w:val="18"/>
          <w:szCs w:val="18"/>
        </w:rPr>
        <w:t xml:space="preserve"> Contributory P</w:t>
      </w:r>
      <w:r w:rsidRPr="006B45C9">
        <w:rPr>
          <w:sz w:val="18"/>
          <w:szCs w:val="18"/>
        </w:rPr>
        <w:t>arent visa</w:t>
      </w:r>
      <w:r w:rsidR="006B45C9" w:rsidRPr="006B45C9">
        <w:rPr>
          <w:sz w:val="18"/>
          <w:szCs w:val="18"/>
        </w:rPr>
        <w:t xml:space="preserve"> </w:t>
      </w:r>
    </w:p>
  </w:footnote>
  <w:footnote w:id="8">
    <w:p w:rsidR="00992460" w:rsidRPr="006B45C9" w:rsidRDefault="00992460" w:rsidP="00992460">
      <w:pPr>
        <w:pStyle w:val="FootnoteText"/>
        <w:rPr>
          <w:sz w:val="18"/>
          <w:szCs w:val="18"/>
        </w:rPr>
      </w:pPr>
      <w:r w:rsidRPr="006B45C9">
        <w:rPr>
          <w:rStyle w:val="FootnoteReference"/>
          <w:sz w:val="18"/>
          <w:szCs w:val="18"/>
        </w:rPr>
        <w:footnoteRef/>
      </w:r>
      <w:r w:rsidR="004268F6">
        <w:rPr>
          <w:sz w:val="18"/>
          <w:szCs w:val="18"/>
        </w:rPr>
        <w:t xml:space="preserve"> The older person </w:t>
      </w:r>
      <w:r w:rsidRPr="006B45C9">
        <w:rPr>
          <w:sz w:val="18"/>
          <w:szCs w:val="18"/>
        </w:rPr>
        <w:t>may have no access to, or awareness of, this information before they arrive to Australia.  Even if made available to their children in Australia, it may not get to the parents. This is very significant as the parent will not be eligible for a pension until they have been resident in Australia for 10 Years.</w:t>
      </w:r>
    </w:p>
  </w:footnote>
  <w:footnote w:id="9">
    <w:p w:rsidR="00D27A34" w:rsidRPr="006B45C9" w:rsidRDefault="00D27A34" w:rsidP="00D27A34">
      <w:pPr>
        <w:spacing w:after="120"/>
        <w:jc w:val="both"/>
        <w:rPr>
          <w:sz w:val="18"/>
          <w:szCs w:val="18"/>
        </w:rPr>
      </w:pPr>
      <w:r w:rsidRPr="006B45C9">
        <w:rPr>
          <w:rStyle w:val="FootnoteReference"/>
          <w:sz w:val="18"/>
          <w:szCs w:val="18"/>
        </w:rPr>
        <w:footnoteRef/>
      </w:r>
      <w:r w:rsidRPr="006B45C9">
        <w:rPr>
          <w:sz w:val="18"/>
          <w:szCs w:val="18"/>
        </w:rPr>
        <w:t xml:space="preserve"> </w:t>
      </w:r>
      <w:proofErr w:type="gramStart"/>
      <w:r w:rsidRPr="006B45C9">
        <w:rPr>
          <w:sz w:val="18"/>
          <w:szCs w:val="18"/>
        </w:rPr>
        <w:t>City of Moreland.</w:t>
      </w:r>
      <w:proofErr w:type="gramEnd"/>
      <w:r w:rsidRPr="006B45C9">
        <w:rPr>
          <w:sz w:val="18"/>
          <w:szCs w:val="18"/>
        </w:rPr>
        <w:t xml:space="preserve"> The series of CALD-Com storyboard themes is available at: </w:t>
      </w:r>
      <w:hyperlink r:id="rId5" w:history="1">
        <w:r w:rsidRPr="006B45C9">
          <w:rPr>
            <w:rStyle w:val="Hyperlink"/>
            <w:sz w:val="18"/>
            <w:szCs w:val="18"/>
          </w:rPr>
          <w:t>http://www.moreland.vic.gov.au/community-care/multicultural-services/cald-com-storyboards-and-videos/download-caldcom/</w:t>
        </w:r>
      </w:hyperlink>
      <w:r w:rsidR="006B45C9">
        <w:rPr>
          <w:sz w:val="18"/>
          <w:szCs w:val="18"/>
        </w:rPr>
        <w:t xml:space="preserve"> </w:t>
      </w:r>
    </w:p>
  </w:footnote>
  <w:footnote w:id="10">
    <w:p w:rsidR="00992460" w:rsidRPr="00992460" w:rsidRDefault="00992460">
      <w:pPr>
        <w:pStyle w:val="FootnoteText"/>
        <w:rPr>
          <w:sz w:val="18"/>
          <w:szCs w:val="18"/>
        </w:rPr>
      </w:pPr>
      <w:r w:rsidRPr="00992460">
        <w:rPr>
          <w:rStyle w:val="FootnoteReference"/>
          <w:sz w:val="18"/>
          <w:szCs w:val="18"/>
        </w:rPr>
        <w:footnoteRef/>
      </w:r>
      <w:r w:rsidRPr="00992460">
        <w:rPr>
          <w:sz w:val="18"/>
          <w:szCs w:val="18"/>
        </w:rPr>
        <w:t xml:space="preserve"> Significant also for seniors arriving as part of Contributory visa scheme</w:t>
      </w:r>
    </w:p>
  </w:footnote>
  <w:footnote w:id="11">
    <w:p w:rsidR="002E5D46" w:rsidRDefault="002E5D46">
      <w:pPr>
        <w:pStyle w:val="FootnoteText"/>
      </w:pPr>
      <w:r>
        <w:rPr>
          <w:rStyle w:val="FootnoteReference"/>
        </w:rPr>
        <w:footnoteRef/>
      </w:r>
      <w:r>
        <w:t xml:space="preserve"> </w:t>
      </w:r>
      <w:r w:rsidR="00B17D16" w:rsidRPr="00B17D16">
        <w:rPr>
          <w:sz w:val="18"/>
          <w:szCs w:val="18"/>
        </w:rPr>
        <w:t>Victoria’s model adapted for</w:t>
      </w:r>
      <w:r>
        <w:rPr>
          <w:sz w:val="18"/>
          <w:szCs w:val="18"/>
        </w:rPr>
        <w:t xml:space="preserve"> Victorian seniors</w:t>
      </w:r>
      <w:r w:rsidR="00B17D16">
        <w:rPr>
          <w:sz w:val="18"/>
          <w:szCs w:val="18"/>
        </w:rPr>
        <w:t xml:space="preserve"> as part </w:t>
      </w:r>
      <w:proofErr w:type="gramStart"/>
      <w:r w:rsidR="00B17D16">
        <w:rPr>
          <w:sz w:val="18"/>
          <w:szCs w:val="18"/>
        </w:rPr>
        <w:t>of  the</w:t>
      </w:r>
      <w:proofErr w:type="gramEnd"/>
      <w:r w:rsidR="00B17D16">
        <w:rPr>
          <w:sz w:val="18"/>
          <w:szCs w:val="18"/>
        </w:rPr>
        <w:t xml:space="preserve"> Victorian Family Violence initiatives</w:t>
      </w:r>
      <w:r w:rsidRPr="002E5D46">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C9" w:rsidRDefault="006B45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C9" w:rsidRDefault="006B45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C9" w:rsidRDefault="006B45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DE8"/>
    <w:multiLevelType w:val="hybridMultilevel"/>
    <w:tmpl w:val="89924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CE7904"/>
    <w:multiLevelType w:val="multilevel"/>
    <w:tmpl w:val="A692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4B3508"/>
    <w:multiLevelType w:val="multilevel"/>
    <w:tmpl w:val="7F74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41755F"/>
    <w:multiLevelType w:val="hybridMultilevel"/>
    <w:tmpl w:val="337C9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FE34B5"/>
    <w:multiLevelType w:val="hybridMultilevel"/>
    <w:tmpl w:val="AE66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F0A6B8B"/>
    <w:multiLevelType w:val="hybridMultilevel"/>
    <w:tmpl w:val="EAB6C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27A34"/>
    <w:rsid w:val="001066DA"/>
    <w:rsid w:val="002E5D46"/>
    <w:rsid w:val="00365011"/>
    <w:rsid w:val="003E2C0A"/>
    <w:rsid w:val="004268F6"/>
    <w:rsid w:val="004451C9"/>
    <w:rsid w:val="00463F35"/>
    <w:rsid w:val="004C64D2"/>
    <w:rsid w:val="004E0B85"/>
    <w:rsid w:val="006B45C9"/>
    <w:rsid w:val="006C0B57"/>
    <w:rsid w:val="00743517"/>
    <w:rsid w:val="00746712"/>
    <w:rsid w:val="008C6389"/>
    <w:rsid w:val="009240CC"/>
    <w:rsid w:val="00992460"/>
    <w:rsid w:val="00A43ADF"/>
    <w:rsid w:val="00A9696D"/>
    <w:rsid w:val="00B07CE5"/>
    <w:rsid w:val="00B17D16"/>
    <w:rsid w:val="00BC46B2"/>
    <w:rsid w:val="00D27A34"/>
    <w:rsid w:val="00E74B8F"/>
    <w:rsid w:val="00E77A84"/>
    <w:rsid w:val="00EF1C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34"/>
    <w:pPr>
      <w:spacing w:after="0" w:line="240" w:lineRule="auto"/>
    </w:pPr>
    <w:rPr>
      <w:rFonts w:eastAsiaTheme="minorEastAs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A34"/>
    <w:pPr>
      <w:spacing w:after="200" w:line="276" w:lineRule="auto"/>
      <w:ind w:left="720"/>
      <w:contextualSpacing/>
    </w:pPr>
  </w:style>
  <w:style w:type="character" w:styleId="Hyperlink">
    <w:name w:val="Hyperlink"/>
    <w:basedOn w:val="DefaultParagraphFont"/>
    <w:uiPriority w:val="99"/>
    <w:unhideWhenUsed/>
    <w:rsid w:val="00D27A34"/>
    <w:rPr>
      <w:rFonts w:cs="Times New Roman"/>
      <w:color w:val="0000FF" w:themeColor="hyperlink"/>
      <w:u w:val="single"/>
    </w:rPr>
  </w:style>
  <w:style w:type="paragraph" w:styleId="FootnoteText">
    <w:name w:val="footnote text"/>
    <w:basedOn w:val="Normal"/>
    <w:link w:val="FootnoteTextChar"/>
    <w:uiPriority w:val="99"/>
    <w:semiHidden/>
    <w:unhideWhenUsed/>
    <w:rsid w:val="00D27A34"/>
    <w:rPr>
      <w:sz w:val="20"/>
      <w:szCs w:val="20"/>
    </w:rPr>
  </w:style>
  <w:style w:type="character" w:customStyle="1" w:styleId="FootnoteTextChar">
    <w:name w:val="Footnote Text Char"/>
    <w:basedOn w:val="DefaultParagraphFont"/>
    <w:link w:val="FootnoteText"/>
    <w:uiPriority w:val="99"/>
    <w:semiHidden/>
    <w:rsid w:val="00D27A34"/>
    <w:rPr>
      <w:rFonts w:eastAsiaTheme="minorEastAsia" w:cs="Times New Roman"/>
      <w:sz w:val="20"/>
      <w:szCs w:val="20"/>
      <w:lang w:eastAsia="en-AU"/>
    </w:rPr>
  </w:style>
  <w:style w:type="character" w:styleId="FootnoteReference">
    <w:name w:val="footnote reference"/>
    <w:basedOn w:val="DefaultParagraphFont"/>
    <w:uiPriority w:val="99"/>
    <w:semiHidden/>
    <w:unhideWhenUsed/>
    <w:rsid w:val="00D27A34"/>
    <w:rPr>
      <w:rFonts w:cs="Times New Roman"/>
      <w:vertAlign w:val="superscript"/>
    </w:rPr>
  </w:style>
  <w:style w:type="paragraph" w:styleId="NoSpacing">
    <w:name w:val="No Spacing"/>
    <w:uiPriority w:val="1"/>
    <w:qFormat/>
    <w:rsid w:val="00D27A34"/>
    <w:pPr>
      <w:spacing w:after="0" w:line="240" w:lineRule="auto"/>
    </w:pPr>
    <w:rPr>
      <w:rFonts w:eastAsiaTheme="minorEastAsia" w:cs="Times New Roman"/>
      <w:lang w:eastAsia="en-AU"/>
    </w:rPr>
  </w:style>
  <w:style w:type="paragraph" w:styleId="Header">
    <w:name w:val="header"/>
    <w:basedOn w:val="Normal"/>
    <w:link w:val="HeaderChar"/>
    <w:uiPriority w:val="99"/>
    <w:unhideWhenUsed/>
    <w:rsid w:val="00D27A34"/>
    <w:pPr>
      <w:tabs>
        <w:tab w:val="center" w:pos="4513"/>
        <w:tab w:val="right" w:pos="9026"/>
      </w:tabs>
    </w:pPr>
  </w:style>
  <w:style w:type="character" w:customStyle="1" w:styleId="HeaderChar">
    <w:name w:val="Header Char"/>
    <w:basedOn w:val="DefaultParagraphFont"/>
    <w:link w:val="Header"/>
    <w:uiPriority w:val="99"/>
    <w:rsid w:val="00D27A34"/>
    <w:rPr>
      <w:rFonts w:eastAsiaTheme="minorEastAsia" w:cs="Times New Roman"/>
      <w:lang w:eastAsia="en-AU"/>
    </w:rPr>
  </w:style>
  <w:style w:type="paragraph" w:styleId="Footer">
    <w:name w:val="footer"/>
    <w:basedOn w:val="Normal"/>
    <w:link w:val="FooterChar"/>
    <w:uiPriority w:val="99"/>
    <w:unhideWhenUsed/>
    <w:rsid w:val="00D27A34"/>
    <w:pPr>
      <w:tabs>
        <w:tab w:val="center" w:pos="4513"/>
        <w:tab w:val="right" w:pos="9026"/>
      </w:tabs>
    </w:pPr>
  </w:style>
  <w:style w:type="character" w:customStyle="1" w:styleId="FooterChar">
    <w:name w:val="Footer Char"/>
    <w:basedOn w:val="DefaultParagraphFont"/>
    <w:link w:val="Footer"/>
    <w:uiPriority w:val="99"/>
    <w:rsid w:val="00D27A34"/>
    <w:rPr>
      <w:rFonts w:eastAsiaTheme="minorEastAsia" w:cs="Times New Roman"/>
      <w:lang w:eastAsia="en-AU"/>
    </w:rPr>
  </w:style>
  <w:style w:type="paragraph" w:styleId="BalloonText">
    <w:name w:val="Balloon Text"/>
    <w:basedOn w:val="Normal"/>
    <w:link w:val="BalloonTextChar"/>
    <w:uiPriority w:val="99"/>
    <w:semiHidden/>
    <w:unhideWhenUsed/>
    <w:rsid w:val="00EF1C19"/>
    <w:rPr>
      <w:rFonts w:ascii="Tahoma" w:hAnsi="Tahoma" w:cs="Tahoma"/>
      <w:sz w:val="16"/>
      <w:szCs w:val="16"/>
    </w:rPr>
  </w:style>
  <w:style w:type="character" w:customStyle="1" w:styleId="BalloonTextChar">
    <w:name w:val="Balloon Text Char"/>
    <w:basedOn w:val="DefaultParagraphFont"/>
    <w:link w:val="BalloonText"/>
    <w:uiPriority w:val="99"/>
    <w:semiHidden/>
    <w:rsid w:val="00EF1C19"/>
    <w:rPr>
      <w:rFonts w:ascii="Tahoma" w:eastAsiaTheme="minorEastAsi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34"/>
    <w:pPr>
      <w:spacing w:after="0" w:line="240" w:lineRule="auto"/>
    </w:pPr>
    <w:rPr>
      <w:rFonts w:eastAsiaTheme="minorEastAs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A34"/>
    <w:pPr>
      <w:spacing w:after="200" w:line="276" w:lineRule="auto"/>
      <w:ind w:left="720"/>
      <w:contextualSpacing/>
    </w:pPr>
  </w:style>
  <w:style w:type="character" w:styleId="Hyperlink">
    <w:name w:val="Hyperlink"/>
    <w:basedOn w:val="DefaultParagraphFont"/>
    <w:uiPriority w:val="99"/>
    <w:unhideWhenUsed/>
    <w:rsid w:val="00D27A34"/>
    <w:rPr>
      <w:rFonts w:cs="Times New Roman"/>
      <w:color w:val="0000FF" w:themeColor="hyperlink"/>
      <w:u w:val="single"/>
    </w:rPr>
  </w:style>
  <w:style w:type="paragraph" w:styleId="FootnoteText">
    <w:name w:val="footnote text"/>
    <w:basedOn w:val="Normal"/>
    <w:link w:val="FootnoteTextChar"/>
    <w:uiPriority w:val="99"/>
    <w:semiHidden/>
    <w:unhideWhenUsed/>
    <w:rsid w:val="00D27A34"/>
    <w:rPr>
      <w:sz w:val="20"/>
      <w:szCs w:val="20"/>
    </w:rPr>
  </w:style>
  <w:style w:type="character" w:customStyle="1" w:styleId="FootnoteTextChar">
    <w:name w:val="Footnote Text Char"/>
    <w:basedOn w:val="DefaultParagraphFont"/>
    <w:link w:val="FootnoteText"/>
    <w:uiPriority w:val="99"/>
    <w:semiHidden/>
    <w:rsid w:val="00D27A34"/>
    <w:rPr>
      <w:rFonts w:eastAsiaTheme="minorEastAsia" w:cs="Times New Roman"/>
      <w:sz w:val="20"/>
      <w:szCs w:val="20"/>
      <w:lang w:eastAsia="en-AU"/>
    </w:rPr>
  </w:style>
  <w:style w:type="character" w:styleId="FootnoteReference">
    <w:name w:val="footnote reference"/>
    <w:basedOn w:val="DefaultParagraphFont"/>
    <w:uiPriority w:val="99"/>
    <w:semiHidden/>
    <w:unhideWhenUsed/>
    <w:rsid w:val="00D27A34"/>
    <w:rPr>
      <w:rFonts w:cs="Times New Roman"/>
      <w:vertAlign w:val="superscript"/>
    </w:rPr>
  </w:style>
  <w:style w:type="paragraph" w:styleId="NoSpacing">
    <w:name w:val="No Spacing"/>
    <w:uiPriority w:val="1"/>
    <w:qFormat/>
    <w:rsid w:val="00D27A34"/>
    <w:pPr>
      <w:spacing w:after="0" w:line="240" w:lineRule="auto"/>
    </w:pPr>
    <w:rPr>
      <w:rFonts w:eastAsiaTheme="minorEastAsia" w:cs="Times New Roman"/>
      <w:lang w:eastAsia="en-AU"/>
    </w:rPr>
  </w:style>
  <w:style w:type="paragraph" w:styleId="Header">
    <w:name w:val="header"/>
    <w:basedOn w:val="Normal"/>
    <w:link w:val="HeaderChar"/>
    <w:uiPriority w:val="99"/>
    <w:unhideWhenUsed/>
    <w:rsid w:val="00D27A34"/>
    <w:pPr>
      <w:tabs>
        <w:tab w:val="center" w:pos="4513"/>
        <w:tab w:val="right" w:pos="9026"/>
      </w:tabs>
    </w:pPr>
  </w:style>
  <w:style w:type="character" w:customStyle="1" w:styleId="HeaderChar">
    <w:name w:val="Header Char"/>
    <w:basedOn w:val="DefaultParagraphFont"/>
    <w:link w:val="Header"/>
    <w:uiPriority w:val="99"/>
    <w:rsid w:val="00D27A34"/>
    <w:rPr>
      <w:rFonts w:eastAsiaTheme="minorEastAsia" w:cs="Times New Roman"/>
      <w:lang w:eastAsia="en-AU"/>
    </w:rPr>
  </w:style>
  <w:style w:type="paragraph" w:styleId="Footer">
    <w:name w:val="footer"/>
    <w:basedOn w:val="Normal"/>
    <w:link w:val="FooterChar"/>
    <w:uiPriority w:val="99"/>
    <w:unhideWhenUsed/>
    <w:rsid w:val="00D27A34"/>
    <w:pPr>
      <w:tabs>
        <w:tab w:val="center" w:pos="4513"/>
        <w:tab w:val="right" w:pos="9026"/>
      </w:tabs>
    </w:pPr>
  </w:style>
  <w:style w:type="character" w:customStyle="1" w:styleId="FooterChar">
    <w:name w:val="Footer Char"/>
    <w:basedOn w:val="DefaultParagraphFont"/>
    <w:link w:val="Footer"/>
    <w:uiPriority w:val="99"/>
    <w:rsid w:val="00D27A34"/>
    <w:rPr>
      <w:rFonts w:eastAsiaTheme="minorEastAsia" w:cs="Times New Roman"/>
      <w:lang w:eastAsia="en-AU"/>
    </w:rPr>
  </w:style>
  <w:style w:type="paragraph" w:styleId="BalloonText">
    <w:name w:val="Balloon Text"/>
    <w:basedOn w:val="Normal"/>
    <w:link w:val="BalloonTextChar"/>
    <w:uiPriority w:val="99"/>
    <w:semiHidden/>
    <w:unhideWhenUsed/>
    <w:rsid w:val="00EF1C19"/>
    <w:rPr>
      <w:rFonts w:ascii="Tahoma" w:hAnsi="Tahoma" w:cs="Tahoma"/>
      <w:sz w:val="16"/>
      <w:szCs w:val="16"/>
    </w:rPr>
  </w:style>
  <w:style w:type="character" w:customStyle="1" w:styleId="BalloonTextChar">
    <w:name w:val="Balloon Text Char"/>
    <w:basedOn w:val="DefaultParagraphFont"/>
    <w:link w:val="BalloonText"/>
    <w:uiPriority w:val="99"/>
    <w:semiHidden/>
    <w:rsid w:val="00EF1C19"/>
    <w:rPr>
      <w:rFonts w:ascii="Tahoma" w:eastAsiaTheme="minorEastAsi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universitiesaustralia.edu.au/uni-participation-quality/Equity-and-Participation" TargetMode="External"/><Relationship Id="rId2" Type="http://schemas.openxmlformats.org/officeDocument/2006/relationships/hyperlink" Target="http://profile.id.com.au/australia/language?WebID=110" TargetMode="External"/><Relationship Id="rId1" Type="http://schemas.openxmlformats.org/officeDocument/2006/relationships/hyperlink" Target="http://www.multicultural.vic.gov.au/regional-advisory-councils/about-rac" TargetMode="External"/><Relationship Id="rId5" Type="http://schemas.openxmlformats.org/officeDocument/2006/relationships/hyperlink" Target="http://www.moreland.vic.gov.au/community-care/multicultural-services/cald-com-storyboards-and-videos/download-caldcom/" TargetMode="External"/><Relationship Id="rId4" Type="http://schemas.openxmlformats.org/officeDocument/2006/relationships/hyperlink" Target="https://languageattrition.org/among-the-elder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DBA77-CD29-4717-B351-A4A15411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O'Hea</dc:creator>
  <cp:lastModifiedBy>marie-claire.muir</cp:lastModifiedBy>
  <cp:revision>2</cp:revision>
  <cp:lastPrinted>2017-03-06T04:11:00Z</cp:lastPrinted>
  <dcterms:created xsi:type="dcterms:W3CDTF">2017-03-23T00:26:00Z</dcterms:created>
  <dcterms:modified xsi:type="dcterms:W3CDTF">2017-03-23T00:26:00Z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2abf8956-18c1-4d91-98cf-347e5bad76ff</vt:lpwstr>
  </property>
  <property fmtid="{D5CDD505-2E9C-101B-9397-08002B2CF9AE}" pid="3" name="PSPFClassification">
    <vt:lpwstr>For Official Use Only</vt:lpwstr>
  </property>
</Properties>
</file>