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0A1" w:rsidRPr="008C655C" w:rsidRDefault="00C500A1" w:rsidP="008C655C">
      <w:pPr>
        <w:pBdr>
          <w:top w:val="nil"/>
          <w:left w:val="nil"/>
          <w:bottom w:val="nil"/>
          <w:right w:val="nil"/>
          <w:between w:val="nil"/>
          <w:bar w:val="nil"/>
        </w:pBdr>
        <w:spacing w:after="120" w:line="240" w:lineRule="auto"/>
        <w:jc w:val="both"/>
        <w:rPr>
          <w:rFonts w:ascii="Arial" w:eastAsia="Arial Unicode MS" w:hAnsi="Arial" w:cs="Arial"/>
          <w:b/>
          <w:color w:val="000000"/>
          <w:bdr w:val="nil"/>
          <w:lang w:val="en-US"/>
        </w:rPr>
      </w:pPr>
      <w:r w:rsidRPr="008C655C">
        <w:rPr>
          <w:rFonts w:ascii="Arial" w:eastAsia="Arial Unicode MS" w:hAnsi="Arial" w:cs="Arial"/>
          <w:b/>
          <w:color w:val="000000"/>
          <w:bdr w:val="nil"/>
          <w:lang w:val="en-US"/>
        </w:rPr>
        <w:t>Office of the Public Advocate</w:t>
      </w:r>
    </w:p>
    <w:p w:rsidR="00C500A1" w:rsidRPr="008C655C" w:rsidRDefault="00C500A1" w:rsidP="008C655C">
      <w:pPr>
        <w:pBdr>
          <w:top w:val="nil"/>
          <w:left w:val="nil"/>
          <w:bottom w:val="nil"/>
          <w:right w:val="nil"/>
          <w:between w:val="nil"/>
          <w:bar w:val="nil"/>
        </w:pBdr>
        <w:spacing w:after="120" w:line="240" w:lineRule="auto"/>
        <w:jc w:val="both"/>
        <w:rPr>
          <w:rFonts w:ascii="Arial" w:eastAsia="Arial Unicode MS" w:hAnsi="Arial" w:cs="Arial"/>
          <w:b/>
          <w:color w:val="000000"/>
          <w:bdr w:val="nil"/>
          <w:lang w:val="en-US"/>
        </w:rPr>
      </w:pPr>
      <w:r w:rsidRPr="008C655C">
        <w:rPr>
          <w:rFonts w:ascii="Arial" w:eastAsia="Arial Unicode MS" w:hAnsi="Arial" w:cs="Arial"/>
          <w:b/>
          <w:color w:val="000000"/>
          <w:bdr w:val="nil"/>
          <w:lang w:val="en-US"/>
        </w:rPr>
        <w:t>South Australia</w:t>
      </w:r>
    </w:p>
    <w:p w:rsidR="00C500A1" w:rsidRPr="008C655C" w:rsidRDefault="00C500A1" w:rsidP="008C655C">
      <w:pPr>
        <w:pBdr>
          <w:top w:val="nil"/>
          <w:left w:val="nil"/>
          <w:bottom w:val="nil"/>
          <w:right w:val="nil"/>
          <w:between w:val="nil"/>
          <w:bar w:val="nil"/>
        </w:pBdr>
        <w:spacing w:after="120" w:line="240" w:lineRule="auto"/>
        <w:jc w:val="both"/>
        <w:rPr>
          <w:rFonts w:ascii="Arial" w:eastAsia="Arial Unicode MS" w:hAnsi="Arial" w:cs="Arial"/>
          <w:b/>
          <w:color w:val="000000"/>
          <w:bdr w:val="nil"/>
          <w:lang w:val="en-US"/>
        </w:rPr>
      </w:pPr>
    </w:p>
    <w:p w:rsidR="00C500A1" w:rsidRPr="008C655C" w:rsidRDefault="00C500A1" w:rsidP="008C655C">
      <w:pPr>
        <w:pBdr>
          <w:top w:val="nil"/>
          <w:left w:val="nil"/>
          <w:bottom w:val="nil"/>
          <w:right w:val="nil"/>
          <w:between w:val="nil"/>
          <w:bar w:val="nil"/>
        </w:pBdr>
        <w:spacing w:after="120" w:line="240" w:lineRule="auto"/>
        <w:jc w:val="both"/>
        <w:rPr>
          <w:rFonts w:ascii="Arial" w:eastAsia="Arial Unicode MS" w:hAnsi="Arial" w:cs="Arial"/>
          <w:color w:val="000000"/>
          <w:bdr w:val="nil"/>
          <w:lang w:val="en-US"/>
        </w:rPr>
      </w:pPr>
    </w:p>
    <w:p w:rsidR="00C500A1" w:rsidRPr="008C655C" w:rsidRDefault="00C500A1" w:rsidP="008C655C">
      <w:pPr>
        <w:pBdr>
          <w:top w:val="nil"/>
          <w:left w:val="nil"/>
          <w:bottom w:val="nil"/>
          <w:right w:val="nil"/>
          <w:between w:val="nil"/>
          <w:bar w:val="nil"/>
        </w:pBdr>
        <w:spacing w:after="120" w:line="240" w:lineRule="auto"/>
        <w:jc w:val="both"/>
        <w:rPr>
          <w:rFonts w:ascii="Arial" w:eastAsia="Arial Unicode MS" w:hAnsi="Arial" w:cs="Arial"/>
          <w:color w:val="000000"/>
          <w:bdr w:val="nil"/>
          <w:lang w:val="en-US"/>
        </w:rPr>
      </w:pPr>
    </w:p>
    <w:p w:rsidR="00C500A1" w:rsidRPr="008C655C" w:rsidRDefault="00C500A1" w:rsidP="008C655C">
      <w:pPr>
        <w:pBdr>
          <w:top w:val="nil"/>
          <w:left w:val="nil"/>
          <w:bottom w:val="nil"/>
          <w:right w:val="nil"/>
          <w:between w:val="nil"/>
          <w:bar w:val="nil"/>
        </w:pBdr>
        <w:spacing w:after="120" w:line="240" w:lineRule="auto"/>
        <w:jc w:val="both"/>
        <w:rPr>
          <w:rFonts w:ascii="Arial" w:eastAsia="Arial Unicode MS" w:hAnsi="Arial" w:cs="Arial"/>
          <w:color w:val="000000"/>
          <w:bdr w:val="nil"/>
          <w:lang w:val="en-US"/>
        </w:rPr>
      </w:pPr>
    </w:p>
    <w:p w:rsidR="00C500A1" w:rsidRPr="008C655C" w:rsidRDefault="00C500A1" w:rsidP="008C655C">
      <w:pPr>
        <w:pBdr>
          <w:top w:val="nil"/>
          <w:left w:val="nil"/>
          <w:bottom w:val="nil"/>
          <w:right w:val="nil"/>
          <w:between w:val="nil"/>
          <w:bar w:val="nil"/>
        </w:pBdr>
        <w:spacing w:after="120" w:line="240" w:lineRule="auto"/>
        <w:jc w:val="both"/>
        <w:rPr>
          <w:rFonts w:ascii="Arial" w:eastAsia="Arial Unicode MS" w:hAnsi="Arial" w:cs="Arial"/>
          <w:color w:val="000000"/>
          <w:bdr w:val="nil"/>
          <w:lang w:val="en-US"/>
        </w:rPr>
      </w:pPr>
      <w:r w:rsidRPr="008C655C">
        <w:rPr>
          <w:rFonts w:ascii="Arial" w:eastAsia="Arial Unicode MS" w:hAnsi="Arial" w:cs="Arial"/>
          <w:noProof/>
          <w:color w:val="000000"/>
          <w:bdr w:val="nil"/>
          <w:lang w:eastAsia="en-AU"/>
        </w:rPr>
        <w:drawing>
          <wp:anchor distT="152400" distB="152400" distL="152400" distR="152400" simplePos="0" relativeHeight="251659264" behindDoc="0" locked="0" layoutInCell="1" allowOverlap="1">
            <wp:simplePos x="0" y="0"/>
            <wp:positionH relativeFrom="margin">
              <wp:posOffset>2295525</wp:posOffset>
            </wp:positionH>
            <wp:positionV relativeFrom="line">
              <wp:posOffset>18415</wp:posOffset>
            </wp:positionV>
            <wp:extent cx="1252220" cy="1234440"/>
            <wp:effectExtent l="0" t="0" r="5080" b="3810"/>
            <wp:wrapThrough wrapText="bothSides" distL="152400" distR="152400">
              <wp:wrapPolygon edited="1">
                <wp:start x="0" y="0"/>
                <wp:lineTo x="0" y="21600"/>
                <wp:lineTo x="21600" y="21600"/>
                <wp:lineTo x="21600" y="0"/>
                <wp:lineTo x="0" y="0"/>
              </wp:wrapPolygon>
            </wp:wrapThrough>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pic:nvPicPr>
                  <pic:blipFill>
                    <a:blip r:embed="rId8" cstate="print">
                      <a:extLst/>
                    </a:blip>
                    <a:stretch>
                      <a:fillRect/>
                    </a:stretch>
                  </pic:blipFill>
                  <pic:spPr>
                    <a:xfrm>
                      <a:off x="0" y="0"/>
                      <a:ext cx="1252220" cy="1234440"/>
                    </a:xfrm>
                    <a:prstGeom prst="rect">
                      <a:avLst/>
                    </a:prstGeom>
                    <a:ln w="12700" cap="flat">
                      <a:noFill/>
                      <a:miter lim="400000"/>
                    </a:ln>
                    <a:effectLst/>
                  </pic:spPr>
                </pic:pic>
              </a:graphicData>
            </a:graphic>
          </wp:anchor>
        </w:drawing>
      </w:r>
    </w:p>
    <w:p w:rsidR="00C500A1" w:rsidRPr="008C655C" w:rsidRDefault="00C500A1" w:rsidP="008C655C">
      <w:pPr>
        <w:pBdr>
          <w:top w:val="nil"/>
          <w:left w:val="nil"/>
          <w:bottom w:val="nil"/>
          <w:right w:val="nil"/>
          <w:between w:val="nil"/>
          <w:bar w:val="nil"/>
        </w:pBdr>
        <w:spacing w:after="120" w:line="240" w:lineRule="auto"/>
        <w:jc w:val="both"/>
        <w:rPr>
          <w:rFonts w:ascii="Arial" w:eastAsia="Arial Unicode MS" w:hAnsi="Arial" w:cs="Arial"/>
          <w:color w:val="000000"/>
          <w:bdr w:val="nil"/>
          <w:lang w:val="en-US"/>
        </w:rPr>
      </w:pPr>
    </w:p>
    <w:p w:rsidR="00C500A1" w:rsidRPr="008C655C" w:rsidRDefault="00C500A1" w:rsidP="008C655C">
      <w:pPr>
        <w:pBdr>
          <w:top w:val="nil"/>
          <w:left w:val="nil"/>
          <w:bottom w:val="nil"/>
          <w:right w:val="nil"/>
          <w:between w:val="nil"/>
          <w:bar w:val="nil"/>
        </w:pBdr>
        <w:spacing w:after="120" w:line="240" w:lineRule="auto"/>
        <w:jc w:val="both"/>
        <w:rPr>
          <w:rFonts w:ascii="Arial" w:eastAsia="Arial Unicode MS" w:hAnsi="Arial" w:cs="Arial"/>
          <w:color w:val="000000"/>
          <w:bdr w:val="nil"/>
          <w:lang w:val="en-US"/>
        </w:rPr>
      </w:pPr>
    </w:p>
    <w:p w:rsidR="00C500A1" w:rsidRPr="008C655C" w:rsidRDefault="00C500A1" w:rsidP="008C655C">
      <w:pPr>
        <w:pBdr>
          <w:top w:val="nil"/>
          <w:left w:val="nil"/>
          <w:bottom w:val="nil"/>
          <w:right w:val="nil"/>
          <w:between w:val="nil"/>
          <w:bar w:val="nil"/>
        </w:pBdr>
        <w:spacing w:after="120" w:line="240" w:lineRule="auto"/>
        <w:jc w:val="both"/>
        <w:rPr>
          <w:rFonts w:ascii="Arial" w:eastAsia="Arial Unicode MS" w:hAnsi="Arial" w:cs="Arial"/>
          <w:color w:val="000000"/>
          <w:bdr w:val="nil"/>
          <w:lang w:val="en-US"/>
        </w:rPr>
      </w:pPr>
    </w:p>
    <w:p w:rsidR="00C500A1" w:rsidRPr="008C655C" w:rsidRDefault="00C500A1" w:rsidP="008C655C">
      <w:pPr>
        <w:pBdr>
          <w:top w:val="nil"/>
          <w:left w:val="nil"/>
          <w:bottom w:val="nil"/>
          <w:right w:val="nil"/>
          <w:between w:val="nil"/>
          <w:bar w:val="nil"/>
        </w:pBdr>
        <w:spacing w:after="120" w:line="240" w:lineRule="auto"/>
        <w:jc w:val="both"/>
        <w:rPr>
          <w:rFonts w:ascii="Arial" w:eastAsia="Arial Unicode MS" w:hAnsi="Arial" w:cs="Arial"/>
          <w:color w:val="000000"/>
          <w:bdr w:val="nil"/>
          <w:lang w:val="en-US"/>
        </w:rPr>
      </w:pPr>
    </w:p>
    <w:p w:rsidR="00C500A1" w:rsidRPr="008C655C" w:rsidRDefault="00C500A1" w:rsidP="008C655C">
      <w:pPr>
        <w:pBdr>
          <w:top w:val="nil"/>
          <w:left w:val="nil"/>
          <w:bottom w:val="nil"/>
          <w:right w:val="nil"/>
          <w:between w:val="nil"/>
          <w:bar w:val="nil"/>
        </w:pBdr>
        <w:spacing w:after="120" w:line="240" w:lineRule="auto"/>
        <w:jc w:val="both"/>
        <w:rPr>
          <w:rFonts w:ascii="Arial" w:eastAsia="Arial Unicode MS" w:hAnsi="Arial" w:cs="Arial"/>
          <w:color w:val="000000"/>
          <w:bdr w:val="nil"/>
          <w:lang w:val="en-US"/>
        </w:rPr>
      </w:pPr>
    </w:p>
    <w:p w:rsidR="00C500A1" w:rsidRPr="008C655C" w:rsidRDefault="00C500A1" w:rsidP="008C655C">
      <w:pPr>
        <w:pBdr>
          <w:top w:val="nil"/>
          <w:left w:val="nil"/>
          <w:bottom w:val="nil"/>
          <w:right w:val="nil"/>
          <w:between w:val="nil"/>
          <w:bar w:val="nil"/>
        </w:pBdr>
        <w:spacing w:after="120" w:line="240" w:lineRule="auto"/>
        <w:jc w:val="both"/>
        <w:rPr>
          <w:rFonts w:ascii="Arial" w:eastAsia="Arial Unicode MS" w:hAnsi="Arial" w:cs="Arial"/>
          <w:color w:val="000000"/>
          <w:bdr w:val="nil"/>
          <w:lang w:val="en-US"/>
        </w:rPr>
      </w:pPr>
    </w:p>
    <w:p w:rsidR="00C500A1" w:rsidRPr="008C655C" w:rsidRDefault="00C500A1" w:rsidP="008C655C">
      <w:pPr>
        <w:pBdr>
          <w:top w:val="nil"/>
          <w:left w:val="nil"/>
          <w:bottom w:val="nil"/>
          <w:right w:val="nil"/>
          <w:between w:val="nil"/>
          <w:bar w:val="nil"/>
        </w:pBdr>
        <w:spacing w:after="120" w:line="240" w:lineRule="auto"/>
        <w:jc w:val="both"/>
        <w:rPr>
          <w:rFonts w:ascii="Arial" w:eastAsia="Arial Unicode MS" w:hAnsi="Arial" w:cs="Arial"/>
          <w:color w:val="000000"/>
          <w:bdr w:val="nil"/>
          <w:lang w:val="en-US"/>
        </w:rPr>
      </w:pPr>
    </w:p>
    <w:p w:rsidR="00C500A1" w:rsidRPr="008C655C" w:rsidRDefault="00C500A1" w:rsidP="008C655C">
      <w:pPr>
        <w:pBdr>
          <w:top w:val="nil"/>
          <w:left w:val="nil"/>
          <w:bottom w:val="nil"/>
          <w:right w:val="nil"/>
          <w:between w:val="nil"/>
          <w:bar w:val="nil"/>
        </w:pBdr>
        <w:spacing w:after="120" w:line="240" w:lineRule="auto"/>
        <w:jc w:val="both"/>
        <w:rPr>
          <w:rFonts w:ascii="Arial" w:eastAsia="Arial Unicode MS" w:hAnsi="Arial" w:cs="Arial"/>
          <w:color w:val="000000"/>
          <w:bdr w:val="nil"/>
          <w:lang w:val="en-US"/>
        </w:rPr>
      </w:pPr>
    </w:p>
    <w:p w:rsidR="00C500A1" w:rsidRPr="008C655C" w:rsidRDefault="00C500A1" w:rsidP="008C655C">
      <w:pPr>
        <w:pBdr>
          <w:top w:val="nil"/>
          <w:left w:val="nil"/>
          <w:bottom w:val="nil"/>
          <w:right w:val="nil"/>
          <w:between w:val="nil"/>
          <w:bar w:val="nil"/>
        </w:pBdr>
        <w:spacing w:after="120" w:line="240" w:lineRule="auto"/>
        <w:jc w:val="both"/>
        <w:rPr>
          <w:rFonts w:ascii="Arial" w:eastAsia="Arial Unicode MS" w:hAnsi="Arial" w:cs="Arial"/>
          <w:color w:val="000000"/>
          <w:bdr w:val="nil"/>
          <w:lang w:val="en-US"/>
        </w:rPr>
      </w:pPr>
    </w:p>
    <w:p w:rsidR="00C500A1" w:rsidRPr="008C655C" w:rsidRDefault="00C500A1" w:rsidP="008C655C">
      <w:pPr>
        <w:pBdr>
          <w:top w:val="nil"/>
          <w:left w:val="nil"/>
          <w:bottom w:val="nil"/>
          <w:right w:val="nil"/>
          <w:between w:val="nil"/>
          <w:bar w:val="nil"/>
        </w:pBdr>
        <w:spacing w:after="120" w:line="240" w:lineRule="auto"/>
        <w:jc w:val="both"/>
        <w:rPr>
          <w:rFonts w:ascii="Arial" w:eastAsia="Arial Unicode MS" w:hAnsi="Arial" w:cs="Arial"/>
          <w:color w:val="000000"/>
          <w:bdr w:val="nil"/>
          <w:lang w:val="en-US"/>
        </w:rPr>
      </w:pPr>
    </w:p>
    <w:p w:rsidR="00C500A1" w:rsidRPr="008C655C" w:rsidRDefault="00C500A1" w:rsidP="008C655C">
      <w:pPr>
        <w:pBdr>
          <w:top w:val="nil"/>
          <w:left w:val="nil"/>
          <w:bottom w:val="nil"/>
          <w:right w:val="nil"/>
          <w:between w:val="nil"/>
          <w:bar w:val="nil"/>
        </w:pBdr>
        <w:spacing w:after="0" w:line="240" w:lineRule="auto"/>
        <w:jc w:val="both"/>
        <w:rPr>
          <w:rFonts w:ascii="Arial" w:eastAsia="Arial Unicode MS" w:hAnsi="Arial" w:cs="Arial"/>
          <w:b/>
          <w:color w:val="000000"/>
          <w:bdr w:val="nil"/>
          <w:lang w:val="en-US"/>
        </w:rPr>
      </w:pPr>
      <w:r w:rsidRPr="008C655C">
        <w:rPr>
          <w:rFonts w:ascii="Arial" w:eastAsia="Arial Unicode MS" w:hAnsi="Arial" w:cs="Arial"/>
          <w:b/>
          <w:color w:val="000000"/>
          <w:bdr w:val="nil"/>
          <w:lang w:val="en-US"/>
        </w:rPr>
        <w:t>Submission to the Australian Law Reform Commission on</w:t>
      </w:r>
    </w:p>
    <w:p w:rsidR="00C500A1" w:rsidRPr="008C655C" w:rsidRDefault="00C500A1" w:rsidP="008C655C">
      <w:pPr>
        <w:pBdr>
          <w:top w:val="nil"/>
          <w:left w:val="nil"/>
          <w:bottom w:val="nil"/>
          <w:right w:val="nil"/>
          <w:between w:val="nil"/>
          <w:bar w:val="nil"/>
        </w:pBdr>
        <w:spacing w:after="0" w:line="240" w:lineRule="auto"/>
        <w:jc w:val="both"/>
        <w:rPr>
          <w:rFonts w:ascii="Arial" w:eastAsia="Arial Unicode MS" w:hAnsi="Arial" w:cs="Arial"/>
          <w:b/>
          <w:color w:val="000000"/>
          <w:bdr w:val="nil"/>
          <w:lang w:val="en-US"/>
        </w:rPr>
      </w:pPr>
    </w:p>
    <w:p w:rsidR="00C500A1" w:rsidRPr="008C655C" w:rsidRDefault="00C500A1" w:rsidP="008C655C">
      <w:pPr>
        <w:pBdr>
          <w:top w:val="nil"/>
          <w:left w:val="nil"/>
          <w:bottom w:val="nil"/>
          <w:right w:val="nil"/>
          <w:between w:val="nil"/>
          <w:bar w:val="nil"/>
        </w:pBdr>
        <w:spacing w:after="0" w:line="240" w:lineRule="auto"/>
        <w:jc w:val="both"/>
        <w:rPr>
          <w:rFonts w:ascii="Arial" w:eastAsia="Arial Unicode MS" w:hAnsi="Arial" w:cs="Arial"/>
          <w:b/>
          <w:color w:val="000000"/>
          <w:bdr w:val="nil"/>
          <w:lang w:val="en-US"/>
        </w:rPr>
      </w:pPr>
      <w:r w:rsidRPr="008C655C">
        <w:rPr>
          <w:rFonts w:ascii="Arial" w:eastAsia="Arial Unicode MS" w:hAnsi="Arial" w:cs="Arial"/>
          <w:b/>
          <w:color w:val="000000"/>
          <w:bdr w:val="nil"/>
          <w:lang w:val="en-US"/>
        </w:rPr>
        <w:t>Elder Abuse (ALRC Discussion Paper 83)</w:t>
      </w:r>
    </w:p>
    <w:p w:rsidR="00C500A1" w:rsidRPr="008C655C" w:rsidRDefault="00C500A1" w:rsidP="008C655C">
      <w:pPr>
        <w:pBdr>
          <w:top w:val="nil"/>
          <w:left w:val="nil"/>
          <w:bottom w:val="nil"/>
          <w:right w:val="nil"/>
          <w:between w:val="nil"/>
          <w:bar w:val="nil"/>
        </w:pBdr>
        <w:spacing w:after="0" w:line="240" w:lineRule="auto"/>
        <w:jc w:val="both"/>
        <w:rPr>
          <w:rFonts w:ascii="Arial" w:eastAsia="Arial Unicode MS" w:hAnsi="Arial" w:cs="Arial"/>
          <w:b/>
          <w:color w:val="000000"/>
          <w:bdr w:val="nil"/>
          <w:lang w:val="en-US"/>
        </w:rPr>
      </w:pPr>
    </w:p>
    <w:p w:rsidR="00C500A1" w:rsidRPr="008C655C" w:rsidRDefault="00C500A1" w:rsidP="008C655C">
      <w:pPr>
        <w:pBdr>
          <w:top w:val="nil"/>
          <w:left w:val="nil"/>
          <w:bottom w:val="nil"/>
          <w:right w:val="nil"/>
          <w:between w:val="nil"/>
          <w:bar w:val="nil"/>
        </w:pBdr>
        <w:spacing w:after="0" w:line="240" w:lineRule="auto"/>
        <w:jc w:val="both"/>
        <w:rPr>
          <w:rFonts w:ascii="Arial" w:eastAsia="Arial Unicode MS" w:hAnsi="Arial" w:cs="Arial"/>
          <w:b/>
          <w:color w:val="000000"/>
          <w:bdr w:val="nil"/>
          <w:lang w:val="en-US"/>
        </w:rPr>
      </w:pPr>
    </w:p>
    <w:p w:rsidR="00C500A1" w:rsidRPr="008C655C" w:rsidRDefault="004D599D" w:rsidP="008C655C">
      <w:pPr>
        <w:pBdr>
          <w:top w:val="nil"/>
          <w:left w:val="nil"/>
          <w:bottom w:val="nil"/>
          <w:right w:val="nil"/>
          <w:between w:val="nil"/>
          <w:bar w:val="nil"/>
        </w:pBdr>
        <w:spacing w:after="0" w:line="240" w:lineRule="auto"/>
        <w:jc w:val="both"/>
        <w:rPr>
          <w:rFonts w:ascii="Arial" w:eastAsia="Arial Unicode MS" w:hAnsi="Arial" w:cs="Arial"/>
          <w:b/>
          <w:color w:val="000000"/>
          <w:bdr w:val="nil"/>
          <w:lang w:val="en-US"/>
        </w:rPr>
      </w:pPr>
      <w:r w:rsidRPr="008C655C">
        <w:rPr>
          <w:rFonts w:ascii="Arial" w:eastAsia="Arial Unicode MS" w:hAnsi="Arial" w:cs="Arial"/>
          <w:b/>
          <w:color w:val="000000"/>
          <w:bdr w:val="nil"/>
          <w:lang w:val="en-US"/>
        </w:rPr>
        <w:t xml:space="preserve">1 March </w:t>
      </w:r>
      <w:r w:rsidR="00C500A1" w:rsidRPr="008C655C">
        <w:rPr>
          <w:rFonts w:ascii="Arial" w:eastAsia="Arial Unicode MS" w:hAnsi="Arial" w:cs="Arial"/>
          <w:b/>
          <w:color w:val="000000"/>
          <w:bdr w:val="nil"/>
          <w:lang w:val="en-US"/>
        </w:rPr>
        <w:t>2017</w:t>
      </w:r>
    </w:p>
    <w:p w:rsidR="00C500A1" w:rsidRPr="008C655C" w:rsidRDefault="00C500A1" w:rsidP="008C655C">
      <w:pPr>
        <w:pBdr>
          <w:top w:val="nil"/>
          <w:left w:val="nil"/>
          <w:bottom w:val="nil"/>
          <w:right w:val="nil"/>
          <w:between w:val="nil"/>
          <w:bar w:val="nil"/>
        </w:pBdr>
        <w:spacing w:after="0" w:line="240" w:lineRule="auto"/>
        <w:jc w:val="both"/>
        <w:rPr>
          <w:rFonts w:ascii="Arial" w:eastAsia="Arial Unicode MS" w:hAnsi="Arial" w:cs="Arial"/>
          <w:color w:val="000000"/>
          <w:bdr w:val="nil"/>
          <w:lang w:val="en-US"/>
        </w:rPr>
      </w:pPr>
    </w:p>
    <w:p w:rsidR="00C500A1" w:rsidRPr="008C655C" w:rsidRDefault="00C500A1" w:rsidP="008C655C">
      <w:pPr>
        <w:pBdr>
          <w:top w:val="nil"/>
          <w:left w:val="nil"/>
          <w:bottom w:val="nil"/>
          <w:right w:val="nil"/>
          <w:between w:val="nil"/>
          <w:bar w:val="nil"/>
        </w:pBdr>
        <w:spacing w:after="0" w:line="240" w:lineRule="auto"/>
        <w:jc w:val="both"/>
        <w:rPr>
          <w:rFonts w:ascii="Arial" w:eastAsia="Arial Unicode MS" w:hAnsi="Arial" w:cs="Arial"/>
          <w:color w:val="000000"/>
          <w:bdr w:val="nil"/>
          <w:lang w:val="en-US"/>
        </w:rPr>
      </w:pPr>
    </w:p>
    <w:p w:rsidR="00C500A1" w:rsidRPr="008C655C" w:rsidRDefault="00C500A1" w:rsidP="008C655C">
      <w:pPr>
        <w:pBdr>
          <w:top w:val="nil"/>
          <w:left w:val="nil"/>
          <w:bottom w:val="nil"/>
          <w:right w:val="nil"/>
          <w:between w:val="nil"/>
          <w:bar w:val="nil"/>
        </w:pBdr>
        <w:spacing w:after="0" w:line="240" w:lineRule="auto"/>
        <w:jc w:val="both"/>
        <w:rPr>
          <w:rFonts w:ascii="Arial" w:eastAsia="Arial Unicode MS" w:hAnsi="Arial" w:cs="Arial"/>
          <w:color w:val="000000"/>
          <w:bdr w:val="nil"/>
          <w:lang w:val="en-US"/>
        </w:rPr>
      </w:pPr>
    </w:p>
    <w:p w:rsidR="00C500A1" w:rsidRPr="008C655C" w:rsidRDefault="00C500A1" w:rsidP="008C655C">
      <w:pPr>
        <w:pBdr>
          <w:top w:val="nil"/>
          <w:left w:val="nil"/>
          <w:bottom w:val="nil"/>
          <w:right w:val="nil"/>
          <w:between w:val="nil"/>
          <w:bar w:val="nil"/>
        </w:pBdr>
        <w:spacing w:after="0" w:line="240" w:lineRule="auto"/>
        <w:jc w:val="both"/>
        <w:rPr>
          <w:rFonts w:ascii="Arial" w:eastAsia="Arial Unicode MS" w:hAnsi="Arial" w:cs="Arial"/>
          <w:color w:val="000000"/>
          <w:bdr w:val="nil"/>
          <w:lang w:val="en-US"/>
        </w:rPr>
      </w:pPr>
    </w:p>
    <w:p w:rsidR="00C500A1" w:rsidRPr="008C655C" w:rsidRDefault="00C500A1" w:rsidP="008C655C">
      <w:pPr>
        <w:pBdr>
          <w:top w:val="nil"/>
          <w:left w:val="nil"/>
          <w:bottom w:val="nil"/>
          <w:right w:val="nil"/>
          <w:between w:val="nil"/>
          <w:bar w:val="nil"/>
        </w:pBdr>
        <w:spacing w:after="0" w:line="240" w:lineRule="auto"/>
        <w:jc w:val="both"/>
        <w:rPr>
          <w:rFonts w:ascii="Arial" w:eastAsia="Arial Unicode MS" w:hAnsi="Arial" w:cs="Arial"/>
          <w:color w:val="000000"/>
          <w:bdr w:val="nil"/>
          <w:lang w:val="en-US"/>
        </w:rPr>
      </w:pPr>
    </w:p>
    <w:p w:rsidR="00C500A1" w:rsidRPr="008C655C" w:rsidRDefault="00C500A1" w:rsidP="008C655C">
      <w:pPr>
        <w:pBdr>
          <w:top w:val="nil"/>
          <w:left w:val="nil"/>
          <w:bottom w:val="nil"/>
          <w:right w:val="nil"/>
          <w:between w:val="nil"/>
          <w:bar w:val="nil"/>
        </w:pBdr>
        <w:spacing w:after="0" w:line="240" w:lineRule="auto"/>
        <w:jc w:val="both"/>
        <w:rPr>
          <w:rFonts w:ascii="Arial" w:eastAsia="Arial Unicode MS" w:hAnsi="Arial" w:cs="Arial"/>
          <w:color w:val="000000"/>
          <w:bdr w:val="nil"/>
          <w:lang w:val="en-US"/>
        </w:rPr>
      </w:pPr>
    </w:p>
    <w:p w:rsidR="00C500A1" w:rsidRPr="008C655C" w:rsidRDefault="00C500A1" w:rsidP="008C655C">
      <w:pPr>
        <w:pBdr>
          <w:top w:val="nil"/>
          <w:left w:val="nil"/>
          <w:bottom w:val="nil"/>
          <w:right w:val="nil"/>
          <w:between w:val="nil"/>
          <w:bar w:val="nil"/>
        </w:pBdr>
        <w:spacing w:after="0" w:line="240" w:lineRule="auto"/>
        <w:jc w:val="both"/>
        <w:rPr>
          <w:rFonts w:ascii="Arial" w:eastAsia="Arial Unicode MS" w:hAnsi="Arial" w:cs="Arial"/>
          <w:color w:val="000000"/>
          <w:bdr w:val="nil"/>
          <w:lang w:val="en-US"/>
        </w:rPr>
      </w:pPr>
    </w:p>
    <w:p w:rsidR="00C500A1" w:rsidRPr="008C655C" w:rsidRDefault="00C500A1" w:rsidP="008C655C">
      <w:pPr>
        <w:pBdr>
          <w:top w:val="nil"/>
          <w:left w:val="nil"/>
          <w:bottom w:val="nil"/>
          <w:right w:val="nil"/>
          <w:between w:val="nil"/>
          <w:bar w:val="nil"/>
        </w:pBdr>
        <w:spacing w:after="0" w:line="240" w:lineRule="auto"/>
        <w:jc w:val="both"/>
        <w:rPr>
          <w:rFonts w:ascii="Arial" w:eastAsia="Arial Unicode MS" w:hAnsi="Arial" w:cs="Arial"/>
          <w:color w:val="000000"/>
          <w:bdr w:val="nil"/>
          <w:lang w:val="en-US"/>
        </w:rPr>
      </w:pPr>
    </w:p>
    <w:p w:rsidR="00C500A1" w:rsidRPr="008C655C" w:rsidRDefault="00C500A1" w:rsidP="008C655C">
      <w:pPr>
        <w:pBdr>
          <w:top w:val="nil"/>
          <w:left w:val="nil"/>
          <w:bottom w:val="nil"/>
          <w:right w:val="nil"/>
          <w:between w:val="nil"/>
          <w:bar w:val="nil"/>
        </w:pBdr>
        <w:spacing w:after="0" w:line="360" w:lineRule="auto"/>
        <w:jc w:val="both"/>
        <w:rPr>
          <w:rFonts w:ascii="Arial" w:eastAsia="Arial Unicode MS" w:hAnsi="Arial" w:cs="Arial"/>
          <w:color w:val="000000"/>
          <w:bdr w:val="nil"/>
          <w:lang w:val="en-US"/>
        </w:rPr>
      </w:pPr>
      <w:r w:rsidRPr="008C655C">
        <w:rPr>
          <w:rFonts w:ascii="Arial" w:eastAsia="Arial Unicode MS" w:hAnsi="Arial" w:cs="Arial"/>
          <w:color w:val="000000"/>
          <w:bdr w:val="nil"/>
          <w:lang w:val="en-US"/>
        </w:rPr>
        <w:t>Contact Person about this submission:</w:t>
      </w:r>
    </w:p>
    <w:p w:rsidR="00C500A1" w:rsidRPr="008C655C" w:rsidRDefault="00C500A1" w:rsidP="008C655C">
      <w:pPr>
        <w:pBdr>
          <w:top w:val="nil"/>
          <w:left w:val="nil"/>
          <w:bottom w:val="nil"/>
          <w:right w:val="nil"/>
          <w:between w:val="nil"/>
          <w:bar w:val="nil"/>
        </w:pBdr>
        <w:spacing w:after="0" w:line="240" w:lineRule="auto"/>
        <w:jc w:val="both"/>
        <w:rPr>
          <w:rFonts w:ascii="Arial" w:eastAsia="Arial Unicode MS" w:hAnsi="Arial" w:cs="Arial"/>
          <w:color w:val="000000"/>
          <w:bdr w:val="nil"/>
          <w:lang w:val="en-US"/>
        </w:rPr>
      </w:pPr>
      <w:r w:rsidRPr="008C655C">
        <w:rPr>
          <w:rFonts w:ascii="Arial" w:eastAsia="Arial Unicode MS" w:hAnsi="Arial" w:cs="Arial"/>
          <w:color w:val="000000"/>
          <w:bdr w:val="nil"/>
          <w:lang w:val="en-US"/>
        </w:rPr>
        <w:t>Ms Anne Gale</w:t>
      </w:r>
    </w:p>
    <w:p w:rsidR="00C500A1" w:rsidRPr="008C655C" w:rsidRDefault="00C500A1" w:rsidP="008C655C">
      <w:pPr>
        <w:pBdr>
          <w:top w:val="nil"/>
          <w:left w:val="nil"/>
          <w:bottom w:val="nil"/>
          <w:right w:val="nil"/>
          <w:between w:val="nil"/>
          <w:bar w:val="nil"/>
        </w:pBdr>
        <w:spacing w:after="0" w:line="240" w:lineRule="auto"/>
        <w:jc w:val="both"/>
        <w:rPr>
          <w:rFonts w:ascii="Arial" w:eastAsia="Arial Unicode MS" w:hAnsi="Arial" w:cs="Arial"/>
          <w:color w:val="000000"/>
          <w:bdr w:val="nil"/>
          <w:lang w:val="en-US"/>
        </w:rPr>
      </w:pPr>
      <w:r w:rsidRPr="008C655C">
        <w:rPr>
          <w:rFonts w:ascii="Arial" w:eastAsia="Arial Unicode MS" w:hAnsi="Arial" w:cs="Arial"/>
          <w:color w:val="000000"/>
          <w:bdr w:val="nil"/>
          <w:lang w:val="en-US"/>
        </w:rPr>
        <w:t>Public Advocate for South Australia</w:t>
      </w:r>
    </w:p>
    <w:p w:rsidR="00C500A1" w:rsidRPr="008C655C" w:rsidRDefault="00C500A1" w:rsidP="008C655C">
      <w:pPr>
        <w:pBdr>
          <w:top w:val="nil"/>
          <w:left w:val="nil"/>
          <w:bottom w:val="nil"/>
          <w:right w:val="nil"/>
          <w:between w:val="nil"/>
          <w:bar w:val="nil"/>
        </w:pBdr>
        <w:spacing w:after="0" w:line="240" w:lineRule="auto"/>
        <w:jc w:val="both"/>
        <w:rPr>
          <w:rFonts w:ascii="Arial" w:eastAsia="Arial Unicode MS" w:hAnsi="Arial" w:cs="Arial"/>
          <w:color w:val="000000"/>
          <w:bdr w:val="nil"/>
          <w:lang w:val="en-US"/>
        </w:rPr>
      </w:pPr>
      <w:r w:rsidRPr="008C655C">
        <w:rPr>
          <w:rFonts w:ascii="Arial" w:eastAsia="Arial Unicode MS" w:hAnsi="Arial" w:cs="Arial"/>
          <w:color w:val="000000"/>
          <w:bdr w:val="nil"/>
          <w:lang w:val="en-US"/>
        </w:rPr>
        <w:t>PO Box 213</w:t>
      </w:r>
    </w:p>
    <w:p w:rsidR="00C500A1" w:rsidRPr="008C655C" w:rsidRDefault="00C500A1" w:rsidP="008C655C">
      <w:pPr>
        <w:pBdr>
          <w:top w:val="nil"/>
          <w:left w:val="nil"/>
          <w:bottom w:val="nil"/>
          <w:right w:val="nil"/>
          <w:between w:val="nil"/>
          <w:bar w:val="nil"/>
        </w:pBdr>
        <w:spacing w:after="0" w:line="240" w:lineRule="auto"/>
        <w:jc w:val="both"/>
        <w:rPr>
          <w:rFonts w:ascii="Arial" w:eastAsia="Arial Unicode MS" w:hAnsi="Arial" w:cs="Arial"/>
          <w:color w:val="000000"/>
          <w:bdr w:val="nil"/>
          <w:lang w:val="en-US"/>
        </w:rPr>
      </w:pPr>
      <w:r w:rsidRPr="008C655C">
        <w:rPr>
          <w:rFonts w:ascii="Arial" w:eastAsia="Arial Unicode MS" w:hAnsi="Arial" w:cs="Arial"/>
          <w:color w:val="000000"/>
          <w:bdr w:val="nil"/>
          <w:lang w:val="en-US"/>
        </w:rPr>
        <w:t>Prospect  SA  5082</w:t>
      </w:r>
    </w:p>
    <w:p w:rsidR="00C500A1" w:rsidRPr="008C655C" w:rsidRDefault="00C500A1" w:rsidP="008C655C">
      <w:pPr>
        <w:pBdr>
          <w:top w:val="nil"/>
          <w:left w:val="nil"/>
          <w:bottom w:val="nil"/>
          <w:right w:val="nil"/>
          <w:between w:val="nil"/>
          <w:bar w:val="nil"/>
        </w:pBdr>
        <w:tabs>
          <w:tab w:val="left" w:pos="993"/>
        </w:tabs>
        <w:spacing w:after="0" w:line="240" w:lineRule="auto"/>
        <w:jc w:val="both"/>
        <w:rPr>
          <w:rFonts w:ascii="Arial" w:eastAsia="Arial Unicode MS" w:hAnsi="Arial" w:cs="Arial"/>
          <w:color w:val="000000"/>
          <w:bdr w:val="nil"/>
          <w:lang w:val="en-US"/>
        </w:rPr>
      </w:pPr>
      <w:r w:rsidRPr="008C655C">
        <w:rPr>
          <w:rFonts w:ascii="Arial" w:eastAsia="Arial Unicode MS" w:hAnsi="Arial" w:cs="Arial"/>
          <w:color w:val="000000"/>
          <w:bdr w:val="nil"/>
          <w:lang w:val="en-US"/>
        </w:rPr>
        <w:t>Phone:</w:t>
      </w:r>
      <w:r w:rsidRPr="008C655C">
        <w:rPr>
          <w:rFonts w:ascii="Arial" w:eastAsia="Arial Unicode MS" w:hAnsi="Arial" w:cs="Arial"/>
          <w:color w:val="000000"/>
          <w:bdr w:val="nil"/>
          <w:lang w:val="en-US"/>
        </w:rPr>
        <w:tab/>
        <w:t>08 8342 8200</w:t>
      </w:r>
    </w:p>
    <w:p w:rsidR="00C500A1" w:rsidRPr="008C655C" w:rsidRDefault="00C500A1" w:rsidP="008C655C">
      <w:pPr>
        <w:pBdr>
          <w:top w:val="nil"/>
          <w:left w:val="nil"/>
          <w:bottom w:val="nil"/>
          <w:right w:val="nil"/>
          <w:between w:val="nil"/>
          <w:bar w:val="nil"/>
        </w:pBdr>
        <w:tabs>
          <w:tab w:val="left" w:pos="993"/>
        </w:tabs>
        <w:spacing w:after="0" w:line="240" w:lineRule="auto"/>
        <w:jc w:val="both"/>
        <w:rPr>
          <w:rFonts w:ascii="Arial" w:eastAsia="Arial Unicode MS" w:hAnsi="Arial" w:cs="Arial"/>
          <w:color w:val="000000"/>
          <w:bdr w:val="nil"/>
          <w:lang w:val="en-US"/>
        </w:rPr>
      </w:pPr>
      <w:r w:rsidRPr="008C655C">
        <w:rPr>
          <w:rFonts w:ascii="Arial" w:eastAsia="Arial Unicode MS" w:hAnsi="Arial" w:cs="Arial"/>
          <w:color w:val="000000"/>
          <w:bdr w:val="nil"/>
          <w:lang w:val="en-US"/>
        </w:rPr>
        <w:t>Fax:</w:t>
      </w:r>
      <w:r w:rsidRPr="008C655C">
        <w:rPr>
          <w:rFonts w:ascii="Arial" w:eastAsia="Arial Unicode MS" w:hAnsi="Arial" w:cs="Arial"/>
          <w:color w:val="000000"/>
          <w:bdr w:val="nil"/>
          <w:lang w:val="en-US"/>
        </w:rPr>
        <w:tab/>
        <w:t>08 8342 8250</w:t>
      </w:r>
    </w:p>
    <w:p w:rsidR="00C500A1" w:rsidRPr="008C655C" w:rsidRDefault="00C500A1" w:rsidP="008C655C">
      <w:pPr>
        <w:pBdr>
          <w:top w:val="nil"/>
          <w:left w:val="nil"/>
          <w:bottom w:val="nil"/>
          <w:right w:val="nil"/>
          <w:between w:val="nil"/>
          <w:bar w:val="nil"/>
        </w:pBdr>
        <w:tabs>
          <w:tab w:val="left" w:pos="993"/>
        </w:tabs>
        <w:spacing w:after="0" w:line="240" w:lineRule="auto"/>
        <w:jc w:val="both"/>
        <w:rPr>
          <w:rFonts w:ascii="Arial" w:eastAsia="Arial Unicode MS" w:hAnsi="Arial" w:cs="Arial"/>
          <w:color w:val="000000"/>
          <w:bdr w:val="nil"/>
          <w:lang w:val="en-US"/>
        </w:rPr>
      </w:pPr>
      <w:r w:rsidRPr="008C655C">
        <w:rPr>
          <w:rFonts w:ascii="Arial" w:eastAsia="Arial Unicode MS" w:hAnsi="Arial" w:cs="Arial"/>
          <w:color w:val="000000"/>
          <w:bdr w:val="nil"/>
          <w:lang w:val="en-US"/>
        </w:rPr>
        <w:t>Email:</w:t>
      </w:r>
      <w:r w:rsidRPr="008C655C">
        <w:rPr>
          <w:rFonts w:ascii="Arial" w:eastAsia="Arial Unicode MS" w:hAnsi="Arial" w:cs="Arial"/>
          <w:color w:val="000000"/>
          <w:bdr w:val="nil"/>
          <w:lang w:val="en-US"/>
        </w:rPr>
        <w:tab/>
        <w:t>anne.gale@sa.gov.au</w:t>
      </w:r>
    </w:p>
    <w:p w:rsidR="00C500A1" w:rsidRPr="008C655C" w:rsidRDefault="00C500A1" w:rsidP="008C655C">
      <w:pPr>
        <w:jc w:val="both"/>
        <w:rPr>
          <w:rFonts w:ascii="Arial" w:hAnsi="Arial" w:cs="Arial"/>
          <w:b/>
        </w:rPr>
      </w:pPr>
    </w:p>
    <w:p w:rsidR="00F73408" w:rsidRPr="008C655C" w:rsidRDefault="00F73408" w:rsidP="008C655C">
      <w:pPr>
        <w:jc w:val="both"/>
        <w:rPr>
          <w:rFonts w:ascii="Arial" w:hAnsi="Arial" w:cs="Arial"/>
          <w:b/>
        </w:rPr>
      </w:pPr>
    </w:p>
    <w:p w:rsidR="00C500A1" w:rsidRPr="008C655C" w:rsidRDefault="00C500A1" w:rsidP="008C655C">
      <w:pPr>
        <w:jc w:val="both"/>
        <w:rPr>
          <w:rFonts w:ascii="Arial" w:hAnsi="Arial" w:cs="Arial"/>
          <w:b/>
        </w:rPr>
      </w:pPr>
    </w:p>
    <w:p w:rsidR="007422B2" w:rsidRPr="008C655C" w:rsidRDefault="007422B2" w:rsidP="008C655C">
      <w:pPr>
        <w:jc w:val="both"/>
        <w:rPr>
          <w:rFonts w:ascii="Arial" w:hAnsi="Arial" w:cs="Arial"/>
          <w:b/>
        </w:rPr>
      </w:pPr>
    </w:p>
    <w:p w:rsidR="007422B2" w:rsidRPr="008C655C" w:rsidRDefault="007422B2" w:rsidP="008C655C">
      <w:pPr>
        <w:jc w:val="both"/>
        <w:rPr>
          <w:rFonts w:ascii="Arial" w:hAnsi="Arial" w:cs="Arial"/>
          <w:b/>
          <w:u w:val="single"/>
        </w:rPr>
      </w:pPr>
      <w:r w:rsidRPr="008C655C">
        <w:rPr>
          <w:rFonts w:ascii="Arial" w:hAnsi="Arial" w:cs="Arial"/>
          <w:b/>
          <w:u w:val="single"/>
        </w:rPr>
        <w:lastRenderedPageBreak/>
        <w:t>Introduction</w:t>
      </w:r>
    </w:p>
    <w:p w:rsidR="007422B2" w:rsidRPr="008C655C" w:rsidRDefault="00CB6F8A" w:rsidP="008C655C">
      <w:pPr>
        <w:jc w:val="both"/>
        <w:rPr>
          <w:rFonts w:ascii="Arial" w:hAnsi="Arial" w:cs="Arial"/>
        </w:rPr>
      </w:pPr>
      <w:r w:rsidRPr="008C655C">
        <w:rPr>
          <w:rFonts w:ascii="Arial" w:hAnsi="Arial" w:cs="Arial"/>
        </w:rPr>
        <w:t>The Office of the Public Advocate, South Australia (</w:t>
      </w:r>
      <w:r w:rsidRPr="008C655C">
        <w:rPr>
          <w:rFonts w:ascii="Arial" w:hAnsi="Arial" w:cs="Arial"/>
          <w:b/>
        </w:rPr>
        <w:t>OPA</w:t>
      </w:r>
      <w:r w:rsidRPr="008C655C">
        <w:rPr>
          <w:rFonts w:ascii="Arial" w:hAnsi="Arial" w:cs="Arial"/>
        </w:rPr>
        <w:t>) is grateful f</w:t>
      </w:r>
      <w:r w:rsidR="00696F77" w:rsidRPr="008C655C">
        <w:rPr>
          <w:rFonts w:ascii="Arial" w:hAnsi="Arial" w:cs="Arial"/>
        </w:rPr>
        <w:t>or the opportunity to provide a further submission to</w:t>
      </w:r>
      <w:r w:rsidRPr="008C655C">
        <w:rPr>
          <w:rFonts w:ascii="Arial" w:hAnsi="Arial" w:cs="Arial"/>
        </w:rPr>
        <w:t xml:space="preserve"> the Australian Law Reform Commission’s (</w:t>
      </w:r>
      <w:r w:rsidRPr="008C655C">
        <w:rPr>
          <w:rFonts w:ascii="Arial" w:hAnsi="Arial" w:cs="Arial"/>
          <w:b/>
        </w:rPr>
        <w:t>ALRC</w:t>
      </w:r>
      <w:r w:rsidRPr="008C655C">
        <w:rPr>
          <w:rFonts w:ascii="Arial" w:hAnsi="Arial" w:cs="Arial"/>
        </w:rPr>
        <w:t xml:space="preserve">) </w:t>
      </w:r>
      <w:r w:rsidR="00696F77" w:rsidRPr="008C655C">
        <w:rPr>
          <w:rFonts w:ascii="Arial" w:hAnsi="Arial" w:cs="Arial"/>
        </w:rPr>
        <w:t xml:space="preserve">about elder abuse.  In this submission, OPA will address the ALRC’s </w:t>
      </w:r>
      <w:r w:rsidRPr="008C655C">
        <w:rPr>
          <w:rFonts w:ascii="Arial" w:hAnsi="Arial" w:cs="Arial"/>
        </w:rPr>
        <w:t xml:space="preserve">comprehensive </w:t>
      </w:r>
      <w:r w:rsidRPr="008C655C">
        <w:rPr>
          <w:rFonts w:ascii="Arial" w:hAnsi="Arial" w:cs="Arial"/>
          <w:i/>
        </w:rPr>
        <w:t>Elder Abuse Discussion Paper 83</w:t>
      </w:r>
      <w:r w:rsidRPr="008C655C">
        <w:rPr>
          <w:rFonts w:ascii="Arial" w:hAnsi="Arial" w:cs="Arial"/>
        </w:rPr>
        <w:t>.</w:t>
      </w:r>
    </w:p>
    <w:p w:rsidR="00CB6F8A" w:rsidRPr="008C655C" w:rsidRDefault="00CB6F8A" w:rsidP="008C655C">
      <w:pPr>
        <w:jc w:val="both"/>
        <w:rPr>
          <w:rFonts w:ascii="Arial" w:hAnsi="Arial" w:cs="Arial"/>
        </w:rPr>
      </w:pPr>
      <w:r w:rsidRPr="008C655C">
        <w:rPr>
          <w:rFonts w:ascii="Arial" w:hAnsi="Arial" w:cs="Arial"/>
        </w:rPr>
        <w:t>We have chosen not to respond to all of the proposals and questions posed in the Discussion Paper, but have limited this submi</w:t>
      </w:r>
      <w:r w:rsidR="00696F77" w:rsidRPr="008C655C">
        <w:rPr>
          <w:rFonts w:ascii="Arial" w:hAnsi="Arial" w:cs="Arial"/>
        </w:rPr>
        <w:t>ssion to the areas most relevant to OPA’s functions and areas of expertise.  We have referred to the chapter numbers, headings and proposal numbers used by the ALRC in the Discussion Paper.</w:t>
      </w:r>
    </w:p>
    <w:p w:rsidR="006057A6" w:rsidRDefault="006057A6" w:rsidP="008C655C">
      <w:pPr>
        <w:jc w:val="both"/>
        <w:rPr>
          <w:rFonts w:ascii="Arial" w:hAnsi="Arial" w:cs="Arial"/>
        </w:rPr>
      </w:pPr>
      <w:r w:rsidRPr="008C655C">
        <w:rPr>
          <w:rFonts w:ascii="Arial" w:hAnsi="Arial" w:cs="Arial"/>
        </w:rPr>
        <w:t>OPA previously provided a submission to the ALRC in response to its</w:t>
      </w:r>
      <w:r w:rsidR="004D599D" w:rsidRPr="008C655C">
        <w:rPr>
          <w:rFonts w:ascii="Arial" w:hAnsi="Arial" w:cs="Arial"/>
        </w:rPr>
        <w:t xml:space="preserve"> </w:t>
      </w:r>
      <w:r w:rsidR="004D599D" w:rsidRPr="008C655C">
        <w:rPr>
          <w:rFonts w:ascii="Arial" w:hAnsi="Arial" w:cs="Arial"/>
          <w:i/>
        </w:rPr>
        <w:t>Elder Abuse Issues Paper 47</w:t>
      </w:r>
      <w:r w:rsidRPr="008C655C">
        <w:rPr>
          <w:rFonts w:ascii="Arial" w:hAnsi="Arial" w:cs="Arial"/>
        </w:rPr>
        <w:t>.  This submission should be read in conjunction with our earlier submission for a complete picture of OPA’s position.</w:t>
      </w:r>
    </w:p>
    <w:p w:rsidR="00921443" w:rsidRPr="008C655C" w:rsidRDefault="00921443" w:rsidP="008C655C">
      <w:pPr>
        <w:jc w:val="both"/>
        <w:rPr>
          <w:rFonts w:ascii="Arial" w:hAnsi="Arial" w:cs="Arial"/>
        </w:rPr>
      </w:pPr>
      <w:r w:rsidRPr="00F057B9">
        <w:rPr>
          <w:rFonts w:ascii="Arial" w:hAnsi="Arial" w:cs="Arial"/>
        </w:rPr>
        <w:t>Please note that for ease of reference we have referred to public advocates and public guardians collectively as “public advocates”.</w:t>
      </w:r>
    </w:p>
    <w:p w:rsidR="007422B2" w:rsidRPr="008C655C" w:rsidRDefault="007422B2" w:rsidP="008C655C">
      <w:pPr>
        <w:jc w:val="both"/>
        <w:rPr>
          <w:rFonts w:ascii="Arial" w:hAnsi="Arial" w:cs="Arial"/>
          <w:b/>
        </w:rPr>
      </w:pPr>
      <w:r w:rsidRPr="008C655C">
        <w:rPr>
          <w:rFonts w:ascii="Arial" w:hAnsi="Arial" w:cs="Arial"/>
          <w:b/>
        </w:rPr>
        <w:t>Proposals and Questions</w:t>
      </w:r>
    </w:p>
    <w:p w:rsidR="007422B2" w:rsidRPr="008C655C" w:rsidRDefault="007422B2" w:rsidP="008C655C">
      <w:pPr>
        <w:jc w:val="both"/>
        <w:rPr>
          <w:rFonts w:ascii="Arial" w:hAnsi="Arial" w:cs="Arial"/>
          <w:b/>
          <w:u w:val="single"/>
        </w:rPr>
      </w:pPr>
      <w:r w:rsidRPr="008C655C">
        <w:rPr>
          <w:rFonts w:ascii="Arial" w:hAnsi="Arial" w:cs="Arial"/>
          <w:b/>
          <w:u w:val="single"/>
        </w:rPr>
        <w:t>2. A National Plan</w:t>
      </w:r>
    </w:p>
    <w:p w:rsidR="004941EE" w:rsidRPr="008C655C" w:rsidRDefault="004941EE" w:rsidP="008C655C">
      <w:pPr>
        <w:jc w:val="both"/>
        <w:rPr>
          <w:rFonts w:ascii="Arial" w:hAnsi="Arial" w:cs="Arial"/>
          <w:b/>
        </w:rPr>
      </w:pPr>
      <w:r w:rsidRPr="008C655C">
        <w:rPr>
          <w:rFonts w:ascii="Arial" w:hAnsi="Arial" w:cs="Arial"/>
          <w:b/>
          <w:i/>
        </w:rPr>
        <w:t>Proposal 2-1</w:t>
      </w:r>
      <w:r w:rsidR="004109C3" w:rsidRPr="008C655C">
        <w:rPr>
          <w:rFonts w:ascii="Arial" w:hAnsi="Arial" w:cs="Arial"/>
          <w:b/>
          <w:i/>
        </w:rPr>
        <w:t>:</w:t>
      </w:r>
      <w:r w:rsidRPr="008C655C">
        <w:rPr>
          <w:rFonts w:ascii="Arial" w:hAnsi="Arial" w:cs="Arial"/>
          <w:b/>
        </w:rPr>
        <w:t xml:space="preserve"> </w:t>
      </w:r>
      <w:r w:rsidRPr="008C655C">
        <w:rPr>
          <w:rFonts w:ascii="Arial" w:hAnsi="Arial" w:cs="Arial"/>
          <w:b/>
          <w:i/>
        </w:rPr>
        <w:t>A National Plan to address elder abuse should be developed</w:t>
      </w:r>
    </w:p>
    <w:p w:rsidR="00F13219" w:rsidRPr="008C655C" w:rsidRDefault="00696F77" w:rsidP="008C655C">
      <w:pPr>
        <w:jc w:val="both"/>
        <w:rPr>
          <w:rFonts w:ascii="Arial" w:hAnsi="Arial" w:cs="Arial"/>
        </w:rPr>
      </w:pPr>
      <w:r w:rsidRPr="008C655C">
        <w:rPr>
          <w:rFonts w:ascii="Arial" w:hAnsi="Arial" w:cs="Arial"/>
        </w:rPr>
        <w:t xml:space="preserve">OPA </w:t>
      </w:r>
      <w:r w:rsidR="007422B2" w:rsidRPr="008C655C">
        <w:rPr>
          <w:rFonts w:ascii="Arial" w:hAnsi="Arial" w:cs="Arial"/>
        </w:rPr>
        <w:t>s</w:t>
      </w:r>
      <w:r w:rsidR="00DC1B4F" w:rsidRPr="008C655C">
        <w:rPr>
          <w:rFonts w:ascii="Arial" w:hAnsi="Arial" w:cs="Arial"/>
        </w:rPr>
        <w:t>upports the proposal to develop</w:t>
      </w:r>
      <w:r w:rsidR="00177646" w:rsidRPr="008C655C">
        <w:rPr>
          <w:rFonts w:ascii="Arial" w:hAnsi="Arial" w:cs="Arial"/>
        </w:rPr>
        <w:t xml:space="preserve"> a national plan to address </w:t>
      </w:r>
      <w:r w:rsidR="005F6C2C" w:rsidRPr="008C655C">
        <w:rPr>
          <w:rFonts w:ascii="Arial" w:hAnsi="Arial" w:cs="Arial"/>
        </w:rPr>
        <w:t xml:space="preserve">abuse </w:t>
      </w:r>
      <w:r w:rsidR="007422B2" w:rsidRPr="008C655C">
        <w:rPr>
          <w:rFonts w:ascii="Arial" w:hAnsi="Arial" w:cs="Arial"/>
        </w:rPr>
        <w:t xml:space="preserve">and considers it an important strategy for the </w:t>
      </w:r>
      <w:r w:rsidR="00177646" w:rsidRPr="008C655C">
        <w:rPr>
          <w:rFonts w:ascii="Arial" w:hAnsi="Arial" w:cs="Arial"/>
        </w:rPr>
        <w:t>protection of the rights of older people.</w:t>
      </w:r>
      <w:r w:rsidR="00F13219" w:rsidRPr="008C655C">
        <w:rPr>
          <w:rFonts w:ascii="Arial" w:hAnsi="Arial" w:cs="Arial"/>
        </w:rPr>
        <w:t xml:space="preserve"> </w:t>
      </w:r>
      <w:r w:rsidR="007422B2" w:rsidRPr="008C655C">
        <w:rPr>
          <w:rFonts w:ascii="Arial" w:hAnsi="Arial" w:cs="Arial"/>
        </w:rPr>
        <w:t xml:space="preserve">  OPA </w:t>
      </w:r>
      <w:r w:rsidR="00F13219" w:rsidRPr="008C655C">
        <w:rPr>
          <w:rFonts w:ascii="Arial" w:hAnsi="Arial" w:cs="Arial"/>
        </w:rPr>
        <w:t>believe</w:t>
      </w:r>
      <w:r w:rsidR="007422B2" w:rsidRPr="008C655C">
        <w:rPr>
          <w:rFonts w:ascii="Arial" w:hAnsi="Arial" w:cs="Arial"/>
        </w:rPr>
        <w:t>s</w:t>
      </w:r>
      <w:r w:rsidR="00F13219" w:rsidRPr="008C655C">
        <w:rPr>
          <w:rFonts w:ascii="Arial" w:hAnsi="Arial" w:cs="Arial"/>
        </w:rPr>
        <w:t xml:space="preserve"> that the development and implementation of a national plan may help </w:t>
      </w:r>
      <w:r w:rsidR="007422B2" w:rsidRPr="008C655C">
        <w:rPr>
          <w:rFonts w:ascii="Arial" w:hAnsi="Arial" w:cs="Arial"/>
        </w:rPr>
        <w:t>raise</w:t>
      </w:r>
      <w:r w:rsidR="00A6095B" w:rsidRPr="008C655C">
        <w:rPr>
          <w:rFonts w:ascii="Arial" w:hAnsi="Arial" w:cs="Arial"/>
        </w:rPr>
        <w:t xml:space="preserve"> </w:t>
      </w:r>
      <w:r w:rsidR="007422B2" w:rsidRPr="008C655C">
        <w:rPr>
          <w:rFonts w:ascii="Arial" w:hAnsi="Arial" w:cs="Arial"/>
        </w:rPr>
        <w:t xml:space="preserve">public awareness of </w:t>
      </w:r>
      <w:r w:rsidR="00A6095B" w:rsidRPr="008C655C">
        <w:rPr>
          <w:rFonts w:ascii="Arial" w:hAnsi="Arial" w:cs="Arial"/>
        </w:rPr>
        <w:t>the</w:t>
      </w:r>
      <w:r w:rsidR="007422B2" w:rsidRPr="008C655C">
        <w:rPr>
          <w:rFonts w:ascii="Arial" w:hAnsi="Arial" w:cs="Arial"/>
        </w:rPr>
        <w:t xml:space="preserve"> prevalence </w:t>
      </w:r>
      <w:r w:rsidR="00F13219" w:rsidRPr="008C655C">
        <w:rPr>
          <w:rFonts w:ascii="Arial" w:hAnsi="Arial" w:cs="Arial"/>
        </w:rPr>
        <w:t>of the issue</w:t>
      </w:r>
      <w:r w:rsidR="007422B2" w:rsidRPr="008C655C">
        <w:rPr>
          <w:rFonts w:ascii="Arial" w:hAnsi="Arial" w:cs="Arial"/>
        </w:rPr>
        <w:t xml:space="preserve"> and create the conditions </w:t>
      </w:r>
      <w:r w:rsidR="00F13219" w:rsidRPr="008C655C">
        <w:rPr>
          <w:rFonts w:ascii="Arial" w:hAnsi="Arial" w:cs="Arial"/>
        </w:rPr>
        <w:t xml:space="preserve">necessary to facilitate stronger safeguards against the abuse of older people.  </w:t>
      </w:r>
    </w:p>
    <w:p w:rsidR="003A56C6" w:rsidRPr="008C655C" w:rsidRDefault="007422B2" w:rsidP="008C655C">
      <w:pPr>
        <w:jc w:val="both"/>
        <w:rPr>
          <w:rFonts w:ascii="Arial" w:hAnsi="Arial" w:cs="Arial"/>
        </w:rPr>
      </w:pPr>
      <w:r w:rsidRPr="008C655C">
        <w:rPr>
          <w:rFonts w:ascii="Arial" w:hAnsi="Arial" w:cs="Arial"/>
        </w:rPr>
        <w:t xml:space="preserve">A </w:t>
      </w:r>
      <w:r w:rsidR="00177646" w:rsidRPr="008C655C">
        <w:rPr>
          <w:rFonts w:ascii="Arial" w:hAnsi="Arial" w:cs="Arial"/>
        </w:rPr>
        <w:t xml:space="preserve">national plan </w:t>
      </w:r>
      <w:r w:rsidR="00F13219" w:rsidRPr="008C655C">
        <w:rPr>
          <w:rFonts w:ascii="Arial" w:hAnsi="Arial" w:cs="Arial"/>
        </w:rPr>
        <w:t>may also create</w:t>
      </w:r>
      <w:r w:rsidRPr="008C655C">
        <w:rPr>
          <w:rFonts w:ascii="Arial" w:hAnsi="Arial" w:cs="Arial"/>
        </w:rPr>
        <w:t xml:space="preserve"> a foundation for</w:t>
      </w:r>
      <w:r w:rsidR="00F13219" w:rsidRPr="008C655C">
        <w:rPr>
          <w:rFonts w:ascii="Arial" w:hAnsi="Arial" w:cs="Arial"/>
        </w:rPr>
        <w:t xml:space="preserve"> </w:t>
      </w:r>
      <w:r w:rsidR="004B67DD" w:rsidRPr="008C655C">
        <w:rPr>
          <w:rFonts w:ascii="Arial" w:hAnsi="Arial" w:cs="Arial"/>
        </w:rPr>
        <w:t xml:space="preserve">enhancing </w:t>
      </w:r>
      <w:r w:rsidR="00EE49FF" w:rsidRPr="008C655C">
        <w:rPr>
          <w:rFonts w:ascii="Arial" w:hAnsi="Arial" w:cs="Arial"/>
        </w:rPr>
        <w:t>consistency</w:t>
      </w:r>
      <w:r w:rsidR="00177646" w:rsidRPr="008C655C">
        <w:rPr>
          <w:rFonts w:ascii="Arial" w:hAnsi="Arial" w:cs="Arial"/>
        </w:rPr>
        <w:t xml:space="preserve"> amongst </w:t>
      </w:r>
      <w:r w:rsidR="006362C5" w:rsidRPr="008C655C">
        <w:rPr>
          <w:rFonts w:ascii="Arial" w:hAnsi="Arial" w:cs="Arial"/>
        </w:rPr>
        <w:t>the States and T</w:t>
      </w:r>
      <w:r w:rsidR="00177646" w:rsidRPr="008C655C">
        <w:rPr>
          <w:rFonts w:ascii="Arial" w:hAnsi="Arial" w:cs="Arial"/>
        </w:rPr>
        <w:t xml:space="preserve">erritories. </w:t>
      </w:r>
      <w:r w:rsidR="00C97CA3" w:rsidRPr="008C655C">
        <w:rPr>
          <w:rFonts w:ascii="Arial" w:hAnsi="Arial" w:cs="Arial"/>
        </w:rPr>
        <w:t>The process of reporting an</w:t>
      </w:r>
      <w:r w:rsidR="004B67DD" w:rsidRPr="008C655C">
        <w:rPr>
          <w:rFonts w:ascii="Arial" w:hAnsi="Arial" w:cs="Arial"/>
        </w:rPr>
        <w:t xml:space="preserve">d responding to elder abuse requires </w:t>
      </w:r>
      <w:r w:rsidR="00C97CA3" w:rsidRPr="008C655C">
        <w:rPr>
          <w:rFonts w:ascii="Arial" w:hAnsi="Arial" w:cs="Arial"/>
        </w:rPr>
        <w:t>nationally consistent procedures</w:t>
      </w:r>
      <w:r w:rsidR="00F13219" w:rsidRPr="008C655C">
        <w:rPr>
          <w:rFonts w:ascii="Arial" w:hAnsi="Arial" w:cs="Arial"/>
        </w:rPr>
        <w:t xml:space="preserve"> and</w:t>
      </w:r>
      <w:r w:rsidR="006362C5" w:rsidRPr="008C655C">
        <w:rPr>
          <w:rFonts w:ascii="Arial" w:hAnsi="Arial" w:cs="Arial"/>
        </w:rPr>
        <w:t>, ideally</w:t>
      </w:r>
      <w:r w:rsidR="004B67DD" w:rsidRPr="008C655C">
        <w:rPr>
          <w:rFonts w:ascii="Arial" w:hAnsi="Arial" w:cs="Arial"/>
        </w:rPr>
        <w:t xml:space="preserve">, the longer-term goal of </w:t>
      </w:r>
      <w:r w:rsidR="003A56C6" w:rsidRPr="008C655C">
        <w:rPr>
          <w:rFonts w:ascii="Arial" w:hAnsi="Arial" w:cs="Arial"/>
        </w:rPr>
        <w:t xml:space="preserve">national </w:t>
      </w:r>
      <w:r w:rsidR="004B67DD" w:rsidRPr="008C655C">
        <w:rPr>
          <w:rFonts w:ascii="Arial" w:hAnsi="Arial" w:cs="Arial"/>
        </w:rPr>
        <w:t xml:space="preserve">legislative reform. </w:t>
      </w:r>
    </w:p>
    <w:p w:rsidR="004941EE" w:rsidRPr="008C655C" w:rsidRDefault="005F2FFF" w:rsidP="008C655C">
      <w:pPr>
        <w:autoSpaceDE w:val="0"/>
        <w:autoSpaceDN w:val="0"/>
        <w:adjustRightInd w:val="0"/>
        <w:spacing w:after="0" w:line="240" w:lineRule="auto"/>
        <w:jc w:val="both"/>
        <w:rPr>
          <w:rFonts w:ascii="Arial" w:hAnsi="Arial" w:cs="Arial"/>
          <w:b/>
        </w:rPr>
      </w:pPr>
      <w:r w:rsidRPr="008C655C">
        <w:rPr>
          <w:rFonts w:ascii="Arial" w:hAnsi="Arial" w:cs="Arial"/>
          <w:b/>
          <w:bCs/>
          <w:i/>
        </w:rPr>
        <w:t>Proposal 2–2</w:t>
      </w:r>
      <w:r w:rsidR="004109C3" w:rsidRPr="008C655C">
        <w:rPr>
          <w:rFonts w:ascii="Arial" w:hAnsi="Arial" w:cs="Arial"/>
          <w:b/>
          <w:bCs/>
        </w:rPr>
        <w:t xml:space="preserve">: </w:t>
      </w:r>
      <w:r w:rsidRPr="008C655C">
        <w:rPr>
          <w:rFonts w:ascii="Arial" w:hAnsi="Arial" w:cs="Arial"/>
          <w:b/>
          <w:i/>
        </w:rPr>
        <w:t>A national prevalence study of elder abuse sh</w:t>
      </w:r>
      <w:r w:rsidR="00FE0454" w:rsidRPr="008C655C">
        <w:rPr>
          <w:rFonts w:ascii="Arial" w:hAnsi="Arial" w:cs="Arial"/>
          <w:b/>
          <w:i/>
        </w:rPr>
        <w:t>ould be commissioned</w:t>
      </w:r>
    </w:p>
    <w:p w:rsidR="005F2FFF" w:rsidRPr="008C655C" w:rsidRDefault="005F2FFF" w:rsidP="008C655C">
      <w:pPr>
        <w:autoSpaceDE w:val="0"/>
        <w:autoSpaceDN w:val="0"/>
        <w:adjustRightInd w:val="0"/>
        <w:spacing w:after="0" w:line="240" w:lineRule="auto"/>
        <w:jc w:val="both"/>
        <w:rPr>
          <w:rFonts w:ascii="Arial" w:hAnsi="Arial" w:cs="Arial"/>
          <w:b/>
        </w:rPr>
      </w:pPr>
    </w:p>
    <w:p w:rsidR="004B67DD" w:rsidRPr="008C655C" w:rsidRDefault="004B67DD" w:rsidP="008C655C">
      <w:pPr>
        <w:jc w:val="both"/>
        <w:rPr>
          <w:rFonts w:ascii="Arial" w:hAnsi="Arial" w:cs="Arial"/>
        </w:rPr>
      </w:pPr>
      <w:r w:rsidRPr="008C655C">
        <w:rPr>
          <w:rFonts w:ascii="Arial" w:hAnsi="Arial" w:cs="Arial"/>
        </w:rPr>
        <w:t xml:space="preserve">The </w:t>
      </w:r>
      <w:r w:rsidR="001A22E7" w:rsidRPr="008C655C">
        <w:rPr>
          <w:rFonts w:ascii="Arial" w:hAnsi="Arial" w:cs="Arial"/>
        </w:rPr>
        <w:t xml:space="preserve">available body of </w:t>
      </w:r>
      <w:r w:rsidRPr="008C655C">
        <w:rPr>
          <w:rFonts w:ascii="Arial" w:hAnsi="Arial" w:cs="Arial"/>
        </w:rPr>
        <w:t xml:space="preserve">reliable </w:t>
      </w:r>
      <w:r w:rsidR="006362C5" w:rsidRPr="008C655C">
        <w:rPr>
          <w:rFonts w:ascii="Arial" w:hAnsi="Arial" w:cs="Arial"/>
        </w:rPr>
        <w:t>evidence on abuse of older people</w:t>
      </w:r>
      <w:r w:rsidRPr="008C655C">
        <w:rPr>
          <w:rFonts w:ascii="Arial" w:hAnsi="Arial" w:cs="Arial"/>
        </w:rPr>
        <w:t xml:space="preserve"> in Australia is limited for a number of reasons</w:t>
      </w:r>
      <w:r w:rsidR="001D60C8" w:rsidRPr="008C655C">
        <w:rPr>
          <w:rFonts w:ascii="Arial" w:hAnsi="Arial" w:cs="Arial"/>
        </w:rPr>
        <w:t>,</w:t>
      </w:r>
      <w:r w:rsidRPr="008C655C">
        <w:rPr>
          <w:rFonts w:ascii="Arial" w:hAnsi="Arial" w:cs="Arial"/>
        </w:rPr>
        <w:t xml:space="preserve"> including inconsistencies of data collection across the States and Territories and issues around under-reporting of abuse.</w:t>
      </w:r>
    </w:p>
    <w:p w:rsidR="009B5BE6" w:rsidRPr="008C655C" w:rsidRDefault="009B5BE6" w:rsidP="008C655C">
      <w:pPr>
        <w:jc w:val="both"/>
        <w:rPr>
          <w:rFonts w:ascii="Arial" w:hAnsi="Arial" w:cs="Arial"/>
        </w:rPr>
      </w:pPr>
      <w:r w:rsidRPr="008C655C">
        <w:rPr>
          <w:rFonts w:ascii="Arial" w:hAnsi="Arial" w:cs="Arial"/>
        </w:rPr>
        <w:t>OPA has previously confirmed that it would support a prevalence study that would enable the measurement of incidence, causes and contributors to the abuse of older people, in order to assist in the detection</w:t>
      </w:r>
      <w:r w:rsidR="006362C5" w:rsidRPr="008C655C">
        <w:rPr>
          <w:rFonts w:ascii="Arial" w:hAnsi="Arial" w:cs="Arial"/>
        </w:rPr>
        <w:t xml:space="preserve"> of</w:t>
      </w:r>
      <w:r w:rsidRPr="008C655C">
        <w:rPr>
          <w:rFonts w:ascii="Arial" w:hAnsi="Arial" w:cs="Arial"/>
        </w:rPr>
        <w:t xml:space="preserve">, early intervention </w:t>
      </w:r>
      <w:r w:rsidR="006362C5" w:rsidRPr="008C655C">
        <w:rPr>
          <w:rFonts w:ascii="Arial" w:hAnsi="Arial" w:cs="Arial"/>
        </w:rPr>
        <w:t xml:space="preserve">in </w:t>
      </w:r>
      <w:r w:rsidRPr="008C655C">
        <w:rPr>
          <w:rFonts w:ascii="Arial" w:hAnsi="Arial" w:cs="Arial"/>
        </w:rPr>
        <w:t>and response to the abuse of older people</w:t>
      </w:r>
      <w:r w:rsidRPr="008C655C">
        <w:rPr>
          <w:rStyle w:val="FootnoteReference"/>
          <w:rFonts w:ascii="Arial" w:hAnsi="Arial" w:cs="Arial"/>
        </w:rPr>
        <w:footnoteReference w:id="1"/>
      </w:r>
      <w:r w:rsidRPr="008C655C">
        <w:rPr>
          <w:rFonts w:ascii="Arial" w:hAnsi="Arial" w:cs="Arial"/>
        </w:rPr>
        <w:t xml:space="preserve">.  </w:t>
      </w:r>
    </w:p>
    <w:p w:rsidR="009B5BE6" w:rsidRPr="008C655C" w:rsidRDefault="009B5BE6" w:rsidP="008C655C">
      <w:pPr>
        <w:jc w:val="both"/>
        <w:rPr>
          <w:rFonts w:ascii="Arial" w:hAnsi="Arial" w:cs="Arial"/>
        </w:rPr>
      </w:pPr>
      <w:r w:rsidRPr="008C655C">
        <w:rPr>
          <w:rFonts w:ascii="Arial" w:hAnsi="Arial" w:cs="Arial"/>
        </w:rPr>
        <w:t xml:space="preserve">OPA supports the proposal to commission a national prevalence study.  </w:t>
      </w:r>
      <w:r w:rsidR="003272D7" w:rsidRPr="008C655C">
        <w:rPr>
          <w:rFonts w:ascii="Arial" w:hAnsi="Arial" w:cs="Arial"/>
        </w:rPr>
        <w:t xml:space="preserve">However, </w:t>
      </w:r>
      <w:r w:rsidR="004B67DD" w:rsidRPr="008C655C">
        <w:rPr>
          <w:rFonts w:ascii="Arial" w:hAnsi="Arial" w:cs="Arial"/>
        </w:rPr>
        <w:t xml:space="preserve">we believe that it is important to address the </w:t>
      </w:r>
      <w:r w:rsidR="003272D7" w:rsidRPr="008C655C">
        <w:rPr>
          <w:rFonts w:ascii="Arial" w:hAnsi="Arial" w:cs="Arial"/>
        </w:rPr>
        <w:t>practical issues</w:t>
      </w:r>
      <w:r w:rsidR="001D60C8" w:rsidRPr="008C655C">
        <w:rPr>
          <w:rFonts w:ascii="Arial" w:hAnsi="Arial" w:cs="Arial"/>
        </w:rPr>
        <w:t xml:space="preserve"> and barriers associated with undertaking this exercise</w:t>
      </w:r>
      <w:r w:rsidR="001A22E7" w:rsidRPr="008C655C">
        <w:rPr>
          <w:rFonts w:ascii="Arial" w:hAnsi="Arial" w:cs="Arial"/>
        </w:rPr>
        <w:t xml:space="preserve">. </w:t>
      </w:r>
      <w:r w:rsidR="001D60C8" w:rsidRPr="008C655C">
        <w:rPr>
          <w:rFonts w:ascii="Arial" w:hAnsi="Arial" w:cs="Arial"/>
        </w:rPr>
        <w:t xml:space="preserve"> </w:t>
      </w:r>
      <w:r w:rsidR="003272D7" w:rsidRPr="008C655C">
        <w:rPr>
          <w:rFonts w:ascii="Arial" w:hAnsi="Arial" w:cs="Arial"/>
        </w:rPr>
        <w:t xml:space="preserve">To be </w:t>
      </w:r>
      <w:r w:rsidR="001D60C8" w:rsidRPr="008C655C">
        <w:rPr>
          <w:rFonts w:ascii="Arial" w:hAnsi="Arial" w:cs="Arial"/>
        </w:rPr>
        <w:t xml:space="preserve">truly </w:t>
      </w:r>
      <w:r w:rsidR="003272D7" w:rsidRPr="008C655C">
        <w:rPr>
          <w:rFonts w:ascii="Arial" w:hAnsi="Arial" w:cs="Arial"/>
        </w:rPr>
        <w:t>effective</w:t>
      </w:r>
      <w:r w:rsidR="001D60C8" w:rsidRPr="008C655C">
        <w:rPr>
          <w:rFonts w:ascii="Arial" w:hAnsi="Arial" w:cs="Arial"/>
        </w:rPr>
        <w:t>, OPA believes that</w:t>
      </w:r>
      <w:r w:rsidR="003272D7" w:rsidRPr="008C655C">
        <w:rPr>
          <w:rFonts w:ascii="Arial" w:hAnsi="Arial" w:cs="Arial"/>
        </w:rPr>
        <w:t xml:space="preserve"> </w:t>
      </w:r>
      <w:r w:rsidR="001D60C8" w:rsidRPr="008C655C">
        <w:rPr>
          <w:rFonts w:ascii="Arial" w:hAnsi="Arial" w:cs="Arial"/>
        </w:rPr>
        <w:t xml:space="preserve">the prevalence study must be underpinned by a nationally consistent </w:t>
      </w:r>
      <w:r w:rsidR="003272D7" w:rsidRPr="008C655C">
        <w:rPr>
          <w:rFonts w:ascii="Arial" w:hAnsi="Arial" w:cs="Arial"/>
        </w:rPr>
        <w:t>data collecting system</w:t>
      </w:r>
      <w:r w:rsidR="001D60C8" w:rsidRPr="008C655C">
        <w:rPr>
          <w:rFonts w:ascii="Arial" w:hAnsi="Arial" w:cs="Arial"/>
        </w:rPr>
        <w:t xml:space="preserve"> and clear definitions </w:t>
      </w:r>
      <w:r w:rsidR="001D60C8" w:rsidRPr="008C655C">
        <w:rPr>
          <w:rFonts w:ascii="Arial" w:hAnsi="Arial" w:cs="Arial"/>
        </w:rPr>
        <w:lastRenderedPageBreak/>
        <w:t xml:space="preserve">of what substantiates elder abuse.  </w:t>
      </w:r>
      <w:r w:rsidRPr="008C655C">
        <w:rPr>
          <w:rFonts w:ascii="Arial" w:hAnsi="Arial" w:cs="Arial"/>
        </w:rPr>
        <w:t>As stated in OPA’s</w:t>
      </w:r>
      <w:r w:rsidR="006362C5" w:rsidRPr="008C655C">
        <w:rPr>
          <w:rFonts w:ascii="Arial" w:hAnsi="Arial" w:cs="Arial"/>
        </w:rPr>
        <w:t xml:space="preserve"> report</w:t>
      </w:r>
      <w:r w:rsidRPr="008C655C">
        <w:rPr>
          <w:rFonts w:ascii="Arial" w:hAnsi="Arial" w:cs="Arial"/>
        </w:rPr>
        <w:t xml:space="preserve"> </w:t>
      </w:r>
      <w:r w:rsidRPr="008C655C">
        <w:rPr>
          <w:rFonts w:ascii="Arial" w:hAnsi="Arial" w:cs="Arial"/>
          <w:i/>
        </w:rPr>
        <w:t>Closing the Gaps</w:t>
      </w:r>
      <w:r w:rsidR="006362C5" w:rsidRPr="008C655C">
        <w:rPr>
          <w:rFonts w:ascii="Arial" w:hAnsi="Arial" w:cs="Arial"/>
          <w:i/>
        </w:rPr>
        <w:t>: Enhancing South Australia’s Response to the Abuse of Vulnerable Older People,</w:t>
      </w:r>
      <w:r w:rsidRPr="008C655C">
        <w:rPr>
          <w:rStyle w:val="FootnoteReference"/>
          <w:rFonts w:ascii="Arial" w:hAnsi="Arial" w:cs="Arial"/>
          <w:i/>
        </w:rPr>
        <w:footnoteReference w:id="2"/>
      </w:r>
      <w:r w:rsidR="006362C5" w:rsidRPr="008C655C">
        <w:rPr>
          <w:rFonts w:ascii="Arial" w:hAnsi="Arial" w:cs="Arial"/>
        </w:rPr>
        <w:t xml:space="preserve"> </w:t>
      </w:r>
      <w:r w:rsidRPr="008C655C">
        <w:rPr>
          <w:rFonts w:ascii="Arial" w:hAnsi="Arial" w:cs="Arial"/>
        </w:rPr>
        <w:t>there is a difference between crime rates and prevalence of abuse.  A challenge for a national prevalence study is arriving on definitional agreement and also research methodology which accounts for incidence of abuse which does not result in criminal conviction or other formal process of resolution.</w:t>
      </w:r>
    </w:p>
    <w:p w:rsidR="009B5BE6" w:rsidRPr="008C655C" w:rsidRDefault="009B5BE6" w:rsidP="008C655C">
      <w:pPr>
        <w:jc w:val="both"/>
        <w:rPr>
          <w:rFonts w:ascii="Arial" w:hAnsi="Arial" w:cs="Arial"/>
        </w:rPr>
      </w:pPr>
      <w:r w:rsidRPr="008C655C">
        <w:rPr>
          <w:rFonts w:ascii="Arial" w:hAnsi="Arial" w:cs="Arial"/>
        </w:rPr>
        <w:t>OPA notes that the</w:t>
      </w:r>
      <w:r w:rsidR="00E24D91" w:rsidRPr="008C655C">
        <w:rPr>
          <w:rFonts w:ascii="Arial" w:hAnsi="Arial" w:cs="Arial"/>
        </w:rPr>
        <w:t xml:space="preserve">re are some scoping initiatives in respect of the prevalence of elder abuse </w:t>
      </w:r>
      <w:r w:rsidR="006362C5" w:rsidRPr="008C655C">
        <w:rPr>
          <w:rFonts w:ascii="Arial" w:hAnsi="Arial" w:cs="Arial"/>
        </w:rPr>
        <w:t>currently being undertaken.</w:t>
      </w:r>
      <w:r w:rsidR="00E24D91" w:rsidRPr="008C655C">
        <w:rPr>
          <w:rFonts w:ascii="Arial" w:hAnsi="Arial" w:cs="Arial"/>
        </w:rPr>
        <w:t xml:space="preserve">  The </w:t>
      </w:r>
      <w:r w:rsidRPr="008C655C">
        <w:rPr>
          <w:rFonts w:ascii="Arial" w:hAnsi="Arial" w:cs="Arial"/>
        </w:rPr>
        <w:t xml:space="preserve">Australian Institute of Family Studies is </w:t>
      </w:r>
      <w:r w:rsidR="006362C5" w:rsidRPr="008C655C">
        <w:rPr>
          <w:rFonts w:ascii="Arial" w:hAnsi="Arial" w:cs="Arial"/>
        </w:rPr>
        <w:t>conducting a survey in respect to the prevalence of elder abuse.  T</w:t>
      </w:r>
      <w:r w:rsidR="00E24D91" w:rsidRPr="008C655C">
        <w:rPr>
          <w:rFonts w:ascii="Arial" w:hAnsi="Arial" w:cs="Arial"/>
        </w:rPr>
        <w:t>he O</w:t>
      </w:r>
      <w:r w:rsidR="006362C5" w:rsidRPr="008C655C">
        <w:rPr>
          <w:rFonts w:ascii="Arial" w:hAnsi="Arial" w:cs="Arial"/>
        </w:rPr>
        <w:t>ffice of the Public Advocate (Victoria)</w:t>
      </w:r>
      <w:r w:rsidR="00E24D91" w:rsidRPr="008C655C">
        <w:rPr>
          <w:rFonts w:ascii="Arial" w:hAnsi="Arial" w:cs="Arial"/>
        </w:rPr>
        <w:t xml:space="preserve"> is also reporting to the Australian Guardianship and Administration Council (AGAC).  This work may assist the ALRC in any further recommendations about the details for a national prevalence study.</w:t>
      </w:r>
    </w:p>
    <w:p w:rsidR="00E24D91" w:rsidRPr="008C655C" w:rsidRDefault="00E24D91" w:rsidP="008C655C">
      <w:pPr>
        <w:jc w:val="both"/>
        <w:rPr>
          <w:rFonts w:ascii="Arial" w:hAnsi="Arial" w:cs="Arial"/>
          <w:b/>
          <w:u w:val="single"/>
        </w:rPr>
      </w:pPr>
      <w:r w:rsidRPr="008C655C">
        <w:rPr>
          <w:rFonts w:ascii="Arial" w:hAnsi="Arial" w:cs="Arial"/>
          <w:b/>
          <w:u w:val="single"/>
        </w:rPr>
        <w:t>3. Powers of Investigation</w:t>
      </w:r>
    </w:p>
    <w:p w:rsidR="003F53ED" w:rsidRPr="008C655C" w:rsidRDefault="00FE0454" w:rsidP="008C655C">
      <w:pPr>
        <w:jc w:val="both"/>
        <w:rPr>
          <w:rFonts w:ascii="Arial" w:hAnsi="Arial" w:cs="Arial"/>
          <w:b/>
          <w:i/>
        </w:rPr>
      </w:pPr>
      <w:r w:rsidRPr="008C655C">
        <w:rPr>
          <w:rFonts w:ascii="Arial" w:hAnsi="Arial" w:cs="Arial"/>
          <w:b/>
          <w:i/>
        </w:rPr>
        <w:t>Proposal 3-1</w:t>
      </w:r>
      <w:r w:rsidR="004109C3" w:rsidRPr="008C655C">
        <w:rPr>
          <w:rFonts w:ascii="Arial" w:hAnsi="Arial" w:cs="Arial"/>
          <w:b/>
          <w:i/>
        </w:rPr>
        <w:t>:</w:t>
      </w:r>
      <w:r w:rsidR="003F53ED" w:rsidRPr="008C655C">
        <w:rPr>
          <w:rFonts w:ascii="Arial" w:hAnsi="Arial" w:cs="Arial"/>
          <w:b/>
        </w:rPr>
        <w:t xml:space="preserve"> </w:t>
      </w:r>
      <w:r w:rsidR="00952059" w:rsidRPr="008C655C">
        <w:rPr>
          <w:rFonts w:ascii="Arial" w:hAnsi="Arial" w:cs="Arial"/>
          <w:b/>
          <w:i/>
        </w:rPr>
        <w:t xml:space="preserve">State and territory public advocates or public guardians should be given the power to investigate elder abuse where they have a reasonable cause to suspect that an older person: </w:t>
      </w:r>
    </w:p>
    <w:p w:rsidR="00952059" w:rsidRPr="008C655C" w:rsidRDefault="00056E4A" w:rsidP="008C655C">
      <w:pPr>
        <w:pStyle w:val="ListParagraph"/>
        <w:numPr>
          <w:ilvl w:val="0"/>
          <w:numId w:val="3"/>
        </w:numPr>
        <w:jc w:val="both"/>
        <w:rPr>
          <w:rFonts w:ascii="Arial" w:hAnsi="Arial" w:cs="Arial"/>
          <w:b/>
          <w:i/>
          <w:sz w:val="22"/>
          <w:szCs w:val="22"/>
        </w:rPr>
      </w:pPr>
      <w:r w:rsidRPr="008C655C">
        <w:rPr>
          <w:rFonts w:ascii="Arial" w:hAnsi="Arial" w:cs="Arial"/>
          <w:b/>
          <w:i/>
          <w:sz w:val="22"/>
          <w:szCs w:val="22"/>
        </w:rPr>
        <w:t>Has care and support needs</w:t>
      </w:r>
    </w:p>
    <w:p w:rsidR="00952059" w:rsidRPr="008C655C" w:rsidRDefault="00952059" w:rsidP="008C655C">
      <w:pPr>
        <w:pStyle w:val="ListParagraph"/>
        <w:numPr>
          <w:ilvl w:val="0"/>
          <w:numId w:val="3"/>
        </w:numPr>
        <w:jc w:val="both"/>
        <w:rPr>
          <w:rFonts w:ascii="Arial" w:hAnsi="Arial" w:cs="Arial"/>
          <w:b/>
          <w:i/>
          <w:sz w:val="22"/>
          <w:szCs w:val="22"/>
        </w:rPr>
      </w:pPr>
      <w:r w:rsidRPr="008C655C">
        <w:rPr>
          <w:rFonts w:ascii="Arial" w:hAnsi="Arial" w:cs="Arial"/>
          <w:b/>
          <w:i/>
          <w:sz w:val="22"/>
          <w:szCs w:val="22"/>
        </w:rPr>
        <w:t xml:space="preserve">Is, or is at risk of, </w:t>
      </w:r>
      <w:r w:rsidR="00056E4A" w:rsidRPr="008C655C">
        <w:rPr>
          <w:rFonts w:ascii="Arial" w:hAnsi="Arial" w:cs="Arial"/>
          <w:b/>
          <w:i/>
          <w:sz w:val="22"/>
          <w:szCs w:val="22"/>
        </w:rPr>
        <w:t xml:space="preserve">being abused or neglected; and </w:t>
      </w:r>
    </w:p>
    <w:p w:rsidR="00952059" w:rsidRPr="008C655C" w:rsidRDefault="00952059" w:rsidP="008C655C">
      <w:pPr>
        <w:pStyle w:val="ListParagraph"/>
        <w:numPr>
          <w:ilvl w:val="0"/>
          <w:numId w:val="3"/>
        </w:numPr>
        <w:jc w:val="both"/>
        <w:rPr>
          <w:rFonts w:ascii="Arial" w:hAnsi="Arial" w:cs="Arial"/>
          <w:b/>
          <w:i/>
          <w:sz w:val="22"/>
          <w:szCs w:val="22"/>
        </w:rPr>
      </w:pPr>
      <w:r w:rsidRPr="008C655C">
        <w:rPr>
          <w:rFonts w:ascii="Arial" w:hAnsi="Arial" w:cs="Arial"/>
          <w:b/>
          <w:i/>
          <w:sz w:val="22"/>
          <w:szCs w:val="22"/>
        </w:rPr>
        <w:t>Is unable to protect themselves from the abuse or neglect, or the risk of it be</w:t>
      </w:r>
      <w:r w:rsidR="00FE0454" w:rsidRPr="008C655C">
        <w:rPr>
          <w:rFonts w:ascii="Arial" w:hAnsi="Arial" w:cs="Arial"/>
          <w:b/>
          <w:i/>
          <w:sz w:val="22"/>
          <w:szCs w:val="22"/>
        </w:rPr>
        <w:t>cause of care and support needs</w:t>
      </w:r>
    </w:p>
    <w:p w:rsidR="00056E4A" w:rsidRPr="008C655C" w:rsidRDefault="00056E4A" w:rsidP="008C655C">
      <w:pPr>
        <w:pStyle w:val="ListParagraph"/>
        <w:jc w:val="both"/>
        <w:rPr>
          <w:rFonts w:ascii="Arial" w:hAnsi="Arial" w:cs="Arial"/>
          <w:b/>
          <w:sz w:val="22"/>
          <w:szCs w:val="22"/>
        </w:rPr>
      </w:pPr>
    </w:p>
    <w:p w:rsidR="00F7373C" w:rsidRPr="008C655C" w:rsidRDefault="0016085C" w:rsidP="008C655C">
      <w:pPr>
        <w:jc w:val="both"/>
        <w:rPr>
          <w:rFonts w:ascii="Arial" w:hAnsi="Arial" w:cs="Arial"/>
        </w:rPr>
      </w:pPr>
      <w:r w:rsidRPr="008C655C">
        <w:rPr>
          <w:rFonts w:ascii="Arial" w:hAnsi="Arial" w:cs="Arial"/>
        </w:rPr>
        <w:t>OPA considers that there are three broad issues to address with respect to proposal 3-1:</w:t>
      </w:r>
    </w:p>
    <w:p w:rsidR="0016085C" w:rsidRPr="008C655C" w:rsidRDefault="0016085C" w:rsidP="008C655C">
      <w:pPr>
        <w:pStyle w:val="ListParagraph"/>
        <w:numPr>
          <w:ilvl w:val="0"/>
          <w:numId w:val="16"/>
        </w:numPr>
        <w:jc w:val="both"/>
        <w:rPr>
          <w:rFonts w:ascii="Arial" w:hAnsi="Arial" w:cs="Arial"/>
          <w:sz w:val="22"/>
          <w:szCs w:val="22"/>
        </w:rPr>
      </w:pPr>
      <w:r w:rsidRPr="008C655C">
        <w:rPr>
          <w:rFonts w:ascii="Arial" w:hAnsi="Arial" w:cs="Arial"/>
          <w:sz w:val="22"/>
          <w:szCs w:val="22"/>
        </w:rPr>
        <w:t>Should investigatory power</w:t>
      </w:r>
      <w:r w:rsidR="006362C5" w:rsidRPr="008C655C">
        <w:rPr>
          <w:rFonts w:ascii="Arial" w:hAnsi="Arial" w:cs="Arial"/>
          <w:sz w:val="22"/>
          <w:szCs w:val="22"/>
        </w:rPr>
        <w:t>s be vested in public advocates</w:t>
      </w:r>
      <w:r w:rsidRPr="008C655C">
        <w:rPr>
          <w:rFonts w:ascii="Arial" w:hAnsi="Arial" w:cs="Arial"/>
          <w:sz w:val="22"/>
          <w:szCs w:val="22"/>
        </w:rPr>
        <w:t>?</w:t>
      </w:r>
    </w:p>
    <w:p w:rsidR="0016085C" w:rsidRPr="008C655C" w:rsidRDefault="000B02DD" w:rsidP="008C655C">
      <w:pPr>
        <w:pStyle w:val="ListParagraph"/>
        <w:numPr>
          <w:ilvl w:val="0"/>
          <w:numId w:val="16"/>
        </w:numPr>
        <w:jc w:val="both"/>
        <w:rPr>
          <w:rFonts w:ascii="Arial" w:hAnsi="Arial" w:cs="Arial"/>
          <w:sz w:val="22"/>
          <w:szCs w:val="22"/>
        </w:rPr>
      </w:pPr>
      <w:r w:rsidRPr="008C655C">
        <w:rPr>
          <w:rFonts w:ascii="Arial" w:hAnsi="Arial" w:cs="Arial"/>
          <w:sz w:val="22"/>
          <w:szCs w:val="22"/>
        </w:rPr>
        <w:t xml:space="preserve">Should the power to investigate elder abuse be triggered where an </w:t>
      </w:r>
      <w:r w:rsidR="006362C5" w:rsidRPr="008C655C">
        <w:rPr>
          <w:rFonts w:ascii="Arial" w:hAnsi="Arial" w:cs="Arial"/>
          <w:sz w:val="22"/>
          <w:szCs w:val="22"/>
        </w:rPr>
        <w:t xml:space="preserve">older </w:t>
      </w:r>
      <w:r w:rsidRPr="008C655C">
        <w:rPr>
          <w:rFonts w:ascii="Arial" w:hAnsi="Arial" w:cs="Arial"/>
          <w:sz w:val="22"/>
          <w:szCs w:val="22"/>
        </w:rPr>
        <w:t>adult with care and support needs</w:t>
      </w:r>
      <w:r w:rsidRPr="008C655C">
        <w:rPr>
          <w:rFonts w:ascii="Arial" w:hAnsi="Arial" w:cs="Arial"/>
          <w:i/>
          <w:sz w:val="22"/>
          <w:szCs w:val="22"/>
        </w:rPr>
        <w:t xml:space="preserve"> </w:t>
      </w:r>
      <w:r w:rsidRPr="008C655C">
        <w:rPr>
          <w:rFonts w:ascii="Arial" w:hAnsi="Arial" w:cs="Arial"/>
          <w:sz w:val="22"/>
          <w:szCs w:val="22"/>
        </w:rPr>
        <w:t>is at risk?</w:t>
      </w:r>
    </w:p>
    <w:p w:rsidR="000B02DD" w:rsidRPr="008C655C" w:rsidRDefault="000B02DD" w:rsidP="008C655C">
      <w:pPr>
        <w:pStyle w:val="ListParagraph"/>
        <w:numPr>
          <w:ilvl w:val="0"/>
          <w:numId w:val="16"/>
        </w:numPr>
        <w:jc w:val="both"/>
        <w:rPr>
          <w:rFonts w:ascii="Arial" w:hAnsi="Arial" w:cs="Arial"/>
          <w:sz w:val="22"/>
          <w:szCs w:val="22"/>
        </w:rPr>
      </w:pPr>
      <w:r w:rsidRPr="008C655C">
        <w:rPr>
          <w:rFonts w:ascii="Arial" w:hAnsi="Arial" w:cs="Arial"/>
          <w:sz w:val="22"/>
          <w:szCs w:val="22"/>
        </w:rPr>
        <w:t>Should the investigatory powers be limited to suspicions of abuse of older people or should it apply more generally to all adults at risk regardless of age?</w:t>
      </w:r>
    </w:p>
    <w:p w:rsidR="00C74F4C" w:rsidRPr="008C655C" w:rsidRDefault="00C74F4C" w:rsidP="008C655C">
      <w:pPr>
        <w:contextualSpacing/>
        <w:jc w:val="both"/>
        <w:rPr>
          <w:rFonts w:ascii="Arial" w:hAnsi="Arial" w:cs="Arial"/>
        </w:rPr>
      </w:pPr>
    </w:p>
    <w:p w:rsidR="00C74F4C" w:rsidRPr="008C655C" w:rsidRDefault="000B02DD" w:rsidP="008C655C">
      <w:pPr>
        <w:contextualSpacing/>
        <w:jc w:val="both"/>
        <w:rPr>
          <w:rFonts w:ascii="Arial" w:hAnsi="Arial" w:cs="Arial"/>
        </w:rPr>
      </w:pPr>
      <w:r w:rsidRPr="008C655C">
        <w:rPr>
          <w:rFonts w:ascii="Arial" w:hAnsi="Arial" w:cs="Arial"/>
        </w:rPr>
        <w:t>We will address each issue in turn.</w:t>
      </w:r>
    </w:p>
    <w:p w:rsidR="00C74F4C" w:rsidRPr="008C655C" w:rsidRDefault="00C74F4C" w:rsidP="008C655C">
      <w:pPr>
        <w:contextualSpacing/>
        <w:jc w:val="both"/>
        <w:rPr>
          <w:rFonts w:ascii="Arial" w:hAnsi="Arial" w:cs="Arial"/>
        </w:rPr>
      </w:pPr>
    </w:p>
    <w:p w:rsidR="000B02DD" w:rsidRPr="008C655C" w:rsidRDefault="000B02DD" w:rsidP="008C655C">
      <w:pPr>
        <w:jc w:val="both"/>
        <w:rPr>
          <w:rFonts w:ascii="Arial" w:hAnsi="Arial" w:cs="Arial"/>
          <w:b/>
        </w:rPr>
      </w:pPr>
      <w:r w:rsidRPr="008C655C">
        <w:rPr>
          <w:rFonts w:ascii="Arial" w:hAnsi="Arial" w:cs="Arial"/>
          <w:b/>
        </w:rPr>
        <w:t>i) Should investigatory powers be vested in public advocates?</w:t>
      </w:r>
    </w:p>
    <w:p w:rsidR="009D15C4" w:rsidRPr="008C655C" w:rsidRDefault="0020189B" w:rsidP="008C655C">
      <w:pPr>
        <w:jc w:val="both"/>
        <w:rPr>
          <w:rFonts w:ascii="Arial" w:hAnsi="Arial" w:cs="Arial"/>
        </w:rPr>
      </w:pPr>
      <w:r w:rsidRPr="008C655C">
        <w:rPr>
          <w:rFonts w:ascii="Arial" w:hAnsi="Arial" w:cs="Arial"/>
        </w:rPr>
        <w:t xml:space="preserve">Proposal 3-1 involves expanding the </w:t>
      </w:r>
      <w:r w:rsidR="00FE0454" w:rsidRPr="008C655C">
        <w:rPr>
          <w:rFonts w:ascii="Arial" w:hAnsi="Arial" w:cs="Arial"/>
        </w:rPr>
        <w:t xml:space="preserve">role </w:t>
      </w:r>
      <w:r w:rsidRPr="008C655C">
        <w:rPr>
          <w:rFonts w:ascii="Arial" w:hAnsi="Arial" w:cs="Arial"/>
        </w:rPr>
        <w:t>of publi</w:t>
      </w:r>
      <w:r w:rsidR="00CB45B4" w:rsidRPr="008C655C">
        <w:rPr>
          <w:rFonts w:ascii="Arial" w:hAnsi="Arial" w:cs="Arial"/>
        </w:rPr>
        <w:t xml:space="preserve">c advocates </w:t>
      </w:r>
      <w:r w:rsidR="00FE0454" w:rsidRPr="008C655C">
        <w:rPr>
          <w:rFonts w:ascii="Arial" w:hAnsi="Arial" w:cs="Arial"/>
        </w:rPr>
        <w:t>by</w:t>
      </w:r>
      <w:r w:rsidRPr="008C655C">
        <w:rPr>
          <w:rFonts w:ascii="Arial" w:hAnsi="Arial" w:cs="Arial"/>
        </w:rPr>
        <w:t xml:space="preserve"> vesting them </w:t>
      </w:r>
      <w:r w:rsidR="00CB45B4" w:rsidRPr="008C655C">
        <w:rPr>
          <w:rFonts w:ascii="Arial" w:hAnsi="Arial" w:cs="Arial"/>
        </w:rPr>
        <w:t xml:space="preserve">with </w:t>
      </w:r>
      <w:r w:rsidRPr="008C655C">
        <w:rPr>
          <w:rFonts w:ascii="Arial" w:hAnsi="Arial" w:cs="Arial"/>
        </w:rPr>
        <w:t xml:space="preserve">powers with </w:t>
      </w:r>
      <w:r w:rsidR="00FE0454" w:rsidRPr="008C655C">
        <w:rPr>
          <w:rFonts w:ascii="Arial" w:hAnsi="Arial" w:cs="Arial"/>
        </w:rPr>
        <w:t xml:space="preserve">to investigate </w:t>
      </w:r>
      <w:r w:rsidRPr="008C655C">
        <w:rPr>
          <w:rFonts w:ascii="Arial" w:hAnsi="Arial" w:cs="Arial"/>
        </w:rPr>
        <w:t>suspicions of elder</w:t>
      </w:r>
      <w:r w:rsidR="00CB45B4" w:rsidRPr="008C655C">
        <w:rPr>
          <w:rFonts w:ascii="Arial" w:hAnsi="Arial" w:cs="Arial"/>
        </w:rPr>
        <w:t xml:space="preserve"> abuse.  OPA agrees</w:t>
      </w:r>
      <w:r w:rsidR="001335F2" w:rsidRPr="008C655C">
        <w:rPr>
          <w:rFonts w:ascii="Arial" w:hAnsi="Arial" w:cs="Arial"/>
        </w:rPr>
        <w:t>, in principle,</w:t>
      </w:r>
      <w:r w:rsidR="00CB45B4" w:rsidRPr="008C655C">
        <w:rPr>
          <w:rFonts w:ascii="Arial" w:hAnsi="Arial" w:cs="Arial"/>
        </w:rPr>
        <w:t xml:space="preserve"> with </w:t>
      </w:r>
      <w:r w:rsidR="006F4358" w:rsidRPr="008C655C">
        <w:rPr>
          <w:rFonts w:ascii="Arial" w:hAnsi="Arial" w:cs="Arial"/>
        </w:rPr>
        <w:t xml:space="preserve">vesting </w:t>
      </w:r>
      <w:r w:rsidR="00CB45B4" w:rsidRPr="008C655C">
        <w:rPr>
          <w:rFonts w:ascii="Arial" w:hAnsi="Arial" w:cs="Arial"/>
        </w:rPr>
        <w:t>investigat</w:t>
      </w:r>
      <w:r w:rsidR="001335F2" w:rsidRPr="008C655C">
        <w:rPr>
          <w:rFonts w:ascii="Arial" w:hAnsi="Arial" w:cs="Arial"/>
        </w:rPr>
        <w:t>ive powers in public advocates.</w:t>
      </w:r>
    </w:p>
    <w:p w:rsidR="009D15C4" w:rsidRPr="008C655C" w:rsidRDefault="009D15C4" w:rsidP="008C655C">
      <w:pPr>
        <w:jc w:val="both"/>
        <w:rPr>
          <w:rFonts w:ascii="Arial" w:hAnsi="Arial" w:cs="Arial"/>
        </w:rPr>
      </w:pPr>
      <w:r w:rsidRPr="008C655C">
        <w:rPr>
          <w:rFonts w:ascii="Arial" w:hAnsi="Arial" w:cs="Arial"/>
        </w:rPr>
        <w:t>OPA currently has the power to investigate concerns of a person who is believed to have a men</w:t>
      </w:r>
      <w:r w:rsidR="00DC1B4F" w:rsidRPr="008C655C">
        <w:rPr>
          <w:rFonts w:ascii="Arial" w:hAnsi="Arial" w:cs="Arial"/>
        </w:rPr>
        <w:t xml:space="preserve">tal incapacity and is at risk, </w:t>
      </w:r>
      <w:r w:rsidRPr="008C655C">
        <w:rPr>
          <w:rFonts w:ascii="Arial" w:hAnsi="Arial" w:cs="Arial"/>
        </w:rPr>
        <w:t xml:space="preserve">but only if directed to do so by </w:t>
      </w:r>
      <w:r w:rsidR="006362C5" w:rsidRPr="008C655C">
        <w:rPr>
          <w:rFonts w:ascii="Arial" w:hAnsi="Arial" w:cs="Arial"/>
        </w:rPr>
        <w:t xml:space="preserve">the </w:t>
      </w:r>
      <w:r w:rsidRPr="008C655C">
        <w:rPr>
          <w:rFonts w:ascii="Arial" w:hAnsi="Arial" w:cs="Arial"/>
        </w:rPr>
        <w:t>S</w:t>
      </w:r>
      <w:r w:rsidR="006362C5" w:rsidRPr="008C655C">
        <w:rPr>
          <w:rFonts w:ascii="Arial" w:hAnsi="Arial" w:cs="Arial"/>
        </w:rPr>
        <w:t xml:space="preserve">outh </w:t>
      </w:r>
      <w:r w:rsidRPr="008C655C">
        <w:rPr>
          <w:rFonts w:ascii="Arial" w:hAnsi="Arial" w:cs="Arial"/>
        </w:rPr>
        <w:t>A</w:t>
      </w:r>
      <w:r w:rsidR="006362C5" w:rsidRPr="008C655C">
        <w:rPr>
          <w:rFonts w:ascii="Arial" w:hAnsi="Arial" w:cs="Arial"/>
        </w:rPr>
        <w:t xml:space="preserve">ustralian </w:t>
      </w:r>
      <w:r w:rsidRPr="008C655C">
        <w:rPr>
          <w:rFonts w:ascii="Arial" w:hAnsi="Arial" w:cs="Arial"/>
        </w:rPr>
        <w:t>C</w:t>
      </w:r>
      <w:r w:rsidR="006362C5" w:rsidRPr="008C655C">
        <w:rPr>
          <w:rFonts w:ascii="Arial" w:hAnsi="Arial" w:cs="Arial"/>
        </w:rPr>
        <w:t xml:space="preserve">ivil and </w:t>
      </w:r>
      <w:r w:rsidRPr="008C655C">
        <w:rPr>
          <w:rFonts w:ascii="Arial" w:hAnsi="Arial" w:cs="Arial"/>
        </w:rPr>
        <w:t>A</w:t>
      </w:r>
      <w:r w:rsidR="006362C5" w:rsidRPr="008C655C">
        <w:rPr>
          <w:rFonts w:ascii="Arial" w:hAnsi="Arial" w:cs="Arial"/>
        </w:rPr>
        <w:t xml:space="preserve">dministrative </w:t>
      </w:r>
      <w:r w:rsidRPr="008C655C">
        <w:rPr>
          <w:rFonts w:ascii="Arial" w:hAnsi="Arial" w:cs="Arial"/>
        </w:rPr>
        <w:t>T</w:t>
      </w:r>
      <w:r w:rsidR="006362C5" w:rsidRPr="008C655C">
        <w:rPr>
          <w:rFonts w:ascii="Arial" w:hAnsi="Arial" w:cs="Arial"/>
        </w:rPr>
        <w:t>ribunal</w:t>
      </w:r>
      <w:r w:rsidR="00371DF9" w:rsidRPr="008C655C">
        <w:rPr>
          <w:rFonts w:ascii="Arial" w:hAnsi="Arial" w:cs="Arial"/>
        </w:rPr>
        <w:t>.</w:t>
      </w:r>
      <w:r w:rsidRPr="008C655C">
        <w:rPr>
          <w:rStyle w:val="FootnoteReference"/>
          <w:rFonts w:ascii="Arial" w:hAnsi="Arial" w:cs="Arial"/>
        </w:rPr>
        <w:footnoteReference w:id="3"/>
      </w:r>
      <w:r w:rsidR="00371DF9" w:rsidRPr="008C655C">
        <w:rPr>
          <w:rFonts w:ascii="Arial" w:hAnsi="Arial" w:cs="Arial"/>
        </w:rPr>
        <w:t xml:space="preserve">  </w:t>
      </w:r>
      <w:r w:rsidRPr="008C655C">
        <w:rPr>
          <w:rFonts w:ascii="Arial" w:hAnsi="Arial" w:cs="Arial"/>
        </w:rPr>
        <w:t xml:space="preserve">These powers do not authorise OPA to undertake investigations of its own volition, to mandate information or to enter premises. </w:t>
      </w:r>
    </w:p>
    <w:p w:rsidR="00BD7694" w:rsidRPr="008C655C" w:rsidRDefault="004A6C64" w:rsidP="008C655C">
      <w:pPr>
        <w:jc w:val="both"/>
        <w:rPr>
          <w:rFonts w:ascii="Arial" w:hAnsi="Arial" w:cs="Arial"/>
        </w:rPr>
      </w:pPr>
      <w:r>
        <w:rPr>
          <w:rFonts w:ascii="Arial" w:hAnsi="Arial" w:cs="Arial"/>
        </w:rPr>
        <w:lastRenderedPageBreak/>
        <w:t>Public A</w:t>
      </w:r>
      <w:r w:rsidR="00BD7694" w:rsidRPr="008C655C">
        <w:rPr>
          <w:rFonts w:ascii="Arial" w:hAnsi="Arial" w:cs="Arial"/>
        </w:rPr>
        <w:t xml:space="preserve">dvocates across Australia generally have some (often limited) powers of investigation.  </w:t>
      </w:r>
      <w:r w:rsidR="00950370" w:rsidRPr="008C655C">
        <w:rPr>
          <w:rFonts w:ascii="Arial" w:hAnsi="Arial" w:cs="Arial"/>
        </w:rPr>
        <w:t>E</w:t>
      </w:r>
      <w:r w:rsidR="006362C5" w:rsidRPr="008C655C">
        <w:rPr>
          <w:rFonts w:ascii="Arial" w:hAnsi="Arial" w:cs="Arial"/>
        </w:rPr>
        <w:t>xpanding or strengthening those investigative powers</w:t>
      </w:r>
      <w:r w:rsidR="00950370" w:rsidRPr="008C655C">
        <w:rPr>
          <w:rFonts w:ascii="Arial" w:hAnsi="Arial" w:cs="Arial"/>
        </w:rPr>
        <w:t xml:space="preserve"> </w:t>
      </w:r>
      <w:r w:rsidR="00BD7694" w:rsidRPr="008C655C">
        <w:rPr>
          <w:rFonts w:ascii="Arial" w:hAnsi="Arial" w:cs="Arial"/>
        </w:rPr>
        <w:t xml:space="preserve">might make </w:t>
      </w:r>
      <w:r w:rsidR="00950370" w:rsidRPr="008C655C">
        <w:rPr>
          <w:rFonts w:ascii="Arial" w:hAnsi="Arial" w:cs="Arial"/>
        </w:rPr>
        <w:t>for a reasonably simple and effective response to the issue of abuse of older people</w:t>
      </w:r>
      <w:r w:rsidR="005F6C2C" w:rsidRPr="008C655C">
        <w:rPr>
          <w:rFonts w:ascii="Arial" w:hAnsi="Arial" w:cs="Arial"/>
        </w:rPr>
        <w:t xml:space="preserve"> and </w:t>
      </w:r>
      <w:r w:rsidR="00C74F4C" w:rsidRPr="008C655C">
        <w:rPr>
          <w:rFonts w:ascii="Arial" w:hAnsi="Arial" w:cs="Arial"/>
        </w:rPr>
        <w:t xml:space="preserve">one which might be implemented more quickly than comprehensive legislative reform.  It may also </w:t>
      </w:r>
      <w:r w:rsidR="005F6C2C" w:rsidRPr="008C655C">
        <w:rPr>
          <w:rFonts w:ascii="Arial" w:hAnsi="Arial" w:cs="Arial"/>
        </w:rPr>
        <w:t>provide the community with clarity about where they should report concerns</w:t>
      </w:r>
      <w:r w:rsidR="00C74F4C" w:rsidRPr="008C655C">
        <w:rPr>
          <w:rFonts w:ascii="Arial" w:hAnsi="Arial" w:cs="Arial"/>
        </w:rPr>
        <w:t xml:space="preserve">. </w:t>
      </w:r>
    </w:p>
    <w:p w:rsidR="0020189B" w:rsidRPr="008C655C" w:rsidRDefault="0020189B" w:rsidP="008C655C">
      <w:pPr>
        <w:jc w:val="both"/>
        <w:rPr>
          <w:rFonts w:ascii="Arial" w:hAnsi="Arial" w:cs="Arial"/>
        </w:rPr>
      </w:pPr>
      <w:r w:rsidRPr="008C655C">
        <w:rPr>
          <w:rFonts w:ascii="Arial" w:hAnsi="Arial" w:cs="Arial"/>
        </w:rPr>
        <w:t xml:space="preserve">In </w:t>
      </w:r>
      <w:r w:rsidRPr="008C655C">
        <w:rPr>
          <w:rFonts w:ascii="Arial" w:hAnsi="Arial" w:cs="Arial"/>
          <w:i/>
        </w:rPr>
        <w:t>Closing the Gaps</w:t>
      </w:r>
      <w:r w:rsidR="00950370" w:rsidRPr="008C655C">
        <w:rPr>
          <w:rFonts w:ascii="Arial" w:hAnsi="Arial" w:cs="Arial"/>
        </w:rPr>
        <w:t>, OPA made recommendations</w:t>
      </w:r>
      <w:r w:rsidRPr="008C655C">
        <w:rPr>
          <w:rFonts w:ascii="Arial" w:hAnsi="Arial" w:cs="Arial"/>
        </w:rPr>
        <w:t xml:space="preserve"> for legislative refo</w:t>
      </w:r>
      <w:r w:rsidR="00CB45B4" w:rsidRPr="008C655C">
        <w:rPr>
          <w:rFonts w:ascii="Arial" w:hAnsi="Arial" w:cs="Arial"/>
        </w:rPr>
        <w:t xml:space="preserve">rm </w:t>
      </w:r>
      <w:r w:rsidR="00371DF9" w:rsidRPr="008C655C">
        <w:rPr>
          <w:rFonts w:ascii="Arial" w:hAnsi="Arial" w:cs="Arial"/>
        </w:rPr>
        <w:t xml:space="preserve">in South Australia </w:t>
      </w:r>
      <w:r w:rsidR="00CB45B4" w:rsidRPr="008C655C">
        <w:rPr>
          <w:rFonts w:ascii="Arial" w:hAnsi="Arial" w:cs="Arial"/>
        </w:rPr>
        <w:t>inc</w:t>
      </w:r>
      <w:r w:rsidR="00371DF9" w:rsidRPr="008C655C">
        <w:rPr>
          <w:rFonts w:ascii="Arial" w:hAnsi="Arial" w:cs="Arial"/>
        </w:rPr>
        <w:t>luding</w:t>
      </w:r>
      <w:r w:rsidR="00CB45B4" w:rsidRPr="008C655C">
        <w:rPr>
          <w:rFonts w:ascii="Arial" w:hAnsi="Arial" w:cs="Arial"/>
        </w:rPr>
        <w:t xml:space="preserve"> the establ</w:t>
      </w:r>
      <w:r w:rsidR="00BD7694" w:rsidRPr="008C655C">
        <w:rPr>
          <w:rFonts w:ascii="Arial" w:hAnsi="Arial" w:cs="Arial"/>
        </w:rPr>
        <w:t>ishment of a new</w:t>
      </w:r>
      <w:r w:rsidR="00CB45B4" w:rsidRPr="008C655C">
        <w:rPr>
          <w:rFonts w:ascii="Arial" w:hAnsi="Arial" w:cs="Arial"/>
        </w:rPr>
        <w:t xml:space="preserve"> Adult Protection Unit</w:t>
      </w:r>
      <w:r w:rsidR="00BD7694" w:rsidRPr="008C655C">
        <w:rPr>
          <w:rFonts w:ascii="Arial" w:hAnsi="Arial" w:cs="Arial"/>
        </w:rPr>
        <w:t xml:space="preserve"> (within government)</w:t>
      </w:r>
      <w:r w:rsidR="00CB45B4" w:rsidRPr="008C655C">
        <w:rPr>
          <w:rFonts w:ascii="Arial" w:hAnsi="Arial" w:cs="Arial"/>
        </w:rPr>
        <w:t xml:space="preserve"> to coordinate and lead the</w:t>
      </w:r>
      <w:r w:rsidRPr="008C655C">
        <w:rPr>
          <w:rFonts w:ascii="Arial" w:hAnsi="Arial" w:cs="Arial"/>
        </w:rPr>
        <w:t xml:space="preserve"> </w:t>
      </w:r>
      <w:r w:rsidR="00CB45B4" w:rsidRPr="008C655C">
        <w:rPr>
          <w:rFonts w:ascii="Arial" w:hAnsi="Arial" w:cs="Arial"/>
        </w:rPr>
        <w:t xml:space="preserve">system for </w:t>
      </w:r>
      <w:r w:rsidRPr="008C655C">
        <w:rPr>
          <w:rFonts w:ascii="Arial" w:hAnsi="Arial" w:cs="Arial"/>
        </w:rPr>
        <w:t xml:space="preserve">multidisciplinary </w:t>
      </w:r>
      <w:r w:rsidR="00CB45B4" w:rsidRPr="008C655C">
        <w:rPr>
          <w:rFonts w:ascii="Arial" w:hAnsi="Arial" w:cs="Arial"/>
        </w:rPr>
        <w:t>response to abuse</w:t>
      </w:r>
      <w:r w:rsidR="00371DF9" w:rsidRPr="008C655C">
        <w:rPr>
          <w:rFonts w:ascii="Arial" w:hAnsi="Arial" w:cs="Arial"/>
        </w:rPr>
        <w:t>.</w:t>
      </w:r>
      <w:r w:rsidR="00C27D7B" w:rsidRPr="008C655C">
        <w:rPr>
          <w:rStyle w:val="FootnoteReference"/>
          <w:rFonts w:ascii="Arial" w:hAnsi="Arial" w:cs="Arial"/>
        </w:rPr>
        <w:footnoteReference w:id="4"/>
      </w:r>
      <w:r w:rsidR="005F6C2C" w:rsidRPr="008C655C">
        <w:rPr>
          <w:rFonts w:ascii="Arial" w:hAnsi="Arial" w:cs="Arial"/>
        </w:rPr>
        <w:t xml:space="preserve">  OPA’s proposal for an Adult Protection Unit was part and parcel of recommendations for enactment of separate, comprehensive legislation in South Australia for the protection of vulnerable adults</w:t>
      </w:r>
      <w:r w:rsidR="009B72CD" w:rsidRPr="008C655C">
        <w:rPr>
          <w:rFonts w:ascii="Arial" w:hAnsi="Arial" w:cs="Arial"/>
        </w:rPr>
        <w:t>.</w:t>
      </w:r>
    </w:p>
    <w:p w:rsidR="006057A6" w:rsidRPr="008C655C" w:rsidRDefault="002D65E8" w:rsidP="008C655C">
      <w:pPr>
        <w:jc w:val="both"/>
        <w:rPr>
          <w:rFonts w:ascii="Arial" w:hAnsi="Arial" w:cs="Arial"/>
        </w:rPr>
      </w:pPr>
      <w:r w:rsidRPr="008C655C">
        <w:rPr>
          <w:rFonts w:ascii="Arial" w:hAnsi="Arial" w:cs="Arial"/>
        </w:rPr>
        <w:t xml:space="preserve">We do not consider proposal 3-1 to be necessarily inconsistent with the approach recommended in </w:t>
      </w:r>
      <w:r w:rsidRPr="008C655C">
        <w:rPr>
          <w:rFonts w:ascii="Arial" w:hAnsi="Arial" w:cs="Arial"/>
          <w:i/>
        </w:rPr>
        <w:t>Closing the Gaps</w:t>
      </w:r>
      <w:r w:rsidR="00C74F4C" w:rsidRPr="008C655C">
        <w:rPr>
          <w:rFonts w:ascii="Arial" w:hAnsi="Arial" w:cs="Arial"/>
        </w:rPr>
        <w:t>, particularly if it is augmented by a clear multi-agency framework to support the investigations function.  Vesting investigative powers in publi</w:t>
      </w:r>
      <w:r w:rsidR="006057A6" w:rsidRPr="008C655C">
        <w:rPr>
          <w:rFonts w:ascii="Arial" w:hAnsi="Arial" w:cs="Arial"/>
        </w:rPr>
        <w:t>c adv</w:t>
      </w:r>
      <w:r w:rsidR="009B72CD" w:rsidRPr="008C655C">
        <w:rPr>
          <w:rFonts w:ascii="Arial" w:hAnsi="Arial" w:cs="Arial"/>
        </w:rPr>
        <w:t>ocates would fulfil a number of elements</w:t>
      </w:r>
      <w:r w:rsidR="006057A6" w:rsidRPr="008C655C">
        <w:rPr>
          <w:rFonts w:ascii="Arial" w:hAnsi="Arial" w:cs="Arial"/>
        </w:rPr>
        <w:t xml:space="preserve"> identified in </w:t>
      </w:r>
      <w:r w:rsidR="006057A6" w:rsidRPr="008C655C">
        <w:rPr>
          <w:rFonts w:ascii="Arial" w:hAnsi="Arial" w:cs="Arial"/>
          <w:i/>
        </w:rPr>
        <w:t>Closing the Gaps</w:t>
      </w:r>
      <w:r w:rsidR="009B72CD" w:rsidRPr="008C655C">
        <w:rPr>
          <w:rFonts w:ascii="Arial" w:hAnsi="Arial" w:cs="Arial"/>
        </w:rPr>
        <w:t xml:space="preserve"> including</w:t>
      </w:r>
      <w:r w:rsidR="006057A6" w:rsidRPr="008C655C">
        <w:rPr>
          <w:rFonts w:ascii="Arial" w:hAnsi="Arial" w:cs="Arial"/>
        </w:rPr>
        <w:t xml:space="preserve">: </w:t>
      </w:r>
    </w:p>
    <w:p w:rsidR="006057A6" w:rsidRPr="008C655C" w:rsidRDefault="006057A6" w:rsidP="008C655C">
      <w:pPr>
        <w:pStyle w:val="ListParagraph"/>
        <w:numPr>
          <w:ilvl w:val="0"/>
          <w:numId w:val="17"/>
        </w:numPr>
        <w:jc w:val="both"/>
        <w:rPr>
          <w:rFonts w:ascii="Arial" w:hAnsi="Arial" w:cs="Arial"/>
          <w:sz w:val="22"/>
          <w:szCs w:val="22"/>
        </w:rPr>
      </w:pPr>
      <w:r w:rsidRPr="008C655C">
        <w:rPr>
          <w:rFonts w:ascii="Arial" w:hAnsi="Arial" w:cs="Arial"/>
          <w:sz w:val="22"/>
          <w:szCs w:val="22"/>
        </w:rPr>
        <w:t>the creation of a central point for the notification of abuse cases; and</w:t>
      </w:r>
    </w:p>
    <w:p w:rsidR="006057A6" w:rsidRPr="008C655C" w:rsidRDefault="006057A6" w:rsidP="008C655C">
      <w:pPr>
        <w:pStyle w:val="ListParagraph"/>
        <w:jc w:val="both"/>
        <w:rPr>
          <w:rFonts w:ascii="Arial" w:hAnsi="Arial" w:cs="Arial"/>
          <w:sz w:val="22"/>
          <w:szCs w:val="22"/>
        </w:rPr>
      </w:pPr>
    </w:p>
    <w:p w:rsidR="006057A6" w:rsidRPr="008C655C" w:rsidRDefault="006057A6" w:rsidP="008C655C">
      <w:pPr>
        <w:pStyle w:val="ListParagraph"/>
        <w:numPr>
          <w:ilvl w:val="0"/>
          <w:numId w:val="17"/>
        </w:numPr>
        <w:jc w:val="both"/>
        <w:rPr>
          <w:rFonts w:ascii="Arial" w:hAnsi="Arial" w:cs="Arial"/>
          <w:sz w:val="22"/>
          <w:szCs w:val="22"/>
        </w:rPr>
      </w:pPr>
      <w:r w:rsidRPr="008C655C">
        <w:rPr>
          <w:rFonts w:ascii="Arial" w:hAnsi="Arial" w:cs="Arial"/>
          <w:sz w:val="22"/>
          <w:szCs w:val="22"/>
        </w:rPr>
        <w:t>assignment of lead authority for organising and convening case conferences.</w:t>
      </w:r>
      <w:r w:rsidR="00661CE1" w:rsidRPr="008C655C">
        <w:rPr>
          <w:rStyle w:val="FootnoteReference"/>
          <w:rFonts w:ascii="Arial" w:hAnsi="Arial" w:cs="Arial"/>
          <w:sz w:val="22"/>
          <w:szCs w:val="22"/>
        </w:rPr>
        <w:footnoteReference w:id="5"/>
      </w:r>
    </w:p>
    <w:p w:rsidR="006057A6" w:rsidRPr="008C655C" w:rsidRDefault="006057A6" w:rsidP="008C655C">
      <w:pPr>
        <w:jc w:val="both"/>
        <w:rPr>
          <w:rFonts w:ascii="Arial" w:hAnsi="Arial" w:cs="Arial"/>
        </w:rPr>
      </w:pPr>
    </w:p>
    <w:p w:rsidR="0016085C" w:rsidRPr="008C655C" w:rsidRDefault="0016085C" w:rsidP="008C655C">
      <w:pPr>
        <w:jc w:val="both"/>
        <w:rPr>
          <w:rFonts w:ascii="Arial" w:hAnsi="Arial" w:cs="Arial"/>
        </w:rPr>
      </w:pPr>
      <w:r w:rsidRPr="008C655C">
        <w:rPr>
          <w:rFonts w:ascii="Arial" w:hAnsi="Arial" w:cs="Arial"/>
        </w:rPr>
        <w:t xml:space="preserve">Most importantly, whichever body is charged with leading and coordinating the investigation of </w:t>
      </w:r>
      <w:r w:rsidR="006575BD" w:rsidRPr="008C655C">
        <w:rPr>
          <w:rFonts w:ascii="Arial" w:hAnsi="Arial" w:cs="Arial"/>
        </w:rPr>
        <w:t xml:space="preserve">abuse of older people </w:t>
      </w:r>
      <w:r w:rsidRPr="008C655C">
        <w:rPr>
          <w:rFonts w:ascii="Arial" w:hAnsi="Arial" w:cs="Arial"/>
        </w:rPr>
        <w:t xml:space="preserve">(or abuse of vulnerable adults) </w:t>
      </w:r>
      <w:r w:rsidR="00D52013" w:rsidRPr="008C655C">
        <w:rPr>
          <w:rFonts w:ascii="Arial" w:hAnsi="Arial" w:cs="Arial"/>
        </w:rPr>
        <w:t xml:space="preserve">it </w:t>
      </w:r>
      <w:r w:rsidRPr="008C655C">
        <w:rPr>
          <w:rFonts w:ascii="Arial" w:hAnsi="Arial" w:cs="Arial"/>
        </w:rPr>
        <w:t>must be properly resourced to do so.  OPA could not fulfil the expanded role with</w:t>
      </w:r>
      <w:r w:rsidR="002326A4" w:rsidRPr="008C655C">
        <w:rPr>
          <w:rFonts w:ascii="Arial" w:hAnsi="Arial" w:cs="Arial"/>
        </w:rPr>
        <w:t xml:space="preserve">in </w:t>
      </w:r>
      <w:r w:rsidR="00D27B2B" w:rsidRPr="008C655C">
        <w:rPr>
          <w:rFonts w:ascii="Arial" w:hAnsi="Arial" w:cs="Arial"/>
        </w:rPr>
        <w:t xml:space="preserve">its </w:t>
      </w:r>
      <w:r w:rsidR="002326A4" w:rsidRPr="008C655C">
        <w:rPr>
          <w:rFonts w:ascii="Arial" w:hAnsi="Arial" w:cs="Arial"/>
        </w:rPr>
        <w:t>current resources</w:t>
      </w:r>
      <w:r w:rsidRPr="008C655C">
        <w:rPr>
          <w:rFonts w:ascii="Arial" w:hAnsi="Arial" w:cs="Arial"/>
        </w:rPr>
        <w:t>.</w:t>
      </w:r>
    </w:p>
    <w:p w:rsidR="006B4D1D" w:rsidRDefault="00F7373C" w:rsidP="008C655C">
      <w:pPr>
        <w:jc w:val="both"/>
        <w:rPr>
          <w:rFonts w:ascii="Arial" w:hAnsi="Arial" w:cs="Arial"/>
        </w:rPr>
      </w:pPr>
      <w:r w:rsidRPr="008C655C">
        <w:rPr>
          <w:rFonts w:ascii="Arial" w:hAnsi="Arial" w:cs="Arial"/>
        </w:rPr>
        <w:t xml:space="preserve">The </w:t>
      </w:r>
      <w:r w:rsidR="006F4358" w:rsidRPr="008C655C">
        <w:rPr>
          <w:rFonts w:ascii="Arial" w:hAnsi="Arial" w:cs="Arial"/>
        </w:rPr>
        <w:t>establishm</w:t>
      </w:r>
      <w:r w:rsidR="00371DF9" w:rsidRPr="008C655C">
        <w:rPr>
          <w:rFonts w:ascii="Arial" w:hAnsi="Arial" w:cs="Arial"/>
        </w:rPr>
        <w:t xml:space="preserve">ent of a new Adult Protection Unit </w:t>
      </w:r>
      <w:r w:rsidR="006F4358" w:rsidRPr="008C655C">
        <w:rPr>
          <w:rFonts w:ascii="Arial" w:hAnsi="Arial" w:cs="Arial"/>
        </w:rPr>
        <w:t xml:space="preserve">was </w:t>
      </w:r>
      <w:r w:rsidRPr="008C655C">
        <w:rPr>
          <w:rFonts w:ascii="Arial" w:hAnsi="Arial" w:cs="Arial"/>
        </w:rPr>
        <w:t xml:space="preserve">supported </w:t>
      </w:r>
      <w:r w:rsidR="00950370" w:rsidRPr="008C655C">
        <w:rPr>
          <w:rFonts w:ascii="Arial" w:hAnsi="Arial" w:cs="Arial"/>
        </w:rPr>
        <w:t>in our</w:t>
      </w:r>
      <w:r w:rsidR="00DC1B4F" w:rsidRPr="008C655C">
        <w:rPr>
          <w:rFonts w:ascii="Arial" w:hAnsi="Arial" w:cs="Arial"/>
        </w:rPr>
        <w:t xml:space="preserve"> inquiry </w:t>
      </w:r>
      <w:r w:rsidRPr="008C655C">
        <w:rPr>
          <w:rFonts w:ascii="Arial" w:hAnsi="Arial" w:cs="Arial"/>
        </w:rPr>
        <w:t xml:space="preserve">partly to avoid </w:t>
      </w:r>
      <w:r w:rsidR="009E314A" w:rsidRPr="008C655C">
        <w:rPr>
          <w:rFonts w:ascii="Arial" w:hAnsi="Arial" w:cs="Arial"/>
        </w:rPr>
        <w:t>a</w:t>
      </w:r>
      <w:r w:rsidR="0016085C" w:rsidRPr="008C655C">
        <w:rPr>
          <w:rFonts w:ascii="Arial" w:hAnsi="Arial" w:cs="Arial"/>
        </w:rPr>
        <w:t xml:space="preserve"> potential conflict with </w:t>
      </w:r>
      <w:r w:rsidR="006F4358" w:rsidRPr="008C655C">
        <w:rPr>
          <w:rFonts w:ascii="Arial" w:hAnsi="Arial" w:cs="Arial"/>
        </w:rPr>
        <w:t>OPA’s independent advocacy role</w:t>
      </w:r>
      <w:r w:rsidR="002D65E8" w:rsidRPr="008C655C">
        <w:rPr>
          <w:rFonts w:ascii="Arial" w:hAnsi="Arial" w:cs="Arial"/>
        </w:rPr>
        <w:t xml:space="preserve"> for persons with mental capacity or mental illness</w:t>
      </w:r>
      <w:r w:rsidR="006F4358" w:rsidRPr="008C655C">
        <w:rPr>
          <w:rFonts w:ascii="Arial" w:hAnsi="Arial" w:cs="Arial"/>
        </w:rPr>
        <w:t>.</w:t>
      </w:r>
      <w:r w:rsidR="00C27D7B" w:rsidRPr="008C655C">
        <w:rPr>
          <w:rStyle w:val="FootnoteReference"/>
          <w:rFonts w:ascii="Arial" w:hAnsi="Arial" w:cs="Arial"/>
        </w:rPr>
        <w:footnoteReference w:id="6"/>
      </w:r>
      <w:r w:rsidR="006F4358" w:rsidRPr="008C655C">
        <w:rPr>
          <w:rFonts w:ascii="Arial" w:hAnsi="Arial" w:cs="Arial"/>
        </w:rPr>
        <w:t xml:space="preserve">  </w:t>
      </w:r>
      <w:r w:rsidR="0016085C" w:rsidRPr="008C655C">
        <w:rPr>
          <w:rFonts w:ascii="Arial" w:hAnsi="Arial" w:cs="Arial"/>
        </w:rPr>
        <w:t xml:space="preserve">That is, there is a risk that OPA’s ability to independently advocate for an alleged victim of abuse would be incompatible with the role of lead investigator of the allegations of abuse.  OPA </w:t>
      </w:r>
      <w:r w:rsidR="006F4358" w:rsidRPr="008C655C">
        <w:rPr>
          <w:rFonts w:ascii="Arial" w:hAnsi="Arial" w:cs="Arial"/>
        </w:rPr>
        <w:t>submits that this is remains a valid consideration in determining whether and how public advocates should be given</w:t>
      </w:r>
      <w:r w:rsidR="00371DF9" w:rsidRPr="008C655C">
        <w:rPr>
          <w:rFonts w:ascii="Arial" w:hAnsi="Arial" w:cs="Arial"/>
        </w:rPr>
        <w:t xml:space="preserve"> powers to investigate allegations of abuse</w:t>
      </w:r>
      <w:r w:rsidR="006F4358" w:rsidRPr="008C655C">
        <w:rPr>
          <w:rFonts w:ascii="Arial" w:hAnsi="Arial" w:cs="Arial"/>
        </w:rPr>
        <w:t>.  Mechanisms would need to be developed in order to preserve t</w:t>
      </w:r>
      <w:r w:rsidR="002D65E8" w:rsidRPr="008C655C">
        <w:rPr>
          <w:rFonts w:ascii="Arial" w:hAnsi="Arial" w:cs="Arial"/>
        </w:rPr>
        <w:t xml:space="preserve">he </w:t>
      </w:r>
      <w:r w:rsidR="0016085C" w:rsidRPr="008C655C">
        <w:rPr>
          <w:rFonts w:ascii="Arial" w:hAnsi="Arial" w:cs="Arial"/>
        </w:rPr>
        <w:t xml:space="preserve">important </w:t>
      </w:r>
      <w:r w:rsidR="002D65E8" w:rsidRPr="008C655C">
        <w:rPr>
          <w:rFonts w:ascii="Arial" w:hAnsi="Arial" w:cs="Arial"/>
        </w:rPr>
        <w:t xml:space="preserve">independent advocacy </w:t>
      </w:r>
      <w:r w:rsidR="0016085C" w:rsidRPr="008C655C">
        <w:rPr>
          <w:rFonts w:ascii="Arial" w:hAnsi="Arial" w:cs="Arial"/>
        </w:rPr>
        <w:t xml:space="preserve">function performed by </w:t>
      </w:r>
      <w:r w:rsidR="002D65E8" w:rsidRPr="008C655C">
        <w:rPr>
          <w:rFonts w:ascii="Arial" w:hAnsi="Arial" w:cs="Arial"/>
        </w:rPr>
        <w:t xml:space="preserve">public advocates.  </w:t>
      </w:r>
    </w:p>
    <w:p w:rsidR="00025C4B" w:rsidRPr="008C655C" w:rsidRDefault="00025C4B" w:rsidP="008C655C">
      <w:pPr>
        <w:jc w:val="both"/>
        <w:rPr>
          <w:rFonts w:ascii="Arial" w:hAnsi="Arial" w:cs="Arial"/>
        </w:rPr>
      </w:pPr>
      <w:r w:rsidRPr="00F057B9">
        <w:rPr>
          <w:rFonts w:ascii="Arial" w:hAnsi="Arial" w:cs="Arial"/>
        </w:rPr>
        <w:t>The final point that we wish to make about this issue is that further clarification is needed about the potential overlap of the proposed investigative powers of public advocates and those of the Age</w:t>
      </w:r>
      <w:r w:rsidR="00D23C45" w:rsidRPr="00F057B9">
        <w:rPr>
          <w:rFonts w:ascii="Arial" w:hAnsi="Arial" w:cs="Arial"/>
        </w:rPr>
        <w:t>d Care Complaints Commissioner regarding allegations of abuse in aged care facilities and which body would assume primary responsibility.</w:t>
      </w:r>
      <w:r w:rsidR="00D23C45">
        <w:rPr>
          <w:rFonts w:ascii="Arial" w:hAnsi="Arial" w:cs="Arial"/>
        </w:rPr>
        <w:t xml:space="preserve"> </w:t>
      </w:r>
    </w:p>
    <w:p w:rsidR="006575BD" w:rsidRPr="008C655C" w:rsidRDefault="006575BD" w:rsidP="008C655C">
      <w:pPr>
        <w:jc w:val="both"/>
        <w:rPr>
          <w:rFonts w:ascii="Arial" w:hAnsi="Arial" w:cs="Arial"/>
          <w:b/>
        </w:rPr>
      </w:pPr>
      <w:r w:rsidRPr="008C655C">
        <w:rPr>
          <w:rFonts w:ascii="Arial" w:hAnsi="Arial" w:cs="Arial"/>
          <w:b/>
        </w:rPr>
        <w:t>ii) Should the power to investigate elder abuse be triggered where an adult with care and support</w:t>
      </w:r>
      <w:r w:rsidRPr="008C655C">
        <w:rPr>
          <w:rFonts w:ascii="Arial" w:hAnsi="Arial" w:cs="Arial"/>
          <w:b/>
          <w:i/>
        </w:rPr>
        <w:t xml:space="preserve"> </w:t>
      </w:r>
      <w:r w:rsidRPr="008C655C">
        <w:rPr>
          <w:rFonts w:ascii="Arial" w:hAnsi="Arial" w:cs="Arial"/>
          <w:b/>
        </w:rPr>
        <w:t>needs</w:t>
      </w:r>
      <w:r w:rsidRPr="008C655C">
        <w:rPr>
          <w:rFonts w:ascii="Arial" w:hAnsi="Arial" w:cs="Arial"/>
          <w:b/>
          <w:i/>
        </w:rPr>
        <w:t xml:space="preserve"> </w:t>
      </w:r>
      <w:r w:rsidRPr="008C655C">
        <w:rPr>
          <w:rFonts w:ascii="Arial" w:hAnsi="Arial" w:cs="Arial"/>
          <w:b/>
        </w:rPr>
        <w:t>is at risk?</w:t>
      </w:r>
    </w:p>
    <w:p w:rsidR="00D52013" w:rsidRPr="008C655C" w:rsidRDefault="00C57F50" w:rsidP="008C655C">
      <w:pPr>
        <w:jc w:val="both"/>
        <w:rPr>
          <w:rFonts w:ascii="Arial" w:hAnsi="Arial" w:cs="Arial"/>
        </w:rPr>
      </w:pPr>
      <w:r w:rsidRPr="008C655C">
        <w:rPr>
          <w:rFonts w:ascii="Arial" w:hAnsi="Arial" w:cs="Arial"/>
        </w:rPr>
        <w:lastRenderedPageBreak/>
        <w:t>Under</w:t>
      </w:r>
      <w:r w:rsidR="006575BD" w:rsidRPr="008C655C">
        <w:rPr>
          <w:rFonts w:ascii="Arial" w:hAnsi="Arial" w:cs="Arial"/>
        </w:rPr>
        <w:t xml:space="preserve"> proposal 3-1</w:t>
      </w:r>
      <w:r w:rsidRPr="008C655C">
        <w:rPr>
          <w:rFonts w:ascii="Arial" w:hAnsi="Arial" w:cs="Arial"/>
        </w:rPr>
        <w:t>, the application of</w:t>
      </w:r>
      <w:r w:rsidR="006575BD" w:rsidRPr="008C655C">
        <w:rPr>
          <w:rFonts w:ascii="Arial" w:hAnsi="Arial" w:cs="Arial"/>
        </w:rPr>
        <w:t xml:space="preserve"> the investigative powers of OPA would extend</w:t>
      </w:r>
      <w:r w:rsidR="00663945" w:rsidRPr="008C655C">
        <w:rPr>
          <w:rFonts w:ascii="Arial" w:hAnsi="Arial" w:cs="Arial"/>
        </w:rPr>
        <w:t xml:space="preserve"> beyond older people</w:t>
      </w:r>
      <w:r w:rsidRPr="008C655C">
        <w:rPr>
          <w:rFonts w:ascii="Arial" w:hAnsi="Arial" w:cs="Arial"/>
        </w:rPr>
        <w:t xml:space="preserve"> with</w:t>
      </w:r>
      <w:r w:rsidR="006575BD" w:rsidRPr="008C655C">
        <w:rPr>
          <w:rFonts w:ascii="Arial" w:hAnsi="Arial" w:cs="Arial"/>
        </w:rPr>
        <w:t xml:space="preserve"> impair</w:t>
      </w:r>
      <w:r w:rsidR="00B840E4" w:rsidRPr="008C655C">
        <w:rPr>
          <w:rFonts w:ascii="Arial" w:hAnsi="Arial" w:cs="Arial"/>
        </w:rPr>
        <w:t>ed decision-making capacity.  Li</w:t>
      </w:r>
      <w:r w:rsidR="00950370" w:rsidRPr="008C655C">
        <w:rPr>
          <w:rFonts w:ascii="Arial" w:hAnsi="Arial" w:cs="Arial"/>
        </w:rPr>
        <w:t xml:space="preserve">miting public advocates’ </w:t>
      </w:r>
      <w:r w:rsidR="006575BD" w:rsidRPr="008C655C">
        <w:rPr>
          <w:rFonts w:ascii="Arial" w:hAnsi="Arial" w:cs="Arial"/>
        </w:rPr>
        <w:t>investigative functions to persons with impaired decision-making capacity more comfortably aligns with current l</w:t>
      </w:r>
      <w:r w:rsidR="00B840E4" w:rsidRPr="008C655C">
        <w:rPr>
          <w:rFonts w:ascii="Arial" w:hAnsi="Arial" w:cs="Arial"/>
        </w:rPr>
        <w:t>egislative powers and functions.  However,</w:t>
      </w:r>
      <w:r w:rsidR="006575BD" w:rsidRPr="008C655C">
        <w:rPr>
          <w:rFonts w:ascii="Arial" w:hAnsi="Arial" w:cs="Arial"/>
        </w:rPr>
        <w:t xml:space="preserve"> </w:t>
      </w:r>
      <w:r w:rsidRPr="008C655C">
        <w:rPr>
          <w:rFonts w:ascii="Arial" w:hAnsi="Arial" w:cs="Arial"/>
        </w:rPr>
        <w:t xml:space="preserve">OPA agrees that </w:t>
      </w:r>
      <w:r w:rsidR="00B840E4" w:rsidRPr="008C655C">
        <w:rPr>
          <w:rFonts w:ascii="Arial" w:hAnsi="Arial" w:cs="Arial"/>
        </w:rPr>
        <w:t>this</w:t>
      </w:r>
      <w:r w:rsidR="007A2344" w:rsidRPr="008C655C">
        <w:rPr>
          <w:rFonts w:ascii="Arial" w:hAnsi="Arial" w:cs="Arial"/>
        </w:rPr>
        <w:t xml:space="preserve"> broader scope</w:t>
      </w:r>
      <w:r w:rsidR="00B840E4" w:rsidRPr="008C655C">
        <w:rPr>
          <w:rFonts w:ascii="Arial" w:hAnsi="Arial" w:cs="Arial"/>
        </w:rPr>
        <w:t>, w</w:t>
      </w:r>
      <w:r w:rsidR="00507F0D" w:rsidRPr="008C655C">
        <w:rPr>
          <w:rFonts w:ascii="Arial" w:hAnsi="Arial" w:cs="Arial"/>
        </w:rPr>
        <w:t xml:space="preserve">hich focuses on the </w:t>
      </w:r>
      <w:r w:rsidR="00507F0D" w:rsidRPr="008C655C">
        <w:rPr>
          <w:rFonts w:ascii="Arial" w:hAnsi="Arial" w:cs="Arial"/>
          <w:i/>
        </w:rPr>
        <w:t>inability to seek assistance</w:t>
      </w:r>
      <w:r w:rsidR="00507F0D" w:rsidRPr="008C655C">
        <w:rPr>
          <w:rFonts w:ascii="Arial" w:hAnsi="Arial" w:cs="Arial"/>
        </w:rPr>
        <w:t xml:space="preserve">, </w:t>
      </w:r>
      <w:r w:rsidR="007A2344" w:rsidRPr="008C655C">
        <w:rPr>
          <w:rFonts w:ascii="Arial" w:hAnsi="Arial" w:cs="Arial"/>
        </w:rPr>
        <w:t>is</w:t>
      </w:r>
      <w:r w:rsidRPr="008C655C">
        <w:rPr>
          <w:rFonts w:ascii="Arial" w:hAnsi="Arial" w:cs="Arial"/>
        </w:rPr>
        <w:t xml:space="preserve"> </w:t>
      </w:r>
      <w:r w:rsidR="006575BD" w:rsidRPr="008C655C">
        <w:rPr>
          <w:rFonts w:ascii="Arial" w:hAnsi="Arial" w:cs="Arial"/>
        </w:rPr>
        <w:t xml:space="preserve">desirable in order </w:t>
      </w:r>
      <w:r w:rsidRPr="008C655C">
        <w:rPr>
          <w:rFonts w:ascii="Arial" w:hAnsi="Arial" w:cs="Arial"/>
        </w:rPr>
        <w:t xml:space="preserve">to fill </w:t>
      </w:r>
      <w:r w:rsidR="00950370" w:rsidRPr="008C655C">
        <w:rPr>
          <w:rFonts w:ascii="Arial" w:hAnsi="Arial" w:cs="Arial"/>
        </w:rPr>
        <w:t>the</w:t>
      </w:r>
      <w:r w:rsidR="006575BD" w:rsidRPr="008C655C">
        <w:rPr>
          <w:rFonts w:ascii="Arial" w:hAnsi="Arial" w:cs="Arial"/>
        </w:rPr>
        <w:t xml:space="preserve"> </w:t>
      </w:r>
      <w:r w:rsidR="00C818E3" w:rsidRPr="008C655C">
        <w:rPr>
          <w:rFonts w:ascii="Arial" w:hAnsi="Arial" w:cs="Arial"/>
        </w:rPr>
        <w:t>“</w:t>
      </w:r>
      <w:r w:rsidR="006575BD" w:rsidRPr="008C655C">
        <w:rPr>
          <w:rFonts w:ascii="Arial" w:hAnsi="Arial" w:cs="Arial"/>
        </w:rPr>
        <w:t>investigations gap</w:t>
      </w:r>
      <w:r w:rsidR="00C818E3" w:rsidRPr="008C655C">
        <w:rPr>
          <w:rFonts w:ascii="Arial" w:hAnsi="Arial" w:cs="Arial"/>
        </w:rPr>
        <w:t>” identified in the ALRC’s Discussion Paper</w:t>
      </w:r>
      <w:r w:rsidR="006575BD" w:rsidRPr="008C655C">
        <w:rPr>
          <w:rFonts w:ascii="Arial" w:hAnsi="Arial" w:cs="Arial"/>
        </w:rPr>
        <w:t>.</w:t>
      </w:r>
      <w:r w:rsidR="006057A6" w:rsidRPr="008C655C">
        <w:rPr>
          <w:rStyle w:val="FootnoteReference"/>
          <w:rFonts w:ascii="Arial" w:hAnsi="Arial" w:cs="Arial"/>
        </w:rPr>
        <w:footnoteReference w:id="7"/>
      </w:r>
      <w:r w:rsidR="006575BD" w:rsidRPr="008C655C">
        <w:rPr>
          <w:rFonts w:ascii="Arial" w:hAnsi="Arial" w:cs="Arial"/>
        </w:rPr>
        <w:t xml:space="preserve">  There will be </w:t>
      </w:r>
      <w:r w:rsidR="007A2344" w:rsidRPr="008C655C">
        <w:rPr>
          <w:rFonts w:ascii="Arial" w:hAnsi="Arial" w:cs="Arial"/>
        </w:rPr>
        <w:t>situations where the victim of abuse has</w:t>
      </w:r>
      <w:r w:rsidR="006575BD" w:rsidRPr="008C655C">
        <w:rPr>
          <w:rFonts w:ascii="Arial" w:hAnsi="Arial" w:cs="Arial"/>
        </w:rPr>
        <w:t xml:space="preserve"> </w:t>
      </w:r>
      <w:r w:rsidR="00D52013" w:rsidRPr="008C655C">
        <w:rPr>
          <w:rFonts w:ascii="Arial" w:hAnsi="Arial" w:cs="Arial"/>
        </w:rPr>
        <w:t>limited ability</w:t>
      </w:r>
      <w:r w:rsidR="007A2344" w:rsidRPr="008C655C">
        <w:rPr>
          <w:rFonts w:ascii="Arial" w:hAnsi="Arial" w:cs="Arial"/>
        </w:rPr>
        <w:t xml:space="preserve"> </w:t>
      </w:r>
      <w:r w:rsidR="00CC350D" w:rsidRPr="008C655C">
        <w:rPr>
          <w:rFonts w:ascii="Arial" w:hAnsi="Arial" w:cs="Arial"/>
        </w:rPr>
        <w:t xml:space="preserve">(other than by reason of a </w:t>
      </w:r>
      <w:r w:rsidR="00663945" w:rsidRPr="008C655C">
        <w:rPr>
          <w:rFonts w:ascii="Arial" w:hAnsi="Arial" w:cs="Arial"/>
        </w:rPr>
        <w:t xml:space="preserve">mental incapacity) </w:t>
      </w:r>
      <w:r w:rsidR="007A2344" w:rsidRPr="008C655C">
        <w:rPr>
          <w:rFonts w:ascii="Arial" w:hAnsi="Arial" w:cs="Arial"/>
        </w:rPr>
        <w:t>to seek assistance</w:t>
      </w:r>
      <w:r w:rsidR="00CC350D" w:rsidRPr="008C655C">
        <w:rPr>
          <w:rFonts w:ascii="Arial" w:hAnsi="Arial" w:cs="Arial"/>
        </w:rPr>
        <w:t xml:space="preserve">. </w:t>
      </w:r>
    </w:p>
    <w:p w:rsidR="00643B22" w:rsidRPr="008C655C" w:rsidRDefault="00652820" w:rsidP="008C655C">
      <w:pPr>
        <w:jc w:val="both"/>
        <w:rPr>
          <w:rFonts w:ascii="Arial" w:hAnsi="Arial" w:cs="Arial"/>
        </w:rPr>
      </w:pPr>
      <w:r w:rsidRPr="00F057B9">
        <w:rPr>
          <w:rFonts w:ascii="Arial" w:hAnsi="Arial" w:cs="Arial"/>
        </w:rPr>
        <w:t xml:space="preserve">OPA considers that an express right for people who have capacity to do so </w:t>
      </w:r>
      <w:r w:rsidR="00663945" w:rsidRPr="00F057B9">
        <w:rPr>
          <w:rFonts w:ascii="Arial" w:hAnsi="Arial" w:cs="Arial"/>
        </w:rPr>
        <w:t xml:space="preserve">to refuse </w:t>
      </w:r>
      <w:r w:rsidR="00BA13D6" w:rsidRPr="00F057B9">
        <w:rPr>
          <w:rFonts w:ascii="Arial" w:hAnsi="Arial" w:cs="Arial"/>
        </w:rPr>
        <w:t xml:space="preserve">any </w:t>
      </w:r>
      <w:r w:rsidR="00663945" w:rsidRPr="00F057B9">
        <w:rPr>
          <w:rFonts w:ascii="Arial" w:hAnsi="Arial" w:cs="Arial"/>
        </w:rPr>
        <w:t>support, assistance and protection</w:t>
      </w:r>
      <w:r w:rsidRPr="00F057B9">
        <w:rPr>
          <w:rFonts w:ascii="Arial" w:hAnsi="Arial" w:cs="Arial"/>
        </w:rPr>
        <w:t xml:space="preserve"> (proposal 3-2) is generally an </w:t>
      </w:r>
      <w:r w:rsidR="00CC350D" w:rsidRPr="00F057B9">
        <w:rPr>
          <w:rFonts w:ascii="Arial" w:hAnsi="Arial" w:cs="Arial"/>
        </w:rPr>
        <w:t>appropriate limitation of the inv</w:t>
      </w:r>
      <w:r w:rsidRPr="00F057B9">
        <w:rPr>
          <w:rFonts w:ascii="Arial" w:hAnsi="Arial" w:cs="Arial"/>
        </w:rPr>
        <w:t>estigative powers.  It would safeguard</w:t>
      </w:r>
      <w:r w:rsidR="00B840E4" w:rsidRPr="00F057B9">
        <w:rPr>
          <w:rFonts w:ascii="Arial" w:hAnsi="Arial" w:cs="Arial"/>
        </w:rPr>
        <w:t xml:space="preserve"> against </w:t>
      </w:r>
      <w:r w:rsidR="00CC350D" w:rsidRPr="00F057B9">
        <w:rPr>
          <w:rFonts w:ascii="Arial" w:hAnsi="Arial" w:cs="Arial"/>
        </w:rPr>
        <w:t>unwarranted intrusion into the lives and affairs of older people</w:t>
      </w:r>
      <w:r w:rsidR="00C818E3" w:rsidRPr="00F057B9">
        <w:rPr>
          <w:rFonts w:ascii="Arial" w:hAnsi="Arial" w:cs="Arial"/>
        </w:rPr>
        <w:t xml:space="preserve"> and their right to make their own choices</w:t>
      </w:r>
      <w:r w:rsidR="006057A6" w:rsidRPr="00F057B9">
        <w:rPr>
          <w:rFonts w:ascii="Arial" w:hAnsi="Arial" w:cs="Arial"/>
        </w:rPr>
        <w:t>.</w:t>
      </w:r>
      <w:r w:rsidRPr="00F057B9">
        <w:rPr>
          <w:rFonts w:ascii="Arial" w:hAnsi="Arial" w:cs="Arial"/>
        </w:rPr>
        <w:t xml:space="preserve">  However, we believe that there needs to be further clarification about the ability for public advocates exercising the proposed investigative functions to make reports to the police or otherwise share information where there reasonably appears to be evidence that a serious criminal offence has occurred</w:t>
      </w:r>
      <w:r w:rsidR="00061F31" w:rsidRPr="00F057B9">
        <w:rPr>
          <w:rFonts w:ascii="Arial" w:hAnsi="Arial" w:cs="Arial"/>
        </w:rPr>
        <w:t xml:space="preserve">.  We will address </w:t>
      </w:r>
      <w:r w:rsidRPr="00F057B9">
        <w:rPr>
          <w:rFonts w:ascii="Arial" w:hAnsi="Arial" w:cs="Arial"/>
        </w:rPr>
        <w:t>this further in our comments in response to proposal</w:t>
      </w:r>
      <w:r w:rsidR="008C655C" w:rsidRPr="00F057B9">
        <w:rPr>
          <w:rFonts w:ascii="Arial" w:hAnsi="Arial" w:cs="Arial"/>
        </w:rPr>
        <w:t>s</w:t>
      </w:r>
      <w:r w:rsidRPr="00F057B9">
        <w:rPr>
          <w:rFonts w:ascii="Arial" w:hAnsi="Arial" w:cs="Arial"/>
        </w:rPr>
        <w:t xml:space="preserve"> 3-2</w:t>
      </w:r>
      <w:r w:rsidR="009E2845" w:rsidRPr="00F057B9">
        <w:rPr>
          <w:rFonts w:ascii="Arial" w:hAnsi="Arial" w:cs="Arial"/>
        </w:rPr>
        <w:t xml:space="preserve"> and 3-4</w:t>
      </w:r>
      <w:r w:rsidRPr="00F057B9">
        <w:rPr>
          <w:rFonts w:ascii="Arial" w:hAnsi="Arial" w:cs="Arial"/>
        </w:rPr>
        <w:t>.</w:t>
      </w:r>
    </w:p>
    <w:p w:rsidR="001E56B3" w:rsidRPr="008C655C" w:rsidRDefault="001E56B3" w:rsidP="008C655C">
      <w:pPr>
        <w:autoSpaceDE w:val="0"/>
        <w:autoSpaceDN w:val="0"/>
        <w:adjustRightInd w:val="0"/>
        <w:spacing w:after="0" w:line="240" w:lineRule="auto"/>
        <w:jc w:val="both"/>
        <w:rPr>
          <w:rFonts w:ascii="Arial" w:hAnsi="Arial" w:cs="Arial"/>
        </w:rPr>
      </w:pPr>
    </w:p>
    <w:p w:rsidR="00245A89" w:rsidRPr="008C655C" w:rsidRDefault="00B85A87" w:rsidP="008C655C">
      <w:pPr>
        <w:jc w:val="both"/>
        <w:rPr>
          <w:rFonts w:ascii="Arial" w:hAnsi="Arial" w:cs="Arial"/>
          <w:b/>
        </w:rPr>
      </w:pPr>
      <w:r w:rsidRPr="008C655C">
        <w:rPr>
          <w:rFonts w:ascii="Arial" w:hAnsi="Arial" w:cs="Arial"/>
          <w:b/>
        </w:rPr>
        <w:t>iii) Should the investigatory powers be limited to suspicions of abuse of older people or should it apply more generally to all adults at risk</w:t>
      </w:r>
      <w:r w:rsidR="009E314A" w:rsidRPr="008C655C">
        <w:rPr>
          <w:rFonts w:ascii="Arial" w:hAnsi="Arial" w:cs="Arial"/>
          <w:b/>
        </w:rPr>
        <w:t>,</w:t>
      </w:r>
      <w:r w:rsidRPr="008C655C">
        <w:rPr>
          <w:rFonts w:ascii="Arial" w:hAnsi="Arial" w:cs="Arial"/>
          <w:b/>
        </w:rPr>
        <w:t xml:space="preserve"> regardless of age?</w:t>
      </w:r>
    </w:p>
    <w:p w:rsidR="00F73408" w:rsidRPr="008C655C" w:rsidRDefault="00507F0D" w:rsidP="008C655C">
      <w:pPr>
        <w:jc w:val="both"/>
        <w:rPr>
          <w:rFonts w:ascii="Arial" w:hAnsi="Arial" w:cs="Arial"/>
        </w:rPr>
      </w:pPr>
      <w:r w:rsidRPr="008C655C">
        <w:rPr>
          <w:rFonts w:ascii="Arial" w:hAnsi="Arial" w:cs="Arial"/>
        </w:rPr>
        <w:t>OPA’s</w:t>
      </w:r>
      <w:r w:rsidR="00611CC2" w:rsidRPr="008C655C">
        <w:rPr>
          <w:rFonts w:ascii="Arial" w:hAnsi="Arial" w:cs="Arial"/>
        </w:rPr>
        <w:t xml:space="preserve"> </w:t>
      </w:r>
      <w:r w:rsidR="00611CC2" w:rsidRPr="008C655C">
        <w:rPr>
          <w:rFonts w:ascii="Arial" w:hAnsi="Arial" w:cs="Arial"/>
          <w:i/>
        </w:rPr>
        <w:t xml:space="preserve">Closing the Gaps </w:t>
      </w:r>
      <w:r w:rsidR="00611CC2" w:rsidRPr="008C655C">
        <w:rPr>
          <w:rFonts w:ascii="Arial" w:hAnsi="Arial" w:cs="Arial"/>
        </w:rPr>
        <w:t>inquiry focused on safeguarding vulnerable older people.  In its report, OPA indicated that further consultation would be required to determine support for legislation which encompasses protection of all vulnerable adults.</w:t>
      </w:r>
    </w:p>
    <w:p w:rsidR="004109C3" w:rsidRPr="008C655C" w:rsidRDefault="0063231D" w:rsidP="008C655C">
      <w:pPr>
        <w:jc w:val="both"/>
        <w:rPr>
          <w:rFonts w:ascii="Arial" w:hAnsi="Arial" w:cs="Arial"/>
          <w:b/>
        </w:rPr>
      </w:pPr>
      <w:r w:rsidRPr="008C655C">
        <w:rPr>
          <w:rFonts w:ascii="Arial" w:hAnsi="Arial" w:cs="Arial"/>
        </w:rPr>
        <w:t xml:space="preserve">There may well </w:t>
      </w:r>
      <w:r w:rsidR="00507F0D" w:rsidRPr="008C655C">
        <w:rPr>
          <w:rFonts w:ascii="Arial" w:hAnsi="Arial" w:cs="Arial"/>
        </w:rPr>
        <w:t>be a need for a framework/system</w:t>
      </w:r>
      <w:r w:rsidRPr="008C655C">
        <w:rPr>
          <w:rFonts w:ascii="Arial" w:hAnsi="Arial" w:cs="Arial"/>
        </w:rPr>
        <w:t xml:space="preserve"> to safeguard</w:t>
      </w:r>
      <w:r w:rsidR="00611CC2" w:rsidRPr="008C655C">
        <w:rPr>
          <w:rFonts w:ascii="Arial" w:hAnsi="Arial" w:cs="Arial"/>
        </w:rPr>
        <w:t xml:space="preserve"> </w:t>
      </w:r>
      <w:r w:rsidRPr="008C655C">
        <w:rPr>
          <w:rFonts w:ascii="Arial" w:hAnsi="Arial" w:cs="Arial"/>
        </w:rPr>
        <w:t xml:space="preserve">other vulnerable adults.  We can certainly </w:t>
      </w:r>
      <w:r w:rsidR="00611CC2" w:rsidRPr="008C655C">
        <w:rPr>
          <w:rFonts w:ascii="Arial" w:hAnsi="Arial" w:cs="Arial"/>
        </w:rPr>
        <w:t xml:space="preserve">see disadvantages in the operation of separate systems for safeguarding vulnerable adults based on their age, </w:t>
      </w:r>
      <w:r w:rsidRPr="008C655C">
        <w:rPr>
          <w:rFonts w:ascii="Arial" w:hAnsi="Arial" w:cs="Arial"/>
        </w:rPr>
        <w:t xml:space="preserve">rather than </w:t>
      </w:r>
      <w:r w:rsidR="00611CC2" w:rsidRPr="008C655C">
        <w:rPr>
          <w:rFonts w:ascii="Arial" w:hAnsi="Arial" w:cs="Arial"/>
        </w:rPr>
        <w:t xml:space="preserve">considering the circumstances of the person as a whole.  </w:t>
      </w:r>
      <w:r w:rsidRPr="008C655C">
        <w:rPr>
          <w:rFonts w:ascii="Arial" w:hAnsi="Arial" w:cs="Arial"/>
        </w:rPr>
        <w:t xml:space="preserve">Ultimately, making a distinction based on age </w:t>
      </w:r>
      <w:r w:rsidR="001C5F44" w:rsidRPr="008C655C">
        <w:rPr>
          <w:rFonts w:ascii="Arial" w:hAnsi="Arial" w:cs="Arial"/>
        </w:rPr>
        <w:t xml:space="preserve">may be </w:t>
      </w:r>
      <w:r w:rsidRPr="008C655C">
        <w:rPr>
          <w:rFonts w:ascii="Arial" w:hAnsi="Arial" w:cs="Arial"/>
        </w:rPr>
        <w:t xml:space="preserve">discriminatory.  Other jurisdictions, including England, Scotland and British Columbia have comprehensive systems for safeguarding adults which are not </w:t>
      </w:r>
      <w:r w:rsidR="001C5F44" w:rsidRPr="008C655C">
        <w:rPr>
          <w:rFonts w:ascii="Arial" w:hAnsi="Arial" w:cs="Arial"/>
        </w:rPr>
        <w:t>limited</w:t>
      </w:r>
      <w:r w:rsidR="009E314A" w:rsidRPr="008C655C">
        <w:rPr>
          <w:rFonts w:ascii="Arial" w:hAnsi="Arial" w:cs="Arial"/>
        </w:rPr>
        <w:t xml:space="preserve"> by age (with the exception that they apply to adults rather than children)</w:t>
      </w:r>
      <w:r w:rsidR="001C5F44" w:rsidRPr="008C655C">
        <w:rPr>
          <w:rFonts w:ascii="Arial" w:hAnsi="Arial" w:cs="Arial"/>
        </w:rPr>
        <w:t>.</w:t>
      </w:r>
    </w:p>
    <w:p w:rsidR="003272D7" w:rsidRPr="008C655C" w:rsidRDefault="004109C3" w:rsidP="008C655C">
      <w:pPr>
        <w:jc w:val="both"/>
        <w:rPr>
          <w:rFonts w:ascii="Arial" w:hAnsi="Arial" w:cs="Arial"/>
          <w:b/>
          <w:i/>
        </w:rPr>
      </w:pPr>
      <w:r w:rsidRPr="008C655C">
        <w:rPr>
          <w:rFonts w:ascii="Arial" w:hAnsi="Arial" w:cs="Arial"/>
          <w:b/>
          <w:i/>
        </w:rPr>
        <w:t>Proposal 3-2:</w:t>
      </w:r>
      <w:r w:rsidR="003F53ED" w:rsidRPr="008C655C">
        <w:rPr>
          <w:rFonts w:ascii="Arial" w:hAnsi="Arial" w:cs="Arial"/>
          <w:b/>
          <w:i/>
        </w:rPr>
        <w:t xml:space="preserve"> Public advocates or public guardians should be guided by the following principles: </w:t>
      </w:r>
    </w:p>
    <w:p w:rsidR="003F53ED" w:rsidRPr="008C655C" w:rsidRDefault="003F53ED" w:rsidP="008C655C">
      <w:pPr>
        <w:pStyle w:val="ListParagraph"/>
        <w:numPr>
          <w:ilvl w:val="0"/>
          <w:numId w:val="2"/>
        </w:numPr>
        <w:jc w:val="both"/>
        <w:rPr>
          <w:rFonts w:ascii="Arial" w:hAnsi="Arial" w:cs="Arial"/>
          <w:b/>
          <w:i/>
          <w:sz w:val="22"/>
          <w:szCs w:val="22"/>
        </w:rPr>
      </w:pPr>
      <w:r w:rsidRPr="008C655C">
        <w:rPr>
          <w:rFonts w:ascii="Arial" w:hAnsi="Arial" w:cs="Arial"/>
          <w:b/>
          <w:i/>
          <w:sz w:val="22"/>
          <w:szCs w:val="22"/>
        </w:rPr>
        <w:t xml:space="preserve">Older people experiencing abuse or neglect have the right to refuse support, assistance or protection </w:t>
      </w:r>
    </w:p>
    <w:p w:rsidR="00087921" w:rsidRPr="008C655C" w:rsidRDefault="00087921" w:rsidP="008C655C">
      <w:pPr>
        <w:pStyle w:val="ListParagraph"/>
        <w:numPr>
          <w:ilvl w:val="0"/>
          <w:numId w:val="2"/>
        </w:numPr>
        <w:jc w:val="both"/>
        <w:rPr>
          <w:rFonts w:ascii="Arial" w:hAnsi="Arial" w:cs="Arial"/>
          <w:b/>
          <w:i/>
          <w:sz w:val="22"/>
          <w:szCs w:val="22"/>
        </w:rPr>
      </w:pPr>
      <w:r w:rsidRPr="008C655C">
        <w:rPr>
          <w:rFonts w:ascii="Arial" w:hAnsi="Arial" w:cs="Arial"/>
          <w:b/>
          <w:i/>
          <w:sz w:val="22"/>
          <w:szCs w:val="22"/>
        </w:rPr>
        <w:t xml:space="preserve">The need to protect someone from abuse or neglect must be balanced with respect for the person’s right to make their own </w:t>
      </w:r>
      <w:r w:rsidR="008F7B8C" w:rsidRPr="008C655C">
        <w:rPr>
          <w:rFonts w:ascii="Arial" w:hAnsi="Arial" w:cs="Arial"/>
          <w:b/>
          <w:i/>
          <w:sz w:val="22"/>
          <w:szCs w:val="22"/>
        </w:rPr>
        <w:t>decisions about their care; and</w:t>
      </w:r>
    </w:p>
    <w:p w:rsidR="00087921" w:rsidRPr="008C655C" w:rsidRDefault="00087921" w:rsidP="008C655C">
      <w:pPr>
        <w:pStyle w:val="ListParagraph"/>
        <w:numPr>
          <w:ilvl w:val="0"/>
          <w:numId w:val="2"/>
        </w:numPr>
        <w:jc w:val="both"/>
        <w:rPr>
          <w:rFonts w:ascii="Arial" w:hAnsi="Arial" w:cs="Arial"/>
          <w:b/>
          <w:i/>
          <w:sz w:val="22"/>
          <w:szCs w:val="22"/>
        </w:rPr>
      </w:pPr>
      <w:r w:rsidRPr="008C655C">
        <w:rPr>
          <w:rFonts w:ascii="Arial" w:hAnsi="Arial" w:cs="Arial"/>
          <w:b/>
          <w:i/>
          <w:sz w:val="22"/>
          <w:szCs w:val="22"/>
        </w:rPr>
        <w:t xml:space="preserve">The will, preferences and rights of the older person must be respected </w:t>
      </w:r>
    </w:p>
    <w:p w:rsidR="000D6944" w:rsidRPr="008C655C" w:rsidRDefault="000D6944" w:rsidP="008C655C">
      <w:pPr>
        <w:pStyle w:val="ListParagraph"/>
        <w:ind w:left="360"/>
        <w:jc w:val="both"/>
        <w:rPr>
          <w:rFonts w:ascii="Arial" w:hAnsi="Arial" w:cs="Arial"/>
          <w:b/>
          <w:i/>
          <w:sz w:val="22"/>
          <w:szCs w:val="22"/>
        </w:rPr>
      </w:pPr>
    </w:p>
    <w:p w:rsidR="00507F0D" w:rsidRPr="008C655C" w:rsidRDefault="003D74AF" w:rsidP="008C655C">
      <w:pPr>
        <w:jc w:val="both"/>
        <w:rPr>
          <w:rFonts w:ascii="Arial" w:hAnsi="Arial" w:cs="Arial"/>
        </w:rPr>
      </w:pPr>
      <w:r w:rsidRPr="008C655C">
        <w:rPr>
          <w:rFonts w:ascii="Arial" w:hAnsi="Arial" w:cs="Arial"/>
        </w:rPr>
        <w:t>OPA agree</w:t>
      </w:r>
      <w:r w:rsidR="00F377C6" w:rsidRPr="008C655C">
        <w:rPr>
          <w:rFonts w:ascii="Arial" w:hAnsi="Arial" w:cs="Arial"/>
        </w:rPr>
        <w:t>s</w:t>
      </w:r>
      <w:r w:rsidR="004D3C1D" w:rsidRPr="008C655C">
        <w:rPr>
          <w:rFonts w:ascii="Arial" w:hAnsi="Arial" w:cs="Arial"/>
        </w:rPr>
        <w:t xml:space="preserve"> that a rights-</w:t>
      </w:r>
      <w:r w:rsidRPr="008C655C">
        <w:rPr>
          <w:rFonts w:ascii="Arial" w:hAnsi="Arial" w:cs="Arial"/>
        </w:rPr>
        <w:t xml:space="preserve">based approach should be taken </w:t>
      </w:r>
      <w:r w:rsidR="004D3C1D" w:rsidRPr="008C655C">
        <w:rPr>
          <w:rFonts w:ascii="Arial" w:hAnsi="Arial" w:cs="Arial"/>
        </w:rPr>
        <w:t xml:space="preserve">in respect of the proposed </w:t>
      </w:r>
      <w:r w:rsidR="00AD48C2" w:rsidRPr="008C655C">
        <w:rPr>
          <w:rFonts w:ascii="Arial" w:hAnsi="Arial" w:cs="Arial"/>
        </w:rPr>
        <w:t xml:space="preserve">investigative powers </w:t>
      </w:r>
      <w:r w:rsidRPr="008C655C">
        <w:rPr>
          <w:rFonts w:ascii="Arial" w:hAnsi="Arial" w:cs="Arial"/>
        </w:rPr>
        <w:t>and</w:t>
      </w:r>
      <w:r w:rsidR="00B306EB" w:rsidRPr="008C655C">
        <w:rPr>
          <w:rFonts w:ascii="Arial" w:hAnsi="Arial" w:cs="Arial"/>
        </w:rPr>
        <w:t xml:space="preserve"> that</w:t>
      </w:r>
      <w:r w:rsidRPr="008C655C">
        <w:rPr>
          <w:rFonts w:ascii="Arial" w:hAnsi="Arial" w:cs="Arial"/>
        </w:rPr>
        <w:t xml:space="preserve"> it is necessary to b</w:t>
      </w:r>
      <w:r w:rsidR="00961D49" w:rsidRPr="008C655C">
        <w:rPr>
          <w:rFonts w:ascii="Arial" w:hAnsi="Arial" w:cs="Arial"/>
        </w:rPr>
        <w:t xml:space="preserve">alance </w:t>
      </w:r>
      <w:r w:rsidRPr="008C655C">
        <w:rPr>
          <w:rFonts w:ascii="Arial" w:hAnsi="Arial" w:cs="Arial"/>
        </w:rPr>
        <w:t xml:space="preserve">the </w:t>
      </w:r>
      <w:r w:rsidR="00507F0D" w:rsidRPr="008C655C">
        <w:rPr>
          <w:rFonts w:ascii="Arial" w:hAnsi="Arial" w:cs="Arial"/>
        </w:rPr>
        <w:t xml:space="preserve">older </w:t>
      </w:r>
      <w:r w:rsidRPr="008C655C">
        <w:rPr>
          <w:rFonts w:ascii="Arial" w:hAnsi="Arial" w:cs="Arial"/>
        </w:rPr>
        <w:t>person’s</w:t>
      </w:r>
      <w:r w:rsidR="00961D49" w:rsidRPr="008C655C">
        <w:rPr>
          <w:rFonts w:ascii="Arial" w:hAnsi="Arial" w:cs="Arial"/>
        </w:rPr>
        <w:t xml:space="preserve"> rights </w:t>
      </w:r>
      <w:r w:rsidRPr="008C655C">
        <w:rPr>
          <w:rFonts w:ascii="Arial" w:hAnsi="Arial" w:cs="Arial"/>
        </w:rPr>
        <w:t xml:space="preserve">and freedoms against </w:t>
      </w:r>
      <w:r w:rsidR="004D3C1D" w:rsidRPr="008C655C">
        <w:rPr>
          <w:rFonts w:ascii="Arial" w:hAnsi="Arial" w:cs="Arial"/>
        </w:rPr>
        <w:t xml:space="preserve">their </w:t>
      </w:r>
      <w:r w:rsidRPr="008C655C">
        <w:rPr>
          <w:rFonts w:ascii="Arial" w:hAnsi="Arial" w:cs="Arial"/>
        </w:rPr>
        <w:t xml:space="preserve">protection. </w:t>
      </w:r>
      <w:r w:rsidR="00F377C6" w:rsidRPr="008C655C">
        <w:rPr>
          <w:rFonts w:ascii="Arial" w:hAnsi="Arial" w:cs="Arial"/>
        </w:rPr>
        <w:t xml:space="preserve"> </w:t>
      </w:r>
    </w:p>
    <w:p w:rsidR="003D74AF" w:rsidRPr="008C655C" w:rsidRDefault="00F377C6" w:rsidP="008C655C">
      <w:pPr>
        <w:jc w:val="both"/>
        <w:rPr>
          <w:rFonts w:ascii="Arial" w:hAnsi="Arial" w:cs="Arial"/>
        </w:rPr>
      </w:pPr>
      <w:r w:rsidRPr="008C655C">
        <w:rPr>
          <w:rFonts w:ascii="Arial" w:hAnsi="Arial" w:cs="Arial"/>
        </w:rPr>
        <w:lastRenderedPageBreak/>
        <w:t xml:space="preserve">It is important to note that </w:t>
      </w:r>
      <w:r w:rsidR="004109C3" w:rsidRPr="008C655C">
        <w:rPr>
          <w:rFonts w:ascii="Arial" w:hAnsi="Arial" w:cs="Arial"/>
        </w:rPr>
        <w:t xml:space="preserve">some older people </w:t>
      </w:r>
      <w:r w:rsidRPr="008C655C">
        <w:rPr>
          <w:rFonts w:ascii="Arial" w:hAnsi="Arial" w:cs="Arial"/>
        </w:rPr>
        <w:t xml:space="preserve">will be </w:t>
      </w:r>
      <w:r w:rsidR="004109C3" w:rsidRPr="008C655C">
        <w:rPr>
          <w:rFonts w:ascii="Arial" w:hAnsi="Arial" w:cs="Arial"/>
        </w:rPr>
        <w:t>unable to refuse or accept support, assistance or protection, or to make their own decisions about their care, due to impaired de</w:t>
      </w:r>
      <w:r w:rsidR="00507F0D" w:rsidRPr="008C655C">
        <w:rPr>
          <w:rFonts w:ascii="Arial" w:hAnsi="Arial" w:cs="Arial"/>
        </w:rPr>
        <w:t>cision-making capacity.  Therefore</w:t>
      </w:r>
      <w:r w:rsidR="004109C3" w:rsidRPr="008C655C">
        <w:rPr>
          <w:rFonts w:ascii="Arial" w:hAnsi="Arial" w:cs="Arial"/>
        </w:rPr>
        <w:t>, there may be a case for more specific practice guidance about that c</w:t>
      </w:r>
      <w:r w:rsidR="0065556B" w:rsidRPr="008C655C">
        <w:rPr>
          <w:rFonts w:ascii="Arial" w:hAnsi="Arial" w:cs="Arial"/>
        </w:rPr>
        <w:t>lass of person</w:t>
      </w:r>
      <w:r w:rsidR="00DE15C0" w:rsidRPr="008C655C">
        <w:rPr>
          <w:rFonts w:ascii="Arial" w:hAnsi="Arial" w:cs="Arial"/>
        </w:rPr>
        <w:t>.  Such guidance should include</w:t>
      </w:r>
      <w:r w:rsidR="00FA6C0D" w:rsidRPr="008C655C">
        <w:rPr>
          <w:rFonts w:ascii="Arial" w:hAnsi="Arial" w:cs="Arial"/>
        </w:rPr>
        <w:t xml:space="preserve"> whether and when</w:t>
      </w:r>
      <w:r w:rsidR="00507F0D" w:rsidRPr="008C655C">
        <w:rPr>
          <w:rFonts w:ascii="Arial" w:hAnsi="Arial" w:cs="Arial"/>
        </w:rPr>
        <w:t xml:space="preserve"> the current wishes and</w:t>
      </w:r>
      <w:r w:rsidR="004109C3" w:rsidRPr="008C655C">
        <w:rPr>
          <w:rFonts w:ascii="Arial" w:hAnsi="Arial" w:cs="Arial"/>
        </w:rPr>
        <w:t xml:space="preserve"> preferences of an older person </w:t>
      </w:r>
      <w:r w:rsidR="00507F0D" w:rsidRPr="008C655C">
        <w:rPr>
          <w:rFonts w:ascii="Arial" w:hAnsi="Arial" w:cs="Arial"/>
        </w:rPr>
        <w:t xml:space="preserve">with impaired decision-making capacity </w:t>
      </w:r>
      <w:r w:rsidR="004109C3" w:rsidRPr="008C655C">
        <w:rPr>
          <w:rFonts w:ascii="Arial" w:hAnsi="Arial" w:cs="Arial"/>
        </w:rPr>
        <w:t>may be departed from</w:t>
      </w:r>
      <w:r w:rsidR="00FA6C0D" w:rsidRPr="008C655C">
        <w:rPr>
          <w:rFonts w:ascii="Arial" w:hAnsi="Arial" w:cs="Arial"/>
        </w:rPr>
        <w:t xml:space="preserve"> (for example, </w:t>
      </w:r>
      <w:r w:rsidR="004D3C1D" w:rsidRPr="008C655C">
        <w:rPr>
          <w:rFonts w:ascii="Arial" w:hAnsi="Arial" w:cs="Arial"/>
        </w:rPr>
        <w:t>by  weighing the likelihood and seriousness of the risk of harm to that person and determining what the least restrictive alternative is in the circumstances)</w:t>
      </w:r>
      <w:r w:rsidR="004109C3" w:rsidRPr="008C655C">
        <w:rPr>
          <w:rFonts w:ascii="Arial" w:hAnsi="Arial" w:cs="Arial"/>
        </w:rPr>
        <w:t>.</w:t>
      </w:r>
      <w:r w:rsidR="00B306EB" w:rsidRPr="008C655C">
        <w:rPr>
          <w:rFonts w:ascii="Arial" w:hAnsi="Arial" w:cs="Arial"/>
        </w:rPr>
        <w:t xml:space="preserve"> </w:t>
      </w:r>
      <w:r w:rsidR="0065556B" w:rsidRPr="008C655C">
        <w:rPr>
          <w:rFonts w:ascii="Arial" w:hAnsi="Arial" w:cs="Arial"/>
        </w:rPr>
        <w:t xml:space="preserve">  </w:t>
      </w:r>
    </w:p>
    <w:p w:rsidR="00633D81" w:rsidRPr="008C655C" w:rsidRDefault="009A4C5B" w:rsidP="008C655C">
      <w:pPr>
        <w:jc w:val="both"/>
        <w:rPr>
          <w:rFonts w:ascii="Arial" w:hAnsi="Arial" w:cs="Arial"/>
        </w:rPr>
      </w:pPr>
      <w:r w:rsidRPr="008C655C">
        <w:rPr>
          <w:rFonts w:ascii="Arial" w:hAnsi="Arial" w:cs="Arial"/>
        </w:rPr>
        <w:t xml:space="preserve">In addition, </w:t>
      </w:r>
      <w:r w:rsidR="00061F31" w:rsidRPr="008C655C">
        <w:rPr>
          <w:rFonts w:ascii="Arial" w:hAnsi="Arial" w:cs="Arial"/>
        </w:rPr>
        <w:t xml:space="preserve">we </w:t>
      </w:r>
      <w:r w:rsidRPr="008C655C">
        <w:rPr>
          <w:rFonts w:ascii="Arial" w:hAnsi="Arial" w:cs="Arial"/>
        </w:rPr>
        <w:t>believe t</w:t>
      </w:r>
      <w:r w:rsidR="00633D81" w:rsidRPr="008C655C">
        <w:rPr>
          <w:rFonts w:ascii="Arial" w:hAnsi="Arial" w:cs="Arial"/>
        </w:rPr>
        <w:t>here needs to be consideration of what public advocates would be empowered to do when:</w:t>
      </w:r>
    </w:p>
    <w:p w:rsidR="00633D81" w:rsidRPr="008C655C" w:rsidRDefault="00633D81" w:rsidP="008C655C">
      <w:pPr>
        <w:pStyle w:val="ListParagraph"/>
        <w:numPr>
          <w:ilvl w:val="0"/>
          <w:numId w:val="26"/>
        </w:numPr>
        <w:jc w:val="both"/>
        <w:rPr>
          <w:rFonts w:ascii="Arial" w:hAnsi="Arial" w:cs="Arial"/>
          <w:sz w:val="22"/>
          <w:szCs w:val="22"/>
        </w:rPr>
      </w:pPr>
      <w:r w:rsidRPr="008C655C">
        <w:rPr>
          <w:rFonts w:ascii="Arial" w:hAnsi="Arial" w:cs="Arial"/>
          <w:sz w:val="22"/>
          <w:szCs w:val="22"/>
        </w:rPr>
        <w:t>investigation of abuse reveals a reasonable cause to suspect that a serious criminal offence has taken place; and</w:t>
      </w:r>
    </w:p>
    <w:p w:rsidR="009A4C5B" w:rsidRPr="008C655C" w:rsidRDefault="009A4C5B" w:rsidP="008C655C">
      <w:pPr>
        <w:pStyle w:val="ListParagraph"/>
        <w:ind w:left="778"/>
        <w:jc w:val="both"/>
        <w:rPr>
          <w:rFonts w:ascii="Arial" w:hAnsi="Arial" w:cs="Arial"/>
          <w:sz w:val="22"/>
          <w:szCs w:val="22"/>
        </w:rPr>
      </w:pPr>
    </w:p>
    <w:p w:rsidR="008C655C" w:rsidRDefault="00633D81" w:rsidP="008C655C">
      <w:pPr>
        <w:pStyle w:val="ListParagraph"/>
        <w:numPr>
          <w:ilvl w:val="0"/>
          <w:numId w:val="26"/>
        </w:numPr>
        <w:ind w:left="777" w:hanging="357"/>
        <w:jc w:val="both"/>
        <w:rPr>
          <w:rFonts w:ascii="Arial" w:hAnsi="Arial" w:cs="Arial"/>
          <w:sz w:val="22"/>
          <w:szCs w:val="22"/>
        </w:rPr>
      </w:pPr>
      <w:r w:rsidRPr="008C655C">
        <w:rPr>
          <w:rFonts w:ascii="Arial" w:hAnsi="Arial" w:cs="Arial"/>
          <w:sz w:val="22"/>
          <w:szCs w:val="22"/>
        </w:rPr>
        <w:t xml:space="preserve">the alleged victim </w:t>
      </w:r>
      <w:r w:rsidR="009A4C5B" w:rsidRPr="008C655C">
        <w:rPr>
          <w:rFonts w:ascii="Arial" w:hAnsi="Arial" w:cs="Arial"/>
          <w:sz w:val="22"/>
          <w:szCs w:val="22"/>
        </w:rPr>
        <w:t xml:space="preserve">has care and support needs but </w:t>
      </w:r>
      <w:r w:rsidRPr="008C655C">
        <w:rPr>
          <w:rFonts w:ascii="Arial" w:hAnsi="Arial" w:cs="Arial"/>
          <w:sz w:val="22"/>
          <w:szCs w:val="22"/>
        </w:rPr>
        <w:t xml:space="preserve">does not have a mental incapacity; and </w:t>
      </w:r>
    </w:p>
    <w:p w:rsidR="008C655C" w:rsidRPr="008C655C" w:rsidRDefault="008C655C" w:rsidP="008C655C">
      <w:pPr>
        <w:jc w:val="both"/>
        <w:rPr>
          <w:rFonts w:ascii="Arial" w:hAnsi="Arial" w:cs="Arial"/>
        </w:rPr>
      </w:pPr>
    </w:p>
    <w:p w:rsidR="00633D81" w:rsidRPr="008C655C" w:rsidRDefault="00633D81" w:rsidP="008C655C">
      <w:pPr>
        <w:pStyle w:val="ListParagraph"/>
        <w:numPr>
          <w:ilvl w:val="0"/>
          <w:numId w:val="26"/>
        </w:numPr>
        <w:ind w:left="777" w:hanging="357"/>
        <w:jc w:val="both"/>
        <w:rPr>
          <w:rFonts w:ascii="Arial" w:hAnsi="Arial" w:cs="Arial"/>
          <w:sz w:val="22"/>
          <w:szCs w:val="22"/>
        </w:rPr>
      </w:pPr>
      <w:r w:rsidRPr="008C655C">
        <w:rPr>
          <w:rFonts w:ascii="Arial" w:hAnsi="Arial" w:cs="Arial"/>
          <w:sz w:val="22"/>
          <w:szCs w:val="22"/>
        </w:rPr>
        <w:t>the alleged victim does not wish to make a police report</w:t>
      </w:r>
      <w:r w:rsidR="009A4C5B" w:rsidRPr="008C655C">
        <w:rPr>
          <w:rFonts w:ascii="Arial" w:hAnsi="Arial" w:cs="Arial"/>
          <w:sz w:val="22"/>
          <w:szCs w:val="22"/>
        </w:rPr>
        <w:t xml:space="preserve"> or take protective measures</w:t>
      </w:r>
      <w:r w:rsidRPr="008C655C">
        <w:rPr>
          <w:rFonts w:ascii="Arial" w:hAnsi="Arial" w:cs="Arial"/>
          <w:sz w:val="22"/>
          <w:szCs w:val="22"/>
        </w:rPr>
        <w:t>.</w:t>
      </w:r>
    </w:p>
    <w:p w:rsidR="00633D81" w:rsidRPr="008C655C" w:rsidRDefault="00633D81" w:rsidP="008C655C">
      <w:pPr>
        <w:jc w:val="both"/>
        <w:rPr>
          <w:rFonts w:ascii="Arial" w:hAnsi="Arial" w:cs="Arial"/>
        </w:rPr>
      </w:pPr>
    </w:p>
    <w:p w:rsidR="00061F31" w:rsidRPr="00F057B9" w:rsidRDefault="009A4C5B" w:rsidP="008C655C">
      <w:pPr>
        <w:jc w:val="both"/>
        <w:rPr>
          <w:rFonts w:ascii="Arial" w:hAnsi="Arial" w:cs="Arial"/>
        </w:rPr>
      </w:pPr>
      <w:r w:rsidRPr="00F057B9">
        <w:rPr>
          <w:rFonts w:ascii="Arial" w:hAnsi="Arial" w:cs="Arial"/>
        </w:rPr>
        <w:t>We believe that it is important to recognise that</w:t>
      </w:r>
      <w:r w:rsidR="00183F7F" w:rsidRPr="00F057B9">
        <w:rPr>
          <w:rFonts w:ascii="Arial" w:hAnsi="Arial" w:cs="Arial"/>
        </w:rPr>
        <w:t xml:space="preserve"> </w:t>
      </w:r>
      <w:r w:rsidRPr="00F057B9">
        <w:rPr>
          <w:rFonts w:ascii="Arial" w:hAnsi="Arial" w:cs="Arial"/>
        </w:rPr>
        <w:t>an older person who has experienced/is experiencing abuse may be unable</w:t>
      </w:r>
      <w:r w:rsidR="00183F7F" w:rsidRPr="00F057B9">
        <w:rPr>
          <w:rFonts w:ascii="Arial" w:hAnsi="Arial" w:cs="Arial"/>
        </w:rPr>
        <w:t xml:space="preserve"> or </w:t>
      </w:r>
      <w:r w:rsidRPr="00F057B9">
        <w:rPr>
          <w:rFonts w:ascii="Arial" w:hAnsi="Arial" w:cs="Arial"/>
        </w:rPr>
        <w:t xml:space="preserve">unwilling to take </w:t>
      </w:r>
      <w:r w:rsidR="00183F7F" w:rsidRPr="00F057B9">
        <w:rPr>
          <w:rFonts w:ascii="Arial" w:hAnsi="Arial" w:cs="Arial"/>
        </w:rPr>
        <w:t xml:space="preserve">or accept protective measures for reasons relating to complex family dynamics and relationships of </w:t>
      </w:r>
      <w:r w:rsidRPr="00F057B9">
        <w:rPr>
          <w:rFonts w:ascii="Arial" w:hAnsi="Arial" w:cs="Arial"/>
        </w:rPr>
        <w:t xml:space="preserve">power and control.   </w:t>
      </w:r>
      <w:r w:rsidR="009E2845" w:rsidRPr="00F057B9">
        <w:rPr>
          <w:rFonts w:ascii="Arial" w:hAnsi="Arial" w:cs="Arial"/>
        </w:rPr>
        <w:t>The ALRC</w:t>
      </w:r>
      <w:r w:rsidR="00183F7F" w:rsidRPr="00F057B9">
        <w:rPr>
          <w:rFonts w:ascii="Arial" w:hAnsi="Arial" w:cs="Arial"/>
        </w:rPr>
        <w:t xml:space="preserve"> recognises </w:t>
      </w:r>
      <w:r w:rsidR="009E2845" w:rsidRPr="00F057B9">
        <w:rPr>
          <w:rFonts w:ascii="Arial" w:hAnsi="Arial" w:cs="Arial"/>
        </w:rPr>
        <w:t xml:space="preserve">in the Discussion Paper </w:t>
      </w:r>
      <w:r w:rsidR="00183F7F" w:rsidRPr="00F057B9">
        <w:rPr>
          <w:rFonts w:ascii="Arial" w:hAnsi="Arial" w:cs="Arial"/>
        </w:rPr>
        <w:t xml:space="preserve">that elder abuse can intersect with family violence </w:t>
      </w:r>
      <w:r w:rsidR="00A824C7" w:rsidRPr="00F057B9">
        <w:rPr>
          <w:rFonts w:ascii="Arial" w:hAnsi="Arial" w:cs="Arial"/>
        </w:rPr>
        <w:t xml:space="preserve">and </w:t>
      </w:r>
      <w:r w:rsidR="00A816A3" w:rsidRPr="00F057B9">
        <w:rPr>
          <w:rFonts w:ascii="Arial" w:hAnsi="Arial" w:cs="Arial"/>
        </w:rPr>
        <w:t>that there are “shared dynamics”</w:t>
      </w:r>
      <w:r w:rsidR="00A824C7" w:rsidRPr="00F057B9">
        <w:rPr>
          <w:rFonts w:ascii="Arial" w:hAnsi="Arial" w:cs="Arial"/>
        </w:rPr>
        <w:t xml:space="preserve"> between the two (as well as divergences).</w:t>
      </w:r>
      <w:r w:rsidR="00A816A3" w:rsidRPr="00F057B9">
        <w:rPr>
          <w:rStyle w:val="FootnoteReference"/>
          <w:rFonts w:ascii="Arial" w:hAnsi="Arial" w:cs="Arial"/>
        </w:rPr>
        <w:footnoteReference w:id="8"/>
      </w:r>
      <w:r w:rsidR="00A824C7" w:rsidRPr="00F057B9">
        <w:rPr>
          <w:rFonts w:ascii="Arial" w:hAnsi="Arial" w:cs="Arial"/>
        </w:rPr>
        <w:t xml:space="preserve">  This issue is complex and, w</w:t>
      </w:r>
      <w:r w:rsidR="00183F7F" w:rsidRPr="00F057B9">
        <w:rPr>
          <w:rFonts w:ascii="Arial" w:hAnsi="Arial" w:cs="Arial"/>
        </w:rPr>
        <w:t>hen it comes to serious crimes and risk of serious harm, we b</w:t>
      </w:r>
      <w:r w:rsidR="00A824C7" w:rsidRPr="00F057B9">
        <w:rPr>
          <w:rFonts w:ascii="Arial" w:hAnsi="Arial" w:cs="Arial"/>
        </w:rPr>
        <w:t>elieve that there must be c</w:t>
      </w:r>
      <w:r w:rsidR="008C655C" w:rsidRPr="00F057B9">
        <w:rPr>
          <w:rFonts w:ascii="Arial" w:hAnsi="Arial" w:cs="Arial"/>
        </w:rPr>
        <w:t xml:space="preserve">areful consideration of how </w:t>
      </w:r>
      <w:r w:rsidR="009E2845" w:rsidRPr="00F057B9">
        <w:rPr>
          <w:rFonts w:ascii="Arial" w:hAnsi="Arial" w:cs="Arial"/>
        </w:rPr>
        <w:t xml:space="preserve">public authorities </w:t>
      </w:r>
      <w:r w:rsidR="008C655C" w:rsidRPr="00F057B9">
        <w:rPr>
          <w:rFonts w:ascii="Arial" w:hAnsi="Arial" w:cs="Arial"/>
        </w:rPr>
        <w:t xml:space="preserve">respond </w:t>
      </w:r>
      <w:r w:rsidR="009E2845" w:rsidRPr="00F057B9">
        <w:rPr>
          <w:rFonts w:ascii="Arial" w:hAnsi="Arial" w:cs="Arial"/>
        </w:rPr>
        <w:t xml:space="preserve">to the risk. </w:t>
      </w:r>
      <w:r w:rsidR="008C655C" w:rsidRPr="00F057B9">
        <w:rPr>
          <w:rFonts w:ascii="Arial" w:hAnsi="Arial" w:cs="Arial"/>
        </w:rPr>
        <w:t xml:space="preserve"> This is why collaborative multi-agency arrangements are important.</w:t>
      </w:r>
    </w:p>
    <w:p w:rsidR="00087921" w:rsidRPr="008C655C" w:rsidRDefault="0061277F" w:rsidP="008C655C">
      <w:pPr>
        <w:jc w:val="both"/>
        <w:rPr>
          <w:rFonts w:ascii="Arial" w:hAnsi="Arial" w:cs="Arial"/>
          <w:b/>
          <w:i/>
        </w:rPr>
      </w:pPr>
      <w:r w:rsidRPr="00F057B9">
        <w:rPr>
          <w:rFonts w:ascii="Arial" w:hAnsi="Arial" w:cs="Arial"/>
          <w:b/>
          <w:i/>
        </w:rPr>
        <w:t>Proposal 3-3; Public advocates or public guardians should</w:t>
      </w:r>
      <w:r w:rsidRPr="008C655C">
        <w:rPr>
          <w:rFonts w:ascii="Arial" w:hAnsi="Arial" w:cs="Arial"/>
          <w:b/>
          <w:i/>
        </w:rPr>
        <w:t xml:space="preserve"> have the power to require that a person, other than the older person: </w:t>
      </w:r>
    </w:p>
    <w:p w:rsidR="0061277F" w:rsidRPr="008C655C" w:rsidRDefault="0061277F" w:rsidP="008C655C">
      <w:pPr>
        <w:pStyle w:val="ListParagraph"/>
        <w:numPr>
          <w:ilvl w:val="0"/>
          <w:numId w:val="4"/>
        </w:numPr>
        <w:jc w:val="both"/>
        <w:rPr>
          <w:rFonts w:ascii="Arial" w:hAnsi="Arial" w:cs="Arial"/>
          <w:b/>
          <w:i/>
          <w:sz w:val="22"/>
          <w:szCs w:val="22"/>
        </w:rPr>
      </w:pPr>
      <w:r w:rsidRPr="008C655C">
        <w:rPr>
          <w:rFonts w:ascii="Arial" w:hAnsi="Arial" w:cs="Arial"/>
          <w:b/>
          <w:i/>
          <w:sz w:val="22"/>
          <w:szCs w:val="22"/>
        </w:rPr>
        <w:t>Furnish information;</w:t>
      </w:r>
    </w:p>
    <w:p w:rsidR="0061277F" w:rsidRPr="008C655C" w:rsidRDefault="0061277F" w:rsidP="008C655C">
      <w:pPr>
        <w:pStyle w:val="ListParagraph"/>
        <w:numPr>
          <w:ilvl w:val="0"/>
          <w:numId w:val="4"/>
        </w:numPr>
        <w:jc w:val="both"/>
        <w:rPr>
          <w:rFonts w:ascii="Arial" w:hAnsi="Arial" w:cs="Arial"/>
          <w:b/>
          <w:i/>
          <w:sz w:val="22"/>
          <w:szCs w:val="22"/>
        </w:rPr>
      </w:pPr>
      <w:r w:rsidRPr="008C655C">
        <w:rPr>
          <w:rFonts w:ascii="Arial" w:hAnsi="Arial" w:cs="Arial"/>
          <w:b/>
          <w:i/>
          <w:sz w:val="22"/>
          <w:szCs w:val="22"/>
        </w:rPr>
        <w:t>Produce documents; or</w:t>
      </w:r>
    </w:p>
    <w:p w:rsidR="0061277F" w:rsidRPr="008C655C" w:rsidRDefault="0061277F" w:rsidP="008C655C">
      <w:pPr>
        <w:pStyle w:val="ListParagraph"/>
        <w:numPr>
          <w:ilvl w:val="0"/>
          <w:numId w:val="4"/>
        </w:numPr>
        <w:jc w:val="both"/>
        <w:rPr>
          <w:rFonts w:ascii="Arial" w:hAnsi="Arial" w:cs="Arial"/>
          <w:b/>
          <w:i/>
          <w:sz w:val="22"/>
          <w:szCs w:val="22"/>
        </w:rPr>
      </w:pPr>
      <w:r w:rsidRPr="008C655C">
        <w:rPr>
          <w:rFonts w:ascii="Arial" w:hAnsi="Arial" w:cs="Arial"/>
          <w:b/>
          <w:i/>
          <w:sz w:val="22"/>
          <w:szCs w:val="22"/>
        </w:rPr>
        <w:t xml:space="preserve">Participate in an interview relating to an investigation of the abuse or neglect of an older person. </w:t>
      </w:r>
    </w:p>
    <w:p w:rsidR="00A52343" w:rsidRPr="008C655C" w:rsidRDefault="00A52343" w:rsidP="008C655C">
      <w:pPr>
        <w:jc w:val="both"/>
        <w:rPr>
          <w:rFonts w:ascii="Arial" w:hAnsi="Arial" w:cs="Arial"/>
        </w:rPr>
      </w:pPr>
    </w:p>
    <w:p w:rsidR="00D27B2B" w:rsidRPr="008C655C" w:rsidRDefault="00D27B2B" w:rsidP="008C655C">
      <w:pPr>
        <w:jc w:val="both"/>
        <w:rPr>
          <w:rFonts w:ascii="Arial" w:hAnsi="Arial" w:cs="Arial"/>
        </w:rPr>
      </w:pPr>
      <w:r w:rsidRPr="008C655C">
        <w:rPr>
          <w:rFonts w:ascii="Arial" w:hAnsi="Arial" w:cs="Arial"/>
        </w:rPr>
        <w:t>OPA reads this proposal in conjunction with existing police powers, including the ability of police to conduct a welfare check if access to a vulnerable older person is denied.</w:t>
      </w:r>
    </w:p>
    <w:p w:rsidR="001C5F44" w:rsidRPr="008C655C" w:rsidRDefault="00A52343" w:rsidP="008C655C">
      <w:pPr>
        <w:jc w:val="both"/>
        <w:rPr>
          <w:rFonts w:ascii="Arial" w:hAnsi="Arial" w:cs="Arial"/>
        </w:rPr>
      </w:pPr>
      <w:r w:rsidRPr="008C655C">
        <w:rPr>
          <w:rFonts w:ascii="Arial" w:hAnsi="Arial" w:cs="Arial"/>
        </w:rPr>
        <w:t xml:space="preserve">OPA </w:t>
      </w:r>
      <w:r w:rsidR="00F377C6" w:rsidRPr="008C655C">
        <w:rPr>
          <w:rFonts w:ascii="Arial" w:hAnsi="Arial" w:cs="Arial"/>
        </w:rPr>
        <w:t xml:space="preserve">supports this proposal and broadly </w:t>
      </w:r>
      <w:r w:rsidRPr="008C655C">
        <w:rPr>
          <w:rFonts w:ascii="Arial" w:hAnsi="Arial" w:cs="Arial"/>
        </w:rPr>
        <w:t>agree</w:t>
      </w:r>
      <w:r w:rsidR="00F377C6" w:rsidRPr="008C655C">
        <w:rPr>
          <w:rFonts w:ascii="Arial" w:hAnsi="Arial" w:cs="Arial"/>
        </w:rPr>
        <w:t>s</w:t>
      </w:r>
      <w:r w:rsidRPr="008C655C">
        <w:rPr>
          <w:rFonts w:ascii="Arial" w:hAnsi="Arial" w:cs="Arial"/>
        </w:rPr>
        <w:t xml:space="preserve"> that powers to enter and inspect premises should </w:t>
      </w:r>
      <w:r w:rsidR="00F377C6" w:rsidRPr="008C655C">
        <w:rPr>
          <w:rFonts w:ascii="Arial" w:hAnsi="Arial" w:cs="Arial"/>
        </w:rPr>
        <w:t>rest with the p</w:t>
      </w:r>
      <w:r w:rsidR="001C5F44" w:rsidRPr="008C655C">
        <w:rPr>
          <w:rFonts w:ascii="Arial" w:hAnsi="Arial" w:cs="Arial"/>
        </w:rPr>
        <w:t>olice, as a matter of accountability</w:t>
      </w:r>
      <w:r w:rsidR="006057A6" w:rsidRPr="008C655C">
        <w:rPr>
          <w:rFonts w:ascii="Arial" w:hAnsi="Arial" w:cs="Arial"/>
        </w:rPr>
        <w:t>, training and</w:t>
      </w:r>
      <w:r w:rsidR="001C5F44" w:rsidRPr="008C655C">
        <w:rPr>
          <w:rFonts w:ascii="Arial" w:hAnsi="Arial" w:cs="Arial"/>
        </w:rPr>
        <w:t xml:space="preserve"> </w:t>
      </w:r>
      <w:r w:rsidR="00F377C6" w:rsidRPr="008C655C">
        <w:rPr>
          <w:rFonts w:ascii="Arial" w:hAnsi="Arial" w:cs="Arial"/>
        </w:rPr>
        <w:t>staff safety and security.</w:t>
      </w:r>
      <w:r w:rsidR="001C5F44" w:rsidRPr="008C655C">
        <w:rPr>
          <w:rFonts w:ascii="Arial" w:hAnsi="Arial" w:cs="Arial"/>
        </w:rPr>
        <w:t xml:space="preserve">  </w:t>
      </w:r>
      <w:r w:rsidR="00D27B2B" w:rsidRPr="008C655C">
        <w:rPr>
          <w:rFonts w:ascii="Arial" w:hAnsi="Arial" w:cs="Arial"/>
        </w:rPr>
        <w:t xml:space="preserve">   </w:t>
      </w:r>
      <w:r w:rsidR="001C5F44" w:rsidRPr="008C655C">
        <w:rPr>
          <w:rFonts w:ascii="Arial" w:hAnsi="Arial" w:cs="Arial"/>
        </w:rPr>
        <w:t>It is important to emphasise</w:t>
      </w:r>
      <w:r w:rsidR="00D27B2B" w:rsidRPr="008C655C">
        <w:rPr>
          <w:rFonts w:ascii="Arial" w:hAnsi="Arial" w:cs="Arial"/>
        </w:rPr>
        <w:t>, however, that there are</w:t>
      </w:r>
      <w:r w:rsidR="001C5F44" w:rsidRPr="008C655C">
        <w:rPr>
          <w:rFonts w:ascii="Arial" w:hAnsi="Arial" w:cs="Arial"/>
        </w:rPr>
        <w:t xml:space="preserve"> barriers</w:t>
      </w:r>
      <w:r w:rsidR="00991ED4" w:rsidRPr="008C655C">
        <w:rPr>
          <w:rFonts w:ascii="Arial" w:hAnsi="Arial" w:cs="Arial"/>
        </w:rPr>
        <w:t xml:space="preserve"> to reporting of allegations of </w:t>
      </w:r>
      <w:r w:rsidR="001C5F44" w:rsidRPr="008C655C">
        <w:rPr>
          <w:rFonts w:ascii="Arial" w:hAnsi="Arial" w:cs="Arial"/>
        </w:rPr>
        <w:t xml:space="preserve">abuse </w:t>
      </w:r>
      <w:r w:rsidR="00991ED4" w:rsidRPr="008C655C">
        <w:rPr>
          <w:rFonts w:ascii="Arial" w:hAnsi="Arial" w:cs="Arial"/>
        </w:rPr>
        <w:t xml:space="preserve">of older people </w:t>
      </w:r>
      <w:r w:rsidR="001C5F44" w:rsidRPr="008C655C">
        <w:rPr>
          <w:rFonts w:ascii="Arial" w:hAnsi="Arial" w:cs="Arial"/>
        </w:rPr>
        <w:t xml:space="preserve">to the police.  If public advocates do not have the ability to apply for a warrant to enter premises in their suite of investigative powers, then protocols/processes </w:t>
      </w:r>
      <w:r w:rsidR="006057A6" w:rsidRPr="008C655C">
        <w:rPr>
          <w:rFonts w:ascii="Arial" w:hAnsi="Arial" w:cs="Arial"/>
        </w:rPr>
        <w:t xml:space="preserve">may need to be developed (or existing ones clarified) </w:t>
      </w:r>
      <w:r w:rsidR="001C5F44" w:rsidRPr="008C655C">
        <w:rPr>
          <w:rFonts w:ascii="Arial" w:hAnsi="Arial" w:cs="Arial"/>
        </w:rPr>
        <w:t xml:space="preserve">for escalation of </w:t>
      </w:r>
      <w:r w:rsidR="001C5F44" w:rsidRPr="008C655C">
        <w:rPr>
          <w:rFonts w:ascii="Arial" w:hAnsi="Arial" w:cs="Arial"/>
        </w:rPr>
        <w:lastRenderedPageBreak/>
        <w:t>con</w:t>
      </w:r>
      <w:r w:rsidR="004D3C1D" w:rsidRPr="008C655C">
        <w:rPr>
          <w:rFonts w:ascii="Arial" w:hAnsi="Arial" w:cs="Arial"/>
        </w:rPr>
        <w:t xml:space="preserve">cerns to the police and for inter-agency </w:t>
      </w:r>
      <w:r w:rsidR="001C5F44" w:rsidRPr="008C655C">
        <w:rPr>
          <w:rFonts w:ascii="Arial" w:hAnsi="Arial" w:cs="Arial"/>
        </w:rPr>
        <w:t xml:space="preserve">sharing of information.  OPA confirms its support for a collaborative multi-agency framework </w:t>
      </w:r>
      <w:r w:rsidR="00D27B2B" w:rsidRPr="008C655C">
        <w:rPr>
          <w:rFonts w:ascii="Arial" w:hAnsi="Arial" w:cs="Arial"/>
        </w:rPr>
        <w:t xml:space="preserve">to support investigations into </w:t>
      </w:r>
      <w:r w:rsidR="001C5F44" w:rsidRPr="008C655C">
        <w:rPr>
          <w:rFonts w:ascii="Arial" w:hAnsi="Arial" w:cs="Arial"/>
        </w:rPr>
        <w:t>allegations of abuse of older people.</w:t>
      </w:r>
    </w:p>
    <w:p w:rsidR="00705C5B" w:rsidRPr="008C655C" w:rsidRDefault="00705C5B" w:rsidP="008C655C">
      <w:pPr>
        <w:jc w:val="both"/>
        <w:rPr>
          <w:rFonts w:ascii="Arial" w:hAnsi="Arial" w:cs="Arial"/>
        </w:rPr>
      </w:pPr>
      <w:r w:rsidRPr="008C655C">
        <w:rPr>
          <w:rFonts w:ascii="Arial" w:hAnsi="Arial" w:cs="Arial"/>
        </w:rPr>
        <w:t xml:space="preserve">An option for strengthening these proposed powers of public advocates is to make a refusal to provide information requested by an investigator a criminal offence, as per a recommendation of the Victorian Law Reform Commission in its </w:t>
      </w:r>
      <w:r w:rsidRPr="008C655C">
        <w:rPr>
          <w:rFonts w:ascii="Arial" w:hAnsi="Arial" w:cs="Arial"/>
          <w:i/>
        </w:rPr>
        <w:t>Guardianship Final Report</w:t>
      </w:r>
      <w:r w:rsidRPr="008C655C">
        <w:rPr>
          <w:rFonts w:ascii="Arial" w:hAnsi="Arial" w:cs="Arial"/>
        </w:rPr>
        <w:t>.</w:t>
      </w:r>
      <w:r w:rsidRPr="008C655C">
        <w:rPr>
          <w:rStyle w:val="FootnoteReference"/>
          <w:rFonts w:ascii="Arial" w:hAnsi="Arial" w:cs="Arial"/>
        </w:rPr>
        <w:footnoteReference w:id="9"/>
      </w:r>
    </w:p>
    <w:p w:rsidR="00C43D78" w:rsidRPr="008C655C" w:rsidRDefault="00C43D78" w:rsidP="008C655C">
      <w:pPr>
        <w:jc w:val="both"/>
        <w:rPr>
          <w:rFonts w:ascii="Arial" w:hAnsi="Arial" w:cs="Arial"/>
          <w:b/>
          <w:i/>
        </w:rPr>
      </w:pPr>
      <w:r w:rsidRPr="008C655C">
        <w:rPr>
          <w:rFonts w:ascii="Arial" w:hAnsi="Arial" w:cs="Arial"/>
          <w:b/>
          <w:i/>
        </w:rPr>
        <w:t xml:space="preserve">Proposal 3-4; In responding to the suspected abuse or neglect of an older person, public advocate or public guardian may: </w:t>
      </w:r>
    </w:p>
    <w:p w:rsidR="00973EC4" w:rsidRPr="008C655C" w:rsidRDefault="00C43D78" w:rsidP="008C655C">
      <w:pPr>
        <w:pStyle w:val="ListParagraph"/>
        <w:numPr>
          <w:ilvl w:val="0"/>
          <w:numId w:val="5"/>
        </w:numPr>
        <w:jc w:val="both"/>
        <w:rPr>
          <w:rFonts w:ascii="Arial" w:hAnsi="Arial" w:cs="Arial"/>
          <w:b/>
          <w:i/>
          <w:sz w:val="22"/>
          <w:szCs w:val="22"/>
        </w:rPr>
      </w:pPr>
      <w:r w:rsidRPr="008C655C">
        <w:rPr>
          <w:rFonts w:ascii="Arial" w:hAnsi="Arial" w:cs="Arial"/>
          <w:b/>
          <w:i/>
          <w:sz w:val="22"/>
          <w:szCs w:val="22"/>
        </w:rPr>
        <w:t>Refer the older person or the perpetrator to available health care, social, legal, accommodation or other services;</w:t>
      </w:r>
    </w:p>
    <w:p w:rsidR="00C43D78" w:rsidRPr="008C655C" w:rsidRDefault="00C43D78" w:rsidP="008C655C">
      <w:pPr>
        <w:pStyle w:val="ListParagraph"/>
        <w:numPr>
          <w:ilvl w:val="0"/>
          <w:numId w:val="5"/>
        </w:numPr>
        <w:jc w:val="both"/>
        <w:rPr>
          <w:rFonts w:ascii="Arial" w:hAnsi="Arial" w:cs="Arial"/>
          <w:b/>
          <w:i/>
          <w:sz w:val="22"/>
          <w:szCs w:val="22"/>
        </w:rPr>
      </w:pPr>
      <w:r w:rsidRPr="008C655C">
        <w:rPr>
          <w:rFonts w:ascii="Arial" w:hAnsi="Arial" w:cs="Arial"/>
          <w:b/>
          <w:i/>
          <w:sz w:val="22"/>
          <w:szCs w:val="22"/>
        </w:rPr>
        <w:t>Assist the older person or perpetrator in obtaining those services;</w:t>
      </w:r>
    </w:p>
    <w:p w:rsidR="00C43D78" w:rsidRPr="008C655C" w:rsidRDefault="00FF57A1" w:rsidP="008C655C">
      <w:pPr>
        <w:pStyle w:val="ListParagraph"/>
        <w:numPr>
          <w:ilvl w:val="0"/>
          <w:numId w:val="5"/>
        </w:numPr>
        <w:jc w:val="both"/>
        <w:rPr>
          <w:rFonts w:ascii="Arial" w:hAnsi="Arial" w:cs="Arial"/>
          <w:b/>
          <w:i/>
          <w:sz w:val="22"/>
          <w:szCs w:val="22"/>
        </w:rPr>
      </w:pPr>
      <w:r w:rsidRPr="008C655C">
        <w:rPr>
          <w:rFonts w:ascii="Arial" w:hAnsi="Arial" w:cs="Arial"/>
          <w:b/>
          <w:i/>
          <w:sz w:val="22"/>
          <w:szCs w:val="22"/>
        </w:rPr>
        <w:t>Prepare, in consultation with the older person, a support and assistance plan that specifies any services needed by the older person; or</w:t>
      </w:r>
    </w:p>
    <w:p w:rsidR="00FF57A1" w:rsidRPr="008C655C" w:rsidRDefault="00FF57A1" w:rsidP="008C655C">
      <w:pPr>
        <w:pStyle w:val="ListParagraph"/>
        <w:numPr>
          <w:ilvl w:val="0"/>
          <w:numId w:val="5"/>
        </w:numPr>
        <w:jc w:val="both"/>
        <w:rPr>
          <w:rFonts w:ascii="Arial" w:hAnsi="Arial" w:cs="Arial"/>
          <w:b/>
          <w:i/>
          <w:sz w:val="22"/>
          <w:szCs w:val="22"/>
        </w:rPr>
      </w:pPr>
      <w:r w:rsidRPr="008C655C">
        <w:rPr>
          <w:rFonts w:ascii="Arial" w:hAnsi="Arial" w:cs="Arial"/>
          <w:b/>
          <w:i/>
          <w:sz w:val="22"/>
          <w:szCs w:val="22"/>
        </w:rPr>
        <w:t>decide to take no further action</w:t>
      </w:r>
    </w:p>
    <w:p w:rsidR="00C43D78" w:rsidRPr="008C655C" w:rsidRDefault="00C43D78" w:rsidP="008C655C">
      <w:pPr>
        <w:jc w:val="both"/>
        <w:rPr>
          <w:rFonts w:ascii="Arial" w:hAnsi="Arial" w:cs="Arial"/>
          <w:u w:val="single"/>
        </w:rPr>
      </w:pPr>
    </w:p>
    <w:p w:rsidR="00037233" w:rsidRPr="008C655C" w:rsidRDefault="00973EC4" w:rsidP="008C655C">
      <w:pPr>
        <w:jc w:val="both"/>
        <w:rPr>
          <w:rFonts w:ascii="Arial" w:hAnsi="Arial" w:cs="Arial"/>
        </w:rPr>
      </w:pPr>
      <w:r w:rsidRPr="008C655C">
        <w:rPr>
          <w:rFonts w:ascii="Arial" w:hAnsi="Arial" w:cs="Arial"/>
        </w:rPr>
        <w:t xml:space="preserve">OPA </w:t>
      </w:r>
      <w:r w:rsidR="00037233" w:rsidRPr="008C655C">
        <w:rPr>
          <w:rFonts w:ascii="Arial" w:hAnsi="Arial" w:cs="Arial"/>
        </w:rPr>
        <w:t xml:space="preserve">supports </w:t>
      </w:r>
      <w:r w:rsidRPr="008C655C">
        <w:rPr>
          <w:rFonts w:ascii="Arial" w:hAnsi="Arial" w:cs="Arial"/>
        </w:rPr>
        <w:t xml:space="preserve">the </w:t>
      </w:r>
      <w:r w:rsidR="00FF57A1" w:rsidRPr="008C655C">
        <w:rPr>
          <w:rFonts w:ascii="Arial" w:hAnsi="Arial" w:cs="Arial"/>
        </w:rPr>
        <w:t>proposed</w:t>
      </w:r>
      <w:r w:rsidR="004D3C1D" w:rsidRPr="008C655C">
        <w:rPr>
          <w:rFonts w:ascii="Arial" w:hAnsi="Arial" w:cs="Arial"/>
        </w:rPr>
        <w:t xml:space="preserve"> </w:t>
      </w:r>
      <w:r w:rsidR="00FF57A1" w:rsidRPr="008C655C">
        <w:rPr>
          <w:rFonts w:ascii="Arial" w:hAnsi="Arial" w:cs="Arial"/>
        </w:rPr>
        <w:t>“</w:t>
      </w:r>
      <w:r w:rsidRPr="008C655C">
        <w:rPr>
          <w:rFonts w:ascii="Arial" w:hAnsi="Arial" w:cs="Arial"/>
        </w:rPr>
        <w:t>support and assist</w:t>
      </w:r>
      <w:r w:rsidR="00705C5B" w:rsidRPr="008C655C">
        <w:rPr>
          <w:rFonts w:ascii="Arial" w:hAnsi="Arial" w:cs="Arial"/>
        </w:rPr>
        <w:t>ance</w:t>
      </w:r>
      <w:r w:rsidR="00FF57A1" w:rsidRPr="008C655C">
        <w:rPr>
          <w:rFonts w:ascii="Arial" w:hAnsi="Arial" w:cs="Arial"/>
        </w:rPr>
        <w:t>”</w:t>
      </w:r>
      <w:r w:rsidRPr="008C655C">
        <w:rPr>
          <w:rFonts w:ascii="Arial" w:hAnsi="Arial" w:cs="Arial"/>
        </w:rPr>
        <w:t xml:space="preserve"> model </w:t>
      </w:r>
      <w:r w:rsidR="00FF57A1" w:rsidRPr="008C655C">
        <w:rPr>
          <w:rFonts w:ascii="Arial" w:hAnsi="Arial" w:cs="Arial"/>
        </w:rPr>
        <w:t xml:space="preserve">of intervention in cases of alleged </w:t>
      </w:r>
      <w:r w:rsidRPr="008C655C">
        <w:rPr>
          <w:rFonts w:ascii="Arial" w:hAnsi="Arial" w:cs="Arial"/>
        </w:rPr>
        <w:t>abuse</w:t>
      </w:r>
      <w:r w:rsidR="00037233" w:rsidRPr="008C655C">
        <w:rPr>
          <w:rFonts w:ascii="Arial" w:hAnsi="Arial" w:cs="Arial"/>
        </w:rPr>
        <w:t xml:space="preserve"> of</w:t>
      </w:r>
      <w:r w:rsidR="004D3C1D" w:rsidRPr="008C655C">
        <w:rPr>
          <w:rFonts w:ascii="Arial" w:hAnsi="Arial" w:cs="Arial"/>
        </w:rPr>
        <w:t xml:space="preserve"> older people.  We note</w:t>
      </w:r>
      <w:r w:rsidR="00FF57A1" w:rsidRPr="008C655C">
        <w:rPr>
          <w:rFonts w:ascii="Arial" w:hAnsi="Arial" w:cs="Arial"/>
        </w:rPr>
        <w:t xml:space="preserve"> that these powers of intervention are in addition to existing powers to </w:t>
      </w:r>
      <w:r w:rsidR="00037233" w:rsidRPr="008C655C">
        <w:rPr>
          <w:rFonts w:ascii="Arial" w:hAnsi="Arial" w:cs="Arial"/>
        </w:rPr>
        <w:t xml:space="preserve">apply </w:t>
      </w:r>
      <w:r w:rsidR="00FF57A1" w:rsidRPr="008C655C">
        <w:rPr>
          <w:rFonts w:ascii="Arial" w:hAnsi="Arial" w:cs="Arial"/>
        </w:rPr>
        <w:t>for guardianship or financial administration</w:t>
      </w:r>
      <w:r w:rsidR="00037233" w:rsidRPr="008C655C">
        <w:rPr>
          <w:rFonts w:ascii="Arial" w:hAnsi="Arial" w:cs="Arial"/>
        </w:rPr>
        <w:t xml:space="preserve"> orders.</w:t>
      </w:r>
      <w:r w:rsidR="00FF57A1" w:rsidRPr="008C655C">
        <w:rPr>
          <w:rStyle w:val="FootnoteReference"/>
          <w:rFonts w:ascii="Arial" w:hAnsi="Arial" w:cs="Arial"/>
        </w:rPr>
        <w:footnoteReference w:id="10"/>
      </w:r>
      <w:r w:rsidR="00037233" w:rsidRPr="008C655C">
        <w:rPr>
          <w:rFonts w:ascii="Arial" w:hAnsi="Arial" w:cs="Arial"/>
        </w:rPr>
        <w:t xml:space="preserve">  </w:t>
      </w:r>
      <w:r w:rsidR="004D3C1D" w:rsidRPr="008C655C">
        <w:rPr>
          <w:rFonts w:ascii="Arial" w:hAnsi="Arial" w:cs="Arial"/>
        </w:rPr>
        <w:t xml:space="preserve">OPA supports a rights-based </w:t>
      </w:r>
      <w:r w:rsidR="00351888" w:rsidRPr="008C655C">
        <w:rPr>
          <w:rFonts w:ascii="Arial" w:hAnsi="Arial" w:cs="Arial"/>
        </w:rPr>
        <w:t xml:space="preserve">approach in favour of a </w:t>
      </w:r>
      <w:r w:rsidR="004D3C1D" w:rsidRPr="008C655C">
        <w:rPr>
          <w:rFonts w:ascii="Arial" w:hAnsi="Arial" w:cs="Arial"/>
        </w:rPr>
        <w:t>p</w:t>
      </w:r>
      <w:r w:rsidR="004408BA" w:rsidRPr="008C655C">
        <w:rPr>
          <w:rFonts w:ascii="Arial" w:hAnsi="Arial" w:cs="Arial"/>
        </w:rPr>
        <w:t>aternalistic</w:t>
      </w:r>
      <w:r w:rsidR="004D3C1D" w:rsidRPr="008C655C">
        <w:rPr>
          <w:rFonts w:ascii="Arial" w:hAnsi="Arial" w:cs="Arial"/>
        </w:rPr>
        <w:t xml:space="preserve"> one and considers that the proposed model strikes </w:t>
      </w:r>
      <w:r w:rsidR="004408BA" w:rsidRPr="008C655C">
        <w:rPr>
          <w:rFonts w:ascii="Arial" w:hAnsi="Arial" w:cs="Arial"/>
        </w:rPr>
        <w:t xml:space="preserve">a good </w:t>
      </w:r>
      <w:r w:rsidR="004D3C1D" w:rsidRPr="008C655C">
        <w:rPr>
          <w:rFonts w:ascii="Arial" w:hAnsi="Arial" w:cs="Arial"/>
        </w:rPr>
        <w:t>balance</w:t>
      </w:r>
      <w:r w:rsidR="004408BA" w:rsidRPr="008C655C">
        <w:rPr>
          <w:rFonts w:ascii="Arial" w:hAnsi="Arial" w:cs="Arial"/>
        </w:rPr>
        <w:t xml:space="preserve"> between rights and protections</w:t>
      </w:r>
      <w:r w:rsidR="004D3C1D" w:rsidRPr="008C655C">
        <w:rPr>
          <w:rFonts w:ascii="Arial" w:hAnsi="Arial" w:cs="Arial"/>
        </w:rPr>
        <w:t>.</w:t>
      </w:r>
    </w:p>
    <w:p w:rsidR="00C43D78" w:rsidRPr="008C655C" w:rsidRDefault="009E314A" w:rsidP="008C655C">
      <w:pPr>
        <w:jc w:val="both"/>
        <w:rPr>
          <w:rFonts w:ascii="Arial" w:hAnsi="Arial" w:cs="Arial"/>
        </w:rPr>
      </w:pPr>
      <w:r w:rsidRPr="008C655C">
        <w:rPr>
          <w:rFonts w:ascii="Arial" w:hAnsi="Arial" w:cs="Arial"/>
        </w:rPr>
        <w:t>We consider that ther</w:t>
      </w:r>
      <w:r w:rsidR="008C655C">
        <w:rPr>
          <w:rFonts w:ascii="Arial" w:hAnsi="Arial" w:cs="Arial"/>
        </w:rPr>
        <w:t>e is room for clarification about whether</w:t>
      </w:r>
      <w:r w:rsidRPr="008C655C">
        <w:rPr>
          <w:rFonts w:ascii="Arial" w:hAnsi="Arial" w:cs="Arial"/>
        </w:rPr>
        <w:t xml:space="preserve"> </w:t>
      </w:r>
      <w:r w:rsidR="006917BB">
        <w:rPr>
          <w:rFonts w:ascii="Arial" w:hAnsi="Arial" w:cs="Arial"/>
        </w:rPr>
        <w:t xml:space="preserve">and under what circumstances public advocates would </w:t>
      </w:r>
      <w:r w:rsidRPr="008C655C">
        <w:rPr>
          <w:rFonts w:ascii="Arial" w:hAnsi="Arial" w:cs="Arial"/>
        </w:rPr>
        <w:t>have the power to share information with the police</w:t>
      </w:r>
      <w:r w:rsidR="006917BB">
        <w:rPr>
          <w:rFonts w:ascii="Arial" w:hAnsi="Arial" w:cs="Arial"/>
        </w:rPr>
        <w:t>,</w:t>
      </w:r>
      <w:r w:rsidRPr="008C655C">
        <w:rPr>
          <w:rFonts w:ascii="Arial" w:hAnsi="Arial" w:cs="Arial"/>
        </w:rPr>
        <w:t xml:space="preserve"> </w:t>
      </w:r>
      <w:r w:rsidR="006917BB">
        <w:rPr>
          <w:rFonts w:ascii="Arial" w:hAnsi="Arial" w:cs="Arial"/>
        </w:rPr>
        <w:t xml:space="preserve">in the absence of consent, </w:t>
      </w:r>
      <w:r w:rsidRPr="008C655C">
        <w:rPr>
          <w:rFonts w:ascii="Arial" w:hAnsi="Arial" w:cs="Arial"/>
        </w:rPr>
        <w:t>where there is reason to believe a (serious) criminal</w:t>
      </w:r>
      <w:r w:rsidR="006917BB">
        <w:rPr>
          <w:rFonts w:ascii="Arial" w:hAnsi="Arial" w:cs="Arial"/>
        </w:rPr>
        <w:t xml:space="preserve"> offence has taken place.</w:t>
      </w:r>
    </w:p>
    <w:p w:rsidR="00C43D78" w:rsidRPr="008C655C" w:rsidRDefault="00AC6B2C" w:rsidP="008C655C">
      <w:pPr>
        <w:jc w:val="both"/>
        <w:rPr>
          <w:rFonts w:ascii="Arial" w:hAnsi="Arial" w:cs="Arial"/>
          <w:b/>
          <w:i/>
        </w:rPr>
      </w:pPr>
      <w:r w:rsidRPr="008C655C">
        <w:rPr>
          <w:rFonts w:ascii="Arial" w:hAnsi="Arial" w:cs="Arial"/>
          <w:b/>
          <w:i/>
        </w:rPr>
        <w:t>Proposal 3-5; Any person who reports elder abuse to the public advocate or public guardian in good faith and based on a reasonable suspicion should not, as a consequence of their report, be:</w:t>
      </w:r>
    </w:p>
    <w:p w:rsidR="00E706B5" w:rsidRPr="008C655C" w:rsidRDefault="00AC6B2C" w:rsidP="008C655C">
      <w:pPr>
        <w:pStyle w:val="ListParagraph"/>
        <w:numPr>
          <w:ilvl w:val="0"/>
          <w:numId w:val="6"/>
        </w:numPr>
        <w:jc w:val="both"/>
        <w:rPr>
          <w:rFonts w:ascii="Arial" w:hAnsi="Arial" w:cs="Arial"/>
          <w:b/>
          <w:i/>
          <w:sz w:val="22"/>
          <w:szCs w:val="22"/>
        </w:rPr>
      </w:pPr>
      <w:r w:rsidRPr="008C655C">
        <w:rPr>
          <w:rFonts w:ascii="Arial" w:hAnsi="Arial" w:cs="Arial"/>
          <w:b/>
          <w:i/>
          <w:sz w:val="22"/>
          <w:szCs w:val="22"/>
        </w:rPr>
        <w:t>Liable, civilly, criminally or under and administrative process;</w:t>
      </w:r>
    </w:p>
    <w:p w:rsidR="00E706B5" w:rsidRPr="008C655C" w:rsidRDefault="00E706B5" w:rsidP="008C655C">
      <w:pPr>
        <w:pStyle w:val="ListParagraph"/>
        <w:numPr>
          <w:ilvl w:val="0"/>
          <w:numId w:val="6"/>
        </w:numPr>
        <w:jc w:val="both"/>
        <w:rPr>
          <w:rFonts w:ascii="Arial" w:hAnsi="Arial" w:cs="Arial"/>
          <w:b/>
          <w:i/>
          <w:sz w:val="22"/>
          <w:szCs w:val="22"/>
        </w:rPr>
      </w:pPr>
      <w:r w:rsidRPr="008C655C">
        <w:rPr>
          <w:rFonts w:ascii="Arial" w:hAnsi="Arial" w:cs="Arial"/>
          <w:b/>
          <w:i/>
          <w:sz w:val="22"/>
          <w:szCs w:val="22"/>
        </w:rPr>
        <w:t>Found to have departed from standards of professional conduct;</w:t>
      </w:r>
    </w:p>
    <w:p w:rsidR="00E706B5" w:rsidRPr="008C655C" w:rsidRDefault="00E706B5" w:rsidP="008C655C">
      <w:pPr>
        <w:pStyle w:val="ListParagraph"/>
        <w:numPr>
          <w:ilvl w:val="0"/>
          <w:numId w:val="6"/>
        </w:numPr>
        <w:jc w:val="both"/>
        <w:rPr>
          <w:rFonts w:ascii="Arial" w:hAnsi="Arial" w:cs="Arial"/>
          <w:b/>
          <w:i/>
          <w:sz w:val="22"/>
          <w:szCs w:val="22"/>
        </w:rPr>
      </w:pPr>
      <w:r w:rsidRPr="008C655C">
        <w:rPr>
          <w:rFonts w:ascii="Arial" w:hAnsi="Arial" w:cs="Arial"/>
          <w:b/>
          <w:i/>
          <w:sz w:val="22"/>
          <w:szCs w:val="22"/>
        </w:rPr>
        <w:t>Dismissed or threatened in the course of their employment; or</w:t>
      </w:r>
    </w:p>
    <w:p w:rsidR="000D6944" w:rsidRPr="008C655C" w:rsidRDefault="00E706B5" w:rsidP="008C655C">
      <w:pPr>
        <w:pStyle w:val="ListParagraph"/>
        <w:numPr>
          <w:ilvl w:val="0"/>
          <w:numId w:val="6"/>
        </w:numPr>
        <w:jc w:val="both"/>
        <w:rPr>
          <w:rFonts w:ascii="Arial" w:hAnsi="Arial" w:cs="Arial"/>
          <w:b/>
          <w:i/>
          <w:sz w:val="22"/>
          <w:szCs w:val="22"/>
        </w:rPr>
      </w:pPr>
      <w:r w:rsidRPr="008C655C">
        <w:rPr>
          <w:rFonts w:ascii="Arial" w:hAnsi="Arial" w:cs="Arial"/>
          <w:b/>
          <w:i/>
          <w:sz w:val="22"/>
          <w:szCs w:val="22"/>
        </w:rPr>
        <w:t xml:space="preserve">Discriminated against with respect to employment or membership in a profession or trade union. </w:t>
      </w:r>
    </w:p>
    <w:p w:rsidR="000D6944" w:rsidRPr="008C655C" w:rsidRDefault="000D6944" w:rsidP="008C655C">
      <w:pPr>
        <w:jc w:val="both"/>
        <w:rPr>
          <w:rFonts w:ascii="Arial" w:hAnsi="Arial" w:cs="Arial"/>
          <w:i/>
        </w:rPr>
      </w:pPr>
    </w:p>
    <w:p w:rsidR="00D27B2B" w:rsidRPr="008C655C" w:rsidRDefault="00D27B2B" w:rsidP="008C655C">
      <w:pPr>
        <w:jc w:val="both"/>
        <w:rPr>
          <w:rFonts w:ascii="Arial" w:hAnsi="Arial" w:cs="Arial"/>
        </w:rPr>
      </w:pPr>
      <w:r w:rsidRPr="008C655C">
        <w:rPr>
          <w:rFonts w:ascii="Arial" w:hAnsi="Arial" w:cs="Arial"/>
        </w:rPr>
        <w:t>OPA supports</w:t>
      </w:r>
      <w:r w:rsidR="008F7B8C" w:rsidRPr="008C655C">
        <w:rPr>
          <w:rFonts w:ascii="Arial" w:hAnsi="Arial" w:cs="Arial"/>
        </w:rPr>
        <w:t xml:space="preserve"> </w:t>
      </w:r>
      <w:r w:rsidRPr="008C655C">
        <w:rPr>
          <w:rFonts w:ascii="Arial" w:hAnsi="Arial" w:cs="Arial"/>
        </w:rPr>
        <w:t>this proposal which is intended to protect whistle-blowers.</w:t>
      </w:r>
    </w:p>
    <w:p w:rsidR="00071D0D" w:rsidRPr="008C655C" w:rsidRDefault="00071D0D" w:rsidP="008C655C">
      <w:pPr>
        <w:jc w:val="both"/>
        <w:rPr>
          <w:rFonts w:ascii="Arial" w:hAnsi="Arial" w:cs="Arial"/>
          <w:b/>
          <w:u w:val="single"/>
        </w:rPr>
      </w:pPr>
      <w:r w:rsidRPr="008C655C">
        <w:rPr>
          <w:rFonts w:ascii="Arial" w:hAnsi="Arial" w:cs="Arial"/>
          <w:b/>
          <w:u w:val="single"/>
        </w:rPr>
        <w:t xml:space="preserve">4. Criminal </w:t>
      </w:r>
      <w:r w:rsidR="00517CD7" w:rsidRPr="008C655C">
        <w:rPr>
          <w:rFonts w:ascii="Arial" w:hAnsi="Arial" w:cs="Arial"/>
          <w:b/>
          <w:u w:val="single"/>
        </w:rPr>
        <w:t>Justice Responses</w:t>
      </w:r>
    </w:p>
    <w:p w:rsidR="00517CD7" w:rsidRPr="008C655C" w:rsidRDefault="00517CD7" w:rsidP="008C655C">
      <w:pPr>
        <w:jc w:val="both"/>
        <w:rPr>
          <w:rFonts w:ascii="Arial" w:hAnsi="Arial" w:cs="Arial"/>
        </w:rPr>
      </w:pPr>
      <w:r w:rsidRPr="008C655C">
        <w:rPr>
          <w:rFonts w:ascii="Arial" w:hAnsi="Arial" w:cs="Arial"/>
        </w:rPr>
        <w:t>OPA notes that the ALRC has not made any proposals or posed any further questions with respect to criminal justice responses.</w:t>
      </w:r>
    </w:p>
    <w:p w:rsidR="00517CD7" w:rsidRPr="008C655C" w:rsidRDefault="00517CD7" w:rsidP="008C655C">
      <w:pPr>
        <w:jc w:val="both"/>
        <w:rPr>
          <w:rFonts w:ascii="Arial" w:hAnsi="Arial" w:cs="Arial"/>
        </w:rPr>
      </w:pPr>
      <w:r w:rsidRPr="008C655C">
        <w:rPr>
          <w:rFonts w:ascii="Arial" w:hAnsi="Arial" w:cs="Arial"/>
        </w:rPr>
        <w:t xml:space="preserve">OPA does not propose to make any comments as to the content of the ALRC’s examination of the feedback it received from stakeholders’ earlier submissions.  We would just like to highlight, as per our earlier submission, the extensive legislative reform that has taken place </w:t>
      </w:r>
      <w:r w:rsidRPr="008C655C">
        <w:rPr>
          <w:rFonts w:ascii="Arial" w:hAnsi="Arial" w:cs="Arial"/>
        </w:rPr>
        <w:lastRenderedPageBreak/>
        <w:t xml:space="preserve">recently in South Australia, under the Attorney-General’s Department’s Disability Justice Plan, with the aim of supporting </w:t>
      </w:r>
      <w:r w:rsidR="00042A73" w:rsidRPr="008C655C">
        <w:rPr>
          <w:rFonts w:ascii="Arial" w:hAnsi="Arial" w:cs="Arial"/>
        </w:rPr>
        <w:t xml:space="preserve">vulnerable </w:t>
      </w:r>
      <w:r w:rsidRPr="008C655C">
        <w:rPr>
          <w:rFonts w:ascii="Arial" w:hAnsi="Arial" w:cs="Arial"/>
        </w:rPr>
        <w:t>victims and witnesses</w:t>
      </w:r>
      <w:r w:rsidR="00042A73" w:rsidRPr="008C655C">
        <w:rPr>
          <w:rFonts w:ascii="Arial" w:hAnsi="Arial" w:cs="Arial"/>
        </w:rPr>
        <w:t xml:space="preserve"> to </w:t>
      </w:r>
      <w:r w:rsidRPr="008C655C">
        <w:rPr>
          <w:rFonts w:ascii="Arial" w:hAnsi="Arial" w:cs="Arial"/>
        </w:rPr>
        <w:t>give evidence in criminal justice proceedings.</w:t>
      </w:r>
    </w:p>
    <w:p w:rsidR="00517CD7" w:rsidRPr="008C655C" w:rsidRDefault="00517CD7" w:rsidP="008C655C">
      <w:pPr>
        <w:jc w:val="both"/>
        <w:rPr>
          <w:rFonts w:ascii="Arial" w:hAnsi="Arial" w:cs="Arial"/>
        </w:rPr>
      </w:pPr>
      <w:r w:rsidRPr="008C655C">
        <w:rPr>
          <w:rFonts w:ascii="Arial" w:hAnsi="Arial" w:cs="Arial"/>
        </w:rPr>
        <w:t>The reforms include:</w:t>
      </w:r>
    </w:p>
    <w:p w:rsidR="00517CD7" w:rsidRPr="008C655C" w:rsidRDefault="00517CD7" w:rsidP="008C655C">
      <w:pPr>
        <w:pStyle w:val="ListParagraph"/>
        <w:numPr>
          <w:ilvl w:val="0"/>
          <w:numId w:val="25"/>
        </w:numPr>
        <w:jc w:val="both"/>
        <w:rPr>
          <w:rFonts w:ascii="Arial" w:hAnsi="Arial" w:cs="Arial"/>
          <w:sz w:val="22"/>
          <w:szCs w:val="22"/>
        </w:rPr>
      </w:pPr>
      <w:r w:rsidRPr="008C655C">
        <w:rPr>
          <w:rFonts w:ascii="Arial" w:hAnsi="Arial" w:cs="Arial"/>
          <w:sz w:val="22"/>
          <w:szCs w:val="22"/>
        </w:rPr>
        <w:t>giving witnesses (including victims and defendants) with complex communication needs access to com</w:t>
      </w:r>
      <w:r w:rsidR="00042A73" w:rsidRPr="008C655C">
        <w:rPr>
          <w:rFonts w:ascii="Arial" w:hAnsi="Arial" w:cs="Arial"/>
          <w:sz w:val="22"/>
          <w:szCs w:val="22"/>
        </w:rPr>
        <w:t>munication assistance (including communication partners)</w:t>
      </w:r>
      <w:r w:rsidRPr="008C655C">
        <w:rPr>
          <w:rFonts w:ascii="Arial" w:hAnsi="Arial" w:cs="Arial"/>
          <w:sz w:val="22"/>
          <w:szCs w:val="22"/>
        </w:rPr>
        <w:t xml:space="preserve"> for any contact with the criminal justice system;</w:t>
      </w:r>
    </w:p>
    <w:p w:rsidR="00517CD7" w:rsidRPr="008C655C" w:rsidRDefault="00517CD7" w:rsidP="008C655C">
      <w:pPr>
        <w:pStyle w:val="ListParagraph"/>
        <w:ind w:left="567"/>
        <w:jc w:val="both"/>
        <w:rPr>
          <w:rFonts w:ascii="Arial" w:hAnsi="Arial" w:cs="Arial"/>
          <w:sz w:val="22"/>
          <w:szCs w:val="22"/>
        </w:rPr>
      </w:pPr>
    </w:p>
    <w:p w:rsidR="00517CD7" w:rsidRPr="008C655C" w:rsidRDefault="00517CD7" w:rsidP="008C655C">
      <w:pPr>
        <w:pStyle w:val="ListParagraph"/>
        <w:numPr>
          <w:ilvl w:val="0"/>
          <w:numId w:val="25"/>
        </w:numPr>
        <w:jc w:val="both"/>
        <w:rPr>
          <w:rFonts w:ascii="Arial" w:hAnsi="Arial" w:cs="Arial"/>
          <w:sz w:val="22"/>
          <w:szCs w:val="22"/>
        </w:rPr>
      </w:pPr>
      <w:r w:rsidRPr="008C655C">
        <w:rPr>
          <w:rFonts w:ascii="Arial" w:hAnsi="Arial" w:cs="Arial"/>
          <w:sz w:val="22"/>
          <w:szCs w:val="22"/>
        </w:rPr>
        <w:t xml:space="preserve">the ability for evidence of </w:t>
      </w:r>
      <w:r w:rsidR="00E64835" w:rsidRPr="008C655C">
        <w:rPr>
          <w:rFonts w:ascii="Arial" w:hAnsi="Arial" w:cs="Arial"/>
          <w:sz w:val="22"/>
          <w:szCs w:val="22"/>
        </w:rPr>
        <w:t xml:space="preserve">vulnerable </w:t>
      </w:r>
      <w:r w:rsidRPr="008C655C">
        <w:rPr>
          <w:rFonts w:ascii="Arial" w:hAnsi="Arial" w:cs="Arial"/>
          <w:sz w:val="22"/>
          <w:szCs w:val="22"/>
        </w:rPr>
        <w:t>witnesses to be taken in informal surroundings;</w:t>
      </w:r>
    </w:p>
    <w:p w:rsidR="00042A73" w:rsidRPr="008C655C" w:rsidRDefault="00042A73" w:rsidP="008C655C">
      <w:pPr>
        <w:pStyle w:val="ListParagraph"/>
        <w:ind w:left="567"/>
        <w:jc w:val="both"/>
        <w:rPr>
          <w:rFonts w:ascii="Arial" w:hAnsi="Arial" w:cs="Arial"/>
          <w:sz w:val="22"/>
          <w:szCs w:val="22"/>
        </w:rPr>
      </w:pPr>
    </w:p>
    <w:p w:rsidR="00F057B9" w:rsidRDefault="00042A73" w:rsidP="00F057B9">
      <w:pPr>
        <w:pStyle w:val="ListParagraph"/>
        <w:numPr>
          <w:ilvl w:val="0"/>
          <w:numId w:val="25"/>
        </w:numPr>
        <w:jc w:val="both"/>
        <w:rPr>
          <w:rFonts w:ascii="Arial" w:hAnsi="Arial" w:cs="Arial"/>
          <w:sz w:val="22"/>
          <w:szCs w:val="22"/>
        </w:rPr>
      </w:pPr>
      <w:r w:rsidRPr="008C655C">
        <w:rPr>
          <w:rFonts w:ascii="Arial" w:hAnsi="Arial" w:cs="Arial"/>
          <w:sz w:val="22"/>
          <w:szCs w:val="22"/>
        </w:rPr>
        <w:t xml:space="preserve">provision of alternative measures for evidence of </w:t>
      </w:r>
      <w:r w:rsidR="00E64835" w:rsidRPr="008C655C">
        <w:rPr>
          <w:rFonts w:ascii="Arial" w:hAnsi="Arial" w:cs="Arial"/>
          <w:sz w:val="22"/>
          <w:szCs w:val="22"/>
        </w:rPr>
        <w:t xml:space="preserve">vulnerable </w:t>
      </w:r>
      <w:r w:rsidRPr="008C655C">
        <w:rPr>
          <w:rFonts w:ascii="Arial" w:hAnsi="Arial" w:cs="Arial"/>
          <w:sz w:val="22"/>
          <w:szCs w:val="22"/>
        </w:rPr>
        <w:t>witnesses to be presented at trial, including the admission of pre-recorded eviden</w:t>
      </w:r>
      <w:r w:rsidR="006917BB">
        <w:rPr>
          <w:rFonts w:ascii="Arial" w:hAnsi="Arial" w:cs="Arial"/>
          <w:sz w:val="22"/>
          <w:szCs w:val="22"/>
        </w:rPr>
        <w:t>ce and investigative interviews;</w:t>
      </w:r>
    </w:p>
    <w:p w:rsidR="00F057B9" w:rsidRPr="00F057B9" w:rsidRDefault="00F057B9" w:rsidP="00F057B9">
      <w:pPr>
        <w:pStyle w:val="ListParagraph"/>
        <w:rPr>
          <w:rFonts w:ascii="Arial" w:hAnsi="Arial" w:cs="Arial"/>
          <w:sz w:val="22"/>
          <w:szCs w:val="22"/>
        </w:rPr>
      </w:pPr>
    </w:p>
    <w:p w:rsidR="006917BB" w:rsidRPr="00F057B9" w:rsidRDefault="006917BB" w:rsidP="00F057B9">
      <w:pPr>
        <w:pStyle w:val="ListParagraph"/>
        <w:numPr>
          <w:ilvl w:val="0"/>
          <w:numId w:val="25"/>
        </w:numPr>
        <w:jc w:val="both"/>
        <w:rPr>
          <w:rFonts w:ascii="Arial" w:hAnsi="Arial" w:cs="Arial"/>
          <w:sz w:val="22"/>
          <w:szCs w:val="22"/>
        </w:rPr>
      </w:pPr>
      <w:r w:rsidRPr="00F057B9">
        <w:rPr>
          <w:rFonts w:ascii="Arial" w:hAnsi="Arial" w:cs="Arial"/>
          <w:sz w:val="22"/>
          <w:szCs w:val="22"/>
        </w:rPr>
        <w:t>specialist investigative training for government investigators, including police.</w:t>
      </w:r>
      <w:r w:rsidR="004777E5" w:rsidRPr="00F057B9">
        <w:rPr>
          <w:rStyle w:val="FootnoteReference"/>
          <w:rFonts w:ascii="Arial" w:hAnsi="Arial" w:cs="Arial"/>
          <w:sz w:val="22"/>
          <w:szCs w:val="22"/>
        </w:rPr>
        <w:t xml:space="preserve"> </w:t>
      </w:r>
      <w:r w:rsidR="004777E5" w:rsidRPr="008C655C">
        <w:rPr>
          <w:rStyle w:val="FootnoteReference"/>
          <w:rFonts w:ascii="Arial" w:hAnsi="Arial" w:cs="Arial"/>
          <w:sz w:val="22"/>
          <w:szCs w:val="22"/>
        </w:rPr>
        <w:footnoteReference w:id="11"/>
      </w:r>
    </w:p>
    <w:p w:rsidR="00042A73" w:rsidRPr="008C655C" w:rsidRDefault="00042A73" w:rsidP="008C655C">
      <w:pPr>
        <w:jc w:val="both"/>
        <w:rPr>
          <w:rFonts w:ascii="Arial" w:hAnsi="Arial" w:cs="Arial"/>
        </w:rPr>
      </w:pPr>
    </w:p>
    <w:p w:rsidR="00042A73" w:rsidRPr="008C655C" w:rsidRDefault="00E64835" w:rsidP="008C655C">
      <w:pPr>
        <w:jc w:val="both"/>
        <w:rPr>
          <w:rFonts w:ascii="Arial" w:hAnsi="Arial" w:cs="Arial"/>
        </w:rPr>
      </w:pPr>
      <w:r w:rsidRPr="008C655C">
        <w:rPr>
          <w:rFonts w:ascii="Arial" w:hAnsi="Arial" w:cs="Arial"/>
        </w:rPr>
        <w:t xml:space="preserve">OPA highlights these reforms in order to make the point that </w:t>
      </w:r>
      <w:r w:rsidR="006917BB">
        <w:rPr>
          <w:rFonts w:ascii="Arial" w:hAnsi="Arial" w:cs="Arial"/>
        </w:rPr>
        <w:t xml:space="preserve">strategies to address access to the criminal justice system for victims of elder abuse </w:t>
      </w:r>
      <w:r w:rsidRPr="008C655C">
        <w:rPr>
          <w:rFonts w:ascii="Arial" w:hAnsi="Arial" w:cs="Arial"/>
        </w:rPr>
        <w:t xml:space="preserve">may not </w:t>
      </w:r>
      <w:r w:rsidR="009B72CD" w:rsidRPr="008C655C">
        <w:rPr>
          <w:rFonts w:ascii="Arial" w:hAnsi="Arial" w:cs="Arial"/>
        </w:rPr>
        <w:t>lay</w:t>
      </w:r>
      <w:r w:rsidRPr="008C655C">
        <w:rPr>
          <w:rFonts w:ascii="Arial" w:hAnsi="Arial" w:cs="Arial"/>
        </w:rPr>
        <w:t xml:space="preserve"> only in the availability of applicable criminal offences or in improved training for police.  It is important to look at the processes within the criminal justice system which might create barriers for the equal treatment and participation of older people or people with a disability.</w:t>
      </w:r>
    </w:p>
    <w:p w:rsidR="00042A73" w:rsidRPr="008C655C" w:rsidRDefault="00042A73" w:rsidP="008C655C">
      <w:pPr>
        <w:pStyle w:val="ListParagraph"/>
        <w:ind w:left="567"/>
        <w:jc w:val="both"/>
        <w:rPr>
          <w:rFonts w:ascii="Arial" w:hAnsi="Arial" w:cs="Arial"/>
          <w:sz w:val="22"/>
          <w:szCs w:val="22"/>
        </w:rPr>
      </w:pPr>
    </w:p>
    <w:p w:rsidR="00D27B2B" w:rsidRPr="008C655C" w:rsidRDefault="00D27B2B" w:rsidP="008C655C">
      <w:pPr>
        <w:jc w:val="both"/>
        <w:rPr>
          <w:rFonts w:ascii="Arial" w:hAnsi="Arial" w:cs="Arial"/>
          <w:b/>
          <w:u w:val="single"/>
        </w:rPr>
      </w:pPr>
      <w:r w:rsidRPr="008C655C">
        <w:rPr>
          <w:rFonts w:ascii="Arial" w:hAnsi="Arial" w:cs="Arial"/>
          <w:b/>
          <w:u w:val="single"/>
        </w:rPr>
        <w:t>5. Enduring Powers of Attorney and Enduring Guardianship</w:t>
      </w:r>
    </w:p>
    <w:p w:rsidR="00285217" w:rsidRPr="008C655C" w:rsidRDefault="00734084" w:rsidP="008C655C">
      <w:pPr>
        <w:jc w:val="both"/>
        <w:rPr>
          <w:rFonts w:ascii="Arial" w:hAnsi="Arial" w:cs="Arial"/>
          <w:b/>
          <w:i/>
        </w:rPr>
      </w:pPr>
      <w:r w:rsidRPr="008C655C">
        <w:rPr>
          <w:rFonts w:ascii="Arial" w:hAnsi="Arial" w:cs="Arial"/>
          <w:b/>
          <w:i/>
        </w:rPr>
        <w:t>Proposal 5-1</w:t>
      </w:r>
      <w:r w:rsidR="00DA7C09" w:rsidRPr="008C655C">
        <w:rPr>
          <w:rFonts w:ascii="Arial" w:hAnsi="Arial" w:cs="Arial"/>
          <w:b/>
          <w:i/>
        </w:rPr>
        <w:t>;</w:t>
      </w:r>
      <w:r w:rsidRPr="008C655C">
        <w:rPr>
          <w:rFonts w:ascii="Arial" w:hAnsi="Arial" w:cs="Arial"/>
          <w:b/>
          <w:i/>
        </w:rPr>
        <w:t xml:space="preserve"> A national online register of enduring documents, and court and tribunal orders for the appointment of guardians and financial administrators should be established. </w:t>
      </w:r>
    </w:p>
    <w:p w:rsidR="004408BA" w:rsidRPr="008C655C" w:rsidRDefault="004408BA" w:rsidP="008C655C">
      <w:pPr>
        <w:jc w:val="both"/>
        <w:rPr>
          <w:rFonts w:ascii="Arial" w:hAnsi="Arial" w:cs="Arial"/>
        </w:rPr>
      </w:pPr>
      <w:r w:rsidRPr="008C655C">
        <w:rPr>
          <w:rFonts w:ascii="Arial" w:hAnsi="Arial" w:cs="Arial"/>
        </w:rPr>
        <w:t xml:space="preserve">For ease of reference, OPA will refer to guardians, administrators and donees of enduring powers collectively as “substitute decision-makers”.  </w:t>
      </w:r>
    </w:p>
    <w:p w:rsidR="00517246" w:rsidRPr="008C655C" w:rsidRDefault="00D27B2B" w:rsidP="008C655C">
      <w:pPr>
        <w:jc w:val="both"/>
        <w:rPr>
          <w:rFonts w:ascii="Arial" w:hAnsi="Arial" w:cs="Arial"/>
        </w:rPr>
      </w:pPr>
      <w:r w:rsidRPr="008C655C">
        <w:rPr>
          <w:rFonts w:ascii="Arial" w:hAnsi="Arial" w:cs="Arial"/>
        </w:rPr>
        <w:t xml:space="preserve">OPA supports </w:t>
      </w:r>
      <w:r w:rsidR="004408BA" w:rsidRPr="008C655C">
        <w:rPr>
          <w:rFonts w:ascii="Arial" w:hAnsi="Arial" w:cs="Arial"/>
        </w:rPr>
        <w:t xml:space="preserve">proposal 5-1 </w:t>
      </w:r>
      <w:r w:rsidR="00CB6F8A" w:rsidRPr="008C655C">
        <w:rPr>
          <w:rFonts w:ascii="Arial" w:hAnsi="Arial" w:cs="Arial"/>
        </w:rPr>
        <w:t>in principle, but acknowledges that there are likely to be</w:t>
      </w:r>
      <w:r w:rsidR="00517246" w:rsidRPr="008C655C">
        <w:rPr>
          <w:rFonts w:ascii="Arial" w:hAnsi="Arial" w:cs="Arial"/>
        </w:rPr>
        <w:t xml:space="preserve"> a number of practical obstacles</w:t>
      </w:r>
      <w:r w:rsidR="00734084" w:rsidRPr="008C655C">
        <w:rPr>
          <w:rFonts w:ascii="Arial" w:hAnsi="Arial" w:cs="Arial"/>
        </w:rPr>
        <w:t>.</w:t>
      </w:r>
    </w:p>
    <w:p w:rsidR="00734084" w:rsidRPr="008C655C" w:rsidRDefault="00734084" w:rsidP="008C655C">
      <w:pPr>
        <w:jc w:val="both"/>
        <w:rPr>
          <w:rFonts w:ascii="Arial" w:hAnsi="Arial" w:cs="Arial"/>
        </w:rPr>
      </w:pPr>
      <w:r w:rsidRPr="008C655C">
        <w:rPr>
          <w:rFonts w:ascii="Arial" w:hAnsi="Arial" w:cs="Arial"/>
        </w:rPr>
        <w:t>Currently</w:t>
      </w:r>
      <w:r w:rsidR="00D27B2B" w:rsidRPr="008C655C">
        <w:rPr>
          <w:rFonts w:ascii="Arial" w:hAnsi="Arial" w:cs="Arial"/>
        </w:rPr>
        <w:t>,</w:t>
      </w:r>
      <w:r w:rsidRPr="008C655C">
        <w:rPr>
          <w:rFonts w:ascii="Arial" w:hAnsi="Arial" w:cs="Arial"/>
        </w:rPr>
        <w:t xml:space="preserve"> there is a lack of accessib</w:t>
      </w:r>
      <w:r w:rsidR="00D27B2B" w:rsidRPr="008C655C">
        <w:rPr>
          <w:rFonts w:ascii="Arial" w:hAnsi="Arial" w:cs="Arial"/>
        </w:rPr>
        <w:t xml:space="preserve">le, </w:t>
      </w:r>
      <w:r w:rsidRPr="008C655C">
        <w:rPr>
          <w:rFonts w:ascii="Arial" w:hAnsi="Arial" w:cs="Arial"/>
        </w:rPr>
        <w:t xml:space="preserve">up-to-date </w:t>
      </w:r>
      <w:r w:rsidR="00D27B2B" w:rsidRPr="008C655C">
        <w:rPr>
          <w:rFonts w:ascii="Arial" w:hAnsi="Arial" w:cs="Arial"/>
        </w:rPr>
        <w:t xml:space="preserve">and reliable </w:t>
      </w:r>
      <w:r w:rsidRPr="008C655C">
        <w:rPr>
          <w:rFonts w:ascii="Arial" w:hAnsi="Arial" w:cs="Arial"/>
        </w:rPr>
        <w:t xml:space="preserve">information </w:t>
      </w:r>
      <w:r w:rsidR="00D27B2B" w:rsidRPr="008C655C">
        <w:rPr>
          <w:rFonts w:ascii="Arial" w:hAnsi="Arial" w:cs="Arial"/>
        </w:rPr>
        <w:t xml:space="preserve">about who has been appointed as a substitute decision-maker. </w:t>
      </w:r>
      <w:r w:rsidR="00517246" w:rsidRPr="008C655C">
        <w:rPr>
          <w:rFonts w:ascii="Arial" w:hAnsi="Arial" w:cs="Arial"/>
        </w:rPr>
        <w:t>A national register</w:t>
      </w:r>
      <w:r w:rsidRPr="008C655C">
        <w:rPr>
          <w:rFonts w:ascii="Arial" w:hAnsi="Arial" w:cs="Arial"/>
        </w:rPr>
        <w:t xml:space="preserve"> </w:t>
      </w:r>
      <w:r w:rsidR="00517246" w:rsidRPr="008C655C">
        <w:rPr>
          <w:rFonts w:ascii="Arial" w:hAnsi="Arial" w:cs="Arial"/>
        </w:rPr>
        <w:t>would enable</w:t>
      </w:r>
      <w:r w:rsidRPr="008C655C">
        <w:rPr>
          <w:rFonts w:ascii="Arial" w:hAnsi="Arial" w:cs="Arial"/>
        </w:rPr>
        <w:t xml:space="preserve"> checks to </w:t>
      </w:r>
      <w:r w:rsidRPr="008C655C">
        <w:rPr>
          <w:rFonts w:ascii="Arial" w:hAnsi="Arial" w:cs="Arial"/>
        </w:rPr>
        <w:lastRenderedPageBreak/>
        <w:t>be carried out and information</w:t>
      </w:r>
      <w:r w:rsidR="00517246" w:rsidRPr="008C655C">
        <w:rPr>
          <w:rFonts w:ascii="Arial" w:hAnsi="Arial" w:cs="Arial"/>
        </w:rPr>
        <w:t xml:space="preserve"> to be updated in the event of a change of circumstances</w:t>
      </w:r>
      <w:r w:rsidRPr="008C655C">
        <w:rPr>
          <w:rFonts w:ascii="Arial" w:hAnsi="Arial" w:cs="Arial"/>
        </w:rPr>
        <w:t>. To be effective the system must have the ability to efficiently store and organise the information of those with appoint</w:t>
      </w:r>
      <w:r w:rsidR="00517246" w:rsidRPr="008C655C">
        <w:rPr>
          <w:rFonts w:ascii="Arial" w:hAnsi="Arial" w:cs="Arial"/>
        </w:rPr>
        <w:t>ed powers and be easy to update</w:t>
      </w:r>
      <w:r w:rsidRPr="008C655C">
        <w:rPr>
          <w:rFonts w:ascii="Arial" w:hAnsi="Arial" w:cs="Arial"/>
        </w:rPr>
        <w:t xml:space="preserve">.    </w:t>
      </w:r>
    </w:p>
    <w:p w:rsidR="00FC629B" w:rsidRPr="008C655C" w:rsidRDefault="00517246" w:rsidP="008C655C">
      <w:pPr>
        <w:jc w:val="both"/>
        <w:rPr>
          <w:rFonts w:ascii="Arial" w:hAnsi="Arial" w:cs="Arial"/>
        </w:rPr>
      </w:pPr>
      <w:r w:rsidRPr="008C655C">
        <w:rPr>
          <w:rFonts w:ascii="Arial" w:hAnsi="Arial" w:cs="Arial"/>
        </w:rPr>
        <w:t>Practical issues include:</w:t>
      </w:r>
    </w:p>
    <w:p w:rsidR="00517246" w:rsidRPr="008C655C" w:rsidRDefault="00CB6F8A" w:rsidP="008C655C">
      <w:pPr>
        <w:pStyle w:val="ListParagraph"/>
        <w:numPr>
          <w:ilvl w:val="0"/>
          <w:numId w:val="7"/>
        </w:numPr>
        <w:jc w:val="both"/>
        <w:rPr>
          <w:rFonts w:ascii="Arial" w:hAnsi="Arial" w:cs="Arial"/>
          <w:sz w:val="22"/>
          <w:szCs w:val="22"/>
        </w:rPr>
      </w:pPr>
      <w:r w:rsidRPr="008C655C">
        <w:rPr>
          <w:rFonts w:ascii="Arial" w:hAnsi="Arial" w:cs="Arial"/>
          <w:sz w:val="22"/>
          <w:szCs w:val="22"/>
        </w:rPr>
        <w:t xml:space="preserve">how to keep a </w:t>
      </w:r>
      <w:r w:rsidR="00517246" w:rsidRPr="008C655C">
        <w:rPr>
          <w:rFonts w:ascii="Arial" w:hAnsi="Arial" w:cs="Arial"/>
          <w:sz w:val="22"/>
          <w:szCs w:val="22"/>
        </w:rPr>
        <w:t>register low-cost, in order to encourage compliance and not add complexity or burden to the role of the substitute decision-maker;</w:t>
      </w:r>
    </w:p>
    <w:p w:rsidR="004408BA" w:rsidRPr="008C655C" w:rsidRDefault="004408BA" w:rsidP="008C655C">
      <w:pPr>
        <w:pStyle w:val="ListParagraph"/>
        <w:ind w:left="501"/>
        <w:jc w:val="both"/>
        <w:rPr>
          <w:rFonts w:ascii="Arial" w:hAnsi="Arial" w:cs="Arial"/>
          <w:sz w:val="22"/>
          <w:szCs w:val="22"/>
        </w:rPr>
      </w:pPr>
    </w:p>
    <w:p w:rsidR="00517246" w:rsidRPr="008C655C" w:rsidRDefault="00517246" w:rsidP="008C655C">
      <w:pPr>
        <w:pStyle w:val="ListParagraph"/>
        <w:numPr>
          <w:ilvl w:val="0"/>
          <w:numId w:val="7"/>
        </w:numPr>
        <w:jc w:val="both"/>
        <w:rPr>
          <w:rFonts w:ascii="Arial" w:hAnsi="Arial" w:cs="Arial"/>
          <w:sz w:val="22"/>
          <w:szCs w:val="22"/>
        </w:rPr>
      </w:pPr>
      <w:r w:rsidRPr="008C655C">
        <w:rPr>
          <w:rFonts w:ascii="Arial" w:hAnsi="Arial" w:cs="Arial"/>
          <w:sz w:val="22"/>
          <w:szCs w:val="22"/>
        </w:rPr>
        <w:t>how to manage the divergences of legislation of the States a</w:t>
      </w:r>
      <w:r w:rsidR="004408BA" w:rsidRPr="008C655C">
        <w:rPr>
          <w:rFonts w:ascii="Arial" w:hAnsi="Arial" w:cs="Arial"/>
          <w:sz w:val="22"/>
          <w:szCs w:val="22"/>
        </w:rPr>
        <w:t xml:space="preserve">nd Territories given that the law </w:t>
      </w:r>
      <w:r w:rsidRPr="008C655C">
        <w:rPr>
          <w:rFonts w:ascii="Arial" w:hAnsi="Arial" w:cs="Arial"/>
          <w:sz w:val="22"/>
          <w:szCs w:val="22"/>
        </w:rPr>
        <w:t>relating to substitute decision-makers</w:t>
      </w:r>
      <w:r w:rsidR="004408BA" w:rsidRPr="008C655C">
        <w:rPr>
          <w:rFonts w:ascii="Arial" w:hAnsi="Arial" w:cs="Arial"/>
          <w:sz w:val="22"/>
          <w:szCs w:val="22"/>
        </w:rPr>
        <w:t xml:space="preserve"> is not uniform</w:t>
      </w:r>
      <w:r w:rsidRPr="008C655C">
        <w:rPr>
          <w:rFonts w:ascii="Arial" w:hAnsi="Arial" w:cs="Arial"/>
          <w:sz w:val="22"/>
          <w:szCs w:val="22"/>
        </w:rPr>
        <w:t>;</w:t>
      </w:r>
    </w:p>
    <w:p w:rsidR="004408BA" w:rsidRPr="008C655C" w:rsidRDefault="004408BA" w:rsidP="008C655C">
      <w:pPr>
        <w:pStyle w:val="ListParagraph"/>
        <w:ind w:left="501"/>
        <w:jc w:val="both"/>
        <w:rPr>
          <w:rFonts w:ascii="Arial" w:hAnsi="Arial" w:cs="Arial"/>
          <w:sz w:val="22"/>
          <w:szCs w:val="22"/>
        </w:rPr>
      </w:pPr>
    </w:p>
    <w:p w:rsidR="00FC629B" w:rsidRPr="008C655C" w:rsidRDefault="00CB6F8A" w:rsidP="008C655C">
      <w:pPr>
        <w:pStyle w:val="ListParagraph"/>
        <w:numPr>
          <w:ilvl w:val="0"/>
          <w:numId w:val="7"/>
        </w:numPr>
        <w:jc w:val="both"/>
        <w:rPr>
          <w:rFonts w:ascii="Arial" w:hAnsi="Arial" w:cs="Arial"/>
          <w:sz w:val="22"/>
          <w:szCs w:val="22"/>
        </w:rPr>
      </w:pPr>
      <w:r w:rsidRPr="008C655C">
        <w:rPr>
          <w:rFonts w:ascii="Arial" w:hAnsi="Arial" w:cs="Arial"/>
          <w:sz w:val="22"/>
          <w:szCs w:val="22"/>
        </w:rPr>
        <w:t>i</w:t>
      </w:r>
      <w:r w:rsidR="004408BA" w:rsidRPr="008C655C">
        <w:rPr>
          <w:rFonts w:ascii="Arial" w:hAnsi="Arial" w:cs="Arial"/>
          <w:sz w:val="22"/>
          <w:szCs w:val="22"/>
        </w:rPr>
        <w:t>nteraction with privacy laws;</w:t>
      </w:r>
    </w:p>
    <w:p w:rsidR="004408BA" w:rsidRPr="008C655C" w:rsidRDefault="004408BA" w:rsidP="008C655C">
      <w:pPr>
        <w:pStyle w:val="ListParagraph"/>
        <w:ind w:left="501"/>
        <w:jc w:val="both"/>
        <w:rPr>
          <w:rFonts w:ascii="Arial" w:hAnsi="Arial" w:cs="Arial"/>
          <w:sz w:val="22"/>
          <w:szCs w:val="22"/>
        </w:rPr>
      </w:pPr>
    </w:p>
    <w:p w:rsidR="004408BA" w:rsidRPr="008C655C" w:rsidRDefault="004408BA" w:rsidP="008C655C">
      <w:pPr>
        <w:pStyle w:val="ListParagraph"/>
        <w:numPr>
          <w:ilvl w:val="0"/>
          <w:numId w:val="7"/>
        </w:numPr>
        <w:jc w:val="both"/>
        <w:rPr>
          <w:rFonts w:ascii="Arial" w:hAnsi="Arial" w:cs="Arial"/>
          <w:sz w:val="22"/>
          <w:szCs w:val="22"/>
        </w:rPr>
      </w:pPr>
      <w:r w:rsidRPr="008C655C">
        <w:rPr>
          <w:rFonts w:ascii="Arial" w:hAnsi="Arial" w:cs="Arial"/>
          <w:sz w:val="22"/>
          <w:szCs w:val="22"/>
        </w:rPr>
        <w:t>data security.</w:t>
      </w:r>
    </w:p>
    <w:p w:rsidR="00734084" w:rsidRPr="008C655C" w:rsidRDefault="00734084" w:rsidP="008C655C">
      <w:pPr>
        <w:jc w:val="both"/>
        <w:rPr>
          <w:rFonts w:ascii="Arial" w:hAnsi="Arial" w:cs="Arial"/>
          <w:u w:val="single"/>
        </w:rPr>
      </w:pPr>
    </w:p>
    <w:p w:rsidR="00517246" w:rsidRPr="008C655C" w:rsidRDefault="00517246" w:rsidP="008C655C">
      <w:pPr>
        <w:jc w:val="both"/>
        <w:rPr>
          <w:rFonts w:ascii="Arial" w:hAnsi="Arial" w:cs="Arial"/>
        </w:rPr>
      </w:pPr>
      <w:r w:rsidRPr="008C655C">
        <w:rPr>
          <w:rFonts w:ascii="Arial" w:hAnsi="Arial" w:cs="Arial"/>
        </w:rPr>
        <w:t>Given the complexities around establishment and maintenance of a national on-line register, OPA does not consider that this proposal should be a top priority.</w:t>
      </w:r>
    </w:p>
    <w:p w:rsidR="00C7680F" w:rsidRPr="008C655C" w:rsidRDefault="00CB6F8A" w:rsidP="008C655C">
      <w:pPr>
        <w:jc w:val="both"/>
        <w:rPr>
          <w:rFonts w:ascii="Arial" w:hAnsi="Arial" w:cs="Arial"/>
          <w:b/>
        </w:rPr>
      </w:pPr>
      <w:r w:rsidRPr="008C655C">
        <w:rPr>
          <w:rFonts w:ascii="Arial" w:hAnsi="Arial" w:cs="Arial"/>
          <w:b/>
        </w:rPr>
        <w:t>Proposal 5-2:</w:t>
      </w:r>
      <w:r w:rsidR="00DA7C09" w:rsidRPr="008C655C">
        <w:rPr>
          <w:rFonts w:ascii="Arial" w:hAnsi="Arial" w:cs="Arial"/>
          <w:b/>
        </w:rPr>
        <w:t xml:space="preserve"> The making or revocation of an enduring document should not be valid until registered. The making and registering of a subsequent enduring document</w:t>
      </w:r>
      <w:r w:rsidR="00C7680F" w:rsidRPr="008C655C">
        <w:rPr>
          <w:rFonts w:ascii="Arial" w:hAnsi="Arial" w:cs="Arial"/>
          <w:b/>
        </w:rPr>
        <w:t xml:space="preserve"> should automatically revoke the previous document of the same type. </w:t>
      </w:r>
    </w:p>
    <w:p w:rsidR="001561D7" w:rsidRPr="008C655C" w:rsidRDefault="00CB6F8A" w:rsidP="008C655C">
      <w:pPr>
        <w:jc w:val="both"/>
        <w:rPr>
          <w:rFonts w:ascii="Arial" w:hAnsi="Arial" w:cs="Arial"/>
          <w:b/>
        </w:rPr>
      </w:pPr>
      <w:r w:rsidRPr="008C655C">
        <w:rPr>
          <w:rFonts w:ascii="Arial" w:hAnsi="Arial" w:cs="Arial"/>
          <w:b/>
        </w:rPr>
        <w:t>Proposal 5-3:</w:t>
      </w:r>
      <w:r w:rsidR="001561D7" w:rsidRPr="008C655C">
        <w:rPr>
          <w:rFonts w:ascii="Arial" w:hAnsi="Arial" w:cs="Arial"/>
          <w:b/>
        </w:rPr>
        <w:t xml:space="preserve"> The implementation of the national online register should include transitional arrangements to ensure that existing enduring documents can be registered and that unregistered enduring documents remain valid for a prescribed period. </w:t>
      </w:r>
    </w:p>
    <w:p w:rsidR="001A22E7" w:rsidRPr="008C655C" w:rsidRDefault="00C500A1" w:rsidP="008C655C">
      <w:pPr>
        <w:jc w:val="both"/>
        <w:rPr>
          <w:rFonts w:ascii="Arial" w:hAnsi="Arial" w:cs="Arial"/>
        </w:rPr>
      </w:pPr>
      <w:r w:rsidRPr="008C655C">
        <w:rPr>
          <w:rFonts w:ascii="Arial" w:hAnsi="Arial" w:cs="Arial"/>
        </w:rPr>
        <w:t>OPA supports proposal</w:t>
      </w:r>
      <w:r w:rsidR="001561D7" w:rsidRPr="008C655C">
        <w:rPr>
          <w:rFonts w:ascii="Arial" w:hAnsi="Arial" w:cs="Arial"/>
        </w:rPr>
        <w:t>s</w:t>
      </w:r>
      <w:r w:rsidRPr="008C655C">
        <w:rPr>
          <w:rFonts w:ascii="Arial" w:hAnsi="Arial" w:cs="Arial"/>
        </w:rPr>
        <w:t xml:space="preserve"> </w:t>
      </w:r>
      <w:r w:rsidR="001561D7" w:rsidRPr="008C655C">
        <w:rPr>
          <w:rFonts w:ascii="Arial" w:hAnsi="Arial" w:cs="Arial"/>
        </w:rPr>
        <w:t xml:space="preserve">5-2 and 5-3 </w:t>
      </w:r>
      <w:r w:rsidR="00EB19DB" w:rsidRPr="008C655C">
        <w:rPr>
          <w:rFonts w:ascii="Arial" w:hAnsi="Arial" w:cs="Arial"/>
        </w:rPr>
        <w:t xml:space="preserve">as to registration of enduring documents, </w:t>
      </w:r>
      <w:r w:rsidRPr="008C655C">
        <w:rPr>
          <w:rFonts w:ascii="Arial" w:hAnsi="Arial" w:cs="Arial"/>
        </w:rPr>
        <w:t xml:space="preserve">as </w:t>
      </w:r>
      <w:r w:rsidR="00EB19DB" w:rsidRPr="008C655C">
        <w:rPr>
          <w:rFonts w:ascii="Arial" w:hAnsi="Arial" w:cs="Arial"/>
        </w:rPr>
        <w:t>it w</w:t>
      </w:r>
      <w:r w:rsidRPr="008C655C">
        <w:rPr>
          <w:rFonts w:ascii="Arial" w:hAnsi="Arial" w:cs="Arial"/>
        </w:rPr>
        <w:t>ould act as a safeguard against the potential abuse of power by someone relying on an expired or invalid document.</w:t>
      </w:r>
    </w:p>
    <w:p w:rsidR="00C97B0A" w:rsidRPr="008C655C" w:rsidRDefault="00EB19DB" w:rsidP="008C655C">
      <w:pPr>
        <w:jc w:val="both"/>
        <w:rPr>
          <w:rFonts w:ascii="Arial" w:hAnsi="Arial" w:cs="Arial"/>
        </w:rPr>
      </w:pPr>
      <w:r w:rsidRPr="008C655C">
        <w:rPr>
          <w:rFonts w:ascii="Arial" w:hAnsi="Arial" w:cs="Arial"/>
        </w:rPr>
        <w:t xml:space="preserve">OPA has </w:t>
      </w:r>
      <w:r w:rsidR="006917BB">
        <w:rPr>
          <w:rFonts w:ascii="Arial" w:hAnsi="Arial" w:cs="Arial"/>
        </w:rPr>
        <w:t xml:space="preserve">previously </w:t>
      </w:r>
      <w:r w:rsidRPr="008C655C">
        <w:rPr>
          <w:rFonts w:ascii="Arial" w:hAnsi="Arial" w:cs="Arial"/>
        </w:rPr>
        <w:t>support</w:t>
      </w:r>
      <w:r w:rsidR="006917BB">
        <w:rPr>
          <w:rFonts w:ascii="Arial" w:hAnsi="Arial" w:cs="Arial"/>
        </w:rPr>
        <w:t>ed the</w:t>
      </w:r>
      <w:r w:rsidR="00C97B0A" w:rsidRPr="008C655C">
        <w:rPr>
          <w:rFonts w:ascii="Arial" w:hAnsi="Arial" w:cs="Arial"/>
        </w:rPr>
        <w:t xml:space="preserve"> </w:t>
      </w:r>
      <w:r w:rsidRPr="008C655C">
        <w:rPr>
          <w:rFonts w:ascii="Arial" w:hAnsi="Arial" w:cs="Arial"/>
        </w:rPr>
        <w:t>registration of a</w:t>
      </w:r>
      <w:r w:rsidR="00C97B0A" w:rsidRPr="008C655C">
        <w:rPr>
          <w:rFonts w:ascii="Arial" w:hAnsi="Arial" w:cs="Arial"/>
        </w:rPr>
        <w:t>dvance</w:t>
      </w:r>
      <w:r w:rsidRPr="008C655C">
        <w:rPr>
          <w:rFonts w:ascii="Arial" w:hAnsi="Arial" w:cs="Arial"/>
        </w:rPr>
        <w:t xml:space="preserve"> care d</w:t>
      </w:r>
      <w:r w:rsidR="001561D7" w:rsidRPr="008C655C">
        <w:rPr>
          <w:rFonts w:ascii="Arial" w:hAnsi="Arial" w:cs="Arial"/>
        </w:rPr>
        <w:t>irectives</w:t>
      </w:r>
      <w:r w:rsidRPr="008C655C">
        <w:rPr>
          <w:rFonts w:ascii="Arial" w:hAnsi="Arial" w:cs="Arial"/>
        </w:rPr>
        <w:t>/enduring powers of guardianship</w:t>
      </w:r>
      <w:r w:rsidR="001561D7" w:rsidRPr="008C655C">
        <w:rPr>
          <w:rFonts w:ascii="Arial" w:hAnsi="Arial" w:cs="Arial"/>
        </w:rPr>
        <w:t xml:space="preserve">, ensuring they are easily accessible in the event of a person’s sudden, </w:t>
      </w:r>
      <w:r w:rsidR="00C97B0A" w:rsidRPr="008C655C">
        <w:rPr>
          <w:rFonts w:ascii="Arial" w:hAnsi="Arial" w:cs="Arial"/>
        </w:rPr>
        <w:t xml:space="preserve">unexpected loss of mental capacity and </w:t>
      </w:r>
      <w:r w:rsidR="001561D7" w:rsidRPr="008C655C">
        <w:rPr>
          <w:rFonts w:ascii="Arial" w:hAnsi="Arial" w:cs="Arial"/>
        </w:rPr>
        <w:t>an urgent decision must be made.</w:t>
      </w:r>
      <w:r w:rsidR="00B73EE9" w:rsidRPr="008C655C">
        <w:rPr>
          <w:rStyle w:val="FootnoteReference"/>
          <w:rFonts w:ascii="Arial" w:hAnsi="Arial" w:cs="Arial"/>
        </w:rPr>
        <w:footnoteReference w:id="12"/>
      </w:r>
      <w:r w:rsidR="00E64835" w:rsidRPr="008C655C">
        <w:rPr>
          <w:rFonts w:ascii="Arial" w:hAnsi="Arial" w:cs="Arial"/>
        </w:rPr>
        <w:t xml:space="preserve"> </w:t>
      </w:r>
    </w:p>
    <w:p w:rsidR="001561D7" w:rsidRPr="008C655C" w:rsidRDefault="001561D7" w:rsidP="008C655C">
      <w:pPr>
        <w:autoSpaceDE w:val="0"/>
        <w:autoSpaceDN w:val="0"/>
        <w:adjustRightInd w:val="0"/>
        <w:jc w:val="both"/>
        <w:rPr>
          <w:rFonts w:ascii="Arial" w:hAnsi="Arial" w:cs="Arial"/>
          <w:b/>
          <w:i/>
        </w:rPr>
      </w:pPr>
      <w:r w:rsidRPr="008C655C">
        <w:rPr>
          <w:rFonts w:ascii="Arial" w:hAnsi="Arial" w:cs="Arial"/>
          <w:b/>
          <w:i/>
        </w:rPr>
        <w:t xml:space="preserve">Question 5-2; should public advocates and public guardians have the power to conduct random checks of enduring attorneys’ management of principals’ financial affairs? </w:t>
      </w:r>
    </w:p>
    <w:p w:rsidR="001561D7" w:rsidRPr="008C655C" w:rsidRDefault="00A87CE2" w:rsidP="008C655C">
      <w:pPr>
        <w:jc w:val="both"/>
        <w:rPr>
          <w:rFonts w:ascii="Arial" w:hAnsi="Arial" w:cs="Arial"/>
        </w:rPr>
      </w:pPr>
      <w:r w:rsidRPr="008C655C">
        <w:rPr>
          <w:rFonts w:ascii="Arial" w:hAnsi="Arial" w:cs="Arial"/>
        </w:rPr>
        <w:t>P</w:t>
      </w:r>
      <w:r w:rsidR="001561D7" w:rsidRPr="008C655C">
        <w:rPr>
          <w:rFonts w:ascii="Arial" w:hAnsi="Arial" w:cs="Arial"/>
        </w:rPr>
        <w:t>ower</w:t>
      </w:r>
      <w:r w:rsidRPr="008C655C">
        <w:rPr>
          <w:rFonts w:ascii="Arial" w:hAnsi="Arial" w:cs="Arial"/>
        </w:rPr>
        <w:t>s</w:t>
      </w:r>
      <w:r w:rsidR="001561D7" w:rsidRPr="008C655C">
        <w:rPr>
          <w:rFonts w:ascii="Arial" w:hAnsi="Arial" w:cs="Arial"/>
        </w:rPr>
        <w:t xml:space="preserve"> to undergo random checking </w:t>
      </w:r>
      <w:r w:rsidRPr="008C655C">
        <w:rPr>
          <w:rFonts w:ascii="Arial" w:hAnsi="Arial" w:cs="Arial"/>
        </w:rPr>
        <w:t xml:space="preserve">of enduring attorneys’ management of the principal’s financial affairs </w:t>
      </w:r>
      <w:r w:rsidR="001561D7" w:rsidRPr="008C655C">
        <w:rPr>
          <w:rFonts w:ascii="Arial" w:hAnsi="Arial" w:cs="Arial"/>
        </w:rPr>
        <w:t>may be a</w:t>
      </w:r>
      <w:r w:rsidRPr="008C655C">
        <w:rPr>
          <w:rFonts w:ascii="Arial" w:hAnsi="Arial" w:cs="Arial"/>
        </w:rPr>
        <w:t>n effective</w:t>
      </w:r>
      <w:r w:rsidR="00B73EE9" w:rsidRPr="008C655C">
        <w:rPr>
          <w:rFonts w:ascii="Arial" w:hAnsi="Arial" w:cs="Arial"/>
        </w:rPr>
        <w:t xml:space="preserve"> safeguard for protection and prevention of</w:t>
      </w:r>
      <w:r w:rsidR="001561D7" w:rsidRPr="008C655C">
        <w:rPr>
          <w:rFonts w:ascii="Arial" w:hAnsi="Arial" w:cs="Arial"/>
        </w:rPr>
        <w:t xml:space="preserve"> financial abuse</w:t>
      </w:r>
      <w:r w:rsidRPr="008C655C">
        <w:rPr>
          <w:rFonts w:ascii="Arial" w:hAnsi="Arial" w:cs="Arial"/>
        </w:rPr>
        <w:t xml:space="preserve">.  However, OPA </w:t>
      </w:r>
      <w:r w:rsidR="001561D7" w:rsidRPr="008C655C">
        <w:rPr>
          <w:rFonts w:ascii="Arial" w:hAnsi="Arial" w:cs="Arial"/>
        </w:rPr>
        <w:t>do</w:t>
      </w:r>
      <w:r w:rsidRPr="008C655C">
        <w:rPr>
          <w:rFonts w:ascii="Arial" w:hAnsi="Arial" w:cs="Arial"/>
        </w:rPr>
        <w:t>es</w:t>
      </w:r>
      <w:r w:rsidR="001561D7" w:rsidRPr="008C655C">
        <w:rPr>
          <w:rFonts w:ascii="Arial" w:hAnsi="Arial" w:cs="Arial"/>
        </w:rPr>
        <w:t xml:space="preserve"> not believe that it is necessary for t</w:t>
      </w:r>
      <w:r w:rsidRPr="008C655C">
        <w:rPr>
          <w:rFonts w:ascii="Arial" w:hAnsi="Arial" w:cs="Arial"/>
        </w:rPr>
        <w:t>he public advocates to be em</w:t>
      </w:r>
      <w:r w:rsidR="001561D7" w:rsidRPr="008C655C">
        <w:rPr>
          <w:rFonts w:ascii="Arial" w:hAnsi="Arial" w:cs="Arial"/>
        </w:rPr>
        <w:t>power</w:t>
      </w:r>
      <w:r w:rsidRPr="008C655C">
        <w:rPr>
          <w:rFonts w:ascii="Arial" w:hAnsi="Arial" w:cs="Arial"/>
        </w:rPr>
        <w:t>ed</w:t>
      </w:r>
      <w:r w:rsidR="001561D7" w:rsidRPr="008C655C">
        <w:rPr>
          <w:rFonts w:ascii="Arial" w:hAnsi="Arial" w:cs="Arial"/>
        </w:rPr>
        <w:t xml:space="preserve"> to conduct random c</w:t>
      </w:r>
      <w:r w:rsidR="00B73EE9" w:rsidRPr="008C655C">
        <w:rPr>
          <w:rFonts w:ascii="Arial" w:hAnsi="Arial" w:cs="Arial"/>
        </w:rPr>
        <w:t>hecks.  A</w:t>
      </w:r>
      <w:r w:rsidRPr="008C655C">
        <w:rPr>
          <w:rFonts w:ascii="Arial" w:hAnsi="Arial" w:cs="Arial"/>
        </w:rPr>
        <w:t xml:space="preserve">ny such power should lie with </w:t>
      </w:r>
      <w:r w:rsidR="00B73EE9" w:rsidRPr="008C655C">
        <w:rPr>
          <w:rFonts w:ascii="Arial" w:hAnsi="Arial" w:cs="Arial"/>
        </w:rPr>
        <w:t>public trustees, who have the financial expertise necessary to fulfil such a role.</w:t>
      </w:r>
      <w:r w:rsidR="001561D7" w:rsidRPr="008C655C">
        <w:rPr>
          <w:rFonts w:ascii="Arial" w:hAnsi="Arial" w:cs="Arial"/>
        </w:rPr>
        <w:t xml:space="preserve"> </w:t>
      </w:r>
    </w:p>
    <w:p w:rsidR="004A6C64" w:rsidRDefault="00D4325C" w:rsidP="008C655C">
      <w:pPr>
        <w:autoSpaceDE w:val="0"/>
        <w:autoSpaceDN w:val="0"/>
        <w:adjustRightInd w:val="0"/>
        <w:spacing w:after="0" w:line="240" w:lineRule="auto"/>
        <w:jc w:val="both"/>
        <w:rPr>
          <w:rFonts w:ascii="Arial" w:hAnsi="Arial" w:cs="Arial"/>
          <w:b/>
          <w:i/>
        </w:rPr>
      </w:pPr>
      <w:r w:rsidRPr="008C655C">
        <w:rPr>
          <w:rFonts w:ascii="Arial" w:hAnsi="Arial" w:cs="Arial"/>
          <w:b/>
          <w:i/>
        </w:rPr>
        <w:t>Proposal 5-4 Enduring documents should be witnessed by two independent witnesses, one of whom must be either a:</w:t>
      </w:r>
    </w:p>
    <w:p w:rsidR="005F2FFF" w:rsidRPr="008C655C" w:rsidRDefault="005F2FFF" w:rsidP="008C655C">
      <w:pPr>
        <w:autoSpaceDE w:val="0"/>
        <w:autoSpaceDN w:val="0"/>
        <w:adjustRightInd w:val="0"/>
        <w:spacing w:after="0" w:line="240" w:lineRule="auto"/>
        <w:jc w:val="both"/>
        <w:rPr>
          <w:rFonts w:ascii="Arial" w:hAnsi="Arial" w:cs="Arial"/>
          <w:b/>
          <w:i/>
        </w:rPr>
      </w:pPr>
    </w:p>
    <w:p w:rsidR="00D4325C" w:rsidRPr="008C655C" w:rsidRDefault="00D4325C" w:rsidP="008C655C">
      <w:pPr>
        <w:pStyle w:val="ListParagraph"/>
        <w:numPr>
          <w:ilvl w:val="0"/>
          <w:numId w:val="9"/>
        </w:numPr>
        <w:autoSpaceDE w:val="0"/>
        <w:autoSpaceDN w:val="0"/>
        <w:adjustRightInd w:val="0"/>
        <w:jc w:val="both"/>
        <w:rPr>
          <w:rFonts w:ascii="Arial" w:hAnsi="Arial" w:cs="Arial"/>
          <w:b/>
          <w:i/>
          <w:sz w:val="22"/>
          <w:szCs w:val="22"/>
        </w:rPr>
      </w:pPr>
      <w:r w:rsidRPr="008C655C">
        <w:rPr>
          <w:rFonts w:ascii="Arial" w:hAnsi="Arial" w:cs="Arial"/>
          <w:b/>
          <w:i/>
          <w:sz w:val="22"/>
          <w:szCs w:val="22"/>
        </w:rPr>
        <w:lastRenderedPageBreak/>
        <w:t xml:space="preserve">legal practitioner </w:t>
      </w:r>
    </w:p>
    <w:p w:rsidR="00D4325C" w:rsidRPr="008C655C" w:rsidRDefault="00D4325C" w:rsidP="008C655C">
      <w:pPr>
        <w:pStyle w:val="ListParagraph"/>
        <w:numPr>
          <w:ilvl w:val="0"/>
          <w:numId w:val="9"/>
        </w:numPr>
        <w:autoSpaceDE w:val="0"/>
        <w:autoSpaceDN w:val="0"/>
        <w:adjustRightInd w:val="0"/>
        <w:jc w:val="both"/>
        <w:rPr>
          <w:rFonts w:ascii="Arial" w:hAnsi="Arial" w:cs="Arial"/>
          <w:b/>
          <w:i/>
          <w:sz w:val="22"/>
          <w:szCs w:val="22"/>
        </w:rPr>
      </w:pPr>
      <w:r w:rsidRPr="008C655C">
        <w:rPr>
          <w:rFonts w:ascii="Arial" w:hAnsi="Arial" w:cs="Arial"/>
          <w:b/>
          <w:i/>
          <w:sz w:val="22"/>
          <w:szCs w:val="22"/>
        </w:rPr>
        <w:t>medical practitioner</w:t>
      </w:r>
    </w:p>
    <w:p w:rsidR="00D4325C" w:rsidRPr="008C655C" w:rsidRDefault="00D4325C" w:rsidP="008C655C">
      <w:pPr>
        <w:pStyle w:val="ListParagraph"/>
        <w:numPr>
          <w:ilvl w:val="0"/>
          <w:numId w:val="9"/>
        </w:numPr>
        <w:autoSpaceDE w:val="0"/>
        <w:autoSpaceDN w:val="0"/>
        <w:adjustRightInd w:val="0"/>
        <w:jc w:val="both"/>
        <w:rPr>
          <w:rFonts w:ascii="Arial" w:hAnsi="Arial" w:cs="Arial"/>
          <w:b/>
          <w:i/>
          <w:sz w:val="22"/>
          <w:szCs w:val="22"/>
        </w:rPr>
      </w:pPr>
      <w:r w:rsidRPr="008C655C">
        <w:rPr>
          <w:rFonts w:ascii="Arial" w:hAnsi="Arial" w:cs="Arial"/>
          <w:b/>
          <w:i/>
          <w:sz w:val="22"/>
          <w:szCs w:val="22"/>
        </w:rPr>
        <w:t xml:space="preserve">justice of the peace; </w:t>
      </w:r>
    </w:p>
    <w:p w:rsidR="00D4325C" w:rsidRPr="008C655C" w:rsidRDefault="00351824" w:rsidP="008C655C">
      <w:pPr>
        <w:pStyle w:val="ListParagraph"/>
        <w:numPr>
          <w:ilvl w:val="0"/>
          <w:numId w:val="9"/>
        </w:numPr>
        <w:autoSpaceDE w:val="0"/>
        <w:autoSpaceDN w:val="0"/>
        <w:adjustRightInd w:val="0"/>
        <w:jc w:val="both"/>
        <w:rPr>
          <w:rFonts w:ascii="Arial" w:hAnsi="Arial" w:cs="Arial"/>
          <w:b/>
          <w:i/>
          <w:sz w:val="22"/>
          <w:szCs w:val="22"/>
        </w:rPr>
      </w:pPr>
      <w:r w:rsidRPr="008C655C">
        <w:rPr>
          <w:rFonts w:ascii="Arial" w:hAnsi="Arial" w:cs="Arial"/>
          <w:b/>
          <w:i/>
          <w:sz w:val="22"/>
          <w:szCs w:val="22"/>
        </w:rPr>
        <w:t>registrar</w:t>
      </w:r>
      <w:r w:rsidR="00D4325C" w:rsidRPr="008C655C">
        <w:rPr>
          <w:rFonts w:ascii="Arial" w:hAnsi="Arial" w:cs="Arial"/>
          <w:b/>
          <w:i/>
          <w:sz w:val="22"/>
          <w:szCs w:val="22"/>
        </w:rPr>
        <w:t xml:space="preserve"> of the Local Magistrates Court; or</w:t>
      </w:r>
    </w:p>
    <w:p w:rsidR="004A6C64" w:rsidRDefault="00D4325C" w:rsidP="008C655C">
      <w:pPr>
        <w:pStyle w:val="ListParagraph"/>
        <w:numPr>
          <w:ilvl w:val="0"/>
          <w:numId w:val="9"/>
        </w:numPr>
        <w:autoSpaceDE w:val="0"/>
        <w:autoSpaceDN w:val="0"/>
        <w:adjustRightInd w:val="0"/>
        <w:jc w:val="both"/>
        <w:rPr>
          <w:rFonts w:ascii="Arial" w:hAnsi="Arial" w:cs="Arial"/>
          <w:b/>
          <w:i/>
          <w:sz w:val="22"/>
          <w:szCs w:val="22"/>
        </w:rPr>
      </w:pPr>
      <w:r w:rsidRPr="008C655C">
        <w:rPr>
          <w:rFonts w:ascii="Arial" w:hAnsi="Arial" w:cs="Arial"/>
          <w:b/>
          <w:i/>
          <w:sz w:val="22"/>
          <w:szCs w:val="22"/>
        </w:rPr>
        <w:t xml:space="preserve">police officer holding the rank of sergeant or above </w:t>
      </w:r>
    </w:p>
    <w:p w:rsidR="00D4325C" w:rsidRPr="008C655C" w:rsidRDefault="00D4325C" w:rsidP="004A6C64">
      <w:pPr>
        <w:pStyle w:val="ListParagraph"/>
        <w:autoSpaceDE w:val="0"/>
        <w:autoSpaceDN w:val="0"/>
        <w:adjustRightInd w:val="0"/>
        <w:ind w:left="360"/>
        <w:jc w:val="both"/>
        <w:rPr>
          <w:rFonts w:ascii="Arial" w:hAnsi="Arial" w:cs="Arial"/>
          <w:b/>
          <w:i/>
          <w:sz w:val="22"/>
          <w:szCs w:val="22"/>
        </w:rPr>
      </w:pPr>
    </w:p>
    <w:p w:rsidR="00D4325C" w:rsidRPr="008C655C" w:rsidRDefault="00D4325C" w:rsidP="008C655C">
      <w:pPr>
        <w:autoSpaceDE w:val="0"/>
        <w:autoSpaceDN w:val="0"/>
        <w:adjustRightInd w:val="0"/>
        <w:jc w:val="both"/>
        <w:rPr>
          <w:rFonts w:ascii="Arial" w:hAnsi="Arial" w:cs="Arial"/>
          <w:b/>
          <w:i/>
        </w:rPr>
      </w:pPr>
      <w:r w:rsidRPr="008C655C">
        <w:rPr>
          <w:rFonts w:ascii="Arial" w:hAnsi="Arial" w:cs="Arial"/>
          <w:b/>
          <w:i/>
        </w:rPr>
        <w:t>Each witness should certify that:</w:t>
      </w:r>
    </w:p>
    <w:p w:rsidR="00D4325C" w:rsidRPr="008C655C" w:rsidRDefault="00D4325C" w:rsidP="008C655C">
      <w:pPr>
        <w:pStyle w:val="ListParagraph"/>
        <w:numPr>
          <w:ilvl w:val="0"/>
          <w:numId w:val="10"/>
        </w:numPr>
        <w:autoSpaceDE w:val="0"/>
        <w:autoSpaceDN w:val="0"/>
        <w:adjustRightInd w:val="0"/>
        <w:jc w:val="both"/>
        <w:rPr>
          <w:rFonts w:ascii="Arial" w:hAnsi="Arial" w:cs="Arial"/>
          <w:b/>
          <w:i/>
          <w:sz w:val="22"/>
          <w:szCs w:val="22"/>
        </w:rPr>
      </w:pPr>
      <w:r w:rsidRPr="008C655C">
        <w:rPr>
          <w:rFonts w:ascii="Arial" w:hAnsi="Arial" w:cs="Arial"/>
          <w:b/>
          <w:i/>
          <w:sz w:val="22"/>
          <w:szCs w:val="22"/>
        </w:rPr>
        <w:t>the principal appeared to freely and voluntarily sign in their presence;</w:t>
      </w:r>
    </w:p>
    <w:p w:rsidR="00D4325C" w:rsidRPr="008C655C" w:rsidRDefault="00D4325C" w:rsidP="008C655C">
      <w:pPr>
        <w:pStyle w:val="ListParagraph"/>
        <w:numPr>
          <w:ilvl w:val="0"/>
          <w:numId w:val="10"/>
        </w:numPr>
        <w:autoSpaceDE w:val="0"/>
        <w:autoSpaceDN w:val="0"/>
        <w:adjustRightInd w:val="0"/>
        <w:jc w:val="both"/>
        <w:rPr>
          <w:rFonts w:ascii="Arial" w:hAnsi="Arial" w:cs="Arial"/>
          <w:b/>
          <w:i/>
          <w:sz w:val="22"/>
          <w:szCs w:val="22"/>
        </w:rPr>
      </w:pPr>
      <w:r w:rsidRPr="008C655C">
        <w:rPr>
          <w:rFonts w:ascii="Arial" w:hAnsi="Arial" w:cs="Arial"/>
          <w:b/>
          <w:i/>
          <w:sz w:val="22"/>
          <w:szCs w:val="22"/>
        </w:rPr>
        <w:t>the principle appeared to understand the nature of the document; and</w:t>
      </w:r>
    </w:p>
    <w:p w:rsidR="00D4325C" w:rsidRPr="008C655C" w:rsidRDefault="00D4325C" w:rsidP="008C655C">
      <w:pPr>
        <w:pStyle w:val="ListParagraph"/>
        <w:numPr>
          <w:ilvl w:val="0"/>
          <w:numId w:val="10"/>
        </w:numPr>
        <w:autoSpaceDE w:val="0"/>
        <w:autoSpaceDN w:val="0"/>
        <w:adjustRightInd w:val="0"/>
        <w:jc w:val="both"/>
        <w:rPr>
          <w:rFonts w:ascii="Arial" w:hAnsi="Arial" w:cs="Arial"/>
          <w:b/>
          <w:i/>
          <w:sz w:val="22"/>
          <w:szCs w:val="22"/>
        </w:rPr>
      </w:pPr>
      <w:r w:rsidRPr="008C655C">
        <w:rPr>
          <w:rFonts w:ascii="Arial" w:hAnsi="Arial" w:cs="Arial"/>
          <w:b/>
          <w:i/>
          <w:sz w:val="22"/>
          <w:szCs w:val="22"/>
        </w:rPr>
        <w:t xml:space="preserve">the enduring attorney or enduring guardian appeared to freely and voluntarily sign in their presence </w:t>
      </w:r>
    </w:p>
    <w:p w:rsidR="00D4325C" w:rsidRPr="008C655C" w:rsidRDefault="00D4325C" w:rsidP="008C655C">
      <w:pPr>
        <w:autoSpaceDE w:val="0"/>
        <w:autoSpaceDN w:val="0"/>
        <w:adjustRightInd w:val="0"/>
        <w:jc w:val="both"/>
        <w:rPr>
          <w:rFonts w:ascii="Arial" w:hAnsi="Arial" w:cs="Arial"/>
          <w:b/>
        </w:rPr>
      </w:pPr>
    </w:p>
    <w:p w:rsidR="00D4325C" w:rsidRPr="008C655C" w:rsidRDefault="00A87CE2" w:rsidP="008C655C">
      <w:pPr>
        <w:autoSpaceDE w:val="0"/>
        <w:autoSpaceDN w:val="0"/>
        <w:adjustRightInd w:val="0"/>
        <w:jc w:val="both"/>
        <w:rPr>
          <w:rFonts w:ascii="Arial" w:hAnsi="Arial" w:cs="Arial"/>
        </w:rPr>
      </w:pPr>
      <w:r w:rsidRPr="008C655C">
        <w:rPr>
          <w:rFonts w:ascii="Arial" w:hAnsi="Arial" w:cs="Arial"/>
        </w:rPr>
        <w:t xml:space="preserve">OPA agrees with the ALRC that </w:t>
      </w:r>
      <w:r w:rsidR="00351824" w:rsidRPr="008C655C">
        <w:rPr>
          <w:rFonts w:ascii="Arial" w:hAnsi="Arial" w:cs="Arial"/>
        </w:rPr>
        <w:t>strict witnessing requirements are necessary to protect against abuse or misuse of enduring powers.</w:t>
      </w:r>
      <w:r w:rsidR="00B73EE9" w:rsidRPr="008C655C">
        <w:rPr>
          <w:rStyle w:val="FootnoteReference"/>
          <w:rFonts w:ascii="Arial" w:hAnsi="Arial" w:cs="Arial"/>
        </w:rPr>
        <w:footnoteReference w:id="13"/>
      </w:r>
      <w:r w:rsidR="00351824" w:rsidRPr="008C655C">
        <w:rPr>
          <w:rFonts w:ascii="Arial" w:hAnsi="Arial" w:cs="Arial"/>
        </w:rPr>
        <w:t xml:space="preserve">  However, OPA submits that witnessing requirements must </w:t>
      </w:r>
      <w:r w:rsidR="00B73EE9" w:rsidRPr="008C655C">
        <w:rPr>
          <w:rFonts w:ascii="Arial" w:hAnsi="Arial" w:cs="Arial"/>
        </w:rPr>
        <w:t>not become too onerous</w:t>
      </w:r>
      <w:r w:rsidR="00D4325C" w:rsidRPr="008C655C">
        <w:rPr>
          <w:rFonts w:ascii="Arial" w:hAnsi="Arial" w:cs="Arial"/>
        </w:rPr>
        <w:t xml:space="preserve"> or complicated</w:t>
      </w:r>
      <w:r w:rsidR="00351824" w:rsidRPr="008C655C">
        <w:rPr>
          <w:rFonts w:ascii="Arial" w:hAnsi="Arial" w:cs="Arial"/>
        </w:rPr>
        <w:t xml:space="preserve">, so as to work as a disincentive to the </w:t>
      </w:r>
      <w:r w:rsidR="00B73EE9" w:rsidRPr="008C655C">
        <w:rPr>
          <w:rFonts w:ascii="Arial" w:hAnsi="Arial" w:cs="Arial"/>
        </w:rPr>
        <w:t>creation of enduring powers</w:t>
      </w:r>
      <w:r w:rsidR="00351824" w:rsidRPr="008C655C">
        <w:rPr>
          <w:rFonts w:ascii="Arial" w:hAnsi="Arial" w:cs="Arial"/>
        </w:rPr>
        <w:t>.  It is OPA’s view that</w:t>
      </w:r>
      <w:r w:rsidR="00B158C2" w:rsidRPr="008C655C">
        <w:rPr>
          <w:rFonts w:ascii="Arial" w:hAnsi="Arial" w:cs="Arial"/>
        </w:rPr>
        <w:t xml:space="preserve"> it is sufficient protection for there to be</w:t>
      </w:r>
      <w:r w:rsidR="00351824" w:rsidRPr="008C655C">
        <w:rPr>
          <w:rFonts w:ascii="Arial" w:hAnsi="Arial" w:cs="Arial"/>
        </w:rPr>
        <w:t xml:space="preserve"> one </w:t>
      </w:r>
      <w:r w:rsidR="00B158C2" w:rsidRPr="008C655C">
        <w:rPr>
          <w:rFonts w:ascii="Arial" w:hAnsi="Arial" w:cs="Arial"/>
          <w:i/>
        </w:rPr>
        <w:t>independent</w:t>
      </w:r>
      <w:r w:rsidR="00B158C2" w:rsidRPr="008C655C">
        <w:rPr>
          <w:rFonts w:ascii="Arial" w:hAnsi="Arial" w:cs="Arial"/>
        </w:rPr>
        <w:t xml:space="preserve"> witness </w:t>
      </w:r>
      <w:r w:rsidR="00B73EE9" w:rsidRPr="008C655C">
        <w:rPr>
          <w:rFonts w:ascii="Arial" w:hAnsi="Arial" w:cs="Arial"/>
        </w:rPr>
        <w:t>who must be either a</w:t>
      </w:r>
      <w:r w:rsidR="00B158C2" w:rsidRPr="008C655C">
        <w:rPr>
          <w:rFonts w:ascii="Arial" w:hAnsi="Arial" w:cs="Arial"/>
        </w:rPr>
        <w:t>:</w:t>
      </w:r>
    </w:p>
    <w:p w:rsidR="00B158C2" w:rsidRPr="008C655C" w:rsidRDefault="00B158C2" w:rsidP="008C655C">
      <w:pPr>
        <w:pStyle w:val="ListParagraph"/>
        <w:numPr>
          <w:ilvl w:val="0"/>
          <w:numId w:val="21"/>
        </w:numPr>
        <w:autoSpaceDE w:val="0"/>
        <w:autoSpaceDN w:val="0"/>
        <w:adjustRightInd w:val="0"/>
        <w:jc w:val="both"/>
        <w:rPr>
          <w:rFonts w:ascii="Arial" w:hAnsi="Arial" w:cs="Arial"/>
          <w:sz w:val="22"/>
          <w:szCs w:val="22"/>
        </w:rPr>
      </w:pPr>
      <w:r w:rsidRPr="008C655C">
        <w:rPr>
          <w:rFonts w:ascii="Arial" w:hAnsi="Arial" w:cs="Arial"/>
          <w:sz w:val="22"/>
          <w:szCs w:val="22"/>
        </w:rPr>
        <w:t xml:space="preserve">legal practitioner </w:t>
      </w:r>
    </w:p>
    <w:p w:rsidR="00B158C2" w:rsidRPr="008C655C" w:rsidRDefault="00B158C2" w:rsidP="008C655C">
      <w:pPr>
        <w:pStyle w:val="ListParagraph"/>
        <w:numPr>
          <w:ilvl w:val="0"/>
          <w:numId w:val="21"/>
        </w:numPr>
        <w:autoSpaceDE w:val="0"/>
        <w:autoSpaceDN w:val="0"/>
        <w:adjustRightInd w:val="0"/>
        <w:jc w:val="both"/>
        <w:rPr>
          <w:rFonts w:ascii="Arial" w:hAnsi="Arial" w:cs="Arial"/>
          <w:sz w:val="22"/>
          <w:szCs w:val="22"/>
        </w:rPr>
      </w:pPr>
      <w:r w:rsidRPr="008C655C">
        <w:rPr>
          <w:rFonts w:ascii="Arial" w:hAnsi="Arial" w:cs="Arial"/>
          <w:sz w:val="22"/>
          <w:szCs w:val="22"/>
        </w:rPr>
        <w:t>medical practitioner;</w:t>
      </w:r>
    </w:p>
    <w:p w:rsidR="00B158C2" w:rsidRPr="008C655C" w:rsidRDefault="00B158C2" w:rsidP="008C655C">
      <w:pPr>
        <w:pStyle w:val="ListParagraph"/>
        <w:numPr>
          <w:ilvl w:val="0"/>
          <w:numId w:val="21"/>
        </w:numPr>
        <w:autoSpaceDE w:val="0"/>
        <w:autoSpaceDN w:val="0"/>
        <w:adjustRightInd w:val="0"/>
        <w:jc w:val="both"/>
        <w:rPr>
          <w:rFonts w:ascii="Arial" w:hAnsi="Arial" w:cs="Arial"/>
          <w:sz w:val="22"/>
          <w:szCs w:val="22"/>
        </w:rPr>
      </w:pPr>
      <w:r w:rsidRPr="008C655C">
        <w:rPr>
          <w:rFonts w:ascii="Arial" w:hAnsi="Arial" w:cs="Arial"/>
          <w:sz w:val="22"/>
          <w:szCs w:val="22"/>
        </w:rPr>
        <w:t xml:space="preserve">justice of the peace; </w:t>
      </w:r>
    </w:p>
    <w:p w:rsidR="00B158C2" w:rsidRPr="008C655C" w:rsidRDefault="00B158C2" w:rsidP="008C655C">
      <w:pPr>
        <w:pStyle w:val="ListParagraph"/>
        <w:numPr>
          <w:ilvl w:val="0"/>
          <w:numId w:val="21"/>
        </w:numPr>
        <w:autoSpaceDE w:val="0"/>
        <w:autoSpaceDN w:val="0"/>
        <w:adjustRightInd w:val="0"/>
        <w:jc w:val="both"/>
        <w:rPr>
          <w:rFonts w:ascii="Arial" w:hAnsi="Arial" w:cs="Arial"/>
          <w:sz w:val="22"/>
          <w:szCs w:val="22"/>
        </w:rPr>
      </w:pPr>
      <w:r w:rsidRPr="008C655C">
        <w:rPr>
          <w:rFonts w:ascii="Arial" w:hAnsi="Arial" w:cs="Arial"/>
          <w:sz w:val="22"/>
          <w:szCs w:val="22"/>
        </w:rPr>
        <w:t>registrar of the Local Magistrates Court; or</w:t>
      </w:r>
    </w:p>
    <w:p w:rsidR="00B158C2" w:rsidRPr="008C655C" w:rsidRDefault="00B158C2" w:rsidP="008C655C">
      <w:pPr>
        <w:pStyle w:val="ListParagraph"/>
        <w:numPr>
          <w:ilvl w:val="0"/>
          <w:numId w:val="21"/>
        </w:numPr>
        <w:autoSpaceDE w:val="0"/>
        <w:autoSpaceDN w:val="0"/>
        <w:adjustRightInd w:val="0"/>
        <w:jc w:val="both"/>
        <w:rPr>
          <w:rFonts w:ascii="Arial" w:hAnsi="Arial" w:cs="Arial"/>
          <w:sz w:val="22"/>
          <w:szCs w:val="22"/>
        </w:rPr>
      </w:pPr>
      <w:r w:rsidRPr="008C655C">
        <w:rPr>
          <w:rFonts w:ascii="Arial" w:hAnsi="Arial" w:cs="Arial"/>
          <w:sz w:val="22"/>
          <w:szCs w:val="22"/>
        </w:rPr>
        <w:t>police officer holding the rank of sergeant or above</w:t>
      </w:r>
      <w:r w:rsidR="00B73EE9" w:rsidRPr="008C655C">
        <w:rPr>
          <w:rFonts w:ascii="Arial" w:hAnsi="Arial" w:cs="Arial"/>
          <w:sz w:val="22"/>
          <w:szCs w:val="22"/>
        </w:rPr>
        <w:t>.</w:t>
      </w:r>
    </w:p>
    <w:p w:rsidR="00C91A9A" w:rsidRPr="008C655C" w:rsidRDefault="00C91A9A" w:rsidP="008C655C">
      <w:pPr>
        <w:pStyle w:val="ListParagraph"/>
        <w:autoSpaceDE w:val="0"/>
        <w:autoSpaceDN w:val="0"/>
        <w:adjustRightInd w:val="0"/>
        <w:jc w:val="both"/>
        <w:rPr>
          <w:rFonts w:ascii="Arial" w:hAnsi="Arial" w:cs="Arial"/>
          <w:sz w:val="22"/>
          <w:szCs w:val="22"/>
        </w:rPr>
      </w:pPr>
    </w:p>
    <w:p w:rsidR="00B158C2" w:rsidRPr="008C655C" w:rsidRDefault="00C91A9A" w:rsidP="008C655C">
      <w:pPr>
        <w:autoSpaceDE w:val="0"/>
        <w:autoSpaceDN w:val="0"/>
        <w:adjustRightInd w:val="0"/>
        <w:jc w:val="both"/>
        <w:rPr>
          <w:rFonts w:ascii="Arial" w:hAnsi="Arial" w:cs="Arial"/>
        </w:rPr>
      </w:pPr>
      <w:r w:rsidRPr="008C655C">
        <w:rPr>
          <w:rFonts w:ascii="Arial" w:hAnsi="Arial" w:cs="Arial"/>
        </w:rPr>
        <w:t>OPA agrees with position of the Office of the Public Advocate (Victori</w:t>
      </w:r>
      <w:r w:rsidR="00B73EE9" w:rsidRPr="008C655C">
        <w:rPr>
          <w:rFonts w:ascii="Arial" w:hAnsi="Arial" w:cs="Arial"/>
        </w:rPr>
        <w:t>a) that “independent witness”</w:t>
      </w:r>
      <w:r w:rsidRPr="008C655C">
        <w:rPr>
          <w:rFonts w:ascii="Arial" w:hAnsi="Arial" w:cs="Arial"/>
        </w:rPr>
        <w:t xml:space="preserve"> should be expressly defined to exclude family of the principal or</w:t>
      </w:r>
      <w:r w:rsidR="00B73EE9" w:rsidRPr="008C655C">
        <w:rPr>
          <w:rFonts w:ascii="Arial" w:hAnsi="Arial" w:cs="Arial"/>
        </w:rPr>
        <w:t xml:space="preserve"> the proposed substitute decision-maker</w:t>
      </w:r>
      <w:r w:rsidRPr="008C655C">
        <w:rPr>
          <w:rFonts w:ascii="Arial" w:hAnsi="Arial" w:cs="Arial"/>
        </w:rPr>
        <w:t>, health providers of the principal and beneficiaries under the principal’s will.</w:t>
      </w:r>
    </w:p>
    <w:p w:rsidR="00D4325C" w:rsidRPr="008C655C" w:rsidRDefault="00364BE2" w:rsidP="008C655C">
      <w:pPr>
        <w:autoSpaceDE w:val="0"/>
        <w:autoSpaceDN w:val="0"/>
        <w:adjustRightInd w:val="0"/>
        <w:jc w:val="both"/>
        <w:rPr>
          <w:rFonts w:ascii="Arial" w:hAnsi="Arial" w:cs="Arial"/>
          <w:b/>
          <w:i/>
        </w:rPr>
      </w:pPr>
      <w:r w:rsidRPr="008C655C">
        <w:rPr>
          <w:rFonts w:ascii="Arial" w:hAnsi="Arial" w:cs="Arial"/>
          <w:b/>
          <w:i/>
        </w:rPr>
        <w:t xml:space="preserve">Proposal 5-5 State and territory tribunals should be vested with the power to order that enduring attorneys and enduring guardians or court and tribunal appointed guardians and financial administrators pay compensation where the loss was caused by that persons failure to comply with their </w:t>
      </w:r>
      <w:r w:rsidR="00F464E0" w:rsidRPr="008C655C">
        <w:rPr>
          <w:rFonts w:ascii="Arial" w:hAnsi="Arial" w:cs="Arial"/>
          <w:b/>
          <w:i/>
        </w:rPr>
        <w:t>obligations under the relevant A</w:t>
      </w:r>
      <w:r w:rsidRPr="008C655C">
        <w:rPr>
          <w:rFonts w:ascii="Arial" w:hAnsi="Arial" w:cs="Arial"/>
          <w:b/>
          <w:i/>
        </w:rPr>
        <w:t xml:space="preserve">ct. </w:t>
      </w:r>
    </w:p>
    <w:p w:rsidR="00E96228" w:rsidRPr="008C655C" w:rsidRDefault="00F464E0" w:rsidP="008C655C">
      <w:pPr>
        <w:spacing w:after="0" w:line="240" w:lineRule="auto"/>
        <w:contextualSpacing/>
        <w:jc w:val="both"/>
        <w:rPr>
          <w:rFonts w:ascii="Arial" w:hAnsi="Arial" w:cs="Arial"/>
        </w:rPr>
      </w:pPr>
      <w:r w:rsidRPr="008C655C">
        <w:rPr>
          <w:rFonts w:ascii="Arial" w:hAnsi="Arial" w:cs="Arial"/>
        </w:rPr>
        <w:t xml:space="preserve">OPA supports this proposal, on the basis </w:t>
      </w:r>
      <w:r w:rsidR="002B7F4D">
        <w:rPr>
          <w:rFonts w:ascii="Arial" w:hAnsi="Arial" w:cs="Arial"/>
        </w:rPr>
        <w:t xml:space="preserve">that the test has a high threshold, being </w:t>
      </w:r>
      <w:r w:rsidRPr="008C655C">
        <w:rPr>
          <w:rFonts w:ascii="Arial" w:hAnsi="Arial" w:cs="Arial"/>
        </w:rPr>
        <w:t xml:space="preserve">a </w:t>
      </w:r>
      <w:r w:rsidRPr="008C655C">
        <w:rPr>
          <w:rFonts w:ascii="Arial" w:hAnsi="Arial" w:cs="Arial"/>
          <w:i/>
        </w:rPr>
        <w:t>causal</w:t>
      </w:r>
      <w:r w:rsidRPr="008C655C">
        <w:rPr>
          <w:rFonts w:ascii="Arial" w:hAnsi="Arial" w:cs="Arial"/>
        </w:rPr>
        <w:t xml:space="preserve"> link between the loss and the failure to comply with statutory duties</w:t>
      </w:r>
      <w:r w:rsidR="002B7F4D">
        <w:rPr>
          <w:rFonts w:ascii="Arial" w:hAnsi="Arial" w:cs="Arial"/>
        </w:rPr>
        <w:t xml:space="preserve">.  OPA </w:t>
      </w:r>
      <w:r w:rsidR="00661CE1" w:rsidRPr="008C655C">
        <w:rPr>
          <w:rFonts w:ascii="Arial" w:hAnsi="Arial" w:cs="Arial"/>
        </w:rPr>
        <w:t>read</w:t>
      </w:r>
      <w:r w:rsidR="002B7F4D">
        <w:rPr>
          <w:rFonts w:ascii="Arial" w:hAnsi="Arial" w:cs="Arial"/>
        </w:rPr>
        <w:t xml:space="preserve">s the proposal as </w:t>
      </w:r>
      <w:r w:rsidR="00661CE1" w:rsidRPr="008C655C">
        <w:rPr>
          <w:rFonts w:ascii="Arial" w:hAnsi="Arial" w:cs="Arial"/>
        </w:rPr>
        <w:t xml:space="preserve">existing </w:t>
      </w:r>
      <w:r w:rsidR="002B7F4D">
        <w:rPr>
          <w:rFonts w:ascii="Arial" w:hAnsi="Arial" w:cs="Arial"/>
        </w:rPr>
        <w:t xml:space="preserve">alongside current </w:t>
      </w:r>
      <w:r w:rsidR="00661CE1" w:rsidRPr="008C655C">
        <w:rPr>
          <w:rFonts w:ascii="Arial" w:hAnsi="Arial" w:cs="Arial"/>
        </w:rPr>
        <w:t>protections against liability for acts done in good faith in the relevant legislation.</w:t>
      </w:r>
      <w:r w:rsidR="002B7F4D">
        <w:rPr>
          <w:rFonts w:ascii="Arial" w:hAnsi="Arial" w:cs="Arial"/>
        </w:rPr>
        <w:t xml:space="preserve">  </w:t>
      </w:r>
      <w:r w:rsidR="002B7F4D" w:rsidRPr="00F057B9">
        <w:rPr>
          <w:rFonts w:ascii="Arial" w:hAnsi="Arial" w:cs="Arial"/>
        </w:rPr>
        <w:t>Further consideration would be required about tribunal appointed public guardians and administrators and the interaction with other legislation dealing with the liability of public authorities.</w:t>
      </w:r>
    </w:p>
    <w:p w:rsidR="00071D0D" w:rsidRPr="008C655C" w:rsidRDefault="00071D0D" w:rsidP="008C655C">
      <w:pPr>
        <w:spacing w:after="0" w:line="240" w:lineRule="auto"/>
        <w:contextualSpacing/>
        <w:jc w:val="both"/>
        <w:rPr>
          <w:rFonts w:ascii="Arial" w:hAnsi="Arial" w:cs="Arial"/>
        </w:rPr>
      </w:pPr>
    </w:p>
    <w:p w:rsidR="00D4325C" w:rsidRPr="008C655C" w:rsidRDefault="009B72CD" w:rsidP="008C655C">
      <w:pPr>
        <w:autoSpaceDE w:val="0"/>
        <w:autoSpaceDN w:val="0"/>
        <w:adjustRightInd w:val="0"/>
        <w:jc w:val="both"/>
        <w:rPr>
          <w:rFonts w:ascii="Arial" w:hAnsi="Arial" w:cs="Arial"/>
          <w:b/>
          <w:i/>
        </w:rPr>
      </w:pPr>
      <w:r w:rsidRPr="008C655C">
        <w:rPr>
          <w:rFonts w:ascii="Arial" w:hAnsi="Arial" w:cs="Arial"/>
          <w:b/>
          <w:i/>
        </w:rPr>
        <w:t>Proposal 5-6: Laws governing enduring powers of attorney should provide that an attorney must not enter into a transaction where there is, or may be, a conflict between the attorney's duty to the principal and the interests of the attorney (or a relative, business associate or close friend of the attorney document) unless:</w:t>
      </w:r>
    </w:p>
    <w:p w:rsidR="0079043A" w:rsidRPr="008C655C" w:rsidRDefault="0079043A" w:rsidP="008C655C">
      <w:pPr>
        <w:pStyle w:val="ListParagraph"/>
        <w:numPr>
          <w:ilvl w:val="0"/>
          <w:numId w:val="11"/>
        </w:numPr>
        <w:autoSpaceDE w:val="0"/>
        <w:autoSpaceDN w:val="0"/>
        <w:adjustRightInd w:val="0"/>
        <w:jc w:val="both"/>
        <w:rPr>
          <w:rFonts w:ascii="Arial" w:hAnsi="Arial" w:cs="Arial"/>
          <w:b/>
          <w:i/>
          <w:sz w:val="22"/>
          <w:szCs w:val="22"/>
        </w:rPr>
      </w:pPr>
      <w:r w:rsidRPr="008C655C">
        <w:rPr>
          <w:rFonts w:ascii="Arial" w:hAnsi="Arial" w:cs="Arial"/>
          <w:b/>
          <w:i/>
          <w:sz w:val="22"/>
          <w:szCs w:val="22"/>
        </w:rPr>
        <w:t>the principal foresaw the particular type of conflict and gave express authorisation in the enduring power of attorney document; or</w:t>
      </w:r>
    </w:p>
    <w:p w:rsidR="0079043A" w:rsidRPr="008C655C" w:rsidRDefault="0079043A" w:rsidP="008C655C">
      <w:pPr>
        <w:pStyle w:val="ListParagraph"/>
        <w:autoSpaceDE w:val="0"/>
        <w:autoSpaceDN w:val="0"/>
        <w:adjustRightInd w:val="0"/>
        <w:jc w:val="both"/>
        <w:rPr>
          <w:rFonts w:ascii="Arial" w:hAnsi="Arial" w:cs="Arial"/>
          <w:b/>
          <w:i/>
          <w:sz w:val="22"/>
          <w:szCs w:val="22"/>
        </w:rPr>
      </w:pPr>
    </w:p>
    <w:p w:rsidR="0079043A" w:rsidRPr="008C655C" w:rsidRDefault="0079043A" w:rsidP="008C655C">
      <w:pPr>
        <w:pStyle w:val="ListParagraph"/>
        <w:numPr>
          <w:ilvl w:val="0"/>
          <w:numId w:val="11"/>
        </w:numPr>
        <w:autoSpaceDE w:val="0"/>
        <w:autoSpaceDN w:val="0"/>
        <w:adjustRightInd w:val="0"/>
        <w:jc w:val="both"/>
        <w:rPr>
          <w:rFonts w:ascii="Arial" w:hAnsi="Arial" w:cs="Arial"/>
          <w:b/>
          <w:i/>
          <w:sz w:val="22"/>
          <w:szCs w:val="22"/>
        </w:rPr>
      </w:pPr>
      <w:r w:rsidRPr="008C655C">
        <w:rPr>
          <w:rFonts w:ascii="Arial" w:hAnsi="Arial" w:cs="Arial"/>
          <w:b/>
          <w:i/>
          <w:sz w:val="22"/>
          <w:szCs w:val="22"/>
        </w:rPr>
        <w:lastRenderedPageBreak/>
        <w:t xml:space="preserve">a tribunal has authorised the transaction before it is entered into. </w:t>
      </w:r>
    </w:p>
    <w:p w:rsidR="0079043A" w:rsidRPr="008C655C" w:rsidRDefault="0079043A" w:rsidP="008C655C">
      <w:pPr>
        <w:autoSpaceDE w:val="0"/>
        <w:autoSpaceDN w:val="0"/>
        <w:adjustRightInd w:val="0"/>
        <w:jc w:val="both"/>
        <w:rPr>
          <w:rFonts w:ascii="Arial" w:hAnsi="Arial" w:cs="Arial"/>
          <w:i/>
        </w:rPr>
      </w:pPr>
    </w:p>
    <w:p w:rsidR="00D6204A" w:rsidRPr="008C655C" w:rsidRDefault="00D6204A" w:rsidP="008C655C">
      <w:pPr>
        <w:jc w:val="both"/>
        <w:rPr>
          <w:rFonts w:ascii="Arial" w:hAnsi="Arial" w:cs="Arial"/>
        </w:rPr>
      </w:pPr>
      <w:r w:rsidRPr="008C655C">
        <w:rPr>
          <w:rFonts w:ascii="Arial" w:hAnsi="Arial" w:cs="Arial"/>
        </w:rPr>
        <w:t xml:space="preserve">OPA </w:t>
      </w:r>
      <w:r w:rsidR="008322F6" w:rsidRPr="008C655C">
        <w:rPr>
          <w:rFonts w:ascii="Arial" w:hAnsi="Arial" w:cs="Arial"/>
        </w:rPr>
        <w:t>supports this proposal, on the qualification that there should be consideration of expressly exempting certain actions from being taken</w:t>
      </w:r>
      <w:r w:rsidR="00607423" w:rsidRPr="008C655C">
        <w:rPr>
          <w:rFonts w:ascii="Arial" w:hAnsi="Arial" w:cs="Arial"/>
        </w:rPr>
        <w:t>, on their own,</w:t>
      </w:r>
      <w:r w:rsidR="008322F6" w:rsidRPr="008C655C">
        <w:rPr>
          <w:rFonts w:ascii="Arial" w:hAnsi="Arial" w:cs="Arial"/>
        </w:rPr>
        <w:t xml:space="preserve"> to be conflict transactions.  In particular, there </w:t>
      </w:r>
      <w:r w:rsidR="00607423" w:rsidRPr="008C655C">
        <w:rPr>
          <w:rFonts w:ascii="Arial" w:hAnsi="Arial" w:cs="Arial"/>
        </w:rPr>
        <w:t xml:space="preserve">should an exemption relating to the dealing of property held jointly by the attorney and the principal in recognition that partners and other family members are often appointed as attorneys.  OPA suggests that s64(2) of the </w:t>
      </w:r>
      <w:r w:rsidR="00607423" w:rsidRPr="008C655C">
        <w:rPr>
          <w:rFonts w:ascii="Arial" w:hAnsi="Arial" w:cs="Arial"/>
          <w:i/>
        </w:rPr>
        <w:t>Powers of Attorney Act 2014 (Vic)</w:t>
      </w:r>
      <w:r w:rsidR="00607423" w:rsidRPr="008C655C">
        <w:rPr>
          <w:rFonts w:ascii="Arial" w:hAnsi="Arial" w:cs="Arial"/>
        </w:rPr>
        <w:t xml:space="preserve"> is a good model to consider for this purpose.</w:t>
      </w:r>
    </w:p>
    <w:p w:rsidR="00D6204A" w:rsidRPr="008C655C" w:rsidRDefault="00AE61EA" w:rsidP="008C655C">
      <w:pPr>
        <w:autoSpaceDE w:val="0"/>
        <w:autoSpaceDN w:val="0"/>
        <w:adjustRightInd w:val="0"/>
        <w:jc w:val="both"/>
        <w:rPr>
          <w:rFonts w:ascii="Arial" w:hAnsi="Arial" w:cs="Arial"/>
          <w:b/>
          <w:i/>
        </w:rPr>
      </w:pPr>
      <w:r w:rsidRPr="008C655C">
        <w:rPr>
          <w:rFonts w:ascii="Arial" w:hAnsi="Arial" w:cs="Arial"/>
          <w:b/>
          <w:i/>
        </w:rPr>
        <w:t xml:space="preserve">Proposal 5-7; A person should be ineligible to be an enduring attorney if the person: </w:t>
      </w:r>
    </w:p>
    <w:p w:rsidR="00AE61EA" w:rsidRPr="008C655C" w:rsidRDefault="00AE61EA" w:rsidP="008C655C">
      <w:pPr>
        <w:pStyle w:val="ListParagraph"/>
        <w:numPr>
          <w:ilvl w:val="0"/>
          <w:numId w:val="13"/>
        </w:numPr>
        <w:autoSpaceDE w:val="0"/>
        <w:autoSpaceDN w:val="0"/>
        <w:adjustRightInd w:val="0"/>
        <w:jc w:val="both"/>
        <w:rPr>
          <w:rFonts w:ascii="Arial" w:hAnsi="Arial" w:cs="Arial"/>
          <w:b/>
          <w:i/>
          <w:sz w:val="22"/>
          <w:szCs w:val="22"/>
        </w:rPr>
      </w:pPr>
      <w:r w:rsidRPr="008C655C">
        <w:rPr>
          <w:rFonts w:ascii="Arial" w:hAnsi="Arial" w:cs="Arial"/>
          <w:b/>
          <w:i/>
          <w:sz w:val="22"/>
          <w:szCs w:val="22"/>
        </w:rPr>
        <w:t>is undischarged bankrupt</w:t>
      </w:r>
    </w:p>
    <w:p w:rsidR="00AE61EA" w:rsidRPr="008C655C" w:rsidRDefault="00AE61EA" w:rsidP="008C655C">
      <w:pPr>
        <w:pStyle w:val="ListParagraph"/>
        <w:numPr>
          <w:ilvl w:val="0"/>
          <w:numId w:val="13"/>
        </w:numPr>
        <w:autoSpaceDE w:val="0"/>
        <w:autoSpaceDN w:val="0"/>
        <w:adjustRightInd w:val="0"/>
        <w:jc w:val="both"/>
        <w:rPr>
          <w:rFonts w:ascii="Arial" w:hAnsi="Arial" w:cs="Arial"/>
          <w:b/>
          <w:i/>
          <w:sz w:val="22"/>
          <w:szCs w:val="22"/>
        </w:rPr>
      </w:pPr>
      <w:r w:rsidRPr="008C655C">
        <w:rPr>
          <w:rFonts w:ascii="Arial" w:hAnsi="Arial" w:cs="Arial"/>
          <w:b/>
          <w:i/>
          <w:sz w:val="22"/>
          <w:szCs w:val="22"/>
        </w:rPr>
        <w:t xml:space="preserve">is prohibited from acting as a director under the Corporations Act 2001 (Cth); </w:t>
      </w:r>
    </w:p>
    <w:p w:rsidR="00AE61EA" w:rsidRPr="008C655C" w:rsidRDefault="00AE61EA" w:rsidP="008C655C">
      <w:pPr>
        <w:pStyle w:val="ListParagraph"/>
        <w:numPr>
          <w:ilvl w:val="0"/>
          <w:numId w:val="13"/>
        </w:numPr>
        <w:autoSpaceDE w:val="0"/>
        <w:autoSpaceDN w:val="0"/>
        <w:adjustRightInd w:val="0"/>
        <w:jc w:val="both"/>
        <w:rPr>
          <w:rFonts w:ascii="Arial" w:hAnsi="Arial" w:cs="Arial"/>
          <w:b/>
          <w:i/>
          <w:sz w:val="22"/>
          <w:szCs w:val="22"/>
        </w:rPr>
      </w:pPr>
      <w:r w:rsidRPr="008C655C">
        <w:rPr>
          <w:rFonts w:ascii="Arial" w:hAnsi="Arial" w:cs="Arial"/>
          <w:b/>
          <w:i/>
          <w:sz w:val="22"/>
          <w:szCs w:val="22"/>
        </w:rPr>
        <w:t>Has been convicted of an offence involving fraud or dishonesty; or</w:t>
      </w:r>
    </w:p>
    <w:p w:rsidR="00AE61EA" w:rsidRPr="008C655C" w:rsidRDefault="00AE61EA" w:rsidP="008C655C">
      <w:pPr>
        <w:pStyle w:val="ListParagraph"/>
        <w:numPr>
          <w:ilvl w:val="0"/>
          <w:numId w:val="13"/>
        </w:numPr>
        <w:autoSpaceDE w:val="0"/>
        <w:autoSpaceDN w:val="0"/>
        <w:adjustRightInd w:val="0"/>
        <w:jc w:val="both"/>
        <w:rPr>
          <w:rFonts w:ascii="Arial" w:hAnsi="Arial" w:cs="Arial"/>
          <w:b/>
          <w:i/>
          <w:sz w:val="22"/>
          <w:szCs w:val="22"/>
        </w:rPr>
      </w:pPr>
      <w:r w:rsidRPr="008C655C">
        <w:rPr>
          <w:rFonts w:ascii="Arial" w:hAnsi="Arial" w:cs="Arial"/>
          <w:b/>
          <w:i/>
          <w:sz w:val="22"/>
          <w:szCs w:val="22"/>
        </w:rPr>
        <w:t xml:space="preserve">Is, or has been, a care worker, a health care provider or an accommodation provider for the principal. </w:t>
      </w:r>
    </w:p>
    <w:p w:rsidR="00AE61EA" w:rsidRPr="008C655C" w:rsidRDefault="00AE61EA" w:rsidP="008C655C">
      <w:pPr>
        <w:jc w:val="both"/>
        <w:rPr>
          <w:rFonts w:ascii="Arial" w:hAnsi="Arial" w:cs="Arial"/>
        </w:rPr>
      </w:pPr>
    </w:p>
    <w:p w:rsidR="00F73408" w:rsidRPr="008C655C" w:rsidRDefault="00607423" w:rsidP="008C655C">
      <w:pPr>
        <w:jc w:val="both"/>
        <w:rPr>
          <w:rFonts w:ascii="Arial" w:hAnsi="Arial" w:cs="Arial"/>
        </w:rPr>
      </w:pPr>
      <w:r w:rsidRPr="008C655C">
        <w:rPr>
          <w:rFonts w:ascii="Arial" w:hAnsi="Arial" w:cs="Arial"/>
        </w:rPr>
        <w:t xml:space="preserve">OPA supports this proposal.  </w:t>
      </w:r>
      <w:r w:rsidR="00C91A9A" w:rsidRPr="008C655C">
        <w:rPr>
          <w:rFonts w:ascii="Arial" w:hAnsi="Arial" w:cs="Arial"/>
        </w:rPr>
        <w:t xml:space="preserve"> </w:t>
      </w:r>
    </w:p>
    <w:p w:rsidR="00AE61EA" w:rsidRPr="008C655C" w:rsidRDefault="00071D0D" w:rsidP="008C655C">
      <w:pPr>
        <w:jc w:val="both"/>
        <w:rPr>
          <w:rFonts w:ascii="Arial" w:hAnsi="Arial" w:cs="Arial"/>
          <w:b/>
          <w:i/>
        </w:rPr>
      </w:pPr>
      <w:r w:rsidRPr="008C655C">
        <w:rPr>
          <w:rFonts w:ascii="Arial" w:hAnsi="Arial" w:cs="Arial"/>
          <w:b/>
          <w:i/>
        </w:rPr>
        <w:t>Proposal 5-8:</w:t>
      </w:r>
      <w:r w:rsidR="00AE61EA" w:rsidRPr="008C655C">
        <w:rPr>
          <w:rFonts w:ascii="Arial" w:hAnsi="Arial" w:cs="Arial"/>
          <w:b/>
          <w:i/>
        </w:rPr>
        <w:t xml:space="preserve"> Legislation governing enduring documents should explicitly list transactions that cannot be completed by an enduring attorney or enduring guardian including: </w:t>
      </w:r>
    </w:p>
    <w:p w:rsidR="00AE61EA" w:rsidRPr="008C655C" w:rsidRDefault="00AE61EA" w:rsidP="008C655C">
      <w:pPr>
        <w:pStyle w:val="ListParagraph"/>
        <w:numPr>
          <w:ilvl w:val="0"/>
          <w:numId w:val="14"/>
        </w:numPr>
        <w:jc w:val="both"/>
        <w:rPr>
          <w:rFonts w:ascii="Arial" w:hAnsi="Arial" w:cs="Arial"/>
          <w:b/>
          <w:i/>
          <w:sz w:val="22"/>
          <w:szCs w:val="22"/>
        </w:rPr>
      </w:pPr>
      <w:r w:rsidRPr="008C655C">
        <w:rPr>
          <w:rFonts w:ascii="Arial" w:hAnsi="Arial" w:cs="Arial"/>
          <w:b/>
          <w:i/>
          <w:sz w:val="22"/>
          <w:szCs w:val="22"/>
        </w:rPr>
        <w:t>Making or revoking the principles will</w:t>
      </w:r>
    </w:p>
    <w:p w:rsidR="00AE61EA" w:rsidRPr="008C655C" w:rsidRDefault="00AE61EA" w:rsidP="008C655C">
      <w:pPr>
        <w:pStyle w:val="ListParagraph"/>
        <w:numPr>
          <w:ilvl w:val="0"/>
          <w:numId w:val="14"/>
        </w:numPr>
        <w:jc w:val="both"/>
        <w:rPr>
          <w:rFonts w:ascii="Arial" w:hAnsi="Arial" w:cs="Arial"/>
          <w:b/>
          <w:i/>
          <w:sz w:val="22"/>
          <w:szCs w:val="22"/>
        </w:rPr>
      </w:pPr>
      <w:r w:rsidRPr="008C655C">
        <w:rPr>
          <w:rFonts w:ascii="Arial" w:hAnsi="Arial" w:cs="Arial"/>
          <w:b/>
          <w:i/>
          <w:sz w:val="22"/>
          <w:szCs w:val="22"/>
        </w:rPr>
        <w:t xml:space="preserve">Making or revoking an enduring document on behalf of the principal; </w:t>
      </w:r>
    </w:p>
    <w:p w:rsidR="00AE61EA" w:rsidRPr="008C655C" w:rsidRDefault="00AE61EA" w:rsidP="008C655C">
      <w:pPr>
        <w:pStyle w:val="ListParagraph"/>
        <w:numPr>
          <w:ilvl w:val="0"/>
          <w:numId w:val="14"/>
        </w:numPr>
        <w:jc w:val="both"/>
        <w:rPr>
          <w:rFonts w:ascii="Arial" w:hAnsi="Arial" w:cs="Arial"/>
          <w:b/>
          <w:i/>
          <w:sz w:val="22"/>
          <w:szCs w:val="22"/>
        </w:rPr>
      </w:pPr>
      <w:r w:rsidRPr="008C655C">
        <w:rPr>
          <w:rFonts w:ascii="Arial" w:hAnsi="Arial" w:cs="Arial"/>
          <w:b/>
          <w:i/>
          <w:sz w:val="22"/>
          <w:szCs w:val="22"/>
        </w:rPr>
        <w:t>Voting in elections on behalf of the principal</w:t>
      </w:r>
    </w:p>
    <w:p w:rsidR="00AE61EA" w:rsidRPr="008C655C" w:rsidRDefault="00AE61EA" w:rsidP="008C655C">
      <w:pPr>
        <w:pStyle w:val="ListParagraph"/>
        <w:numPr>
          <w:ilvl w:val="0"/>
          <w:numId w:val="14"/>
        </w:numPr>
        <w:jc w:val="both"/>
        <w:rPr>
          <w:rFonts w:ascii="Arial" w:hAnsi="Arial" w:cs="Arial"/>
          <w:b/>
          <w:i/>
          <w:sz w:val="22"/>
          <w:szCs w:val="22"/>
        </w:rPr>
      </w:pPr>
      <w:r w:rsidRPr="008C655C">
        <w:rPr>
          <w:rFonts w:ascii="Arial" w:hAnsi="Arial" w:cs="Arial"/>
          <w:b/>
          <w:i/>
          <w:sz w:val="22"/>
          <w:szCs w:val="22"/>
        </w:rPr>
        <w:t xml:space="preserve">Consenting to adoption of a child by the principal </w:t>
      </w:r>
    </w:p>
    <w:p w:rsidR="00AE61EA" w:rsidRPr="008C655C" w:rsidRDefault="00AE61EA" w:rsidP="008C655C">
      <w:pPr>
        <w:pStyle w:val="ListParagraph"/>
        <w:numPr>
          <w:ilvl w:val="0"/>
          <w:numId w:val="14"/>
        </w:numPr>
        <w:jc w:val="both"/>
        <w:rPr>
          <w:rFonts w:ascii="Arial" w:hAnsi="Arial" w:cs="Arial"/>
          <w:b/>
          <w:i/>
          <w:sz w:val="22"/>
          <w:szCs w:val="22"/>
        </w:rPr>
      </w:pPr>
      <w:r w:rsidRPr="008C655C">
        <w:rPr>
          <w:rFonts w:ascii="Arial" w:hAnsi="Arial" w:cs="Arial"/>
          <w:b/>
          <w:i/>
          <w:sz w:val="22"/>
          <w:szCs w:val="22"/>
        </w:rPr>
        <w:t>Consenting to marriage or divorce of the principal; or</w:t>
      </w:r>
    </w:p>
    <w:p w:rsidR="00AE61EA" w:rsidRPr="008C655C" w:rsidRDefault="00AE61EA" w:rsidP="008C655C">
      <w:pPr>
        <w:pStyle w:val="ListParagraph"/>
        <w:numPr>
          <w:ilvl w:val="0"/>
          <w:numId w:val="14"/>
        </w:numPr>
        <w:jc w:val="both"/>
        <w:rPr>
          <w:rFonts w:ascii="Arial" w:hAnsi="Arial" w:cs="Arial"/>
          <w:b/>
          <w:i/>
          <w:sz w:val="22"/>
          <w:szCs w:val="22"/>
        </w:rPr>
      </w:pPr>
      <w:r w:rsidRPr="008C655C">
        <w:rPr>
          <w:rFonts w:ascii="Arial" w:hAnsi="Arial" w:cs="Arial"/>
          <w:b/>
          <w:i/>
          <w:sz w:val="22"/>
          <w:szCs w:val="22"/>
        </w:rPr>
        <w:t xml:space="preserve">Consenting to the principal entering into a sexual relationship. </w:t>
      </w:r>
    </w:p>
    <w:p w:rsidR="00573704" w:rsidRPr="008C655C" w:rsidRDefault="00573704" w:rsidP="008C655C">
      <w:pPr>
        <w:autoSpaceDE w:val="0"/>
        <w:autoSpaceDN w:val="0"/>
        <w:adjustRightInd w:val="0"/>
        <w:jc w:val="both"/>
        <w:rPr>
          <w:rFonts w:ascii="Arial" w:hAnsi="Arial" w:cs="Arial"/>
          <w:bCs/>
          <w:i/>
        </w:rPr>
      </w:pPr>
    </w:p>
    <w:p w:rsidR="00573704" w:rsidRPr="008C655C" w:rsidRDefault="00573704" w:rsidP="008C655C">
      <w:pPr>
        <w:jc w:val="both"/>
        <w:rPr>
          <w:rFonts w:ascii="Arial" w:hAnsi="Arial" w:cs="Arial"/>
        </w:rPr>
      </w:pPr>
      <w:r w:rsidRPr="008C655C">
        <w:rPr>
          <w:rFonts w:ascii="Arial" w:hAnsi="Arial" w:cs="Arial"/>
          <w:bCs/>
        </w:rPr>
        <w:t>The</w:t>
      </w:r>
      <w:r w:rsidR="00607423" w:rsidRPr="008C655C">
        <w:rPr>
          <w:rFonts w:ascii="Arial" w:hAnsi="Arial" w:cs="Arial"/>
          <w:bCs/>
        </w:rPr>
        <w:t xml:space="preserve"> OPA supports this</w:t>
      </w:r>
      <w:r w:rsidRPr="008C655C">
        <w:rPr>
          <w:rFonts w:ascii="Arial" w:hAnsi="Arial" w:cs="Arial"/>
          <w:bCs/>
        </w:rPr>
        <w:t xml:space="preserve"> proposal.</w:t>
      </w:r>
      <w:r w:rsidR="00607423" w:rsidRPr="008C655C">
        <w:rPr>
          <w:rFonts w:ascii="Arial" w:hAnsi="Arial" w:cs="Arial"/>
        </w:rPr>
        <w:t xml:space="preserve">  It will provide </w:t>
      </w:r>
      <w:r w:rsidRPr="008C655C">
        <w:rPr>
          <w:rFonts w:ascii="Arial" w:hAnsi="Arial" w:cs="Arial"/>
        </w:rPr>
        <w:t xml:space="preserve">clarity </w:t>
      </w:r>
      <w:r w:rsidR="00607423" w:rsidRPr="008C655C">
        <w:rPr>
          <w:rFonts w:ascii="Arial" w:hAnsi="Arial" w:cs="Arial"/>
        </w:rPr>
        <w:t>and will assist to</w:t>
      </w:r>
      <w:r w:rsidRPr="008C655C">
        <w:rPr>
          <w:rFonts w:ascii="Arial" w:hAnsi="Arial" w:cs="Arial"/>
        </w:rPr>
        <w:t xml:space="preserve"> </w:t>
      </w:r>
      <w:r w:rsidR="00607423" w:rsidRPr="008C655C">
        <w:rPr>
          <w:rFonts w:ascii="Arial" w:hAnsi="Arial" w:cs="Arial"/>
        </w:rPr>
        <w:t>improve substitute decision-makers’ understanding of the limits to their powers.</w:t>
      </w:r>
    </w:p>
    <w:p w:rsidR="00573704" w:rsidRPr="008C655C" w:rsidRDefault="00573704" w:rsidP="008C655C">
      <w:pPr>
        <w:autoSpaceDE w:val="0"/>
        <w:autoSpaceDN w:val="0"/>
        <w:adjustRightInd w:val="0"/>
        <w:jc w:val="both"/>
        <w:rPr>
          <w:rFonts w:ascii="Arial" w:hAnsi="Arial" w:cs="Arial"/>
          <w:i/>
        </w:rPr>
      </w:pPr>
      <w:r w:rsidRPr="008C655C">
        <w:rPr>
          <w:rFonts w:ascii="Arial" w:hAnsi="Arial" w:cs="Arial"/>
          <w:b/>
          <w:i/>
        </w:rPr>
        <w:t>Proposa</w:t>
      </w:r>
      <w:r w:rsidR="00071D0D" w:rsidRPr="008C655C">
        <w:rPr>
          <w:rFonts w:ascii="Arial" w:hAnsi="Arial" w:cs="Arial"/>
          <w:b/>
          <w:i/>
        </w:rPr>
        <w:t>l 5-9:</w:t>
      </w:r>
      <w:r w:rsidRPr="008C655C">
        <w:rPr>
          <w:rFonts w:ascii="Arial" w:hAnsi="Arial" w:cs="Arial"/>
          <w:b/>
          <w:i/>
        </w:rPr>
        <w:t xml:space="preserve"> Enduring attorneys and enduring guardians should be required to keep records. Enduring attorneys should keep their own property separate from the property of the principal</w:t>
      </w:r>
      <w:r w:rsidRPr="008C655C">
        <w:rPr>
          <w:rFonts w:ascii="Arial" w:hAnsi="Arial" w:cs="Arial"/>
          <w:i/>
        </w:rPr>
        <w:t xml:space="preserve">. </w:t>
      </w:r>
    </w:p>
    <w:p w:rsidR="002B28B9" w:rsidRPr="008C655C" w:rsidRDefault="00607423" w:rsidP="008C655C">
      <w:pPr>
        <w:autoSpaceDE w:val="0"/>
        <w:autoSpaceDN w:val="0"/>
        <w:adjustRightInd w:val="0"/>
        <w:jc w:val="both"/>
        <w:rPr>
          <w:rFonts w:ascii="Arial" w:hAnsi="Arial" w:cs="Arial"/>
        </w:rPr>
      </w:pPr>
      <w:r w:rsidRPr="008C655C">
        <w:rPr>
          <w:rFonts w:ascii="Arial" w:hAnsi="Arial" w:cs="Arial"/>
        </w:rPr>
        <w:t xml:space="preserve">OPA supports this proposal, as a means of easier identification </w:t>
      </w:r>
      <w:r w:rsidR="00573704" w:rsidRPr="008C655C">
        <w:rPr>
          <w:rFonts w:ascii="Arial" w:hAnsi="Arial" w:cs="Arial"/>
        </w:rPr>
        <w:t>of financial abus</w:t>
      </w:r>
      <w:r w:rsidRPr="008C655C">
        <w:rPr>
          <w:rFonts w:ascii="Arial" w:hAnsi="Arial" w:cs="Arial"/>
        </w:rPr>
        <w:t xml:space="preserve">e. However, as with proposal 5-6, above, there will need to be a mechanism for recognition of that some principals and their substitute decision-makers will be </w:t>
      </w:r>
      <w:r w:rsidR="002B28B9" w:rsidRPr="008C655C">
        <w:rPr>
          <w:rFonts w:ascii="Arial" w:hAnsi="Arial" w:cs="Arial"/>
        </w:rPr>
        <w:t>family members and may hold property jointly before the principal’s loss of capacity.</w:t>
      </w:r>
    </w:p>
    <w:p w:rsidR="00E00182" w:rsidRPr="008C655C" w:rsidRDefault="006628DF" w:rsidP="008C655C">
      <w:pPr>
        <w:autoSpaceDE w:val="0"/>
        <w:autoSpaceDN w:val="0"/>
        <w:adjustRightInd w:val="0"/>
        <w:jc w:val="both"/>
        <w:rPr>
          <w:rFonts w:ascii="Arial" w:hAnsi="Arial" w:cs="Arial"/>
          <w:b/>
        </w:rPr>
      </w:pPr>
      <w:r w:rsidRPr="008C655C">
        <w:rPr>
          <w:rFonts w:ascii="Arial" w:hAnsi="Arial" w:cs="Arial"/>
          <w:b/>
        </w:rPr>
        <w:t>Prop</w:t>
      </w:r>
      <w:r w:rsidR="00071D0D" w:rsidRPr="008C655C">
        <w:rPr>
          <w:rFonts w:ascii="Arial" w:hAnsi="Arial" w:cs="Arial"/>
          <w:b/>
        </w:rPr>
        <w:t>osal 5-10:</w:t>
      </w:r>
      <w:r w:rsidRPr="008C655C">
        <w:rPr>
          <w:rFonts w:ascii="Arial" w:hAnsi="Arial" w:cs="Arial"/>
          <w:b/>
        </w:rPr>
        <w:t xml:space="preserve"> State and Territory governments should introduce nationally consistent laws governing enduring powers of attorney (including financial, medical and personal), enduring guardianship and other substitute decision makers. </w:t>
      </w:r>
    </w:p>
    <w:p w:rsidR="00F73408" w:rsidRPr="008C655C" w:rsidRDefault="00A90E23" w:rsidP="008C655C">
      <w:pPr>
        <w:jc w:val="both"/>
        <w:rPr>
          <w:rFonts w:ascii="Arial" w:hAnsi="Arial" w:cs="Arial"/>
        </w:rPr>
      </w:pPr>
      <w:r w:rsidRPr="008C655C">
        <w:rPr>
          <w:rFonts w:ascii="Arial" w:hAnsi="Arial" w:cs="Arial"/>
        </w:rPr>
        <w:t xml:space="preserve">OPA </w:t>
      </w:r>
      <w:r w:rsidR="007519A0" w:rsidRPr="008C655C">
        <w:rPr>
          <w:rFonts w:ascii="Arial" w:hAnsi="Arial" w:cs="Arial"/>
        </w:rPr>
        <w:t>support</w:t>
      </w:r>
      <w:r w:rsidR="00862692" w:rsidRPr="008C655C">
        <w:rPr>
          <w:rFonts w:ascii="Arial" w:hAnsi="Arial" w:cs="Arial"/>
        </w:rPr>
        <w:t>s this</w:t>
      </w:r>
      <w:r w:rsidR="007519A0" w:rsidRPr="008C655C">
        <w:rPr>
          <w:rFonts w:ascii="Arial" w:hAnsi="Arial" w:cs="Arial"/>
        </w:rPr>
        <w:t xml:space="preserve"> proposal and </w:t>
      </w:r>
      <w:r w:rsidRPr="008C655C">
        <w:rPr>
          <w:rFonts w:ascii="Arial" w:hAnsi="Arial" w:cs="Arial"/>
        </w:rPr>
        <w:t>agre</w:t>
      </w:r>
      <w:r w:rsidR="007519A0" w:rsidRPr="008C655C">
        <w:rPr>
          <w:rFonts w:ascii="Arial" w:hAnsi="Arial" w:cs="Arial"/>
        </w:rPr>
        <w:t>e</w:t>
      </w:r>
      <w:r w:rsidR="00862692" w:rsidRPr="008C655C">
        <w:rPr>
          <w:rFonts w:ascii="Arial" w:hAnsi="Arial" w:cs="Arial"/>
        </w:rPr>
        <w:t>s</w:t>
      </w:r>
      <w:r w:rsidRPr="008C655C">
        <w:rPr>
          <w:rFonts w:ascii="Arial" w:hAnsi="Arial" w:cs="Arial"/>
        </w:rPr>
        <w:t xml:space="preserve"> that national consistency </w:t>
      </w:r>
      <w:r w:rsidR="00862692" w:rsidRPr="008C655C">
        <w:rPr>
          <w:rFonts w:ascii="Arial" w:hAnsi="Arial" w:cs="Arial"/>
        </w:rPr>
        <w:t xml:space="preserve">is likely to improve </w:t>
      </w:r>
      <w:r w:rsidRPr="008C655C">
        <w:rPr>
          <w:rFonts w:ascii="Arial" w:hAnsi="Arial" w:cs="Arial"/>
        </w:rPr>
        <w:t>prevention and response</w:t>
      </w:r>
      <w:r w:rsidR="00862692" w:rsidRPr="008C655C">
        <w:rPr>
          <w:rFonts w:ascii="Arial" w:hAnsi="Arial" w:cs="Arial"/>
        </w:rPr>
        <w:t xml:space="preserve"> to abuse of older people</w:t>
      </w:r>
      <w:r w:rsidRPr="008C655C">
        <w:rPr>
          <w:rFonts w:ascii="Arial" w:hAnsi="Arial" w:cs="Arial"/>
        </w:rPr>
        <w:t xml:space="preserve">. </w:t>
      </w:r>
      <w:r w:rsidR="007519A0" w:rsidRPr="008C655C">
        <w:rPr>
          <w:rFonts w:ascii="Arial" w:hAnsi="Arial" w:cs="Arial"/>
        </w:rPr>
        <w:t>OPA acknowledge</w:t>
      </w:r>
      <w:r w:rsidR="00862692" w:rsidRPr="008C655C">
        <w:rPr>
          <w:rFonts w:ascii="Arial" w:hAnsi="Arial" w:cs="Arial"/>
        </w:rPr>
        <w:t>s that a process of harmonisation of laws would be lengthy and complex</w:t>
      </w:r>
      <w:r w:rsidR="007519A0" w:rsidRPr="008C655C">
        <w:rPr>
          <w:rFonts w:ascii="Arial" w:hAnsi="Arial" w:cs="Arial"/>
        </w:rPr>
        <w:t>. As a minimum</w:t>
      </w:r>
      <w:r w:rsidR="00862692" w:rsidRPr="008C655C">
        <w:rPr>
          <w:rFonts w:ascii="Arial" w:hAnsi="Arial" w:cs="Arial"/>
        </w:rPr>
        <w:t>,</w:t>
      </w:r>
      <w:r w:rsidR="007519A0" w:rsidRPr="008C655C">
        <w:rPr>
          <w:rFonts w:ascii="Arial" w:hAnsi="Arial" w:cs="Arial"/>
        </w:rPr>
        <w:t xml:space="preserve"> </w:t>
      </w:r>
      <w:r w:rsidR="00862692" w:rsidRPr="008C655C">
        <w:rPr>
          <w:rFonts w:ascii="Arial" w:hAnsi="Arial" w:cs="Arial"/>
        </w:rPr>
        <w:t xml:space="preserve">OPA believes there </w:t>
      </w:r>
      <w:r w:rsidR="00862692" w:rsidRPr="008C655C">
        <w:rPr>
          <w:rFonts w:ascii="Arial" w:hAnsi="Arial" w:cs="Arial"/>
        </w:rPr>
        <w:lastRenderedPageBreak/>
        <w:t>should be greater</w:t>
      </w:r>
      <w:r w:rsidR="007519A0" w:rsidRPr="008C655C">
        <w:rPr>
          <w:rFonts w:ascii="Arial" w:hAnsi="Arial" w:cs="Arial"/>
        </w:rPr>
        <w:t xml:space="preserve"> </w:t>
      </w:r>
      <w:r w:rsidR="00862692" w:rsidRPr="008C655C">
        <w:rPr>
          <w:rFonts w:ascii="Arial" w:hAnsi="Arial" w:cs="Arial"/>
        </w:rPr>
        <w:t xml:space="preserve">mutual recognition </w:t>
      </w:r>
      <w:r w:rsidR="007519A0" w:rsidRPr="008C655C">
        <w:rPr>
          <w:rFonts w:ascii="Arial" w:hAnsi="Arial" w:cs="Arial"/>
        </w:rPr>
        <w:t>of guardianship</w:t>
      </w:r>
      <w:r w:rsidR="00862692" w:rsidRPr="008C655C">
        <w:rPr>
          <w:rFonts w:ascii="Arial" w:hAnsi="Arial" w:cs="Arial"/>
        </w:rPr>
        <w:t xml:space="preserve"> orders and advance care directives/enduring powers of guardianship</w:t>
      </w:r>
      <w:r w:rsidR="007519A0" w:rsidRPr="008C655C">
        <w:rPr>
          <w:rFonts w:ascii="Arial" w:hAnsi="Arial" w:cs="Arial"/>
        </w:rPr>
        <w:t xml:space="preserve">. </w:t>
      </w:r>
    </w:p>
    <w:p w:rsidR="001567B6" w:rsidRPr="008C655C" w:rsidRDefault="004771C5" w:rsidP="008C655C">
      <w:pPr>
        <w:jc w:val="both"/>
        <w:rPr>
          <w:rFonts w:ascii="Arial" w:hAnsi="Arial" w:cs="Arial"/>
          <w:b/>
          <w:i/>
        </w:rPr>
      </w:pPr>
      <w:r w:rsidRPr="008C655C">
        <w:rPr>
          <w:rFonts w:ascii="Arial" w:hAnsi="Arial" w:cs="Arial"/>
          <w:b/>
          <w:i/>
        </w:rPr>
        <w:t>Proposal 5-11</w:t>
      </w:r>
      <w:r w:rsidR="00071D0D" w:rsidRPr="008C655C">
        <w:rPr>
          <w:rFonts w:ascii="Arial" w:hAnsi="Arial" w:cs="Arial"/>
          <w:b/>
          <w:i/>
        </w:rPr>
        <w:t>:</w:t>
      </w:r>
      <w:r w:rsidRPr="008C655C">
        <w:rPr>
          <w:rFonts w:ascii="Arial" w:hAnsi="Arial" w:cs="Arial"/>
          <w:b/>
          <w:i/>
        </w:rPr>
        <w:t xml:space="preserve"> The term ‘representatives’ should be used for the substitute decision makers referred to in proposal 5-10 and the enduring instruments under which these arrangements are made should be called ‘Representative Agreements’.</w:t>
      </w:r>
    </w:p>
    <w:p w:rsidR="004771C5" w:rsidRPr="008C655C" w:rsidRDefault="002B7F4D" w:rsidP="008C655C">
      <w:pPr>
        <w:autoSpaceDE w:val="0"/>
        <w:autoSpaceDN w:val="0"/>
        <w:adjustRightInd w:val="0"/>
        <w:jc w:val="both"/>
        <w:rPr>
          <w:rFonts w:ascii="Arial" w:hAnsi="Arial" w:cs="Arial"/>
        </w:rPr>
      </w:pPr>
      <w:r w:rsidRPr="00F057B9">
        <w:rPr>
          <w:rFonts w:ascii="Arial" w:hAnsi="Arial" w:cs="Arial"/>
        </w:rPr>
        <w:t>In South Australia, “substitute decision-making” is g</w:t>
      </w:r>
      <w:r w:rsidR="005601B4" w:rsidRPr="00F057B9">
        <w:rPr>
          <w:rFonts w:ascii="Arial" w:hAnsi="Arial" w:cs="Arial"/>
        </w:rPr>
        <w:t>uided by legislatively enshrined principles which do a great deal to recognise the</w:t>
      </w:r>
      <w:r w:rsidRPr="00F057B9">
        <w:rPr>
          <w:rFonts w:ascii="Arial" w:hAnsi="Arial" w:cs="Arial"/>
        </w:rPr>
        <w:t xml:space="preserve"> ri</w:t>
      </w:r>
      <w:r w:rsidR="005601B4" w:rsidRPr="00F057B9">
        <w:rPr>
          <w:rFonts w:ascii="Arial" w:hAnsi="Arial" w:cs="Arial"/>
        </w:rPr>
        <w:t>ghts of the principal</w:t>
      </w:r>
      <w:r w:rsidRPr="00F057B9">
        <w:rPr>
          <w:rFonts w:ascii="Arial" w:hAnsi="Arial" w:cs="Arial"/>
        </w:rPr>
        <w:t>.</w:t>
      </w:r>
      <w:r w:rsidR="00701FC0" w:rsidRPr="00F057B9">
        <w:rPr>
          <w:rStyle w:val="FootnoteReference"/>
          <w:rFonts w:ascii="Arial" w:hAnsi="Arial" w:cs="Arial"/>
        </w:rPr>
        <w:footnoteReference w:id="14"/>
      </w:r>
      <w:r w:rsidR="00701FC0" w:rsidRPr="00F057B9">
        <w:rPr>
          <w:rFonts w:ascii="Arial" w:hAnsi="Arial" w:cs="Arial"/>
        </w:rPr>
        <w:t xml:space="preserve">  However, </w:t>
      </w:r>
      <w:r w:rsidR="005601B4" w:rsidRPr="00F057B9">
        <w:rPr>
          <w:rFonts w:ascii="Arial" w:hAnsi="Arial" w:cs="Arial"/>
        </w:rPr>
        <w:t>OPA acknowledges and supports</w:t>
      </w:r>
      <w:r w:rsidR="002D1D2D" w:rsidRPr="00F057B9">
        <w:rPr>
          <w:rFonts w:ascii="Arial" w:hAnsi="Arial" w:cs="Arial"/>
        </w:rPr>
        <w:t xml:space="preserve"> moves </w:t>
      </w:r>
      <w:r w:rsidR="005601B4" w:rsidRPr="00F057B9">
        <w:rPr>
          <w:rFonts w:ascii="Arial" w:hAnsi="Arial" w:cs="Arial"/>
        </w:rPr>
        <w:t xml:space="preserve">toward </w:t>
      </w:r>
      <w:r w:rsidR="00E06B20" w:rsidRPr="00F057B9">
        <w:rPr>
          <w:rFonts w:ascii="Arial" w:hAnsi="Arial" w:cs="Arial"/>
        </w:rPr>
        <w:t xml:space="preserve">more formal </w:t>
      </w:r>
      <w:r w:rsidR="002D1D2D" w:rsidRPr="00F057B9">
        <w:rPr>
          <w:rFonts w:ascii="Arial" w:hAnsi="Arial" w:cs="Arial"/>
        </w:rPr>
        <w:t xml:space="preserve">recognition of </w:t>
      </w:r>
      <w:r w:rsidR="004777E5" w:rsidRPr="00F057B9">
        <w:rPr>
          <w:rFonts w:ascii="Arial" w:hAnsi="Arial" w:cs="Arial"/>
        </w:rPr>
        <w:t>the</w:t>
      </w:r>
      <w:r w:rsidR="002D1D2D" w:rsidRPr="00F057B9">
        <w:rPr>
          <w:rFonts w:ascii="Arial" w:hAnsi="Arial" w:cs="Arial"/>
        </w:rPr>
        <w:t xml:space="preserve"> rights</w:t>
      </w:r>
      <w:r w:rsidR="004777E5" w:rsidRPr="00F057B9">
        <w:rPr>
          <w:rFonts w:ascii="Arial" w:hAnsi="Arial" w:cs="Arial"/>
        </w:rPr>
        <w:t xml:space="preserve"> of people with impaired decision-making capacity</w:t>
      </w:r>
      <w:r w:rsidR="002D1D2D" w:rsidRPr="00F057B9">
        <w:rPr>
          <w:rFonts w:ascii="Arial" w:hAnsi="Arial" w:cs="Arial"/>
        </w:rPr>
        <w:t xml:space="preserve"> in accor</w:t>
      </w:r>
      <w:r w:rsidR="00E06B20" w:rsidRPr="00F057B9">
        <w:rPr>
          <w:rFonts w:ascii="Arial" w:hAnsi="Arial" w:cs="Arial"/>
        </w:rPr>
        <w:t>dance with the UN Convention on the Rights of Persons with Disabilities</w:t>
      </w:r>
      <w:r w:rsidR="004777E5" w:rsidRPr="00F057B9">
        <w:rPr>
          <w:rFonts w:ascii="Arial" w:hAnsi="Arial" w:cs="Arial"/>
        </w:rPr>
        <w:t xml:space="preserve"> and supported decision-making models</w:t>
      </w:r>
      <w:r w:rsidR="00E06B20" w:rsidRPr="004777E5">
        <w:rPr>
          <w:rFonts w:ascii="Arial" w:hAnsi="Arial" w:cs="Arial"/>
          <w:highlight w:val="yellow"/>
        </w:rPr>
        <w:t>.</w:t>
      </w:r>
      <w:r w:rsidR="00E06B20" w:rsidRPr="008C655C">
        <w:rPr>
          <w:rFonts w:ascii="Arial" w:hAnsi="Arial" w:cs="Arial"/>
        </w:rPr>
        <w:t xml:space="preserve">  </w:t>
      </w:r>
    </w:p>
    <w:p w:rsidR="007D0451" w:rsidRPr="008C655C" w:rsidRDefault="000F3ABD" w:rsidP="008C655C">
      <w:pPr>
        <w:autoSpaceDE w:val="0"/>
        <w:autoSpaceDN w:val="0"/>
        <w:adjustRightInd w:val="0"/>
        <w:jc w:val="both"/>
        <w:rPr>
          <w:rFonts w:ascii="Arial" w:hAnsi="Arial" w:cs="Arial"/>
          <w:b/>
          <w:i/>
        </w:rPr>
      </w:pPr>
      <w:r w:rsidRPr="008C655C">
        <w:rPr>
          <w:rFonts w:ascii="Arial" w:hAnsi="Arial" w:cs="Arial"/>
          <w:b/>
          <w:i/>
        </w:rPr>
        <w:t>Proposal 5-12</w:t>
      </w:r>
      <w:r w:rsidR="00071D0D" w:rsidRPr="008C655C">
        <w:rPr>
          <w:rFonts w:ascii="Arial" w:hAnsi="Arial" w:cs="Arial"/>
          <w:b/>
          <w:i/>
        </w:rPr>
        <w:t>:</w:t>
      </w:r>
      <w:r w:rsidRPr="008C655C">
        <w:rPr>
          <w:rFonts w:ascii="Arial" w:hAnsi="Arial" w:cs="Arial"/>
          <w:b/>
          <w:i/>
        </w:rPr>
        <w:t xml:space="preserve"> A model representative agreement should be developed to facilitate the making of these arrangements. </w:t>
      </w:r>
    </w:p>
    <w:p w:rsidR="00CA4242" w:rsidRPr="008C655C" w:rsidRDefault="000F3ABD" w:rsidP="008C655C">
      <w:pPr>
        <w:autoSpaceDE w:val="0"/>
        <w:autoSpaceDN w:val="0"/>
        <w:adjustRightInd w:val="0"/>
        <w:jc w:val="both"/>
        <w:rPr>
          <w:rFonts w:ascii="Arial" w:hAnsi="Arial" w:cs="Arial"/>
        </w:rPr>
      </w:pPr>
      <w:r w:rsidRPr="008C655C">
        <w:rPr>
          <w:rFonts w:ascii="Arial" w:hAnsi="Arial" w:cs="Arial"/>
        </w:rPr>
        <w:t xml:space="preserve">OPA </w:t>
      </w:r>
      <w:r w:rsidR="00CA4242" w:rsidRPr="008C655C">
        <w:rPr>
          <w:rFonts w:ascii="Arial" w:hAnsi="Arial" w:cs="Arial"/>
        </w:rPr>
        <w:t>generally supports this proposal, but is concerned that development of one model representative agreement may be too in</w:t>
      </w:r>
      <w:r w:rsidRPr="008C655C">
        <w:rPr>
          <w:rFonts w:ascii="Arial" w:hAnsi="Arial" w:cs="Arial"/>
        </w:rPr>
        <w:t xml:space="preserve">flexible in </w:t>
      </w:r>
      <w:r w:rsidR="00CA4242" w:rsidRPr="008C655C">
        <w:rPr>
          <w:rFonts w:ascii="Arial" w:hAnsi="Arial" w:cs="Arial"/>
        </w:rPr>
        <w:t xml:space="preserve">its </w:t>
      </w:r>
      <w:r w:rsidRPr="008C655C">
        <w:rPr>
          <w:rFonts w:ascii="Arial" w:hAnsi="Arial" w:cs="Arial"/>
        </w:rPr>
        <w:t>application</w:t>
      </w:r>
      <w:r w:rsidR="004A6C64" w:rsidRPr="008C655C">
        <w:rPr>
          <w:rFonts w:ascii="Arial" w:hAnsi="Arial" w:cs="Arial"/>
        </w:rPr>
        <w:t xml:space="preserve"> </w:t>
      </w:r>
    </w:p>
    <w:p w:rsidR="00142A5D" w:rsidRPr="005A2120" w:rsidRDefault="000F3ABD" w:rsidP="008C655C">
      <w:pPr>
        <w:autoSpaceDE w:val="0"/>
        <w:autoSpaceDN w:val="0"/>
        <w:adjustRightInd w:val="0"/>
        <w:jc w:val="both"/>
        <w:rPr>
          <w:rFonts w:ascii="Arial" w:hAnsi="Arial" w:cs="Arial"/>
        </w:rPr>
      </w:pPr>
      <w:r w:rsidRPr="00F057B9">
        <w:rPr>
          <w:rFonts w:ascii="Arial" w:hAnsi="Arial" w:cs="Arial"/>
        </w:rPr>
        <w:t>OPA agree</w:t>
      </w:r>
      <w:r w:rsidR="00CA4242" w:rsidRPr="00F057B9">
        <w:rPr>
          <w:rFonts w:ascii="Arial" w:hAnsi="Arial" w:cs="Arial"/>
        </w:rPr>
        <w:t xml:space="preserve">s that </w:t>
      </w:r>
      <w:r w:rsidRPr="00F057B9">
        <w:rPr>
          <w:rFonts w:ascii="Arial" w:hAnsi="Arial" w:cs="Arial"/>
        </w:rPr>
        <w:t xml:space="preserve">the model </w:t>
      </w:r>
      <w:r w:rsidR="00CA4242" w:rsidRPr="00F057B9">
        <w:rPr>
          <w:rFonts w:ascii="Arial" w:hAnsi="Arial" w:cs="Arial"/>
        </w:rPr>
        <w:t xml:space="preserve">representative agreement (or however otherwise described) </w:t>
      </w:r>
      <w:r w:rsidR="006D2AB8" w:rsidRPr="00F057B9">
        <w:rPr>
          <w:rFonts w:ascii="Arial" w:hAnsi="Arial" w:cs="Arial"/>
        </w:rPr>
        <w:t>should ask what level of support is necessary to assist the principal to express their will and preferences.  OPA also supports the inclusion of the guidelines for a functional ap</w:t>
      </w:r>
      <w:r w:rsidR="005A2120" w:rsidRPr="00F057B9">
        <w:rPr>
          <w:rFonts w:ascii="Arial" w:hAnsi="Arial" w:cs="Arial"/>
        </w:rPr>
        <w:t xml:space="preserve">proach to assessing </w:t>
      </w:r>
      <w:r w:rsidR="006D2AB8" w:rsidRPr="00F057B9">
        <w:rPr>
          <w:rFonts w:ascii="Arial" w:hAnsi="Arial" w:cs="Arial"/>
        </w:rPr>
        <w:t>decisio</w:t>
      </w:r>
      <w:r w:rsidR="005A2120" w:rsidRPr="00F057B9">
        <w:rPr>
          <w:rFonts w:ascii="Arial" w:hAnsi="Arial" w:cs="Arial"/>
        </w:rPr>
        <w:t>n-making capacity</w:t>
      </w:r>
      <w:r w:rsidR="006D2AB8" w:rsidRPr="00F057B9">
        <w:rPr>
          <w:rFonts w:ascii="Arial" w:hAnsi="Arial" w:cs="Arial"/>
        </w:rPr>
        <w:t xml:space="preserve"> recommended by the ALRC in its </w:t>
      </w:r>
      <w:r w:rsidR="006D2AB8" w:rsidRPr="00F057B9">
        <w:rPr>
          <w:rFonts w:ascii="Arial" w:hAnsi="Arial" w:cs="Arial"/>
          <w:i/>
        </w:rPr>
        <w:t>Equality, Capacity and Disability Report</w:t>
      </w:r>
      <w:r w:rsidR="006D2AB8" w:rsidRPr="00F057B9">
        <w:rPr>
          <w:rFonts w:ascii="Arial" w:hAnsi="Arial" w:cs="Arial"/>
        </w:rPr>
        <w:t xml:space="preserve"> and restated in Discussion Paper 83 at paragraph 5.118.</w:t>
      </w:r>
      <w:r w:rsidR="006D2AB8" w:rsidRPr="00F057B9">
        <w:rPr>
          <w:rStyle w:val="FootnoteReference"/>
          <w:rFonts w:ascii="Arial" w:hAnsi="Arial" w:cs="Arial"/>
        </w:rPr>
        <w:footnoteReference w:id="15"/>
      </w:r>
      <w:bookmarkStart w:id="0" w:name="_GoBack"/>
      <w:bookmarkEnd w:id="0"/>
    </w:p>
    <w:p w:rsidR="00C15A57" w:rsidRPr="008C655C" w:rsidRDefault="000F3ABD" w:rsidP="008C655C">
      <w:pPr>
        <w:autoSpaceDE w:val="0"/>
        <w:autoSpaceDN w:val="0"/>
        <w:adjustRightInd w:val="0"/>
        <w:jc w:val="both"/>
        <w:rPr>
          <w:rFonts w:ascii="Arial" w:hAnsi="Arial" w:cs="Arial"/>
          <w:b/>
          <w:i/>
        </w:rPr>
      </w:pPr>
      <w:r w:rsidRPr="008C655C">
        <w:rPr>
          <w:rFonts w:ascii="Arial" w:hAnsi="Arial" w:cs="Arial"/>
          <w:b/>
          <w:i/>
        </w:rPr>
        <w:t>Proposal 5-13</w:t>
      </w:r>
      <w:r w:rsidR="00071D0D" w:rsidRPr="008C655C">
        <w:rPr>
          <w:rFonts w:ascii="Arial" w:hAnsi="Arial" w:cs="Arial"/>
          <w:b/>
          <w:i/>
        </w:rPr>
        <w:t>:</w:t>
      </w:r>
      <w:r w:rsidRPr="008C655C">
        <w:rPr>
          <w:rFonts w:ascii="Arial" w:hAnsi="Arial" w:cs="Arial"/>
          <w:b/>
          <w:i/>
        </w:rPr>
        <w:t xml:space="preserve"> Representatives should be required to support and represent the will, preferences and rights of the principal. </w:t>
      </w:r>
    </w:p>
    <w:p w:rsidR="00142A5D" w:rsidRPr="008C655C" w:rsidRDefault="006D2AB8" w:rsidP="008C655C">
      <w:pPr>
        <w:jc w:val="both"/>
        <w:rPr>
          <w:rFonts w:ascii="Arial" w:hAnsi="Arial" w:cs="Arial"/>
        </w:rPr>
      </w:pPr>
      <w:r w:rsidRPr="008C655C">
        <w:rPr>
          <w:rFonts w:ascii="Arial" w:hAnsi="Arial" w:cs="Arial"/>
        </w:rPr>
        <w:t xml:space="preserve">OPA generally supports this proposal, but considers that there should be recognition of the fact that </w:t>
      </w:r>
      <w:r w:rsidR="00142A5D" w:rsidRPr="008C655C">
        <w:rPr>
          <w:rFonts w:ascii="Arial" w:hAnsi="Arial" w:cs="Arial"/>
        </w:rPr>
        <w:t>it will not always be possible or reasonably practicable for the representative to ascertain the current will and preferences of the principal.  OPA suggests that the wording of any legislative requirement of this kind, or supporting guidance, should include that:</w:t>
      </w:r>
    </w:p>
    <w:p w:rsidR="00142A5D" w:rsidRPr="008C655C" w:rsidRDefault="00142A5D" w:rsidP="008C655C">
      <w:pPr>
        <w:pStyle w:val="ListParagraph"/>
        <w:numPr>
          <w:ilvl w:val="0"/>
          <w:numId w:val="24"/>
        </w:numPr>
        <w:jc w:val="both"/>
        <w:rPr>
          <w:rFonts w:ascii="Arial" w:hAnsi="Arial" w:cs="Arial"/>
          <w:sz w:val="22"/>
          <w:szCs w:val="22"/>
        </w:rPr>
      </w:pPr>
      <w:r w:rsidRPr="008C655C">
        <w:rPr>
          <w:rFonts w:ascii="Arial" w:hAnsi="Arial" w:cs="Arial"/>
          <w:sz w:val="22"/>
          <w:szCs w:val="22"/>
        </w:rPr>
        <w:t>the current will and preferences of the principal be ascertained unless it is not possible or reasonably practicable to do so;</w:t>
      </w:r>
      <w:r w:rsidR="006754D2" w:rsidRPr="008C655C">
        <w:rPr>
          <w:rFonts w:ascii="Arial" w:hAnsi="Arial" w:cs="Arial"/>
          <w:sz w:val="22"/>
          <w:szCs w:val="22"/>
        </w:rPr>
        <w:t xml:space="preserve"> and</w:t>
      </w:r>
    </w:p>
    <w:p w:rsidR="006754D2" w:rsidRPr="008C655C" w:rsidRDefault="006754D2" w:rsidP="008C655C">
      <w:pPr>
        <w:pStyle w:val="ListParagraph"/>
        <w:ind w:left="625"/>
        <w:jc w:val="both"/>
        <w:rPr>
          <w:rFonts w:ascii="Arial" w:hAnsi="Arial" w:cs="Arial"/>
          <w:sz w:val="22"/>
          <w:szCs w:val="22"/>
        </w:rPr>
      </w:pPr>
    </w:p>
    <w:p w:rsidR="006754D2" w:rsidRPr="008C655C" w:rsidRDefault="006754D2" w:rsidP="008C655C">
      <w:pPr>
        <w:pStyle w:val="ListParagraph"/>
        <w:numPr>
          <w:ilvl w:val="0"/>
          <w:numId w:val="24"/>
        </w:numPr>
        <w:jc w:val="both"/>
        <w:rPr>
          <w:rFonts w:ascii="Arial" w:hAnsi="Arial" w:cs="Arial"/>
          <w:sz w:val="22"/>
          <w:szCs w:val="22"/>
        </w:rPr>
      </w:pPr>
      <w:r w:rsidRPr="008C655C">
        <w:rPr>
          <w:rFonts w:ascii="Arial" w:hAnsi="Arial" w:cs="Arial"/>
          <w:sz w:val="22"/>
          <w:szCs w:val="22"/>
        </w:rPr>
        <w:t xml:space="preserve">any </w:t>
      </w:r>
      <w:r w:rsidR="00142A5D" w:rsidRPr="008C655C">
        <w:rPr>
          <w:rFonts w:ascii="Arial" w:hAnsi="Arial" w:cs="Arial"/>
          <w:sz w:val="22"/>
          <w:szCs w:val="22"/>
        </w:rPr>
        <w:t>past wishes and preferences of the p</w:t>
      </w:r>
      <w:r w:rsidRPr="008C655C">
        <w:rPr>
          <w:rFonts w:ascii="Arial" w:hAnsi="Arial" w:cs="Arial"/>
          <w:sz w:val="22"/>
          <w:szCs w:val="22"/>
        </w:rPr>
        <w:t>rincipal be taken into account; and</w:t>
      </w:r>
    </w:p>
    <w:p w:rsidR="006754D2" w:rsidRPr="008C655C" w:rsidRDefault="006754D2" w:rsidP="008C655C">
      <w:pPr>
        <w:pStyle w:val="ListParagraph"/>
        <w:ind w:left="625"/>
        <w:jc w:val="both"/>
        <w:rPr>
          <w:rFonts w:ascii="Arial" w:hAnsi="Arial" w:cs="Arial"/>
          <w:sz w:val="22"/>
          <w:szCs w:val="22"/>
        </w:rPr>
      </w:pPr>
    </w:p>
    <w:p w:rsidR="00142A5D" w:rsidRPr="008C655C" w:rsidRDefault="006754D2" w:rsidP="008C655C">
      <w:pPr>
        <w:pStyle w:val="ListParagraph"/>
        <w:numPr>
          <w:ilvl w:val="0"/>
          <w:numId w:val="24"/>
        </w:numPr>
        <w:jc w:val="both"/>
        <w:rPr>
          <w:rFonts w:ascii="Arial" w:hAnsi="Arial" w:cs="Arial"/>
          <w:sz w:val="22"/>
          <w:szCs w:val="22"/>
        </w:rPr>
      </w:pPr>
      <w:r w:rsidRPr="008C655C">
        <w:rPr>
          <w:rFonts w:ascii="Arial" w:hAnsi="Arial" w:cs="Arial"/>
          <w:sz w:val="22"/>
          <w:szCs w:val="22"/>
        </w:rPr>
        <w:t xml:space="preserve">any of the principal’s </w:t>
      </w:r>
      <w:r w:rsidR="00142A5D" w:rsidRPr="008C655C">
        <w:rPr>
          <w:rFonts w:ascii="Arial" w:hAnsi="Arial" w:cs="Arial"/>
          <w:sz w:val="22"/>
          <w:szCs w:val="22"/>
        </w:rPr>
        <w:t xml:space="preserve">beliefs and values which would likely influence their making of the decision if they had capacity </w:t>
      </w:r>
      <w:r w:rsidRPr="008C655C">
        <w:rPr>
          <w:rFonts w:ascii="Arial" w:hAnsi="Arial" w:cs="Arial"/>
          <w:sz w:val="22"/>
          <w:szCs w:val="22"/>
        </w:rPr>
        <w:t>be taken into account.</w:t>
      </w:r>
      <w:r w:rsidR="00C136AA" w:rsidRPr="008C655C">
        <w:rPr>
          <w:rStyle w:val="FootnoteReference"/>
          <w:rFonts w:ascii="Arial" w:hAnsi="Arial" w:cs="Arial"/>
          <w:sz w:val="22"/>
          <w:szCs w:val="22"/>
        </w:rPr>
        <w:footnoteReference w:id="16"/>
      </w:r>
    </w:p>
    <w:p w:rsidR="006754D2" w:rsidRPr="008C655C" w:rsidRDefault="006754D2" w:rsidP="008C655C">
      <w:pPr>
        <w:ind w:left="58"/>
        <w:jc w:val="both"/>
        <w:rPr>
          <w:rFonts w:ascii="Arial" w:hAnsi="Arial" w:cs="Arial"/>
        </w:rPr>
      </w:pPr>
    </w:p>
    <w:p w:rsidR="006754D2" w:rsidRPr="008C655C" w:rsidRDefault="006754D2" w:rsidP="008C655C">
      <w:pPr>
        <w:ind w:left="58"/>
        <w:jc w:val="both"/>
        <w:rPr>
          <w:rFonts w:ascii="Arial" w:hAnsi="Arial" w:cs="Arial"/>
        </w:rPr>
      </w:pPr>
      <w:r w:rsidRPr="008C655C">
        <w:rPr>
          <w:rFonts w:ascii="Arial" w:hAnsi="Arial" w:cs="Arial"/>
        </w:rPr>
        <w:t xml:space="preserve">OPA believes that there is still a need to provide representatives/substitute </w:t>
      </w:r>
      <w:r w:rsidR="00C136AA" w:rsidRPr="008C655C">
        <w:rPr>
          <w:rFonts w:ascii="Arial" w:hAnsi="Arial" w:cs="Arial"/>
        </w:rPr>
        <w:t>decision-makers with guidance about</w:t>
      </w:r>
      <w:r w:rsidRPr="008C655C">
        <w:rPr>
          <w:rFonts w:ascii="Arial" w:hAnsi="Arial" w:cs="Arial"/>
        </w:rPr>
        <w:t xml:space="preserve"> whether and in what circumstances they can depart from the current will and preferences of the principal.  The will and preferences of the principal may sometimes compete with certain “rights” of the principal, if rights are viewed in a broad sense to include rights related to safety or protection from harm.</w:t>
      </w:r>
      <w:r w:rsidR="00C136AA" w:rsidRPr="008C655C">
        <w:rPr>
          <w:rFonts w:ascii="Arial" w:hAnsi="Arial" w:cs="Arial"/>
        </w:rPr>
        <w:t xml:space="preserve">  In any event, substitute decision-makers may be faced with situations in which the principal is exposed to a risk of significant harm should their will and preferences be followed and so will need guidance about how to manage that risk.</w:t>
      </w:r>
    </w:p>
    <w:p w:rsidR="00C136AA" w:rsidRPr="008C655C" w:rsidRDefault="00C136AA" w:rsidP="008C655C">
      <w:pPr>
        <w:autoSpaceDE w:val="0"/>
        <w:autoSpaceDN w:val="0"/>
        <w:adjustRightInd w:val="0"/>
        <w:jc w:val="both"/>
        <w:rPr>
          <w:rFonts w:ascii="Arial" w:hAnsi="Arial" w:cs="Arial"/>
          <w:b/>
          <w:u w:val="single"/>
        </w:rPr>
      </w:pPr>
      <w:r w:rsidRPr="008C655C">
        <w:rPr>
          <w:rFonts w:ascii="Arial" w:hAnsi="Arial" w:cs="Arial"/>
          <w:b/>
          <w:u w:val="single"/>
        </w:rPr>
        <w:t>6. Guardianship and Financial Administration Orders</w:t>
      </w:r>
    </w:p>
    <w:p w:rsidR="000F3ABD" w:rsidRPr="008C655C" w:rsidRDefault="006F73EE" w:rsidP="008C655C">
      <w:pPr>
        <w:autoSpaceDE w:val="0"/>
        <w:autoSpaceDN w:val="0"/>
        <w:adjustRightInd w:val="0"/>
        <w:jc w:val="both"/>
        <w:rPr>
          <w:rFonts w:ascii="Arial" w:hAnsi="Arial" w:cs="Arial"/>
          <w:b/>
          <w:i/>
        </w:rPr>
      </w:pPr>
      <w:r w:rsidRPr="008C655C">
        <w:rPr>
          <w:rFonts w:ascii="Arial" w:hAnsi="Arial" w:cs="Arial"/>
          <w:b/>
          <w:i/>
        </w:rPr>
        <w:t xml:space="preserve">Proposal 6-1: Newly-appointed non-professional guardians and financial administrators should be informed of the scope of their roles, responsibilities and obligations. </w:t>
      </w:r>
    </w:p>
    <w:p w:rsidR="00C136AA" w:rsidRPr="008C655C" w:rsidRDefault="00C136AA" w:rsidP="008C655C">
      <w:pPr>
        <w:jc w:val="both"/>
        <w:rPr>
          <w:rFonts w:ascii="Arial" w:hAnsi="Arial" w:cs="Arial"/>
        </w:rPr>
      </w:pPr>
      <w:r w:rsidRPr="008C655C">
        <w:rPr>
          <w:rFonts w:ascii="Arial" w:hAnsi="Arial" w:cs="Arial"/>
        </w:rPr>
        <w:t>OPA supports this</w:t>
      </w:r>
      <w:r w:rsidR="006F73EE" w:rsidRPr="008C655C">
        <w:rPr>
          <w:rFonts w:ascii="Arial" w:hAnsi="Arial" w:cs="Arial"/>
        </w:rPr>
        <w:t xml:space="preserve"> proposal. </w:t>
      </w:r>
      <w:r w:rsidRPr="008C655C">
        <w:rPr>
          <w:rFonts w:ascii="Arial" w:hAnsi="Arial" w:cs="Arial"/>
        </w:rPr>
        <w:t xml:space="preserve"> OPA has historically produced information </w:t>
      </w:r>
      <w:r w:rsidR="00387F23" w:rsidRPr="008C655C">
        <w:rPr>
          <w:rFonts w:ascii="Arial" w:hAnsi="Arial" w:cs="Arial"/>
        </w:rPr>
        <w:t xml:space="preserve">resources </w:t>
      </w:r>
      <w:r w:rsidRPr="008C655C">
        <w:rPr>
          <w:rFonts w:ascii="Arial" w:hAnsi="Arial" w:cs="Arial"/>
        </w:rPr>
        <w:t xml:space="preserve">for private guardians and is currently undertaking a project to produce updated resources about the role and responsibilities of the guardian and provide some training for private guardians, as a means of enhancing the rights of persons under guardianship.  </w:t>
      </w:r>
    </w:p>
    <w:p w:rsidR="009E4ACE" w:rsidRPr="008C655C" w:rsidRDefault="00C136AA" w:rsidP="008C655C">
      <w:pPr>
        <w:jc w:val="both"/>
        <w:rPr>
          <w:rFonts w:ascii="Arial" w:hAnsi="Arial" w:cs="Arial"/>
        </w:rPr>
      </w:pPr>
      <w:r w:rsidRPr="008C655C">
        <w:rPr>
          <w:rFonts w:ascii="Arial" w:hAnsi="Arial" w:cs="Arial"/>
        </w:rPr>
        <w:t xml:space="preserve">There is clearly a need for private guardians and administrators to be </w:t>
      </w:r>
      <w:r w:rsidR="009E4ACE" w:rsidRPr="008C655C">
        <w:rPr>
          <w:rFonts w:ascii="Arial" w:hAnsi="Arial" w:cs="Arial"/>
        </w:rPr>
        <w:t>informed of their roles and duties. Howe</w:t>
      </w:r>
      <w:r w:rsidRPr="008C655C">
        <w:rPr>
          <w:rFonts w:ascii="Arial" w:hAnsi="Arial" w:cs="Arial"/>
        </w:rPr>
        <w:t xml:space="preserve">ver, by placing too many requirements for formal qualifications and training </w:t>
      </w:r>
      <w:r w:rsidR="009E4ACE" w:rsidRPr="008C655C">
        <w:rPr>
          <w:rFonts w:ascii="Arial" w:hAnsi="Arial" w:cs="Arial"/>
        </w:rPr>
        <w:t xml:space="preserve">may </w:t>
      </w:r>
      <w:r w:rsidRPr="008C655C">
        <w:rPr>
          <w:rFonts w:ascii="Arial" w:hAnsi="Arial" w:cs="Arial"/>
        </w:rPr>
        <w:t>deter private guardians and administrators from agreeing to accept the role.  This would likely lead to more appointments of public guardians and would, therefore, have resource implications on offices of public advocates.</w:t>
      </w:r>
      <w:r w:rsidR="009E4ACE" w:rsidRPr="008C655C">
        <w:rPr>
          <w:rFonts w:ascii="Arial" w:hAnsi="Arial" w:cs="Arial"/>
        </w:rPr>
        <w:t xml:space="preserve"> </w:t>
      </w:r>
    </w:p>
    <w:p w:rsidR="006F73EE" w:rsidRPr="008C655C" w:rsidRDefault="009E4ACE" w:rsidP="008C655C">
      <w:pPr>
        <w:jc w:val="both"/>
        <w:rPr>
          <w:rFonts w:ascii="Arial" w:hAnsi="Arial" w:cs="Arial"/>
        </w:rPr>
      </w:pPr>
      <w:r w:rsidRPr="008C655C">
        <w:rPr>
          <w:rFonts w:ascii="Arial" w:hAnsi="Arial" w:cs="Arial"/>
        </w:rPr>
        <w:t xml:space="preserve">The OPA believes that newly-appointed non-professional guardians and financial administrators </w:t>
      </w:r>
      <w:r w:rsidR="00387F23" w:rsidRPr="008C655C">
        <w:rPr>
          <w:rFonts w:ascii="Arial" w:hAnsi="Arial" w:cs="Arial"/>
        </w:rPr>
        <w:t xml:space="preserve">should have access to training in a </w:t>
      </w:r>
      <w:r w:rsidRPr="008C655C">
        <w:rPr>
          <w:rFonts w:ascii="Arial" w:hAnsi="Arial" w:cs="Arial"/>
        </w:rPr>
        <w:t xml:space="preserve">simple, informal </w:t>
      </w:r>
      <w:r w:rsidR="00387F23" w:rsidRPr="008C655C">
        <w:rPr>
          <w:rFonts w:ascii="Arial" w:hAnsi="Arial" w:cs="Arial"/>
        </w:rPr>
        <w:t xml:space="preserve">and accessible manner, which likely means having the option of both online as well as face-to-face training.  </w:t>
      </w:r>
    </w:p>
    <w:p w:rsidR="006F73EE" w:rsidRPr="008C655C" w:rsidRDefault="006F73EE" w:rsidP="008C655C">
      <w:pPr>
        <w:autoSpaceDE w:val="0"/>
        <w:autoSpaceDN w:val="0"/>
        <w:adjustRightInd w:val="0"/>
        <w:jc w:val="both"/>
        <w:rPr>
          <w:rFonts w:ascii="Arial" w:hAnsi="Arial" w:cs="Arial"/>
          <w:b/>
          <w:highlight w:val="yellow"/>
        </w:rPr>
      </w:pPr>
    </w:p>
    <w:sectPr w:rsidR="006F73EE" w:rsidRPr="008C655C" w:rsidSect="0081514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D19" w:rsidRDefault="00856D19" w:rsidP="008413D9">
      <w:pPr>
        <w:spacing w:after="0" w:line="240" w:lineRule="auto"/>
      </w:pPr>
      <w:r>
        <w:separator/>
      </w:r>
    </w:p>
  </w:endnote>
  <w:endnote w:type="continuationSeparator" w:id="0">
    <w:p w:rsidR="00856D19" w:rsidRDefault="00856D19" w:rsidP="008413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229452"/>
      <w:docPartObj>
        <w:docPartGallery w:val="Page Numbers (Bottom of Page)"/>
        <w:docPartUnique/>
      </w:docPartObj>
    </w:sdtPr>
    <w:sdtEndPr>
      <w:rPr>
        <w:noProof/>
      </w:rPr>
    </w:sdtEndPr>
    <w:sdtContent>
      <w:p w:rsidR="00025C4B" w:rsidRDefault="00815148">
        <w:pPr>
          <w:pStyle w:val="Footer"/>
          <w:jc w:val="right"/>
        </w:pPr>
        <w:r>
          <w:fldChar w:fldCharType="begin"/>
        </w:r>
        <w:r w:rsidR="00025C4B">
          <w:instrText xml:space="preserve"> PAGE   \* MERGEFORMAT </w:instrText>
        </w:r>
        <w:r>
          <w:fldChar w:fldCharType="separate"/>
        </w:r>
        <w:r w:rsidR="00FA7D5F">
          <w:rPr>
            <w:noProof/>
          </w:rPr>
          <w:t>1</w:t>
        </w:r>
        <w:r>
          <w:rPr>
            <w:noProof/>
          </w:rPr>
          <w:fldChar w:fldCharType="end"/>
        </w:r>
      </w:p>
    </w:sdtContent>
  </w:sdt>
  <w:p w:rsidR="00025C4B" w:rsidRDefault="00025C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D19" w:rsidRDefault="00856D19" w:rsidP="008413D9">
      <w:pPr>
        <w:spacing w:after="0" w:line="240" w:lineRule="auto"/>
      </w:pPr>
      <w:r>
        <w:separator/>
      </w:r>
    </w:p>
  </w:footnote>
  <w:footnote w:type="continuationSeparator" w:id="0">
    <w:p w:rsidR="00856D19" w:rsidRDefault="00856D19" w:rsidP="008413D9">
      <w:pPr>
        <w:spacing w:after="0" w:line="240" w:lineRule="auto"/>
      </w:pPr>
      <w:r>
        <w:continuationSeparator/>
      </w:r>
    </w:p>
  </w:footnote>
  <w:footnote w:id="1">
    <w:p w:rsidR="00025C4B" w:rsidRDefault="00025C4B">
      <w:pPr>
        <w:pStyle w:val="FootnoteText"/>
      </w:pPr>
      <w:r>
        <w:rPr>
          <w:rStyle w:val="FootnoteReference"/>
        </w:rPr>
        <w:footnoteRef/>
      </w:r>
      <w:r>
        <w:t xml:space="preserve"> OPA, 2016, </w:t>
      </w:r>
      <w:r w:rsidRPr="009B5BE6">
        <w:rPr>
          <w:i/>
        </w:rPr>
        <w:t>Submission to the ALRC on Protecting the Rights of Older Australians from Abuse</w:t>
      </w:r>
      <w:r>
        <w:t>, page 2.</w:t>
      </w:r>
    </w:p>
  </w:footnote>
  <w:footnote w:id="2">
    <w:p w:rsidR="00025C4B" w:rsidRPr="00071D0D" w:rsidRDefault="00025C4B">
      <w:pPr>
        <w:pStyle w:val="FootnoteText"/>
        <w:rPr>
          <w:rFonts w:ascii="Arial" w:hAnsi="Arial" w:cs="Arial"/>
        </w:rPr>
      </w:pPr>
      <w:r w:rsidRPr="00071D0D">
        <w:rPr>
          <w:rStyle w:val="FootnoteReference"/>
          <w:rFonts w:ascii="Arial" w:hAnsi="Arial" w:cs="Arial"/>
        </w:rPr>
        <w:footnoteRef/>
      </w:r>
      <w:r w:rsidRPr="00071D0D">
        <w:rPr>
          <w:rFonts w:ascii="Arial" w:hAnsi="Arial" w:cs="Arial"/>
        </w:rPr>
        <w:t xml:space="preserve"> OPA in collaboration with the University of South Australia, October 2011, </w:t>
      </w:r>
      <w:r w:rsidRPr="00071D0D">
        <w:rPr>
          <w:rFonts w:ascii="Arial" w:hAnsi="Arial" w:cs="Arial"/>
          <w:i/>
        </w:rPr>
        <w:t>Closing the Gaps: Enhancing South Australia’s Response to the Abuse of Vulnerable Older People</w:t>
      </w:r>
      <w:r w:rsidRPr="00071D0D">
        <w:rPr>
          <w:rFonts w:ascii="Arial" w:hAnsi="Arial" w:cs="Arial"/>
        </w:rPr>
        <w:t>.</w:t>
      </w:r>
    </w:p>
  </w:footnote>
  <w:footnote w:id="3">
    <w:p w:rsidR="00025C4B" w:rsidRPr="00071D0D" w:rsidRDefault="00025C4B" w:rsidP="009D15C4">
      <w:pPr>
        <w:rPr>
          <w:rFonts w:ascii="Arial" w:hAnsi="Arial" w:cs="Arial"/>
          <w:sz w:val="20"/>
          <w:szCs w:val="20"/>
        </w:rPr>
      </w:pPr>
      <w:r w:rsidRPr="00071D0D">
        <w:rPr>
          <w:rStyle w:val="FootnoteReference"/>
          <w:rFonts w:ascii="Arial" w:hAnsi="Arial" w:cs="Arial"/>
          <w:sz w:val="20"/>
          <w:szCs w:val="20"/>
        </w:rPr>
        <w:footnoteRef/>
      </w:r>
      <w:r w:rsidRPr="00071D0D">
        <w:rPr>
          <w:rFonts w:ascii="Arial" w:hAnsi="Arial" w:cs="Arial"/>
          <w:i/>
          <w:sz w:val="20"/>
          <w:szCs w:val="20"/>
        </w:rPr>
        <w:t xml:space="preserve">Guardianship and Administration Act 1993, (SA), s 28. </w:t>
      </w:r>
      <w:r>
        <w:rPr>
          <w:rFonts w:ascii="Arial" w:hAnsi="Arial" w:cs="Arial"/>
          <w:sz w:val="20"/>
          <w:szCs w:val="20"/>
        </w:rPr>
        <w:t xml:space="preserve"> Under s 28(1) of the Act,</w:t>
      </w:r>
      <w:r w:rsidRPr="00071D0D">
        <w:rPr>
          <w:rFonts w:ascii="Arial" w:hAnsi="Arial" w:cs="Arial"/>
          <w:sz w:val="20"/>
          <w:szCs w:val="20"/>
        </w:rPr>
        <w:t xml:space="preserve"> the Public Advocate must, if the tribunal so directs for the purpose of the Part, investigate the affairs of a person (a) who is subject to an application for an order under the Part, or (b) who has had an advanced care directive revok</w:t>
      </w:r>
      <w:r>
        <w:rPr>
          <w:rFonts w:ascii="Arial" w:hAnsi="Arial" w:cs="Arial"/>
          <w:sz w:val="20"/>
          <w:szCs w:val="20"/>
        </w:rPr>
        <w:t xml:space="preserve">ed by the Tribunal under the </w:t>
      </w:r>
      <w:r w:rsidRPr="004D599D">
        <w:rPr>
          <w:rFonts w:ascii="Arial" w:hAnsi="Arial" w:cs="Arial"/>
          <w:i/>
          <w:sz w:val="20"/>
          <w:szCs w:val="20"/>
        </w:rPr>
        <w:t>Advance Care Directives Act 2013 (SA).</w:t>
      </w:r>
    </w:p>
    <w:p w:rsidR="00025C4B" w:rsidRPr="00071D0D" w:rsidRDefault="00025C4B" w:rsidP="009D15C4">
      <w:pPr>
        <w:pStyle w:val="FootnoteText"/>
        <w:rPr>
          <w:rFonts w:ascii="Arial" w:hAnsi="Arial" w:cs="Arial"/>
          <w:sz w:val="22"/>
          <w:szCs w:val="22"/>
        </w:rPr>
      </w:pPr>
    </w:p>
  </w:footnote>
  <w:footnote w:id="4">
    <w:p w:rsidR="00025C4B" w:rsidRPr="00071D0D" w:rsidRDefault="00025C4B">
      <w:pPr>
        <w:pStyle w:val="FootnoteText"/>
        <w:rPr>
          <w:rFonts w:ascii="Arial" w:hAnsi="Arial" w:cs="Arial"/>
        </w:rPr>
      </w:pPr>
      <w:r w:rsidRPr="00071D0D">
        <w:rPr>
          <w:rStyle w:val="FootnoteReference"/>
          <w:rFonts w:ascii="Arial" w:hAnsi="Arial" w:cs="Arial"/>
        </w:rPr>
        <w:footnoteRef/>
      </w:r>
      <w:r w:rsidRPr="00071D0D">
        <w:rPr>
          <w:rFonts w:ascii="Arial" w:hAnsi="Arial" w:cs="Arial"/>
        </w:rPr>
        <w:t xml:space="preserve"> Above, note 2</w:t>
      </w:r>
      <w:r>
        <w:rPr>
          <w:rFonts w:ascii="Arial" w:hAnsi="Arial" w:cs="Arial"/>
        </w:rPr>
        <w:t>,</w:t>
      </w:r>
      <w:r w:rsidRPr="00071D0D">
        <w:rPr>
          <w:rFonts w:ascii="Arial" w:hAnsi="Arial" w:cs="Arial"/>
        </w:rPr>
        <w:t xml:space="preserve"> at pages 14, 26, 46 and 68.</w:t>
      </w:r>
    </w:p>
  </w:footnote>
  <w:footnote w:id="5">
    <w:p w:rsidR="00025C4B" w:rsidRDefault="00025C4B">
      <w:pPr>
        <w:pStyle w:val="FootnoteText"/>
      </w:pPr>
      <w:r>
        <w:rPr>
          <w:rStyle w:val="FootnoteReference"/>
        </w:rPr>
        <w:footnoteRef/>
      </w:r>
      <w:r>
        <w:t xml:space="preserve"> </w:t>
      </w:r>
      <w:r w:rsidRPr="00661CE1">
        <w:rPr>
          <w:rFonts w:ascii="Arial" w:hAnsi="Arial" w:cs="Arial"/>
        </w:rPr>
        <w:t>Above, note 2, at page 27.</w:t>
      </w:r>
    </w:p>
  </w:footnote>
  <w:footnote w:id="6">
    <w:p w:rsidR="00025C4B" w:rsidRPr="00071D0D" w:rsidRDefault="00025C4B">
      <w:pPr>
        <w:pStyle w:val="FootnoteText"/>
        <w:rPr>
          <w:rFonts w:ascii="Arial" w:hAnsi="Arial" w:cs="Arial"/>
        </w:rPr>
      </w:pPr>
      <w:r w:rsidRPr="00071D0D">
        <w:rPr>
          <w:rStyle w:val="FootnoteReference"/>
          <w:rFonts w:ascii="Arial" w:hAnsi="Arial" w:cs="Arial"/>
        </w:rPr>
        <w:footnoteRef/>
      </w:r>
      <w:r w:rsidRPr="00071D0D">
        <w:rPr>
          <w:rFonts w:ascii="Arial" w:hAnsi="Arial" w:cs="Arial"/>
        </w:rPr>
        <w:t xml:space="preserve"> Above, note 2, at page 26.</w:t>
      </w:r>
    </w:p>
  </w:footnote>
  <w:footnote w:id="7">
    <w:p w:rsidR="00025C4B" w:rsidRDefault="00025C4B">
      <w:pPr>
        <w:pStyle w:val="FootnoteText"/>
      </w:pPr>
      <w:r w:rsidRPr="00071D0D">
        <w:rPr>
          <w:rStyle w:val="FootnoteReference"/>
          <w:rFonts w:ascii="Arial" w:hAnsi="Arial" w:cs="Arial"/>
        </w:rPr>
        <w:footnoteRef/>
      </w:r>
      <w:r w:rsidRPr="00071D0D">
        <w:rPr>
          <w:rFonts w:ascii="Arial" w:hAnsi="Arial" w:cs="Arial"/>
        </w:rPr>
        <w:t xml:space="preserve"> Australian Law Reform Commission, </w:t>
      </w:r>
      <w:r w:rsidRPr="00071D0D">
        <w:rPr>
          <w:rFonts w:ascii="Arial" w:hAnsi="Arial" w:cs="Arial"/>
          <w:i/>
        </w:rPr>
        <w:t>Elder Abuse Discussion Paper 83</w:t>
      </w:r>
      <w:r w:rsidRPr="00071D0D">
        <w:rPr>
          <w:rFonts w:ascii="Arial" w:hAnsi="Arial" w:cs="Arial"/>
        </w:rPr>
        <w:t>, December 2016 at pages 62-63.</w:t>
      </w:r>
    </w:p>
  </w:footnote>
  <w:footnote w:id="8">
    <w:p w:rsidR="00A816A3" w:rsidRPr="00A816A3" w:rsidRDefault="00A816A3">
      <w:pPr>
        <w:pStyle w:val="FootnoteText"/>
        <w:rPr>
          <w:lang w:val="en-GB"/>
        </w:rPr>
      </w:pPr>
      <w:r>
        <w:rPr>
          <w:rStyle w:val="FootnoteReference"/>
        </w:rPr>
        <w:footnoteRef/>
      </w:r>
      <w:r>
        <w:t xml:space="preserve"> </w:t>
      </w:r>
      <w:r>
        <w:rPr>
          <w:lang w:val="en-GB"/>
        </w:rPr>
        <w:t>Above, note 7, at pages 33 and 83.</w:t>
      </w:r>
    </w:p>
  </w:footnote>
  <w:footnote w:id="9">
    <w:p w:rsidR="00025C4B" w:rsidRPr="00071D0D" w:rsidRDefault="00025C4B">
      <w:pPr>
        <w:pStyle w:val="FootnoteText"/>
        <w:rPr>
          <w:rFonts w:ascii="Arial" w:hAnsi="Arial" w:cs="Arial"/>
        </w:rPr>
      </w:pPr>
      <w:r w:rsidRPr="00071D0D">
        <w:rPr>
          <w:rStyle w:val="FootnoteReference"/>
          <w:rFonts w:ascii="Arial" w:hAnsi="Arial" w:cs="Arial"/>
        </w:rPr>
        <w:footnoteRef/>
      </w:r>
      <w:r w:rsidRPr="00071D0D">
        <w:rPr>
          <w:rFonts w:ascii="Arial" w:hAnsi="Arial" w:cs="Arial"/>
        </w:rPr>
        <w:t xml:space="preserve"> Victorian Law Reform Commission, 2012, </w:t>
      </w:r>
      <w:r w:rsidRPr="00071D0D">
        <w:rPr>
          <w:rFonts w:ascii="Arial" w:hAnsi="Arial" w:cs="Arial"/>
          <w:i/>
        </w:rPr>
        <w:t>Guardianship Final Report 24</w:t>
      </w:r>
      <w:r w:rsidRPr="00071D0D">
        <w:rPr>
          <w:rFonts w:ascii="Arial" w:hAnsi="Arial" w:cs="Arial"/>
        </w:rPr>
        <w:t>, recommendation 331.</w:t>
      </w:r>
    </w:p>
  </w:footnote>
  <w:footnote w:id="10">
    <w:p w:rsidR="00025C4B" w:rsidRDefault="00025C4B">
      <w:pPr>
        <w:pStyle w:val="FootnoteText"/>
      </w:pPr>
      <w:r w:rsidRPr="00071D0D">
        <w:rPr>
          <w:rStyle w:val="FootnoteReference"/>
          <w:rFonts w:ascii="Arial" w:hAnsi="Arial" w:cs="Arial"/>
        </w:rPr>
        <w:footnoteRef/>
      </w:r>
      <w:r>
        <w:rPr>
          <w:rFonts w:ascii="Arial" w:hAnsi="Arial" w:cs="Arial"/>
        </w:rPr>
        <w:t>Above, note 7</w:t>
      </w:r>
      <w:r w:rsidRPr="00071D0D">
        <w:rPr>
          <w:rFonts w:ascii="Arial" w:hAnsi="Arial" w:cs="Arial"/>
        </w:rPr>
        <w:t>, at page 72.</w:t>
      </w:r>
    </w:p>
  </w:footnote>
  <w:footnote w:id="11">
    <w:p w:rsidR="00025C4B" w:rsidRDefault="00025C4B" w:rsidP="004777E5">
      <w:pPr>
        <w:pStyle w:val="FootnoteText"/>
        <w:rPr>
          <w:rFonts w:ascii="Arial" w:hAnsi="Arial" w:cs="Arial"/>
        </w:rPr>
      </w:pPr>
      <w:r w:rsidRPr="00661CE1">
        <w:rPr>
          <w:rStyle w:val="FootnoteReference"/>
          <w:rFonts w:ascii="Arial" w:hAnsi="Arial" w:cs="Arial"/>
        </w:rPr>
        <w:footnoteRef/>
      </w:r>
      <w:r w:rsidRPr="00661CE1">
        <w:rPr>
          <w:rFonts w:ascii="Arial" w:hAnsi="Arial" w:cs="Arial"/>
        </w:rPr>
        <w:t xml:space="preserve"> See: </w:t>
      </w:r>
    </w:p>
    <w:p w:rsidR="00025C4B" w:rsidRDefault="00025C4B" w:rsidP="004777E5">
      <w:pPr>
        <w:pStyle w:val="FootnoteText"/>
        <w:rPr>
          <w:rFonts w:ascii="Arial" w:hAnsi="Arial" w:cs="Arial"/>
        </w:rPr>
      </w:pPr>
      <w:r w:rsidRPr="00661CE1">
        <w:rPr>
          <w:rFonts w:ascii="Arial" w:hAnsi="Arial" w:cs="Arial"/>
          <w:i/>
        </w:rPr>
        <w:t>Statutes Amendment (Vulnerable Witnesses) Act 2015 (SA)</w:t>
      </w:r>
      <w:r w:rsidRPr="00661CE1">
        <w:rPr>
          <w:rFonts w:ascii="Arial" w:hAnsi="Arial" w:cs="Arial"/>
        </w:rPr>
        <w:t xml:space="preserve">: </w:t>
      </w:r>
      <w:hyperlink r:id="rId1" w:history="1">
        <w:r w:rsidRPr="007008D7">
          <w:rPr>
            <w:rStyle w:val="Hyperlink"/>
            <w:rFonts w:ascii="Arial" w:hAnsi="Arial" w:cs="Arial"/>
          </w:rPr>
          <w:t>https://www.legislation.sa.gov.au/LZ/V/A/2015/Statutes%20Amendment%20(Vulnerable%20Witnesses)%20Act%202015_16.aspx</w:t>
        </w:r>
      </w:hyperlink>
    </w:p>
    <w:p w:rsidR="00025C4B" w:rsidRDefault="00025C4B" w:rsidP="004777E5">
      <w:pPr>
        <w:pStyle w:val="FootnoteText"/>
        <w:rPr>
          <w:rFonts w:ascii="Arial" w:hAnsi="Arial" w:cs="Arial"/>
        </w:rPr>
      </w:pPr>
    </w:p>
    <w:p w:rsidR="00025C4B" w:rsidRDefault="00025C4B" w:rsidP="004777E5">
      <w:pPr>
        <w:pStyle w:val="FootnoteText"/>
        <w:rPr>
          <w:rFonts w:ascii="Arial" w:hAnsi="Arial" w:cs="Arial"/>
        </w:rPr>
      </w:pPr>
      <w:r w:rsidRPr="00661CE1">
        <w:rPr>
          <w:rFonts w:ascii="Arial" w:hAnsi="Arial" w:cs="Arial"/>
        </w:rPr>
        <w:t xml:space="preserve">Hansard Record, The Honourable John Rau, Deputy-Premier, Second Reading Speech, Statutes Amendment (Vulnerable Witnesses) Bill, 6 May 2015: </w:t>
      </w:r>
      <w:hyperlink r:id="rId2" w:anchor="/docid/HANSARD-11-19527" w:history="1">
        <w:r w:rsidRPr="007008D7">
          <w:rPr>
            <w:rStyle w:val="Hyperlink"/>
            <w:rFonts w:ascii="Arial" w:hAnsi="Arial" w:cs="Arial"/>
          </w:rPr>
          <w:t>http://hansardpublic.parliament.sa.gov.au/Pages/HansardResult.aspx#/docid/HANSARD-11-19527</w:t>
        </w:r>
      </w:hyperlink>
    </w:p>
    <w:p w:rsidR="00025C4B" w:rsidRDefault="00025C4B" w:rsidP="004777E5">
      <w:pPr>
        <w:pStyle w:val="FootnoteText"/>
        <w:rPr>
          <w:rFonts w:ascii="Arial" w:hAnsi="Arial" w:cs="Arial"/>
        </w:rPr>
      </w:pPr>
    </w:p>
    <w:p w:rsidR="00025C4B" w:rsidRDefault="00025C4B" w:rsidP="004777E5">
      <w:pPr>
        <w:pStyle w:val="FootnoteText"/>
        <w:rPr>
          <w:rFonts w:ascii="Arial" w:hAnsi="Arial" w:cs="Arial"/>
        </w:rPr>
      </w:pPr>
      <w:r w:rsidRPr="00F057B9">
        <w:rPr>
          <w:rFonts w:ascii="Arial" w:hAnsi="Arial" w:cs="Arial"/>
        </w:rPr>
        <w:t xml:space="preserve">Attorney-General’s Department, South Australia, Disability Justice Plan: </w:t>
      </w:r>
      <w:hyperlink r:id="rId3" w:history="1">
        <w:r w:rsidRPr="00F057B9">
          <w:rPr>
            <w:rStyle w:val="Hyperlink"/>
            <w:rFonts w:ascii="Arial" w:hAnsi="Arial" w:cs="Arial"/>
          </w:rPr>
          <w:t>http://www.agd.sa.gov.au/sites/agd.sa.gov.au/files/documents/Initiatives%20Announcements%20and%20News/DJP/Disability%20Justice%20Plan%20WEB.pdf</w:t>
        </w:r>
      </w:hyperlink>
    </w:p>
    <w:p w:rsidR="00025C4B" w:rsidRDefault="00025C4B" w:rsidP="004777E5">
      <w:pPr>
        <w:pStyle w:val="FootnoteText"/>
        <w:rPr>
          <w:rFonts w:ascii="Arial" w:hAnsi="Arial" w:cs="Arial"/>
        </w:rPr>
      </w:pPr>
    </w:p>
    <w:p w:rsidR="00025C4B" w:rsidRPr="00661CE1" w:rsidRDefault="00025C4B" w:rsidP="004777E5">
      <w:pPr>
        <w:pStyle w:val="FootnoteText"/>
        <w:rPr>
          <w:rFonts w:ascii="Arial" w:hAnsi="Arial" w:cs="Arial"/>
        </w:rPr>
      </w:pPr>
    </w:p>
    <w:p w:rsidR="00025C4B" w:rsidRDefault="00025C4B" w:rsidP="004777E5">
      <w:pPr>
        <w:pStyle w:val="FootnoteText"/>
      </w:pPr>
    </w:p>
  </w:footnote>
  <w:footnote w:id="12">
    <w:p w:rsidR="00025C4B" w:rsidRDefault="00025C4B">
      <w:pPr>
        <w:pStyle w:val="FootnoteText"/>
      </w:pPr>
      <w:r>
        <w:rPr>
          <w:rStyle w:val="FootnoteReference"/>
        </w:rPr>
        <w:footnoteRef/>
      </w:r>
      <w:r>
        <w:t xml:space="preserve"> Above, note 1, at page 6.</w:t>
      </w:r>
    </w:p>
  </w:footnote>
  <w:footnote w:id="13">
    <w:p w:rsidR="00025C4B" w:rsidRDefault="00025C4B">
      <w:pPr>
        <w:pStyle w:val="FootnoteText"/>
      </w:pPr>
      <w:r>
        <w:rPr>
          <w:rStyle w:val="FootnoteReference"/>
        </w:rPr>
        <w:footnoteRef/>
      </w:r>
      <w:r>
        <w:t xml:space="preserve"> Above, note 7, at page 102.</w:t>
      </w:r>
    </w:p>
  </w:footnote>
  <w:footnote w:id="14">
    <w:p w:rsidR="00025C4B" w:rsidRPr="00701FC0" w:rsidRDefault="00025C4B">
      <w:pPr>
        <w:pStyle w:val="FootnoteText"/>
        <w:rPr>
          <w:lang w:val="en-GB"/>
        </w:rPr>
      </w:pPr>
      <w:r>
        <w:rPr>
          <w:rStyle w:val="FootnoteReference"/>
        </w:rPr>
        <w:footnoteRef/>
      </w:r>
      <w:r>
        <w:t xml:space="preserve"> </w:t>
      </w:r>
      <w:r>
        <w:rPr>
          <w:lang w:val="en-GB"/>
        </w:rPr>
        <w:t xml:space="preserve">See, for example, section 5 of the </w:t>
      </w:r>
      <w:r w:rsidRPr="00701FC0">
        <w:rPr>
          <w:i/>
          <w:lang w:val="en-GB"/>
        </w:rPr>
        <w:t>Guardianship and Administration Act 1993</w:t>
      </w:r>
      <w:r>
        <w:rPr>
          <w:lang w:val="en-GB"/>
        </w:rPr>
        <w:t xml:space="preserve"> </w:t>
      </w:r>
      <w:r w:rsidRPr="00701FC0">
        <w:rPr>
          <w:i/>
          <w:lang w:val="en-GB"/>
        </w:rPr>
        <w:t>(SA)</w:t>
      </w:r>
      <w:r>
        <w:rPr>
          <w:lang w:val="en-GB"/>
        </w:rPr>
        <w:t xml:space="preserve"> and sections 10 (particularly s 10(g)) and 35 of the </w:t>
      </w:r>
      <w:r w:rsidRPr="00701FC0">
        <w:rPr>
          <w:i/>
          <w:lang w:val="en-GB"/>
        </w:rPr>
        <w:t>Advance Care Directives Act 2013 (SA)</w:t>
      </w:r>
      <w:r>
        <w:rPr>
          <w:lang w:val="en-GB"/>
        </w:rPr>
        <w:t>.</w:t>
      </w:r>
    </w:p>
  </w:footnote>
  <w:footnote w:id="15">
    <w:p w:rsidR="00025C4B" w:rsidRPr="00661CE1" w:rsidRDefault="00025C4B" w:rsidP="006D2AB8">
      <w:pPr>
        <w:autoSpaceDE w:val="0"/>
        <w:autoSpaceDN w:val="0"/>
        <w:adjustRightInd w:val="0"/>
        <w:spacing w:after="0" w:line="240" w:lineRule="auto"/>
        <w:rPr>
          <w:rFonts w:ascii="Arial" w:hAnsi="Arial" w:cs="Arial"/>
          <w:sz w:val="20"/>
          <w:szCs w:val="20"/>
        </w:rPr>
      </w:pPr>
      <w:r w:rsidRPr="00661CE1">
        <w:rPr>
          <w:rStyle w:val="FootnoteReference"/>
          <w:rFonts w:ascii="Arial" w:hAnsi="Arial" w:cs="Arial"/>
          <w:sz w:val="20"/>
          <w:szCs w:val="20"/>
        </w:rPr>
        <w:footnoteRef/>
      </w:r>
      <w:r w:rsidRPr="00661CE1">
        <w:rPr>
          <w:rFonts w:ascii="Arial" w:hAnsi="Arial" w:cs="Arial"/>
          <w:sz w:val="20"/>
          <w:szCs w:val="20"/>
        </w:rPr>
        <w:t xml:space="preserve"> </w:t>
      </w:r>
      <w:r>
        <w:rPr>
          <w:rFonts w:ascii="Arial" w:hAnsi="Arial" w:cs="Arial"/>
          <w:sz w:val="20"/>
          <w:szCs w:val="20"/>
        </w:rPr>
        <w:t>Above, note 7</w:t>
      </w:r>
      <w:r w:rsidRPr="00661CE1">
        <w:rPr>
          <w:rFonts w:ascii="Arial" w:hAnsi="Arial" w:cs="Arial"/>
          <w:sz w:val="20"/>
          <w:szCs w:val="20"/>
        </w:rPr>
        <w:t xml:space="preserve">, at pages 110-111.  Namely: </w:t>
      </w:r>
    </w:p>
    <w:p w:rsidR="00025C4B" w:rsidRPr="00661CE1" w:rsidRDefault="00025C4B" w:rsidP="00142A5D">
      <w:pPr>
        <w:autoSpaceDE w:val="0"/>
        <w:autoSpaceDN w:val="0"/>
        <w:adjustRightInd w:val="0"/>
        <w:rPr>
          <w:rFonts w:ascii="Arial" w:hAnsi="Arial" w:cs="Arial"/>
          <w:sz w:val="20"/>
          <w:szCs w:val="20"/>
        </w:rPr>
      </w:pPr>
      <w:r w:rsidRPr="00661CE1">
        <w:rPr>
          <w:rFonts w:ascii="Arial" w:hAnsi="Arial" w:cs="Arial"/>
          <w:sz w:val="20"/>
          <w:szCs w:val="20"/>
        </w:rPr>
        <w:t>-All adults must be presumed to have ability to make decisions that affect their lives.</w:t>
      </w:r>
    </w:p>
    <w:p w:rsidR="00025C4B" w:rsidRPr="00661CE1" w:rsidRDefault="00025C4B" w:rsidP="00142A5D">
      <w:pPr>
        <w:autoSpaceDE w:val="0"/>
        <w:autoSpaceDN w:val="0"/>
        <w:adjustRightInd w:val="0"/>
        <w:rPr>
          <w:rFonts w:ascii="Arial" w:hAnsi="Arial" w:cs="Arial"/>
          <w:sz w:val="20"/>
          <w:szCs w:val="20"/>
        </w:rPr>
      </w:pPr>
      <w:r w:rsidRPr="00661CE1">
        <w:rPr>
          <w:rFonts w:ascii="Arial" w:hAnsi="Arial" w:cs="Arial"/>
          <w:sz w:val="20"/>
          <w:szCs w:val="20"/>
        </w:rPr>
        <w:t>- A person must not be assumed to lack decision-making ability on the basis of having a disability.</w:t>
      </w:r>
    </w:p>
    <w:p w:rsidR="00025C4B" w:rsidRPr="00661CE1" w:rsidRDefault="00025C4B" w:rsidP="00142A5D">
      <w:pPr>
        <w:autoSpaceDE w:val="0"/>
        <w:autoSpaceDN w:val="0"/>
        <w:adjustRightInd w:val="0"/>
        <w:rPr>
          <w:rFonts w:ascii="Arial" w:hAnsi="Arial" w:cs="Arial"/>
          <w:sz w:val="20"/>
          <w:szCs w:val="20"/>
        </w:rPr>
      </w:pPr>
      <w:r w:rsidRPr="00661CE1">
        <w:rPr>
          <w:rFonts w:ascii="Arial" w:hAnsi="Arial" w:cs="Arial"/>
          <w:sz w:val="20"/>
          <w:szCs w:val="20"/>
        </w:rPr>
        <w:t>- A person’s decision-making ability must be considered in the context of available supports.</w:t>
      </w:r>
    </w:p>
    <w:p w:rsidR="00025C4B" w:rsidRDefault="00025C4B" w:rsidP="00142A5D">
      <w:pPr>
        <w:autoSpaceDE w:val="0"/>
        <w:autoSpaceDN w:val="0"/>
        <w:adjustRightInd w:val="0"/>
        <w:spacing w:after="0" w:line="240" w:lineRule="auto"/>
        <w:rPr>
          <w:rFonts w:ascii="Arial" w:hAnsi="Arial" w:cs="Arial"/>
          <w:sz w:val="20"/>
          <w:szCs w:val="20"/>
        </w:rPr>
      </w:pPr>
      <w:r w:rsidRPr="00661CE1">
        <w:rPr>
          <w:rFonts w:ascii="Arial" w:hAnsi="Arial" w:cs="Arial"/>
          <w:sz w:val="20"/>
          <w:szCs w:val="20"/>
        </w:rPr>
        <w:t>- A person’s decision-making ability is to be assessed, not the outcome of the decision they want to make.</w:t>
      </w:r>
    </w:p>
    <w:p w:rsidR="00025C4B" w:rsidRPr="00661CE1" w:rsidRDefault="00025C4B" w:rsidP="00142A5D">
      <w:pPr>
        <w:autoSpaceDE w:val="0"/>
        <w:autoSpaceDN w:val="0"/>
        <w:adjustRightInd w:val="0"/>
        <w:spacing w:after="0" w:line="240" w:lineRule="auto"/>
        <w:rPr>
          <w:rFonts w:ascii="Arial" w:hAnsi="Arial" w:cs="Arial"/>
          <w:sz w:val="20"/>
          <w:szCs w:val="20"/>
        </w:rPr>
      </w:pPr>
    </w:p>
    <w:p w:rsidR="00025C4B" w:rsidRDefault="00025C4B" w:rsidP="00142A5D">
      <w:pPr>
        <w:autoSpaceDE w:val="0"/>
        <w:autoSpaceDN w:val="0"/>
        <w:adjustRightInd w:val="0"/>
        <w:spacing w:after="0" w:line="240" w:lineRule="auto"/>
        <w:rPr>
          <w:rFonts w:ascii="Arial" w:hAnsi="Arial" w:cs="Arial"/>
          <w:sz w:val="20"/>
          <w:szCs w:val="20"/>
        </w:rPr>
      </w:pPr>
      <w:r w:rsidRPr="00661CE1">
        <w:rPr>
          <w:rFonts w:ascii="Arial" w:hAnsi="Arial" w:cs="Arial"/>
          <w:sz w:val="20"/>
          <w:szCs w:val="20"/>
        </w:rPr>
        <w:t>- A person’s decision-making ability will depend on the kind of decisions to be made.</w:t>
      </w:r>
    </w:p>
    <w:p w:rsidR="00025C4B" w:rsidRPr="00661CE1" w:rsidRDefault="00025C4B" w:rsidP="00142A5D">
      <w:pPr>
        <w:autoSpaceDE w:val="0"/>
        <w:autoSpaceDN w:val="0"/>
        <w:adjustRightInd w:val="0"/>
        <w:spacing w:after="0" w:line="240" w:lineRule="auto"/>
        <w:rPr>
          <w:rFonts w:ascii="Arial" w:hAnsi="Arial" w:cs="Arial"/>
          <w:sz w:val="20"/>
          <w:szCs w:val="20"/>
        </w:rPr>
      </w:pPr>
    </w:p>
    <w:p w:rsidR="00025C4B" w:rsidRPr="00661CE1" w:rsidRDefault="00025C4B" w:rsidP="00142A5D">
      <w:pPr>
        <w:autoSpaceDE w:val="0"/>
        <w:autoSpaceDN w:val="0"/>
        <w:adjustRightInd w:val="0"/>
        <w:spacing w:after="0" w:line="240" w:lineRule="auto"/>
        <w:rPr>
          <w:rFonts w:ascii="Arial" w:hAnsi="Arial" w:cs="Arial"/>
          <w:sz w:val="20"/>
          <w:szCs w:val="20"/>
        </w:rPr>
      </w:pPr>
      <w:r w:rsidRPr="00661CE1">
        <w:rPr>
          <w:rFonts w:ascii="Arial" w:eastAsia="SymbolMT" w:hAnsi="Arial" w:cs="Arial"/>
          <w:sz w:val="20"/>
          <w:szCs w:val="20"/>
        </w:rPr>
        <w:t xml:space="preserve">- </w:t>
      </w:r>
      <w:r w:rsidRPr="00661CE1">
        <w:rPr>
          <w:rFonts w:ascii="Arial" w:hAnsi="Arial" w:cs="Arial"/>
          <w:sz w:val="20"/>
          <w:szCs w:val="20"/>
        </w:rPr>
        <w:t>A person’s decision-making ability may evolve or fluctuate over time.</w:t>
      </w:r>
    </w:p>
    <w:p w:rsidR="00025C4B" w:rsidRPr="00661CE1" w:rsidRDefault="00025C4B" w:rsidP="00142A5D">
      <w:pPr>
        <w:autoSpaceDE w:val="0"/>
        <w:autoSpaceDN w:val="0"/>
        <w:adjustRightInd w:val="0"/>
        <w:spacing w:after="0" w:line="240" w:lineRule="auto"/>
        <w:rPr>
          <w:rFonts w:ascii="Arial" w:hAnsi="Arial" w:cs="Arial"/>
          <w:sz w:val="20"/>
          <w:szCs w:val="20"/>
        </w:rPr>
      </w:pPr>
    </w:p>
  </w:footnote>
  <w:footnote w:id="16">
    <w:p w:rsidR="00025C4B" w:rsidRPr="00661CE1" w:rsidRDefault="00025C4B">
      <w:pPr>
        <w:pStyle w:val="FootnoteText"/>
        <w:rPr>
          <w:rFonts w:ascii="Arial" w:hAnsi="Arial" w:cs="Arial"/>
        </w:rPr>
      </w:pPr>
      <w:r w:rsidRPr="00661CE1">
        <w:rPr>
          <w:rStyle w:val="FootnoteReference"/>
          <w:rFonts w:ascii="Arial" w:hAnsi="Arial" w:cs="Arial"/>
        </w:rPr>
        <w:footnoteRef/>
      </w:r>
      <w:r w:rsidRPr="00661CE1">
        <w:rPr>
          <w:rFonts w:ascii="Arial" w:hAnsi="Arial" w:cs="Arial"/>
        </w:rPr>
        <w:t xml:space="preserve"> An example is the provisions of s4(6) of the </w:t>
      </w:r>
      <w:r w:rsidRPr="00661CE1">
        <w:rPr>
          <w:rFonts w:ascii="Arial" w:hAnsi="Arial" w:cs="Arial"/>
          <w:i/>
        </w:rPr>
        <w:t>Mental Capacity Act 2005 (England)</w:t>
      </w:r>
      <w:r w:rsidRPr="00661CE1">
        <w:rPr>
          <w:rFonts w:ascii="Arial" w:hAnsi="Arial" w:cs="Arial"/>
        </w:rPr>
        <w:t>, in which past and present wishes, values and beliefs must be taken into account in determining what is in the best interests of a person who lacks mental capacity to make a specific decision.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320"/>
    <w:multiLevelType w:val="hybridMultilevel"/>
    <w:tmpl w:val="EF006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B05FC8"/>
    <w:multiLevelType w:val="hybridMultilevel"/>
    <w:tmpl w:val="9C56F8AE"/>
    <w:lvl w:ilvl="0" w:tplc="8618E4E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EEA6607"/>
    <w:multiLevelType w:val="hybridMultilevel"/>
    <w:tmpl w:val="B80C14A0"/>
    <w:lvl w:ilvl="0" w:tplc="9D541E0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0AF29BF"/>
    <w:multiLevelType w:val="hybridMultilevel"/>
    <w:tmpl w:val="7C2875D4"/>
    <w:lvl w:ilvl="0" w:tplc="57CA3C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2765F61"/>
    <w:multiLevelType w:val="hybridMultilevel"/>
    <w:tmpl w:val="B6021A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28D4FF3"/>
    <w:multiLevelType w:val="hybridMultilevel"/>
    <w:tmpl w:val="98C2C70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9284463"/>
    <w:multiLevelType w:val="hybridMultilevel"/>
    <w:tmpl w:val="BD68B9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6BD55F6"/>
    <w:multiLevelType w:val="hybridMultilevel"/>
    <w:tmpl w:val="1BEA4AB2"/>
    <w:lvl w:ilvl="0" w:tplc="50F09218">
      <w:start w:val="1"/>
      <w:numFmt w:val="bullet"/>
      <w:lvlRestart w:val="0"/>
      <w:lvlText w:val=""/>
      <w:lvlJc w:val="left"/>
      <w:pPr>
        <w:tabs>
          <w:tab w:val="num" w:pos="625"/>
        </w:tabs>
        <w:ind w:left="625" w:hanging="567"/>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8">
    <w:nsid w:val="289629C4"/>
    <w:multiLevelType w:val="hybridMultilevel"/>
    <w:tmpl w:val="F842B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ADD2E3E"/>
    <w:multiLevelType w:val="hybridMultilevel"/>
    <w:tmpl w:val="98C2C70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BD13E77"/>
    <w:multiLevelType w:val="hybridMultilevel"/>
    <w:tmpl w:val="D7B2642C"/>
    <w:lvl w:ilvl="0" w:tplc="487AC90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BE0783A"/>
    <w:multiLevelType w:val="hybridMultilevel"/>
    <w:tmpl w:val="8FD66ADA"/>
    <w:lvl w:ilvl="0" w:tplc="FCD28B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D3202FE"/>
    <w:multiLevelType w:val="hybridMultilevel"/>
    <w:tmpl w:val="15C0DD50"/>
    <w:lvl w:ilvl="0" w:tplc="5FFA774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3AC2777A"/>
    <w:multiLevelType w:val="hybridMultilevel"/>
    <w:tmpl w:val="87AC4A6E"/>
    <w:lvl w:ilvl="0" w:tplc="0B28505E">
      <w:start w:val="1"/>
      <w:numFmt w:val="bullet"/>
      <w:lvlRestart w:val="0"/>
      <w:lvlText w:val=""/>
      <w:lvlJc w:val="left"/>
      <w:pPr>
        <w:tabs>
          <w:tab w:val="num" w:pos="625"/>
        </w:tabs>
        <w:ind w:left="625" w:hanging="567"/>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4">
    <w:nsid w:val="3B4A58CA"/>
    <w:multiLevelType w:val="hybridMultilevel"/>
    <w:tmpl w:val="5CCA2536"/>
    <w:lvl w:ilvl="0" w:tplc="03C280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0AC50D6"/>
    <w:multiLevelType w:val="hybridMultilevel"/>
    <w:tmpl w:val="1D1058C4"/>
    <w:lvl w:ilvl="0" w:tplc="216EE06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2F45D65"/>
    <w:multiLevelType w:val="hybridMultilevel"/>
    <w:tmpl w:val="78108EDC"/>
    <w:lvl w:ilvl="0" w:tplc="14822C4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48466A52"/>
    <w:multiLevelType w:val="hybridMultilevel"/>
    <w:tmpl w:val="0FEE8C12"/>
    <w:lvl w:ilvl="0" w:tplc="726AC086">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BCE542C"/>
    <w:multiLevelType w:val="hybridMultilevel"/>
    <w:tmpl w:val="E0C6BB40"/>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9">
    <w:nsid w:val="4F583802"/>
    <w:multiLevelType w:val="hybridMultilevel"/>
    <w:tmpl w:val="E9B67D38"/>
    <w:lvl w:ilvl="0" w:tplc="DE88C6AE">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5DB79BA"/>
    <w:multiLevelType w:val="hybridMultilevel"/>
    <w:tmpl w:val="08BEC25E"/>
    <w:lvl w:ilvl="0" w:tplc="5664BB2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56872E96"/>
    <w:multiLevelType w:val="hybridMultilevel"/>
    <w:tmpl w:val="0AEEAFA2"/>
    <w:lvl w:ilvl="0" w:tplc="070CCA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89628E7"/>
    <w:multiLevelType w:val="hybridMultilevel"/>
    <w:tmpl w:val="F43A05D4"/>
    <w:lvl w:ilvl="0" w:tplc="8C24D884">
      <w:start w:val="5"/>
      <w:numFmt w:val="bullet"/>
      <w:lvlText w:val="-"/>
      <w:lvlJc w:val="left"/>
      <w:pPr>
        <w:ind w:left="501" w:hanging="360"/>
      </w:pPr>
      <w:rPr>
        <w:rFonts w:ascii="Calibri" w:eastAsiaTheme="minorHAnsi" w:hAnsi="Calibri" w:cstheme="minorBidi"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23">
    <w:nsid w:val="75CB30FD"/>
    <w:multiLevelType w:val="hybridMultilevel"/>
    <w:tmpl w:val="07964AEE"/>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4">
    <w:nsid w:val="7A74063A"/>
    <w:multiLevelType w:val="hybridMultilevel"/>
    <w:tmpl w:val="98C2C70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C48301E"/>
    <w:multiLevelType w:val="hybridMultilevel"/>
    <w:tmpl w:val="3FC032FE"/>
    <w:lvl w:ilvl="0" w:tplc="1A5C9C4E">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4"/>
  </w:num>
  <w:num w:numId="4">
    <w:abstractNumId w:val="2"/>
  </w:num>
  <w:num w:numId="5">
    <w:abstractNumId w:val="1"/>
  </w:num>
  <w:num w:numId="6">
    <w:abstractNumId w:val="12"/>
  </w:num>
  <w:num w:numId="7">
    <w:abstractNumId w:val="18"/>
  </w:num>
  <w:num w:numId="8">
    <w:abstractNumId w:val="22"/>
  </w:num>
  <w:num w:numId="9">
    <w:abstractNumId w:val="20"/>
  </w:num>
  <w:num w:numId="10">
    <w:abstractNumId w:val="15"/>
  </w:num>
  <w:num w:numId="11">
    <w:abstractNumId w:val="21"/>
  </w:num>
  <w:num w:numId="12">
    <w:abstractNumId w:val="0"/>
  </w:num>
  <w:num w:numId="13">
    <w:abstractNumId w:val="16"/>
  </w:num>
  <w:num w:numId="14">
    <w:abstractNumId w:val="11"/>
  </w:num>
  <w:num w:numId="15">
    <w:abstractNumId w:val="3"/>
  </w:num>
  <w:num w:numId="16">
    <w:abstractNumId w:val="9"/>
  </w:num>
  <w:num w:numId="17">
    <w:abstractNumId w:val="4"/>
  </w:num>
  <w:num w:numId="18">
    <w:abstractNumId w:val="5"/>
  </w:num>
  <w:num w:numId="19">
    <w:abstractNumId w:val="24"/>
  </w:num>
  <w:num w:numId="20">
    <w:abstractNumId w:val="7"/>
  </w:num>
  <w:num w:numId="21">
    <w:abstractNumId w:val="6"/>
  </w:num>
  <w:num w:numId="22">
    <w:abstractNumId w:val="17"/>
  </w:num>
  <w:num w:numId="23">
    <w:abstractNumId w:val="25"/>
  </w:num>
  <w:num w:numId="24">
    <w:abstractNumId w:val="13"/>
  </w:num>
  <w:num w:numId="25">
    <w:abstractNumId w:val="19"/>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1"/>
    <w:footnote w:id="0"/>
  </w:footnotePr>
  <w:endnotePr>
    <w:endnote w:id="-1"/>
    <w:endnote w:id="0"/>
  </w:endnotePr>
  <w:compat/>
  <w:rsids>
    <w:rsidRoot w:val="004941EE"/>
    <w:rsid w:val="000062BF"/>
    <w:rsid w:val="0001008A"/>
    <w:rsid w:val="00025C4B"/>
    <w:rsid w:val="00037233"/>
    <w:rsid w:val="00042A73"/>
    <w:rsid w:val="00056E4A"/>
    <w:rsid w:val="00061F31"/>
    <w:rsid w:val="00071D0D"/>
    <w:rsid w:val="00075757"/>
    <w:rsid w:val="00087921"/>
    <w:rsid w:val="000A5DE9"/>
    <w:rsid w:val="000B02DD"/>
    <w:rsid w:val="000D21DA"/>
    <w:rsid w:val="000D6944"/>
    <w:rsid w:val="000F3ABD"/>
    <w:rsid w:val="001335F2"/>
    <w:rsid w:val="00142A5D"/>
    <w:rsid w:val="001561D7"/>
    <w:rsid w:val="001567B6"/>
    <w:rsid w:val="0016085C"/>
    <w:rsid w:val="0016459C"/>
    <w:rsid w:val="00177646"/>
    <w:rsid w:val="00183F7F"/>
    <w:rsid w:val="001A22E7"/>
    <w:rsid w:val="001C5F44"/>
    <w:rsid w:val="001D60C8"/>
    <w:rsid w:val="001E56B3"/>
    <w:rsid w:val="0020189B"/>
    <w:rsid w:val="002326A4"/>
    <w:rsid w:val="00245A89"/>
    <w:rsid w:val="0024752E"/>
    <w:rsid w:val="00253723"/>
    <w:rsid w:val="00285217"/>
    <w:rsid w:val="002B28B9"/>
    <w:rsid w:val="002B7F4D"/>
    <w:rsid w:val="002C1EDD"/>
    <w:rsid w:val="002D1D2D"/>
    <w:rsid w:val="002D65E8"/>
    <w:rsid w:val="003272D7"/>
    <w:rsid w:val="00351824"/>
    <w:rsid w:val="00351888"/>
    <w:rsid w:val="00364BE2"/>
    <w:rsid w:val="00371DF9"/>
    <w:rsid w:val="00387F23"/>
    <w:rsid w:val="0039740C"/>
    <w:rsid w:val="003A56C6"/>
    <w:rsid w:val="003A6045"/>
    <w:rsid w:val="003C5D3D"/>
    <w:rsid w:val="003D3CA1"/>
    <w:rsid w:val="003D74AF"/>
    <w:rsid w:val="003F53ED"/>
    <w:rsid w:val="004109C3"/>
    <w:rsid w:val="00413BDD"/>
    <w:rsid w:val="004408BA"/>
    <w:rsid w:val="004771C5"/>
    <w:rsid w:val="004777E5"/>
    <w:rsid w:val="004941EE"/>
    <w:rsid w:val="004A6C64"/>
    <w:rsid w:val="004B67DD"/>
    <w:rsid w:val="004D3C1D"/>
    <w:rsid w:val="004D599D"/>
    <w:rsid w:val="004E7CA9"/>
    <w:rsid w:val="004F3956"/>
    <w:rsid w:val="00507F0D"/>
    <w:rsid w:val="00517246"/>
    <w:rsid w:val="00517CD7"/>
    <w:rsid w:val="00524B9F"/>
    <w:rsid w:val="00545149"/>
    <w:rsid w:val="005601B4"/>
    <w:rsid w:val="00573704"/>
    <w:rsid w:val="005978ED"/>
    <w:rsid w:val="005A2120"/>
    <w:rsid w:val="005C787B"/>
    <w:rsid w:val="005E3C21"/>
    <w:rsid w:val="005F2FFF"/>
    <w:rsid w:val="005F6C2C"/>
    <w:rsid w:val="006057A6"/>
    <w:rsid w:val="00607423"/>
    <w:rsid w:val="00611CC2"/>
    <w:rsid w:val="0061277F"/>
    <w:rsid w:val="0063231D"/>
    <w:rsid w:val="00633D81"/>
    <w:rsid w:val="006362C5"/>
    <w:rsid w:val="00643B22"/>
    <w:rsid w:val="00652820"/>
    <w:rsid w:val="0065556B"/>
    <w:rsid w:val="006575BD"/>
    <w:rsid w:val="00661CE1"/>
    <w:rsid w:val="006628DF"/>
    <w:rsid w:val="00663945"/>
    <w:rsid w:val="006754D2"/>
    <w:rsid w:val="006917BB"/>
    <w:rsid w:val="00696F77"/>
    <w:rsid w:val="006B4D1D"/>
    <w:rsid w:val="006D2AB8"/>
    <w:rsid w:val="006F4358"/>
    <w:rsid w:val="006F73EE"/>
    <w:rsid w:val="00701FC0"/>
    <w:rsid w:val="00705271"/>
    <w:rsid w:val="00705C5B"/>
    <w:rsid w:val="00707178"/>
    <w:rsid w:val="00730B8A"/>
    <w:rsid w:val="00734084"/>
    <w:rsid w:val="007422B2"/>
    <w:rsid w:val="007519A0"/>
    <w:rsid w:val="00765EAE"/>
    <w:rsid w:val="0079043A"/>
    <w:rsid w:val="007A2344"/>
    <w:rsid w:val="007B113F"/>
    <w:rsid w:val="007D0451"/>
    <w:rsid w:val="00815148"/>
    <w:rsid w:val="00825214"/>
    <w:rsid w:val="00826892"/>
    <w:rsid w:val="008322F6"/>
    <w:rsid w:val="0084106F"/>
    <w:rsid w:val="008413D9"/>
    <w:rsid w:val="00856D19"/>
    <w:rsid w:val="00862692"/>
    <w:rsid w:val="008A62FD"/>
    <w:rsid w:val="008C35D6"/>
    <w:rsid w:val="008C655C"/>
    <w:rsid w:val="008D13E2"/>
    <w:rsid w:val="008F7B8C"/>
    <w:rsid w:val="00921443"/>
    <w:rsid w:val="00950370"/>
    <w:rsid w:val="00951E58"/>
    <w:rsid w:val="00952059"/>
    <w:rsid w:val="00960B1F"/>
    <w:rsid w:val="00961D49"/>
    <w:rsid w:val="00963007"/>
    <w:rsid w:val="00973EC4"/>
    <w:rsid w:val="0097640D"/>
    <w:rsid w:val="00991ED4"/>
    <w:rsid w:val="009A4C5B"/>
    <w:rsid w:val="009B3A9E"/>
    <w:rsid w:val="009B5BE6"/>
    <w:rsid w:val="009B72CD"/>
    <w:rsid w:val="009C59DE"/>
    <w:rsid w:val="009D15C4"/>
    <w:rsid w:val="009E2845"/>
    <w:rsid w:val="009E314A"/>
    <w:rsid w:val="009E4ACE"/>
    <w:rsid w:val="00A20A7B"/>
    <w:rsid w:val="00A52343"/>
    <w:rsid w:val="00A6095B"/>
    <w:rsid w:val="00A80C06"/>
    <w:rsid w:val="00A816A3"/>
    <w:rsid w:val="00A824C7"/>
    <w:rsid w:val="00A87CE2"/>
    <w:rsid w:val="00A87D95"/>
    <w:rsid w:val="00A90E23"/>
    <w:rsid w:val="00AC6B2C"/>
    <w:rsid w:val="00AD48C2"/>
    <w:rsid w:val="00AE61EA"/>
    <w:rsid w:val="00AF0FD3"/>
    <w:rsid w:val="00AF26C1"/>
    <w:rsid w:val="00B158C2"/>
    <w:rsid w:val="00B306EB"/>
    <w:rsid w:val="00B56F64"/>
    <w:rsid w:val="00B73EE9"/>
    <w:rsid w:val="00B840E4"/>
    <w:rsid w:val="00B85A87"/>
    <w:rsid w:val="00BA13D6"/>
    <w:rsid w:val="00BB2F6B"/>
    <w:rsid w:val="00BD7694"/>
    <w:rsid w:val="00C136AA"/>
    <w:rsid w:val="00C15A57"/>
    <w:rsid w:val="00C27D7B"/>
    <w:rsid w:val="00C43D78"/>
    <w:rsid w:val="00C500A1"/>
    <w:rsid w:val="00C57F50"/>
    <w:rsid w:val="00C60618"/>
    <w:rsid w:val="00C74F4C"/>
    <w:rsid w:val="00C7680F"/>
    <w:rsid w:val="00C818E3"/>
    <w:rsid w:val="00C91A9A"/>
    <w:rsid w:val="00C97B0A"/>
    <w:rsid w:val="00C97CA3"/>
    <w:rsid w:val="00CA4242"/>
    <w:rsid w:val="00CB45B4"/>
    <w:rsid w:val="00CB6F8A"/>
    <w:rsid w:val="00CC350D"/>
    <w:rsid w:val="00D23C45"/>
    <w:rsid w:val="00D27B2B"/>
    <w:rsid w:val="00D4325C"/>
    <w:rsid w:val="00D52013"/>
    <w:rsid w:val="00D6204A"/>
    <w:rsid w:val="00DA3109"/>
    <w:rsid w:val="00DA7C09"/>
    <w:rsid w:val="00DB33F0"/>
    <w:rsid w:val="00DC1B4F"/>
    <w:rsid w:val="00DE15C0"/>
    <w:rsid w:val="00E00182"/>
    <w:rsid w:val="00E06B20"/>
    <w:rsid w:val="00E07C27"/>
    <w:rsid w:val="00E24D91"/>
    <w:rsid w:val="00E31568"/>
    <w:rsid w:val="00E64835"/>
    <w:rsid w:val="00E6666A"/>
    <w:rsid w:val="00E706B5"/>
    <w:rsid w:val="00E91ACB"/>
    <w:rsid w:val="00E96228"/>
    <w:rsid w:val="00EB19DB"/>
    <w:rsid w:val="00EE09F4"/>
    <w:rsid w:val="00EE49FF"/>
    <w:rsid w:val="00F057B9"/>
    <w:rsid w:val="00F13219"/>
    <w:rsid w:val="00F357A9"/>
    <w:rsid w:val="00F377C6"/>
    <w:rsid w:val="00F464E0"/>
    <w:rsid w:val="00F51CE2"/>
    <w:rsid w:val="00F73408"/>
    <w:rsid w:val="00F7373C"/>
    <w:rsid w:val="00F83885"/>
    <w:rsid w:val="00FA6C0D"/>
    <w:rsid w:val="00FA7D5F"/>
    <w:rsid w:val="00FC629B"/>
    <w:rsid w:val="00FC6339"/>
    <w:rsid w:val="00FE0454"/>
    <w:rsid w:val="00FF57A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1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gds2">
    <w:name w:val="legds2"/>
    <w:basedOn w:val="DefaultParagraphFont"/>
    <w:rsid w:val="00C97CA3"/>
    <w:rPr>
      <w:vanish w:val="0"/>
      <w:webHidden w:val="0"/>
      <w:specVanish w:val="0"/>
    </w:rPr>
  </w:style>
  <w:style w:type="paragraph" w:styleId="Header">
    <w:name w:val="header"/>
    <w:basedOn w:val="Normal"/>
    <w:link w:val="HeaderChar"/>
    <w:uiPriority w:val="99"/>
    <w:unhideWhenUsed/>
    <w:rsid w:val="008413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3D9"/>
  </w:style>
  <w:style w:type="paragraph" w:styleId="Footer">
    <w:name w:val="footer"/>
    <w:basedOn w:val="Normal"/>
    <w:link w:val="FooterChar"/>
    <w:uiPriority w:val="99"/>
    <w:unhideWhenUsed/>
    <w:rsid w:val="008413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3D9"/>
  </w:style>
  <w:style w:type="paragraph" w:styleId="FootnoteText">
    <w:name w:val="footnote text"/>
    <w:basedOn w:val="Normal"/>
    <w:link w:val="FootnoteTextChar"/>
    <w:uiPriority w:val="99"/>
    <w:semiHidden/>
    <w:unhideWhenUsed/>
    <w:rsid w:val="003A60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6045"/>
    <w:rPr>
      <w:sz w:val="20"/>
      <w:szCs w:val="20"/>
    </w:rPr>
  </w:style>
  <w:style w:type="character" w:styleId="FootnoteReference">
    <w:name w:val="footnote reference"/>
    <w:basedOn w:val="DefaultParagraphFont"/>
    <w:uiPriority w:val="99"/>
    <w:semiHidden/>
    <w:unhideWhenUsed/>
    <w:rsid w:val="003A6045"/>
    <w:rPr>
      <w:vertAlign w:val="superscript"/>
    </w:rPr>
  </w:style>
  <w:style w:type="paragraph" w:styleId="ListParagraph">
    <w:name w:val="List Paragraph"/>
    <w:basedOn w:val="Normal"/>
    <w:uiPriority w:val="34"/>
    <w:qFormat/>
    <w:rsid w:val="003A6045"/>
    <w:pPr>
      <w:spacing w:after="0" w:line="240" w:lineRule="auto"/>
      <w:ind w:left="720"/>
      <w:contextualSpacing/>
    </w:pPr>
    <w:rPr>
      <w:sz w:val="24"/>
      <w:szCs w:val="24"/>
    </w:rPr>
  </w:style>
  <w:style w:type="character" w:customStyle="1" w:styleId="citationtext">
    <w:name w:val="citation_text"/>
    <w:basedOn w:val="DefaultParagraphFont"/>
    <w:rsid w:val="009C59DE"/>
  </w:style>
  <w:style w:type="character" w:styleId="Strong">
    <w:name w:val="Strong"/>
    <w:basedOn w:val="DefaultParagraphFont"/>
    <w:uiPriority w:val="22"/>
    <w:qFormat/>
    <w:rsid w:val="005F2FFF"/>
    <w:rPr>
      <w:b/>
      <w:bCs/>
    </w:rPr>
  </w:style>
  <w:style w:type="paragraph" w:customStyle="1" w:styleId="Default">
    <w:name w:val="Default"/>
    <w:rsid w:val="003D74A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561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3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408"/>
    <w:rPr>
      <w:rFonts w:ascii="Tahoma" w:hAnsi="Tahoma" w:cs="Tahoma"/>
      <w:sz w:val="16"/>
      <w:szCs w:val="16"/>
    </w:rPr>
  </w:style>
  <w:style w:type="character" w:styleId="CommentReference">
    <w:name w:val="annotation reference"/>
    <w:basedOn w:val="DefaultParagraphFont"/>
    <w:uiPriority w:val="99"/>
    <w:semiHidden/>
    <w:unhideWhenUsed/>
    <w:rsid w:val="00661CE1"/>
    <w:rPr>
      <w:sz w:val="16"/>
      <w:szCs w:val="16"/>
    </w:rPr>
  </w:style>
  <w:style w:type="paragraph" w:styleId="CommentText">
    <w:name w:val="annotation text"/>
    <w:basedOn w:val="Normal"/>
    <w:link w:val="CommentTextChar"/>
    <w:uiPriority w:val="99"/>
    <w:semiHidden/>
    <w:unhideWhenUsed/>
    <w:rsid w:val="00661CE1"/>
    <w:pPr>
      <w:spacing w:line="240" w:lineRule="auto"/>
    </w:pPr>
    <w:rPr>
      <w:sz w:val="20"/>
      <w:szCs w:val="20"/>
    </w:rPr>
  </w:style>
  <w:style w:type="character" w:customStyle="1" w:styleId="CommentTextChar">
    <w:name w:val="Comment Text Char"/>
    <w:basedOn w:val="DefaultParagraphFont"/>
    <w:link w:val="CommentText"/>
    <w:uiPriority w:val="99"/>
    <w:semiHidden/>
    <w:rsid w:val="00661CE1"/>
    <w:rPr>
      <w:sz w:val="20"/>
      <w:szCs w:val="20"/>
    </w:rPr>
  </w:style>
  <w:style w:type="paragraph" w:styleId="CommentSubject">
    <w:name w:val="annotation subject"/>
    <w:basedOn w:val="CommentText"/>
    <w:next w:val="CommentText"/>
    <w:link w:val="CommentSubjectChar"/>
    <w:uiPriority w:val="99"/>
    <w:semiHidden/>
    <w:unhideWhenUsed/>
    <w:rsid w:val="00661CE1"/>
    <w:rPr>
      <w:b/>
      <w:bCs/>
    </w:rPr>
  </w:style>
  <w:style w:type="character" w:customStyle="1" w:styleId="CommentSubjectChar">
    <w:name w:val="Comment Subject Char"/>
    <w:basedOn w:val="CommentTextChar"/>
    <w:link w:val="CommentSubject"/>
    <w:uiPriority w:val="99"/>
    <w:semiHidden/>
    <w:rsid w:val="00661CE1"/>
    <w:rPr>
      <w:b/>
      <w:bCs/>
      <w:sz w:val="20"/>
      <w:szCs w:val="20"/>
    </w:rPr>
  </w:style>
  <w:style w:type="character" w:styleId="Hyperlink">
    <w:name w:val="Hyperlink"/>
    <w:basedOn w:val="DefaultParagraphFont"/>
    <w:uiPriority w:val="99"/>
    <w:unhideWhenUsed/>
    <w:rsid w:val="00C606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gds2">
    <w:name w:val="legds2"/>
    <w:basedOn w:val="DefaultParagraphFont"/>
    <w:rsid w:val="00C97CA3"/>
    <w:rPr>
      <w:vanish w:val="0"/>
      <w:webHidden w:val="0"/>
      <w:specVanish w:val="0"/>
    </w:rPr>
  </w:style>
  <w:style w:type="paragraph" w:styleId="Header">
    <w:name w:val="header"/>
    <w:basedOn w:val="Normal"/>
    <w:link w:val="HeaderChar"/>
    <w:uiPriority w:val="99"/>
    <w:unhideWhenUsed/>
    <w:rsid w:val="008413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3D9"/>
  </w:style>
  <w:style w:type="paragraph" w:styleId="Footer">
    <w:name w:val="footer"/>
    <w:basedOn w:val="Normal"/>
    <w:link w:val="FooterChar"/>
    <w:uiPriority w:val="99"/>
    <w:unhideWhenUsed/>
    <w:rsid w:val="008413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3D9"/>
  </w:style>
  <w:style w:type="paragraph" w:styleId="FootnoteText">
    <w:name w:val="footnote text"/>
    <w:basedOn w:val="Normal"/>
    <w:link w:val="FootnoteTextChar"/>
    <w:uiPriority w:val="99"/>
    <w:semiHidden/>
    <w:unhideWhenUsed/>
    <w:rsid w:val="003A60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6045"/>
    <w:rPr>
      <w:sz w:val="20"/>
      <w:szCs w:val="20"/>
    </w:rPr>
  </w:style>
  <w:style w:type="character" w:styleId="FootnoteReference">
    <w:name w:val="footnote reference"/>
    <w:basedOn w:val="DefaultParagraphFont"/>
    <w:uiPriority w:val="99"/>
    <w:semiHidden/>
    <w:unhideWhenUsed/>
    <w:rsid w:val="003A6045"/>
    <w:rPr>
      <w:vertAlign w:val="superscript"/>
    </w:rPr>
  </w:style>
  <w:style w:type="paragraph" w:styleId="ListParagraph">
    <w:name w:val="List Paragraph"/>
    <w:basedOn w:val="Normal"/>
    <w:uiPriority w:val="34"/>
    <w:qFormat/>
    <w:rsid w:val="003A6045"/>
    <w:pPr>
      <w:spacing w:after="0" w:line="240" w:lineRule="auto"/>
      <w:ind w:left="720"/>
      <w:contextualSpacing/>
    </w:pPr>
    <w:rPr>
      <w:sz w:val="24"/>
      <w:szCs w:val="24"/>
    </w:rPr>
  </w:style>
  <w:style w:type="character" w:customStyle="1" w:styleId="citationtext">
    <w:name w:val="citation_text"/>
    <w:basedOn w:val="DefaultParagraphFont"/>
    <w:rsid w:val="009C59DE"/>
  </w:style>
  <w:style w:type="character" w:styleId="Strong">
    <w:name w:val="Strong"/>
    <w:basedOn w:val="DefaultParagraphFont"/>
    <w:uiPriority w:val="22"/>
    <w:qFormat/>
    <w:rsid w:val="005F2FFF"/>
    <w:rPr>
      <w:b/>
      <w:bCs/>
    </w:rPr>
  </w:style>
  <w:style w:type="paragraph" w:customStyle="1" w:styleId="Default">
    <w:name w:val="Default"/>
    <w:rsid w:val="003D74A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561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3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408"/>
    <w:rPr>
      <w:rFonts w:ascii="Tahoma" w:hAnsi="Tahoma" w:cs="Tahoma"/>
      <w:sz w:val="16"/>
      <w:szCs w:val="16"/>
    </w:rPr>
  </w:style>
  <w:style w:type="character" w:styleId="CommentReference">
    <w:name w:val="annotation reference"/>
    <w:basedOn w:val="DefaultParagraphFont"/>
    <w:uiPriority w:val="99"/>
    <w:semiHidden/>
    <w:unhideWhenUsed/>
    <w:rsid w:val="00661CE1"/>
    <w:rPr>
      <w:sz w:val="16"/>
      <w:szCs w:val="16"/>
    </w:rPr>
  </w:style>
  <w:style w:type="paragraph" w:styleId="CommentText">
    <w:name w:val="annotation text"/>
    <w:basedOn w:val="Normal"/>
    <w:link w:val="CommentTextChar"/>
    <w:uiPriority w:val="99"/>
    <w:semiHidden/>
    <w:unhideWhenUsed/>
    <w:rsid w:val="00661CE1"/>
    <w:pPr>
      <w:spacing w:line="240" w:lineRule="auto"/>
    </w:pPr>
    <w:rPr>
      <w:sz w:val="20"/>
      <w:szCs w:val="20"/>
    </w:rPr>
  </w:style>
  <w:style w:type="character" w:customStyle="1" w:styleId="CommentTextChar">
    <w:name w:val="Comment Text Char"/>
    <w:basedOn w:val="DefaultParagraphFont"/>
    <w:link w:val="CommentText"/>
    <w:uiPriority w:val="99"/>
    <w:semiHidden/>
    <w:rsid w:val="00661CE1"/>
    <w:rPr>
      <w:sz w:val="20"/>
      <w:szCs w:val="20"/>
    </w:rPr>
  </w:style>
  <w:style w:type="paragraph" w:styleId="CommentSubject">
    <w:name w:val="annotation subject"/>
    <w:basedOn w:val="CommentText"/>
    <w:next w:val="CommentText"/>
    <w:link w:val="CommentSubjectChar"/>
    <w:uiPriority w:val="99"/>
    <w:semiHidden/>
    <w:unhideWhenUsed/>
    <w:rsid w:val="00661CE1"/>
    <w:rPr>
      <w:b/>
      <w:bCs/>
    </w:rPr>
  </w:style>
  <w:style w:type="character" w:customStyle="1" w:styleId="CommentSubjectChar">
    <w:name w:val="Comment Subject Char"/>
    <w:basedOn w:val="CommentTextChar"/>
    <w:link w:val="CommentSubject"/>
    <w:uiPriority w:val="99"/>
    <w:semiHidden/>
    <w:rsid w:val="00661CE1"/>
    <w:rPr>
      <w:b/>
      <w:bCs/>
      <w:sz w:val="20"/>
      <w:szCs w:val="20"/>
    </w:rPr>
  </w:style>
  <w:style w:type="character" w:styleId="Hyperlink">
    <w:name w:val="Hyperlink"/>
    <w:basedOn w:val="DefaultParagraphFont"/>
    <w:uiPriority w:val="99"/>
    <w:unhideWhenUsed/>
    <w:rsid w:val="00C6061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83338308">
      <w:bodyDiv w:val="1"/>
      <w:marLeft w:val="0"/>
      <w:marRight w:val="0"/>
      <w:marTop w:val="0"/>
      <w:marBottom w:val="0"/>
      <w:divBdr>
        <w:top w:val="none" w:sz="0" w:space="0" w:color="auto"/>
        <w:left w:val="none" w:sz="0" w:space="0" w:color="auto"/>
        <w:bottom w:val="none" w:sz="0" w:space="0" w:color="auto"/>
        <w:right w:val="none" w:sz="0" w:space="0" w:color="auto"/>
      </w:divBdr>
      <w:divsChild>
        <w:div w:id="2055301980">
          <w:marLeft w:val="0"/>
          <w:marRight w:val="0"/>
          <w:marTop w:val="0"/>
          <w:marBottom w:val="0"/>
          <w:divBdr>
            <w:top w:val="none" w:sz="0" w:space="0" w:color="auto"/>
            <w:left w:val="none" w:sz="0" w:space="0" w:color="auto"/>
            <w:bottom w:val="none" w:sz="0" w:space="0" w:color="auto"/>
            <w:right w:val="none" w:sz="0" w:space="0" w:color="auto"/>
          </w:divBdr>
          <w:divsChild>
            <w:div w:id="318269003">
              <w:marLeft w:val="0"/>
              <w:marRight w:val="0"/>
              <w:marTop w:val="0"/>
              <w:marBottom w:val="0"/>
              <w:divBdr>
                <w:top w:val="none" w:sz="0" w:space="0" w:color="auto"/>
                <w:left w:val="none" w:sz="0" w:space="0" w:color="auto"/>
                <w:bottom w:val="none" w:sz="0" w:space="0" w:color="auto"/>
                <w:right w:val="none" w:sz="0" w:space="0" w:color="auto"/>
              </w:divBdr>
              <w:divsChild>
                <w:div w:id="1439446751">
                  <w:marLeft w:val="0"/>
                  <w:marRight w:val="0"/>
                  <w:marTop w:val="0"/>
                  <w:marBottom w:val="0"/>
                  <w:divBdr>
                    <w:top w:val="none" w:sz="0" w:space="0" w:color="auto"/>
                    <w:left w:val="none" w:sz="0" w:space="0" w:color="auto"/>
                    <w:bottom w:val="none" w:sz="0" w:space="0" w:color="auto"/>
                    <w:right w:val="none" w:sz="0" w:space="0" w:color="auto"/>
                  </w:divBdr>
                  <w:divsChild>
                    <w:div w:id="567541982">
                      <w:marLeft w:val="0"/>
                      <w:marRight w:val="0"/>
                      <w:marTop w:val="0"/>
                      <w:marBottom w:val="0"/>
                      <w:divBdr>
                        <w:top w:val="none" w:sz="0" w:space="0" w:color="auto"/>
                        <w:left w:val="none" w:sz="0" w:space="0" w:color="auto"/>
                        <w:bottom w:val="none" w:sz="0" w:space="0" w:color="auto"/>
                        <w:right w:val="none" w:sz="0" w:space="0" w:color="auto"/>
                      </w:divBdr>
                      <w:divsChild>
                        <w:div w:id="678314256">
                          <w:marLeft w:val="0"/>
                          <w:marRight w:val="0"/>
                          <w:marTop w:val="0"/>
                          <w:marBottom w:val="0"/>
                          <w:divBdr>
                            <w:top w:val="none" w:sz="0" w:space="0" w:color="auto"/>
                            <w:left w:val="none" w:sz="0" w:space="0" w:color="auto"/>
                            <w:bottom w:val="none" w:sz="0" w:space="0" w:color="auto"/>
                            <w:right w:val="none" w:sz="0" w:space="0" w:color="auto"/>
                          </w:divBdr>
                          <w:divsChild>
                            <w:div w:id="293949577">
                              <w:marLeft w:val="0"/>
                              <w:marRight w:val="0"/>
                              <w:marTop w:val="0"/>
                              <w:marBottom w:val="0"/>
                              <w:divBdr>
                                <w:top w:val="none" w:sz="0" w:space="0" w:color="auto"/>
                                <w:left w:val="none" w:sz="0" w:space="0" w:color="auto"/>
                                <w:bottom w:val="none" w:sz="0" w:space="0" w:color="auto"/>
                                <w:right w:val="none" w:sz="0" w:space="0" w:color="auto"/>
                              </w:divBdr>
                              <w:divsChild>
                                <w:div w:id="674039428">
                                  <w:marLeft w:val="0"/>
                                  <w:marRight w:val="0"/>
                                  <w:marTop w:val="0"/>
                                  <w:marBottom w:val="0"/>
                                  <w:divBdr>
                                    <w:top w:val="none" w:sz="0" w:space="0" w:color="auto"/>
                                    <w:left w:val="none" w:sz="0" w:space="0" w:color="auto"/>
                                    <w:bottom w:val="none" w:sz="0" w:space="0" w:color="auto"/>
                                    <w:right w:val="none" w:sz="0" w:space="0" w:color="auto"/>
                                  </w:divBdr>
                                  <w:divsChild>
                                    <w:div w:id="1415127847">
                                      <w:marLeft w:val="0"/>
                                      <w:marRight w:val="0"/>
                                      <w:marTop w:val="0"/>
                                      <w:marBottom w:val="0"/>
                                      <w:divBdr>
                                        <w:top w:val="none" w:sz="0" w:space="0" w:color="auto"/>
                                        <w:left w:val="none" w:sz="0" w:space="0" w:color="auto"/>
                                        <w:bottom w:val="none" w:sz="0" w:space="0" w:color="auto"/>
                                        <w:right w:val="none" w:sz="0" w:space="0" w:color="auto"/>
                                      </w:divBdr>
                                      <w:divsChild>
                                        <w:div w:id="1381517663">
                                          <w:marLeft w:val="0"/>
                                          <w:marRight w:val="0"/>
                                          <w:marTop w:val="0"/>
                                          <w:marBottom w:val="0"/>
                                          <w:divBdr>
                                            <w:top w:val="none" w:sz="0" w:space="0" w:color="auto"/>
                                            <w:left w:val="none" w:sz="0" w:space="0" w:color="auto"/>
                                            <w:bottom w:val="none" w:sz="0" w:space="0" w:color="auto"/>
                                            <w:right w:val="none" w:sz="0" w:space="0" w:color="auto"/>
                                          </w:divBdr>
                                          <w:divsChild>
                                            <w:div w:id="551386800">
                                              <w:marLeft w:val="0"/>
                                              <w:marRight w:val="0"/>
                                              <w:marTop w:val="0"/>
                                              <w:marBottom w:val="0"/>
                                              <w:divBdr>
                                                <w:top w:val="none" w:sz="0" w:space="0" w:color="auto"/>
                                                <w:left w:val="none" w:sz="0" w:space="0" w:color="auto"/>
                                                <w:bottom w:val="none" w:sz="0" w:space="0" w:color="auto"/>
                                                <w:right w:val="none" w:sz="0" w:space="0" w:color="auto"/>
                                              </w:divBdr>
                                              <w:divsChild>
                                                <w:div w:id="1294211678">
                                                  <w:marLeft w:val="0"/>
                                                  <w:marRight w:val="0"/>
                                                  <w:marTop w:val="0"/>
                                                  <w:marBottom w:val="0"/>
                                                  <w:divBdr>
                                                    <w:top w:val="none" w:sz="0" w:space="0" w:color="auto"/>
                                                    <w:left w:val="none" w:sz="0" w:space="0" w:color="auto"/>
                                                    <w:bottom w:val="none" w:sz="0" w:space="0" w:color="auto"/>
                                                    <w:right w:val="none" w:sz="0" w:space="0" w:color="auto"/>
                                                  </w:divBdr>
                                                  <w:divsChild>
                                                    <w:div w:id="76750508">
                                                      <w:marLeft w:val="0"/>
                                                      <w:marRight w:val="0"/>
                                                      <w:marTop w:val="0"/>
                                                      <w:marBottom w:val="0"/>
                                                      <w:divBdr>
                                                        <w:top w:val="none" w:sz="0" w:space="0" w:color="auto"/>
                                                        <w:left w:val="none" w:sz="0" w:space="0" w:color="auto"/>
                                                        <w:bottom w:val="none" w:sz="0" w:space="0" w:color="auto"/>
                                                        <w:right w:val="none" w:sz="0" w:space="0" w:color="auto"/>
                                                      </w:divBdr>
                                                      <w:divsChild>
                                                        <w:div w:id="78075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agd.sa.gov.au/sites/agd.sa.gov.au/files/documents/Initiatives%20Announcements%20and%20News/DJP/Disability%20Justice%20Plan%20WEB.pdf" TargetMode="External"/><Relationship Id="rId2" Type="http://schemas.openxmlformats.org/officeDocument/2006/relationships/hyperlink" Target="http://hansardpublic.parliament.sa.gov.au/Pages/HansardResult.aspx" TargetMode="External"/><Relationship Id="rId1" Type="http://schemas.openxmlformats.org/officeDocument/2006/relationships/hyperlink" Target="https://www.legislation.sa.gov.au/LZ/V/A/2015/Statutes%20Amendment%20(Vulnerable%20Witnesses)%20Act%202015_1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264AD-6928-4CA9-A0A8-C638DFF31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4537</Words>
  <Characters>25867</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Government of South Australia</Company>
  <LinksUpToDate>false</LinksUpToDate>
  <CharactersWithSpaces>30344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Stacey Rowse</dc:creator>
  <cp:lastModifiedBy>marie-claire.muir</cp:lastModifiedBy>
  <cp:revision>2</cp:revision>
  <cp:lastPrinted>2017-02-22T06:24:00Z</cp:lastPrinted>
  <dcterms:created xsi:type="dcterms:W3CDTF">2017-03-09T06:20:00Z</dcterms:created>
  <dcterms:modified xsi:type="dcterms:W3CDTF">2017-03-09T06:20:00Z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 Ref.">
    <vt:lpwstr/>
  </property>
  <property fmtid="{D5CDD505-2E9C-101B-9397-08002B2CF9AE}" pid="3" name="Doc. Type">
    <vt:lpwstr/>
  </property>
</Properties>
</file>