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18" w:rsidRDefault="00F37618" w:rsidP="00F37618">
      <w:pPr>
        <w:rPr>
          <w:rFonts w:eastAsia="Times New Roman"/>
        </w:rPr>
      </w:pPr>
      <w:r>
        <w:t>336.</w:t>
      </w:r>
      <w:r w:rsidRPr="00F37618">
        <w:rPr>
          <w:rFonts w:eastAsia="Times New Roman"/>
        </w:rPr>
        <w:t xml:space="preserve"> </w:t>
      </w:r>
      <w:r>
        <w:rPr>
          <w:rFonts w:eastAsia="Times New Roman"/>
        </w:rPr>
        <w:t xml:space="preserve">M </w:t>
      </w:r>
      <w:proofErr w:type="spellStart"/>
      <w:r>
        <w:rPr>
          <w:rFonts w:eastAsia="Times New Roman"/>
        </w:rPr>
        <w:t>Winterton</w:t>
      </w:r>
      <w:proofErr w:type="spellEnd"/>
      <w:r>
        <w:rPr>
          <w:rFonts w:eastAsia="Times New Roman"/>
        </w:rPr>
        <w:t xml:space="preserve"> </w:t>
      </w:r>
    </w:p>
    <w:p w:rsidR="00DD6BBE" w:rsidRDefault="00DD6BBE" w:rsidP="00F37618">
      <w:pPr>
        <w:rPr>
          <w:rFonts w:ascii="Tahoma" w:eastAsia="Times New Roman" w:hAnsi="Tahoma" w:cs="Tahoma"/>
          <w:bCs/>
          <w:sz w:val="20"/>
          <w:szCs w:val="20"/>
          <w:lang w:val="en-US"/>
        </w:rPr>
      </w:pPr>
    </w:p>
    <w:p w:rsidR="00F37618" w:rsidRDefault="00DD6BBE" w:rsidP="00F37618">
      <w:pPr>
        <w:rPr>
          <w:rFonts w:eastAsia="Times New Roman"/>
        </w:rPr>
      </w:pPr>
      <w:r w:rsidRPr="00DD6BBE">
        <w:rPr>
          <w:rFonts w:ascii="Tahoma" w:eastAsia="Times New Roman" w:hAnsi="Tahoma" w:cs="Tahoma"/>
          <w:bCs/>
          <w:sz w:val="20"/>
          <w:szCs w:val="20"/>
          <w:lang w:val="en-US"/>
        </w:rPr>
        <w:t>N</w:t>
      </w:r>
      <w:proofErr w:type="spellStart"/>
      <w:r>
        <w:rPr>
          <w:rFonts w:eastAsia="Times New Roman"/>
        </w:rPr>
        <w:t>ame</w:t>
      </w:r>
      <w:proofErr w:type="spellEnd"/>
      <w:r>
        <w:rPr>
          <w:rFonts w:eastAsia="Times New Roman"/>
        </w:rPr>
        <w:t xml:space="preserve">: </w:t>
      </w:r>
      <w:r w:rsidR="00F37618">
        <w:rPr>
          <w:rFonts w:eastAsia="Times New Roman"/>
        </w:rPr>
        <w:t>M</w:t>
      </w:r>
      <w:r>
        <w:rPr>
          <w:rFonts w:eastAsia="Times New Roman"/>
        </w:rPr>
        <w:t xml:space="preserve"> </w:t>
      </w:r>
      <w:proofErr w:type="spellStart"/>
      <w:r w:rsidR="00F37618">
        <w:rPr>
          <w:rFonts w:eastAsia="Times New Roman"/>
        </w:rPr>
        <w:t>Winterton</w:t>
      </w:r>
      <w:proofErr w:type="spellEnd"/>
      <w:r w:rsidR="00F37618">
        <w:rPr>
          <w:rFonts w:eastAsia="Times New Roman"/>
        </w:rPr>
        <w:t xml:space="preserve"> </w:t>
      </w:r>
    </w:p>
    <w:p w:rsidR="00DD6BBE" w:rsidRDefault="00DD6BBE" w:rsidP="00F37618">
      <w:pPr>
        <w:rPr>
          <w:rFonts w:eastAsia="Times New Roman"/>
        </w:rPr>
      </w:pPr>
    </w:p>
    <w:p w:rsidR="00F37618" w:rsidRDefault="00F37618" w:rsidP="00F37618">
      <w:pPr>
        <w:rPr>
          <w:rFonts w:eastAsia="Times New Roman"/>
        </w:rPr>
      </w:pPr>
      <w:r>
        <w:rPr>
          <w:rFonts w:eastAsia="Times New Roman"/>
        </w:rPr>
        <w:t xml:space="preserve">Proposal 2–1 </w:t>
      </w:r>
    </w:p>
    <w:p w:rsidR="00F37618" w:rsidRDefault="00F37618" w:rsidP="00F37618">
      <w:pPr>
        <w:pStyle w:val="NormalWeb"/>
        <w:rPr>
          <w:rFonts w:eastAsia="Calibri"/>
        </w:rPr>
      </w:pPr>
      <w:r>
        <w:t>Yes.</w:t>
      </w:r>
    </w:p>
    <w:p w:rsidR="00F37618" w:rsidRDefault="00F37618" w:rsidP="00F37618">
      <w:pPr>
        <w:rPr>
          <w:rFonts w:eastAsia="Times New Roman"/>
        </w:rPr>
      </w:pPr>
      <w:r>
        <w:rPr>
          <w:rFonts w:eastAsia="Times New Roman"/>
        </w:rPr>
        <w:t xml:space="preserve">Proposal 2–2 </w:t>
      </w:r>
    </w:p>
    <w:p w:rsidR="00F37618" w:rsidRDefault="00F37618" w:rsidP="00F37618">
      <w:pPr>
        <w:pStyle w:val="NormalWeb"/>
        <w:rPr>
          <w:rFonts w:eastAsia="Calibri"/>
        </w:rPr>
      </w:pPr>
      <w:proofErr w:type="gramStart"/>
      <w:r>
        <w:t>yes</w:t>
      </w:r>
      <w:proofErr w:type="gramEnd"/>
      <w:r>
        <w:t>.</w:t>
      </w:r>
    </w:p>
    <w:p w:rsidR="00F37618" w:rsidRDefault="00F37618" w:rsidP="00F37618">
      <w:pPr>
        <w:rPr>
          <w:rFonts w:eastAsia="Times New Roman"/>
        </w:rPr>
      </w:pPr>
      <w:r>
        <w:rPr>
          <w:rFonts w:eastAsia="Times New Roman"/>
        </w:rPr>
        <w:t xml:space="preserve">Proposal 3–1 </w:t>
      </w:r>
    </w:p>
    <w:p w:rsidR="00F37618" w:rsidRDefault="00F37618" w:rsidP="00F37618">
      <w:pPr>
        <w:pStyle w:val="NormalWeb"/>
        <w:rPr>
          <w:rFonts w:eastAsia="Calibri"/>
        </w:rPr>
      </w:pPr>
      <w:proofErr w:type="gramStart"/>
      <w:r>
        <w:t>yes</w:t>
      </w:r>
      <w:proofErr w:type="gramEnd"/>
      <w:r>
        <w:t>.</w:t>
      </w:r>
    </w:p>
    <w:p w:rsidR="00F37618" w:rsidRDefault="00F37618" w:rsidP="00F37618">
      <w:pPr>
        <w:rPr>
          <w:rFonts w:eastAsia="Times New Roman"/>
        </w:rPr>
      </w:pPr>
      <w:r>
        <w:rPr>
          <w:rFonts w:eastAsia="Times New Roman"/>
        </w:rPr>
        <w:t xml:space="preserve">Proposal 3–2 </w:t>
      </w:r>
    </w:p>
    <w:p w:rsidR="00F37618" w:rsidRDefault="00F37618" w:rsidP="00F37618">
      <w:pPr>
        <w:pStyle w:val="NormalWeb"/>
        <w:rPr>
          <w:rFonts w:eastAsia="Calibri"/>
        </w:rPr>
      </w:pPr>
      <w:proofErr w:type="gramStart"/>
      <w:r>
        <w:t>yes</w:t>
      </w:r>
      <w:proofErr w:type="gramEnd"/>
      <w:r>
        <w:t>.</w:t>
      </w:r>
    </w:p>
    <w:p w:rsidR="00F37618" w:rsidRDefault="00F37618" w:rsidP="00F37618">
      <w:pPr>
        <w:rPr>
          <w:rFonts w:eastAsia="Times New Roman"/>
        </w:rPr>
      </w:pPr>
      <w:r>
        <w:rPr>
          <w:rFonts w:eastAsia="Times New Roman"/>
        </w:rPr>
        <w:t xml:space="preserve">Proposal 3–3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3–4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3–5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5–1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5–2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5–3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Question 5–1 </w:t>
      </w:r>
    </w:p>
    <w:p w:rsidR="00F37618" w:rsidRDefault="00F37618" w:rsidP="00F37618">
      <w:pPr>
        <w:pStyle w:val="NormalWeb"/>
        <w:rPr>
          <w:rFonts w:eastAsia="Calibri"/>
        </w:rPr>
      </w:pPr>
      <w:proofErr w:type="gramStart"/>
      <w:r>
        <w:t>restricted</w:t>
      </w:r>
      <w:proofErr w:type="gramEnd"/>
      <w:r>
        <w:t xml:space="preserve"> persons, such as only persons who are in positions of care or guardianship, and the relevant government bodies. </w:t>
      </w:r>
      <w:proofErr w:type="gramStart"/>
      <w:r>
        <w:t>the</w:t>
      </w:r>
      <w:proofErr w:type="gramEnd"/>
      <w:r>
        <w:t xml:space="preserve"> police, of senior level. </w:t>
      </w:r>
      <w:proofErr w:type="gramStart"/>
      <w:r>
        <w:t>the</w:t>
      </w:r>
      <w:proofErr w:type="gramEnd"/>
      <w:r>
        <w:t xml:space="preserve"> Guardianship Tribunal, senior staff only at banking institutions, to confirm the validity of claimed Powers of Attorney .</w:t>
      </w:r>
    </w:p>
    <w:p w:rsidR="00F37618" w:rsidRDefault="00F37618" w:rsidP="00F37618">
      <w:pPr>
        <w:pStyle w:val="NormalWeb"/>
      </w:pPr>
      <w:proofErr w:type="gramStart"/>
      <w:r>
        <w:lastRenderedPageBreak/>
        <w:t>protected</w:t>
      </w:r>
      <w:proofErr w:type="gramEnd"/>
      <w:r>
        <w:t xml:space="preserve"> privacy from just anyone accessing the register. </w:t>
      </w:r>
    </w:p>
    <w:p w:rsidR="00F37618" w:rsidRDefault="00F37618" w:rsidP="00F37618">
      <w:pPr>
        <w:rPr>
          <w:rFonts w:eastAsia="Times New Roman"/>
        </w:rPr>
      </w:pPr>
      <w:r>
        <w:rPr>
          <w:rFonts w:eastAsia="Times New Roman"/>
        </w:rPr>
        <w:t xml:space="preserve">Question 5–2 </w:t>
      </w:r>
    </w:p>
    <w:p w:rsidR="00F37618" w:rsidRDefault="00F37618" w:rsidP="00F37618">
      <w:pPr>
        <w:pStyle w:val="NormalWeb"/>
        <w:rPr>
          <w:rFonts w:eastAsia="Calibri"/>
        </w:rPr>
      </w:pPr>
      <w:proofErr w:type="gramStart"/>
      <w:r>
        <w:t>yes</w:t>
      </w:r>
      <w:proofErr w:type="gramEnd"/>
      <w:r>
        <w:t xml:space="preserve">. </w:t>
      </w:r>
      <w:proofErr w:type="gramStart"/>
      <w:r>
        <w:t>those</w:t>
      </w:r>
      <w:proofErr w:type="gramEnd"/>
      <w:r>
        <w:t xml:space="preserve"> with nothing to hide, have nothing to fear.</w:t>
      </w:r>
    </w:p>
    <w:p w:rsidR="00F37618" w:rsidRDefault="00F37618" w:rsidP="00F37618">
      <w:pPr>
        <w:rPr>
          <w:rFonts w:eastAsia="Times New Roman"/>
        </w:rPr>
      </w:pPr>
      <w:r>
        <w:rPr>
          <w:rFonts w:eastAsia="Times New Roman"/>
        </w:rPr>
        <w:t xml:space="preserve">Proposal 5–4 </w:t>
      </w:r>
    </w:p>
    <w:p w:rsidR="00F37618" w:rsidRDefault="00F37618" w:rsidP="00F37618">
      <w:pPr>
        <w:pStyle w:val="NormalWeb"/>
        <w:rPr>
          <w:rFonts w:eastAsia="Calibri"/>
        </w:rPr>
      </w:pPr>
      <w:proofErr w:type="gramStart"/>
      <w:r>
        <w:t>yes</w:t>
      </w:r>
      <w:proofErr w:type="gramEnd"/>
      <w:r>
        <w:t xml:space="preserve">. </w:t>
      </w:r>
      <w:proofErr w:type="gramStart"/>
      <w:r>
        <w:t>this</w:t>
      </w:r>
      <w:proofErr w:type="gramEnd"/>
      <w:r>
        <w:t xml:space="preserve"> reduces the risk of corrupt witnesses.</w:t>
      </w:r>
    </w:p>
    <w:p w:rsidR="00F37618" w:rsidRDefault="00F37618" w:rsidP="00F37618">
      <w:pPr>
        <w:rPr>
          <w:rFonts w:eastAsia="Times New Roman"/>
        </w:rPr>
      </w:pPr>
      <w:r>
        <w:rPr>
          <w:rFonts w:eastAsia="Times New Roman"/>
        </w:rPr>
        <w:t xml:space="preserve">Proposal 5–5 </w:t>
      </w:r>
    </w:p>
    <w:p w:rsidR="00F37618" w:rsidRDefault="00F37618" w:rsidP="00F37618">
      <w:pPr>
        <w:pStyle w:val="NormalWeb"/>
        <w:rPr>
          <w:rFonts w:eastAsia="Calibri"/>
        </w:rPr>
      </w:pPr>
      <w:proofErr w:type="gramStart"/>
      <w:r>
        <w:t>yes</w:t>
      </w:r>
      <w:proofErr w:type="gramEnd"/>
      <w:r>
        <w:t>.</w:t>
      </w:r>
    </w:p>
    <w:p w:rsidR="00F37618" w:rsidRDefault="00F37618" w:rsidP="00F37618">
      <w:pPr>
        <w:rPr>
          <w:rFonts w:eastAsia="Times New Roman"/>
        </w:rPr>
      </w:pPr>
      <w:r>
        <w:rPr>
          <w:rFonts w:eastAsia="Times New Roman"/>
        </w:rPr>
        <w:t xml:space="preserve">Proposal 5–6 </w:t>
      </w:r>
    </w:p>
    <w:p w:rsidR="00F37618" w:rsidRDefault="00F37618" w:rsidP="00F37618">
      <w:pPr>
        <w:pStyle w:val="NormalWeb"/>
        <w:rPr>
          <w:rFonts w:eastAsia="Calibri"/>
        </w:rPr>
      </w:pPr>
      <w:proofErr w:type="gramStart"/>
      <w:r>
        <w:t>yes</w:t>
      </w:r>
      <w:proofErr w:type="gramEnd"/>
      <w:r>
        <w:t>, this also reduces the risk of collusion and fraud .</w:t>
      </w:r>
    </w:p>
    <w:p w:rsidR="00F37618" w:rsidRDefault="00F37618" w:rsidP="00F37618">
      <w:pPr>
        <w:rPr>
          <w:rFonts w:eastAsia="Times New Roman"/>
        </w:rPr>
      </w:pPr>
      <w:r>
        <w:rPr>
          <w:rFonts w:eastAsia="Times New Roman"/>
        </w:rPr>
        <w:t xml:space="preserve">Proposal 5–7 </w:t>
      </w:r>
    </w:p>
    <w:p w:rsidR="00F37618" w:rsidRDefault="00F37618" w:rsidP="00F37618">
      <w:pPr>
        <w:pStyle w:val="NormalWeb"/>
        <w:rPr>
          <w:rFonts w:eastAsia="Calibri"/>
        </w:rPr>
      </w:pPr>
      <w:proofErr w:type="gramStart"/>
      <w:r>
        <w:t>yes</w:t>
      </w:r>
      <w:proofErr w:type="gramEnd"/>
      <w:r>
        <w:t>. </w:t>
      </w:r>
    </w:p>
    <w:p w:rsidR="00F37618" w:rsidRDefault="00F37618" w:rsidP="00F37618">
      <w:pPr>
        <w:rPr>
          <w:rFonts w:eastAsia="Times New Roman"/>
        </w:rPr>
      </w:pPr>
      <w:r>
        <w:rPr>
          <w:rFonts w:eastAsia="Times New Roman"/>
        </w:rPr>
        <w:t xml:space="preserve">Proposal 5–8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5–9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5–10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5–11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5–12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5–13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6–1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Question 6–1 </w:t>
      </w:r>
    </w:p>
    <w:p w:rsidR="00F37618" w:rsidRDefault="00F37618" w:rsidP="00F37618">
      <w:pPr>
        <w:pStyle w:val="NormalWeb"/>
        <w:rPr>
          <w:rFonts w:eastAsia="Calibri"/>
        </w:rPr>
      </w:pPr>
      <w:proofErr w:type="gramStart"/>
      <w:r>
        <w:lastRenderedPageBreak/>
        <w:t>yes</w:t>
      </w:r>
      <w:proofErr w:type="gramEnd"/>
      <w:r>
        <w:t xml:space="preserve"> to a /b and c.   </w:t>
      </w:r>
      <w:proofErr w:type="gramStart"/>
      <w:r>
        <w:t>newly</w:t>
      </w:r>
      <w:proofErr w:type="gramEnd"/>
      <w:r>
        <w:t xml:space="preserve"> appointed guardians and financial administrators should be fully informed of all of their duties and also the limits of their duties. Also to be able to telephone a person in the tribunal if they are unsure of any </w:t>
      </w:r>
      <w:proofErr w:type="spellStart"/>
      <w:proofErr w:type="gramStart"/>
      <w:r>
        <w:t>decions</w:t>
      </w:r>
      <w:proofErr w:type="spellEnd"/>
      <w:r>
        <w:t>,</w:t>
      </w:r>
      <w:proofErr w:type="gramEnd"/>
      <w:r>
        <w:t xml:space="preserve"> would be helpful.</w:t>
      </w:r>
    </w:p>
    <w:p w:rsidR="00F37618" w:rsidRDefault="00F37618" w:rsidP="00F37618">
      <w:pPr>
        <w:rPr>
          <w:rFonts w:eastAsia="Times New Roman"/>
        </w:rPr>
      </w:pPr>
      <w:r>
        <w:rPr>
          <w:rFonts w:eastAsia="Times New Roman"/>
        </w:rPr>
        <w:t xml:space="preserve">Proposal 6–2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Question 6–2 </w:t>
      </w:r>
    </w:p>
    <w:p w:rsidR="00F37618" w:rsidRDefault="00F37618" w:rsidP="00F37618">
      <w:pPr>
        <w:pStyle w:val="NormalWeb"/>
        <w:rPr>
          <w:rFonts w:eastAsia="Calibri"/>
        </w:rPr>
      </w:pPr>
      <w:proofErr w:type="gramStart"/>
      <w:r>
        <w:t>no</w:t>
      </w:r>
      <w:proofErr w:type="gramEnd"/>
      <w:r>
        <w:t>. I do not agree with purchasing surety bonds.  All of the strict guidelines regarding appropriate reasonable financial management should be followed.  A hotline or nominated person from the tribunal could help with advice on the best options for the persons under orders, if the guardian or manager is unsure of a decision.</w:t>
      </w:r>
    </w:p>
    <w:p w:rsidR="00F37618" w:rsidRDefault="00F37618" w:rsidP="00F37618">
      <w:pPr>
        <w:rPr>
          <w:rFonts w:eastAsia="Times New Roman"/>
        </w:rPr>
      </w:pPr>
      <w:r>
        <w:rPr>
          <w:rFonts w:eastAsia="Times New Roman"/>
        </w:rPr>
        <w:t xml:space="preserve">Question 6–3 </w:t>
      </w:r>
    </w:p>
    <w:p w:rsidR="00F37618" w:rsidRDefault="00F37618" w:rsidP="00F37618">
      <w:pPr>
        <w:pStyle w:val="NormalWeb"/>
        <w:rPr>
          <w:rFonts w:eastAsia="Calibri"/>
        </w:rPr>
      </w:pPr>
      <w:proofErr w:type="gramStart"/>
      <w:r>
        <w:t>perhaps</w:t>
      </w:r>
      <w:proofErr w:type="gramEnd"/>
      <w:r>
        <w:t xml:space="preserve"> an independent social worker above the age of thirty and or a trusted person to clearly and simply communicate properly explaining. </w:t>
      </w:r>
      <w:proofErr w:type="gramStart"/>
      <w:r>
        <w:t>perhaps</w:t>
      </w:r>
      <w:proofErr w:type="gramEnd"/>
      <w:r>
        <w:t xml:space="preserve"> this meeting could be on video for reference purposes.</w:t>
      </w:r>
    </w:p>
    <w:p w:rsidR="00F37618" w:rsidRDefault="00F37618" w:rsidP="00F37618">
      <w:pPr>
        <w:rPr>
          <w:rFonts w:eastAsia="Times New Roman"/>
        </w:rPr>
      </w:pPr>
      <w:r>
        <w:rPr>
          <w:rFonts w:eastAsia="Times New Roman"/>
        </w:rPr>
        <w:t xml:space="preserve">Proposal 7–1 </w:t>
      </w:r>
    </w:p>
    <w:p w:rsidR="00F37618" w:rsidRDefault="00F37618" w:rsidP="00F37618">
      <w:pPr>
        <w:pStyle w:val="NormalWeb"/>
        <w:rPr>
          <w:rFonts w:eastAsia="Calibri"/>
        </w:rPr>
      </w:pPr>
      <w:proofErr w:type="gramStart"/>
      <w:r>
        <w:t>yes</w:t>
      </w:r>
      <w:proofErr w:type="gramEnd"/>
      <w:r>
        <w:t>. In the case that I reported to the tribunal about in May 2006, the power of Attorney kept various bank accounts and in one of those bank accounts ninety thousand dollars was kept that belonged to the person under orders.  The Power of Attorney was a nurse who worked at a medical practice.  </w:t>
      </w:r>
      <w:proofErr w:type="gramStart"/>
      <w:r>
        <w:t>most</w:t>
      </w:r>
      <w:proofErr w:type="gramEnd"/>
      <w:r>
        <w:t xml:space="preserve"> people do not keep ninety thousand dollars in a bank account. </w:t>
      </w:r>
    </w:p>
    <w:p w:rsidR="00F37618" w:rsidRDefault="00F37618" w:rsidP="00F37618">
      <w:pPr>
        <w:rPr>
          <w:rFonts w:eastAsia="Times New Roman"/>
        </w:rPr>
      </w:pPr>
      <w:r>
        <w:rPr>
          <w:rFonts w:eastAsia="Times New Roman"/>
        </w:rPr>
        <w:t xml:space="preserve">Proposal 7–2 </w:t>
      </w:r>
    </w:p>
    <w:p w:rsidR="00F37618" w:rsidRDefault="00F37618" w:rsidP="00F37618">
      <w:pPr>
        <w:pStyle w:val="NormalWeb"/>
        <w:rPr>
          <w:rFonts w:eastAsia="Calibri"/>
        </w:rPr>
      </w:pPr>
      <w:proofErr w:type="gramStart"/>
      <w:r>
        <w:t>yes</w:t>
      </w:r>
      <w:proofErr w:type="gramEnd"/>
      <w:r>
        <w:t xml:space="preserve">. </w:t>
      </w:r>
      <w:proofErr w:type="spellStart"/>
      <w:proofErr w:type="gramStart"/>
      <w:r>
        <w:t>i</w:t>
      </w:r>
      <w:proofErr w:type="spellEnd"/>
      <w:proofErr w:type="gramEnd"/>
      <w:r>
        <w:t xml:space="preserve"> think this would </w:t>
      </w:r>
      <w:proofErr w:type="spellStart"/>
      <w:r>
        <w:t>reduse</w:t>
      </w:r>
      <w:proofErr w:type="spellEnd"/>
      <w:r>
        <w:t xml:space="preserve"> the risk of fraud.</w:t>
      </w:r>
    </w:p>
    <w:p w:rsidR="00F37618" w:rsidRDefault="00F37618" w:rsidP="00F37618">
      <w:pPr>
        <w:rPr>
          <w:rFonts w:eastAsia="Times New Roman"/>
        </w:rPr>
      </w:pPr>
      <w:r>
        <w:rPr>
          <w:rFonts w:eastAsia="Times New Roman"/>
        </w:rPr>
        <w:t xml:space="preserve">Question 7–1 </w:t>
      </w:r>
    </w:p>
    <w:p w:rsidR="00F37618" w:rsidRDefault="00F37618" w:rsidP="00F37618">
      <w:pPr>
        <w:pStyle w:val="NormalWeb"/>
        <w:rPr>
          <w:rFonts w:eastAsia="Calibri"/>
        </w:rPr>
      </w:pPr>
      <w:proofErr w:type="gramStart"/>
      <w:r>
        <w:t>yes</w:t>
      </w:r>
      <w:proofErr w:type="gramEnd"/>
      <w:r>
        <w:t xml:space="preserve"> to all of the above</w:t>
      </w:r>
    </w:p>
    <w:p w:rsidR="00F37618" w:rsidRDefault="00F37618" w:rsidP="00F37618">
      <w:pPr>
        <w:rPr>
          <w:rFonts w:eastAsia="Times New Roman"/>
        </w:rPr>
      </w:pPr>
      <w:r>
        <w:rPr>
          <w:rFonts w:eastAsia="Times New Roman"/>
        </w:rPr>
        <w:t xml:space="preserve">Question 7–2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8–1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Question 8–1 </w:t>
      </w:r>
    </w:p>
    <w:p w:rsidR="00F37618" w:rsidRDefault="00F37618" w:rsidP="00F37618">
      <w:pPr>
        <w:pStyle w:val="NormalWeb"/>
        <w:rPr>
          <w:rFonts w:eastAsia="Calibri"/>
        </w:rPr>
      </w:pPr>
      <w:proofErr w:type="gramStart"/>
      <w:r>
        <w:t>only</w:t>
      </w:r>
      <w:proofErr w:type="gramEnd"/>
      <w:r>
        <w:t xml:space="preserve"> persons who are trusted by the elderly person.  </w:t>
      </w:r>
      <w:proofErr w:type="gramStart"/>
      <w:r>
        <w:t>there</w:t>
      </w:r>
      <w:proofErr w:type="gramEnd"/>
      <w:r>
        <w:t xml:space="preserve"> are many thieving criminals in families. </w:t>
      </w:r>
      <w:proofErr w:type="gramStart"/>
      <w:r>
        <w:t>a</w:t>
      </w:r>
      <w:proofErr w:type="gramEnd"/>
      <w:r>
        <w:t xml:space="preserve"> clear explanation of the elderly person's wishes with two or more people that they trust.</w:t>
      </w:r>
    </w:p>
    <w:p w:rsidR="00F37618" w:rsidRDefault="00F37618" w:rsidP="00F37618">
      <w:pPr>
        <w:rPr>
          <w:rFonts w:eastAsia="Times New Roman"/>
        </w:rPr>
      </w:pPr>
      <w:r>
        <w:rPr>
          <w:rFonts w:eastAsia="Times New Roman"/>
        </w:rPr>
        <w:lastRenderedPageBreak/>
        <w:t xml:space="preserve">Proposal 9–1 </w:t>
      </w:r>
    </w:p>
    <w:p w:rsidR="00F37618" w:rsidRDefault="00F37618" w:rsidP="00F37618">
      <w:pPr>
        <w:pStyle w:val="NormalWeb"/>
        <w:rPr>
          <w:rFonts w:eastAsia="Calibri"/>
        </w:rPr>
      </w:pPr>
      <w:proofErr w:type="gramStart"/>
      <w:r>
        <w:t>yes</w:t>
      </w:r>
      <w:proofErr w:type="gramEnd"/>
      <w:r>
        <w:t xml:space="preserve"> to a/b/c/d.        In the case heard by the tribunal, in which I was the applicant, two solicitors colluded to prey upon a very wealthy vulnerable man who showed obvious signs of dementia / </w:t>
      </w:r>
      <w:proofErr w:type="spellStart"/>
      <w:r>
        <w:t>Alzheimers</w:t>
      </w:r>
      <w:proofErr w:type="spellEnd"/>
      <w:r>
        <w:t xml:space="preserve"> disease. This man was undiagnosed.    </w:t>
      </w:r>
      <w:proofErr w:type="gramStart"/>
      <w:r>
        <w:t>one</w:t>
      </w:r>
      <w:proofErr w:type="gramEnd"/>
      <w:r>
        <w:t xml:space="preserve"> of the solicitors was the boyfriend of the woman who gained the Power of Attorney/ guardian/ financial manager/ sole beneficiary/ sole executor.  </w:t>
      </w:r>
      <w:proofErr w:type="gramStart"/>
      <w:r>
        <w:t>the</w:t>
      </w:r>
      <w:proofErr w:type="gramEnd"/>
      <w:r>
        <w:t xml:space="preserve"> solicitor boy friend conspired with his solicitor crony to corruptly facilitate his mistress into control of the ill and vulnerable person and his substantial estate.   </w:t>
      </w:r>
      <w:proofErr w:type="gramStart"/>
      <w:r>
        <w:t>this</w:t>
      </w:r>
      <w:proofErr w:type="gramEnd"/>
      <w:r>
        <w:t xml:space="preserve"> predatory crime was committed under clandestine circumstances and unbeknown to the totally vulnerable person's life long close and capable family. </w:t>
      </w:r>
      <w:proofErr w:type="gramStart"/>
      <w:r>
        <w:t>this</w:t>
      </w:r>
      <w:proofErr w:type="gramEnd"/>
      <w:r>
        <w:t xml:space="preserve"> crime was performed in 1996, and would not be so easy currently because of the changes to the law.   </w:t>
      </w:r>
      <w:proofErr w:type="gramStart"/>
      <w:r>
        <w:t>however</w:t>
      </w:r>
      <w:proofErr w:type="gramEnd"/>
      <w:r>
        <w:t xml:space="preserve"> I do believe that most solicitors have decency and integrity, but not all of them. </w:t>
      </w:r>
      <w:proofErr w:type="gramStart"/>
      <w:r>
        <w:t>the</w:t>
      </w:r>
      <w:proofErr w:type="gramEnd"/>
      <w:r>
        <w:t xml:space="preserve"> woman that gained full control was no relation to the vulnerable and very sick person. </w:t>
      </w:r>
      <w:proofErr w:type="gramStart"/>
      <w:r>
        <w:t>the</w:t>
      </w:r>
      <w:proofErr w:type="gramEnd"/>
      <w:r>
        <w:t xml:space="preserve"> boyfriend solicitor appeared not to be involved.</w:t>
      </w:r>
    </w:p>
    <w:p w:rsidR="00F37618" w:rsidRDefault="00F37618" w:rsidP="00F37618">
      <w:pPr>
        <w:rPr>
          <w:rFonts w:eastAsia="Times New Roman"/>
        </w:rPr>
      </w:pPr>
      <w:r>
        <w:rPr>
          <w:rFonts w:eastAsia="Times New Roman"/>
        </w:rPr>
        <w:t xml:space="preserve">Proposal 9–2 </w:t>
      </w:r>
    </w:p>
    <w:p w:rsidR="00F37618" w:rsidRDefault="00F37618" w:rsidP="00F37618">
      <w:pPr>
        <w:pStyle w:val="NormalWeb"/>
        <w:rPr>
          <w:rFonts w:eastAsia="Calibri"/>
        </w:rPr>
      </w:pPr>
      <w:proofErr w:type="gramStart"/>
      <w:r>
        <w:t>yes</w:t>
      </w:r>
      <w:proofErr w:type="gramEnd"/>
      <w:r>
        <w:t>.</w:t>
      </w:r>
    </w:p>
    <w:p w:rsidR="00F37618" w:rsidRDefault="00F37618" w:rsidP="00F37618">
      <w:pPr>
        <w:rPr>
          <w:rFonts w:eastAsia="Times New Roman"/>
        </w:rPr>
      </w:pPr>
      <w:r>
        <w:rPr>
          <w:rFonts w:eastAsia="Times New Roman"/>
        </w:rPr>
        <w:t xml:space="preserve">Proposal 9–3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10–1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10–2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10–3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10–4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11–1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11–2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11–3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11–4 </w:t>
      </w:r>
    </w:p>
    <w:p w:rsidR="00F37618" w:rsidRDefault="00F37618" w:rsidP="00F37618">
      <w:pPr>
        <w:pStyle w:val="NormalWeb"/>
        <w:rPr>
          <w:rFonts w:eastAsia="Calibri"/>
        </w:rPr>
      </w:pPr>
      <w:proofErr w:type="gramStart"/>
      <w:r>
        <w:lastRenderedPageBreak/>
        <w:t>yes</w:t>
      </w:r>
      <w:proofErr w:type="gramEnd"/>
      <w:r>
        <w:t>.    </w:t>
      </w:r>
      <w:proofErr w:type="gramStart"/>
      <w:r>
        <w:t>also</w:t>
      </w:r>
      <w:proofErr w:type="gramEnd"/>
      <w:r>
        <w:t xml:space="preserve"> the person must be able to speak English, in order to be understood by all.    Any history of violence or examples of poor character for example dishonesty, then that person should be prevented from working with the vulnerable elderly.</w:t>
      </w:r>
    </w:p>
    <w:p w:rsidR="00F37618" w:rsidRDefault="00F37618" w:rsidP="00F37618">
      <w:pPr>
        <w:rPr>
          <w:rFonts w:eastAsia="Times New Roman"/>
        </w:rPr>
      </w:pPr>
      <w:r>
        <w:rPr>
          <w:rFonts w:eastAsia="Times New Roman"/>
        </w:rPr>
        <w:t xml:space="preserve">Proposal 11–5 </w:t>
      </w:r>
    </w:p>
    <w:p w:rsidR="00F37618" w:rsidRDefault="00F37618" w:rsidP="00F37618">
      <w:pPr>
        <w:pStyle w:val="NormalWeb"/>
        <w:rPr>
          <w:rFonts w:eastAsia="Calibri"/>
        </w:rPr>
      </w:pPr>
      <w:proofErr w:type="gramStart"/>
      <w:r>
        <w:t>yes</w:t>
      </w:r>
      <w:proofErr w:type="gramEnd"/>
      <w:r>
        <w:t>, as soon as possible.</w:t>
      </w:r>
    </w:p>
    <w:p w:rsidR="00F37618" w:rsidRDefault="00F37618" w:rsidP="00F37618">
      <w:pPr>
        <w:rPr>
          <w:rFonts w:eastAsia="Times New Roman"/>
        </w:rPr>
      </w:pPr>
      <w:r>
        <w:rPr>
          <w:rFonts w:eastAsia="Times New Roman"/>
        </w:rPr>
        <w:t xml:space="preserve">Question 11–1 </w:t>
      </w:r>
    </w:p>
    <w:p w:rsidR="00F37618" w:rsidRDefault="00F37618" w:rsidP="00F37618">
      <w:pPr>
        <w:pStyle w:val="NormalWeb"/>
        <w:rPr>
          <w:rFonts w:eastAsia="Calibri"/>
        </w:rPr>
      </w:pPr>
      <w:proofErr w:type="gramStart"/>
      <w:r>
        <w:t>examples</w:t>
      </w:r>
      <w:proofErr w:type="gramEnd"/>
      <w:r>
        <w:t xml:space="preserve"> of poor character, dishonesty, threats , violence, theft.   </w:t>
      </w:r>
      <w:proofErr w:type="gramStart"/>
      <w:r>
        <w:t>not</w:t>
      </w:r>
      <w:proofErr w:type="gramEnd"/>
      <w:r>
        <w:t xml:space="preserve"> having good English language, however if they are willing to learn English then they should be considered. </w:t>
      </w:r>
    </w:p>
    <w:p w:rsidR="00F37618" w:rsidRDefault="00F37618" w:rsidP="00F37618">
      <w:pPr>
        <w:rPr>
          <w:rFonts w:eastAsia="Times New Roman"/>
        </w:rPr>
      </w:pPr>
      <w:r>
        <w:rPr>
          <w:rFonts w:eastAsia="Times New Roman"/>
        </w:rPr>
        <w:t xml:space="preserve">Question 11–2 </w:t>
      </w:r>
    </w:p>
    <w:p w:rsidR="00F37618" w:rsidRDefault="00F37618" w:rsidP="00F37618">
      <w:pPr>
        <w:pStyle w:val="NormalWeb"/>
        <w:rPr>
          <w:rFonts w:eastAsia="Calibri"/>
        </w:rPr>
      </w:pPr>
      <w:proofErr w:type="gramStart"/>
      <w:r>
        <w:t>For their time in aged care.</w:t>
      </w:r>
      <w:proofErr w:type="gramEnd"/>
      <w:r>
        <w:t xml:space="preserve"> </w:t>
      </w:r>
      <w:proofErr w:type="gramStart"/>
      <w:r>
        <w:t>but</w:t>
      </w:r>
      <w:proofErr w:type="gramEnd"/>
      <w:r>
        <w:t xml:space="preserve"> if any valid or serious complaints are made then they should be prevented </w:t>
      </w:r>
      <w:proofErr w:type="spellStart"/>
      <w:r>
        <w:t>fro</w:t>
      </w:r>
      <w:proofErr w:type="spellEnd"/>
      <w:r>
        <w:t xml:space="preserve"> working in aged care. </w:t>
      </w:r>
    </w:p>
    <w:p w:rsidR="00F37618" w:rsidRDefault="00F37618" w:rsidP="00F37618">
      <w:pPr>
        <w:rPr>
          <w:rFonts w:eastAsia="Times New Roman"/>
        </w:rPr>
      </w:pPr>
      <w:r>
        <w:rPr>
          <w:rFonts w:eastAsia="Times New Roman"/>
        </w:rPr>
        <w:t xml:space="preserve">Question 11–3 </w:t>
      </w:r>
    </w:p>
    <w:p w:rsidR="00F37618" w:rsidRDefault="00F37618" w:rsidP="00F37618">
      <w:pPr>
        <w:pStyle w:val="NormalWeb"/>
        <w:rPr>
          <w:rFonts w:eastAsia="Calibri"/>
        </w:rPr>
      </w:pPr>
      <w:proofErr w:type="gramStart"/>
      <w:r>
        <w:t>criminal</w:t>
      </w:r>
      <w:proofErr w:type="gramEnd"/>
      <w:r>
        <w:t xml:space="preserve"> records for theft and or violence.     </w:t>
      </w:r>
    </w:p>
    <w:p w:rsidR="00F37618" w:rsidRDefault="00F37618" w:rsidP="00F37618">
      <w:pPr>
        <w:rPr>
          <w:rFonts w:eastAsia="Times New Roman"/>
        </w:rPr>
      </w:pPr>
      <w:r>
        <w:rPr>
          <w:rFonts w:eastAsia="Times New Roman"/>
        </w:rPr>
        <w:t xml:space="preserve">Proposal 11–6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11–7 </w:t>
      </w:r>
    </w:p>
    <w:p w:rsidR="00F37618" w:rsidRDefault="00F37618" w:rsidP="00F37618">
      <w:pPr>
        <w:pStyle w:val="NormalWeb"/>
        <w:rPr>
          <w:rFonts w:eastAsia="Calibri"/>
        </w:rPr>
      </w:pPr>
      <w:proofErr w:type="gramStart"/>
      <w:r>
        <w:t>yes</w:t>
      </w:r>
      <w:proofErr w:type="gramEnd"/>
      <w:r>
        <w:t xml:space="preserve"> to all of the above</w:t>
      </w:r>
    </w:p>
    <w:p w:rsidR="00F37618" w:rsidRDefault="00F37618" w:rsidP="00F37618">
      <w:pPr>
        <w:rPr>
          <w:rFonts w:eastAsia="Times New Roman"/>
        </w:rPr>
      </w:pPr>
      <w:r>
        <w:rPr>
          <w:rFonts w:eastAsia="Times New Roman"/>
        </w:rPr>
        <w:t xml:space="preserve">Proposal 11–8 </w:t>
      </w:r>
    </w:p>
    <w:p w:rsidR="00F37618" w:rsidRDefault="00F37618" w:rsidP="00F37618">
      <w:pPr>
        <w:pStyle w:val="NormalWeb"/>
        <w:rPr>
          <w:rFonts w:eastAsia="Calibri"/>
        </w:rPr>
      </w:pPr>
      <w:proofErr w:type="gramStart"/>
      <w:r>
        <w:t>yes</w:t>
      </w:r>
      <w:proofErr w:type="gramEnd"/>
    </w:p>
    <w:p w:rsidR="00F37618" w:rsidRDefault="00F37618" w:rsidP="00F37618">
      <w:pPr>
        <w:rPr>
          <w:rFonts w:eastAsia="Times New Roman"/>
        </w:rPr>
      </w:pPr>
      <w:r>
        <w:rPr>
          <w:rFonts w:eastAsia="Times New Roman"/>
        </w:rPr>
        <w:t xml:space="preserve">Proposal 11–9 </w:t>
      </w:r>
    </w:p>
    <w:p w:rsidR="00F37618" w:rsidRDefault="00F37618" w:rsidP="00F37618">
      <w:pPr>
        <w:pStyle w:val="NormalWeb"/>
        <w:rPr>
          <w:rFonts w:eastAsia="Calibri"/>
        </w:rPr>
      </w:pPr>
      <w:proofErr w:type="gramStart"/>
      <w:r>
        <w:t>yes</w:t>
      </w:r>
      <w:proofErr w:type="gramEnd"/>
      <w:r>
        <w:t xml:space="preserve"> to all of the above</w:t>
      </w:r>
    </w:p>
    <w:p w:rsidR="00F37618" w:rsidRDefault="00F37618" w:rsidP="00F37618">
      <w:pPr>
        <w:rPr>
          <w:rFonts w:eastAsia="Times New Roman"/>
        </w:rPr>
      </w:pPr>
      <w:r>
        <w:rPr>
          <w:rFonts w:eastAsia="Times New Roman"/>
        </w:rPr>
        <w:t xml:space="preserve">Proposal 11–10 </w:t>
      </w:r>
    </w:p>
    <w:p w:rsidR="00F37618" w:rsidRDefault="00F37618" w:rsidP="00F37618">
      <w:pPr>
        <w:pStyle w:val="NormalWeb"/>
        <w:rPr>
          <w:rFonts w:eastAsia="Calibri"/>
        </w:rPr>
      </w:pPr>
      <w:proofErr w:type="gramStart"/>
      <w:r>
        <w:t>yes</w:t>
      </w:r>
      <w:proofErr w:type="gramEnd"/>
      <w:r>
        <w:t xml:space="preserve"> to all of the above</w:t>
      </w:r>
    </w:p>
    <w:p w:rsidR="00F37618" w:rsidRDefault="00F37618" w:rsidP="00F37618">
      <w:pPr>
        <w:rPr>
          <w:rFonts w:eastAsia="Times New Roman"/>
        </w:rPr>
      </w:pPr>
      <w:r>
        <w:rPr>
          <w:rFonts w:eastAsia="Times New Roman"/>
        </w:rPr>
        <w:t xml:space="preserve">Proposal 11–11 </w:t>
      </w:r>
    </w:p>
    <w:p w:rsidR="00F37618" w:rsidRDefault="00F37618" w:rsidP="00F37618">
      <w:pPr>
        <w:pStyle w:val="NormalWeb"/>
        <w:rPr>
          <w:rFonts w:eastAsia="Calibri"/>
        </w:rPr>
      </w:pPr>
      <w:proofErr w:type="gramStart"/>
      <w:r>
        <w:t>yes</w:t>
      </w:r>
      <w:proofErr w:type="gramEnd"/>
      <w:r>
        <w:t xml:space="preserve"> to all of the above</w:t>
      </w:r>
    </w:p>
    <w:p w:rsidR="00F37618" w:rsidRDefault="00F37618"/>
    <w:sectPr w:rsidR="00F37618"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F37618"/>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0FB3"/>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2BE"/>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98"/>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D2"/>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41E"/>
    <w:rsid w:val="0018058F"/>
    <w:rsid w:val="00180806"/>
    <w:rsid w:val="001808F2"/>
    <w:rsid w:val="00180A0D"/>
    <w:rsid w:val="00180CE0"/>
    <w:rsid w:val="00180CF7"/>
    <w:rsid w:val="00180F28"/>
    <w:rsid w:val="00181148"/>
    <w:rsid w:val="0018122C"/>
    <w:rsid w:val="00181719"/>
    <w:rsid w:val="00181834"/>
    <w:rsid w:val="00181877"/>
    <w:rsid w:val="00181954"/>
    <w:rsid w:val="00181A3E"/>
    <w:rsid w:val="00181A78"/>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75F"/>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32"/>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C15"/>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4D6"/>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488"/>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5D26"/>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20"/>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C2"/>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B8"/>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7FA"/>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1D"/>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0FE"/>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586"/>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A5B"/>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C3C"/>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988"/>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2F"/>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9EE"/>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7B"/>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CB3"/>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3C"/>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7CC"/>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34"/>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5D0C"/>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496"/>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6C7"/>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04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8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9B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10"/>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8"/>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12"/>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DD8"/>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3D4"/>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BD8"/>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A55"/>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BE"/>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9F5"/>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0"/>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18"/>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694"/>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6C9"/>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21052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698</Words>
  <Characters>3983</Characters>
  <Application>Microsoft Office Word</Application>
  <DocSecurity>0</DocSecurity>
  <Lines>33</Lines>
  <Paragraphs>9</Paragraphs>
  <ScaleCrop>false</ScaleCrop>
  <Company>Hewlett-Packard Company</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2017-03-09T06:14:00Z</dcterms:created>
  <dcterms:modified xsi:type="dcterms:W3CDTF">2017-03-09T06:14:00Z</dcterms:modified>
</cp:coreProperties>
</file>