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F96" w:rsidRDefault="007A179C">
      <w:pPr>
        <w:tabs>
          <w:tab w:val="left" w:pos="3828"/>
          <w:tab w:val="left" w:pos="7088"/>
        </w:tabs>
        <w:jc w:val="right"/>
        <w:rPr>
          <w:rFonts w:ascii="Arial" w:hAnsi="Arial"/>
          <w:sz w:val="18"/>
        </w:rPr>
      </w:pPr>
      <w:r>
        <w:rPr>
          <w:noProof/>
          <w:lang w:eastAsia="en-AU"/>
        </w:rPr>
        <w:drawing>
          <wp:anchor distT="0" distB="0" distL="114300" distR="114300" simplePos="0" relativeHeight="251658240" behindDoc="1" locked="0" layoutInCell="1" allowOverlap="1">
            <wp:simplePos x="0" y="0"/>
            <wp:positionH relativeFrom="column">
              <wp:posOffset>1449070</wp:posOffset>
            </wp:positionH>
            <wp:positionV relativeFrom="paragraph">
              <wp:posOffset>-146050</wp:posOffset>
            </wp:positionV>
            <wp:extent cx="2171700" cy="949325"/>
            <wp:effectExtent l="0" t="0" r="0" b="0"/>
            <wp:wrapNone/>
            <wp:docPr id="2" name="Picture 4" descr="CL_Logo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_Logo_RGB_PNG"/>
                    <pic:cNvPicPr>
                      <a:picLocks noChangeAspect="1" noChangeArrowheads="1"/>
                    </pic:cNvPicPr>
                  </pic:nvPicPr>
                  <pic:blipFill>
                    <a:blip r:embed="rId5"/>
                    <a:srcRect/>
                    <a:stretch>
                      <a:fillRect/>
                    </a:stretch>
                  </pic:blipFill>
                  <pic:spPr bwMode="auto">
                    <a:xfrm>
                      <a:off x="0" y="0"/>
                      <a:ext cx="2171700" cy="949325"/>
                    </a:xfrm>
                    <a:prstGeom prst="rect">
                      <a:avLst/>
                    </a:prstGeom>
                    <a:noFill/>
                  </pic:spPr>
                </pic:pic>
              </a:graphicData>
            </a:graphic>
          </wp:anchor>
        </w:drawing>
      </w:r>
      <w:r w:rsidR="005E2AC5" w:rsidRPr="005E2AC5">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6.55pt;margin-top:.65pt;width:208.8pt;height:59.85pt;z-index:251657216;mso-position-horizontal-relative:text;mso-position-vertical-relative:text" o:allowincell="f" stroked="f">
            <v:textbox>
              <w:txbxContent>
                <w:p w:rsidR="0040300B" w:rsidRDefault="0040300B">
                  <w:pPr>
                    <w:pStyle w:val="Heading5"/>
                  </w:pPr>
                  <w:r>
                    <w:t>Cengage Learning Australia Pty Limited</w:t>
                  </w:r>
                </w:p>
                <w:p w:rsidR="0040300B" w:rsidRDefault="0040300B">
                  <w:pPr>
                    <w:tabs>
                      <w:tab w:val="left" w:pos="3828"/>
                      <w:tab w:val="left" w:pos="7088"/>
                    </w:tabs>
                    <w:rPr>
                      <w:rFonts w:ascii="Arial" w:hAnsi="Arial"/>
                      <w:sz w:val="18"/>
                    </w:rPr>
                  </w:pPr>
                  <w:r>
                    <w:rPr>
                      <w:rFonts w:ascii="Arial" w:hAnsi="Arial"/>
                      <w:sz w:val="18"/>
                    </w:rPr>
                    <w:t>Level 7, 80 Dorcas  Street</w:t>
                  </w:r>
                </w:p>
                <w:p w:rsidR="0040300B" w:rsidRDefault="0040300B">
                  <w:pPr>
                    <w:tabs>
                      <w:tab w:val="left" w:pos="3828"/>
                      <w:tab w:val="left" w:pos="7088"/>
                    </w:tabs>
                    <w:rPr>
                      <w:rFonts w:ascii="Arial" w:hAnsi="Arial"/>
                      <w:sz w:val="18"/>
                    </w:rPr>
                  </w:pPr>
                  <w:r>
                    <w:rPr>
                      <w:rFonts w:ascii="Arial" w:hAnsi="Arial"/>
                      <w:sz w:val="18"/>
                    </w:rPr>
                    <w:t xml:space="preserve">South Melbourne  VIC  3205  </w:t>
                  </w:r>
                  <w:smartTag w:uri="urn:schemas-microsoft-com:office:smarttags" w:element="country-region">
                    <w:smartTag w:uri="urn:schemas-microsoft-com:office:smarttags" w:element="place">
                      <w:r>
                        <w:rPr>
                          <w:rFonts w:ascii="Arial" w:hAnsi="Arial"/>
                          <w:sz w:val="18"/>
                        </w:rPr>
                        <w:t>Australia</w:t>
                      </w:r>
                    </w:smartTag>
                  </w:smartTag>
                </w:p>
                <w:p w:rsidR="0040300B" w:rsidRDefault="0040300B">
                  <w:pPr>
                    <w:pStyle w:val="BodyText"/>
                  </w:pPr>
                  <w:r>
                    <w:t>Tel: 61-3-9685-4111     Fax:  61-3-9685-4199</w:t>
                  </w:r>
                </w:p>
                <w:p w:rsidR="0040300B" w:rsidRPr="001045B1" w:rsidRDefault="0040300B">
                  <w:pPr>
                    <w:tabs>
                      <w:tab w:val="left" w:pos="3828"/>
                      <w:tab w:val="left" w:pos="7088"/>
                    </w:tabs>
                    <w:rPr>
                      <w:rFonts w:ascii="Arial" w:hAnsi="Arial"/>
                      <w:sz w:val="18"/>
                      <w:lang w:val="es-MX"/>
                    </w:rPr>
                  </w:pPr>
                  <w:r w:rsidRPr="001045B1">
                    <w:rPr>
                      <w:rFonts w:ascii="Arial" w:hAnsi="Arial"/>
                      <w:sz w:val="18"/>
                      <w:lang w:val="es-MX"/>
                    </w:rPr>
                    <w:t xml:space="preserve">ABN 14 058 280 149  </w:t>
                  </w:r>
                  <w:r>
                    <w:rPr>
                      <w:rFonts w:ascii="Arial" w:hAnsi="Arial"/>
                      <w:sz w:val="18"/>
                      <w:lang w:val="es-MX"/>
                    </w:rPr>
                    <w:t xml:space="preserve">  </w:t>
                  </w:r>
                  <w:r w:rsidRPr="001045B1">
                    <w:rPr>
                      <w:rFonts w:ascii="Arial" w:hAnsi="Arial"/>
                      <w:sz w:val="18"/>
                      <w:lang w:val="es-MX"/>
                    </w:rPr>
                    <w:t>ACN 058 280 149</w:t>
                  </w:r>
                </w:p>
                <w:p w:rsidR="0040300B" w:rsidRPr="001045B1" w:rsidRDefault="0040300B">
                  <w:pPr>
                    <w:tabs>
                      <w:tab w:val="left" w:pos="3828"/>
                      <w:tab w:val="left" w:pos="7088"/>
                    </w:tabs>
                    <w:rPr>
                      <w:lang w:val="es-MX"/>
                    </w:rPr>
                  </w:pPr>
                </w:p>
              </w:txbxContent>
            </v:textbox>
            <w10:wrap type="square"/>
          </v:shape>
        </w:pict>
      </w:r>
    </w:p>
    <w:p w:rsidR="00133F96" w:rsidRDefault="00133F96">
      <w:pPr>
        <w:tabs>
          <w:tab w:val="left" w:pos="3828"/>
          <w:tab w:val="left" w:pos="7088"/>
        </w:tabs>
        <w:rPr>
          <w:rFonts w:ascii="Arial" w:hAnsi="Arial"/>
          <w:sz w:val="18"/>
        </w:rPr>
      </w:pPr>
    </w:p>
    <w:p w:rsidR="00133F96" w:rsidRDefault="00133F96">
      <w:pPr>
        <w:tabs>
          <w:tab w:val="left" w:pos="3828"/>
          <w:tab w:val="left" w:pos="7088"/>
        </w:tabs>
        <w:rPr>
          <w:rFonts w:ascii="Arial" w:hAnsi="Arial"/>
          <w:sz w:val="18"/>
        </w:rPr>
      </w:pPr>
    </w:p>
    <w:p w:rsidR="00133F96" w:rsidRDefault="00133F96">
      <w:pPr>
        <w:tabs>
          <w:tab w:val="left" w:pos="3828"/>
          <w:tab w:val="left" w:pos="7088"/>
        </w:tabs>
        <w:rPr>
          <w:rFonts w:ascii="Arial" w:hAnsi="Arial"/>
          <w:sz w:val="18"/>
        </w:rPr>
      </w:pPr>
    </w:p>
    <w:p w:rsidR="00133F96" w:rsidRDefault="00133F96">
      <w:pPr>
        <w:tabs>
          <w:tab w:val="left" w:pos="3828"/>
          <w:tab w:val="left" w:pos="7088"/>
        </w:tabs>
        <w:rPr>
          <w:rFonts w:ascii="Arial" w:hAnsi="Arial"/>
          <w:sz w:val="18"/>
        </w:rPr>
      </w:pPr>
    </w:p>
    <w:p w:rsidR="00133F96" w:rsidRDefault="00133F96">
      <w:pPr>
        <w:tabs>
          <w:tab w:val="left" w:pos="3828"/>
          <w:tab w:val="left" w:pos="7088"/>
        </w:tabs>
      </w:pPr>
    </w:p>
    <w:p w:rsidR="00133F96" w:rsidRDefault="00133F96">
      <w:pPr>
        <w:tabs>
          <w:tab w:val="left" w:pos="3828"/>
          <w:tab w:val="left" w:pos="7088"/>
        </w:tabs>
      </w:pPr>
    </w:p>
    <w:p w:rsidR="00133F96" w:rsidRDefault="00133F96">
      <w:pPr>
        <w:tabs>
          <w:tab w:val="left" w:pos="3828"/>
          <w:tab w:val="left" w:pos="7088"/>
        </w:tabs>
        <w:sectPr w:rsidR="00133F96">
          <w:type w:val="continuous"/>
          <w:pgSz w:w="11907" w:h="16840" w:code="9"/>
          <w:pgMar w:top="1134" w:right="1134" w:bottom="1134" w:left="1134" w:header="567" w:footer="567" w:gutter="0"/>
          <w:cols w:space="720"/>
        </w:sectPr>
      </w:pPr>
    </w:p>
    <w:p w:rsidR="00133F96" w:rsidRDefault="00133F96">
      <w:pPr>
        <w:tabs>
          <w:tab w:val="left" w:pos="3828"/>
          <w:tab w:val="left" w:pos="7088"/>
        </w:tabs>
      </w:pPr>
    </w:p>
    <w:p w:rsidR="00133F96" w:rsidRPr="003717C8" w:rsidRDefault="0040300B" w:rsidP="00D26B4C">
      <w:pPr>
        <w:tabs>
          <w:tab w:val="left" w:pos="3828"/>
          <w:tab w:val="left" w:pos="7088"/>
        </w:tabs>
        <w:rPr>
          <w:rFonts w:ascii="Calibri" w:hAnsi="Calibri"/>
          <w:szCs w:val="24"/>
        </w:rPr>
      </w:pPr>
      <w:r>
        <w:rPr>
          <w:rFonts w:ascii="Calibri" w:hAnsi="Calibri"/>
          <w:szCs w:val="24"/>
        </w:rPr>
        <w:t>1</w:t>
      </w:r>
      <w:r w:rsidR="00EB00EF">
        <w:rPr>
          <w:rFonts w:ascii="Calibri" w:hAnsi="Calibri"/>
          <w:szCs w:val="24"/>
        </w:rPr>
        <w:t>5</w:t>
      </w:r>
      <w:r w:rsidR="005526A4">
        <w:rPr>
          <w:rFonts w:ascii="Calibri" w:hAnsi="Calibri"/>
          <w:szCs w:val="24"/>
        </w:rPr>
        <w:t xml:space="preserve"> July 2013</w:t>
      </w:r>
    </w:p>
    <w:p w:rsidR="00133F96" w:rsidRPr="003717C8" w:rsidRDefault="00133F96" w:rsidP="00D26B4C">
      <w:pPr>
        <w:tabs>
          <w:tab w:val="left" w:pos="3828"/>
          <w:tab w:val="left" w:pos="7088"/>
        </w:tabs>
        <w:rPr>
          <w:rFonts w:ascii="Calibri" w:hAnsi="Calibri"/>
          <w:szCs w:val="24"/>
        </w:rPr>
      </w:pPr>
    </w:p>
    <w:p w:rsidR="00133F96" w:rsidRPr="004D6F9F" w:rsidRDefault="00133F96" w:rsidP="00D26B4C">
      <w:pPr>
        <w:tabs>
          <w:tab w:val="left" w:pos="3828"/>
          <w:tab w:val="left" w:pos="7088"/>
        </w:tabs>
        <w:rPr>
          <w:rFonts w:ascii="Calibri" w:hAnsi="Calibri"/>
          <w:sz w:val="32"/>
          <w:szCs w:val="32"/>
        </w:rPr>
      </w:pPr>
      <w:r w:rsidRPr="004D6F9F">
        <w:rPr>
          <w:rFonts w:ascii="Calibri" w:hAnsi="Calibri"/>
          <w:sz w:val="32"/>
          <w:szCs w:val="32"/>
        </w:rPr>
        <w:t xml:space="preserve">TO:            </w:t>
      </w:r>
      <w:r w:rsidR="00E10ADC">
        <w:rPr>
          <w:rFonts w:ascii="Calibri" w:hAnsi="Calibri"/>
          <w:sz w:val="32"/>
          <w:szCs w:val="32"/>
        </w:rPr>
        <w:t>Australian Law Reform Commission</w:t>
      </w:r>
    </w:p>
    <w:p w:rsidR="00133F96" w:rsidRPr="004D6F9F" w:rsidRDefault="00133F96" w:rsidP="00D26B4C">
      <w:pPr>
        <w:tabs>
          <w:tab w:val="left" w:pos="3828"/>
          <w:tab w:val="left" w:pos="7088"/>
        </w:tabs>
        <w:rPr>
          <w:rFonts w:ascii="Calibri" w:hAnsi="Calibri"/>
          <w:sz w:val="32"/>
          <w:szCs w:val="32"/>
        </w:rPr>
      </w:pPr>
      <w:r w:rsidRPr="004D6F9F">
        <w:rPr>
          <w:rFonts w:ascii="Calibri" w:hAnsi="Calibri"/>
          <w:sz w:val="32"/>
          <w:szCs w:val="32"/>
        </w:rPr>
        <w:t xml:space="preserve">RE:            </w:t>
      </w:r>
      <w:r w:rsidR="00552FF9">
        <w:rPr>
          <w:rFonts w:ascii="Calibri" w:hAnsi="Calibri"/>
          <w:sz w:val="32"/>
          <w:szCs w:val="32"/>
        </w:rPr>
        <w:t>‘</w:t>
      </w:r>
      <w:r w:rsidR="00E10ADC">
        <w:rPr>
          <w:rFonts w:ascii="Calibri" w:hAnsi="Calibri"/>
          <w:sz w:val="32"/>
          <w:szCs w:val="32"/>
        </w:rPr>
        <w:t>Copyright and the Digital Economy</w:t>
      </w:r>
      <w:r w:rsidR="00ED687A">
        <w:rPr>
          <w:rFonts w:ascii="Calibri" w:hAnsi="Calibri"/>
          <w:sz w:val="32"/>
          <w:szCs w:val="32"/>
        </w:rPr>
        <w:t>’</w:t>
      </w:r>
      <w:r w:rsidR="00E10ADC">
        <w:rPr>
          <w:rFonts w:ascii="Calibri" w:hAnsi="Calibri"/>
          <w:sz w:val="32"/>
          <w:szCs w:val="32"/>
        </w:rPr>
        <w:t xml:space="preserve"> </w:t>
      </w:r>
      <w:r w:rsidR="00ED687A">
        <w:rPr>
          <w:rFonts w:ascii="Calibri" w:hAnsi="Calibri"/>
          <w:sz w:val="32"/>
          <w:szCs w:val="32"/>
        </w:rPr>
        <w:t>– Discussion Paper 79</w:t>
      </w:r>
    </w:p>
    <w:p w:rsidR="00133F96" w:rsidRDefault="00133F96" w:rsidP="00A447DF">
      <w:pPr>
        <w:tabs>
          <w:tab w:val="left" w:pos="3828"/>
          <w:tab w:val="left" w:pos="7088"/>
        </w:tabs>
        <w:ind w:left="426"/>
        <w:rPr>
          <w:rFonts w:ascii="Calibri" w:hAnsi="Calibri"/>
          <w:szCs w:val="24"/>
        </w:rPr>
      </w:pPr>
    </w:p>
    <w:p w:rsidR="00E93F2F" w:rsidRDefault="00E93F2F" w:rsidP="005526A4">
      <w:pPr>
        <w:tabs>
          <w:tab w:val="left" w:pos="3828"/>
          <w:tab w:val="left" w:pos="7088"/>
        </w:tabs>
        <w:rPr>
          <w:rFonts w:ascii="Calibri" w:hAnsi="Calibri"/>
          <w:szCs w:val="24"/>
        </w:rPr>
      </w:pPr>
      <w:r>
        <w:rPr>
          <w:rFonts w:ascii="Calibri" w:hAnsi="Calibri"/>
          <w:szCs w:val="24"/>
        </w:rPr>
        <w:t xml:space="preserve">Cengage Learning Australia Pty Ltd (CLA) has a long history in publishing local textbooks, and student &amp; teacher resource materials in </w:t>
      </w:r>
      <w:smartTag w:uri="urn:schemas-microsoft-com:office:smarttags" w:element="place">
        <w:smartTag w:uri="urn:schemas-microsoft-com:office:smarttags" w:element="country-region">
          <w:r>
            <w:rPr>
              <w:rFonts w:ascii="Calibri" w:hAnsi="Calibri"/>
              <w:szCs w:val="24"/>
            </w:rPr>
            <w:t>Australia</w:t>
          </w:r>
        </w:smartTag>
      </w:smartTag>
      <w:r>
        <w:rPr>
          <w:rFonts w:ascii="Calibri" w:hAnsi="Calibri"/>
          <w:szCs w:val="24"/>
        </w:rPr>
        <w:t xml:space="preserve">.  CLA specific serves the Education market, with strong annual frontlist publishing for the primary, secondary and tertiary market segments and maintains a considerable title portfolio of backlist resources </w:t>
      </w:r>
      <w:r w:rsidR="00630FBF">
        <w:rPr>
          <w:rFonts w:ascii="Calibri" w:hAnsi="Calibri"/>
          <w:szCs w:val="24"/>
        </w:rPr>
        <w:t xml:space="preserve">in both print and multi-platform digital formats </w:t>
      </w:r>
      <w:r>
        <w:rPr>
          <w:rFonts w:ascii="Calibri" w:hAnsi="Calibri"/>
          <w:szCs w:val="24"/>
        </w:rPr>
        <w:t>for each of these three market segments.</w:t>
      </w:r>
    </w:p>
    <w:p w:rsidR="002254A8" w:rsidRDefault="002254A8" w:rsidP="005526A4">
      <w:pPr>
        <w:tabs>
          <w:tab w:val="left" w:pos="3828"/>
          <w:tab w:val="left" w:pos="7088"/>
        </w:tabs>
        <w:rPr>
          <w:rFonts w:ascii="Calibri" w:hAnsi="Calibri"/>
          <w:szCs w:val="24"/>
        </w:rPr>
      </w:pPr>
    </w:p>
    <w:p w:rsidR="002254A8" w:rsidRDefault="002254A8" w:rsidP="005526A4">
      <w:pPr>
        <w:tabs>
          <w:tab w:val="left" w:pos="3828"/>
          <w:tab w:val="left" w:pos="7088"/>
        </w:tabs>
        <w:rPr>
          <w:rFonts w:ascii="Calibri" w:hAnsi="Calibri"/>
          <w:szCs w:val="24"/>
        </w:rPr>
      </w:pPr>
      <w:r>
        <w:rPr>
          <w:rFonts w:ascii="Calibri" w:hAnsi="Calibri"/>
          <w:szCs w:val="24"/>
        </w:rPr>
        <w:t xml:space="preserve">All our key titles are available in digital </w:t>
      </w:r>
      <w:r w:rsidR="002A4864">
        <w:rPr>
          <w:rFonts w:ascii="Calibri" w:hAnsi="Calibri"/>
          <w:szCs w:val="24"/>
        </w:rPr>
        <w:t>interactive</w:t>
      </w:r>
      <w:r>
        <w:rPr>
          <w:rFonts w:ascii="Calibri" w:hAnsi="Calibri"/>
          <w:szCs w:val="24"/>
        </w:rPr>
        <w:t xml:space="preserve"> format in addition to print.  A host of other digital assets are continually invested in and created by Cengage to supplement and expand our main resources for the learning advantage to students in each of the education sectors we operate in.</w:t>
      </w:r>
    </w:p>
    <w:p w:rsidR="00E93F2F" w:rsidRDefault="00E93F2F" w:rsidP="005526A4">
      <w:pPr>
        <w:tabs>
          <w:tab w:val="left" w:pos="3828"/>
          <w:tab w:val="left" w:pos="7088"/>
        </w:tabs>
        <w:rPr>
          <w:rFonts w:ascii="Calibri" w:hAnsi="Calibri"/>
          <w:szCs w:val="24"/>
        </w:rPr>
      </w:pPr>
    </w:p>
    <w:p w:rsidR="00E93F2F" w:rsidRDefault="00E93F2F" w:rsidP="005526A4">
      <w:pPr>
        <w:tabs>
          <w:tab w:val="left" w:pos="3828"/>
          <w:tab w:val="left" w:pos="7088"/>
        </w:tabs>
        <w:rPr>
          <w:rFonts w:ascii="Calibri" w:hAnsi="Calibri"/>
          <w:szCs w:val="24"/>
        </w:rPr>
      </w:pPr>
      <w:r>
        <w:rPr>
          <w:rFonts w:ascii="Calibri" w:hAnsi="Calibri"/>
          <w:szCs w:val="24"/>
        </w:rPr>
        <w:t xml:space="preserve">This </w:t>
      </w:r>
      <w:r w:rsidR="002254A8">
        <w:rPr>
          <w:rFonts w:ascii="Calibri" w:hAnsi="Calibri"/>
          <w:szCs w:val="24"/>
        </w:rPr>
        <w:t>submission</w:t>
      </w:r>
      <w:r>
        <w:rPr>
          <w:rFonts w:ascii="Calibri" w:hAnsi="Calibri"/>
          <w:szCs w:val="24"/>
        </w:rPr>
        <w:t xml:space="preserve"> is a follow up to our 8</w:t>
      </w:r>
      <w:r w:rsidRPr="002F147E">
        <w:rPr>
          <w:rFonts w:ascii="Calibri" w:hAnsi="Calibri"/>
          <w:szCs w:val="24"/>
          <w:vertAlign w:val="superscript"/>
        </w:rPr>
        <w:t>th</w:t>
      </w:r>
      <w:r>
        <w:rPr>
          <w:rFonts w:ascii="Calibri" w:hAnsi="Calibri"/>
          <w:szCs w:val="24"/>
        </w:rPr>
        <w:t xml:space="preserve"> Nov 2012 submission to the </w:t>
      </w:r>
      <w:r w:rsidR="002254A8">
        <w:rPr>
          <w:rFonts w:ascii="Calibri" w:hAnsi="Calibri"/>
          <w:szCs w:val="24"/>
        </w:rPr>
        <w:t>ALRC</w:t>
      </w:r>
      <w:r>
        <w:rPr>
          <w:rFonts w:ascii="Calibri" w:hAnsi="Calibri"/>
          <w:szCs w:val="24"/>
        </w:rPr>
        <w:t xml:space="preserve"> and </w:t>
      </w:r>
      <w:r w:rsidR="002A4864">
        <w:rPr>
          <w:rFonts w:ascii="Calibri" w:hAnsi="Calibri"/>
          <w:szCs w:val="24"/>
        </w:rPr>
        <w:t>specifically</w:t>
      </w:r>
      <w:r>
        <w:rPr>
          <w:rFonts w:ascii="Calibri" w:hAnsi="Calibri"/>
          <w:szCs w:val="24"/>
        </w:rPr>
        <w:t xml:space="preserve"> in response to the </w:t>
      </w:r>
      <w:r w:rsidR="00C74B7E">
        <w:rPr>
          <w:rFonts w:ascii="Calibri" w:hAnsi="Calibri"/>
          <w:szCs w:val="24"/>
        </w:rPr>
        <w:t xml:space="preserve">Discussion Paper 79 issued in </w:t>
      </w:r>
      <w:r w:rsidR="00467739">
        <w:rPr>
          <w:rFonts w:ascii="Calibri" w:hAnsi="Calibri"/>
          <w:szCs w:val="24"/>
        </w:rPr>
        <w:t>June</w:t>
      </w:r>
      <w:r w:rsidR="00ED687A">
        <w:rPr>
          <w:rFonts w:ascii="Calibri" w:hAnsi="Calibri"/>
          <w:szCs w:val="24"/>
        </w:rPr>
        <w:t xml:space="preserve"> 2013 by the Australian Law R</w:t>
      </w:r>
      <w:r w:rsidR="00C74B7E">
        <w:rPr>
          <w:rFonts w:ascii="Calibri" w:hAnsi="Calibri"/>
          <w:szCs w:val="24"/>
        </w:rPr>
        <w:t>eform Commission</w:t>
      </w:r>
      <w:r>
        <w:rPr>
          <w:rFonts w:ascii="Calibri" w:hAnsi="Calibri"/>
          <w:szCs w:val="24"/>
        </w:rPr>
        <w:t>.</w:t>
      </w:r>
    </w:p>
    <w:p w:rsidR="00E93F2F" w:rsidRDefault="00E93F2F" w:rsidP="005526A4">
      <w:pPr>
        <w:tabs>
          <w:tab w:val="left" w:pos="3828"/>
          <w:tab w:val="left" w:pos="7088"/>
        </w:tabs>
        <w:rPr>
          <w:rFonts w:ascii="Calibri" w:hAnsi="Calibri"/>
          <w:szCs w:val="24"/>
        </w:rPr>
      </w:pPr>
    </w:p>
    <w:p w:rsidR="00ED687A" w:rsidRDefault="00630FBF" w:rsidP="005526A4">
      <w:pPr>
        <w:tabs>
          <w:tab w:val="left" w:pos="3828"/>
          <w:tab w:val="left" w:pos="7088"/>
        </w:tabs>
        <w:rPr>
          <w:rFonts w:ascii="Calibri" w:hAnsi="Calibri"/>
          <w:szCs w:val="24"/>
        </w:rPr>
      </w:pPr>
      <w:r>
        <w:rPr>
          <w:rFonts w:ascii="Calibri" w:hAnsi="Calibri"/>
          <w:szCs w:val="24"/>
        </w:rPr>
        <w:t xml:space="preserve">In </w:t>
      </w:r>
      <w:r w:rsidR="002254A8">
        <w:rPr>
          <w:rFonts w:ascii="Calibri" w:hAnsi="Calibri"/>
          <w:szCs w:val="24"/>
        </w:rPr>
        <w:t>our</w:t>
      </w:r>
      <w:r>
        <w:rPr>
          <w:rFonts w:ascii="Calibri" w:hAnsi="Calibri"/>
          <w:szCs w:val="24"/>
        </w:rPr>
        <w:t xml:space="preserve"> opinion, t</w:t>
      </w:r>
      <w:r w:rsidR="00E93F2F">
        <w:rPr>
          <w:rFonts w:ascii="Calibri" w:hAnsi="Calibri"/>
          <w:szCs w:val="24"/>
        </w:rPr>
        <w:t xml:space="preserve">here are two critically inaccurate contentions made by the Commission that are absolutely fundamental to </w:t>
      </w:r>
      <w:r w:rsidR="00ED687A">
        <w:rPr>
          <w:rFonts w:ascii="Calibri" w:hAnsi="Calibri"/>
          <w:szCs w:val="24"/>
        </w:rPr>
        <w:t>this discussion</w:t>
      </w:r>
      <w:r w:rsidR="002254A8">
        <w:rPr>
          <w:rFonts w:ascii="Calibri" w:hAnsi="Calibri"/>
          <w:szCs w:val="24"/>
        </w:rPr>
        <w:t>,</w:t>
      </w:r>
      <w:r w:rsidR="00ED687A">
        <w:rPr>
          <w:rFonts w:ascii="Calibri" w:hAnsi="Calibri"/>
          <w:szCs w:val="24"/>
        </w:rPr>
        <w:t xml:space="preserve"> and which seriously question the ALRC’s understanding on</w:t>
      </w:r>
      <w:r w:rsidR="00E93F2F">
        <w:rPr>
          <w:rFonts w:ascii="Calibri" w:hAnsi="Calibri"/>
          <w:szCs w:val="24"/>
        </w:rPr>
        <w:t xml:space="preserve"> how the Education market in Australia</w:t>
      </w:r>
      <w:r w:rsidR="009D02CD">
        <w:rPr>
          <w:rFonts w:ascii="Calibri" w:hAnsi="Calibri"/>
          <w:szCs w:val="24"/>
        </w:rPr>
        <w:t xml:space="preserve"> actually</w:t>
      </w:r>
      <w:r w:rsidR="00E93F2F">
        <w:rPr>
          <w:rFonts w:ascii="Calibri" w:hAnsi="Calibri"/>
          <w:szCs w:val="24"/>
        </w:rPr>
        <w:t xml:space="preserve"> operates</w:t>
      </w:r>
      <w:r w:rsidR="002254A8">
        <w:rPr>
          <w:rFonts w:ascii="Calibri" w:hAnsi="Calibri"/>
          <w:szCs w:val="24"/>
        </w:rPr>
        <w:t xml:space="preserve"> – how students learn and how teachers teach</w:t>
      </w:r>
      <w:r w:rsidR="00BF118D">
        <w:rPr>
          <w:rFonts w:ascii="Calibri" w:hAnsi="Calibri"/>
          <w:szCs w:val="24"/>
        </w:rPr>
        <w:t xml:space="preserve"> with respect to </w:t>
      </w:r>
      <w:r w:rsidR="00CF77AB">
        <w:rPr>
          <w:rFonts w:ascii="Calibri" w:hAnsi="Calibri"/>
          <w:szCs w:val="24"/>
        </w:rPr>
        <w:t xml:space="preserve">the provision of bespoke commercially produced </w:t>
      </w:r>
      <w:r w:rsidR="00BF118D">
        <w:rPr>
          <w:rFonts w:ascii="Calibri" w:hAnsi="Calibri"/>
          <w:szCs w:val="24"/>
        </w:rPr>
        <w:t>teaching and learning resources</w:t>
      </w:r>
      <w:r w:rsidR="00ED687A">
        <w:rPr>
          <w:rFonts w:ascii="Calibri" w:hAnsi="Calibri"/>
          <w:szCs w:val="24"/>
        </w:rPr>
        <w:t>.</w:t>
      </w:r>
    </w:p>
    <w:p w:rsidR="00ED687A" w:rsidRDefault="00ED687A" w:rsidP="005526A4">
      <w:pPr>
        <w:tabs>
          <w:tab w:val="left" w:pos="3828"/>
          <w:tab w:val="left" w:pos="7088"/>
        </w:tabs>
        <w:rPr>
          <w:rFonts w:ascii="Calibri" w:hAnsi="Calibri"/>
          <w:szCs w:val="24"/>
        </w:rPr>
      </w:pPr>
    </w:p>
    <w:p w:rsidR="005526A4" w:rsidRPr="0039628A" w:rsidRDefault="005526A4" w:rsidP="005526A4">
      <w:pPr>
        <w:tabs>
          <w:tab w:val="left" w:pos="3828"/>
          <w:tab w:val="left" w:pos="7088"/>
        </w:tabs>
        <w:rPr>
          <w:rFonts w:ascii="Calibri" w:hAnsi="Calibri"/>
          <w:b/>
          <w:szCs w:val="24"/>
        </w:rPr>
      </w:pPr>
      <w:r w:rsidRPr="00BF118D">
        <w:rPr>
          <w:rFonts w:ascii="Calibri" w:hAnsi="Calibri"/>
          <w:b/>
          <w:szCs w:val="24"/>
        </w:rPr>
        <w:t>Fundamental inaccuracy number 1:</w:t>
      </w:r>
      <w:r w:rsidR="0039628A">
        <w:rPr>
          <w:rFonts w:ascii="Calibri" w:hAnsi="Calibri"/>
          <w:szCs w:val="24"/>
        </w:rPr>
        <w:t xml:space="preserve">  </w:t>
      </w:r>
      <w:r w:rsidR="0039628A" w:rsidRPr="00732967">
        <w:rPr>
          <w:rFonts w:ascii="Calibri" w:hAnsi="Calibri"/>
          <w:color w:val="0000CC"/>
          <w:szCs w:val="24"/>
        </w:rPr>
        <w:t>That somehow Voluntary licences will be more efficient</w:t>
      </w:r>
      <w:r w:rsidR="00732967" w:rsidRPr="00732967">
        <w:rPr>
          <w:rFonts w:ascii="Calibri" w:hAnsi="Calibri"/>
          <w:color w:val="0000CC"/>
          <w:szCs w:val="24"/>
        </w:rPr>
        <w:t>.</w:t>
      </w:r>
    </w:p>
    <w:p w:rsidR="005526A4" w:rsidRDefault="005526A4" w:rsidP="005526A4">
      <w:pPr>
        <w:tabs>
          <w:tab w:val="left" w:pos="3828"/>
          <w:tab w:val="left" w:pos="7088"/>
        </w:tabs>
        <w:rPr>
          <w:rFonts w:ascii="Calibri" w:hAnsi="Calibri"/>
          <w:szCs w:val="24"/>
        </w:rPr>
      </w:pPr>
    </w:p>
    <w:p w:rsidR="008C138D" w:rsidRPr="005526A4" w:rsidRDefault="005526A4" w:rsidP="005526A4">
      <w:pPr>
        <w:tabs>
          <w:tab w:val="left" w:pos="3828"/>
          <w:tab w:val="left" w:pos="7088"/>
        </w:tabs>
        <w:rPr>
          <w:rFonts w:ascii="Calibri" w:hAnsi="Calibri"/>
          <w:szCs w:val="24"/>
        </w:rPr>
      </w:pPr>
      <w:r>
        <w:rPr>
          <w:rFonts w:ascii="Calibri" w:hAnsi="Calibri"/>
          <w:szCs w:val="24"/>
        </w:rPr>
        <w:t xml:space="preserve">At section </w:t>
      </w:r>
      <w:r w:rsidR="009D02CD" w:rsidRPr="005526A4">
        <w:rPr>
          <w:rFonts w:ascii="Calibri" w:hAnsi="Calibri"/>
          <w:szCs w:val="24"/>
        </w:rPr>
        <w:t>6.  Statutory Licences</w:t>
      </w:r>
      <w:r>
        <w:rPr>
          <w:rFonts w:ascii="Calibri" w:hAnsi="Calibri"/>
          <w:szCs w:val="24"/>
        </w:rPr>
        <w:t>,</w:t>
      </w:r>
      <w:r w:rsidR="009D02CD" w:rsidRPr="005526A4">
        <w:rPr>
          <w:rFonts w:ascii="Calibri" w:hAnsi="Calibri"/>
          <w:szCs w:val="24"/>
        </w:rPr>
        <w:t xml:space="preserve"> para 6.3 states “Voluntary licences – whether direct or collective – are less prescriptive, more efficient and better suited to a digital age”.  As a consequence of this section proposal 6-1 states “The statu</w:t>
      </w:r>
      <w:r w:rsidR="00732967">
        <w:rPr>
          <w:rFonts w:ascii="Calibri" w:hAnsi="Calibri"/>
          <w:szCs w:val="24"/>
        </w:rPr>
        <w:t>tory licencing schemes in pts VA</w:t>
      </w:r>
      <w:r w:rsidR="009D02CD" w:rsidRPr="005526A4">
        <w:rPr>
          <w:rFonts w:ascii="Calibri" w:hAnsi="Calibri"/>
          <w:szCs w:val="24"/>
        </w:rPr>
        <w:t xml:space="preserve">, VB and VII div 2 of the </w:t>
      </w:r>
      <w:r w:rsidR="009D02CD" w:rsidRPr="005526A4">
        <w:rPr>
          <w:rFonts w:ascii="Calibri" w:hAnsi="Calibri"/>
          <w:i/>
          <w:szCs w:val="24"/>
        </w:rPr>
        <w:t xml:space="preserve">Copyright Act </w:t>
      </w:r>
      <w:r w:rsidR="009D02CD" w:rsidRPr="005526A4">
        <w:rPr>
          <w:rFonts w:ascii="Calibri" w:hAnsi="Calibri"/>
          <w:szCs w:val="24"/>
        </w:rPr>
        <w:t>should be repealed</w:t>
      </w:r>
      <w:r w:rsidR="008C138D" w:rsidRPr="005526A4">
        <w:rPr>
          <w:rFonts w:ascii="Calibri" w:hAnsi="Calibri"/>
          <w:szCs w:val="24"/>
        </w:rPr>
        <w:t>” ......and ...”should instead be negotiated voluntarily”.</w:t>
      </w:r>
    </w:p>
    <w:p w:rsidR="005526A4" w:rsidRDefault="005526A4" w:rsidP="005526A4">
      <w:pPr>
        <w:pStyle w:val="ListParagraph"/>
        <w:tabs>
          <w:tab w:val="left" w:pos="3828"/>
          <w:tab w:val="left" w:pos="7088"/>
        </w:tabs>
        <w:ind w:left="0"/>
        <w:rPr>
          <w:rFonts w:ascii="Calibri" w:hAnsi="Calibri"/>
          <w:szCs w:val="24"/>
        </w:rPr>
      </w:pPr>
    </w:p>
    <w:p w:rsidR="00817403" w:rsidRDefault="002254A8" w:rsidP="008A698A">
      <w:pPr>
        <w:pStyle w:val="ListParagraph"/>
        <w:numPr>
          <w:ilvl w:val="0"/>
          <w:numId w:val="15"/>
        </w:numPr>
        <w:tabs>
          <w:tab w:val="left" w:pos="3828"/>
          <w:tab w:val="left" w:pos="7088"/>
        </w:tabs>
        <w:ind w:left="426" w:hanging="426"/>
        <w:rPr>
          <w:rFonts w:ascii="Calibri" w:hAnsi="Calibri"/>
          <w:szCs w:val="24"/>
        </w:rPr>
      </w:pPr>
      <w:r>
        <w:rPr>
          <w:rFonts w:ascii="Calibri" w:hAnsi="Calibri"/>
          <w:szCs w:val="24"/>
        </w:rPr>
        <w:t xml:space="preserve">Facts – per Australian Bureau of Statistics.  </w:t>
      </w:r>
      <w:r w:rsidR="005E11B4">
        <w:rPr>
          <w:rFonts w:ascii="Calibri" w:hAnsi="Calibri"/>
          <w:szCs w:val="24"/>
        </w:rPr>
        <w:t>There are currently 2</w:t>
      </w:r>
      <w:r w:rsidR="00CF77AB">
        <w:rPr>
          <w:rFonts w:ascii="Calibri" w:hAnsi="Calibri"/>
          <w:szCs w:val="24"/>
        </w:rPr>
        <w:t>60</w:t>
      </w:r>
      <w:r w:rsidR="005E11B4">
        <w:rPr>
          <w:rFonts w:ascii="Calibri" w:hAnsi="Calibri"/>
          <w:szCs w:val="24"/>
        </w:rPr>
        <w:t>,000</w:t>
      </w:r>
      <w:r w:rsidR="002A4864">
        <w:rPr>
          <w:rFonts w:ascii="Calibri" w:hAnsi="Calibri"/>
          <w:szCs w:val="24"/>
        </w:rPr>
        <w:t>+</w:t>
      </w:r>
      <w:r w:rsidR="005E11B4">
        <w:rPr>
          <w:rFonts w:ascii="Calibri" w:hAnsi="Calibri"/>
          <w:szCs w:val="24"/>
        </w:rPr>
        <w:t xml:space="preserve"> practicing teachers</w:t>
      </w:r>
      <w:r>
        <w:rPr>
          <w:rFonts w:ascii="Calibri" w:hAnsi="Calibri"/>
          <w:szCs w:val="24"/>
        </w:rPr>
        <w:t xml:space="preserve"> working</w:t>
      </w:r>
      <w:r w:rsidR="005E11B4">
        <w:rPr>
          <w:rFonts w:ascii="Calibri" w:hAnsi="Calibri"/>
          <w:szCs w:val="24"/>
        </w:rPr>
        <w:t xml:space="preserve"> in over 9,000</w:t>
      </w:r>
      <w:r w:rsidR="002A4864">
        <w:rPr>
          <w:rFonts w:ascii="Calibri" w:hAnsi="Calibri"/>
          <w:szCs w:val="24"/>
        </w:rPr>
        <w:t>+</w:t>
      </w:r>
      <w:r w:rsidR="005E11B4">
        <w:rPr>
          <w:rFonts w:ascii="Calibri" w:hAnsi="Calibri"/>
          <w:szCs w:val="24"/>
        </w:rPr>
        <w:t xml:space="preserve"> Australian schools.</w:t>
      </w:r>
      <w:r w:rsidR="005E11B4" w:rsidRPr="005E11B4">
        <w:rPr>
          <w:rFonts w:ascii="Calibri" w:hAnsi="Calibri"/>
          <w:szCs w:val="24"/>
        </w:rPr>
        <w:t xml:space="preserve"> </w:t>
      </w:r>
      <w:r w:rsidR="005E11B4">
        <w:rPr>
          <w:rFonts w:ascii="Calibri" w:hAnsi="Calibri"/>
          <w:szCs w:val="24"/>
        </w:rPr>
        <w:t xml:space="preserve"> Under the existing Statutory licence </w:t>
      </w:r>
      <w:r w:rsidR="005E11B4" w:rsidRPr="005E11B4">
        <w:rPr>
          <w:rFonts w:ascii="Calibri" w:hAnsi="Calibri"/>
          <w:b/>
          <w:i/>
          <w:szCs w:val="24"/>
        </w:rPr>
        <w:t>not one</w:t>
      </w:r>
      <w:r w:rsidR="00CF77AB">
        <w:rPr>
          <w:rFonts w:ascii="Calibri" w:hAnsi="Calibri"/>
          <w:szCs w:val="24"/>
        </w:rPr>
        <w:t xml:space="preserve"> of these 26</w:t>
      </w:r>
      <w:r w:rsidR="005E11B4">
        <w:rPr>
          <w:rFonts w:ascii="Calibri" w:hAnsi="Calibri"/>
          <w:szCs w:val="24"/>
        </w:rPr>
        <w:t>0,000</w:t>
      </w:r>
      <w:r w:rsidR="002A4864">
        <w:rPr>
          <w:rFonts w:ascii="Calibri" w:hAnsi="Calibri"/>
          <w:szCs w:val="24"/>
        </w:rPr>
        <w:t>+</w:t>
      </w:r>
      <w:r w:rsidR="005E11B4">
        <w:rPr>
          <w:rFonts w:ascii="Calibri" w:hAnsi="Calibri"/>
          <w:szCs w:val="24"/>
        </w:rPr>
        <w:t xml:space="preserve"> teachers who ‘stand by’ photocopy machines and collectively copy over 900,000,000 pages of copyrighted published materials every year have to seek even a </w:t>
      </w:r>
      <w:r w:rsidR="005E11B4" w:rsidRPr="00581074">
        <w:rPr>
          <w:rFonts w:ascii="Calibri" w:hAnsi="Calibri"/>
          <w:i/>
          <w:szCs w:val="24"/>
        </w:rPr>
        <w:t xml:space="preserve">single </w:t>
      </w:r>
      <w:r w:rsidR="005E11B4" w:rsidRPr="00581074">
        <w:rPr>
          <w:rFonts w:ascii="Calibri" w:hAnsi="Calibri"/>
          <w:szCs w:val="24"/>
        </w:rPr>
        <w:t>permission request</w:t>
      </w:r>
      <w:r w:rsidR="00817403">
        <w:rPr>
          <w:rFonts w:ascii="Calibri" w:hAnsi="Calibri"/>
          <w:szCs w:val="24"/>
        </w:rPr>
        <w:t>.</w:t>
      </w:r>
    </w:p>
    <w:p w:rsidR="0040300B" w:rsidRDefault="0040300B" w:rsidP="0040300B">
      <w:pPr>
        <w:pStyle w:val="ListParagraph"/>
        <w:tabs>
          <w:tab w:val="left" w:pos="3828"/>
          <w:tab w:val="left" w:pos="7088"/>
        </w:tabs>
        <w:ind w:left="426"/>
        <w:rPr>
          <w:rFonts w:ascii="Calibri" w:hAnsi="Calibri"/>
          <w:szCs w:val="24"/>
        </w:rPr>
      </w:pPr>
    </w:p>
    <w:p w:rsidR="0040300B" w:rsidRDefault="0040300B" w:rsidP="0040300B">
      <w:pPr>
        <w:pStyle w:val="ListParagraph"/>
        <w:tabs>
          <w:tab w:val="left" w:pos="3828"/>
          <w:tab w:val="left" w:pos="7088"/>
        </w:tabs>
        <w:ind w:left="426"/>
        <w:rPr>
          <w:rFonts w:ascii="Calibri" w:hAnsi="Calibri"/>
          <w:szCs w:val="24"/>
        </w:rPr>
      </w:pPr>
      <w:r>
        <w:rPr>
          <w:rFonts w:ascii="Calibri" w:hAnsi="Calibri"/>
          <w:szCs w:val="24"/>
        </w:rPr>
        <w:t>Higher education and tertiary students and academics also access tertiary content in a similar method.</w:t>
      </w:r>
    </w:p>
    <w:p w:rsidR="00817403" w:rsidRDefault="00817403" w:rsidP="008A698A">
      <w:pPr>
        <w:pStyle w:val="ListParagraph"/>
        <w:tabs>
          <w:tab w:val="left" w:pos="3828"/>
          <w:tab w:val="left" w:pos="7088"/>
        </w:tabs>
        <w:ind w:left="426" w:hanging="426"/>
        <w:rPr>
          <w:rFonts w:ascii="Calibri" w:hAnsi="Calibri"/>
          <w:szCs w:val="24"/>
        </w:rPr>
      </w:pPr>
    </w:p>
    <w:p w:rsidR="00717999" w:rsidRDefault="00817403" w:rsidP="008A698A">
      <w:pPr>
        <w:pStyle w:val="ListParagraph"/>
        <w:numPr>
          <w:ilvl w:val="0"/>
          <w:numId w:val="15"/>
        </w:numPr>
        <w:tabs>
          <w:tab w:val="left" w:pos="3828"/>
          <w:tab w:val="left" w:pos="7088"/>
        </w:tabs>
        <w:ind w:left="426" w:hanging="426"/>
        <w:rPr>
          <w:rFonts w:ascii="Calibri" w:hAnsi="Calibri"/>
          <w:szCs w:val="24"/>
        </w:rPr>
      </w:pPr>
      <w:r>
        <w:rPr>
          <w:rFonts w:ascii="Calibri" w:hAnsi="Calibri"/>
          <w:szCs w:val="24"/>
        </w:rPr>
        <w:t xml:space="preserve">To therefore boldly state that voluntary licencing will be </w:t>
      </w:r>
      <w:r w:rsidRPr="00817403">
        <w:rPr>
          <w:rFonts w:ascii="Calibri" w:hAnsi="Calibri"/>
          <w:i/>
          <w:szCs w:val="24"/>
        </w:rPr>
        <w:t>more</w:t>
      </w:r>
      <w:r w:rsidR="002751C5">
        <w:rPr>
          <w:rFonts w:ascii="Calibri" w:hAnsi="Calibri"/>
          <w:szCs w:val="24"/>
        </w:rPr>
        <w:t xml:space="preserve"> efficient simply ca</w:t>
      </w:r>
      <w:r>
        <w:rPr>
          <w:rFonts w:ascii="Calibri" w:hAnsi="Calibri"/>
          <w:szCs w:val="24"/>
        </w:rPr>
        <w:t>n</w:t>
      </w:r>
      <w:r w:rsidR="002751C5">
        <w:rPr>
          <w:rFonts w:ascii="Calibri" w:hAnsi="Calibri"/>
          <w:szCs w:val="24"/>
        </w:rPr>
        <w:t>’</w:t>
      </w:r>
      <w:r>
        <w:rPr>
          <w:rFonts w:ascii="Calibri" w:hAnsi="Calibri"/>
          <w:szCs w:val="24"/>
        </w:rPr>
        <w:t>t be supported.</w:t>
      </w:r>
      <w:r w:rsidR="005E11B4">
        <w:rPr>
          <w:rFonts w:ascii="Calibri" w:hAnsi="Calibri"/>
          <w:szCs w:val="24"/>
        </w:rPr>
        <w:t xml:space="preserve"> </w:t>
      </w:r>
      <w:r>
        <w:rPr>
          <w:rFonts w:ascii="Calibri" w:hAnsi="Calibri"/>
          <w:szCs w:val="24"/>
        </w:rPr>
        <w:t xml:space="preserve"> There will firstly need to be hundreds of separate voluntary licences negotiated by each </w:t>
      </w:r>
      <w:r w:rsidR="008A698A">
        <w:rPr>
          <w:rFonts w:ascii="Calibri" w:hAnsi="Calibri"/>
          <w:szCs w:val="24"/>
        </w:rPr>
        <w:t xml:space="preserve">and every </w:t>
      </w:r>
      <w:r w:rsidR="0040300B">
        <w:rPr>
          <w:rFonts w:ascii="Calibri" w:hAnsi="Calibri"/>
          <w:szCs w:val="24"/>
        </w:rPr>
        <w:t>education institution</w:t>
      </w:r>
      <w:r>
        <w:rPr>
          <w:rFonts w:ascii="Calibri" w:hAnsi="Calibri"/>
          <w:szCs w:val="24"/>
        </w:rPr>
        <w:t xml:space="preserve">.  Teachers </w:t>
      </w:r>
      <w:r w:rsidR="0040300B">
        <w:rPr>
          <w:rFonts w:ascii="Calibri" w:hAnsi="Calibri"/>
          <w:szCs w:val="24"/>
        </w:rPr>
        <w:t xml:space="preserve">and academics </w:t>
      </w:r>
      <w:r>
        <w:rPr>
          <w:rFonts w:ascii="Calibri" w:hAnsi="Calibri"/>
          <w:szCs w:val="24"/>
        </w:rPr>
        <w:t xml:space="preserve">will need to internally check whether the material </w:t>
      </w:r>
      <w:r>
        <w:rPr>
          <w:rFonts w:ascii="Calibri" w:hAnsi="Calibri"/>
          <w:szCs w:val="24"/>
        </w:rPr>
        <w:lastRenderedPageBreak/>
        <w:t xml:space="preserve">they intend to copy is covered and if not </w:t>
      </w:r>
      <w:r w:rsidR="002751C5">
        <w:rPr>
          <w:rFonts w:ascii="Calibri" w:hAnsi="Calibri"/>
          <w:szCs w:val="24"/>
        </w:rPr>
        <w:t xml:space="preserve">- </w:t>
      </w:r>
      <w:r>
        <w:rPr>
          <w:rFonts w:ascii="Calibri" w:hAnsi="Calibri"/>
          <w:szCs w:val="24"/>
        </w:rPr>
        <w:t xml:space="preserve">seek a licence with the intellectual property owner.  Teachers </w:t>
      </w:r>
      <w:r w:rsidR="0040300B">
        <w:rPr>
          <w:rFonts w:ascii="Calibri" w:hAnsi="Calibri"/>
          <w:szCs w:val="24"/>
        </w:rPr>
        <w:t xml:space="preserve">and academics </w:t>
      </w:r>
      <w:r>
        <w:rPr>
          <w:rFonts w:ascii="Calibri" w:hAnsi="Calibri"/>
          <w:szCs w:val="24"/>
        </w:rPr>
        <w:t xml:space="preserve">will have to determine whether the material is sufficiently covered </w:t>
      </w:r>
      <w:r w:rsidR="008A698A">
        <w:rPr>
          <w:rFonts w:ascii="Calibri" w:hAnsi="Calibri"/>
          <w:szCs w:val="24"/>
        </w:rPr>
        <w:t xml:space="preserve">or not </w:t>
      </w:r>
      <w:r>
        <w:rPr>
          <w:rFonts w:ascii="Calibri" w:hAnsi="Calibri"/>
          <w:szCs w:val="24"/>
        </w:rPr>
        <w:t xml:space="preserve">under whatever </w:t>
      </w:r>
      <w:r w:rsidR="008A698A">
        <w:rPr>
          <w:rFonts w:ascii="Calibri" w:hAnsi="Calibri"/>
          <w:szCs w:val="24"/>
        </w:rPr>
        <w:t>‘fair use’ tests are legislated.  A</w:t>
      </w:r>
      <w:r>
        <w:rPr>
          <w:rFonts w:ascii="Calibri" w:hAnsi="Calibri"/>
          <w:szCs w:val="24"/>
        </w:rPr>
        <w:t xml:space="preserve">ll of this </w:t>
      </w:r>
      <w:r w:rsidR="008A698A">
        <w:rPr>
          <w:rFonts w:ascii="Calibri" w:hAnsi="Calibri"/>
          <w:szCs w:val="24"/>
        </w:rPr>
        <w:t>can only be far more</w:t>
      </w:r>
      <w:r>
        <w:rPr>
          <w:rFonts w:ascii="Calibri" w:hAnsi="Calibri"/>
          <w:szCs w:val="24"/>
        </w:rPr>
        <w:t xml:space="preserve"> time-consuming and burdensome on teachers and teaching administration – time that can only be taken from classroom teaching</w:t>
      </w:r>
      <w:r w:rsidR="00717999">
        <w:rPr>
          <w:rFonts w:ascii="Calibri" w:hAnsi="Calibri"/>
          <w:szCs w:val="24"/>
        </w:rPr>
        <w:t>,</w:t>
      </w:r>
      <w:r>
        <w:rPr>
          <w:rFonts w:ascii="Calibri" w:hAnsi="Calibri"/>
          <w:szCs w:val="24"/>
        </w:rPr>
        <w:t xml:space="preserve"> classroom lesson planning</w:t>
      </w:r>
      <w:r w:rsidR="00717999">
        <w:rPr>
          <w:rFonts w:ascii="Calibri" w:hAnsi="Calibri"/>
          <w:szCs w:val="24"/>
        </w:rPr>
        <w:t xml:space="preserve"> and student work assessment</w:t>
      </w:r>
      <w:r>
        <w:rPr>
          <w:rFonts w:ascii="Calibri" w:hAnsi="Calibri"/>
          <w:szCs w:val="24"/>
        </w:rPr>
        <w:t>.</w:t>
      </w:r>
      <w:r w:rsidR="00CF77AB">
        <w:rPr>
          <w:rFonts w:ascii="Calibri" w:hAnsi="Calibri"/>
          <w:szCs w:val="24"/>
        </w:rPr>
        <w:t xml:space="preserve">  Does Australia want even more administration time performed by teachers</w:t>
      </w:r>
      <w:r w:rsidR="0040300B">
        <w:rPr>
          <w:rFonts w:ascii="Calibri" w:hAnsi="Calibri"/>
          <w:szCs w:val="24"/>
        </w:rPr>
        <w:t xml:space="preserve"> and academics</w:t>
      </w:r>
      <w:r w:rsidR="00CF77AB">
        <w:rPr>
          <w:rFonts w:ascii="Calibri" w:hAnsi="Calibri"/>
          <w:szCs w:val="24"/>
        </w:rPr>
        <w:t>!?  Already the equivalent of at least 2,000 fulltime teachers each year is spent just photocopying paper of published works</w:t>
      </w:r>
      <w:r w:rsidR="0040300B">
        <w:rPr>
          <w:rFonts w:ascii="Calibri" w:hAnsi="Calibri"/>
          <w:szCs w:val="24"/>
        </w:rPr>
        <w:t xml:space="preserve"> in schools alone</w:t>
      </w:r>
      <w:r w:rsidR="00AA79F5">
        <w:rPr>
          <w:rFonts w:ascii="Calibri" w:hAnsi="Calibri"/>
          <w:szCs w:val="24"/>
        </w:rPr>
        <w:t>.</w:t>
      </w:r>
    </w:p>
    <w:p w:rsidR="0039628A" w:rsidRPr="0039628A" w:rsidRDefault="0039628A" w:rsidP="0039628A">
      <w:pPr>
        <w:tabs>
          <w:tab w:val="left" w:pos="3828"/>
          <w:tab w:val="left" w:pos="7088"/>
        </w:tabs>
        <w:rPr>
          <w:rFonts w:ascii="Calibri" w:hAnsi="Calibri"/>
          <w:szCs w:val="24"/>
        </w:rPr>
      </w:pPr>
    </w:p>
    <w:p w:rsidR="0039628A" w:rsidRPr="00732967" w:rsidRDefault="0039628A" w:rsidP="0039628A">
      <w:pPr>
        <w:pStyle w:val="ListParagraph"/>
        <w:tabs>
          <w:tab w:val="left" w:pos="3828"/>
          <w:tab w:val="left" w:pos="7088"/>
        </w:tabs>
        <w:ind w:left="426"/>
        <w:rPr>
          <w:rFonts w:ascii="Calibri" w:hAnsi="Calibri"/>
          <w:color w:val="0000CC"/>
          <w:szCs w:val="24"/>
        </w:rPr>
      </w:pPr>
      <w:r w:rsidRPr="00BF118D">
        <w:rPr>
          <w:rFonts w:ascii="Calibri" w:hAnsi="Calibri"/>
          <w:b/>
          <w:szCs w:val="24"/>
        </w:rPr>
        <w:t>Fundamental inaccuracy number 2:</w:t>
      </w:r>
      <w:r>
        <w:rPr>
          <w:rFonts w:ascii="Calibri" w:hAnsi="Calibri"/>
          <w:szCs w:val="24"/>
        </w:rPr>
        <w:t xml:space="preserve">  </w:t>
      </w:r>
      <w:r w:rsidRPr="00732967">
        <w:rPr>
          <w:rFonts w:ascii="Calibri" w:hAnsi="Calibri"/>
          <w:color w:val="0000CC"/>
          <w:szCs w:val="24"/>
        </w:rPr>
        <w:t>That somehow Voluntary licences are better suited to the digital age</w:t>
      </w:r>
      <w:r w:rsidR="00732967" w:rsidRPr="00732967">
        <w:rPr>
          <w:rFonts w:ascii="Calibri" w:hAnsi="Calibri"/>
          <w:color w:val="0000CC"/>
          <w:szCs w:val="24"/>
        </w:rPr>
        <w:t>.</w:t>
      </w:r>
    </w:p>
    <w:p w:rsidR="00717999" w:rsidRPr="00717999" w:rsidRDefault="00717999" w:rsidP="008A698A">
      <w:pPr>
        <w:pStyle w:val="ListParagraph"/>
        <w:ind w:left="426" w:hanging="426"/>
        <w:rPr>
          <w:rFonts w:ascii="Calibri" w:hAnsi="Calibri"/>
          <w:szCs w:val="24"/>
        </w:rPr>
      </w:pPr>
    </w:p>
    <w:p w:rsidR="003336C4" w:rsidRDefault="0047541B" w:rsidP="008A698A">
      <w:pPr>
        <w:pStyle w:val="ListParagraph"/>
        <w:numPr>
          <w:ilvl w:val="0"/>
          <w:numId w:val="15"/>
        </w:numPr>
        <w:tabs>
          <w:tab w:val="left" w:pos="3828"/>
          <w:tab w:val="left" w:pos="7088"/>
        </w:tabs>
        <w:ind w:left="426" w:hanging="426"/>
        <w:rPr>
          <w:rFonts w:ascii="Calibri" w:hAnsi="Calibri"/>
          <w:szCs w:val="24"/>
        </w:rPr>
      </w:pPr>
      <w:r>
        <w:rPr>
          <w:rFonts w:ascii="Calibri" w:hAnsi="Calibri"/>
          <w:szCs w:val="24"/>
        </w:rPr>
        <w:t xml:space="preserve">The photocopying of nearly one billion pages of printed material forms the substantial majority </w:t>
      </w:r>
      <w:r w:rsidR="002751C5">
        <w:rPr>
          <w:rFonts w:ascii="Calibri" w:hAnsi="Calibri"/>
          <w:szCs w:val="24"/>
        </w:rPr>
        <w:t xml:space="preserve">(94%) </w:t>
      </w:r>
      <w:r>
        <w:rPr>
          <w:rFonts w:ascii="Calibri" w:hAnsi="Calibri"/>
          <w:szCs w:val="24"/>
        </w:rPr>
        <w:t xml:space="preserve">of the Statutory licence annual fees paid to CAL and </w:t>
      </w:r>
      <w:r w:rsidR="0011073C">
        <w:rPr>
          <w:rFonts w:ascii="Calibri" w:hAnsi="Calibri"/>
          <w:szCs w:val="24"/>
        </w:rPr>
        <w:t xml:space="preserve">administered on behalf of IP owners.  </w:t>
      </w:r>
      <w:r w:rsidR="0011073C" w:rsidRPr="00BF118D">
        <w:rPr>
          <w:rFonts w:ascii="Calibri" w:hAnsi="Calibri"/>
          <w:i/>
          <w:szCs w:val="24"/>
        </w:rPr>
        <w:t>This has nothing to do with a digital age</w:t>
      </w:r>
      <w:r w:rsidR="0011073C">
        <w:rPr>
          <w:rFonts w:ascii="Calibri" w:hAnsi="Calibri"/>
          <w:szCs w:val="24"/>
        </w:rPr>
        <w:t xml:space="preserve">.  It is </w:t>
      </w:r>
      <w:r w:rsidR="002751C5">
        <w:rPr>
          <w:rFonts w:ascii="Calibri" w:hAnsi="Calibri"/>
          <w:szCs w:val="24"/>
        </w:rPr>
        <w:t xml:space="preserve">just </w:t>
      </w:r>
      <w:r w:rsidR="0011073C">
        <w:rPr>
          <w:rFonts w:ascii="Calibri" w:hAnsi="Calibri"/>
          <w:szCs w:val="24"/>
        </w:rPr>
        <w:t xml:space="preserve">photocopying paper, </w:t>
      </w:r>
      <w:r w:rsidR="0040300B">
        <w:rPr>
          <w:rFonts w:ascii="Calibri" w:hAnsi="Calibri"/>
          <w:szCs w:val="24"/>
        </w:rPr>
        <w:t>an activity that has been occurring in substantial quantity for decades – well before digital content, before tabl</w:t>
      </w:r>
      <w:r w:rsidR="00EB00EF">
        <w:rPr>
          <w:rFonts w:ascii="Calibri" w:hAnsi="Calibri"/>
          <w:szCs w:val="24"/>
        </w:rPr>
        <w:t xml:space="preserve">ets, before the internet, </w:t>
      </w:r>
      <w:r w:rsidR="0040300B">
        <w:rPr>
          <w:rFonts w:ascii="Calibri" w:hAnsi="Calibri"/>
          <w:szCs w:val="24"/>
        </w:rPr>
        <w:t xml:space="preserve">before PCs.  </w:t>
      </w:r>
      <w:r w:rsidR="00017CFA">
        <w:rPr>
          <w:rFonts w:ascii="Calibri" w:hAnsi="Calibri"/>
          <w:szCs w:val="24"/>
        </w:rPr>
        <w:t xml:space="preserve">Photocopying </w:t>
      </w:r>
      <w:r w:rsidR="0040300B">
        <w:rPr>
          <w:rFonts w:ascii="Calibri" w:hAnsi="Calibri"/>
          <w:szCs w:val="24"/>
        </w:rPr>
        <w:t xml:space="preserve">is </w:t>
      </w:r>
      <w:r w:rsidR="00017CFA">
        <w:rPr>
          <w:rFonts w:ascii="Calibri" w:hAnsi="Calibri"/>
          <w:szCs w:val="24"/>
        </w:rPr>
        <w:t xml:space="preserve">widespread and </w:t>
      </w:r>
      <w:r w:rsidR="00EB00EF">
        <w:rPr>
          <w:rFonts w:ascii="Calibri" w:hAnsi="Calibri"/>
          <w:szCs w:val="24"/>
        </w:rPr>
        <w:t xml:space="preserve">is </w:t>
      </w:r>
      <w:r w:rsidR="002751C5">
        <w:rPr>
          <w:rFonts w:ascii="Calibri" w:hAnsi="Calibri"/>
          <w:szCs w:val="24"/>
        </w:rPr>
        <w:t xml:space="preserve">often </w:t>
      </w:r>
      <w:r w:rsidR="00017CFA">
        <w:rPr>
          <w:rFonts w:ascii="Calibri" w:hAnsi="Calibri"/>
          <w:szCs w:val="24"/>
        </w:rPr>
        <w:t xml:space="preserve">undertaken as </w:t>
      </w:r>
      <w:r w:rsidR="002751C5">
        <w:rPr>
          <w:rFonts w:ascii="Calibri" w:hAnsi="Calibri"/>
          <w:szCs w:val="24"/>
        </w:rPr>
        <w:t>a</w:t>
      </w:r>
      <w:r w:rsidR="002A4864">
        <w:rPr>
          <w:rFonts w:ascii="Calibri" w:hAnsi="Calibri"/>
          <w:szCs w:val="24"/>
        </w:rPr>
        <w:t xml:space="preserve"> </w:t>
      </w:r>
      <w:r w:rsidR="0007321F">
        <w:rPr>
          <w:rFonts w:ascii="Calibri" w:hAnsi="Calibri"/>
          <w:szCs w:val="24"/>
        </w:rPr>
        <w:t>budgetary</w:t>
      </w:r>
      <w:r w:rsidR="002751C5">
        <w:rPr>
          <w:rFonts w:ascii="Calibri" w:hAnsi="Calibri"/>
          <w:szCs w:val="24"/>
        </w:rPr>
        <w:t xml:space="preserve"> substitute to buying the printed material</w:t>
      </w:r>
      <w:r w:rsidR="0011073C">
        <w:rPr>
          <w:rFonts w:ascii="Calibri" w:hAnsi="Calibri"/>
          <w:szCs w:val="24"/>
        </w:rPr>
        <w:t>.  To m</w:t>
      </w:r>
      <w:r w:rsidR="002751C5">
        <w:rPr>
          <w:rFonts w:ascii="Calibri" w:hAnsi="Calibri"/>
          <w:szCs w:val="24"/>
        </w:rPr>
        <w:t xml:space="preserve">ake the recommendation that the </w:t>
      </w:r>
      <w:r w:rsidR="0011073C">
        <w:rPr>
          <w:rFonts w:ascii="Calibri" w:hAnsi="Calibri"/>
          <w:szCs w:val="24"/>
        </w:rPr>
        <w:t xml:space="preserve">Statutory licence scheme (which deals over 90% with non-digital activities) should be repealed given the remit of the ALRC is ‘Copyright and the Digital Economy’ is completely </w:t>
      </w:r>
      <w:r w:rsidR="002F02DE">
        <w:rPr>
          <w:rFonts w:ascii="Calibri" w:hAnsi="Calibri"/>
          <w:szCs w:val="24"/>
        </w:rPr>
        <w:t xml:space="preserve">facile and </w:t>
      </w:r>
      <w:r w:rsidR="0011073C">
        <w:rPr>
          <w:rFonts w:ascii="Calibri" w:hAnsi="Calibri"/>
          <w:szCs w:val="24"/>
        </w:rPr>
        <w:t>illogical</w:t>
      </w:r>
      <w:r w:rsidR="003336C4">
        <w:rPr>
          <w:rFonts w:ascii="Calibri" w:hAnsi="Calibri"/>
          <w:szCs w:val="24"/>
        </w:rPr>
        <w:t xml:space="preserve">.  </w:t>
      </w:r>
    </w:p>
    <w:p w:rsidR="003336C4" w:rsidRPr="003336C4" w:rsidRDefault="003336C4" w:rsidP="003336C4">
      <w:pPr>
        <w:pStyle w:val="ListParagraph"/>
        <w:rPr>
          <w:rFonts w:ascii="Calibri" w:hAnsi="Calibri"/>
          <w:szCs w:val="24"/>
        </w:rPr>
      </w:pPr>
    </w:p>
    <w:p w:rsidR="005803D6" w:rsidRDefault="003336C4" w:rsidP="008A698A">
      <w:pPr>
        <w:pStyle w:val="ListParagraph"/>
        <w:numPr>
          <w:ilvl w:val="0"/>
          <w:numId w:val="15"/>
        </w:numPr>
        <w:tabs>
          <w:tab w:val="left" w:pos="3828"/>
          <w:tab w:val="left" w:pos="7088"/>
        </w:tabs>
        <w:ind w:left="426" w:hanging="426"/>
        <w:rPr>
          <w:rFonts w:ascii="Calibri" w:hAnsi="Calibri"/>
          <w:szCs w:val="24"/>
        </w:rPr>
      </w:pPr>
      <w:r>
        <w:rPr>
          <w:rFonts w:ascii="Calibri" w:hAnsi="Calibri"/>
          <w:szCs w:val="24"/>
        </w:rPr>
        <w:t xml:space="preserve">By all means the ALRC can make a case on voluntary licencing of digital content </w:t>
      </w:r>
      <w:r w:rsidR="002751C5">
        <w:rPr>
          <w:rFonts w:ascii="Calibri" w:hAnsi="Calibri"/>
          <w:szCs w:val="24"/>
        </w:rPr>
        <w:t>downloaded from websites or displayed electronically on classroom devices such as</w:t>
      </w:r>
      <w:r w:rsidR="002A4864">
        <w:rPr>
          <w:rFonts w:ascii="Calibri" w:hAnsi="Calibri"/>
          <w:szCs w:val="24"/>
        </w:rPr>
        <w:t xml:space="preserve"> whiteboards and PCs</w:t>
      </w:r>
      <w:r w:rsidR="002751C5">
        <w:rPr>
          <w:rFonts w:ascii="Calibri" w:hAnsi="Calibri"/>
          <w:szCs w:val="24"/>
        </w:rPr>
        <w:t xml:space="preserve">.  But such voluntary licencing (of copyright digital content use) should be quarantined to the 6% of the </w:t>
      </w:r>
      <w:r w:rsidR="005803D6">
        <w:rPr>
          <w:rFonts w:ascii="Calibri" w:hAnsi="Calibri"/>
          <w:szCs w:val="24"/>
        </w:rPr>
        <w:t xml:space="preserve">current </w:t>
      </w:r>
      <w:r w:rsidR="0007321F">
        <w:rPr>
          <w:rFonts w:ascii="Calibri" w:hAnsi="Calibri"/>
          <w:szCs w:val="24"/>
        </w:rPr>
        <w:t>statutory</w:t>
      </w:r>
      <w:r w:rsidR="002751C5">
        <w:rPr>
          <w:rFonts w:ascii="Calibri" w:hAnsi="Calibri"/>
          <w:szCs w:val="24"/>
        </w:rPr>
        <w:t xml:space="preserve"> licence that relates to </w:t>
      </w:r>
      <w:r w:rsidR="002A4864">
        <w:rPr>
          <w:rFonts w:ascii="Calibri" w:hAnsi="Calibri"/>
          <w:szCs w:val="24"/>
        </w:rPr>
        <w:t>and remunerates</w:t>
      </w:r>
      <w:r w:rsidR="00AA79F5">
        <w:rPr>
          <w:rFonts w:ascii="Calibri" w:hAnsi="Calibri"/>
          <w:szCs w:val="24"/>
        </w:rPr>
        <w:t xml:space="preserve"> IP owners</w:t>
      </w:r>
      <w:r w:rsidR="002A4864">
        <w:rPr>
          <w:rFonts w:ascii="Calibri" w:hAnsi="Calibri"/>
          <w:szCs w:val="24"/>
        </w:rPr>
        <w:t xml:space="preserve"> for </w:t>
      </w:r>
      <w:r w:rsidR="00AA79F5">
        <w:rPr>
          <w:rFonts w:ascii="Calibri" w:hAnsi="Calibri"/>
          <w:szCs w:val="24"/>
        </w:rPr>
        <w:t>this</w:t>
      </w:r>
      <w:r w:rsidR="002751C5">
        <w:rPr>
          <w:rFonts w:ascii="Calibri" w:hAnsi="Calibri"/>
          <w:szCs w:val="24"/>
        </w:rPr>
        <w:t xml:space="preserve"> digital use.  Do not confuse the photocopying of printed materials</w:t>
      </w:r>
      <w:r w:rsidR="00EB00EF">
        <w:rPr>
          <w:rFonts w:ascii="Calibri" w:hAnsi="Calibri"/>
          <w:szCs w:val="24"/>
        </w:rPr>
        <w:t xml:space="preserve"> to somehow make a case to dismantle</w:t>
      </w:r>
      <w:r w:rsidR="002751C5">
        <w:rPr>
          <w:rFonts w:ascii="Calibri" w:hAnsi="Calibri"/>
          <w:szCs w:val="24"/>
        </w:rPr>
        <w:t xml:space="preserve"> the hugely efficient </w:t>
      </w:r>
      <w:r w:rsidR="0007321F">
        <w:rPr>
          <w:rFonts w:ascii="Calibri" w:hAnsi="Calibri"/>
          <w:szCs w:val="24"/>
        </w:rPr>
        <w:t>statutory</w:t>
      </w:r>
      <w:r w:rsidR="002751C5">
        <w:rPr>
          <w:rFonts w:ascii="Calibri" w:hAnsi="Calibri"/>
          <w:szCs w:val="24"/>
        </w:rPr>
        <w:t xml:space="preserve"> licence which has so admirably served the industry – IP owners and users</w:t>
      </w:r>
      <w:r w:rsidR="005803D6">
        <w:rPr>
          <w:rFonts w:ascii="Calibri" w:hAnsi="Calibri"/>
          <w:szCs w:val="24"/>
        </w:rPr>
        <w:t xml:space="preserve">, </w:t>
      </w:r>
      <w:r w:rsidR="002A4864">
        <w:rPr>
          <w:rFonts w:ascii="Calibri" w:hAnsi="Calibri"/>
          <w:szCs w:val="24"/>
        </w:rPr>
        <w:t xml:space="preserve">- </w:t>
      </w:r>
      <w:r w:rsidR="0040300B">
        <w:rPr>
          <w:rFonts w:ascii="Calibri" w:hAnsi="Calibri"/>
          <w:szCs w:val="24"/>
        </w:rPr>
        <w:t>(</w:t>
      </w:r>
      <w:r w:rsidR="00CF77AB">
        <w:rPr>
          <w:rFonts w:ascii="Calibri" w:hAnsi="Calibri"/>
          <w:szCs w:val="24"/>
        </w:rPr>
        <w:t>some 26</w:t>
      </w:r>
      <w:r w:rsidR="005803D6">
        <w:rPr>
          <w:rFonts w:ascii="Calibri" w:hAnsi="Calibri"/>
          <w:szCs w:val="24"/>
        </w:rPr>
        <w:t>0,000 teachers and 3,500,000 students in Australia</w:t>
      </w:r>
      <w:r w:rsidR="0040300B">
        <w:rPr>
          <w:rFonts w:ascii="Calibri" w:hAnsi="Calibri"/>
          <w:szCs w:val="24"/>
        </w:rPr>
        <w:t>)</w:t>
      </w:r>
      <w:r w:rsidR="005803D6">
        <w:rPr>
          <w:rFonts w:ascii="Calibri" w:hAnsi="Calibri"/>
          <w:szCs w:val="24"/>
        </w:rPr>
        <w:t>.</w:t>
      </w:r>
    </w:p>
    <w:p w:rsidR="005803D6" w:rsidRPr="005803D6" w:rsidRDefault="005803D6" w:rsidP="005803D6">
      <w:pPr>
        <w:pStyle w:val="ListParagraph"/>
        <w:rPr>
          <w:rFonts w:ascii="Calibri" w:hAnsi="Calibri"/>
          <w:szCs w:val="24"/>
        </w:rPr>
      </w:pPr>
    </w:p>
    <w:p w:rsidR="005803D6" w:rsidRDefault="00721A3F" w:rsidP="00A94D3F">
      <w:pPr>
        <w:tabs>
          <w:tab w:val="left" w:pos="3828"/>
          <w:tab w:val="left" w:pos="7088"/>
        </w:tabs>
        <w:rPr>
          <w:rFonts w:ascii="Calibri" w:hAnsi="Calibri"/>
          <w:szCs w:val="24"/>
        </w:rPr>
      </w:pPr>
      <w:r>
        <w:rPr>
          <w:rFonts w:ascii="Calibri" w:hAnsi="Calibri"/>
          <w:szCs w:val="24"/>
        </w:rPr>
        <w:t>No one is questioning that the market landscape with regard to the use of technology in Education has changed rapidly over the last 10 years. That both hardware and software developments have enabled content to be shared more easily, be copied, transferred,</w:t>
      </w:r>
      <w:r w:rsidR="005C62C7">
        <w:rPr>
          <w:rFonts w:ascii="Calibri" w:hAnsi="Calibri"/>
          <w:szCs w:val="24"/>
        </w:rPr>
        <w:t xml:space="preserve"> stored and edited for use in a</w:t>
      </w:r>
      <w:r>
        <w:rPr>
          <w:rFonts w:ascii="Calibri" w:hAnsi="Calibri"/>
          <w:szCs w:val="24"/>
        </w:rPr>
        <w:t xml:space="preserve"> classroom and education setting should not be </w:t>
      </w:r>
      <w:r w:rsidR="005C62C7">
        <w:rPr>
          <w:rFonts w:ascii="Calibri" w:hAnsi="Calibri"/>
          <w:szCs w:val="24"/>
        </w:rPr>
        <w:t>a</w:t>
      </w:r>
      <w:r>
        <w:rPr>
          <w:rFonts w:ascii="Calibri" w:hAnsi="Calibri"/>
          <w:szCs w:val="24"/>
        </w:rPr>
        <w:t xml:space="preserve"> reason why the intellectual property rights of the creators/owners of said education content should </w:t>
      </w:r>
      <w:r w:rsidR="005C62C7">
        <w:rPr>
          <w:rFonts w:ascii="Calibri" w:hAnsi="Calibri"/>
          <w:szCs w:val="24"/>
        </w:rPr>
        <w:t xml:space="preserve">now </w:t>
      </w:r>
      <w:r>
        <w:rPr>
          <w:rFonts w:ascii="Calibri" w:hAnsi="Calibri"/>
          <w:szCs w:val="24"/>
        </w:rPr>
        <w:t>be compromised and diluted in the level of remuneration otherwise available to them.</w:t>
      </w:r>
    </w:p>
    <w:p w:rsidR="00721A3F" w:rsidRDefault="00721A3F" w:rsidP="00A94D3F">
      <w:pPr>
        <w:tabs>
          <w:tab w:val="left" w:pos="3828"/>
          <w:tab w:val="left" w:pos="7088"/>
        </w:tabs>
        <w:rPr>
          <w:rFonts w:ascii="Calibri" w:hAnsi="Calibri"/>
          <w:szCs w:val="24"/>
        </w:rPr>
      </w:pPr>
    </w:p>
    <w:p w:rsidR="00721A3F" w:rsidRDefault="005C62C7" w:rsidP="00A94D3F">
      <w:pPr>
        <w:tabs>
          <w:tab w:val="left" w:pos="3828"/>
          <w:tab w:val="left" w:pos="7088"/>
        </w:tabs>
        <w:rPr>
          <w:rFonts w:ascii="Calibri" w:hAnsi="Calibri"/>
          <w:szCs w:val="24"/>
        </w:rPr>
      </w:pPr>
      <w:r>
        <w:rPr>
          <w:rFonts w:ascii="Calibri" w:hAnsi="Calibri"/>
          <w:szCs w:val="24"/>
        </w:rPr>
        <w:t xml:space="preserve">Education content is created specifically for Australian curriculums by subject, </w:t>
      </w:r>
      <w:r w:rsidR="00AA79F5">
        <w:rPr>
          <w:rFonts w:ascii="Calibri" w:hAnsi="Calibri"/>
          <w:szCs w:val="24"/>
        </w:rPr>
        <w:t xml:space="preserve">and </w:t>
      </w:r>
      <w:r>
        <w:rPr>
          <w:rFonts w:ascii="Calibri" w:hAnsi="Calibri"/>
          <w:szCs w:val="24"/>
        </w:rPr>
        <w:t>by year level</w:t>
      </w:r>
      <w:r w:rsidR="002A4864">
        <w:rPr>
          <w:rFonts w:ascii="Calibri" w:hAnsi="Calibri"/>
          <w:szCs w:val="24"/>
        </w:rPr>
        <w:t xml:space="preserve">.  It is always written in </w:t>
      </w:r>
      <w:r>
        <w:rPr>
          <w:rFonts w:ascii="Calibri" w:hAnsi="Calibri"/>
          <w:szCs w:val="24"/>
        </w:rPr>
        <w:t xml:space="preserve">age appropriate language and concepts </w:t>
      </w:r>
      <w:r w:rsidR="002A4864">
        <w:rPr>
          <w:rFonts w:ascii="Calibri" w:hAnsi="Calibri"/>
          <w:szCs w:val="24"/>
        </w:rPr>
        <w:t xml:space="preserve">are </w:t>
      </w:r>
      <w:r>
        <w:rPr>
          <w:rFonts w:ascii="Calibri" w:hAnsi="Calibri"/>
          <w:szCs w:val="24"/>
        </w:rPr>
        <w:t xml:space="preserve">meticulously </w:t>
      </w:r>
      <w:r w:rsidR="002A4864">
        <w:rPr>
          <w:rFonts w:ascii="Calibri" w:hAnsi="Calibri"/>
          <w:szCs w:val="24"/>
        </w:rPr>
        <w:t>developed using Australian examples and context wherever relevant</w:t>
      </w:r>
      <w:r w:rsidR="008C2358">
        <w:rPr>
          <w:rFonts w:ascii="Calibri" w:hAnsi="Calibri"/>
          <w:szCs w:val="24"/>
        </w:rPr>
        <w:t>.  Revenue source</w:t>
      </w:r>
      <w:r>
        <w:rPr>
          <w:rFonts w:ascii="Calibri" w:hAnsi="Calibri"/>
          <w:szCs w:val="24"/>
        </w:rPr>
        <w:t xml:space="preserve"> from this commercial activity </w:t>
      </w:r>
      <w:r w:rsidR="002A4864">
        <w:rPr>
          <w:rFonts w:ascii="Calibri" w:hAnsi="Calibri"/>
          <w:szCs w:val="24"/>
        </w:rPr>
        <w:t>is</w:t>
      </w:r>
      <w:r>
        <w:rPr>
          <w:rFonts w:ascii="Calibri" w:hAnsi="Calibri"/>
          <w:szCs w:val="24"/>
        </w:rPr>
        <w:t xml:space="preserve"> twofold – normal transaction sale, and CAL statutory licence distributions</w:t>
      </w:r>
      <w:r w:rsidR="008C2358">
        <w:rPr>
          <w:rFonts w:ascii="Calibri" w:hAnsi="Calibri"/>
          <w:szCs w:val="24"/>
        </w:rPr>
        <w:t xml:space="preserve"> (</w:t>
      </w:r>
      <w:r w:rsidR="009005B7">
        <w:rPr>
          <w:rFonts w:ascii="Calibri" w:hAnsi="Calibri"/>
          <w:szCs w:val="24"/>
        </w:rPr>
        <w:t xml:space="preserve">mostly </w:t>
      </w:r>
      <w:r>
        <w:rPr>
          <w:rFonts w:ascii="Calibri" w:hAnsi="Calibri"/>
          <w:szCs w:val="24"/>
        </w:rPr>
        <w:t xml:space="preserve">from </w:t>
      </w:r>
      <w:r w:rsidR="009005B7">
        <w:rPr>
          <w:rFonts w:ascii="Calibri" w:hAnsi="Calibri"/>
          <w:szCs w:val="24"/>
        </w:rPr>
        <w:t>photocopying our work rather than purchasing it</w:t>
      </w:r>
      <w:r w:rsidR="008C2358">
        <w:rPr>
          <w:rFonts w:ascii="Calibri" w:hAnsi="Calibri"/>
          <w:szCs w:val="24"/>
        </w:rPr>
        <w:t>)</w:t>
      </w:r>
      <w:r w:rsidR="009005B7">
        <w:rPr>
          <w:rFonts w:ascii="Calibri" w:hAnsi="Calibri"/>
          <w:szCs w:val="24"/>
        </w:rPr>
        <w:t xml:space="preserve">.  Our content is not purchased by impulse, given as a gift, </w:t>
      </w:r>
      <w:r w:rsidR="002A4864">
        <w:rPr>
          <w:rFonts w:ascii="Calibri" w:hAnsi="Calibri"/>
          <w:szCs w:val="24"/>
        </w:rPr>
        <w:t xml:space="preserve">or </w:t>
      </w:r>
      <w:r w:rsidR="009005B7">
        <w:rPr>
          <w:rFonts w:ascii="Calibri" w:hAnsi="Calibri"/>
          <w:szCs w:val="24"/>
        </w:rPr>
        <w:t>used</w:t>
      </w:r>
      <w:r w:rsidR="002A4864">
        <w:rPr>
          <w:rFonts w:ascii="Calibri" w:hAnsi="Calibri"/>
          <w:szCs w:val="24"/>
        </w:rPr>
        <w:t xml:space="preserve"> as</w:t>
      </w:r>
      <w:r w:rsidR="009005B7">
        <w:rPr>
          <w:rFonts w:ascii="Calibri" w:hAnsi="Calibri"/>
          <w:szCs w:val="24"/>
        </w:rPr>
        <w:t xml:space="preserve"> </w:t>
      </w:r>
      <w:r w:rsidR="002A4864">
        <w:rPr>
          <w:rFonts w:ascii="Calibri" w:hAnsi="Calibri"/>
          <w:szCs w:val="24"/>
        </w:rPr>
        <w:t xml:space="preserve"> </w:t>
      </w:r>
      <w:r w:rsidR="009005B7">
        <w:rPr>
          <w:rFonts w:ascii="Calibri" w:hAnsi="Calibri"/>
          <w:szCs w:val="24"/>
        </w:rPr>
        <w:t>a rollicking good read on a plane.  It cannot include advertising, we cannot sell customer names, employ pop-up and click-through marketing to children, or have some allied merchandising associated with it.</w:t>
      </w:r>
    </w:p>
    <w:p w:rsidR="009005B7" w:rsidRDefault="009005B7" w:rsidP="00A94D3F">
      <w:pPr>
        <w:tabs>
          <w:tab w:val="left" w:pos="3828"/>
          <w:tab w:val="left" w:pos="7088"/>
        </w:tabs>
        <w:rPr>
          <w:rFonts w:ascii="Calibri" w:hAnsi="Calibri"/>
          <w:szCs w:val="24"/>
        </w:rPr>
      </w:pPr>
    </w:p>
    <w:p w:rsidR="009005B7" w:rsidRDefault="00FD1DDA" w:rsidP="00A94D3F">
      <w:pPr>
        <w:tabs>
          <w:tab w:val="left" w:pos="3828"/>
          <w:tab w:val="left" w:pos="7088"/>
        </w:tabs>
        <w:rPr>
          <w:rFonts w:ascii="Calibri" w:hAnsi="Calibri"/>
          <w:szCs w:val="24"/>
        </w:rPr>
      </w:pPr>
      <w:r>
        <w:rPr>
          <w:rFonts w:ascii="Calibri" w:hAnsi="Calibri"/>
          <w:szCs w:val="24"/>
        </w:rPr>
        <w:t xml:space="preserve">If we diminish the total revenue pool from the creation of quality curriculum based resources for Australian students – then we simply create less and less </w:t>
      </w:r>
      <w:r w:rsidR="002A4864">
        <w:rPr>
          <w:rFonts w:ascii="Calibri" w:hAnsi="Calibri"/>
          <w:szCs w:val="24"/>
        </w:rPr>
        <w:t xml:space="preserve">quality </w:t>
      </w:r>
      <w:r w:rsidR="0040300B">
        <w:rPr>
          <w:rFonts w:ascii="Calibri" w:hAnsi="Calibri"/>
          <w:szCs w:val="24"/>
        </w:rPr>
        <w:t xml:space="preserve">and relevant </w:t>
      </w:r>
      <w:r w:rsidR="002A4864">
        <w:rPr>
          <w:rFonts w:ascii="Calibri" w:hAnsi="Calibri"/>
          <w:szCs w:val="24"/>
        </w:rPr>
        <w:t xml:space="preserve">education content </w:t>
      </w:r>
      <w:r>
        <w:rPr>
          <w:rFonts w:ascii="Calibri" w:hAnsi="Calibri"/>
          <w:szCs w:val="24"/>
        </w:rPr>
        <w:t>as a consequence.  It is, in our opinion as a long standing specialist education publisher, simple cause and effect.</w:t>
      </w:r>
    </w:p>
    <w:p w:rsidR="00AF3975" w:rsidRPr="00581074" w:rsidRDefault="00AF3975" w:rsidP="00FD1DDA">
      <w:pPr>
        <w:rPr>
          <w:rFonts w:asciiTheme="minorHAnsi" w:hAnsiTheme="minorHAnsi"/>
          <w:szCs w:val="24"/>
          <w:highlight w:val="yellow"/>
        </w:rPr>
      </w:pPr>
    </w:p>
    <w:p w:rsidR="00133F96" w:rsidRPr="00581074" w:rsidRDefault="00FD1DDA" w:rsidP="00FD1DDA">
      <w:pPr>
        <w:pStyle w:val="ListParagraph"/>
        <w:tabs>
          <w:tab w:val="left" w:pos="3828"/>
          <w:tab w:val="left" w:pos="7088"/>
        </w:tabs>
        <w:ind w:left="0"/>
        <w:rPr>
          <w:rFonts w:ascii="Calibri" w:hAnsi="Calibri"/>
          <w:szCs w:val="24"/>
        </w:rPr>
      </w:pPr>
      <w:r>
        <w:rPr>
          <w:rFonts w:ascii="Calibri" w:hAnsi="Calibri"/>
          <w:szCs w:val="24"/>
        </w:rPr>
        <w:lastRenderedPageBreak/>
        <w:t xml:space="preserve">I </w:t>
      </w:r>
      <w:r w:rsidR="009663B2" w:rsidRPr="00581074">
        <w:rPr>
          <w:rFonts w:ascii="Calibri" w:hAnsi="Calibri"/>
          <w:szCs w:val="24"/>
        </w:rPr>
        <w:t>hope</w:t>
      </w:r>
      <w:r w:rsidR="005F6921" w:rsidRPr="00581074">
        <w:rPr>
          <w:rFonts w:ascii="Calibri" w:hAnsi="Calibri"/>
          <w:szCs w:val="24"/>
        </w:rPr>
        <w:t xml:space="preserve"> this submission enables</w:t>
      </w:r>
      <w:r w:rsidR="00133F96" w:rsidRPr="00581074">
        <w:rPr>
          <w:rFonts w:ascii="Calibri" w:hAnsi="Calibri"/>
          <w:szCs w:val="24"/>
        </w:rPr>
        <w:t xml:space="preserve"> the </w:t>
      </w:r>
      <w:r w:rsidR="00ED09E4" w:rsidRPr="00581074">
        <w:rPr>
          <w:rFonts w:ascii="Calibri" w:hAnsi="Calibri"/>
          <w:szCs w:val="24"/>
        </w:rPr>
        <w:t>ALRC</w:t>
      </w:r>
      <w:r w:rsidR="005F6921" w:rsidRPr="00581074">
        <w:rPr>
          <w:rFonts w:ascii="Calibri" w:hAnsi="Calibri"/>
          <w:szCs w:val="24"/>
        </w:rPr>
        <w:t xml:space="preserve"> to form</w:t>
      </w:r>
      <w:r w:rsidR="00133F96" w:rsidRPr="00581074">
        <w:rPr>
          <w:rFonts w:ascii="Calibri" w:hAnsi="Calibri"/>
          <w:szCs w:val="24"/>
        </w:rPr>
        <w:t xml:space="preserve"> a better and</w:t>
      </w:r>
      <w:r w:rsidR="00714AB3" w:rsidRPr="00581074">
        <w:rPr>
          <w:rFonts w:ascii="Calibri" w:hAnsi="Calibri"/>
          <w:szCs w:val="24"/>
        </w:rPr>
        <w:t xml:space="preserve"> balanced understanding of </w:t>
      </w:r>
      <w:r w:rsidR="00ED09E4" w:rsidRPr="00581074">
        <w:rPr>
          <w:rFonts w:ascii="Calibri" w:hAnsi="Calibri"/>
          <w:szCs w:val="24"/>
        </w:rPr>
        <w:t>e</w:t>
      </w:r>
      <w:r w:rsidR="00133F96" w:rsidRPr="00581074">
        <w:rPr>
          <w:rFonts w:ascii="Calibri" w:hAnsi="Calibri"/>
          <w:szCs w:val="24"/>
        </w:rPr>
        <w:t>ducation</w:t>
      </w:r>
      <w:r w:rsidR="005F6921" w:rsidRPr="00581074">
        <w:rPr>
          <w:rFonts w:ascii="Calibri" w:hAnsi="Calibri"/>
          <w:szCs w:val="24"/>
        </w:rPr>
        <w:t>al</w:t>
      </w:r>
      <w:r w:rsidR="00133F96" w:rsidRPr="00581074">
        <w:rPr>
          <w:rFonts w:ascii="Calibri" w:hAnsi="Calibri"/>
          <w:szCs w:val="24"/>
        </w:rPr>
        <w:t xml:space="preserve"> </w:t>
      </w:r>
      <w:r w:rsidR="00ED09E4" w:rsidRPr="00581074">
        <w:rPr>
          <w:rFonts w:ascii="Calibri" w:hAnsi="Calibri"/>
          <w:szCs w:val="24"/>
        </w:rPr>
        <w:t xml:space="preserve">publishing and the key </w:t>
      </w:r>
      <w:r w:rsidR="00C54AB6">
        <w:rPr>
          <w:rFonts w:ascii="Calibri" w:hAnsi="Calibri"/>
          <w:szCs w:val="24"/>
        </w:rPr>
        <w:t>c</w:t>
      </w:r>
      <w:r w:rsidR="00BF541E" w:rsidRPr="00581074">
        <w:rPr>
          <w:rFonts w:ascii="Calibri" w:hAnsi="Calibri"/>
          <w:szCs w:val="24"/>
        </w:rPr>
        <w:t xml:space="preserve">opyright </w:t>
      </w:r>
      <w:r w:rsidR="00ED09E4" w:rsidRPr="00581074">
        <w:rPr>
          <w:rFonts w:ascii="Calibri" w:hAnsi="Calibri"/>
          <w:szCs w:val="24"/>
        </w:rPr>
        <w:t xml:space="preserve">issues </w:t>
      </w:r>
      <w:r w:rsidR="00BF541E" w:rsidRPr="00581074">
        <w:rPr>
          <w:rFonts w:ascii="Calibri" w:hAnsi="Calibri"/>
          <w:szCs w:val="24"/>
        </w:rPr>
        <w:t>that we focus on</w:t>
      </w:r>
      <w:r w:rsidR="00C54AB6">
        <w:rPr>
          <w:rFonts w:ascii="Calibri" w:hAnsi="Calibri"/>
          <w:szCs w:val="24"/>
        </w:rPr>
        <w:t>,</w:t>
      </w:r>
      <w:r w:rsidR="00BF541E" w:rsidRPr="00581074">
        <w:rPr>
          <w:rFonts w:ascii="Calibri" w:hAnsi="Calibri"/>
          <w:szCs w:val="24"/>
        </w:rPr>
        <w:t xml:space="preserve"> particularly in relation to digital content development and digital delivery to our customers and end users. </w:t>
      </w:r>
    </w:p>
    <w:p w:rsidR="00133F96" w:rsidRPr="00581074" w:rsidRDefault="00133F96" w:rsidP="00FD1DDA">
      <w:pPr>
        <w:tabs>
          <w:tab w:val="left" w:pos="3828"/>
          <w:tab w:val="left" w:pos="7088"/>
        </w:tabs>
        <w:rPr>
          <w:rFonts w:ascii="Calibri" w:hAnsi="Calibri"/>
          <w:szCs w:val="24"/>
        </w:rPr>
      </w:pPr>
    </w:p>
    <w:p w:rsidR="00133F96" w:rsidRDefault="00133F96" w:rsidP="00FD1DDA">
      <w:pPr>
        <w:pStyle w:val="ListParagraph"/>
        <w:tabs>
          <w:tab w:val="left" w:pos="3828"/>
          <w:tab w:val="left" w:pos="7088"/>
        </w:tabs>
        <w:ind w:left="0"/>
        <w:rPr>
          <w:rFonts w:ascii="Calibri" w:hAnsi="Calibri"/>
          <w:szCs w:val="24"/>
        </w:rPr>
      </w:pPr>
      <w:r w:rsidRPr="00581074">
        <w:rPr>
          <w:rFonts w:ascii="Calibri" w:hAnsi="Calibri"/>
          <w:szCs w:val="24"/>
        </w:rPr>
        <w:t>Yours sincerely</w:t>
      </w:r>
      <w:r w:rsidR="00C54AB6">
        <w:rPr>
          <w:rFonts w:ascii="Calibri" w:hAnsi="Calibri"/>
          <w:szCs w:val="24"/>
        </w:rPr>
        <w:t>,</w:t>
      </w:r>
    </w:p>
    <w:p w:rsidR="00C54AB6" w:rsidRPr="00581074" w:rsidRDefault="00C54AB6" w:rsidP="00A447DF">
      <w:pPr>
        <w:pStyle w:val="ListParagraph"/>
        <w:tabs>
          <w:tab w:val="left" w:pos="3828"/>
          <w:tab w:val="left" w:pos="7088"/>
        </w:tabs>
        <w:ind w:left="426"/>
        <w:rPr>
          <w:rFonts w:ascii="Calibri" w:hAnsi="Calibri"/>
          <w:szCs w:val="24"/>
        </w:rPr>
      </w:pPr>
    </w:p>
    <w:p w:rsidR="00C54AB6" w:rsidRPr="00581074" w:rsidRDefault="00C54AB6" w:rsidP="00C54AB6">
      <w:pPr>
        <w:pStyle w:val="ListParagraph"/>
        <w:tabs>
          <w:tab w:val="left" w:pos="3828"/>
          <w:tab w:val="left" w:pos="7088"/>
        </w:tabs>
        <w:spacing w:after="120"/>
        <w:ind w:left="425"/>
        <w:rPr>
          <w:rFonts w:ascii="Calibri" w:hAnsi="Calibri"/>
          <w:szCs w:val="24"/>
        </w:rPr>
      </w:pPr>
    </w:p>
    <w:p w:rsidR="00133F96" w:rsidRDefault="007A179C" w:rsidP="00C54AB6">
      <w:pPr>
        <w:pStyle w:val="ListParagraph"/>
        <w:tabs>
          <w:tab w:val="left" w:pos="3828"/>
          <w:tab w:val="left" w:pos="7088"/>
        </w:tabs>
        <w:spacing w:before="240" w:after="240"/>
        <w:ind w:left="425"/>
        <w:rPr>
          <w:rFonts w:ascii="Calibri" w:hAnsi="Calibri"/>
          <w:szCs w:val="24"/>
        </w:rPr>
      </w:pPr>
      <w:r>
        <w:rPr>
          <w:noProof/>
          <w:lang w:eastAsia="en-AU"/>
        </w:rPr>
        <w:drawing>
          <wp:inline distT="0" distB="0" distL="0" distR="0">
            <wp:extent cx="1371600" cy="762000"/>
            <wp:effectExtent l="19050" t="0" r="0" b="0"/>
            <wp:docPr id="1" name="Picture 1" descr="dob_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b_sig"/>
                    <pic:cNvPicPr>
                      <a:picLocks noChangeAspect="1" noChangeArrowheads="1"/>
                    </pic:cNvPicPr>
                  </pic:nvPicPr>
                  <pic:blipFill>
                    <a:blip r:embed="rId6"/>
                    <a:srcRect/>
                    <a:stretch>
                      <a:fillRect/>
                    </a:stretch>
                  </pic:blipFill>
                  <pic:spPr bwMode="auto">
                    <a:xfrm>
                      <a:off x="0" y="0"/>
                      <a:ext cx="1371600" cy="762000"/>
                    </a:xfrm>
                    <a:prstGeom prst="rect">
                      <a:avLst/>
                    </a:prstGeom>
                    <a:noFill/>
                    <a:ln w="9525">
                      <a:noFill/>
                      <a:miter lim="800000"/>
                      <a:headEnd/>
                      <a:tailEnd/>
                    </a:ln>
                  </pic:spPr>
                </pic:pic>
              </a:graphicData>
            </a:graphic>
          </wp:inline>
        </w:drawing>
      </w:r>
    </w:p>
    <w:p w:rsidR="00C54AB6" w:rsidRDefault="00C54AB6" w:rsidP="00C54AB6">
      <w:pPr>
        <w:pStyle w:val="ListParagraph"/>
        <w:tabs>
          <w:tab w:val="left" w:pos="3828"/>
          <w:tab w:val="left" w:pos="7088"/>
        </w:tabs>
        <w:spacing w:before="120"/>
        <w:ind w:left="425"/>
        <w:rPr>
          <w:rFonts w:ascii="Calibri" w:hAnsi="Calibri"/>
          <w:sz w:val="22"/>
          <w:szCs w:val="22"/>
        </w:rPr>
      </w:pPr>
    </w:p>
    <w:p w:rsidR="00133F96" w:rsidRPr="00C54AB6" w:rsidRDefault="00133F96" w:rsidP="00C54AB6">
      <w:pPr>
        <w:pStyle w:val="ListParagraph"/>
        <w:tabs>
          <w:tab w:val="left" w:pos="3828"/>
          <w:tab w:val="left" w:pos="7088"/>
        </w:tabs>
        <w:spacing w:before="120"/>
        <w:ind w:left="425"/>
        <w:rPr>
          <w:rFonts w:ascii="Calibri" w:hAnsi="Calibri"/>
          <w:szCs w:val="24"/>
        </w:rPr>
      </w:pPr>
      <w:r w:rsidRPr="00C54AB6">
        <w:rPr>
          <w:rFonts w:ascii="Calibri" w:hAnsi="Calibri"/>
          <w:szCs w:val="24"/>
        </w:rPr>
        <w:t xml:space="preserve">David O’Brien </w:t>
      </w:r>
      <w:r w:rsidRPr="00C54AB6">
        <w:rPr>
          <w:rFonts w:ascii="Calibri" w:hAnsi="Calibri"/>
          <w:szCs w:val="24"/>
        </w:rPr>
        <w:tab/>
        <w:t xml:space="preserve">                </w:t>
      </w:r>
    </w:p>
    <w:p w:rsidR="00DD759A" w:rsidRDefault="005F6921" w:rsidP="00A447DF">
      <w:pPr>
        <w:pStyle w:val="ListParagraph"/>
        <w:tabs>
          <w:tab w:val="left" w:pos="3828"/>
          <w:tab w:val="left" w:pos="7088"/>
        </w:tabs>
        <w:ind w:left="426"/>
        <w:rPr>
          <w:rFonts w:ascii="Calibri" w:hAnsi="Calibri"/>
          <w:szCs w:val="24"/>
        </w:rPr>
      </w:pPr>
      <w:r w:rsidRPr="00C54AB6">
        <w:rPr>
          <w:rFonts w:ascii="Calibri" w:hAnsi="Calibri"/>
          <w:szCs w:val="24"/>
        </w:rPr>
        <w:t>Vice P</w:t>
      </w:r>
      <w:r w:rsidR="003324AF" w:rsidRPr="00C54AB6">
        <w:rPr>
          <w:rFonts w:ascii="Calibri" w:hAnsi="Calibri"/>
          <w:szCs w:val="24"/>
        </w:rPr>
        <w:t>resident</w:t>
      </w:r>
      <w:r w:rsidR="00D80D9F" w:rsidRPr="00C54AB6">
        <w:rPr>
          <w:rFonts w:ascii="Calibri" w:hAnsi="Calibri"/>
          <w:szCs w:val="24"/>
        </w:rPr>
        <w:t xml:space="preserve"> – School</w:t>
      </w:r>
      <w:r w:rsidR="00DD759A">
        <w:rPr>
          <w:rFonts w:ascii="Calibri" w:hAnsi="Calibri"/>
          <w:szCs w:val="24"/>
        </w:rPr>
        <w:t>s</w:t>
      </w:r>
    </w:p>
    <w:p w:rsidR="00DD759A" w:rsidRDefault="00DD759A" w:rsidP="00DD759A">
      <w:pPr>
        <w:pStyle w:val="ListParagraph"/>
        <w:tabs>
          <w:tab w:val="left" w:pos="3828"/>
          <w:tab w:val="left" w:pos="7088"/>
        </w:tabs>
        <w:spacing w:after="120"/>
        <w:ind w:left="425"/>
        <w:rPr>
          <w:rFonts w:ascii="Calibri" w:hAnsi="Calibri"/>
          <w:szCs w:val="24"/>
        </w:rPr>
      </w:pPr>
      <w:r w:rsidRPr="00581074">
        <w:rPr>
          <w:rFonts w:ascii="Calibri" w:hAnsi="Calibri"/>
          <w:szCs w:val="24"/>
        </w:rPr>
        <w:t>Cengage Learning Australia</w:t>
      </w:r>
    </w:p>
    <w:p w:rsidR="006B1893" w:rsidRDefault="006B1893" w:rsidP="00A447DF">
      <w:pPr>
        <w:pStyle w:val="ListParagraph"/>
        <w:tabs>
          <w:tab w:val="left" w:pos="3828"/>
          <w:tab w:val="left" w:pos="7088"/>
        </w:tabs>
        <w:ind w:left="426"/>
        <w:rPr>
          <w:rFonts w:ascii="Calibri" w:hAnsi="Calibri"/>
          <w:sz w:val="22"/>
          <w:szCs w:val="22"/>
        </w:rPr>
      </w:pPr>
    </w:p>
    <w:p w:rsidR="006B1893" w:rsidRDefault="006B1893" w:rsidP="00A447DF">
      <w:pPr>
        <w:pStyle w:val="ListParagraph"/>
        <w:tabs>
          <w:tab w:val="left" w:pos="3828"/>
          <w:tab w:val="left" w:pos="7088"/>
        </w:tabs>
        <w:ind w:left="426"/>
        <w:rPr>
          <w:rFonts w:ascii="Calibri" w:hAnsi="Calibri"/>
          <w:sz w:val="22"/>
          <w:szCs w:val="22"/>
        </w:rPr>
      </w:pPr>
    </w:p>
    <w:p w:rsidR="00133F96" w:rsidRPr="00AD52AD" w:rsidRDefault="00133F96" w:rsidP="00A447DF">
      <w:pPr>
        <w:pStyle w:val="ListParagraph"/>
        <w:tabs>
          <w:tab w:val="left" w:pos="3828"/>
          <w:tab w:val="left" w:pos="7088"/>
        </w:tabs>
        <w:ind w:left="426"/>
        <w:rPr>
          <w:rFonts w:ascii="Calibri" w:hAnsi="Calibri"/>
          <w:sz w:val="22"/>
          <w:szCs w:val="22"/>
        </w:rPr>
      </w:pPr>
      <w:r w:rsidRPr="003A77BE">
        <w:rPr>
          <w:rFonts w:ascii="Calibri" w:hAnsi="Calibri"/>
          <w:sz w:val="22"/>
          <w:szCs w:val="22"/>
        </w:rPr>
        <w:tab/>
        <w:t xml:space="preserve">                </w:t>
      </w:r>
    </w:p>
    <w:sectPr w:rsidR="00133F96" w:rsidRPr="00AD52AD" w:rsidSect="00F92850">
      <w:type w:val="continuous"/>
      <w:pgSz w:w="11907" w:h="16840" w:code="9"/>
      <w:pgMar w:top="1134" w:right="1134" w:bottom="1134" w:left="709" w:header="567" w:footer="567"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B97"/>
    <w:multiLevelType w:val="hybridMultilevel"/>
    <w:tmpl w:val="3D32333C"/>
    <w:lvl w:ilvl="0" w:tplc="468CBC0A">
      <w:start w:val="1"/>
      <w:numFmt w:val="low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
    <w:nsid w:val="20870033"/>
    <w:multiLevelType w:val="hybridMultilevel"/>
    <w:tmpl w:val="004EFCE0"/>
    <w:lvl w:ilvl="0" w:tplc="F0767556">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nsid w:val="20924120"/>
    <w:multiLevelType w:val="hybridMultilevel"/>
    <w:tmpl w:val="5108214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
    <w:nsid w:val="2519712A"/>
    <w:multiLevelType w:val="hybridMultilevel"/>
    <w:tmpl w:val="2028F1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DA2616"/>
    <w:multiLevelType w:val="hybridMultilevel"/>
    <w:tmpl w:val="C4186CE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
    <w:nsid w:val="3CEF7074"/>
    <w:multiLevelType w:val="hybridMultilevel"/>
    <w:tmpl w:val="4FAA8AF2"/>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47071E2C"/>
    <w:multiLevelType w:val="hybridMultilevel"/>
    <w:tmpl w:val="8FE015FC"/>
    <w:lvl w:ilvl="0" w:tplc="74C87A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0D40D23"/>
    <w:multiLevelType w:val="hybridMultilevel"/>
    <w:tmpl w:val="9D927B5A"/>
    <w:lvl w:ilvl="0" w:tplc="32B23AB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40A3B1B"/>
    <w:multiLevelType w:val="hybridMultilevel"/>
    <w:tmpl w:val="272E8D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521659"/>
    <w:multiLevelType w:val="hybridMultilevel"/>
    <w:tmpl w:val="3C24B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DE42F5"/>
    <w:multiLevelType w:val="hybridMultilevel"/>
    <w:tmpl w:val="F06012A4"/>
    <w:lvl w:ilvl="0" w:tplc="752A4C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9C20804"/>
    <w:multiLevelType w:val="hybridMultilevel"/>
    <w:tmpl w:val="E118DBE6"/>
    <w:lvl w:ilvl="0" w:tplc="FB1E4A9E">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D69361E"/>
    <w:multiLevelType w:val="hybridMultilevel"/>
    <w:tmpl w:val="A54E184E"/>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71E65798"/>
    <w:multiLevelType w:val="multilevel"/>
    <w:tmpl w:val="A220490A"/>
    <w:lvl w:ilvl="0">
      <w:start w:val="1"/>
      <w:numFmt w:val="decimal"/>
      <w:lvlText w:val="%1."/>
      <w:lvlJc w:val="left"/>
      <w:pPr>
        <w:tabs>
          <w:tab w:val="num" w:pos="720"/>
        </w:tabs>
        <w:ind w:left="720" w:hanging="720"/>
      </w:pPr>
      <w:rPr>
        <w:b w:val="0"/>
        <w:bCs w:val="0"/>
        <w:i w:val="0"/>
        <w:iCs w:val="0"/>
      </w:rPr>
    </w:lvl>
    <w:lvl w:ilvl="1">
      <w:start w:val="1"/>
      <w:numFmt w:val="lowerRoman"/>
      <w:lvlText w:val="%2."/>
      <w:lvlJc w:val="right"/>
      <w:pPr>
        <w:ind w:left="1440" w:hanging="360"/>
      </w:pPr>
      <w:rPr>
        <w:rFonts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4">
    <w:nsid w:val="74FE149A"/>
    <w:multiLevelType w:val="hybridMultilevel"/>
    <w:tmpl w:val="AD16C52C"/>
    <w:lvl w:ilvl="0" w:tplc="68863A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7"/>
  </w:num>
  <w:num w:numId="7">
    <w:abstractNumId w:val="13"/>
  </w:num>
  <w:num w:numId="8">
    <w:abstractNumId w:val="12"/>
  </w:num>
  <w:num w:numId="9">
    <w:abstractNumId w:val="14"/>
  </w:num>
  <w:num w:numId="10">
    <w:abstractNumId w:val="8"/>
  </w:num>
  <w:num w:numId="11">
    <w:abstractNumId w:val="11"/>
  </w:num>
  <w:num w:numId="12">
    <w:abstractNumId w:val="1"/>
  </w:num>
  <w:num w:numId="13">
    <w:abstractNumId w:val="10"/>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cumentProtection w:edit="forms" w:enforcement="1"/>
  <w:defaultTabStop w:val="720"/>
  <w:displayHorizontalDrawingGridEvery w:val="0"/>
  <w:displayVerticalDrawingGridEvery w:val="0"/>
  <w:doNotUseMarginsForDrawingGridOrigin/>
  <w:doNotShadeFormData/>
  <w:noPunctuationKerning/>
  <w:characterSpacingControl w:val="doNotCompress"/>
  <w:compat/>
  <w:rsids>
    <w:rsidRoot w:val="00014496"/>
    <w:rsid w:val="00014496"/>
    <w:rsid w:val="00014F4C"/>
    <w:rsid w:val="00017CFA"/>
    <w:rsid w:val="00021C1D"/>
    <w:rsid w:val="0002376F"/>
    <w:rsid w:val="0003452A"/>
    <w:rsid w:val="00036F6E"/>
    <w:rsid w:val="000477F3"/>
    <w:rsid w:val="00063429"/>
    <w:rsid w:val="0007321F"/>
    <w:rsid w:val="000769F2"/>
    <w:rsid w:val="00081836"/>
    <w:rsid w:val="00087389"/>
    <w:rsid w:val="000876FE"/>
    <w:rsid w:val="000A1118"/>
    <w:rsid w:val="000A1DA5"/>
    <w:rsid w:val="000B1799"/>
    <w:rsid w:val="000B50C1"/>
    <w:rsid w:val="000F13B7"/>
    <w:rsid w:val="000F258B"/>
    <w:rsid w:val="00102AEE"/>
    <w:rsid w:val="00102C91"/>
    <w:rsid w:val="00102FE1"/>
    <w:rsid w:val="00104526"/>
    <w:rsid w:val="001045B1"/>
    <w:rsid w:val="0011073C"/>
    <w:rsid w:val="00114C96"/>
    <w:rsid w:val="00121FCE"/>
    <w:rsid w:val="00133F96"/>
    <w:rsid w:val="00143D54"/>
    <w:rsid w:val="001518C4"/>
    <w:rsid w:val="0016044F"/>
    <w:rsid w:val="001641FD"/>
    <w:rsid w:val="0016422D"/>
    <w:rsid w:val="00175385"/>
    <w:rsid w:val="001773C2"/>
    <w:rsid w:val="00182B8F"/>
    <w:rsid w:val="001926EB"/>
    <w:rsid w:val="001A1C06"/>
    <w:rsid w:val="001A75B7"/>
    <w:rsid w:val="001D4CDA"/>
    <w:rsid w:val="001E0BD5"/>
    <w:rsid w:val="001F5B2F"/>
    <w:rsid w:val="00207A92"/>
    <w:rsid w:val="002254A8"/>
    <w:rsid w:val="002259AE"/>
    <w:rsid w:val="0023348F"/>
    <w:rsid w:val="00233D54"/>
    <w:rsid w:val="00236B17"/>
    <w:rsid w:val="00237521"/>
    <w:rsid w:val="00257339"/>
    <w:rsid w:val="0026695D"/>
    <w:rsid w:val="00274D94"/>
    <w:rsid w:val="002751C5"/>
    <w:rsid w:val="002752B6"/>
    <w:rsid w:val="00290B5B"/>
    <w:rsid w:val="00292102"/>
    <w:rsid w:val="002927C7"/>
    <w:rsid w:val="00292DB1"/>
    <w:rsid w:val="00297AE7"/>
    <w:rsid w:val="002A0B37"/>
    <w:rsid w:val="002A2D53"/>
    <w:rsid w:val="002A4864"/>
    <w:rsid w:val="002B3816"/>
    <w:rsid w:val="002B5BB4"/>
    <w:rsid w:val="002B5E20"/>
    <w:rsid w:val="002D34F5"/>
    <w:rsid w:val="002D6590"/>
    <w:rsid w:val="002F02DE"/>
    <w:rsid w:val="002F5A41"/>
    <w:rsid w:val="003161C3"/>
    <w:rsid w:val="00331B8A"/>
    <w:rsid w:val="003324AF"/>
    <w:rsid w:val="003336C4"/>
    <w:rsid w:val="00334F57"/>
    <w:rsid w:val="00341A15"/>
    <w:rsid w:val="00341DE8"/>
    <w:rsid w:val="00346BB9"/>
    <w:rsid w:val="003527E6"/>
    <w:rsid w:val="00352F79"/>
    <w:rsid w:val="003717C8"/>
    <w:rsid w:val="003778C2"/>
    <w:rsid w:val="00382176"/>
    <w:rsid w:val="00394E94"/>
    <w:rsid w:val="0039628A"/>
    <w:rsid w:val="003A1477"/>
    <w:rsid w:val="003A77BE"/>
    <w:rsid w:val="003C4430"/>
    <w:rsid w:val="003F0A72"/>
    <w:rsid w:val="003F29A9"/>
    <w:rsid w:val="003F3DEF"/>
    <w:rsid w:val="0040300B"/>
    <w:rsid w:val="00407B26"/>
    <w:rsid w:val="004146C9"/>
    <w:rsid w:val="004418FB"/>
    <w:rsid w:val="00451A5B"/>
    <w:rsid w:val="00455C07"/>
    <w:rsid w:val="00467739"/>
    <w:rsid w:val="0047541B"/>
    <w:rsid w:val="004918CD"/>
    <w:rsid w:val="00492088"/>
    <w:rsid w:val="004A15E7"/>
    <w:rsid w:val="004B3F78"/>
    <w:rsid w:val="004C04CC"/>
    <w:rsid w:val="004D6F9F"/>
    <w:rsid w:val="004E2E23"/>
    <w:rsid w:val="004F0F83"/>
    <w:rsid w:val="004F4739"/>
    <w:rsid w:val="00501938"/>
    <w:rsid w:val="00502471"/>
    <w:rsid w:val="00506B74"/>
    <w:rsid w:val="00522C15"/>
    <w:rsid w:val="00524AC7"/>
    <w:rsid w:val="00534939"/>
    <w:rsid w:val="0054417D"/>
    <w:rsid w:val="0055111C"/>
    <w:rsid w:val="005526A4"/>
    <w:rsid w:val="00552FF9"/>
    <w:rsid w:val="00553F4C"/>
    <w:rsid w:val="005559A3"/>
    <w:rsid w:val="005803D6"/>
    <w:rsid w:val="00581074"/>
    <w:rsid w:val="005918AE"/>
    <w:rsid w:val="0059195F"/>
    <w:rsid w:val="005956B5"/>
    <w:rsid w:val="00597967"/>
    <w:rsid w:val="005A01BC"/>
    <w:rsid w:val="005A369C"/>
    <w:rsid w:val="005A3DFD"/>
    <w:rsid w:val="005A3EED"/>
    <w:rsid w:val="005B2252"/>
    <w:rsid w:val="005B73D7"/>
    <w:rsid w:val="005C62C7"/>
    <w:rsid w:val="005E11B4"/>
    <w:rsid w:val="005E2AC5"/>
    <w:rsid w:val="005F6921"/>
    <w:rsid w:val="0060506C"/>
    <w:rsid w:val="00605BAD"/>
    <w:rsid w:val="0060602C"/>
    <w:rsid w:val="00611B1F"/>
    <w:rsid w:val="006245C0"/>
    <w:rsid w:val="00630FBF"/>
    <w:rsid w:val="006320EE"/>
    <w:rsid w:val="00632C72"/>
    <w:rsid w:val="00666AB6"/>
    <w:rsid w:val="006733B1"/>
    <w:rsid w:val="006755C5"/>
    <w:rsid w:val="006B1893"/>
    <w:rsid w:val="006B191D"/>
    <w:rsid w:val="006D4A24"/>
    <w:rsid w:val="006D737E"/>
    <w:rsid w:val="006E49A2"/>
    <w:rsid w:val="006E530F"/>
    <w:rsid w:val="006E611D"/>
    <w:rsid w:val="007119D4"/>
    <w:rsid w:val="00714AB3"/>
    <w:rsid w:val="00716E39"/>
    <w:rsid w:val="007170BF"/>
    <w:rsid w:val="00717999"/>
    <w:rsid w:val="00721A3F"/>
    <w:rsid w:val="00726C3F"/>
    <w:rsid w:val="00730830"/>
    <w:rsid w:val="00732967"/>
    <w:rsid w:val="007448C7"/>
    <w:rsid w:val="00744B84"/>
    <w:rsid w:val="00745EBE"/>
    <w:rsid w:val="007500AD"/>
    <w:rsid w:val="00761180"/>
    <w:rsid w:val="007844F8"/>
    <w:rsid w:val="00791D8A"/>
    <w:rsid w:val="007A179C"/>
    <w:rsid w:val="007B08F3"/>
    <w:rsid w:val="007C77F3"/>
    <w:rsid w:val="007D0E98"/>
    <w:rsid w:val="007D472F"/>
    <w:rsid w:val="007D7578"/>
    <w:rsid w:val="007F520F"/>
    <w:rsid w:val="00800924"/>
    <w:rsid w:val="008149F8"/>
    <w:rsid w:val="00817403"/>
    <w:rsid w:val="00831B96"/>
    <w:rsid w:val="0083419F"/>
    <w:rsid w:val="00850664"/>
    <w:rsid w:val="00853F0A"/>
    <w:rsid w:val="00867ED1"/>
    <w:rsid w:val="00871087"/>
    <w:rsid w:val="008759A9"/>
    <w:rsid w:val="008905E3"/>
    <w:rsid w:val="0089778B"/>
    <w:rsid w:val="00897DBB"/>
    <w:rsid w:val="008A2ACF"/>
    <w:rsid w:val="008A323F"/>
    <w:rsid w:val="008A4DD0"/>
    <w:rsid w:val="008A52D0"/>
    <w:rsid w:val="008A698A"/>
    <w:rsid w:val="008C138D"/>
    <w:rsid w:val="008C2358"/>
    <w:rsid w:val="009005B7"/>
    <w:rsid w:val="00915949"/>
    <w:rsid w:val="009219CE"/>
    <w:rsid w:val="009228F1"/>
    <w:rsid w:val="0092671E"/>
    <w:rsid w:val="009311B8"/>
    <w:rsid w:val="00944C98"/>
    <w:rsid w:val="00952146"/>
    <w:rsid w:val="0095290C"/>
    <w:rsid w:val="00960CFD"/>
    <w:rsid w:val="009663B2"/>
    <w:rsid w:val="00970024"/>
    <w:rsid w:val="00973546"/>
    <w:rsid w:val="00977D3E"/>
    <w:rsid w:val="00983C83"/>
    <w:rsid w:val="009A0808"/>
    <w:rsid w:val="009A129D"/>
    <w:rsid w:val="009B5DB5"/>
    <w:rsid w:val="009C23A9"/>
    <w:rsid w:val="009C4F6F"/>
    <w:rsid w:val="009D02CD"/>
    <w:rsid w:val="009D3781"/>
    <w:rsid w:val="009E0A8F"/>
    <w:rsid w:val="009F1C1A"/>
    <w:rsid w:val="009F783A"/>
    <w:rsid w:val="00A012B3"/>
    <w:rsid w:val="00A11E04"/>
    <w:rsid w:val="00A166BF"/>
    <w:rsid w:val="00A252A5"/>
    <w:rsid w:val="00A25657"/>
    <w:rsid w:val="00A40D9C"/>
    <w:rsid w:val="00A447DF"/>
    <w:rsid w:val="00A84903"/>
    <w:rsid w:val="00A93CC2"/>
    <w:rsid w:val="00A94D3F"/>
    <w:rsid w:val="00A95625"/>
    <w:rsid w:val="00AA024A"/>
    <w:rsid w:val="00AA79F5"/>
    <w:rsid w:val="00AB3F14"/>
    <w:rsid w:val="00AB55E0"/>
    <w:rsid w:val="00AC1F78"/>
    <w:rsid w:val="00AC6592"/>
    <w:rsid w:val="00AD3702"/>
    <w:rsid w:val="00AD4674"/>
    <w:rsid w:val="00AD52AD"/>
    <w:rsid w:val="00AE2FF4"/>
    <w:rsid w:val="00AE6F23"/>
    <w:rsid w:val="00AF3975"/>
    <w:rsid w:val="00AF3FA5"/>
    <w:rsid w:val="00B16234"/>
    <w:rsid w:val="00B26291"/>
    <w:rsid w:val="00B35F50"/>
    <w:rsid w:val="00B435D7"/>
    <w:rsid w:val="00B53CC0"/>
    <w:rsid w:val="00B57B68"/>
    <w:rsid w:val="00B6345C"/>
    <w:rsid w:val="00B651A4"/>
    <w:rsid w:val="00B655FA"/>
    <w:rsid w:val="00B66BD5"/>
    <w:rsid w:val="00BA1923"/>
    <w:rsid w:val="00BA5460"/>
    <w:rsid w:val="00BC1C1C"/>
    <w:rsid w:val="00BC6C68"/>
    <w:rsid w:val="00BD099A"/>
    <w:rsid w:val="00BE3D3E"/>
    <w:rsid w:val="00BE62A6"/>
    <w:rsid w:val="00BE70A5"/>
    <w:rsid w:val="00BF086D"/>
    <w:rsid w:val="00BF118D"/>
    <w:rsid w:val="00BF541E"/>
    <w:rsid w:val="00C07395"/>
    <w:rsid w:val="00C1168D"/>
    <w:rsid w:val="00C17B90"/>
    <w:rsid w:val="00C33A71"/>
    <w:rsid w:val="00C36C0F"/>
    <w:rsid w:val="00C54AB6"/>
    <w:rsid w:val="00C72AD3"/>
    <w:rsid w:val="00C72C12"/>
    <w:rsid w:val="00C74B7E"/>
    <w:rsid w:val="00C81269"/>
    <w:rsid w:val="00C82B37"/>
    <w:rsid w:val="00C920A3"/>
    <w:rsid w:val="00CB72B8"/>
    <w:rsid w:val="00CD37BF"/>
    <w:rsid w:val="00CD64E8"/>
    <w:rsid w:val="00CE2D73"/>
    <w:rsid w:val="00CE4E67"/>
    <w:rsid w:val="00CF449A"/>
    <w:rsid w:val="00CF578C"/>
    <w:rsid w:val="00CF72CD"/>
    <w:rsid w:val="00CF77AB"/>
    <w:rsid w:val="00D17F16"/>
    <w:rsid w:val="00D17F53"/>
    <w:rsid w:val="00D26B4C"/>
    <w:rsid w:val="00D33AA0"/>
    <w:rsid w:val="00D41D8A"/>
    <w:rsid w:val="00D42E2D"/>
    <w:rsid w:val="00D442A5"/>
    <w:rsid w:val="00D453C5"/>
    <w:rsid w:val="00D51C7E"/>
    <w:rsid w:val="00D56152"/>
    <w:rsid w:val="00D74627"/>
    <w:rsid w:val="00D80D9F"/>
    <w:rsid w:val="00D820BE"/>
    <w:rsid w:val="00DB792E"/>
    <w:rsid w:val="00DD519C"/>
    <w:rsid w:val="00DD759A"/>
    <w:rsid w:val="00DE5A90"/>
    <w:rsid w:val="00DE5F14"/>
    <w:rsid w:val="00DF1BAB"/>
    <w:rsid w:val="00E05C0F"/>
    <w:rsid w:val="00E10ADC"/>
    <w:rsid w:val="00E262DE"/>
    <w:rsid w:val="00E42F03"/>
    <w:rsid w:val="00E808B0"/>
    <w:rsid w:val="00E86CC7"/>
    <w:rsid w:val="00E93F2F"/>
    <w:rsid w:val="00EA6ED9"/>
    <w:rsid w:val="00EB00EF"/>
    <w:rsid w:val="00EB3A27"/>
    <w:rsid w:val="00EB4F31"/>
    <w:rsid w:val="00EC0D91"/>
    <w:rsid w:val="00EC1BF2"/>
    <w:rsid w:val="00ED09E4"/>
    <w:rsid w:val="00ED1FE2"/>
    <w:rsid w:val="00ED645D"/>
    <w:rsid w:val="00ED687A"/>
    <w:rsid w:val="00EE0EE5"/>
    <w:rsid w:val="00EE6B1B"/>
    <w:rsid w:val="00EF399E"/>
    <w:rsid w:val="00EF52A9"/>
    <w:rsid w:val="00F010C4"/>
    <w:rsid w:val="00F372DE"/>
    <w:rsid w:val="00F45AC5"/>
    <w:rsid w:val="00F52720"/>
    <w:rsid w:val="00F54EB0"/>
    <w:rsid w:val="00F635A1"/>
    <w:rsid w:val="00F70428"/>
    <w:rsid w:val="00F76027"/>
    <w:rsid w:val="00F871E6"/>
    <w:rsid w:val="00F92850"/>
    <w:rsid w:val="00FC0D75"/>
    <w:rsid w:val="00FD1DDA"/>
    <w:rsid w:val="00FF616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1"/>
    <w:rPr>
      <w:sz w:val="24"/>
      <w:szCs w:val="20"/>
      <w:lang w:val="en-AU"/>
    </w:rPr>
  </w:style>
  <w:style w:type="paragraph" w:styleId="Heading1">
    <w:name w:val="heading 1"/>
    <w:basedOn w:val="Normal"/>
    <w:next w:val="Normal"/>
    <w:link w:val="Heading1Char"/>
    <w:uiPriority w:val="99"/>
    <w:qFormat/>
    <w:rsid w:val="00867ED1"/>
    <w:pPr>
      <w:keepNext/>
      <w:jc w:val="right"/>
      <w:outlineLvl w:val="0"/>
    </w:pPr>
    <w:rPr>
      <w:b/>
      <w:color w:val="FFFFFF"/>
      <w:sz w:val="32"/>
      <w:lang w:val="en-US"/>
    </w:rPr>
  </w:style>
  <w:style w:type="paragraph" w:styleId="Heading2">
    <w:name w:val="heading 2"/>
    <w:basedOn w:val="Normal"/>
    <w:next w:val="Normal"/>
    <w:link w:val="Heading2Char"/>
    <w:uiPriority w:val="99"/>
    <w:qFormat/>
    <w:rsid w:val="00867ED1"/>
    <w:pPr>
      <w:keepNext/>
      <w:tabs>
        <w:tab w:val="left" w:pos="3828"/>
        <w:tab w:val="left" w:pos="7088"/>
      </w:tabs>
      <w:outlineLvl w:val="1"/>
    </w:pPr>
    <w:rPr>
      <w:rFonts w:ascii="Arial" w:hAnsi="Arial"/>
      <w:b/>
      <w:sz w:val="32"/>
    </w:rPr>
  </w:style>
  <w:style w:type="paragraph" w:styleId="Heading5">
    <w:name w:val="heading 5"/>
    <w:basedOn w:val="Normal"/>
    <w:next w:val="Normal"/>
    <w:link w:val="Heading5Char"/>
    <w:uiPriority w:val="99"/>
    <w:qFormat/>
    <w:rsid w:val="00867ED1"/>
    <w:pPr>
      <w:keepNext/>
      <w:tabs>
        <w:tab w:val="left" w:pos="3828"/>
        <w:tab w:val="left" w:pos="7088"/>
      </w:tabs>
      <w:outlineLvl w:val="4"/>
    </w:pPr>
    <w:rPr>
      <w:rFonts w:ascii="Arial" w:hAnsi="Arial"/>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670"/>
    <w:rPr>
      <w:rFonts w:asciiTheme="majorHAnsi" w:eastAsiaTheme="majorEastAsia" w:hAnsiTheme="majorHAnsi" w:cstheme="majorBidi"/>
      <w:b/>
      <w:bCs/>
      <w:kern w:val="32"/>
      <w:sz w:val="32"/>
      <w:szCs w:val="32"/>
      <w:lang w:val="en-AU"/>
    </w:rPr>
  </w:style>
  <w:style w:type="character" w:customStyle="1" w:styleId="Heading2Char">
    <w:name w:val="Heading 2 Char"/>
    <w:basedOn w:val="DefaultParagraphFont"/>
    <w:link w:val="Heading2"/>
    <w:uiPriority w:val="9"/>
    <w:semiHidden/>
    <w:rsid w:val="00F64670"/>
    <w:rPr>
      <w:rFonts w:asciiTheme="majorHAnsi" w:eastAsiaTheme="majorEastAsia" w:hAnsiTheme="majorHAnsi" w:cstheme="majorBidi"/>
      <w:b/>
      <w:bCs/>
      <w:i/>
      <w:iCs/>
      <w:sz w:val="28"/>
      <w:szCs w:val="28"/>
      <w:lang w:val="en-AU"/>
    </w:rPr>
  </w:style>
  <w:style w:type="character" w:customStyle="1" w:styleId="Heading5Char">
    <w:name w:val="Heading 5 Char"/>
    <w:basedOn w:val="DefaultParagraphFont"/>
    <w:link w:val="Heading5"/>
    <w:uiPriority w:val="9"/>
    <w:semiHidden/>
    <w:rsid w:val="00F64670"/>
    <w:rPr>
      <w:rFonts w:asciiTheme="minorHAnsi" w:eastAsiaTheme="minorEastAsia" w:hAnsiTheme="minorHAnsi" w:cstheme="minorBidi"/>
      <w:b/>
      <w:bCs/>
      <w:i/>
      <w:iCs/>
      <w:sz w:val="26"/>
      <w:szCs w:val="26"/>
      <w:lang w:val="en-AU"/>
    </w:rPr>
  </w:style>
  <w:style w:type="paragraph" w:styleId="BodyText">
    <w:name w:val="Body Text"/>
    <w:basedOn w:val="Normal"/>
    <w:link w:val="BodyTextChar"/>
    <w:uiPriority w:val="99"/>
    <w:rsid w:val="00867ED1"/>
    <w:pPr>
      <w:tabs>
        <w:tab w:val="left" w:pos="3828"/>
        <w:tab w:val="left" w:pos="7088"/>
      </w:tabs>
    </w:pPr>
    <w:rPr>
      <w:rFonts w:ascii="Arial" w:hAnsi="Arial"/>
      <w:sz w:val="18"/>
      <w:szCs w:val="24"/>
    </w:rPr>
  </w:style>
  <w:style w:type="character" w:customStyle="1" w:styleId="BodyTextChar">
    <w:name w:val="Body Text Char"/>
    <w:basedOn w:val="DefaultParagraphFont"/>
    <w:link w:val="BodyText"/>
    <w:uiPriority w:val="99"/>
    <w:semiHidden/>
    <w:rsid w:val="00F64670"/>
    <w:rPr>
      <w:sz w:val="24"/>
      <w:szCs w:val="20"/>
      <w:lang w:val="en-AU"/>
    </w:rPr>
  </w:style>
  <w:style w:type="paragraph" w:styleId="ListParagraph">
    <w:name w:val="List Paragraph"/>
    <w:basedOn w:val="Normal"/>
    <w:uiPriority w:val="99"/>
    <w:qFormat/>
    <w:rsid w:val="004C04CC"/>
    <w:pPr>
      <w:ind w:left="720"/>
      <w:contextualSpacing/>
    </w:pPr>
  </w:style>
  <w:style w:type="table" w:styleId="TableGrid">
    <w:name w:val="Table Grid"/>
    <w:basedOn w:val="TableNormal"/>
    <w:uiPriority w:val="99"/>
    <w:rsid w:val="005A369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2259AE"/>
    <w:rPr>
      <w:rFonts w:cs="Times New Roman"/>
      <w:color w:val="0000FF"/>
      <w:u w:val="single"/>
    </w:rPr>
  </w:style>
  <w:style w:type="paragraph" w:styleId="BalloonText">
    <w:name w:val="Balloon Text"/>
    <w:basedOn w:val="Normal"/>
    <w:link w:val="BalloonTextChar"/>
    <w:uiPriority w:val="99"/>
    <w:rsid w:val="00897DBB"/>
    <w:rPr>
      <w:rFonts w:ascii="Tahoma" w:hAnsi="Tahoma" w:cs="Tahoma"/>
      <w:sz w:val="16"/>
      <w:szCs w:val="16"/>
    </w:rPr>
  </w:style>
  <w:style w:type="character" w:customStyle="1" w:styleId="BalloonTextChar">
    <w:name w:val="Balloon Text Char"/>
    <w:basedOn w:val="DefaultParagraphFont"/>
    <w:link w:val="BalloonText"/>
    <w:uiPriority w:val="99"/>
    <w:locked/>
    <w:rsid w:val="00897DBB"/>
    <w:rPr>
      <w:rFonts w:ascii="Tahoma" w:hAnsi="Tahoma" w:cs="Tahoma"/>
      <w:sz w:val="16"/>
      <w:szCs w:val="16"/>
      <w:lang w:eastAsia="en-US"/>
    </w:rPr>
  </w:style>
  <w:style w:type="character" w:customStyle="1" w:styleId="apple-converted-space">
    <w:name w:val="apple-converted-space"/>
    <w:basedOn w:val="DefaultParagraphFont"/>
    <w:rsid w:val="00AC1F78"/>
  </w:style>
  <w:style w:type="character" w:styleId="Emphasis">
    <w:name w:val="Emphasis"/>
    <w:basedOn w:val="DefaultParagraphFont"/>
    <w:uiPriority w:val="20"/>
    <w:qFormat/>
    <w:locked/>
    <w:rsid w:val="00AC1F78"/>
    <w:rPr>
      <w:i/>
      <w:iCs/>
    </w:rPr>
  </w:style>
</w:styles>
</file>

<file path=word/webSettings.xml><?xml version="1.0" encoding="utf-8"?>
<w:webSettings xmlns:r="http://schemas.openxmlformats.org/officeDocument/2006/relationships" xmlns:w="http://schemas.openxmlformats.org/wordprocessingml/2006/main">
  <w:divs>
    <w:div w:id="1170413343">
      <w:bodyDiv w:val="1"/>
      <w:marLeft w:val="0"/>
      <w:marRight w:val="0"/>
      <w:marTop w:val="0"/>
      <w:marBottom w:val="0"/>
      <w:divBdr>
        <w:top w:val="none" w:sz="0" w:space="0" w:color="auto"/>
        <w:left w:val="none" w:sz="0" w:space="0" w:color="auto"/>
        <w:bottom w:val="none" w:sz="0" w:space="0" w:color="auto"/>
        <w:right w:val="none" w:sz="0" w:space="0" w:color="auto"/>
      </w:divBdr>
    </w:div>
    <w:div w:id="1204708697">
      <w:bodyDiv w:val="1"/>
      <w:marLeft w:val="0"/>
      <w:marRight w:val="0"/>
      <w:marTop w:val="0"/>
      <w:marBottom w:val="0"/>
      <w:divBdr>
        <w:top w:val="none" w:sz="0" w:space="0" w:color="auto"/>
        <w:left w:val="none" w:sz="0" w:space="0" w:color="auto"/>
        <w:bottom w:val="none" w:sz="0" w:space="0" w:color="auto"/>
        <w:right w:val="none" w:sz="0" w:space="0" w:color="auto"/>
      </w:divBdr>
    </w:div>
    <w:div w:id="1279029297">
      <w:bodyDiv w:val="1"/>
      <w:marLeft w:val="0"/>
      <w:marRight w:val="0"/>
      <w:marTop w:val="0"/>
      <w:marBottom w:val="0"/>
      <w:divBdr>
        <w:top w:val="none" w:sz="0" w:space="0" w:color="auto"/>
        <w:left w:val="none" w:sz="0" w:space="0" w:color="auto"/>
        <w:bottom w:val="none" w:sz="0" w:space="0" w:color="auto"/>
        <w:right w:val="none" w:sz="0" w:space="0" w:color="auto"/>
      </w:divBdr>
    </w:div>
    <w:div w:id="1740786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1040</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Facsimile</vt:lpstr>
    </vt:vector>
  </TitlesOfParts>
  <Company>Nelson Thomson Learning</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dc:title>
  <dc:creator>Thomson Learning user</dc:creator>
  <cp:lastModifiedBy>tina.obrien</cp:lastModifiedBy>
  <cp:revision>2</cp:revision>
  <cp:lastPrinted>2013-07-15T01:44:00Z</cp:lastPrinted>
  <dcterms:created xsi:type="dcterms:W3CDTF">2013-07-15T01:46:00Z</dcterms:created>
  <dcterms:modified xsi:type="dcterms:W3CDTF">2013-07-15T01:46:00Z</dcterms:modified>
</cp:coreProperties>
</file>