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FC0" w:rsidRPr="009D3FC0" w:rsidRDefault="009D3FC0" w:rsidP="00F77344">
      <w:pPr>
        <w:spacing w:after="240" w:line="360" w:lineRule="auto"/>
        <w:jc w:val="center"/>
        <w:rPr>
          <w:b/>
          <w:caps/>
        </w:rPr>
      </w:pPr>
      <w:r w:rsidRPr="009D3FC0">
        <w:rPr>
          <w:b/>
          <w:caps/>
        </w:rPr>
        <w:t>Elder Abuse Inquiry Submission</w:t>
      </w:r>
    </w:p>
    <w:p w:rsidR="00F77344" w:rsidRPr="00BD7482" w:rsidRDefault="00F77344" w:rsidP="00F77344">
      <w:pPr>
        <w:spacing w:after="240" w:line="360" w:lineRule="auto"/>
        <w:jc w:val="center"/>
        <w:rPr>
          <w:smallCaps/>
        </w:rPr>
      </w:pPr>
      <w:r w:rsidRPr="00BD7482">
        <w:rPr>
          <w:smallCaps/>
        </w:rPr>
        <w:t>I Introduction</w:t>
      </w:r>
    </w:p>
    <w:p w:rsidR="00F77344" w:rsidRPr="0019664C" w:rsidRDefault="00F77344" w:rsidP="00F77344">
      <w:pPr>
        <w:spacing w:after="240" w:line="360" w:lineRule="auto"/>
        <w:jc w:val="both"/>
      </w:pPr>
      <w:r w:rsidRPr="00721073">
        <w:t>Thi</w:t>
      </w:r>
      <w:r>
        <w:t>s report addresses</w:t>
      </w:r>
      <w:r w:rsidRPr="00721073">
        <w:t xml:space="preserve"> </w:t>
      </w:r>
      <w:r>
        <w:t>Question 43, ‘Do state and territory criminal laws regarding neglect offer an appropriate response to elder abuse? How might this response be improved?’ As a penultimate year law student I have studied criminal law and done great amounts of research throughout my degree, which has equipped me with the skills necessary to provide a submission. I</w:t>
      </w:r>
      <w:r w:rsidRPr="00721073">
        <w:t xml:space="preserve"> </w:t>
      </w:r>
      <w:r>
        <w:t>believe that Australian</w:t>
      </w:r>
      <w:r w:rsidRPr="00721073">
        <w:t xml:space="preserve"> criminal laws fail to provide an app</w:t>
      </w:r>
      <w:r>
        <w:t>ropriate response to neglect.</w:t>
      </w:r>
      <w:r w:rsidR="00A40EE8">
        <w:t xml:space="preserve"> </w:t>
      </w:r>
      <w:r w:rsidRPr="00721073">
        <w:t>With Australia’s increasingly ageing population, it is i</w:t>
      </w:r>
      <w:r>
        <w:t>mportant that laws are amended or alternative measures adopted to address this issue.</w:t>
      </w:r>
    </w:p>
    <w:p w:rsidR="00F77344" w:rsidRPr="00BD7482" w:rsidRDefault="00F77344" w:rsidP="00F77344">
      <w:pPr>
        <w:spacing w:after="240" w:line="360" w:lineRule="auto"/>
        <w:jc w:val="center"/>
        <w:rPr>
          <w:smallCaps/>
        </w:rPr>
      </w:pPr>
      <w:r>
        <w:rPr>
          <w:smallCaps/>
        </w:rPr>
        <w:t>II</w:t>
      </w:r>
      <w:r w:rsidRPr="00BD7482">
        <w:rPr>
          <w:smallCaps/>
        </w:rPr>
        <w:t xml:space="preserve"> Current Legislation</w:t>
      </w:r>
    </w:p>
    <w:p w:rsidR="00F77344" w:rsidRDefault="00F77344" w:rsidP="00F77344">
      <w:pPr>
        <w:spacing w:after="240" w:line="360" w:lineRule="auto"/>
        <w:jc w:val="both"/>
      </w:pPr>
      <w:r>
        <w:t>‘Neglect’ has been defined as:</w:t>
      </w:r>
    </w:p>
    <w:p w:rsidR="00F77344" w:rsidRPr="008A174B" w:rsidRDefault="00F77344" w:rsidP="00F77344">
      <w:pPr>
        <w:spacing w:after="240" w:line="360" w:lineRule="auto"/>
        <w:ind w:left="720"/>
        <w:jc w:val="both"/>
        <w:rPr>
          <w:sz w:val="22"/>
          <w:szCs w:val="22"/>
        </w:rPr>
      </w:pPr>
      <w:r w:rsidRPr="008A174B">
        <w:rPr>
          <w:sz w:val="22"/>
          <w:szCs w:val="22"/>
        </w:rPr>
        <w:t>[T]he failure of a caregiver to provide the necessities of life to an older person, that is, adequate food, shelter, clothing, medical care, or dental care… Examples include abandonment, non-provision of food, clothing or shelter, underuse of medication, and poor hygiene or personal care.</w:t>
      </w:r>
      <w:r w:rsidRPr="008A174B">
        <w:rPr>
          <w:rStyle w:val="FootnoteReference"/>
          <w:sz w:val="22"/>
          <w:szCs w:val="22"/>
        </w:rPr>
        <w:footnoteReference w:id="1"/>
      </w:r>
    </w:p>
    <w:p w:rsidR="00F77344" w:rsidRDefault="00F77344" w:rsidP="00F77344">
      <w:pPr>
        <w:spacing w:after="240" w:line="360" w:lineRule="auto"/>
        <w:jc w:val="both"/>
      </w:pPr>
      <w:r w:rsidRPr="00721073">
        <w:t>Most Australian jurisdictions have crimina</w:t>
      </w:r>
      <w:r>
        <w:t>l laws providing for a</w:t>
      </w:r>
      <w:r w:rsidRPr="00721073">
        <w:t xml:space="preserve"> failure to provide the necessaries of</w:t>
      </w:r>
      <w:r>
        <w:t xml:space="preserve"> life, except</w:t>
      </w:r>
      <w:r w:rsidRPr="00721073">
        <w:t xml:space="preserve"> </w:t>
      </w:r>
      <w:r>
        <w:t xml:space="preserve">the </w:t>
      </w:r>
      <w:r w:rsidRPr="00721073">
        <w:t>Australian Capital Territory and Victoria.</w:t>
      </w:r>
      <w:r>
        <w:rPr>
          <w:rStyle w:val="FootnoteReference"/>
        </w:rPr>
        <w:footnoteReference w:id="2"/>
      </w:r>
      <w:r w:rsidRPr="00721073">
        <w:t xml:space="preserve"> </w:t>
      </w:r>
      <w:r>
        <w:t>T</w:t>
      </w:r>
      <w:r w:rsidRPr="00721073">
        <w:t>here is a duty to provide the necessaries of life on every perso</w:t>
      </w:r>
      <w:r>
        <w:t xml:space="preserve">n having charge of another </w:t>
      </w:r>
      <w:proofErr w:type="gramStart"/>
      <w:r>
        <w:t>who</w:t>
      </w:r>
      <w:proofErr w:type="gramEnd"/>
      <w:r>
        <w:t xml:space="preserve"> </w:t>
      </w:r>
      <w:r w:rsidRPr="00721073">
        <w:t>because of age, sickness, mental impairment, detention or any other case</w:t>
      </w:r>
      <w:r>
        <w:t xml:space="preserve"> is</w:t>
      </w:r>
      <w:r w:rsidRPr="00721073">
        <w:t xml:space="preserve"> unable to provide themsel</w:t>
      </w:r>
      <w:r>
        <w:t>ves with such necessaries</w:t>
      </w:r>
      <w:r w:rsidRPr="00721073">
        <w:t>.</w:t>
      </w:r>
      <w:r>
        <w:rPr>
          <w:rStyle w:val="FootnoteReference"/>
        </w:rPr>
        <w:footnoteReference w:id="3"/>
      </w:r>
      <w:r>
        <w:t xml:space="preserve"> T</w:t>
      </w:r>
      <w:r w:rsidRPr="00721073">
        <w:t>he person owing the duty is held to have caused any consequences to the life or health of the other person by any lawful or unlawful act or omission.</w:t>
      </w:r>
      <w:r>
        <w:rPr>
          <w:rStyle w:val="FootnoteReference"/>
        </w:rPr>
        <w:footnoteReference w:id="4"/>
      </w:r>
      <w:r>
        <w:t xml:space="preserve">  </w:t>
      </w:r>
    </w:p>
    <w:p w:rsidR="00F77344" w:rsidRDefault="00F77344" w:rsidP="00F77344">
      <w:pPr>
        <w:spacing w:after="240" w:line="360" w:lineRule="auto"/>
        <w:jc w:val="both"/>
      </w:pPr>
      <w:r w:rsidRPr="00721073">
        <w:t>In the Northern Territory, any person who unlawfully fails to provide for the necessaries of life to another pers</w:t>
      </w:r>
      <w:r>
        <w:t>on to whom they owe such a duty</w:t>
      </w:r>
      <w:r w:rsidRPr="00721073">
        <w:t>,</w:t>
      </w:r>
      <w:r>
        <w:rPr>
          <w:rStyle w:val="FootnoteReference"/>
        </w:rPr>
        <w:footnoteReference w:id="5"/>
      </w:r>
      <w:r w:rsidRPr="00721073">
        <w:t xml:space="preserve"> and the life or health of the other </w:t>
      </w:r>
      <w:r w:rsidRPr="00721073">
        <w:lastRenderedPageBreak/>
        <w:t>person is endangered, is guilty of a crime.</w:t>
      </w:r>
      <w:r w:rsidRPr="00721073">
        <w:rPr>
          <w:rStyle w:val="FootnoteReference"/>
        </w:rPr>
        <w:footnoteReference w:id="6"/>
      </w:r>
      <w:r w:rsidRPr="00721073">
        <w:t xml:space="preserve"> </w:t>
      </w:r>
      <w:r>
        <w:t>Such a person is</w:t>
      </w:r>
      <w:r w:rsidRPr="00721073">
        <w:t xml:space="preserve"> liable for seven years imprisonm</w:t>
      </w:r>
      <w:r>
        <w:t>ent.</w:t>
      </w:r>
      <w:r>
        <w:rPr>
          <w:rStyle w:val="FootnoteReference"/>
        </w:rPr>
        <w:footnoteReference w:id="7"/>
      </w:r>
      <w:r>
        <w:t xml:space="preserve"> In</w:t>
      </w:r>
      <w:r w:rsidRPr="00721073">
        <w:t xml:space="preserve"> </w:t>
      </w:r>
      <w:r>
        <w:t xml:space="preserve">Queensland, the </w:t>
      </w:r>
      <w:r w:rsidRPr="00721073">
        <w:t xml:space="preserve">equivalent offence is only three years </w:t>
      </w:r>
      <w:r>
        <w:t>imprisonment.</w:t>
      </w:r>
      <w:r w:rsidRPr="00721073">
        <w:rPr>
          <w:rStyle w:val="FootnoteReference"/>
        </w:rPr>
        <w:footnoteReference w:id="8"/>
      </w:r>
      <w:r>
        <w:t xml:space="preserve"> </w:t>
      </w:r>
    </w:p>
    <w:p w:rsidR="00F77344" w:rsidRDefault="00F77344" w:rsidP="00F77344">
      <w:pPr>
        <w:spacing w:after="240" w:line="360" w:lineRule="auto"/>
        <w:jc w:val="both"/>
      </w:pPr>
      <w:r>
        <w:t>The New South Wales provision pertaining to the necessaries of life also requires that the person be recklessly or intentionally negligent in their failure to provide the necessaries of life to a person to whom they owe such a duty to.</w:t>
      </w:r>
      <w:r>
        <w:rPr>
          <w:rStyle w:val="FootnoteReference"/>
        </w:rPr>
        <w:footnoteReference w:id="9"/>
      </w:r>
      <w:r>
        <w:t xml:space="preserve"> A person in breach of this provision is liable for up to five years imprisonment.</w:t>
      </w:r>
      <w:r>
        <w:rPr>
          <w:rStyle w:val="FootnoteReference"/>
        </w:rPr>
        <w:footnoteReference w:id="10"/>
      </w:r>
    </w:p>
    <w:p w:rsidR="00F77344" w:rsidRDefault="00F77344" w:rsidP="00F77344">
      <w:pPr>
        <w:spacing w:after="240" w:line="360" w:lineRule="auto"/>
        <w:jc w:val="both"/>
      </w:pPr>
      <w:r>
        <w:t>South Australia is the only Australian jurisdiction that provides for an offence of ‘criminal neglect.’ A person will be liable if they fail to take steps to protect a vulnerable adult from death or serious harm if they owe a duty of care.</w:t>
      </w:r>
      <w:r>
        <w:rPr>
          <w:rStyle w:val="FootnoteReference"/>
        </w:rPr>
        <w:footnoteReference w:id="11"/>
      </w:r>
      <w:r>
        <w:t xml:space="preserve"> ‘Vulnerable adult’ is defined as a person over the age of 16 years whose ability to protect </w:t>
      </w:r>
      <w:proofErr w:type="spellStart"/>
      <w:r>
        <w:t>themself</w:t>
      </w:r>
      <w:proofErr w:type="spellEnd"/>
      <w:r>
        <w:t xml:space="preserve"> from an unlawful act is significantly impaired through physical disability, cognitive impairment, illness or infirmity.</w:t>
      </w:r>
      <w:r>
        <w:rPr>
          <w:rStyle w:val="FootnoteReference"/>
        </w:rPr>
        <w:footnoteReference w:id="12"/>
      </w:r>
      <w:r>
        <w:t xml:space="preserve"> Thus this provision can apply not only to the elderly but also those with a disability. Where the victim dies the penalty is 15 years imprisonment, and five years where the victim suffers serious harm.</w:t>
      </w:r>
      <w:r>
        <w:rPr>
          <w:rStyle w:val="FootnoteReference"/>
        </w:rPr>
        <w:footnoteReference w:id="13"/>
      </w:r>
      <w:r>
        <w:t xml:space="preserve"> </w:t>
      </w:r>
    </w:p>
    <w:p w:rsidR="00F77344" w:rsidRPr="00BD7482" w:rsidRDefault="00F77344" w:rsidP="00F77344">
      <w:pPr>
        <w:spacing w:after="240" w:line="360" w:lineRule="auto"/>
        <w:jc w:val="center"/>
        <w:rPr>
          <w:smallCaps/>
        </w:rPr>
      </w:pPr>
      <w:r>
        <w:rPr>
          <w:smallCaps/>
        </w:rPr>
        <w:t>III</w:t>
      </w:r>
      <w:r w:rsidRPr="00BD7482">
        <w:rPr>
          <w:smallCaps/>
        </w:rPr>
        <w:t xml:space="preserve"> Terms of Reference</w:t>
      </w:r>
    </w:p>
    <w:p w:rsidR="00F77344" w:rsidRDefault="00F77344" w:rsidP="00F77344">
      <w:pPr>
        <w:spacing w:after="240" w:line="360" w:lineRule="auto"/>
        <w:jc w:val="both"/>
      </w:pPr>
      <w:r>
        <w:t xml:space="preserve">The terms of reference provided by the Attorney-General contain little specifics on criminal laws against neglect. The </w:t>
      </w:r>
      <w:r w:rsidRPr="00B04C45">
        <w:rPr>
          <w:i/>
        </w:rPr>
        <w:t>Report on Violence, Abuse and Neglect against People with a Disability</w:t>
      </w:r>
      <w:r w:rsidRPr="00721073">
        <w:rPr>
          <w:rStyle w:val="FootnoteReference"/>
        </w:rPr>
        <w:footnoteReference w:id="14"/>
      </w:r>
      <w:r>
        <w:t xml:space="preserve"> discussed the prevalence of abuse towards people with a disability, including the elderly. One recommendation was the </w:t>
      </w:r>
      <w:r w:rsidR="00424B64">
        <w:rPr>
          <w:noProof/>
          <w:lang w:val="en-AU" w:eastAsia="en-A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left:0;text-align:left;margin-left:455.1pt;margin-top:92.1pt;width:3.35pt;height:3.35pt;z-index:251661312;visibility:visible;mso-wrap-style:square;mso-width-percent:0;mso-height-percent:0;mso-wrap-distance-left:3.505mm;mso-wrap-distance-top:.33mm;mso-wrap-distance-right:3.515mm;mso-wrap-distance-bottom:.34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">
            <v:imagedata r:id="rId6" o:title=""/>
            <v:path arrowok="t"/>
          </v:shape>
        </w:pict>
      </w:r>
      <w:r w:rsidR="00424B64">
        <w:rPr>
          <w:noProof/>
          <w:lang w:val="en-AU" w:eastAsia="en-AU" w:bidi="ar-SA"/>
        </w:rPr>
        <w:pict>
          <v:shape id="Ink 7" o:spid="_x0000_s1029" type="#_x0000_t75" style="position:absolute;left:0;text-align:left;margin-left:455.1pt;margin-top:92.8pt;width:3.35pt;height:3.35pt;z-index:251660288;visibility:visible;mso-wrap-style:square;mso-width-percent:0;mso-height-percent:0;mso-wrap-distance-left:3.505mm;mso-wrap-distance-top:.33mm;mso-wrap-distance-right:3.515mm;mso-wrap-distance-bottom:.3408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">
            <v:imagedata r:id="rId7" o:title=""/>
            <v:path arrowok="t"/>
          </v:shape>
        </w:pict>
      </w:r>
      <w:r>
        <w:t>establishment of a national system to deal with disability abuse and act as a national watchdog.</w:t>
      </w:r>
      <w:r>
        <w:rPr>
          <w:rStyle w:val="FootnoteReference"/>
        </w:rPr>
        <w:footnoteReference w:id="15"/>
      </w:r>
      <w:r>
        <w:t xml:space="preserve"> A similar expert, national body could be established as a more appropriate response to the neglect of the elderly. </w:t>
      </w:r>
    </w:p>
    <w:p w:rsidR="00F77344" w:rsidRDefault="00F77344" w:rsidP="00F77344">
      <w:pPr>
        <w:spacing w:after="240" w:line="360" w:lineRule="auto"/>
        <w:jc w:val="both"/>
      </w:pPr>
      <w:r>
        <w:t>I</w:t>
      </w:r>
      <w:r w:rsidR="00424B64">
        <w:rPr>
          <w:noProof/>
          <w:lang w:val="en-AU" w:eastAsia="en-AU" w:bidi="ar-SA"/>
        </w:rPr>
        <w:pict>
          <v:shape id="Ink 8" o:spid="_x0000_s1028" type="#_x0000_t75" style="position:absolute;left:0;text-align:left;margin-left:455.1pt;margin-top:-1.45pt;width:3.35pt;height:3.35pt;z-index:251662336;visibility:visible;mso-wrap-style:square;mso-width-percent:0;mso-height-percent:0;mso-wrap-distance-left:3.505mm;mso-wrap-distance-top:.33mm;mso-wrap-distance-right:3.515mm;mso-wrap-distance-bottom:.34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">
            <v:imagedata r:id="rId6" o:title=""/>
            <v:path arrowok="t"/>
          </v:shape>
        </w:pict>
      </w:r>
      <w:r w:rsidR="00424B64">
        <w:rPr>
          <w:noProof/>
          <w:lang w:val="en-AU" w:eastAsia="en-AU" w:bidi="ar-SA"/>
        </w:rPr>
        <w:pict>
          <v:shape id="Ink 9" o:spid="_x0000_s1027" type="#_x0000_t75" style="position:absolute;left:0;text-align:left;margin-left:454.35pt;margin-top:3.05pt;width:3.35pt;height:3.35pt;z-index:251659264;visibility:visible;mso-wrap-style:square;mso-width-percent:0;mso-height-percent:0;mso-wrap-distance-left:3.505mm;mso-wrap-distance-top:.33mm;mso-wrap-distance-right:3.515mm;mso-wrap-distance-bottom:.34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">
            <v:imagedata r:id="rId6" o:title=""/>
            <v:path arrowok="t"/>
          </v:shape>
        </w:pict>
      </w:r>
      <w:r w:rsidRPr="00F67043">
        <w:t xml:space="preserve">n </w:t>
      </w:r>
      <w:r w:rsidRPr="00F67043">
        <w:rPr>
          <w:i/>
        </w:rPr>
        <w:t>Older People and the Law</w:t>
      </w:r>
      <w:r w:rsidRPr="00F67043">
        <w:t>,</w:t>
      </w:r>
      <w:r>
        <w:t xml:space="preserve"> the report included</w:t>
      </w:r>
      <w:r w:rsidRPr="00F67043">
        <w:t xml:space="preserve"> a lengthy discussion on the barri</w:t>
      </w:r>
      <w:r>
        <w:t xml:space="preserve">ers to accessing legal services; which may be cultural, personal, financial, or related to the </w:t>
      </w:r>
      <w:r>
        <w:lastRenderedPageBreak/>
        <w:t>evidentiary difficulties of capacity.</w:t>
      </w:r>
      <w:r w:rsidRPr="00F67043">
        <w:rPr>
          <w:rStyle w:val="FootnoteReference"/>
        </w:rPr>
        <w:footnoteReference w:id="16"/>
      </w:r>
      <w:r w:rsidRPr="00F67043">
        <w:t xml:space="preserve"> </w:t>
      </w:r>
      <w:r>
        <w:t>Although not expressly discussing neglect, this impacts</w:t>
      </w:r>
      <w:r w:rsidRPr="00F67043">
        <w:t xml:space="preserve"> </w:t>
      </w:r>
      <w:r>
        <w:t>up</w:t>
      </w:r>
      <w:r w:rsidRPr="00F67043">
        <w:t xml:space="preserve">on the appropriateness of </w:t>
      </w:r>
      <w:r>
        <w:t>such laws, which cannot</w:t>
      </w:r>
      <w:r w:rsidRPr="00F67043">
        <w:t xml:space="preserve"> be deemed suitable if victims </w:t>
      </w:r>
      <w:r>
        <w:t xml:space="preserve">are unable to gain access to legal advice. The Committee also noted in </w:t>
      </w:r>
      <w:r w:rsidRPr="007670FD">
        <w:rPr>
          <w:i/>
        </w:rPr>
        <w:t>Older People and the Law</w:t>
      </w:r>
      <w:r>
        <w:t xml:space="preserve"> that outreach models of delivery in local communities will be well-suited to assisting the legal needs of the elderly, as elderly people ‘do not readily make use of legal services.’</w:t>
      </w:r>
      <w:r>
        <w:rPr>
          <w:rStyle w:val="FootnoteReference"/>
        </w:rPr>
        <w:footnoteReference w:id="17"/>
      </w:r>
    </w:p>
    <w:p w:rsidR="00F77344" w:rsidRPr="00BD7482" w:rsidRDefault="00F77344" w:rsidP="00F77344">
      <w:pPr>
        <w:tabs>
          <w:tab w:val="center" w:pos="4513"/>
          <w:tab w:val="right" w:pos="9026"/>
        </w:tabs>
        <w:spacing w:after="240" w:line="360" w:lineRule="auto"/>
        <w:rPr>
          <w:smallCaps/>
        </w:rPr>
      </w:pPr>
      <w:r>
        <w:rPr>
          <w:smallCaps/>
        </w:rPr>
        <w:tab/>
        <w:t>I</w:t>
      </w:r>
      <w:r w:rsidRPr="00BD7482">
        <w:rPr>
          <w:smallCaps/>
        </w:rPr>
        <w:t>V Issues</w:t>
      </w:r>
      <w:r>
        <w:rPr>
          <w:smallCaps/>
        </w:rPr>
        <w:t xml:space="preserve"> / Recommendations</w:t>
      </w:r>
      <w:r>
        <w:rPr>
          <w:smallCaps/>
        </w:rPr>
        <w:tab/>
      </w:r>
    </w:p>
    <w:p w:rsidR="00F77344" w:rsidRDefault="00F77344" w:rsidP="00F77344">
      <w:pPr>
        <w:spacing w:after="240" w:line="360" w:lineRule="auto"/>
        <w:jc w:val="both"/>
      </w:pPr>
      <w:r w:rsidRPr="00721073">
        <w:t>The existing penalties for m</w:t>
      </w:r>
      <w:r>
        <w:t xml:space="preserve">ost neglect </w:t>
      </w:r>
      <w:r w:rsidRPr="00721073">
        <w:t>provisions are</w:t>
      </w:r>
      <w:r>
        <w:t xml:space="preserve"> quite weak</w:t>
      </w:r>
      <w:r w:rsidRPr="00721073">
        <w:t xml:space="preserve"> and few cases ar</w:t>
      </w:r>
      <w:r>
        <w:t>e being prosecuted for neglect against the elderly. This could potentially increase if harsher penalties are enforced or new laws of ‘criminal neglect’ as seen in South Australia are introduced in other jurisdictions. However, if few people are currently being prosecuted for the crime, amending the legislation may not make a difference. Regardless of the laws put in place, they are worthless if there are few mechanisms for victims or others around them to report neglect. This is of particular importance in cases where the victim subject to neglect is within a relationship of trust with the perpetrator.</w:t>
      </w:r>
      <w:r>
        <w:rPr>
          <w:rStyle w:val="FootnoteReference"/>
        </w:rPr>
        <w:footnoteReference w:id="18"/>
      </w:r>
      <w:r>
        <w:t xml:space="preserve"> </w:t>
      </w:r>
    </w:p>
    <w:p w:rsidR="00F77344" w:rsidRPr="00022A07" w:rsidRDefault="00F77344" w:rsidP="00F77344">
      <w:pPr>
        <w:spacing w:after="240" w:line="360" w:lineRule="auto"/>
        <w:jc w:val="both"/>
      </w:pPr>
      <w:r>
        <w:t>In South Australia, an integrated, advocacy approach has been taken, where the Government is going beyond criminal laws to the considerati</w:t>
      </w:r>
      <w:bookmarkStart w:id="0" w:name="_GoBack"/>
      <w:bookmarkEnd w:id="0"/>
      <w:r>
        <w:t>on of elder abuse within a range of community services.</w:t>
      </w:r>
      <w:r>
        <w:rPr>
          <w:rStyle w:val="FootnoteReference"/>
        </w:rPr>
        <w:footnoteReference w:id="19"/>
      </w:r>
      <w:r>
        <w:t xml:space="preserve"> States and Territories need not only tougher laws but to raise greater awareness of neglect and its elderly victims.</w:t>
      </w:r>
    </w:p>
    <w:p w:rsidR="00F77344" w:rsidRDefault="00F77344" w:rsidP="00F77344">
      <w:pPr>
        <w:spacing w:line="360" w:lineRule="auto"/>
        <w:rPr>
          <w:b/>
          <w:smallCaps/>
        </w:rPr>
      </w:pPr>
    </w:p>
    <w:p w:rsidR="00F77344" w:rsidRDefault="00F77344" w:rsidP="00F77344">
      <w:pPr>
        <w:spacing w:line="360" w:lineRule="auto"/>
        <w:rPr>
          <w:b/>
          <w:smallCaps/>
        </w:rPr>
      </w:pPr>
    </w:p>
    <w:p w:rsidR="00F77344" w:rsidRDefault="00F77344" w:rsidP="00F77344">
      <w:pPr>
        <w:spacing w:line="360" w:lineRule="auto"/>
        <w:rPr>
          <w:b/>
          <w:smallCaps/>
        </w:rPr>
      </w:pPr>
    </w:p>
    <w:p w:rsidR="00F77344" w:rsidRDefault="00F77344" w:rsidP="00F77344">
      <w:pPr>
        <w:spacing w:line="360" w:lineRule="auto"/>
        <w:rPr>
          <w:b/>
          <w:smallCaps/>
        </w:rPr>
      </w:pPr>
    </w:p>
    <w:p w:rsidR="00F77344" w:rsidRDefault="00F77344" w:rsidP="00F77344">
      <w:pPr>
        <w:spacing w:line="360" w:lineRule="auto"/>
        <w:rPr>
          <w:b/>
          <w:smallCaps/>
        </w:rPr>
      </w:pPr>
    </w:p>
    <w:p w:rsidR="00F77344" w:rsidRDefault="00F77344" w:rsidP="00F77344">
      <w:pPr>
        <w:spacing w:line="360" w:lineRule="auto"/>
        <w:rPr>
          <w:b/>
          <w:smallCaps/>
        </w:rPr>
      </w:pPr>
    </w:p>
    <w:p w:rsidR="00F77344" w:rsidRDefault="00F77344" w:rsidP="00F77344">
      <w:pPr>
        <w:spacing w:line="360" w:lineRule="auto"/>
        <w:rPr>
          <w:b/>
          <w:smallCaps/>
        </w:rPr>
      </w:pPr>
    </w:p>
    <w:p w:rsidR="00F77344" w:rsidRDefault="00F77344" w:rsidP="00F77344">
      <w:pPr>
        <w:spacing w:line="360" w:lineRule="auto"/>
        <w:rPr>
          <w:b/>
          <w:smallCaps/>
        </w:rPr>
      </w:pPr>
    </w:p>
    <w:p w:rsidR="00F77344" w:rsidRDefault="00F77344" w:rsidP="00F77344">
      <w:pPr>
        <w:spacing w:line="360" w:lineRule="auto"/>
        <w:rPr>
          <w:b/>
          <w:smallCaps/>
        </w:rPr>
      </w:pPr>
    </w:p>
    <w:p w:rsidR="00F77344" w:rsidRDefault="00F77344" w:rsidP="00F77344">
      <w:pPr>
        <w:spacing w:line="360" w:lineRule="auto"/>
        <w:rPr>
          <w:b/>
          <w:smallCaps/>
        </w:rPr>
      </w:pPr>
    </w:p>
    <w:p w:rsidR="00F77344" w:rsidRDefault="00F77344" w:rsidP="00F77344">
      <w:pPr>
        <w:spacing w:line="360" w:lineRule="auto"/>
        <w:rPr>
          <w:b/>
          <w:smallCaps/>
        </w:rPr>
      </w:pPr>
    </w:p>
    <w:p w:rsidR="00F77344" w:rsidRDefault="00F77344" w:rsidP="00F77344">
      <w:pPr>
        <w:spacing w:line="360" w:lineRule="auto"/>
        <w:rPr>
          <w:b/>
          <w:smallCaps/>
        </w:rPr>
      </w:pPr>
    </w:p>
    <w:p w:rsidR="00F77344" w:rsidRPr="00721073" w:rsidRDefault="00F77344" w:rsidP="00F77344">
      <w:pPr>
        <w:spacing w:after="240" w:line="360" w:lineRule="auto"/>
        <w:jc w:val="center"/>
        <w:rPr>
          <w:b/>
          <w:smallCaps/>
        </w:rPr>
      </w:pPr>
      <w:r w:rsidRPr="00721073">
        <w:rPr>
          <w:b/>
          <w:smallCaps/>
        </w:rPr>
        <w:lastRenderedPageBreak/>
        <w:t>Bibliography</w:t>
      </w:r>
    </w:p>
    <w:p w:rsidR="00F77344" w:rsidRDefault="00F77344" w:rsidP="00F77344">
      <w:pPr>
        <w:spacing w:after="240" w:line="360" w:lineRule="auto"/>
        <w:jc w:val="center"/>
        <w:rPr>
          <w:i/>
        </w:rPr>
      </w:pPr>
      <w:proofErr w:type="gramStart"/>
      <w:r>
        <w:rPr>
          <w:i/>
        </w:rPr>
        <w:t>A</w:t>
      </w:r>
      <w:proofErr w:type="gramEnd"/>
      <w:r>
        <w:rPr>
          <w:i/>
        </w:rPr>
        <w:t xml:space="preserve"> Articles</w:t>
      </w:r>
    </w:p>
    <w:p w:rsidR="00F77344" w:rsidRDefault="00F77344" w:rsidP="00F77344">
      <w:pPr>
        <w:spacing w:after="240" w:line="360" w:lineRule="auto"/>
        <w:jc w:val="both"/>
      </w:pPr>
      <w:proofErr w:type="spellStart"/>
      <w:r>
        <w:t>Breedon</w:t>
      </w:r>
      <w:proofErr w:type="spellEnd"/>
      <w:r>
        <w:t xml:space="preserve">, Laura, ‘Elder Abuse and Neglect: Challenges and Directions for Legal Reform’ (2010) 18(1) </w:t>
      </w:r>
      <w:r w:rsidRPr="000F5D92">
        <w:rPr>
          <w:i/>
        </w:rPr>
        <w:t>J</w:t>
      </w:r>
      <w:r>
        <w:rPr>
          <w:i/>
        </w:rPr>
        <w:t xml:space="preserve">ournal of </w:t>
      </w:r>
      <w:r w:rsidRPr="000F5D92">
        <w:rPr>
          <w:i/>
        </w:rPr>
        <w:t>L</w:t>
      </w:r>
      <w:r>
        <w:rPr>
          <w:i/>
        </w:rPr>
        <w:t xml:space="preserve">aw and </w:t>
      </w:r>
      <w:r w:rsidRPr="000F5D92">
        <w:rPr>
          <w:i/>
        </w:rPr>
        <w:t>M</w:t>
      </w:r>
      <w:r>
        <w:rPr>
          <w:i/>
        </w:rPr>
        <w:t>edicine</w:t>
      </w:r>
      <w:r>
        <w:t xml:space="preserve"> 19</w:t>
      </w:r>
    </w:p>
    <w:p w:rsidR="00F77344" w:rsidRPr="00721073" w:rsidRDefault="00F77344" w:rsidP="00F77344">
      <w:pPr>
        <w:spacing w:after="240" w:line="360" w:lineRule="auto"/>
        <w:jc w:val="both"/>
        <w:rPr>
          <w:i/>
        </w:rPr>
      </w:pPr>
      <w:proofErr w:type="spellStart"/>
      <w:r w:rsidRPr="00721073">
        <w:t>Kurrle</w:t>
      </w:r>
      <w:proofErr w:type="spellEnd"/>
      <w:r>
        <w:t>, Susan</w:t>
      </w:r>
      <w:r w:rsidRPr="00721073">
        <w:t xml:space="preserve"> and Gerard </w:t>
      </w:r>
      <w:proofErr w:type="spellStart"/>
      <w:r w:rsidRPr="00721073">
        <w:t>Naughtin</w:t>
      </w:r>
      <w:proofErr w:type="spellEnd"/>
      <w:r w:rsidRPr="00721073">
        <w:t xml:space="preserve">, ‘An Overview of Elder Abuse and Neglect in Australia’ (2008) 20(2) </w:t>
      </w:r>
      <w:r w:rsidRPr="00721073">
        <w:rPr>
          <w:i/>
        </w:rPr>
        <w:t xml:space="preserve">Journal of Elder Abuse and Neglect </w:t>
      </w:r>
      <w:r w:rsidRPr="00721073">
        <w:t>108</w:t>
      </w:r>
    </w:p>
    <w:p w:rsidR="00F77344" w:rsidRPr="006A7839" w:rsidRDefault="00F77344" w:rsidP="00F77344">
      <w:pPr>
        <w:spacing w:after="240" w:line="360" w:lineRule="auto"/>
        <w:jc w:val="center"/>
        <w:rPr>
          <w:i/>
        </w:rPr>
      </w:pPr>
      <w:r w:rsidRPr="006A7839">
        <w:rPr>
          <w:i/>
        </w:rPr>
        <w:t>B Legislation</w:t>
      </w:r>
    </w:p>
    <w:p w:rsidR="00F77344" w:rsidRPr="00F65F12" w:rsidRDefault="00F77344" w:rsidP="00F77344">
      <w:pPr>
        <w:pStyle w:val="FootnoteText"/>
        <w:spacing w:after="240" w:line="360" w:lineRule="auto"/>
        <w:rPr>
          <w:rFonts w:ascii="Times New Roman" w:hAnsi="Times New Roman"/>
          <w:i/>
          <w:sz w:val="24"/>
          <w:szCs w:val="24"/>
        </w:rPr>
      </w:pPr>
      <w:r w:rsidRPr="00F65F12">
        <w:rPr>
          <w:rFonts w:ascii="Times New Roman" w:hAnsi="Times New Roman"/>
          <w:i/>
          <w:sz w:val="24"/>
          <w:szCs w:val="24"/>
        </w:rPr>
        <w:t>Crimes Act 1900</w:t>
      </w:r>
      <w:r w:rsidRPr="00F65F12">
        <w:rPr>
          <w:rFonts w:ascii="Times New Roman" w:hAnsi="Times New Roman"/>
          <w:sz w:val="24"/>
          <w:szCs w:val="24"/>
        </w:rPr>
        <w:t xml:space="preserve"> (ACT)</w:t>
      </w:r>
    </w:p>
    <w:p w:rsidR="00F77344" w:rsidRDefault="00F77344" w:rsidP="00F77344">
      <w:pPr>
        <w:pStyle w:val="FootnoteText"/>
        <w:spacing w:after="240" w:line="360" w:lineRule="auto"/>
        <w:rPr>
          <w:rFonts w:ascii="Times New Roman" w:hAnsi="Times New Roman"/>
          <w:i/>
          <w:sz w:val="24"/>
          <w:szCs w:val="24"/>
        </w:rPr>
      </w:pPr>
      <w:r w:rsidRPr="00721073">
        <w:rPr>
          <w:rFonts w:ascii="Times New Roman" w:hAnsi="Times New Roman"/>
          <w:i/>
          <w:sz w:val="24"/>
          <w:szCs w:val="24"/>
        </w:rPr>
        <w:t>Crimes Act 1900</w:t>
      </w:r>
      <w:r>
        <w:rPr>
          <w:rFonts w:ascii="Times New Roman" w:hAnsi="Times New Roman"/>
          <w:sz w:val="24"/>
          <w:szCs w:val="24"/>
        </w:rPr>
        <w:t xml:space="preserve"> (NSW)</w:t>
      </w:r>
    </w:p>
    <w:p w:rsidR="00F77344" w:rsidRPr="006A7839" w:rsidRDefault="00F77344" w:rsidP="00F77344">
      <w:pPr>
        <w:pStyle w:val="FootnoteText"/>
        <w:spacing w:after="240" w:line="360" w:lineRule="auto"/>
        <w:rPr>
          <w:rFonts w:ascii="Times New Roman" w:hAnsi="Times New Roman"/>
          <w:sz w:val="24"/>
          <w:szCs w:val="24"/>
        </w:rPr>
      </w:pPr>
      <w:r w:rsidRPr="006A7839">
        <w:rPr>
          <w:rFonts w:ascii="Times New Roman" w:hAnsi="Times New Roman"/>
          <w:i/>
          <w:sz w:val="24"/>
          <w:szCs w:val="24"/>
        </w:rPr>
        <w:t>Criminal Code 1899</w:t>
      </w:r>
      <w:r w:rsidRPr="006A7839">
        <w:rPr>
          <w:rFonts w:ascii="Times New Roman" w:hAnsi="Times New Roman"/>
          <w:sz w:val="24"/>
          <w:szCs w:val="24"/>
        </w:rPr>
        <w:t xml:space="preserve"> (Qld)</w:t>
      </w:r>
    </w:p>
    <w:p w:rsidR="00F77344" w:rsidRPr="006A7839" w:rsidRDefault="00F77344" w:rsidP="00F77344">
      <w:pPr>
        <w:pStyle w:val="FootnoteText"/>
        <w:spacing w:after="240" w:line="360" w:lineRule="auto"/>
        <w:rPr>
          <w:rFonts w:ascii="Times New Roman" w:hAnsi="Times New Roman"/>
          <w:sz w:val="24"/>
          <w:szCs w:val="24"/>
        </w:rPr>
      </w:pPr>
      <w:r w:rsidRPr="006A7839">
        <w:rPr>
          <w:rFonts w:ascii="Times New Roman" w:hAnsi="Times New Roman"/>
          <w:i/>
          <w:sz w:val="24"/>
          <w:szCs w:val="24"/>
        </w:rPr>
        <w:t xml:space="preserve">Criminal Code Act 1924 </w:t>
      </w:r>
      <w:r w:rsidRPr="006A7839">
        <w:rPr>
          <w:rFonts w:ascii="Times New Roman" w:hAnsi="Times New Roman"/>
          <w:sz w:val="24"/>
          <w:szCs w:val="24"/>
        </w:rPr>
        <w:t>(</w:t>
      </w:r>
      <w:proofErr w:type="gramStart"/>
      <w:r w:rsidRPr="006A7839">
        <w:rPr>
          <w:rFonts w:ascii="Times New Roman" w:hAnsi="Times New Roman"/>
          <w:sz w:val="24"/>
          <w:szCs w:val="24"/>
        </w:rPr>
        <w:t>Tas</w:t>
      </w:r>
      <w:proofErr w:type="gramEnd"/>
      <w:r w:rsidRPr="006A7839">
        <w:rPr>
          <w:rFonts w:ascii="Times New Roman" w:hAnsi="Times New Roman"/>
          <w:sz w:val="24"/>
          <w:szCs w:val="24"/>
        </w:rPr>
        <w:t xml:space="preserve">) </w:t>
      </w:r>
    </w:p>
    <w:p w:rsidR="00F77344" w:rsidRDefault="00F77344" w:rsidP="00F77344">
      <w:pPr>
        <w:pStyle w:val="FootnoteText"/>
        <w:spacing w:after="240" w:line="360" w:lineRule="auto"/>
        <w:rPr>
          <w:rFonts w:ascii="Times New Roman" w:hAnsi="Times New Roman"/>
          <w:sz w:val="24"/>
          <w:szCs w:val="24"/>
        </w:rPr>
      </w:pPr>
      <w:r w:rsidRPr="006A7839">
        <w:rPr>
          <w:rFonts w:ascii="Times New Roman" w:hAnsi="Times New Roman"/>
          <w:i/>
          <w:sz w:val="24"/>
          <w:szCs w:val="24"/>
        </w:rPr>
        <w:t>Criminal Code Act 1983</w:t>
      </w:r>
      <w:r w:rsidRPr="006A7839">
        <w:rPr>
          <w:rFonts w:ascii="Times New Roman" w:hAnsi="Times New Roman"/>
          <w:sz w:val="24"/>
          <w:szCs w:val="24"/>
        </w:rPr>
        <w:t xml:space="preserve"> (NT)</w:t>
      </w:r>
    </w:p>
    <w:p w:rsidR="00F77344" w:rsidRDefault="00F77344" w:rsidP="00F77344">
      <w:pPr>
        <w:pStyle w:val="FootnoteText"/>
        <w:spacing w:after="240" w:line="360" w:lineRule="auto"/>
        <w:rPr>
          <w:rFonts w:ascii="Times New Roman" w:hAnsi="Times New Roman"/>
          <w:sz w:val="24"/>
          <w:szCs w:val="24"/>
        </w:rPr>
      </w:pPr>
      <w:r w:rsidRPr="00721073">
        <w:rPr>
          <w:rFonts w:ascii="Times New Roman" w:hAnsi="Times New Roman"/>
          <w:i/>
          <w:sz w:val="24"/>
          <w:szCs w:val="24"/>
        </w:rPr>
        <w:t>Criminal Code Act Compilation Act 1913</w:t>
      </w:r>
      <w:r w:rsidRPr="00721073">
        <w:rPr>
          <w:rFonts w:ascii="Times New Roman" w:hAnsi="Times New Roman"/>
          <w:sz w:val="24"/>
          <w:szCs w:val="24"/>
        </w:rPr>
        <w:t xml:space="preserve"> (WA)</w:t>
      </w:r>
    </w:p>
    <w:p w:rsidR="00F77344" w:rsidRPr="006A7839" w:rsidRDefault="00F77344" w:rsidP="00F77344">
      <w:pPr>
        <w:pStyle w:val="FootnoteText"/>
        <w:spacing w:after="240" w:line="360" w:lineRule="auto"/>
        <w:rPr>
          <w:rFonts w:ascii="Times New Roman" w:hAnsi="Times New Roman"/>
          <w:sz w:val="24"/>
          <w:szCs w:val="24"/>
        </w:rPr>
      </w:pPr>
      <w:r w:rsidRPr="00721073">
        <w:rPr>
          <w:rFonts w:ascii="Times New Roman" w:hAnsi="Times New Roman"/>
          <w:i/>
          <w:sz w:val="24"/>
          <w:szCs w:val="24"/>
        </w:rPr>
        <w:t>Criminal Law Consolidation Act</w:t>
      </w:r>
      <w:r w:rsidRPr="00721073">
        <w:rPr>
          <w:rFonts w:ascii="Times New Roman" w:hAnsi="Times New Roman"/>
          <w:sz w:val="24"/>
          <w:szCs w:val="24"/>
        </w:rPr>
        <w:t xml:space="preserve"> </w:t>
      </w:r>
      <w:r w:rsidRPr="00721073">
        <w:rPr>
          <w:rFonts w:ascii="Times New Roman" w:hAnsi="Times New Roman"/>
          <w:i/>
          <w:sz w:val="24"/>
          <w:szCs w:val="24"/>
        </w:rPr>
        <w:t>1935</w:t>
      </w:r>
      <w:r w:rsidRPr="00721073">
        <w:rPr>
          <w:rFonts w:ascii="Times New Roman" w:hAnsi="Times New Roman"/>
          <w:sz w:val="24"/>
          <w:szCs w:val="24"/>
        </w:rPr>
        <w:t xml:space="preserve"> (SA)</w:t>
      </w:r>
    </w:p>
    <w:p w:rsidR="00F77344" w:rsidRDefault="00F77344" w:rsidP="00F77344">
      <w:pPr>
        <w:spacing w:after="240" w:line="360" w:lineRule="auto"/>
        <w:jc w:val="center"/>
        <w:rPr>
          <w:i/>
        </w:rPr>
      </w:pPr>
      <w:r>
        <w:rPr>
          <w:i/>
        </w:rPr>
        <w:t xml:space="preserve">C </w:t>
      </w:r>
      <w:r w:rsidRPr="00721073">
        <w:rPr>
          <w:i/>
        </w:rPr>
        <w:t>Reports</w:t>
      </w:r>
    </w:p>
    <w:p w:rsidR="00F77344" w:rsidRPr="009C18A2" w:rsidRDefault="00F77344" w:rsidP="00F77344">
      <w:pPr>
        <w:spacing w:after="240" w:line="360" w:lineRule="auto"/>
        <w:jc w:val="both"/>
      </w:pPr>
      <w:r>
        <w:t xml:space="preserve">Standing Committee on Legal and Constitutional Affairs, Parliament of Australia, </w:t>
      </w:r>
      <w:r w:rsidRPr="009C18A2">
        <w:rPr>
          <w:i/>
        </w:rPr>
        <w:t>Older People and the Law</w:t>
      </w:r>
      <w:r>
        <w:rPr>
          <w:i/>
        </w:rPr>
        <w:t xml:space="preserve"> </w:t>
      </w:r>
      <w:r>
        <w:t xml:space="preserve">(2007) </w:t>
      </w:r>
    </w:p>
    <w:p w:rsidR="00F77344" w:rsidRPr="00A96DBE" w:rsidRDefault="00F77344" w:rsidP="00F77344">
      <w:pPr>
        <w:spacing w:after="240" w:line="360" w:lineRule="auto"/>
        <w:jc w:val="both"/>
      </w:pPr>
      <w:r>
        <w:t xml:space="preserve">Senate Standing Committee, Parliament of Australia, </w:t>
      </w:r>
      <w:r w:rsidRPr="00A96DBE">
        <w:rPr>
          <w:i/>
        </w:rPr>
        <w:t>Violence, Abuse and Neglect Against People with a Disability in Institutional and Residential Settings, including the Gender and Age Related Dimensions, and the Particular Situation of Aboriginal and Torres Strait Islander People with Disability, and Culturally and Linguistically Diverse People with Disability</w:t>
      </w:r>
      <w:r>
        <w:rPr>
          <w:i/>
        </w:rPr>
        <w:t xml:space="preserve"> </w:t>
      </w:r>
      <w:r>
        <w:t>(2015)</w:t>
      </w:r>
    </w:p>
    <w:p w:rsidR="00F77344" w:rsidRPr="00B36D75" w:rsidRDefault="00F77344" w:rsidP="00F77344">
      <w:pPr>
        <w:pStyle w:val="BodyText"/>
        <w:spacing w:line="360" w:lineRule="auto"/>
        <w:rPr>
          <w:iCs/>
          <w:sz w:val="20"/>
        </w:rPr>
      </w:pPr>
    </w:p>
    <w:p w:rsidR="001B5F12" w:rsidRDefault="007B6183"/>
    <w:sectPr w:rsidR="001B5F12" w:rsidSect="00F77344">
      <w:headerReference w:type="even" r:id="rId8"/>
      <w:headerReference w:type="default" r:id="rId9"/>
      <w:footerReference w:type="even" r:id="rId10"/>
      <w:footerReference w:type="default" r:id="rId11"/>
      <w:headerReference w:type="first" r:id="rId12"/>
      <w:footerReference w:type="first" r:id="rId13"/>
      <w:pgSz w:w="11906" w:h="16838"/>
      <w:pgMar w:top="899" w:right="1226" w:bottom="1078" w:left="1680" w:header="706" w:footer="706" w:gutter="0"/>
      <w:pgNumType w:start="1"/>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1B3" w:rsidRDefault="001F61B3" w:rsidP="00F77344">
      <w:r>
        <w:separator/>
      </w:r>
    </w:p>
  </w:endnote>
  <w:endnote w:type="continuationSeparator" w:id="0">
    <w:p w:rsidR="001F61B3" w:rsidRDefault="001F61B3" w:rsidP="00F773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F51" w:rsidRDefault="002A6F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F51" w:rsidRDefault="002A6F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F51" w:rsidRDefault="002A6F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1B3" w:rsidRDefault="001F61B3" w:rsidP="00F77344">
      <w:r>
        <w:separator/>
      </w:r>
    </w:p>
  </w:footnote>
  <w:footnote w:type="continuationSeparator" w:id="0">
    <w:p w:rsidR="001F61B3" w:rsidRDefault="001F61B3" w:rsidP="00F77344">
      <w:r>
        <w:continuationSeparator/>
      </w:r>
    </w:p>
  </w:footnote>
  <w:footnote w:id="1">
    <w:p w:rsidR="00F77344" w:rsidRPr="009D3FC0" w:rsidRDefault="00F77344" w:rsidP="009D3FC0">
      <w:pPr>
        <w:pStyle w:val="FootnoteText"/>
        <w:jc w:val="both"/>
        <w:rPr>
          <w:rFonts w:ascii="Times New Roman" w:hAnsi="Times New Roman"/>
        </w:rPr>
      </w:pPr>
      <w:r w:rsidRPr="009D3FC0">
        <w:rPr>
          <w:rStyle w:val="FootnoteReference"/>
          <w:rFonts w:ascii="Times New Roman" w:hAnsi="Times New Roman"/>
        </w:rPr>
        <w:footnoteRef/>
      </w:r>
      <w:r w:rsidRPr="009D3FC0">
        <w:rPr>
          <w:rFonts w:ascii="Times New Roman" w:hAnsi="Times New Roman"/>
        </w:rPr>
        <w:t xml:space="preserve"> </w:t>
      </w:r>
      <w:proofErr w:type="gramStart"/>
      <w:r w:rsidRPr="009D3FC0">
        <w:rPr>
          <w:rFonts w:ascii="Times New Roman" w:hAnsi="Times New Roman"/>
        </w:rPr>
        <w:t xml:space="preserve">Susan </w:t>
      </w:r>
      <w:proofErr w:type="spellStart"/>
      <w:r w:rsidRPr="009D3FC0">
        <w:rPr>
          <w:rFonts w:ascii="Times New Roman" w:hAnsi="Times New Roman"/>
        </w:rPr>
        <w:t>Kurrle</w:t>
      </w:r>
      <w:proofErr w:type="spellEnd"/>
      <w:r w:rsidRPr="009D3FC0">
        <w:rPr>
          <w:rFonts w:ascii="Times New Roman" w:hAnsi="Times New Roman"/>
        </w:rPr>
        <w:t xml:space="preserve"> and Gerard </w:t>
      </w:r>
      <w:proofErr w:type="spellStart"/>
      <w:r w:rsidRPr="009D3FC0">
        <w:rPr>
          <w:rFonts w:ascii="Times New Roman" w:hAnsi="Times New Roman"/>
        </w:rPr>
        <w:t>Naughtin</w:t>
      </w:r>
      <w:proofErr w:type="spellEnd"/>
      <w:r w:rsidRPr="009D3FC0">
        <w:rPr>
          <w:rFonts w:ascii="Times New Roman" w:hAnsi="Times New Roman"/>
        </w:rPr>
        <w:t xml:space="preserve">, ‘An Overview of Elder Abuse and Neglect in Australia’ (2008) 20(2) </w:t>
      </w:r>
      <w:r w:rsidRPr="009D3FC0">
        <w:rPr>
          <w:rFonts w:ascii="Times New Roman" w:hAnsi="Times New Roman"/>
          <w:i/>
        </w:rPr>
        <w:t xml:space="preserve">Journal of Elder Abuse and Neglect </w:t>
      </w:r>
      <w:r w:rsidRPr="009D3FC0">
        <w:rPr>
          <w:rFonts w:ascii="Times New Roman" w:hAnsi="Times New Roman"/>
        </w:rPr>
        <w:t>108, 113.</w:t>
      </w:r>
      <w:proofErr w:type="gramEnd"/>
    </w:p>
  </w:footnote>
  <w:footnote w:id="2">
    <w:p w:rsidR="00F77344" w:rsidRPr="009D3FC0" w:rsidRDefault="00F77344" w:rsidP="009D3FC0">
      <w:pPr>
        <w:pStyle w:val="FootnoteText"/>
        <w:jc w:val="both"/>
        <w:rPr>
          <w:rFonts w:ascii="Times New Roman" w:hAnsi="Times New Roman"/>
        </w:rPr>
      </w:pPr>
      <w:r w:rsidRPr="009D3FC0">
        <w:rPr>
          <w:rStyle w:val="FootnoteReference"/>
          <w:rFonts w:ascii="Times New Roman" w:hAnsi="Times New Roman"/>
        </w:rPr>
        <w:footnoteRef/>
      </w:r>
      <w:r w:rsidRPr="009D3FC0">
        <w:rPr>
          <w:rFonts w:ascii="Times New Roman" w:hAnsi="Times New Roman"/>
        </w:rPr>
        <w:t xml:space="preserve"> The ACT does have specific provisions for child abuse. See, </w:t>
      </w:r>
      <w:proofErr w:type="spellStart"/>
      <w:r w:rsidRPr="009D3FC0">
        <w:rPr>
          <w:rFonts w:ascii="Times New Roman" w:hAnsi="Times New Roman"/>
        </w:rPr>
        <w:t>eg</w:t>
      </w:r>
      <w:proofErr w:type="spellEnd"/>
      <w:r w:rsidRPr="009D3FC0">
        <w:rPr>
          <w:rFonts w:ascii="Times New Roman" w:hAnsi="Times New Roman"/>
        </w:rPr>
        <w:t xml:space="preserve">, </w:t>
      </w:r>
      <w:r w:rsidRPr="009D3FC0">
        <w:rPr>
          <w:rFonts w:ascii="Times New Roman" w:hAnsi="Times New Roman"/>
          <w:i/>
        </w:rPr>
        <w:t>Crimes Act 1900</w:t>
      </w:r>
      <w:r w:rsidRPr="009D3FC0">
        <w:rPr>
          <w:rFonts w:ascii="Times New Roman" w:hAnsi="Times New Roman"/>
        </w:rPr>
        <w:t xml:space="preserve"> (ACT) s 39(1): a person must not ill-treat or abuse a child in their care or neglect a child for whom they had paternal responsibility.</w:t>
      </w:r>
    </w:p>
  </w:footnote>
  <w:footnote w:id="3">
    <w:p w:rsidR="00F77344" w:rsidRPr="009D3FC0" w:rsidRDefault="00F77344" w:rsidP="009D3FC0">
      <w:pPr>
        <w:jc w:val="both"/>
        <w:rPr>
          <w:sz w:val="20"/>
          <w:szCs w:val="20"/>
        </w:rPr>
      </w:pPr>
      <w:r w:rsidRPr="009D3FC0">
        <w:rPr>
          <w:rStyle w:val="FootnoteReference"/>
          <w:sz w:val="20"/>
          <w:szCs w:val="20"/>
        </w:rPr>
        <w:footnoteRef/>
      </w:r>
      <w:r w:rsidRPr="009D3FC0">
        <w:rPr>
          <w:sz w:val="20"/>
          <w:szCs w:val="20"/>
        </w:rPr>
        <w:t xml:space="preserve"> </w:t>
      </w:r>
      <w:proofErr w:type="gramStart"/>
      <w:r w:rsidRPr="009D3FC0">
        <w:rPr>
          <w:i/>
          <w:sz w:val="20"/>
          <w:szCs w:val="20"/>
        </w:rPr>
        <w:t>Criminal Code Act Compilation Act 1913</w:t>
      </w:r>
      <w:r w:rsidRPr="009D3FC0">
        <w:rPr>
          <w:sz w:val="20"/>
          <w:szCs w:val="20"/>
        </w:rPr>
        <w:t xml:space="preserve"> (WA) s 262.</w:t>
      </w:r>
      <w:proofErr w:type="gramEnd"/>
      <w:r w:rsidRPr="009D3FC0">
        <w:rPr>
          <w:sz w:val="20"/>
          <w:szCs w:val="20"/>
        </w:rPr>
        <w:t xml:space="preserve"> See also </w:t>
      </w:r>
      <w:r w:rsidRPr="009D3FC0">
        <w:rPr>
          <w:i/>
          <w:sz w:val="20"/>
          <w:szCs w:val="20"/>
        </w:rPr>
        <w:t>Criminal Code Act 1983</w:t>
      </w:r>
      <w:r w:rsidRPr="009D3FC0">
        <w:rPr>
          <w:sz w:val="20"/>
          <w:szCs w:val="20"/>
        </w:rPr>
        <w:t xml:space="preserve"> (NT) s 149, </w:t>
      </w:r>
      <w:r w:rsidRPr="009D3FC0">
        <w:rPr>
          <w:i/>
          <w:sz w:val="20"/>
          <w:szCs w:val="20"/>
        </w:rPr>
        <w:t xml:space="preserve">Criminal Code Act 1924 </w:t>
      </w:r>
      <w:r w:rsidRPr="009D3FC0">
        <w:rPr>
          <w:sz w:val="20"/>
          <w:szCs w:val="20"/>
        </w:rPr>
        <w:t>(</w:t>
      </w:r>
      <w:proofErr w:type="spellStart"/>
      <w:proofErr w:type="gramStart"/>
      <w:r w:rsidRPr="009D3FC0">
        <w:rPr>
          <w:sz w:val="20"/>
          <w:szCs w:val="20"/>
        </w:rPr>
        <w:t>Tas</w:t>
      </w:r>
      <w:proofErr w:type="spellEnd"/>
      <w:proofErr w:type="gramEnd"/>
      <w:r w:rsidRPr="009D3FC0">
        <w:rPr>
          <w:sz w:val="20"/>
          <w:szCs w:val="20"/>
        </w:rPr>
        <w:t xml:space="preserve">) s 144, </w:t>
      </w:r>
      <w:r w:rsidRPr="009D3FC0">
        <w:rPr>
          <w:i/>
          <w:sz w:val="20"/>
          <w:szCs w:val="20"/>
        </w:rPr>
        <w:t>Criminal Code 1899</w:t>
      </w:r>
      <w:r w:rsidRPr="009D3FC0">
        <w:rPr>
          <w:sz w:val="20"/>
          <w:szCs w:val="20"/>
        </w:rPr>
        <w:t xml:space="preserve"> (</w:t>
      </w:r>
      <w:proofErr w:type="spellStart"/>
      <w:r w:rsidRPr="009D3FC0">
        <w:rPr>
          <w:sz w:val="20"/>
          <w:szCs w:val="20"/>
        </w:rPr>
        <w:t>Qld</w:t>
      </w:r>
      <w:proofErr w:type="spellEnd"/>
      <w:r w:rsidRPr="009D3FC0">
        <w:rPr>
          <w:sz w:val="20"/>
          <w:szCs w:val="20"/>
        </w:rPr>
        <w:t xml:space="preserve">) s 285, </w:t>
      </w:r>
      <w:r w:rsidRPr="009D3FC0">
        <w:rPr>
          <w:i/>
          <w:sz w:val="20"/>
          <w:szCs w:val="20"/>
        </w:rPr>
        <w:t>Criminal Law Consolidation Act</w:t>
      </w:r>
      <w:r w:rsidRPr="009D3FC0">
        <w:rPr>
          <w:sz w:val="20"/>
          <w:szCs w:val="20"/>
        </w:rPr>
        <w:t xml:space="preserve"> </w:t>
      </w:r>
      <w:r w:rsidRPr="009D3FC0">
        <w:rPr>
          <w:i/>
          <w:sz w:val="20"/>
          <w:szCs w:val="20"/>
        </w:rPr>
        <w:t>1935</w:t>
      </w:r>
      <w:r w:rsidRPr="009D3FC0">
        <w:rPr>
          <w:sz w:val="20"/>
          <w:szCs w:val="20"/>
        </w:rPr>
        <w:t xml:space="preserve"> (SA) s 30.</w:t>
      </w:r>
    </w:p>
  </w:footnote>
  <w:footnote w:id="4">
    <w:p w:rsidR="00F77344" w:rsidRPr="009D3FC0" w:rsidRDefault="00F77344" w:rsidP="009D3FC0">
      <w:pPr>
        <w:pStyle w:val="FootnoteText"/>
        <w:jc w:val="both"/>
        <w:rPr>
          <w:rFonts w:ascii="Times New Roman" w:hAnsi="Times New Roman"/>
        </w:rPr>
      </w:pPr>
      <w:r w:rsidRPr="009D3FC0">
        <w:rPr>
          <w:rStyle w:val="FootnoteReference"/>
          <w:rFonts w:ascii="Times New Roman" w:hAnsi="Times New Roman"/>
        </w:rPr>
        <w:footnoteRef/>
      </w:r>
      <w:r w:rsidRPr="009D3FC0">
        <w:rPr>
          <w:rFonts w:ascii="Times New Roman" w:hAnsi="Times New Roman"/>
        </w:rPr>
        <w:t xml:space="preserve"> </w:t>
      </w:r>
      <w:proofErr w:type="gramStart"/>
      <w:r w:rsidRPr="009D3FC0">
        <w:rPr>
          <w:rFonts w:ascii="Times New Roman" w:hAnsi="Times New Roman"/>
          <w:i/>
        </w:rPr>
        <w:t>Criminal Code Act Compilation Act 1913</w:t>
      </w:r>
      <w:r w:rsidRPr="009D3FC0">
        <w:rPr>
          <w:rFonts w:ascii="Times New Roman" w:hAnsi="Times New Roman"/>
        </w:rPr>
        <w:t xml:space="preserve"> (WA) s 262.</w:t>
      </w:r>
      <w:proofErr w:type="gramEnd"/>
      <w:r w:rsidRPr="009D3FC0">
        <w:rPr>
          <w:rFonts w:ascii="Times New Roman" w:hAnsi="Times New Roman"/>
        </w:rPr>
        <w:t xml:space="preserve"> </w:t>
      </w:r>
    </w:p>
  </w:footnote>
  <w:footnote w:id="5">
    <w:p w:rsidR="00F77344" w:rsidRPr="009D3FC0" w:rsidRDefault="00F77344" w:rsidP="009D3FC0">
      <w:pPr>
        <w:pStyle w:val="FootnoteText"/>
        <w:jc w:val="both"/>
        <w:rPr>
          <w:rFonts w:ascii="Times New Roman" w:hAnsi="Times New Roman"/>
        </w:rPr>
      </w:pPr>
      <w:r w:rsidRPr="009D3FC0">
        <w:rPr>
          <w:rStyle w:val="FootnoteReference"/>
          <w:rFonts w:ascii="Times New Roman" w:hAnsi="Times New Roman"/>
        </w:rPr>
        <w:footnoteRef/>
      </w:r>
      <w:r w:rsidRPr="009D3FC0">
        <w:rPr>
          <w:rFonts w:ascii="Times New Roman" w:hAnsi="Times New Roman"/>
        </w:rPr>
        <w:t xml:space="preserve"> </w:t>
      </w:r>
      <w:proofErr w:type="gramStart"/>
      <w:r w:rsidRPr="009D3FC0">
        <w:rPr>
          <w:rFonts w:ascii="Times New Roman" w:hAnsi="Times New Roman"/>
          <w:i/>
        </w:rPr>
        <w:t>Criminal Code Act 1983</w:t>
      </w:r>
      <w:r w:rsidRPr="009D3FC0">
        <w:rPr>
          <w:rFonts w:ascii="Times New Roman" w:hAnsi="Times New Roman"/>
        </w:rPr>
        <w:t xml:space="preserve"> (NT) s 149.</w:t>
      </w:r>
      <w:proofErr w:type="gramEnd"/>
    </w:p>
  </w:footnote>
  <w:footnote w:id="6">
    <w:p w:rsidR="00F77344" w:rsidRPr="009D3FC0" w:rsidRDefault="00F77344" w:rsidP="009D3FC0">
      <w:pPr>
        <w:pStyle w:val="FootnoteText"/>
        <w:jc w:val="both"/>
        <w:rPr>
          <w:rFonts w:ascii="Times New Roman" w:hAnsi="Times New Roman"/>
        </w:rPr>
      </w:pPr>
      <w:r w:rsidRPr="009D3FC0">
        <w:rPr>
          <w:rStyle w:val="FootnoteReference"/>
          <w:rFonts w:ascii="Times New Roman" w:hAnsi="Times New Roman"/>
        </w:rPr>
        <w:footnoteRef/>
      </w:r>
      <w:r w:rsidRPr="009D3FC0">
        <w:rPr>
          <w:rFonts w:ascii="Times New Roman" w:hAnsi="Times New Roman"/>
        </w:rPr>
        <w:t xml:space="preserve"> </w:t>
      </w:r>
      <w:proofErr w:type="gramStart"/>
      <w:r w:rsidR="009D3FC0" w:rsidRPr="009D3FC0">
        <w:rPr>
          <w:rFonts w:ascii="Times New Roman" w:hAnsi="Times New Roman"/>
          <w:i/>
        </w:rPr>
        <w:t>Criminal Code Act 1983</w:t>
      </w:r>
      <w:r w:rsidR="009D3FC0" w:rsidRPr="009D3FC0">
        <w:rPr>
          <w:rFonts w:ascii="Times New Roman" w:hAnsi="Times New Roman"/>
        </w:rPr>
        <w:t xml:space="preserve"> (NT) </w:t>
      </w:r>
      <w:r w:rsidRPr="009D3FC0">
        <w:rPr>
          <w:rFonts w:ascii="Times New Roman" w:hAnsi="Times New Roman"/>
        </w:rPr>
        <w:t>s 183.</w:t>
      </w:r>
      <w:proofErr w:type="gramEnd"/>
      <w:r w:rsidRPr="009D3FC0">
        <w:rPr>
          <w:rFonts w:ascii="Times New Roman" w:hAnsi="Times New Roman"/>
        </w:rPr>
        <w:t xml:space="preserve"> See also </w:t>
      </w:r>
      <w:r w:rsidRPr="009D3FC0">
        <w:rPr>
          <w:rFonts w:ascii="Times New Roman" w:hAnsi="Times New Roman"/>
          <w:i/>
        </w:rPr>
        <w:t xml:space="preserve">Criminal Code 1899 </w:t>
      </w:r>
      <w:r w:rsidRPr="009D3FC0">
        <w:rPr>
          <w:rFonts w:ascii="Times New Roman" w:hAnsi="Times New Roman"/>
        </w:rPr>
        <w:t xml:space="preserve">(Qld) s 324, </w:t>
      </w:r>
      <w:r w:rsidRPr="009D3FC0">
        <w:rPr>
          <w:rFonts w:ascii="Times New Roman" w:hAnsi="Times New Roman"/>
          <w:i/>
        </w:rPr>
        <w:t xml:space="preserve">Criminal Code Act 1924 </w:t>
      </w:r>
      <w:r w:rsidRPr="009D3FC0">
        <w:rPr>
          <w:rFonts w:ascii="Times New Roman" w:hAnsi="Times New Roman"/>
        </w:rPr>
        <w:t>(</w:t>
      </w:r>
      <w:proofErr w:type="gramStart"/>
      <w:r w:rsidRPr="009D3FC0">
        <w:rPr>
          <w:rFonts w:ascii="Times New Roman" w:hAnsi="Times New Roman"/>
        </w:rPr>
        <w:t>Tas</w:t>
      </w:r>
      <w:proofErr w:type="gramEnd"/>
      <w:r w:rsidRPr="009D3FC0">
        <w:rPr>
          <w:rFonts w:ascii="Times New Roman" w:hAnsi="Times New Roman"/>
        </w:rPr>
        <w:t xml:space="preserve">) s 177, </w:t>
      </w:r>
      <w:r w:rsidRPr="009D3FC0">
        <w:rPr>
          <w:rFonts w:ascii="Times New Roman" w:hAnsi="Times New Roman"/>
          <w:i/>
        </w:rPr>
        <w:t>Crimes Act 1900</w:t>
      </w:r>
      <w:r w:rsidRPr="009D3FC0">
        <w:rPr>
          <w:rFonts w:ascii="Times New Roman" w:hAnsi="Times New Roman"/>
        </w:rPr>
        <w:t xml:space="preserve"> (NSW) s 44. </w:t>
      </w:r>
    </w:p>
  </w:footnote>
  <w:footnote w:id="7">
    <w:p w:rsidR="00F77344" w:rsidRPr="009D3FC0" w:rsidRDefault="00F77344" w:rsidP="009D3FC0">
      <w:pPr>
        <w:pStyle w:val="FootnoteText"/>
        <w:jc w:val="both"/>
        <w:rPr>
          <w:rFonts w:ascii="Times New Roman" w:hAnsi="Times New Roman"/>
        </w:rPr>
      </w:pPr>
      <w:r w:rsidRPr="009D3FC0">
        <w:rPr>
          <w:rStyle w:val="FootnoteReference"/>
          <w:rFonts w:ascii="Times New Roman" w:hAnsi="Times New Roman"/>
        </w:rPr>
        <w:footnoteRef/>
      </w:r>
      <w:r w:rsidRPr="009D3FC0">
        <w:rPr>
          <w:rFonts w:ascii="Times New Roman" w:hAnsi="Times New Roman"/>
        </w:rPr>
        <w:t xml:space="preserve"> </w:t>
      </w:r>
      <w:proofErr w:type="gramStart"/>
      <w:r w:rsidRPr="009D3FC0">
        <w:rPr>
          <w:rFonts w:ascii="Times New Roman" w:hAnsi="Times New Roman"/>
          <w:i/>
        </w:rPr>
        <w:t>Criminal Code Act 1983</w:t>
      </w:r>
      <w:r w:rsidRPr="009D3FC0">
        <w:rPr>
          <w:rFonts w:ascii="Times New Roman" w:hAnsi="Times New Roman"/>
        </w:rPr>
        <w:t xml:space="preserve"> (NT) s 183.</w:t>
      </w:r>
      <w:proofErr w:type="gramEnd"/>
    </w:p>
  </w:footnote>
  <w:footnote w:id="8">
    <w:p w:rsidR="00F77344" w:rsidRPr="009D3FC0" w:rsidRDefault="00F77344" w:rsidP="009D3FC0">
      <w:pPr>
        <w:pStyle w:val="FootnoteText"/>
        <w:jc w:val="both"/>
        <w:rPr>
          <w:rFonts w:ascii="Times New Roman" w:hAnsi="Times New Roman"/>
        </w:rPr>
      </w:pPr>
      <w:r w:rsidRPr="009D3FC0">
        <w:rPr>
          <w:rStyle w:val="FootnoteReference"/>
          <w:rFonts w:ascii="Times New Roman" w:hAnsi="Times New Roman"/>
        </w:rPr>
        <w:footnoteRef/>
      </w:r>
      <w:r w:rsidRPr="009D3FC0">
        <w:rPr>
          <w:rFonts w:ascii="Times New Roman" w:hAnsi="Times New Roman"/>
        </w:rPr>
        <w:t xml:space="preserve"> </w:t>
      </w:r>
      <w:proofErr w:type="gramStart"/>
      <w:r w:rsidRPr="009D3FC0">
        <w:rPr>
          <w:rFonts w:ascii="Times New Roman" w:hAnsi="Times New Roman"/>
          <w:i/>
        </w:rPr>
        <w:t xml:space="preserve">Criminal Code 1899 </w:t>
      </w:r>
      <w:r w:rsidRPr="009D3FC0">
        <w:rPr>
          <w:rFonts w:ascii="Times New Roman" w:hAnsi="Times New Roman"/>
        </w:rPr>
        <w:t>(Qld) s 324.</w:t>
      </w:r>
      <w:proofErr w:type="gramEnd"/>
    </w:p>
  </w:footnote>
  <w:footnote w:id="9">
    <w:p w:rsidR="00F77344" w:rsidRPr="009D3FC0" w:rsidRDefault="00F77344" w:rsidP="009D3FC0">
      <w:pPr>
        <w:pStyle w:val="FootnoteText"/>
        <w:jc w:val="both"/>
        <w:rPr>
          <w:rFonts w:ascii="Times New Roman" w:hAnsi="Times New Roman"/>
        </w:rPr>
      </w:pPr>
      <w:r w:rsidRPr="009D3FC0">
        <w:rPr>
          <w:rStyle w:val="FootnoteReference"/>
          <w:rFonts w:ascii="Times New Roman" w:hAnsi="Times New Roman"/>
        </w:rPr>
        <w:footnoteRef/>
      </w:r>
      <w:r w:rsidRPr="009D3FC0">
        <w:rPr>
          <w:rFonts w:ascii="Times New Roman" w:hAnsi="Times New Roman"/>
        </w:rPr>
        <w:t xml:space="preserve"> </w:t>
      </w:r>
      <w:r w:rsidRPr="009D3FC0">
        <w:rPr>
          <w:rFonts w:ascii="Times New Roman" w:hAnsi="Times New Roman"/>
          <w:i/>
        </w:rPr>
        <w:t>Crimes Act 1900</w:t>
      </w:r>
      <w:r w:rsidRPr="009D3FC0">
        <w:rPr>
          <w:rFonts w:ascii="Times New Roman" w:hAnsi="Times New Roman"/>
        </w:rPr>
        <w:t xml:space="preserve"> (NSW) s 44.</w:t>
      </w:r>
    </w:p>
  </w:footnote>
  <w:footnote w:id="10">
    <w:p w:rsidR="00F77344" w:rsidRPr="009D3FC0" w:rsidRDefault="00F77344" w:rsidP="009D3FC0">
      <w:pPr>
        <w:pStyle w:val="FootnoteText"/>
        <w:jc w:val="both"/>
        <w:rPr>
          <w:rFonts w:ascii="Times New Roman" w:hAnsi="Times New Roman"/>
        </w:rPr>
      </w:pPr>
      <w:r w:rsidRPr="009D3FC0">
        <w:rPr>
          <w:rStyle w:val="FootnoteReference"/>
          <w:rFonts w:ascii="Times New Roman" w:hAnsi="Times New Roman"/>
        </w:rPr>
        <w:footnoteRef/>
      </w:r>
      <w:r w:rsidRPr="009D3FC0">
        <w:rPr>
          <w:rFonts w:ascii="Times New Roman" w:hAnsi="Times New Roman"/>
        </w:rPr>
        <w:t xml:space="preserve"> Ibid.</w:t>
      </w:r>
    </w:p>
  </w:footnote>
  <w:footnote w:id="11">
    <w:p w:rsidR="00F77344" w:rsidRPr="009D3FC0" w:rsidRDefault="00F77344" w:rsidP="009D3FC0">
      <w:pPr>
        <w:pStyle w:val="FootnoteText"/>
        <w:jc w:val="both"/>
        <w:rPr>
          <w:rFonts w:ascii="Times New Roman" w:hAnsi="Times New Roman"/>
        </w:rPr>
      </w:pPr>
      <w:r w:rsidRPr="009D3FC0">
        <w:rPr>
          <w:rStyle w:val="FootnoteReference"/>
          <w:rFonts w:ascii="Times New Roman" w:hAnsi="Times New Roman"/>
        </w:rPr>
        <w:footnoteRef/>
      </w:r>
      <w:r w:rsidRPr="009D3FC0">
        <w:rPr>
          <w:rFonts w:ascii="Times New Roman" w:hAnsi="Times New Roman"/>
        </w:rPr>
        <w:t xml:space="preserve"> </w:t>
      </w:r>
      <w:proofErr w:type="gramStart"/>
      <w:r w:rsidRPr="009D3FC0">
        <w:rPr>
          <w:rFonts w:ascii="Times New Roman" w:hAnsi="Times New Roman"/>
          <w:i/>
        </w:rPr>
        <w:t>Criminal Law Consolidation Act</w:t>
      </w:r>
      <w:r w:rsidRPr="009D3FC0">
        <w:rPr>
          <w:rFonts w:ascii="Times New Roman" w:hAnsi="Times New Roman"/>
        </w:rPr>
        <w:t xml:space="preserve"> </w:t>
      </w:r>
      <w:r w:rsidRPr="009D3FC0">
        <w:rPr>
          <w:rFonts w:ascii="Times New Roman" w:hAnsi="Times New Roman"/>
          <w:i/>
        </w:rPr>
        <w:t>1935</w:t>
      </w:r>
      <w:r w:rsidRPr="009D3FC0">
        <w:rPr>
          <w:rFonts w:ascii="Times New Roman" w:hAnsi="Times New Roman"/>
        </w:rPr>
        <w:t xml:space="preserve"> (SA) s 14.</w:t>
      </w:r>
      <w:proofErr w:type="gramEnd"/>
      <w:r w:rsidRPr="009D3FC0">
        <w:rPr>
          <w:rFonts w:ascii="Times New Roman" w:hAnsi="Times New Roman"/>
        </w:rPr>
        <w:t xml:space="preserve"> </w:t>
      </w:r>
    </w:p>
  </w:footnote>
  <w:footnote w:id="12">
    <w:p w:rsidR="00F77344" w:rsidRPr="009D3FC0" w:rsidRDefault="00F77344" w:rsidP="009D3FC0">
      <w:pPr>
        <w:pStyle w:val="FootnoteText"/>
        <w:jc w:val="both"/>
        <w:rPr>
          <w:rFonts w:ascii="Times New Roman" w:hAnsi="Times New Roman"/>
        </w:rPr>
      </w:pPr>
      <w:r w:rsidRPr="009D3FC0">
        <w:rPr>
          <w:rStyle w:val="FootnoteReference"/>
          <w:rFonts w:ascii="Times New Roman" w:hAnsi="Times New Roman"/>
        </w:rPr>
        <w:footnoteRef/>
      </w:r>
      <w:r w:rsidRPr="009D3FC0">
        <w:rPr>
          <w:rFonts w:ascii="Times New Roman" w:hAnsi="Times New Roman"/>
        </w:rPr>
        <w:t xml:space="preserve"> </w:t>
      </w:r>
      <w:proofErr w:type="gramStart"/>
      <w:r w:rsidRPr="009D3FC0">
        <w:rPr>
          <w:rFonts w:ascii="Times New Roman" w:hAnsi="Times New Roman"/>
        </w:rPr>
        <w:t>Ibid s 14(4).</w:t>
      </w:r>
      <w:proofErr w:type="gramEnd"/>
    </w:p>
  </w:footnote>
  <w:footnote w:id="13">
    <w:p w:rsidR="00F77344" w:rsidRPr="009D3FC0" w:rsidRDefault="00F77344" w:rsidP="009D3FC0">
      <w:pPr>
        <w:pStyle w:val="FootnoteText"/>
        <w:jc w:val="both"/>
        <w:rPr>
          <w:rFonts w:ascii="Times New Roman" w:hAnsi="Times New Roman"/>
        </w:rPr>
      </w:pPr>
      <w:r w:rsidRPr="009D3FC0">
        <w:rPr>
          <w:rStyle w:val="FootnoteReference"/>
          <w:rFonts w:ascii="Times New Roman" w:hAnsi="Times New Roman"/>
        </w:rPr>
        <w:footnoteRef/>
      </w:r>
      <w:r w:rsidRPr="009D3FC0">
        <w:rPr>
          <w:rFonts w:ascii="Times New Roman" w:hAnsi="Times New Roman"/>
        </w:rPr>
        <w:t xml:space="preserve"> Ibid s 14(1</w:t>
      </w:r>
      <w:proofErr w:type="gramStart"/>
      <w:r w:rsidRPr="009D3FC0">
        <w:rPr>
          <w:rFonts w:ascii="Times New Roman" w:hAnsi="Times New Roman"/>
        </w:rPr>
        <w:t>)(</w:t>
      </w:r>
      <w:proofErr w:type="gramEnd"/>
      <w:r w:rsidRPr="009D3FC0">
        <w:rPr>
          <w:rFonts w:ascii="Times New Roman" w:hAnsi="Times New Roman"/>
        </w:rPr>
        <w:t>a), (b).</w:t>
      </w:r>
    </w:p>
  </w:footnote>
  <w:footnote w:id="14">
    <w:p w:rsidR="00F77344" w:rsidRPr="009D3FC0" w:rsidRDefault="00F77344" w:rsidP="009D3FC0">
      <w:pPr>
        <w:pStyle w:val="FootnoteText"/>
        <w:jc w:val="both"/>
        <w:rPr>
          <w:rFonts w:ascii="Times New Roman" w:hAnsi="Times New Roman"/>
        </w:rPr>
      </w:pPr>
      <w:r w:rsidRPr="009D3FC0">
        <w:rPr>
          <w:rStyle w:val="FootnoteReference"/>
          <w:rFonts w:ascii="Times New Roman" w:hAnsi="Times New Roman"/>
        </w:rPr>
        <w:footnoteRef/>
      </w:r>
      <w:r w:rsidRPr="009D3FC0">
        <w:rPr>
          <w:rFonts w:ascii="Times New Roman" w:hAnsi="Times New Roman"/>
        </w:rPr>
        <w:t xml:space="preserve"> Senate Standing Committee, Parliament of Australia, </w:t>
      </w:r>
      <w:r w:rsidRPr="009D3FC0">
        <w:rPr>
          <w:rFonts w:ascii="Times New Roman" w:hAnsi="Times New Roman"/>
          <w:i/>
        </w:rPr>
        <w:t>Violence, Abuse and Neglect Against People with a Disability in Institutional and Residential Settings, including the Gender and Age Related Dimensions, and the Particular Situation of Aboriginal and Torres Strait Islander People with Disability, and Culturally and Linguistically Diverse People with Disability</w:t>
      </w:r>
      <w:r w:rsidRPr="009D3FC0">
        <w:rPr>
          <w:rFonts w:ascii="Times New Roman" w:hAnsi="Times New Roman"/>
        </w:rPr>
        <w:t xml:space="preserve"> (2015). </w:t>
      </w:r>
    </w:p>
  </w:footnote>
  <w:footnote w:id="15">
    <w:p w:rsidR="00F77344" w:rsidRPr="009D3FC0" w:rsidRDefault="00F77344" w:rsidP="009D3FC0">
      <w:pPr>
        <w:jc w:val="both"/>
        <w:rPr>
          <w:sz w:val="20"/>
          <w:szCs w:val="20"/>
        </w:rPr>
      </w:pPr>
      <w:r w:rsidRPr="009D3FC0">
        <w:rPr>
          <w:rStyle w:val="FootnoteReference"/>
          <w:sz w:val="20"/>
          <w:szCs w:val="20"/>
        </w:rPr>
        <w:footnoteRef/>
      </w:r>
      <w:r w:rsidRPr="009D3FC0">
        <w:rPr>
          <w:sz w:val="20"/>
          <w:szCs w:val="20"/>
        </w:rPr>
        <w:t xml:space="preserve"> </w:t>
      </w:r>
      <w:proofErr w:type="gramStart"/>
      <w:r w:rsidRPr="009D3FC0">
        <w:rPr>
          <w:sz w:val="20"/>
          <w:szCs w:val="20"/>
        </w:rPr>
        <w:t>Ibid [10.16]-[10.17].</w:t>
      </w:r>
      <w:proofErr w:type="gramEnd"/>
    </w:p>
  </w:footnote>
  <w:footnote w:id="16">
    <w:p w:rsidR="00F77344" w:rsidRPr="009D3FC0" w:rsidRDefault="00F77344" w:rsidP="009D3FC0">
      <w:pPr>
        <w:jc w:val="both"/>
      </w:pPr>
      <w:r w:rsidRPr="009D3FC0">
        <w:rPr>
          <w:rStyle w:val="FootnoteReference"/>
          <w:sz w:val="20"/>
          <w:szCs w:val="20"/>
        </w:rPr>
        <w:footnoteRef/>
      </w:r>
      <w:r w:rsidRPr="009D3FC0">
        <w:rPr>
          <w:sz w:val="20"/>
          <w:szCs w:val="20"/>
        </w:rPr>
        <w:t xml:space="preserve"> Standing Committee on Legal and Constitutional Affairs, Parliament of Australia, </w:t>
      </w:r>
      <w:r w:rsidRPr="009D3FC0">
        <w:rPr>
          <w:i/>
          <w:sz w:val="20"/>
          <w:szCs w:val="20"/>
        </w:rPr>
        <w:t xml:space="preserve">Older People and the Law </w:t>
      </w:r>
      <w:r w:rsidRPr="009D3FC0">
        <w:rPr>
          <w:sz w:val="20"/>
          <w:szCs w:val="20"/>
        </w:rPr>
        <w:t>(2007), 158-162.</w:t>
      </w:r>
    </w:p>
  </w:footnote>
  <w:footnote w:id="17">
    <w:p w:rsidR="00F77344" w:rsidRPr="009D3FC0" w:rsidRDefault="00F77344" w:rsidP="009D3FC0">
      <w:pPr>
        <w:pStyle w:val="FootnoteText"/>
        <w:jc w:val="both"/>
        <w:rPr>
          <w:rFonts w:ascii="Times New Roman" w:hAnsi="Times New Roman"/>
        </w:rPr>
      </w:pPr>
      <w:r w:rsidRPr="009D3FC0">
        <w:rPr>
          <w:rStyle w:val="FootnoteReference"/>
          <w:rFonts w:ascii="Times New Roman" w:hAnsi="Times New Roman"/>
        </w:rPr>
        <w:footnoteRef/>
      </w:r>
      <w:r w:rsidRPr="009D3FC0">
        <w:rPr>
          <w:rFonts w:ascii="Times New Roman" w:hAnsi="Times New Roman"/>
        </w:rPr>
        <w:t xml:space="preserve"> </w:t>
      </w:r>
      <w:proofErr w:type="gramStart"/>
      <w:r w:rsidRPr="009D3FC0">
        <w:rPr>
          <w:rFonts w:ascii="Times New Roman" w:hAnsi="Times New Roman"/>
        </w:rPr>
        <w:t>Ibid 158-159.</w:t>
      </w:r>
      <w:proofErr w:type="gramEnd"/>
    </w:p>
  </w:footnote>
  <w:footnote w:id="18">
    <w:p w:rsidR="00F77344" w:rsidRPr="009D3FC0" w:rsidRDefault="00F77344" w:rsidP="009D3FC0">
      <w:pPr>
        <w:pStyle w:val="FootnoteText"/>
        <w:jc w:val="both"/>
        <w:rPr>
          <w:rFonts w:ascii="Times New Roman" w:hAnsi="Times New Roman"/>
        </w:rPr>
      </w:pPr>
      <w:r w:rsidRPr="009D3FC0">
        <w:rPr>
          <w:rStyle w:val="FootnoteReference"/>
          <w:rFonts w:ascii="Times New Roman" w:hAnsi="Times New Roman"/>
        </w:rPr>
        <w:footnoteRef/>
      </w:r>
      <w:r w:rsidRPr="009D3FC0">
        <w:rPr>
          <w:rFonts w:ascii="Times New Roman" w:hAnsi="Times New Roman"/>
        </w:rPr>
        <w:t xml:space="preserve"> </w:t>
      </w:r>
      <w:proofErr w:type="gramStart"/>
      <w:r w:rsidR="009D3FC0" w:rsidRPr="009D3FC0">
        <w:rPr>
          <w:rFonts w:ascii="Times New Roman" w:hAnsi="Times New Roman"/>
        </w:rPr>
        <w:t>Ibid</w:t>
      </w:r>
      <w:r w:rsidRPr="009D3FC0">
        <w:rPr>
          <w:rFonts w:ascii="Times New Roman" w:hAnsi="Times New Roman"/>
        </w:rPr>
        <w:t xml:space="preserve"> 15.</w:t>
      </w:r>
      <w:proofErr w:type="gramEnd"/>
      <w:r w:rsidRPr="009D3FC0">
        <w:rPr>
          <w:rFonts w:ascii="Times New Roman" w:hAnsi="Times New Roman"/>
        </w:rPr>
        <w:t xml:space="preserve"> </w:t>
      </w:r>
    </w:p>
  </w:footnote>
  <w:footnote w:id="19">
    <w:p w:rsidR="00F77344" w:rsidRPr="00E33958" w:rsidRDefault="00F77344" w:rsidP="009D3FC0">
      <w:pPr>
        <w:jc w:val="both"/>
        <w:rPr>
          <w:i/>
          <w:sz w:val="20"/>
          <w:szCs w:val="20"/>
        </w:rPr>
      </w:pPr>
      <w:r w:rsidRPr="009D3FC0">
        <w:rPr>
          <w:rStyle w:val="FootnoteReference"/>
          <w:sz w:val="20"/>
          <w:szCs w:val="20"/>
        </w:rPr>
        <w:footnoteRef/>
      </w:r>
      <w:proofErr w:type="spellStart"/>
      <w:proofErr w:type="gramStart"/>
      <w:r w:rsidRPr="009D3FC0">
        <w:rPr>
          <w:sz w:val="20"/>
          <w:szCs w:val="20"/>
        </w:rPr>
        <w:t>Kurrle</w:t>
      </w:r>
      <w:proofErr w:type="spellEnd"/>
      <w:r w:rsidRPr="009D3FC0">
        <w:rPr>
          <w:sz w:val="20"/>
          <w:szCs w:val="20"/>
        </w:rPr>
        <w:t xml:space="preserve"> and </w:t>
      </w:r>
      <w:proofErr w:type="spellStart"/>
      <w:r w:rsidRPr="009D3FC0">
        <w:rPr>
          <w:sz w:val="20"/>
          <w:szCs w:val="20"/>
        </w:rPr>
        <w:t>Naughtin</w:t>
      </w:r>
      <w:proofErr w:type="spellEnd"/>
      <w:r w:rsidRPr="009D3FC0">
        <w:rPr>
          <w:sz w:val="20"/>
          <w:szCs w:val="20"/>
        </w:rPr>
        <w:t>, above n 1, 116.</w:t>
      </w:r>
      <w:proofErr w:type="gramEnd"/>
      <w:r>
        <w:rPr>
          <w:sz w:val="20"/>
          <w:szCs w:val="20"/>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F51" w:rsidRDefault="002A6F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F51" w:rsidRDefault="002A6F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F51" w:rsidRPr="002A6F51" w:rsidRDefault="002A6F51">
    <w:pPr>
      <w:pStyle w:val="Header"/>
      <w:rPr>
        <w:lang w:val="en-AU"/>
      </w:rPr>
    </w:pPr>
    <w:r>
      <w:rPr>
        <w:lang w:val="en-AU"/>
      </w:rPr>
      <w:t xml:space="preserve">32. </w:t>
    </w:r>
    <w:r>
      <w:t xml:space="preserve">A </w:t>
    </w:r>
    <w:proofErr w:type="spellStart"/>
    <w:r>
      <w:t>Devlyn</w:t>
    </w:r>
    <w:proofErr w:type="spellEnd"/>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77344"/>
    <w:rsid w:val="001F61B3"/>
    <w:rsid w:val="002A6F51"/>
    <w:rsid w:val="00424B64"/>
    <w:rsid w:val="005560BB"/>
    <w:rsid w:val="00570F9F"/>
    <w:rsid w:val="007B6183"/>
    <w:rsid w:val="009D3FC0"/>
    <w:rsid w:val="00A40EE8"/>
    <w:rsid w:val="00DA1ABF"/>
    <w:rsid w:val="00DD3F8A"/>
    <w:rsid w:val="00F34351"/>
    <w:rsid w:val="00F7734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344"/>
    <w:pPr>
      <w:spacing w:after="0" w:line="240" w:lineRule="auto"/>
    </w:pPr>
    <w:rPr>
      <w:rFonts w:ascii="Times New Roman" w:eastAsia="Times New Roman" w:hAnsi="Times New Roman"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344"/>
    <w:rPr>
      <w:rFonts w:ascii="Arial" w:hAnsi="Arial" w:cs="Arial"/>
    </w:rPr>
  </w:style>
  <w:style w:type="character" w:customStyle="1" w:styleId="BodyTextChar">
    <w:name w:val="Body Text Char"/>
    <w:basedOn w:val="DefaultParagraphFont"/>
    <w:link w:val="BodyText"/>
    <w:rsid w:val="00F77344"/>
    <w:rPr>
      <w:rFonts w:ascii="Arial" w:eastAsia="Times New Roman" w:hAnsi="Arial" w:cs="Arial"/>
      <w:lang w:val="en-US" w:bidi="en-US"/>
    </w:rPr>
  </w:style>
  <w:style w:type="paragraph" w:styleId="FootnoteText">
    <w:name w:val="footnote text"/>
    <w:basedOn w:val="Normal"/>
    <w:link w:val="FootnoteTextChar"/>
    <w:uiPriority w:val="99"/>
    <w:unhideWhenUsed/>
    <w:rsid w:val="00F77344"/>
    <w:rPr>
      <w:rFonts w:ascii="Calibri" w:eastAsia="Calibri" w:hAnsi="Calibri"/>
      <w:sz w:val="20"/>
      <w:szCs w:val="20"/>
      <w:lang w:val="en-AU" w:bidi="ar-SA"/>
    </w:rPr>
  </w:style>
  <w:style w:type="character" w:customStyle="1" w:styleId="FootnoteTextChar">
    <w:name w:val="Footnote Text Char"/>
    <w:basedOn w:val="DefaultParagraphFont"/>
    <w:link w:val="FootnoteText"/>
    <w:uiPriority w:val="99"/>
    <w:rsid w:val="00F77344"/>
    <w:rPr>
      <w:rFonts w:ascii="Calibri" w:eastAsia="Calibri" w:hAnsi="Calibri" w:cs="Times New Roman"/>
      <w:sz w:val="20"/>
      <w:szCs w:val="20"/>
    </w:rPr>
  </w:style>
  <w:style w:type="character" w:styleId="FootnoteReference">
    <w:name w:val="footnote reference"/>
    <w:uiPriority w:val="99"/>
    <w:semiHidden/>
    <w:unhideWhenUsed/>
    <w:rsid w:val="00F77344"/>
    <w:rPr>
      <w:vertAlign w:val="superscript"/>
    </w:rPr>
  </w:style>
  <w:style w:type="paragraph" w:styleId="Header">
    <w:name w:val="header"/>
    <w:basedOn w:val="Normal"/>
    <w:link w:val="HeaderChar"/>
    <w:uiPriority w:val="99"/>
    <w:semiHidden/>
    <w:unhideWhenUsed/>
    <w:rsid w:val="002A6F51"/>
    <w:pPr>
      <w:tabs>
        <w:tab w:val="center" w:pos="4513"/>
        <w:tab w:val="right" w:pos="9026"/>
      </w:tabs>
    </w:pPr>
  </w:style>
  <w:style w:type="character" w:customStyle="1" w:styleId="HeaderChar">
    <w:name w:val="Header Char"/>
    <w:basedOn w:val="DefaultParagraphFont"/>
    <w:link w:val="Header"/>
    <w:uiPriority w:val="99"/>
    <w:semiHidden/>
    <w:rsid w:val="002A6F51"/>
    <w:rPr>
      <w:rFonts w:ascii="Times New Roman" w:eastAsia="Times New Roman" w:hAnsi="Times New Roman" w:cs="Times New Roman"/>
      <w:lang w:val="en-US" w:bidi="en-US"/>
    </w:rPr>
  </w:style>
  <w:style w:type="paragraph" w:styleId="Footer">
    <w:name w:val="footer"/>
    <w:basedOn w:val="Normal"/>
    <w:link w:val="FooterChar"/>
    <w:uiPriority w:val="99"/>
    <w:semiHidden/>
    <w:unhideWhenUsed/>
    <w:rsid w:val="002A6F51"/>
    <w:pPr>
      <w:tabs>
        <w:tab w:val="center" w:pos="4513"/>
        <w:tab w:val="right" w:pos="9026"/>
      </w:tabs>
    </w:pPr>
  </w:style>
  <w:style w:type="character" w:customStyle="1" w:styleId="FooterChar">
    <w:name w:val="Footer Char"/>
    <w:basedOn w:val="DefaultParagraphFont"/>
    <w:link w:val="Footer"/>
    <w:uiPriority w:val="99"/>
    <w:semiHidden/>
    <w:rsid w:val="002A6F51"/>
    <w:rPr>
      <w:rFonts w:ascii="Times New Roman" w:eastAsia="Times New Roman" w:hAnsi="Times New Roman"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344"/>
    <w:pPr>
      <w:spacing w:after="0" w:line="240" w:lineRule="auto"/>
    </w:pPr>
    <w:rPr>
      <w:rFonts w:ascii="Times New Roman" w:eastAsia="Times New Roman" w:hAnsi="Times New Roman"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344"/>
    <w:rPr>
      <w:rFonts w:ascii="Arial" w:hAnsi="Arial" w:cs="Arial"/>
    </w:rPr>
  </w:style>
  <w:style w:type="character" w:customStyle="1" w:styleId="BodyTextChar">
    <w:name w:val="Body Text Char"/>
    <w:basedOn w:val="DefaultParagraphFont"/>
    <w:link w:val="BodyText"/>
    <w:rsid w:val="00F77344"/>
    <w:rPr>
      <w:rFonts w:ascii="Arial" w:eastAsia="Times New Roman" w:hAnsi="Arial" w:cs="Arial"/>
      <w:lang w:val="en-US" w:bidi="en-US"/>
    </w:rPr>
  </w:style>
  <w:style w:type="paragraph" w:styleId="FootnoteText">
    <w:name w:val="footnote text"/>
    <w:basedOn w:val="Normal"/>
    <w:link w:val="FootnoteTextChar"/>
    <w:uiPriority w:val="99"/>
    <w:unhideWhenUsed/>
    <w:rsid w:val="00F77344"/>
    <w:rPr>
      <w:rFonts w:ascii="Calibri" w:eastAsia="Calibri" w:hAnsi="Calibri"/>
      <w:sz w:val="20"/>
      <w:szCs w:val="20"/>
      <w:lang w:val="en-AU" w:bidi="ar-SA"/>
    </w:rPr>
  </w:style>
  <w:style w:type="character" w:customStyle="1" w:styleId="FootnoteTextChar">
    <w:name w:val="Footnote Text Char"/>
    <w:basedOn w:val="DefaultParagraphFont"/>
    <w:link w:val="FootnoteText"/>
    <w:uiPriority w:val="99"/>
    <w:rsid w:val="00F77344"/>
    <w:rPr>
      <w:rFonts w:ascii="Calibri" w:eastAsia="Calibri" w:hAnsi="Calibri" w:cs="Times New Roman"/>
      <w:sz w:val="20"/>
      <w:szCs w:val="20"/>
    </w:rPr>
  </w:style>
  <w:style w:type="character" w:styleId="FootnoteReference">
    <w:name w:val="footnote reference"/>
    <w:uiPriority w:val="99"/>
    <w:semiHidden/>
    <w:unhideWhenUsed/>
    <w:rsid w:val="00F77344"/>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3.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914</Words>
  <Characters>5214</Characters>
  <Application>Microsoft Office Word</Application>
  <DocSecurity>0</DocSecurity>
  <Lines>43</Lines>
  <Paragraphs>12</Paragraphs>
  <ScaleCrop>false</ScaleCrop>
  <Company>Hewlett-Packard Company</Company>
  <LinksUpToDate>false</LinksUpToDate>
  <CharactersWithSpaces>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Devlyn</dc:creator>
  <cp:lastModifiedBy>marie-claire.muir</cp:lastModifiedBy>
  <cp:revision>2</cp:revision>
  <dcterms:created xsi:type="dcterms:W3CDTF">2016-08-18T01:19:00Z</dcterms:created>
  <dcterms:modified xsi:type="dcterms:W3CDTF">2016-08-18T01:19:00Z</dcterms:modified>
</cp:coreProperties>
</file>