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4C" w:rsidRPr="009B436C" w:rsidRDefault="00DF05AA">
      <w:pPr>
        <w:pStyle w:val="Body"/>
        <w:spacing w:after="0" w:line="240" w:lineRule="auto"/>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The Executive Director</w:t>
      </w:r>
    </w:p>
    <w:p w:rsidR="00C7294C" w:rsidRPr="009B436C" w:rsidRDefault="00DF05AA">
      <w:pPr>
        <w:pStyle w:val="Body"/>
        <w:spacing w:after="0" w:line="240" w:lineRule="auto"/>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Australian Law Reform Commission</w:t>
      </w:r>
    </w:p>
    <w:p w:rsidR="00C7294C" w:rsidRPr="009B436C" w:rsidRDefault="00DF05AA">
      <w:pPr>
        <w:pStyle w:val="Body"/>
        <w:spacing w:after="0" w:line="240" w:lineRule="auto"/>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GPO Box 3708</w:t>
      </w:r>
    </w:p>
    <w:p w:rsidR="00C7294C" w:rsidRPr="009B436C" w:rsidRDefault="00DF05AA">
      <w:pPr>
        <w:pStyle w:val="Body"/>
        <w:spacing w:after="0" w:line="240" w:lineRule="auto"/>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Sydney NSW 2001</w:t>
      </w:r>
    </w:p>
    <w:p w:rsidR="00C7294C" w:rsidRPr="009B436C" w:rsidRDefault="00C7294C">
      <w:pPr>
        <w:pStyle w:val="Body"/>
        <w:spacing w:after="0" w:line="240" w:lineRule="auto"/>
        <w:rPr>
          <w:rFonts w:ascii="Times New Roman" w:eastAsia="Times New Roman" w:hAnsi="Times New Roman" w:cs="Times New Roman"/>
          <w:sz w:val="24"/>
          <w:szCs w:val="24"/>
          <w:lang w:val="en-AU"/>
        </w:rPr>
      </w:pPr>
    </w:p>
    <w:p w:rsidR="00C7294C" w:rsidRPr="009B436C" w:rsidRDefault="00DF05AA">
      <w:pPr>
        <w:pStyle w:val="Body"/>
        <w:spacing w:after="0" w:line="240" w:lineRule="auto"/>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 xml:space="preserve">By email: </w:t>
      </w:r>
      <w:hyperlink r:id="rId8" w:history="1">
        <w:r w:rsidRPr="009B436C">
          <w:rPr>
            <w:rStyle w:val="Hyperlink0"/>
            <w:rFonts w:eastAsia="Calibri"/>
            <w:lang w:val="en-AU"/>
          </w:rPr>
          <w:t>elder_abuse@alrc.gov.au</w:t>
        </w:r>
      </w:hyperlink>
    </w:p>
    <w:p w:rsidR="00C7294C" w:rsidRPr="009B436C" w:rsidRDefault="00C7294C">
      <w:pPr>
        <w:pStyle w:val="Body"/>
        <w:spacing w:after="0" w:line="240" w:lineRule="auto"/>
        <w:rPr>
          <w:rFonts w:ascii="Times New Roman" w:eastAsia="Times New Roman" w:hAnsi="Times New Roman" w:cs="Times New Roman"/>
          <w:sz w:val="24"/>
          <w:szCs w:val="24"/>
          <w:lang w:val="en-AU"/>
        </w:rPr>
      </w:pPr>
    </w:p>
    <w:p w:rsidR="00C7294C" w:rsidRPr="009B436C" w:rsidRDefault="006E4F2C">
      <w:pPr>
        <w:pStyle w:val="Body"/>
        <w:spacing w:after="0" w:line="240" w:lineRule="auto"/>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27</w:t>
      </w:r>
      <w:r w:rsidR="00DF05AA" w:rsidRPr="009B436C">
        <w:rPr>
          <w:rStyle w:val="apple-converted-space"/>
          <w:rFonts w:ascii="Times New Roman" w:hAnsi="Times New Roman" w:cs="Times New Roman"/>
          <w:sz w:val="24"/>
          <w:szCs w:val="24"/>
          <w:lang w:val="en-AU"/>
        </w:rPr>
        <w:t xml:space="preserve"> February 2017</w:t>
      </w:r>
    </w:p>
    <w:p w:rsidR="00C7294C" w:rsidRPr="009B436C" w:rsidRDefault="00C7294C">
      <w:pPr>
        <w:pStyle w:val="Body"/>
        <w:spacing w:after="0" w:line="240" w:lineRule="auto"/>
        <w:rPr>
          <w:rFonts w:ascii="Times New Roman" w:eastAsia="Times New Roman" w:hAnsi="Times New Roman" w:cs="Times New Roman"/>
          <w:sz w:val="24"/>
          <w:szCs w:val="24"/>
          <w:lang w:val="en-AU"/>
        </w:rPr>
      </w:pPr>
    </w:p>
    <w:p w:rsidR="00C7294C" w:rsidRPr="009B436C" w:rsidRDefault="00DF05AA">
      <w:pPr>
        <w:pStyle w:val="Body"/>
        <w:spacing w:after="0" w:line="240" w:lineRule="auto"/>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Dear Executive Director,</w:t>
      </w:r>
    </w:p>
    <w:p w:rsidR="00C7294C" w:rsidRPr="009B436C" w:rsidRDefault="00C7294C">
      <w:pPr>
        <w:pStyle w:val="Body"/>
        <w:spacing w:after="0" w:line="240" w:lineRule="auto"/>
        <w:jc w:val="center"/>
        <w:rPr>
          <w:rFonts w:ascii="Times New Roman" w:eastAsia="Times New Roman" w:hAnsi="Times New Roman" w:cs="Times New Roman"/>
          <w:b/>
          <w:bCs/>
          <w:sz w:val="24"/>
          <w:szCs w:val="24"/>
          <w:lang w:val="en-AU"/>
        </w:rPr>
      </w:pPr>
    </w:p>
    <w:p w:rsidR="00C7294C" w:rsidRPr="009B436C" w:rsidRDefault="0056222A">
      <w:pPr>
        <w:pStyle w:val="Body"/>
        <w:spacing w:after="0" w:line="240" w:lineRule="auto"/>
        <w:rPr>
          <w:rStyle w:val="apple-converted-space"/>
          <w:rFonts w:ascii="Times New Roman" w:eastAsia="Times New Roman" w:hAnsi="Times New Roman" w:cs="Times New Roman"/>
          <w:b/>
          <w:bCs/>
          <w:sz w:val="24"/>
          <w:szCs w:val="24"/>
          <w:lang w:val="en-AU"/>
        </w:rPr>
      </w:pPr>
      <w:r>
        <w:rPr>
          <w:rStyle w:val="apple-converted-space"/>
          <w:rFonts w:ascii="Times New Roman" w:hAnsi="Times New Roman" w:cs="Times New Roman"/>
          <w:b/>
          <w:bCs/>
          <w:sz w:val="24"/>
          <w:szCs w:val="24"/>
          <w:lang w:val="en-AU"/>
        </w:rPr>
        <w:t>Submission R</w:t>
      </w:r>
      <w:r w:rsidR="00DF05AA" w:rsidRPr="009B436C">
        <w:rPr>
          <w:rStyle w:val="apple-converted-space"/>
          <w:rFonts w:ascii="Times New Roman" w:hAnsi="Times New Roman" w:cs="Times New Roman"/>
          <w:b/>
          <w:bCs/>
          <w:sz w:val="24"/>
          <w:szCs w:val="24"/>
          <w:lang w:val="en-AU"/>
        </w:rPr>
        <w:t>esponding to Discussion Paper 83, Elder Abuse</w:t>
      </w:r>
    </w:p>
    <w:p w:rsidR="00C7294C" w:rsidRPr="009B436C" w:rsidRDefault="00C7294C">
      <w:pPr>
        <w:pStyle w:val="Body"/>
        <w:spacing w:after="0" w:line="240" w:lineRule="auto"/>
        <w:jc w:val="both"/>
        <w:rPr>
          <w:rFonts w:ascii="Times New Roman" w:eastAsia="Times New Roman" w:hAnsi="Times New Roman" w:cs="Times New Roman"/>
          <w:sz w:val="24"/>
          <w:szCs w:val="24"/>
          <w:lang w:val="en-AU"/>
        </w:rPr>
      </w:pPr>
    </w:p>
    <w:p w:rsidR="004D4181" w:rsidRDefault="00E07850">
      <w:pPr>
        <w:pStyle w:val="Body"/>
        <w:spacing w:after="0" w:line="240" w:lineRule="auto"/>
        <w:jc w:val="both"/>
        <w:rPr>
          <w:rStyle w:val="apple-converted-space"/>
          <w:rFonts w:ascii="Times New Roman" w:hAnsi="Times New Roman" w:cs="Times New Roman"/>
          <w:sz w:val="24"/>
          <w:szCs w:val="24"/>
          <w:lang w:val="en-AU"/>
        </w:rPr>
      </w:pPr>
      <w:r w:rsidRPr="009B436C">
        <w:rPr>
          <w:rFonts w:ascii="Times New Roman" w:eastAsia="Times New Roman" w:hAnsi="Times New Roman" w:cs="Times New Roman"/>
          <w:sz w:val="24"/>
          <w:szCs w:val="24"/>
          <w:lang w:val="en-AU"/>
        </w:rPr>
        <w:t>Thank you for the opportunity to provide a submission to the abovementioned Discussion Paper.</w:t>
      </w:r>
      <w:r w:rsidR="00D16428" w:rsidRPr="009B436C">
        <w:rPr>
          <w:rFonts w:ascii="Times New Roman" w:eastAsia="Times New Roman" w:hAnsi="Times New Roman" w:cs="Times New Roman"/>
          <w:sz w:val="24"/>
          <w:szCs w:val="24"/>
          <w:lang w:val="en-AU"/>
        </w:rPr>
        <w:t xml:space="preserve"> </w:t>
      </w:r>
      <w:r w:rsidR="00424273" w:rsidRPr="009B436C">
        <w:rPr>
          <w:rStyle w:val="apple-converted-space"/>
          <w:rFonts w:ascii="Times New Roman" w:hAnsi="Times New Roman" w:cs="Times New Roman"/>
          <w:sz w:val="24"/>
          <w:szCs w:val="24"/>
          <w:lang w:val="en-AU"/>
        </w:rPr>
        <w:t>We would like to commen</w:t>
      </w:r>
      <w:r w:rsidR="005E78F5">
        <w:rPr>
          <w:rStyle w:val="apple-converted-space"/>
          <w:rFonts w:ascii="Times New Roman" w:hAnsi="Times New Roman" w:cs="Times New Roman"/>
          <w:sz w:val="24"/>
          <w:szCs w:val="24"/>
          <w:lang w:val="en-AU"/>
        </w:rPr>
        <w:t>d the ALRC on undertaking this I</w:t>
      </w:r>
      <w:r w:rsidR="00424273" w:rsidRPr="009B436C">
        <w:rPr>
          <w:rStyle w:val="apple-converted-space"/>
          <w:rFonts w:ascii="Times New Roman" w:hAnsi="Times New Roman" w:cs="Times New Roman"/>
          <w:sz w:val="24"/>
          <w:szCs w:val="24"/>
          <w:lang w:val="en-AU"/>
        </w:rPr>
        <w:t>nquiry.</w:t>
      </w:r>
    </w:p>
    <w:p w:rsidR="004D4181" w:rsidRDefault="004D4181">
      <w:pPr>
        <w:pStyle w:val="Body"/>
        <w:spacing w:after="0" w:line="240" w:lineRule="auto"/>
        <w:jc w:val="both"/>
        <w:rPr>
          <w:rStyle w:val="apple-converted-space"/>
          <w:rFonts w:ascii="Times New Roman" w:hAnsi="Times New Roman" w:cs="Times New Roman"/>
          <w:sz w:val="24"/>
          <w:szCs w:val="24"/>
          <w:lang w:val="en-AU"/>
        </w:rPr>
      </w:pPr>
    </w:p>
    <w:p w:rsidR="0065781C" w:rsidRPr="004D4181" w:rsidRDefault="004D4181">
      <w:pPr>
        <w:pStyle w:val="Body"/>
        <w:spacing w:after="0" w:line="240" w:lineRule="auto"/>
        <w:jc w:val="both"/>
        <w:rPr>
          <w:rStyle w:val="apple-converted-space"/>
          <w:rFonts w:ascii="Times New Roman" w:eastAsia="Times New Roman" w:hAnsi="Times New Roman" w:cs="Times New Roman"/>
          <w:sz w:val="24"/>
          <w:szCs w:val="24"/>
          <w:lang w:val="en-AU"/>
        </w:rPr>
      </w:pPr>
      <w:r w:rsidRPr="009B436C">
        <w:rPr>
          <w:rFonts w:ascii="Times New Roman" w:hAnsi="Times New Roman" w:cs="Times New Roman"/>
          <w:sz w:val="24"/>
          <w:szCs w:val="24"/>
          <w:lang w:val="en-AU"/>
        </w:rPr>
        <w:t>We provide this submission in response to the proposals and questions contained in Discussion Paper 83 (December 2016).</w:t>
      </w:r>
      <w:r w:rsidR="00424273" w:rsidRPr="009B436C">
        <w:rPr>
          <w:rStyle w:val="apple-converted-space"/>
          <w:rFonts w:ascii="Times New Roman" w:hAnsi="Times New Roman" w:cs="Times New Roman"/>
          <w:sz w:val="24"/>
          <w:szCs w:val="24"/>
          <w:lang w:val="en-AU"/>
        </w:rPr>
        <w:t xml:space="preserve"> </w:t>
      </w:r>
      <w:r w:rsidR="00BF40E0">
        <w:rPr>
          <w:rStyle w:val="apple-converted-space"/>
          <w:rFonts w:ascii="Times New Roman" w:hAnsi="Times New Roman" w:cs="Times New Roman"/>
          <w:sz w:val="24"/>
          <w:szCs w:val="24"/>
          <w:lang w:val="en-AU"/>
        </w:rPr>
        <w:t xml:space="preserve">We make some general comments followed by specific submissions in response to the proposals and questions. </w:t>
      </w:r>
    </w:p>
    <w:p w:rsidR="00C7294C" w:rsidRPr="009B436C" w:rsidRDefault="00C7294C">
      <w:pPr>
        <w:pStyle w:val="Body"/>
        <w:spacing w:after="0" w:line="240" w:lineRule="auto"/>
        <w:jc w:val="both"/>
        <w:rPr>
          <w:rFonts w:ascii="Times New Roman" w:hAnsi="Times New Roman" w:cs="Times New Roman"/>
          <w:sz w:val="24"/>
          <w:szCs w:val="24"/>
          <w:lang w:val="en-AU"/>
        </w:rPr>
      </w:pPr>
    </w:p>
    <w:p w:rsidR="003E65F1" w:rsidRPr="009B436C" w:rsidRDefault="00E07850">
      <w:pPr>
        <w:pStyle w:val="Body"/>
        <w:spacing w:after="0" w:line="240" w:lineRule="auto"/>
        <w:jc w:val="both"/>
        <w:rPr>
          <w:rFonts w:ascii="Times New Roman" w:hAnsi="Times New Roman" w:cs="Times New Roman"/>
          <w:sz w:val="24"/>
          <w:szCs w:val="24"/>
          <w:lang w:val="en-AU"/>
        </w:rPr>
      </w:pPr>
      <w:r w:rsidRPr="009B436C">
        <w:rPr>
          <w:rFonts w:ascii="Times New Roman" w:hAnsi="Times New Roman" w:cs="Times New Roman"/>
          <w:b/>
          <w:sz w:val="24"/>
          <w:szCs w:val="24"/>
          <w:lang w:val="en-AU"/>
        </w:rPr>
        <w:t>About the Contributors</w:t>
      </w:r>
    </w:p>
    <w:p w:rsidR="00131A4C" w:rsidRPr="009B436C" w:rsidRDefault="00E07850">
      <w:pPr>
        <w:pStyle w:val="Body"/>
        <w:spacing w:after="0" w:line="240" w:lineRule="auto"/>
        <w:jc w:val="both"/>
        <w:rPr>
          <w:rFonts w:ascii="Times New Roman" w:hAnsi="Times New Roman" w:cs="Times New Roman"/>
          <w:sz w:val="24"/>
          <w:szCs w:val="24"/>
          <w:lang w:val="en-AU"/>
        </w:rPr>
      </w:pPr>
      <w:r w:rsidRPr="009B436C">
        <w:rPr>
          <w:rFonts w:ascii="Times New Roman" w:hAnsi="Times New Roman" w:cs="Times New Roman"/>
          <w:sz w:val="24"/>
          <w:szCs w:val="24"/>
          <w:lang w:val="en-AU"/>
        </w:rPr>
        <w:t xml:space="preserve">Dr Kelly Purser is a senior lecturer in the Law </w:t>
      </w:r>
      <w:r w:rsidR="00A729EA" w:rsidRPr="009B436C">
        <w:rPr>
          <w:rFonts w:ascii="Times New Roman" w:hAnsi="Times New Roman" w:cs="Times New Roman"/>
          <w:sz w:val="24"/>
          <w:szCs w:val="24"/>
          <w:lang w:val="en-AU"/>
        </w:rPr>
        <w:t xml:space="preserve">School </w:t>
      </w:r>
      <w:r w:rsidRPr="009B436C">
        <w:rPr>
          <w:rFonts w:ascii="Times New Roman" w:hAnsi="Times New Roman" w:cs="Times New Roman"/>
          <w:sz w:val="24"/>
          <w:szCs w:val="24"/>
          <w:lang w:val="en-AU"/>
        </w:rPr>
        <w:t xml:space="preserve">at </w:t>
      </w:r>
      <w:r w:rsidR="006E0134">
        <w:rPr>
          <w:rFonts w:ascii="Times New Roman" w:hAnsi="Times New Roman" w:cs="Times New Roman"/>
          <w:sz w:val="24"/>
          <w:szCs w:val="24"/>
          <w:lang w:val="en-AU"/>
        </w:rPr>
        <w:t xml:space="preserve">the </w:t>
      </w:r>
      <w:r w:rsidRPr="009B436C">
        <w:rPr>
          <w:rFonts w:ascii="Times New Roman" w:hAnsi="Times New Roman" w:cs="Times New Roman"/>
          <w:sz w:val="24"/>
          <w:szCs w:val="24"/>
          <w:lang w:val="en-AU"/>
        </w:rPr>
        <w:t>Q</w:t>
      </w:r>
      <w:r w:rsidR="006E0134">
        <w:rPr>
          <w:rFonts w:ascii="Times New Roman" w:hAnsi="Times New Roman" w:cs="Times New Roman"/>
          <w:sz w:val="24"/>
          <w:szCs w:val="24"/>
          <w:lang w:val="en-AU"/>
        </w:rPr>
        <w:t xml:space="preserve">ueensland </w:t>
      </w:r>
      <w:r w:rsidRPr="009B436C">
        <w:rPr>
          <w:rFonts w:ascii="Times New Roman" w:hAnsi="Times New Roman" w:cs="Times New Roman"/>
          <w:sz w:val="24"/>
          <w:szCs w:val="24"/>
          <w:lang w:val="en-AU"/>
        </w:rPr>
        <w:t>U</w:t>
      </w:r>
      <w:r w:rsidR="006E0134">
        <w:rPr>
          <w:rFonts w:ascii="Times New Roman" w:hAnsi="Times New Roman" w:cs="Times New Roman"/>
          <w:sz w:val="24"/>
          <w:szCs w:val="24"/>
          <w:lang w:val="en-AU"/>
        </w:rPr>
        <w:t xml:space="preserve">niversity of </w:t>
      </w:r>
      <w:r w:rsidRPr="009B436C">
        <w:rPr>
          <w:rFonts w:ascii="Times New Roman" w:hAnsi="Times New Roman" w:cs="Times New Roman"/>
          <w:sz w:val="24"/>
          <w:szCs w:val="24"/>
          <w:lang w:val="en-AU"/>
        </w:rPr>
        <w:t>T</w:t>
      </w:r>
      <w:r w:rsidR="006E0134">
        <w:rPr>
          <w:rFonts w:ascii="Times New Roman" w:hAnsi="Times New Roman" w:cs="Times New Roman"/>
          <w:sz w:val="24"/>
          <w:szCs w:val="24"/>
          <w:lang w:val="en-AU"/>
        </w:rPr>
        <w:t>echnology</w:t>
      </w:r>
      <w:r w:rsidR="00A729EA" w:rsidRPr="009B436C">
        <w:rPr>
          <w:rFonts w:ascii="Times New Roman" w:hAnsi="Times New Roman" w:cs="Times New Roman"/>
          <w:sz w:val="24"/>
          <w:szCs w:val="24"/>
          <w:lang w:val="en-AU"/>
        </w:rPr>
        <w:t xml:space="preserve"> and a member of the Australian Centre for Health Law Research. Dr Purser has published nationally and internationally on the challenges presented by capacity assessment and the ageing population. She has a forthcoming book about the relationship between legal and health professionals when assessing legal capacity and the need for national assessment guidelines, including a suggested paradigm for such guidelines.</w:t>
      </w:r>
    </w:p>
    <w:p w:rsidR="00E07850" w:rsidRPr="009B436C" w:rsidRDefault="00E07850">
      <w:pPr>
        <w:pStyle w:val="Body"/>
        <w:spacing w:after="0" w:line="240" w:lineRule="auto"/>
        <w:jc w:val="both"/>
        <w:rPr>
          <w:rFonts w:ascii="Times New Roman" w:hAnsi="Times New Roman" w:cs="Times New Roman"/>
          <w:sz w:val="24"/>
          <w:szCs w:val="24"/>
          <w:lang w:val="en-AU"/>
        </w:rPr>
      </w:pPr>
    </w:p>
    <w:p w:rsidR="005C200C" w:rsidRPr="009B436C" w:rsidRDefault="00E07850">
      <w:pPr>
        <w:pStyle w:val="Body"/>
        <w:spacing w:after="0" w:line="240" w:lineRule="auto"/>
        <w:jc w:val="both"/>
        <w:rPr>
          <w:rFonts w:ascii="Times New Roman" w:hAnsi="Times New Roman" w:cs="Times New Roman"/>
          <w:sz w:val="24"/>
          <w:szCs w:val="24"/>
          <w:lang w:val="en-AU"/>
        </w:rPr>
      </w:pPr>
      <w:r w:rsidRPr="009B436C">
        <w:rPr>
          <w:rFonts w:ascii="Times New Roman" w:hAnsi="Times New Roman" w:cs="Times New Roman"/>
          <w:sz w:val="24"/>
          <w:szCs w:val="24"/>
          <w:lang w:val="en-AU"/>
        </w:rPr>
        <w:t xml:space="preserve">Dr Bridget Lewis is </w:t>
      </w:r>
      <w:r w:rsidR="00131A4C" w:rsidRPr="009B436C">
        <w:rPr>
          <w:rFonts w:ascii="Times New Roman" w:hAnsi="Times New Roman" w:cs="Times New Roman"/>
          <w:sz w:val="24"/>
          <w:szCs w:val="24"/>
          <w:lang w:val="en-AU"/>
        </w:rPr>
        <w:t xml:space="preserve">senior lecturer in the Law School at </w:t>
      </w:r>
      <w:r w:rsidR="00BA113B">
        <w:rPr>
          <w:rFonts w:ascii="Times New Roman" w:hAnsi="Times New Roman" w:cs="Times New Roman"/>
          <w:sz w:val="24"/>
          <w:szCs w:val="24"/>
          <w:lang w:val="en-AU"/>
        </w:rPr>
        <w:t xml:space="preserve">the </w:t>
      </w:r>
      <w:r w:rsidR="00131A4C" w:rsidRPr="009B436C">
        <w:rPr>
          <w:rFonts w:ascii="Times New Roman" w:hAnsi="Times New Roman" w:cs="Times New Roman"/>
          <w:sz w:val="24"/>
          <w:szCs w:val="24"/>
          <w:lang w:val="en-AU"/>
        </w:rPr>
        <w:t>Q</w:t>
      </w:r>
      <w:r w:rsidR="00BA113B">
        <w:rPr>
          <w:rFonts w:ascii="Times New Roman" w:hAnsi="Times New Roman" w:cs="Times New Roman"/>
          <w:sz w:val="24"/>
          <w:szCs w:val="24"/>
          <w:lang w:val="en-AU"/>
        </w:rPr>
        <w:t xml:space="preserve">ueensland </w:t>
      </w:r>
      <w:r w:rsidR="00131A4C" w:rsidRPr="009B436C">
        <w:rPr>
          <w:rFonts w:ascii="Times New Roman" w:hAnsi="Times New Roman" w:cs="Times New Roman"/>
          <w:sz w:val="24"/>
          <w:szCs w:val="24"/>
          <w:lang w:val="en-AU"/>
        </w:rPr>
        <w:t>U</w:t>
      </w:r>
      <w:r w:rsidR="00BA113B">
        <w:rPr>
          <w:rFonts w:ascii="Times New Roman" w:hAnsi="Times New Roman" w:cs="Times New Roman"/>
          <w:sz w:val="24"/>
          <w:szCs w:val="24"/>
          <w:lang w:val="en-AU"/>
        </w:rPr>
        <w:t xml:space="preserve">niversity of </w:t>
      </w:r>
      <w:r w:rsidR="00131A4C" w:rsidRPr="009B436C">
        <w:rPr>
          <w:rFonts w:ascii="Times New Roman" w:hAnsi="Times New Roman" w:cs="Times New Roman"/>
          <w:sz w:val="24"/>
          <w:szCs w:val="24"/>
          <w:lang w:val="en-AU"/>
        </w:rPr>
        <w:t>T</w:t>
      </w:r>
      <w:r w:rsidR="00BA113B">
        <w:rPr>
          <w:rFonts w:ascii="Times New Roman" w:hAnsi="Times New Roman" w:cs="Times New Roman"/>
          <w:sz w:val="24"/>
          <w:szCs w:val="24"/>
          <w:lang w:val="en-AU"/>
        </w:rPr>
        <w:t>echnology</w:t>
      </w:r>
      <w:r w:rsidR="00131A4C" w:rsidRPr="009B436C">
        <w:rPr>
          <w:rFonts w:ascii="Times New Roman" w:hAnsi="Times New Roman" w:cs="Times New Roman"/>
          <w:sz w:val="24"/>
          <w:szCs w:val="24"/>
          <w:lang w:val="en-AU"/>
        </w:rPr>
        <w:t xml:space="preserve"> and a member of the International Law and Globa</w:t>
      </w:r>
      <w:r w:rsidR="0056552F">
        <w:rPr>
          <w:rFonts w:ascii="Times New Roman" w:hAnsi="Times New Roman" w:cs="Times New Roman"/>
          <w:sz w:val="24"/>
          <w:szCs w:val="24"/>
          <w:lang w:val="en-AU"/>
        </w:rPr>
        <w:t xml:space="preserve">l Governance Research Program. </w:t>
      </w:r>
      <w:r w:rsidR="00131A4C" w:rsidRPr="009B436C">
        <w:rPr>
          <w:rFonts w:ascii="Times New Roman" w:hAnsi="Times New Roman" w:cs="Times New Roman"/>
          <w:sz w:val="24"/>
          <w:szCs w:val="24"/>
          <w:lang w:val="en-AU"/>
        </w:rPr>
        <w:t xml:space="preserve">Dr Lewis has published widely on </w:t>
      </w:r>
      <w:r w:rsidRPr="009B436C">
        <w:rPr>
          <w:rFonts w:ascii="Times New Roman" w:hAnsi="Times New Roman" w:cs="Times New Roman"/>
          <w:sz w:val="24"/>
          <w:szCs w:val="24"/>
          <w:lang w:val="en-AU"/>
        </w:rPr>
        <w:t xml:space="preserve">a </w:t>
      </w:r>
      <w:r w:rsidR="00131A4C" w:rsidRPr="009B436C">
        <w:rPr>
          <w:rFonts w:ascii="Times New Roman" w:hAnsi="Times New Roman" w:cs="Times New Roman"/>
          <w:sz w:val="24"/>
          <w:szCs w:val="24"/>
          <w:lang w:val="en-AU"/>
        </w:rPr>
        <w:t xml:space="preserve">range of </w:t>
      </w:r>
      <w:r w:rsidRPr="009B436C">
        <w:rPr>
          <w:rFonts w:ascii="Times New Roman" w:hAnsi="Times New Roman" w:cs="Times New Roman"/>
          <w:sz w:val="24"/>
          <w:szCs w:val="24"/>
          <w:lang w:val="en-AU"/>
        </w:rPr>
        <w:t xml:space="preserve">human rights </w:t>
      </w:r>
      <w:r w:rsidR="00131A4C" w:rsidRPr="009B436C">
        <w:rPr>
          <w:rFonts w:ascii="Times New Roman" w:hAnsi="Times New Roman" w:cs="Times New Roman"/>
          <w:sz w:val="24"/>
          <w:szCs w:val="24"/>
          <w:lang w:val="en-AU"/>
        </w:rPr>
        <w:t xml:space="preserve">issues, </w:t>
      </w:r>
      <w:r w:rsidR="005C200C" w:rsidRPr="009B436C">
        <w:rPr>
          <w:rFonts w:ascii="Times New Roman" w:hAnsi="Times New Roman" w:cs="Times New Roman"/>
          <w:sz w:val="24"/>
          <w:szCs w:val="24"/>
          <w:lang w:val="en-AU"/>
        </w:rPr>
        <w:t xml:space="preserve">particularly the application of international human rights law to contemporary issues such as climate change and natural disasters. </w:t>
      </w:r>
    </w:p>
    <w:p w:rsidR="00E07850" w:rsidRPr="009B436C" w:rsidRDefault="00E07850">
      <w:pPr>
        <w:pStyle w:val="Body"/>
        <w:spacing w:after="0" w:line="240" w:lineRule="auto"/>
        <w:jc w:val="both"/>
        <w:rPr>
          <w:rFonts w:ascii="Times New Roman" w:hAnsi="Times New Roman" w:cs="Times New Roman"/>
          <w:sz w:val="24"/>
          <w:szCs w:val="24"/>
          <w:lang w:val="en-AU"/>
        </w:rPr>
      </w:pPr>
    </w:p>
    <w:p w:rsidR="00E07850" w:rsidRPr="009B436C" w:rsidRDefault="00E07850">
      <w:pPr>
        <w:pStyle w:val="Body"/>
        <w:spacing w:after="0" w:line="240" w:lineRule="auto"/>
        <w:jc w:val="both"/>
        <w:rPr>
          <w:rFonts w:ascii="Times New Roman" w:hAnsi="Times New Roman" w:cs="Times New Roman"/>
          <w:sz w:val="24"/>
          <w:szCs w:val="24"/>
          <w:lang w:val="en-AU"/>
        </w:rPr>
      </w:pPr>
      <w:r w:rsidRPr="009B436C">
        <w:rPr>
          <w:rFonts w:ascii="Times New Roman" w:hAnsi="Times New Roman" w:cs="Times New Roman"/>
          <w:sz w:val="24"/>
          <w:szCs w:val="24"/>
          <w:lang w:val="en-AU"/>
        </w:rPr>
        <w:t>Kirsty Mackie is an elder law practitioner with a strong interest in elder a</w:t>
      </w:r>
      <w:r w:rsidR="00A85478">
        <w:rPr>
          <w:rFonts w:ascii="Times New Roman" w:hAnsi="Times New Roman" w:cs="Times New Roman"/>
          <w:sz w:val="24"/>
          <w:szCs w:val="24"/>
          <w:lang w:val="en-AU"/>
        </w:rPr>
        <w:t xml:space="preserve">buse, advocacy and law reform. </w:t>
      </w:r>
      <w:r w:rsidRPr="009B436C">
        <w:rPr>
          <w:rFonts w:ascii="Times New Roman" w:hAnsi="Times New Roman" w:cs="Times New Roman"/>
          <w:sz w:val="24"/>
          <w:szCs w:val="24"/>
          <w:lang w:val="en-AU"/>
        </w:rPr>
        <w:t xml:space="preserve">Ms Mackie is a guest lecturer to the Masters of Law program at </w:t>
      </w:r>
      <w:r w:rsidR="00BA113B">
        <w:rPr>
          <w:rFonts w:ascii="Times New Roman" w:hAnsi="Times New Roman" w:cs="Times New Roman"/>
          <w:sz w:val="24"/>
          <w:szCs w:val="24"/>
          <w:lang w:val="en-AU"/>
        </w:rPr>
        <w:t xml:space="preserve">the </w:t>
      </w:r>
      <w:r w:rsidRPr="009B436C">
        <w:rPr>
          <w:rFonts w:ascii="Times New Roman" w:hAnsi="Times New Roman" w:cs="Times New Roman"/>
          <w:sz w:val="24"/>
          <w:szCs w:val="24"/>
          <w:lang w:val="en-AU"/>
        </w:rPr>
        <w:t>Q</w:t>
      </w:r>
      <w:r w:rsidR="00BA113B">
        <w:rPr>
          <w:rFonts w:ascii="Times New Roman" w:hAnsi="Times New Roman" w:cs="Times New Roman"/>
          <w:sz w:val="24"/>
          <w:szCs w:val="24"/>
          <w:lang w:val="en-AU"/>
        </w:rPr>
        <w:t xml:space="preserve">ueensland </w:t>
      </w:r>
      <w:r w:rsidRPr="009B436C">
        <w:rPr>
          <w:rFonts w:ascii="Times New Roman" w:hAnsi="Times New Roman" w:cs="Times New Roman"/>
          <w:sz w:val="24"/>
          <w:szCs w:val="24"/>
          <w:lang w:val="en-AU"/>
        </w:rPr>
        <w:t>U</w:t>
      </w:r>
      <w:r w:rsidR="00BA113B">
        <w:rPr>
          <w:rFonts w:ascii="Times New Roman" w:hAnsi="Times New Roman" w:cs="Times New Roman"/>
          <w:sz w:val="24"/>
          <w:szCs w:val="24"/>
          <w:lang w:val="en-AU"/>
        </w:rPr>
        <w:t xml:space="preserve">niversity of </w:t>
      </w:r>
      <w:r w:rsidRPr="009B436C">
        <w:rPr>
          <w:rFonts w:ascii="Times New Roman" w:hAnsi="Times New Roman" w:cs="Times New Roman"/>
          <w:sz w:val="24"/>
          <w:szCs w:val="24"/>
          <w:lang w:val="en-AU"/>
        </w:rPr>
        <w:t>T</w:t>
      </w:r>
      <w:r w:rsidR="00BA113B">
        <w:rPr>
          <w:rFonts w:ascii="Times New Roman" w:hAnsi="Times New Roman" w:cs="Times New Roman"/>
          <w:sz w:val="24"/>
          <w:szCs w:val="24"/>
          <w:lang w:val="en-AU"/>
        </w:rPr>
        <w:t>echnology</w:t>
      </w:r>
      <w:r w:rsidRPr="009B436C">
        <w:rPr>
          <w:rFonts w:ascii="Times New Roman" w:hAnsi="Times New Roman" w:cs="Times New Roman"/>
          <w:sz w:val="24"/>
          <w:szCs w:val="24"/>
          <w:lang w:val="en-AU"/>
        </w:rPr>
        <w:t xml:space="preserve"> on elder abuse. </w:t>
      </w:r>
    </w:p>
    <w:p w:rsidR="00B46120" w:rsidRPr="009B436C" w:rsidRDefault="00B46120">
      <w:pPr>
        <w:pStyle w:val="Body"/>
        <w:spacing w:after="0" w:line="240" w:lineRule="auto"/>
        <w:jc w:val="both"/>
        <w:rPr>
          <w:rFonts w:ascii="Times New Roman" w:hAnsi="Times New Roman" w:cs="Times New Roman"/>
          <w:sz w:val="24"/>
          <w:szCs w:val="24"/>
          <w:lang w:val="en-AU"/>
        </w:rPr>
      </w:pPr>
    </w:p>
    <w:p w:rsidR="00B46120" w:rsidRPr="009B436C" w:rsidRDefault="00D9780D">
      <w:pPr>
        <w:pStyle w:val="Body"/>
        <w:spacing w:after="0" w:line="240" w:lineRule="auto"/>
        <w:jc w:val="both"/>
        <w:rPr>
          <w:rFonts w:ascii="Times New Roman" w:hAnsi="Times New Roman" w:cs="Times New Roman"/>
          <w:sz w:val="24"/>
          <w:szCs w:val="24"/>
          <w:lang w:val="en-AU"/>
        </w:rPr>
      </w:pPr>
      <w:r w:rsidRPr="009B436C">
        <w:rPr>
          <w:rFonts w:ascii="Times New Roman" w:hAnsi="Times New Roman" w:cs="Times New Roman"/>
          <w:sz w:val="24"/>
          <w:szCs w:val="24"/>
          <w:lang w:val="en-AU"/>
        </w:rPr>
        <w:t xml:space="preserve">Professor Karen Sullivan </w:t>
      </w:r>
      <w:r w:rsidRPr="009B436C">
        <w:rPr>
          <w:rFonts w:ascii="Times New Roman" w:hAnsi="Times New Roman" w:cs="Times New Roman"/>
          <w:color w:val="333333"/>
          <w:sz w:val="24"/>
          <w:szCs w:val="24"/>
          <w:shd w:val="clear" w:color="auto" w:fill="FFFFFF"/>
        </w:rPr>
        <w:t>is a registered psychologist</w:t>
      </w:r>
      <w:r w:rsidR="00682653">
        <w:rPr>
          <w:rFonts w:ascii="Times New Roman" w:hAnsi="Times New Roman" w:cs="Times New Roman"/>
          <w:color w:val="333333"/>
          <w:sz w:val="24"/>
          <w:szCs w:val="24"/>
          <w:shd w:val="clear" w:color="auto" w:fill="FFFFFF"/>
        </w:rPr>
        <w:t xml:space="preserve">, and </w:t>
      </w:r>
      <w:r w:rsidRPr="009B436C">
        <w:rPr>
          <w:rFonts w:ascii="Times New Roman" w:hAnsi="Times New Roman" w:cs="Times New Roman"/>
          <w:color w:val="333333"/>
          <w:sz w:val="24"/>
          <w:szCs w:val="24"/>
          <w:shd w:val="clear" w:color="auto" w:fill="FFFFFF"/>
        </w:rPr>
        <w:t xml:space="preserve">has held clinical appointments in major teaching hospitals. In 2007 </w:t>
      </w:r>
      <w:r w:rsidR="00017455">
        <w:rPr>
          <w:rFonts w:ascii="Times New Roman" w:hAnsi="Times New Roman" w:cs="Times New Roman"/>
          <w:color w:val="333333"/>
          <w:sz w:val="24"/>
          <w:szCs w:val="24"/>
          <w:shd w:val="clear" w:color="auto" w:fill="FFFFFF"/>
        </w:rPr>
        <w:t xml:space="preserve">Professor Sullivan </w:t>
      </w:r>
      <w:r w:rsidR="00334451">
        <w:rPr>
          <w:rFonts w:ascii="Times New Roman" w:hAnsi="Times New Roman" w:cs="Times New Roman"/>
          <w:color w:val="333333"/>
          <w:sz w:val="24"/>
          <w:szCs w:val="24"/>
          <w:shd w:val="clear" w:color="auto" w:fill="FFFFFF"/>
        </w:rPr>
        <w:t xml:space="preserve">became a Board </w:t>
      </w:r>
      <w:r w:rsidRPr="009B436C">
        <w:rPr>
          <w:rFonts w:ascii="Times New Roman" w:hAnsi="Times New Roman" w:cs="Times New Roman"/>
          <w:color w:val="333333"/>
          <w:sz w:val="24"/>
          <w:szCs w:val="24"/>
          <w:shd w:val="clear" w:color="auto" w:fill="FFFFFF"/>
        </w:rPr>
        <w:t xml:space="preserve">accredited </w:t>
      </w:r>
      <w:r w:rsidR="00EF07DC" w:rsidRPr="009B436C">
        <w:rPr>
          <w:rFonts w:ascii="Times New Roman" w:hAnsi="Times New Roman" w:cs="Times New Roman"/>
          <w:color w:val="333333"/>
          <w:sz w:val="24"/>
          <w:szCs w:val="24"/>
          <w:shd w:val="clear" w:color="auto" w:fill="FFFFFF"/>
        </w:rPr>
        <w:t xml:space="preserve">supervisor of psychologists. </w:t>
      </w:r>
      <w:r w:rsidR="004F539B">
        <w:rPr>
          <w:rFonts w:ascii="Times New Roman" w:hAnsi="Times New Roman" w:cs="Times New Roman"/>
          <w:color w:val="333333"/>
          <w:sz w:val="24"/>
          <w:szCs w:val="24"/>
          <w:shd w:val="clear" w:color="auto" w:fill="FFFFFF"/>
        </w:rPr>
        <w:t xml:space="preserve">Professor Sullivan’s </w:t>
      </w:r>
      <w:r w:rsidRPr="009B436C">
        <w:rPr>
          <w:rFonts w:ascii="Times New Roman" w:hAnsi="Times New Roman" w:cs="Times New Roman"/>
          <w:color w:val="333333"/>
          <w:sz w:val="24"/>
          <w:szCs w:val="24"/>
          <w:shd w:val="clear" w:color="auto" w:fill="FFFFFF"/>
        </w:rPr>
        <w:t>research in clinical neuropsychology includes applications in ag</w:t>
      </w:r>
      <w:r w:rsidR="0074220B">
        <w:rPr>
          <w:rFonts w:ascii="Times New Roman" w:hAnsi="Times New Roman" w:cs="Times New Roman"/>
          <w:color w:val="333333"/>
          <w:sz w:val="24"/>
          <w:szCs w:val="24"/>
          <w:shd w:val="clear" w:color="auto" w:fill="FFFFFF"/>
        </w:rPr>
        <w:t>e</w:t>
      </w:r>
      <w:r w:rsidRPr="009B436C">
        <w:rPr>
          <w:rFonts w:ascii="Times New Roman" w:hAnsi="Times New Roman" w:cs="Times New Roman"/>
          <w:color w:val="333333"/>
          <w:sz w:val="24"/>
          <w:szCs w:val="24"/>
          <w:shd w:val="clear" w:color="auto" w:fill="FFFFFF"/>
        </w:rPr>
        <w:t>ing, stroke, Alzheimer’s disease, mild traumatic brain injury and malingering. </w:t>
      </w:r>
    </w:p>
    <w:p w:rsidR="00D528D6" w:rsidRPr="009B436C" w:rsidRDefault="00D528D6">
      <w:pPr>
        <w:pStyle w:val="Body"/>
        <w:spacing w:after="0" w:line="240" w:lineRule="auto"/>
        <w:jc w:val="both"/>
        <w:rPr>
          <w:rFonts w:ascii="Times New Roman" w:hAnsi="Times New Roman" w:cs="Times New Roman"/>
          <w:sz w:val="24"/>
          <w:szCs w:val="24"/>
          <w:lang w:val="en-AU"/>
        </w:rPr>
      </w:pPr>
    </w:p>
    <w:p w:rsidR="0065781C" w:rsidRDefault="0065781C" w:rsidP="002860FB">
      <w:pPr>
        <w:pStyle w:val="Body"/>
        <w:keepNext/>
        <w:numPr>
          <w:ilvl w:val="0"/>
          <w:numId w:val="9"/>
        </w:numPr>
        <w:spacing w:after="0" w:line="240" w:lineRule="auto"/>
        <w:ind w:left="284" w:hanging="284"/>
        <w:jc w:val="both"/>
        <w:rPr>
          <w:rFonts w:ascii="Times New Roman" w:eastAsia="Times New Roman" w:hAnsi="Times New Roman" w:cs="Times New Roman"/>
          <w:b/>
          <w:sz w:val="24"/>
          <w:szCs w:val="24"/>
          <w:u w:val="single"/>
          <w:lang w:val="en-AU"/>
        </w:rPr>
      </w:pPr>
      <w:r w:rsidRPr="005558BA">
        <w:rPr>
          <w:rFonts w:ascii="Times New Roman" w:eastAsia="Times New Roman" w:hAnsi="Times New Roman" w:cs="Times New Roman"/>
          <w:b/>
          <w:sz w:val="24"/>
          <w:szCs w:val="24"/>
          <w:u w:val="single"/>
          <w:lang w:val="en-AU"/>
        </w:rPr>
        <w:lastRenderedPageBreak/>
        <w:t xml:space="preserve">General Comments </w:t>
      </w:r>
    </w:p>
    <w:p w:rsidR="00E6459E" w:rsidRDefault="00E6459E" w:rsidP="00E6459E">
      <w:pPr>
        <w:pStyle w:val="Body"/>
        <w:keepNext/>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We agree that a national plan to address elder abuse should be </w:t>
      </w:r>
      <w:r w:rsidR="00E61F60">
        <w:rPr>
          <w:rFonts w:ascii="Times New Roman" w:eastAsia="Times New Roman" w:hAnsi="Times New Roman" w:cs="Times New Roman"/>
          <w:sz w:val="24"/>
          <w:szCs w:val="24"/>
          <w:lang w:val="en-AU"/>
        </w:rPr>
        <w:t>established</w:t>
      </w:r>
      <w:r>
        <w:rPr>
          <w:rFonts w:ascii="Times New Roman" w:eastAsia="Times New Roman" w:hAnsi="Times New Roman" w:cs="Times New Roman"/>
          <w:sz w:val="24"/>
          <w:szCs w:val="24"/>
          <w:lang w:val="en-AU"/>
        </w:rPr>
        <w:t xml:space="preserve">. Imperative in </w:t>
      </w:r>
      <w:r w:rsidR="00E61F60">
        <w:rPr>
          <w:rFonts w:ascii="Times New Roman" w:eastAsia="Times New Roman" w:hAnsi="Times New Roman" w:cs="Times New Roman"/>
          <w:sz w:val="24"/>
          <w:szCs w:val="24"/>
          <w:lang w:val="en-AU"/>
        </w:rPr>
        <w:t>any</w:t>
      </w:r>
      <w:r>
        <w:rPr>
          <w:rFonts w:ascii="Times New Roman" w:eastAsia="Times New Roman" w:hAnsi="Times New Roman" w:cs="Times New Roman"/>
          <w:sz w:val="24"/>
          <w:szCs w:val="24"/>
          <w:lang w:val="en-AU"/>
        </w:rPr>
        <w:t xml:space="preserve"> response to elder abuse is the adoption of a human rights framework and the development of interdisciplinary national capacity assessment guidelines. </w:t>
      </w:r>
    </w:p>
    <w:p w:rsidR="00E6459E" w:rsidRPr="00E6459E" w:rsidRDefault="00E6459E" w:rsidP="00E6459E">
      <w:pPr>
        <w:pStyle w:val="Body"/>
        <w:keepNext/>
        <w:spacing w:after="0" w:line="240" w:lineRule="auto"/>
        <w:jc w:val="both"/>
        <w:rPr>
          <w:rFonts w:ascii="Times New Roman" w:eastAsia="Times New Roman" w:hAnsi="Times New Roman" w:cs="Times New Roman"/>
          <w:sz w:val="24"/>
          <w:szCs w:val="24"/>
          <w:lang w:val="en-AU"/>
        </w:rPr>
      </w:pPr>
    </w:p>
    <w:p w:rsidR="009B6B8D" w:rsidRPr="0015372F" w:rsidRDefault="00333DA0" w:rsidP="002860FB">
      <w:pPr>
        <w:pStyle w:val="Body"/>
        <w:keepNext/>
        <w:spacing w:after="0" w:line="240" w:lineRule="auto"/>
        <w:jc w:val="both"/>
        <w:rPr>
          <w:rFonts w:ascii="Times New Roman" w:eastAsia="Times New Roman" w:hAnsi="Times New Roman" w:cs="Times New Roman"/>
          <w:b/>
          <w:color w:val="auto"/>
          <w:sz w:val="24"/>
          <w:szCs w:val="24"/>
          <w:lang w:val="en-AU"/>
        </w:rPr>
      </w:pPr>
      <w:r>
        <w:rPr>
          <w:rFonts w:ascii="Times New Roman" w:eastAsia="Times New Roman" w:hAnsi="Times New Roman" w:cs="Times New Roman"/>
          <w:b/>
          <w:color w:val="auto"/>
          <w:sz w:val="24"/>
          <w:szCs w:val="24"/>
          <w:lang w:val="en-AU"/>
        </w:rPr>
        <w:t xml:space="preserve">1.1 </w:t>
      </w:r>
      <w:r w:rsidR="009B6B8D" w:rsidRPr="009B436C">
        <w:rPr>
          <w:rFonts w:ascii="Times New Roman" w:eastAsia="Times New Roman" w:hAnsi="Times New Roman" w:cs="Times New Roman"/>
          <w:b/>
          <w:color w:val="auto"/>
          <w:sz w:val="24"/>
          <w:szCs w:val="24"/>
          <w:lang w:val="en-AU"/>
        </w:rPr>
        <w:t>Definitions</w:t>
      </w:r>
    </w:p>
    <w:p w:rsidR="00F9411E" w:rsidRPr="0015372F" w:rsidRDefault="00286ED5" w:rsidP="002860FB">
      <w:pPr>
        <w:pStyle w:val="Body"/>
        <w:keepNext/>
        <w:spacing w:after="0" w:line="240" w:lineRule="auto"/>
        <w:jc w:val="both"/>
        <w:rPr>
          <w:rStyle w:val="apple-converted-space"/>
          <w:rFonts w:ascii="Times New Roman" w:hAnsi="Times New Roman" w:cs="Times New Roman"/>
          <w:color w:val="auto"/>
          <w:sz w:val="24"/>
          <w:szCs w:val="24"/>
          <w:lang w:val="en-AU"/>
        </w:rPr>
      </w:pPr>
      <w:r w:rsidRPr="0015372F">
        <w:rPr>
          <w:rFonts w:ascii="Times New Roman" w:eastAsia="Times New Roman" w:hAnsi="Times New Roman" w:cs="Times New Roman"/>
          <w:color w:val="auto"/>
          <w:sz w:val="24"/>
          <w:szCs w:val="24"/>
          <w:lang w:val="en-AU"/>
        </w:rPr>
        <w:t>W</w:t>
      </w:r>
      <w:r w:rsidR="00896A23" w:rsidRPr="0015372F">
        <w:rPr>
          <w:rFonts w:ascii="Times New Roman" w:eastAsia="Times New Roman" w:hAnsi="Times New Roman" w:cs="Times New Roman"/>
          <w:color w:val="auto"/>
          <w:sz w:val="24"/>
          <w:szCs w:val="24"/>
          <w:lang w:val="en-AU"/>
        </w:rPr>
        <w:t xml:space="preserve">e believe that there is utility in the </w:t>
      </w:r>
      <w:r w:rsidR="00896A23" w:rsidRPr="0015372F">
        <w:rPr>
          <w:rStyle w:val="apple-converted-space"/>
          <w:rFonts w:ascii="Times New Roman" w:hAnsi="Times New Roman" w:cs="Times New Roman"/>
          <w:color w:val="auto"/>
          <w:sz w:val="24"/>
          <w:szCs w:val="24"/>
          <w:lang w:val="en-AU"/>
        </w:rPr>
        <w:t>‘old’ and</w:t>
      </w:r>
      <w:r w:rsidR="00DF05AA" w:rsidRPr="0015372F">
        <w:rPr>
          <w:rStyle w:val="apple-converted-space"/>
          <w:rFonts w:ascii="Times New Roman" w:hAnsi="Times New Roman" w:cs="Times New Roman"/>
          <w:color w:val="auto"/>
          <w:sz w:val="24"/>
          <w:szCs w:val="24"/>
          <w:lang w:val="en-AU"/>
        </w:rPr>
        <w:t xml:space="preserve"> ‘old old’ distinction</w:t>
      </w:r>
      <w:r w:rsidR="008C128E" w:rsidRPr="0015372F">
        <w:rPr>
          <w:rStyle w:val="apple-converted-space"/>
          <w:rFonts w:ascii="Times New Roman" w:hAnsi="Times New Roman" w:cs="Times New Roman"/>
          <w:color w:val="auto"/>
          <w:sz w:val="24"/>
          <w:szCs w:val="24"/>
          <w:lang w:val="en-AU"/>
        </w:rPr>
        <w:t>.</w:t>
      </w:r>
      <w:r w:rsidR="00896A23" w:rsidRPr="0015372F">
        <w:rPr>
          <w:rStyle w:val="FootnoteReference"/>
          <w:rFonts w:ascii="Times New Roman" w:hAnsi="Times New Roman" w:cs="Times New Roman"/>
          <w:color w:val="auto"/>
          <w:sz w:val="24"/>
          <w:szCs w:val="24"/>
          <w:lang w:val="en-AU"/>
        </w:rPr>
        <w:footnoteReference w:id="2"/>
      </w:r>
      <w:r w:rsidR="0015372F" w:rsidRPr="0015372F">
        <w:rPr>
          <w:rFonts w:ascii="Times New Roman" w:hAnsi="Times New Roman" w:cs="Times New Roman"/>
          <w:sz w:val="24"/>
          <w:szCs w:val="24"/>
        </w:rPr>
        <w:t xml:space="preserve"> Such a differentiation is useful given that the risk of neurodegenerative conditions such as Alzheimer’s disease is age dependent and often expressed for specific age cohorts (e.g., the risk for people over 80 years of age is substantially higher than it is for people over 60 years of age)</w:t>
      </w:r>
      <w:r w:rsidR="00DF05AA" w:rsidRPr="0015372F">
        <w:rPr>
          <w:rStyle w:val="apple-converted-space"/>
          <w:rFonts w:ascii="Times New Roman" w:hAnsi="Times New Roman" w:cs="Times New Roman"/>
          <w:color w:val="auto"/>
          <w:sz w:val="24"/>
          <w:szCs w:val="24"/>
          <w:lang w:val="en-AU"/>
        </w:rPr>
        <w:t xml:space="preserve">. </w:t>
      </w:r>
      <w:r w:rsidR="00DB6A59" w:rsidRPr="0015372F">
        <w:rPr>
          <w:rStyle w:val="apple-converted-space"/>
          <w:rFonts w:ascii="Times New Roman" w:hAnsi="Times New Roman" w:cs="Times New Roman"/>
          <w:color w:val="auto"/>
          <w:sz w:val="24"/>
          <w:szCs w:val="24"/>
          <w:lang w:val="en-AU"/>
        </w:rPr>
        <w:t xml:space="preserve">Further, the risks of abuse may </w:t>
      </w:r>
      <w:r w:rsidR="00CB1F01" w:rsidRPr="0015372F">
        <w:rPr>
          <w:rStyle w:val="apple-converted-space"/>
          <w:rFonts w:ascii="Times New Roman" w:hAnsi="Times New Roman" w:cs="Times New Roman"/>
          <w:color w:val="auto"/>
          <w:sz w:val="24"/>
          <w:szCs w:val="24"/>
          <w:lang w:val="en-AU"/>
        </w:rPr>
        <w:t>escalate</w:t>
      </w:r>
      <w:r w:rsidR="00DB6A59" w:rsidRPr="0015372F">
        <w:rPr>
          <w:rStyle w:val="apple-converted-space"/>
          <w:rFonts w:ascii="Times New Roman" w:hAnsi="Times New Roman" w:cs="Times New Roman"/>
          <w:color w:val="auto"/>
          <w:sz w:val="24"/>
          <w:szCs w:val="24"/>
          <w:lang w:val="en-AU"/>
        </w:rPr>
        <w:t xml:space="preserve"> with increased frailty and/or increasing dependence. </w:t>
      </w:r>
    </w:p>
    <w:p w:rsidR="00F9411E" w:rsidRPr="009B436C" w:rsidRDefault="00F9411E" w:rsidP="004B43E2">
      <w:pPr>
        <w:pStyle w:val="Body"/>
        <w:spacing w:after="0" w:line="240" w:lineRule="auto"/>
        <w:jc w:val="both"/>
        <w:rPr>
          <w:rStyle w:val="apple-converted-space"/>
          <w:rFonts w:ascii="Times New Roman" w:hAnsi="Times New Roman" w:cs="Times New Roman"/>
          <w:color w:val="auto"/>
          <w:sz w:val="24"/>
          <w:szCs w:val="24"/>
          <w:lang w:val="en-AU"/>
        </w:rPr>
      </w:pPr>
    </w:p>
    <w:p w:rsidR="009B6B8D" w:rsidRDefault="008F23CD" w:rsidP="00D03570">
      <w:pPr>
        <w:pStyle w:val="Body"/>
        <w:spacing w:after="0" w:line="240" w:lineRule="auto"/>
        <w:jc w:val="both"/>
        <w:rPr>
          <w:rStyle w:val="apple-converted-space"/>
          <w:rFonts w:ascii="Times New Roman" w:hAnsi="Times New Roman" w:cs="Times New Roman"/>
          <w:sz w:val="24"/>
          <w:szCs w:val="24"/>
          <w:lang w:val="en-AU"/>
        </w:rPr>
      </w:pPr>
      <w:r>
        <w:rPr>
          <w:rStyle w:val="apple-converted-space"/>
          <w:rFonts w:ascii="Times New Roman" w:hAnsi="Times New Roman" w:cs="Times New Roman"/>
          <w:color w:val="auto"/>
          <w:sz w:val="24"/>
          <w:szCs w:val="24"/>
          <w:lang w:val="en-AU"/>
        </w:rPr>
        <w:t>T</w:t>
      </w:r>
      <w:r w:rsidR="00F9411E" w:rsidRPr="009B436C">
        <w:rPr>
          <w:rStyle w:val="apple-converted-space"/>
          <w:rFonts w:ascii="Times New Roman" w:hAnsi="Times New Roman" w:cs="Times New Roman"/>
          <w:color w:val="auto"/>
          <w:sz w:val="24"/>
          <w:szCs w:val="24"/>
          <w:lang w:val="en-AU"/>
        </w:rPr>
        <w:t xml:space="preserve">he </w:t>
      </w:r>
      <w:r w:rsidR="00DF05AA" w:rsidRPr="009B436C">
        <w:rPr>
          <w:rStyle w:val="apple-converted-space"/>
          <w:rFonts w:ascii="Times New Roman" w:hAnsi="Times New Roman" w:cs="Times New Roman"/>
          <w:color w:val="auto"/>
          <w:sz w:val="24"/>
          <w:szCs w:val="24"/>
          <w:lang w:val="en-AU"/>
        </w:rPr>
        <w:t>definition</w:t>
      </w:r>
      <w:r w:rsidR="00BF4CF0" w:rsidRPr="009B436C">
        <w:rPr>
          <w:rStyle w:val="apple-converted-space"/>
          <w:rFonts w:ascii="Times New Roman" w:hAnsi="Times New Roman" w:cs="Times New Roman"/>
          <w:color w:val="auto"/>
          <w:sz w:val="24"/>
          <w:szCs w:val="24"/>
          <w:lang w:val="en-AU"/>
        </w:rPr>
        <w:t xml:space="preserve"> of ‘elder abuse’</w:t>
      </w:r>
      <w:r w:rsidR="00DF05AA" w:rsidRPr="009B436C">
        <w:rPr>
          <w:rStyle w:val="apple-converted-space"/>
          <w:rFonts w:ascii="Times New Roman" w:hAnsi="Times New Roman" w:cs="Times New Roman"/>
          <w:color w:val="auto"/>
          <w:sz w:val="24"/>
          <w:szCs w:val="24"/>
          <w:lang w:val="en-AU"/>
        </w:rPr>
        <w:t xml:space="preserve"> should </w:t>
      </w:r>
      <w:r w:rsidR="00F9411E" w:rsidRPr="009B436C">
        <w:rPr>
          <w:rStyle w:val="apple-converted-space"/>
          <w:rFonts w:ascii="Times New Roman" w:hAnsi="Times New Roman" w:cs="Times New Roman"/>
          <w:color w:val="auto"/>
          <w:sz w:val="24"/>
          <w:szCs w:val="24"/>
          <w:lang w:val="en-AU"/>
        </w:rPr>
        <w:t xml:space="preserve">not however </w:t>
      </w:r>
      <w:r w:rsidR="00DF05AA" w:rsidRPr="009B436C">
        <w:rPr>
          <w:rStyle w:val="apple-converted-space"/>
          <w:rFonts w:ascii="Times New Roman" w:hAnsi="Times New Roman" w:cs="Times New Roman"/>
          <w:color w:val="auto"/>
          <w:sz w:val="24"/>
          <w:szCs w:val="24"/>
          <w:lang w:val="en-AU"/>
        </w:rPr>
        <w:t>include an element of ‘trust</w:t>
      </w:r>
      <w:r w:rsidR="00BF4CF0" w:rsidRPr="009B436C">
        <w:rPr>
          <w:rStyle w:val="FootnoteReference"/>
          <w:rFonts w:ascii="Times New Roman" w:hAnsi="Times New Roman" w:cs="Times New Roman"/>
          <w:color w:val="auto"/>
          <w:sz w:val="24"/>
          <w:szCs w:val="24"/>
        </w:rPr>
        <w:footnoteReference w:id="3"/>
      </w:r>
      <w:r w:rsidR="00DF05AA" w:rsidRPr="009B436C">
        <w:rPr>
          <w:rStyle w:val="apple-converted-space"/>
          <w:rFonts w:ascii="Times New Roman" w:hAnsi="Times New Roman" w:cs="Times New Roman"/>
          <w:color w:val="auto"/>
          <w:sz w:val="24"/>
          <w:szCs w:val="24"/>
          <w:lang w:val="en-AU"/>
        </w:rPr>
        <w:t>’</w:t>
      </w:r>
      <w:r w:rsidR="003D5770" w:rsidRPr="009B436C">
        <w:rPr>
          <w:rStyle w:val="apple-converted-space"/>
          <w:rFonts w:ascii="Times New Roman" w:hAnsi="Times New Roman" w:cs="Times New Roman"/>
          <w:color w:val="auto"/>
          <w:sz w:val="24"/>
          <w:szCs w:val="24"/>
          <w:lang w:val="en-AU"/>
        </w:rPr>
        <w:t xml:space="preserve"> as this seems to narrow the def</w:t>
      </w:r>
      <w:r w:rsidR="00113108">
        <w:rPr>
          <w:rStyle w:val="apple-converted-space"/>
          <w:rFonts w:ascii="Times New Roman" w:hAnsi="Times New Roman" w:cs="Times New Roman"/>
          <w:color w:val="auto"/>
          <w:sz w:val="24"/>
          <w:szCs w:val="24"/>
          <w:lang w:val="en-AU"/>
        </w:rPr>
        <w:t>inition of abuse unnecessarily.</w:t>
      </w:r>
      <w:r w:rsidR="003D5770" w:rsidRPr="009B436C">
        <w:rPr>
          <w:rStyle w:val="apple-converted-space"/>
          <w:rFonts w:ascii="Times New Roman" w:hAnsi="Times New Roman" w:cs="Times New Roman"/>
          <w:color w:val="auto"/>
          <w:sz w:val="24"/>
          <w:szCs w:val="24"/>
          <w:lang w:val="en-AU"/>
        </w:rPr>
        <w:t xml:space="preserve"> While the problem of abuse within </w:t>
      </w:r>
      <w:r w:rsidR="00EC000F" w:rsidRPr="009B436C">
        <w:rPr>
          <w:rStyle w:val="apple-converted-space"/>
          <w:rFonts w:ascii="Times New Roman" w:hAnsi="Times New Roman" w:cs="Times New Roman"/>
          <w:color w:val="auto"/>
          <w:sz w:val="24"/>
          <w:szCs w:val="24"/>
          <w:lang w:val="en-AU"/>
        </w:rPr>
        <w:t>existing</w:t>
      </w:r>
      <w:r w:rsidR="003D5770" w:rsidRPr="009B436C">
        <w:rPr>
          <w:rStyle w:val="apple-converted-space"/>
          <w:rFonts w:ascii="Times New Roman" w:hAnsi="Times New Roman" w:cs="Times New Roman"/>
          <w:color w:val="auto"/>
          <w:sz w:val="24"/>
          <w:szCs w:val="24"/>
          <w:lang w:val="en-AU"/>
        </w:rPr>
        <w:t xml:space="preserve"> relationships is of obvious concern, the prevalence of ageism and 'invisibility' of older persons in our community also leaves them vulnerable to abuse and exploitation </w:t>
      </w:r>
      <w:r w:rsidR="00EC000F" w:rsidRPr="009B436C">
        <w:rPr>
          <w:rStyle w:val="apple-converted-space"/>
          <w:rFonts w:ascii="Times New Roman" w:hAnsi="Times New Roman" w:cs="Times New Roman"/>
          <w:color w:val="auto"/>
          <w:sz w:val="24"/>
          <w:szCs w:val="24"/>
          <w:lang w:val="en-AU"/>
        </w:rPr>
        <w:t>from people with whom they do not</w:t>
      </w:r>
      <w:r w:rsidR="003D5770" w:rsidRPr="009B436C">
        <w:rPr>
          <w:rStyle w:val="apple-converted-space"/>
          <w:rFonts w:ascii="Times New Roman" w:hAnsi="Times New Roman" w:cs="Times New Roman"/>
          <w:color w:val="auto"/>
          <w:sz w:val="24"/>
          <w:szCs w:val="24"/>
          <w:lang w:val="en-AU"/>
        </w:rPr>
        <w:t xml:space="preserve"> have an existing relationship</w:t>
      </w:r>
      <w:r w:rsidR="00BF4CF0" w:rsidRPr="009B436C">
        <w:rPr>
          <w:rStyle w:val="apple-converted-space"/>
          <w:rFonts w:ascii="Times New Roman" w:hAnsi="Times New Roman" w:cs="Times New Roman"/>
          <w:color w:val="auto"/>
          <w:sz w:val="24"/>
          <w:szCs w:val="24"/>
          <w:lang w:val="en-AU"/>
        </w:rPr>
        <w:t xml:space="preserve"> (for example in the form of finance scams). </w:t>
      </w:r>
    </w:p>
    <w:p w:rsidR="00161970" w:rsidRDefault="00161970" w:rsidP="00D03570">
      <w:pPr>
        <w:pStyle w:val="Body"/>
        <w:spacing w:after="0" w:line="240" w:lineRule="auto"/>
        <w:jc w:val="both"/>
        <w:rPr>
          <w:rStyle w:val="apple-converted-space"/>
          <w:rFonts w:ascii="Times New Roman" w:hAnsi="Times New Roman" w:cs="Times New Roman"/>
          <w:sz w:val="24"/>
          <w:szCs w:val="24"/>
          <w:lang w:val="en-AU"/>
        </w:rPr>
      </w:pPr>
    </w:p>
    <w:p w:rsidR="00984665" w:rsidRPr="0005021D" w:rsidRDefault="009B2618" w:rsidP="00426BEF">
      <w:pPr>
        <w:pStyle w:val="Body"/>
        <w:pBdr>
          <w:top w:val="single" w:sz="4" w:space="1" w:color="auto"/>
          <w:left w:val="single" w:sz="4" w:space="1" w:color="auto"/>
          <w:bottom w:val="single" w:sz="4" w:space="1" w:color="auto"/>
          <w:right w:val="single" w:sz="4" w:space="1" w:color="auto"/>
        </w:pBdr>
        <w:shd w:val="clear" w:color="auto" w:fill="DEEAF6" w:themeFill="accent1" w:themeFillTint="33"/>
        <w:spacing w:after="0" w:line="240" w:lineRule="auto"/>
        <w:jc w:val="both"/>
        <w:rPr>
          <w:rFonts w:ascii="Times New Roman" w:hAnsi="Times New Roman" w:cs="Times New Roman"/>
          <w:color w:val="auto"/>
          <w:sz w:val="24"/>
          <w:szCs w:val="24"/>
          <w:lang w:val="en-AU"/>
        </w:rPr>
      </w:pPr>
      <w:r>
        <w:rPr>
          <w:rStyle w:val="apple-converted-space"/>
          <w:rFonts w:ascii="Times New Roman" w:hAnsi="Times New Roman" w:cs="Times New Roman"/>
          <w:b/>
          <w:sz w:val="24"/>
          <w:szCs w:val="24"/>
          <w:lang w:val="en-AU"/>
        </w:rPr>
        <w:t>Submission</w:t>
      </w:r>
      <w:r w:rsidR="00161970">
        <w:rPr>
          <w:rStyle w:val="apple-converted-space"/>
          <w:rFonts w:ascii="Times New Roman" w:hAnsi="Times New Roman" w:cs="Times New Roman"/>
          <w:sz w:val="24"/>
          <w:szCs w:val="24"/>
          <w:lang w:val="en-AU"/>
        </w:rPr>
        <w:t xml:space="preserve">: </w:t>
      </w:r>
      <w:r w:rsidR="00161970" w:rsidRPr="009B436C">
        <w:rPr>
          <w:rStyle w:val="apple-converted-space"/>
          <w:rFonts w:ascii="Times New Roman" w:hAnsi="Times New Roman" w:cs="Times New Roman"/>
          <w:color w:val="auto"/>
          <w:sz w:val="24"/>
          <w:szCs w:val="24"/>
          <w:lang w:val="en-AU"/>
        </w:rPr>
        <w:t>the definition of ‘elder abuse’ should not include an element of ‘trust’ as this narrow</w:t>
      </w:r>
      <w:r w:rsidR="00382E23">
        <w:rPr>
          <w:rStyle w:val="apple-converted-space"/>
          <w:rFonts w:ascii="Times New Roman" w:hAnsi="Times New Roman" w:cs="Times New Roman"/>
          <w:color w:val="auto"/>
          <w:sz w:val="24"/>
          <w:szCs w:val="24"/>
          <w:lang w:val="en-AU"/>
        </w:rPr>
        <w:t>s</w:t>
      </w:r>
      <w:r w:rsidR="00161970" w:rsidRPr="009B436C">
        <w:rPr>
          <w:rStyle w:val="apple-converted-space"/>
          <w:rFonts w:ascii="Times New Roman" w:hAnsi="Times New Roman" w:cs="Times New Roman"/>
          <w:color w:val="auto"/>
          <w:sz w:val="24"/>
          <w:szCs w:val="24"/>
          <w:lang w:val="en-AU"/>
        </w:rPr>
        <w:t xml:space="preserve"> the def</w:t>
      </w:r>
      <w:r w:rsidR="00161970">
        <w:rPr>
          <w:rStyle w:val="apple-converted-space"/>
          <w:rFonts w:ascii="Times New Roman" w:hAnsi="Times New Roman" w:cs="Times New Roman"/>
          <w:color w:val="auto"/>
          <w:sz w:val="24"/>
          <w:szCs w:val="24"/>
          <w:lang w:val="en-AU"/>
        </w:rPr>
        <w:t>inition of abuse unnecessarily</w:t>
      </w:r>
      <w:r w:rsidR="00382E23">
        <w:rPr>
          <w:rStyle w:val="apple-converted-space"/>
          <w:rFonts w:ascii="Times New Roman" w:hAnsi="Times New Roman" w:cs="Times New Roman"/>
          <w:color w:val="auto"/>
          <w:sz w:val="24"/>
          <w:szCs w:val="24"/>
          <w:lang w:val="en-AU"/>
        </w:rPr>
        <w:t>.</w:t>
      </w:r>
      <w:r w:rsidR="009D5A03">
        <w:rPr>
          <w:rStyle w:val="apple-converted-space"/>
          <w:rFonts w:ascii="Times New Roman" w:hAnsi="Times New Roman" w:cs="Times New Roman"/>
          <w:color w:val="auto"/>
          <w:sz w:val="24"/>
          <w:szCs w:val="24"/>
          <w:lang w:val="en-AU"/>
        </w:rPr>
        <w:t xml:space="preserve"> </w:t>
      </w:r>
      <w:r w:rsidR="009D5A03" w:rsidRPr="009B436C">
        <w:rPr>
          <w:rStyle w:val="apple-converted-space"/>
          <w:rFonts w:ascii="Times New Roman" w:hAnsi="Times New Roman" w:cs="Times New Roman"/>
          <w:color w:val="auto"/>
          <w:sz w:val="24"/>
          <w:szCs w:val="24"/>
          <w:lang w:val="en-AU"/>
        </w:rPr>
        <w:t xml:space="preserve">If an element of ‘trust’ is included in the definition then </w:t>
      </w:r>
      <w:r w:rsidR="009D5A03" w:rsidRPr="009B436C">
        <w:rPr>
          <w:rStyle w:val="apple-converted-space"/>
          <w:rFonts w:ascii="Times New Roman" w:hAnsi="Times New Roman" w:cs="Times New Roman"/>
          <w:sz w:val="24"/>
          <w:szCs w:val="24"/>
          <w:lang w:val="en-AU"/>
        </w:rPr>
        <w:t>it should be broadly interpreted to include pre-existing as well as new relationships.</w:t>
      </w:r>
    </w:p>
    <w:p w:rsidR="00C7294C" w:rsidRDefault="00C7294C">
      <w:pPr>
        <w:pStyle w:val="Body"/>
        <w:spacing w:after="0" w:line="240" w:lineRule="auto"/>
        <w:jc w:val="both"/>
        <w:rPr>
          <w:rFonts w:ascii="Times New Roman" w:eastAsia="Times New Roman" w:hAnsi="Times New Roman" w:cs="Times New Roman"/>
          <w:sz w:val="24"/>
          <w:szCs w:val="24"/>
          <w:lang w:val="en-AU"/>
        </w:rPr>
      </w:pPr>
    </w:p>
    <w:p w:rsidR="0056380A" w:rsidRPr="009B436C" w:rsidRDefault="0056380A">
      <w:pPr>
        <w:pStyle w:val="Body"/>
        <w:spacing w:after="0" w:line="240" w:lineRule="auto"/>
        <w:jc w:val="both"/>
        <w:rPr>
          <w:rFonts w:ascii="Times New Roman" w:eastAsia="Times New Roman" w:hAnsi="Times New Roman" w:cs="Times New Roman"/>
          <w:sz w:val="24"/>
          <w:szCs w:val="24"/>
          <w:lang w:val="en-AU"/>
        </w:rPr>
      </w:pPr>
    </w:p>
    <w:p w:rsidR="00C7294C" w:rsidRPr="009B436C" w:rsidRDefault="00333DA0">
      <w:pPr>
        <w:pStyle w:val="Body"/>
        <w:spacing w:after="0" w:line="240" w:lineRule="auto"/>
        <w:jc w:val="both"/>
        <w:rPr>
          <w:rStyle w:val="apple-converted-space"/>
          <w:rFonts w:ascii="Times New Roman" w:eastAsia="Times New Roman" w:hAnsi="Times New Roman" w:cs="Times New Roman"/>
          <w:sz w:val="24"/>
          <w:szCs w:val="24"/>
          <w:lang w:val="en-AU"/>
        </w:rPr>
      </w:pPr>
      <w:r>
        <w:rPr>
          <w:rStyle w:val="apple-converted-space"/>
          <w:rFonts w:ascii="Times New Roman" w:hAnsi="Times New Roman" w:cs="Times New Roman"/>
          <w:b/>
          <w:sz w:val="24"/>
          <w:szCs w:val="24"/>
          <w:lang w:val="en-AU"/>
        </w:rPr>
        <w:t xml:space="preserve">1.2 </w:t>
      </w:r>
      <w:r w:rsidR="00F62AD7" w:rsidRPr="009B436C">
        <w:rPr>
          <w:rStyle w:val="apple-converted-space"/>
          <w:rFonts w:ascii="Times New Roman" w:hAnsi="Times New Roman" w:cs="Times New Roman"/>
          <w:b/>
          <w:sz w:val="24"/>
          <w:szCs w:val="24"/>
          <w:lang w:val="en-AU"/>
        </w:rPr>
        <w:t xml:space="preserve">A </w:t>
      </w:r>
      <w:r w:rsidR="004552B0" w:rsidRPr="009B436C">
        <w:rPr>
          <w:rStyle w:val="apple-converted-space"/>
          <w:rFonts w:ascii="Times New Roman" w:hAnsi="Times New Roman" w:cs="Times New Roman"/>
          <w:b/>
          <w:bCs/>
          <w:sz w:val="24"/>
          <w:szCs w:val="24"/>
          <w:lang w:val="en-AU"/>
        </w:rPr>
        <w:t xml:space="preserve">human rights </w:t>
      </w:r>
      <w:r w:rsidR="00F62AD7" w:rsidRPr="009B436C">
        <w:rPr>
          <w:rStyle w:val="apple-converted-space"/>
          <w:rFonts w:ascii="Times New Roman" w:hAnsi="Times New Roman" w:cs="Times New Roman"/>
          <w:b/>
          <w:bCs/>
          <w:sz w:val="24"/>
          <w:szCs w:val="24"/>
          <w:lang w:val="en-AU"/>
        </w:rPr>
        <w:t xml:space="preserve">conceptual </w:t>
      </w:r>
      <w:r w:rsidR="004552B0" w:rsidRPr="009B436C">
        <w:rPr>
          <w:rStyle w:val="apple-converted-space"/>
          <w:rFonts w:ascii="Times New Roman" w:hAnsi="Times New Roman" w:cs="Times New Roman"/>
          <w:b/>
          <w:bCs/>
          <w:sz w:val="24"/>
          <w:szCs w:val="24"/>
          <w:lang w:val="en-AU"/>
        </w:rPr>
        <w:t>framework</w:t>
      </w:r>
      <w:r w:rsidR="00DF05AA" w:rsidRPr="009B436C">
        <w:rPr>
          <w:rStyle w:val="apple-converted-space"/>
          <w:rFonts w:ascii="Times New Roman" w:hAnsi="Times New Roman" w:cs="Times New Roman"/>
          <w:sz w:val="24"/>
          <w:szCs w:val="24"/>
          <w:lang w:val="en-AU"/>
        </w:rPr>
        <w:t xml:space="preserve"> </w:t>
      </w:r>
    </w:p>
    <w:p w:rsidR="007D62B1" w:rsidRPr="009B436C" w:rsidRDefault="00CD1E43" w:rsidP="00470EFD">
      <w:pPr>
        <w:pStyle w:val="Body"/>
        <w:spacing w:after="0" w:line="240" w:lineRule="auto"/>
        <w:jc w:val="both"/>
        <w:rPr>
          <w:rStyle w:val="apple-converted-space"/>
          <w:rFonts w:ascii="Times New Roman" w:hAnsi="Times New Roman" w:cs="Times New Roman"/>
          <w:sz w:val="24"/>
          <w:szCs w:val="24"/>
          <w:lang w:val="en-AU"/>
        </w:rPr>
      </w:pPr>
      <w:r>
        <w:rPr>
          <w:rFonts w:ascii="Times New Roman" w:hAnsi="Times New Roman" w:cs="Times New Roman"/>
          <w:color w:val="auto"/>
          <w:sz w:val="24"/>
          <w:szCs w:val="24"/>
          <w:lang w:val="en-AU"/>
        </w:rPr>
        <w:t xml:space="preserve">Absent </w:t>
      </w:r>
      <w:r w:rsidR="00DA765F" w:rsidRPr="009B436C">
        <w:rPr>
          <w:rFonts w:ascii="Times New Roman" w:hAnsi="Times New Roman" w:cs="Times New Roman"/>
          <w:color w:val="auto"/>
          <w:sz w:val="24"/>
          <w:szCs w:val="24"/>
          <w:lang w:val="en-AU"/>
        </w:rPr>
        <w:t>a dedicated international convention</w:t>
      </w:r>
      <w:r w:rsidR="00DA765F" w:rsidRPr="009B436C">
        <w:rPr>
          <w:rStyle w:val="apple-converted-space"/>
          <w:rFonts w:ascii="Times New Roman" w:hAnsi="Times New Roman" w:cs="Times New Roman"/>
          <w:sz w:val="24"/>
          <w:szCs w:val="24"/>
          <w:lang w:val="en-AU"/>
        </w:rPr>
        <w:t>,</w:t>
      </w:r>
      <w:r w:rsidR="00AB59BA" w:rsidRPr="009B436C">
        <w:rPr>
          <w:rStyle w:val="apple-converted-space"/>
          <w:rFonts w:ascii="Times New Roman" w:hAnsi="Times New Roman" w:cs="Times New Roman"/>
          <w:sz w:val="24"/>
          <w:szCs w:val="24"/>
          <w:lang w:val="en-AU"/>
        </w:rPr>
        <w:t xml:space="preserve"> </w:t>
      </w:r>
      <w:r w:rsidR="00790C3B" w:rsidRPr="009B436C">
        <w:rPr>
          <w:rStyle w:val="apple-converted-space"/>
          <w:rFonts w:ascii="Times New Roman" w:hAnsi="Times New Roman" w:cs="Times New Roman"/>
          <w:sz w:val="24"/>
          <w:szCs w:val="24"/>
          <w:lang w:val="en-AU"/>
        </w:rPr>
        <w:t xml:space="preserve">the rights of older persons are protected in a </w:t>
      </w:r>
      <w:r w:rsidR="00DA765F" w:rsidRPr="009B436C">
        <w:rPr>
          <w:rStyle w:val="apple-converted-space"/>
          <w:rFonts w:ascii="Times New Roman" w:hAnsi="Times New Roman" w:cs="Times New Roman"/>
          <w:sz w:val="24"/>
          <w:szCs w:val="24"/>
          <w:lang w:val="en-AU"/>
        </w:rPr>
        <w:t>number</w:t>
      </w:r>
      <w:r w:rsidR="00790C3B" w:rsidRPr="009B436C">
        <w:rPr>
          <w:rStyle w:val="apple-converted-space"/>
          <w:rFonts w:ascii="Times New Roman" w:hAnsi="Times New Roman" w:cs="Times New Roman"/>
          <w:sz w:val="24"/>
          <w:szCs w:val="24"/>
          <w:lang w:val="en-AU"/>
        </w:rPr>
        <w:t xml:space="preserve"> of </w:t>
      </w:r>
      <w:r w:rsidR="00DA765F" w:rsidRPr="009B436C">
        <w:rPr>
          <w:rStyle w:val="apple-converted-space"/>
          <w:rFonts w:ascii="Times New Roman" w:hAnsi="Times New Roman" w:cs="Times New Roman"/>
          <w:sz w:val="24"/>
          <w:szCs w:val="24"/>
          <w:lang w:val="en-AU"/>
        </w:rPr>
        <w:t xml:space="preserve">existing </w:t>
      </w:r>
      <w:r w:rsidR="00790C3B" w:rsidRPr="009B436C">
        <w:rPr>
          <w:rStyle w:val="apple-converted-space"/>
          <w:rFonts w:ascii="Times New Roman" w:hAnsi="Times New Roman" w:cs="Times New Roman"/>
          <w:sz w:val="24"/>
          <w:szCs w:val="24"/>
          <w:lang w:val="en-AU"/>
        </w:rPr>
        <w:t xml:space="preserve">international human rights instruments, </w:t>
      </w:r>
      <w:r w:rsidR="00790C3B" w:rsidRPr="009B436C">
        <w:rPr>
          <w:rFonts w:ascii="Times New Roman" w:hAnsi="Times New Roman" w:cs="Times New Roman"/>
          <w:color w:val="auto"/>
          <w:sz w:val="24"/>
          <w:szCs w:val="24"/>
          <w:lang w:val="en-AU"/>
        </w:rPr>
        <w:t xml:space="preserve">such as the </w:t>
      </w:r>
      <w:r w:rsidR="00790C3B" w:rsidRPr="009B436C">
        <w:rPr>
          <w:rFonts w:ascii="Times New Roman" w:hAnsi="Times New Roman" w:cs="Times New Roman"/>
          <w:i/>
          <w:color w:val="auto"/>
          <w:sz w:val="24"/>
          <w:szCs w:val="24"/>
          <w:lang w:val="en-AU"/>
        </w:rPr>
        <w:t xml:space="preserve">International Covenant on </w:t>
      </w:r>
      <w:proofErr w:type="gramStart"/>
      <w:r w:rsidR="00790C3B" w:rsidRPr="009B436C">
        <w:rPr>
          <w:rFonts w:ascii="Times New Roman" w:hAnsi="Times New Roman" w:cs="Times New Roman"/>
          <w:i/>
          <w:color w:val="auto"/>
          <w:sz w:val="24"/>
          <w:szCs w:val="24"/>
          <w:lang w:val="en-AU"/>
        </w:rPr>
        <w:t>Economic,</w:t>
      </w:r>
      <w:proofErr w:type="gramEnd"/>
      <w:r w:rsidR="00790C3B" w:rsidRPr="009B436C">
        <w:rPr>
          <w:rFonts w:ascii="Times New Roman" w:hAnsi="Times New Roman" w:cs="Times New Roman"/>
          <w:i/>
          <w:color w:val="auto"/>
          <w:sz w:val="24"/>
          <w:szCs w:val="24"/>
          <w:lang w:val="en-AU"/>
        </w:rPr>
        <w:t xml:space="preserve"> Social and Cultural Rights</w:t>
      </w:r>
      <w:r w:rsidR="00790C3B" w:rsidRPr="009B436C">
        <w:rPr>
          <w:rFonts w:ascii="Times New Roman" w:hAnsi="Times New Roman" w:cs="Times New Roman"/>
          <w:color w:val="auto"/>
          <w:sz w:val="24"/>
          <w:szCs w:val="24"/>
          <w:lang w:val="en-AU"/>
        </w:rPr>
        <w:t xml:space="preserve"> </w:t>
      </w:r>
      <w:r w:rsidR="00DA765F" w:rsidRPr="009B436C">
        <w:rPr>
          <w:rFonts w:ascii="Times New Roman" w:hAnsi="Times New Roman" w:cs="Times New Roman"/>
          <w:color w:val="auto"/>
          <w:sz w:val="24"/>
          <w:szCs w:val="24"/>
          <w:lang w:val="en-AU"/>
        </w:rPr>
        <w:t xml:space="preserve">(ICESCR) </w:t>
      </w:r>
      <w:r w:rsidR="00790C3B" w:rsidRPr="009B436C">
        <w:rPr>
          <w:rFonts w:ascii="Times New Roman" w:hAnsi="Times New Roman" w:cs="Times New Roman"/>
          <w:color w:val="auto"/>
          <w:sz w:val="24"/>
          <w:szCs w:val="24"/>
          <w:lang w:val="en-AU"/>
        </w:rPr>
        <w:t xml:space="preserve">and the </w:t>
      </w:r>
      <w:r w:rsidR="00790C3B" w:rsidRPr="009B436C">
        <w:rPr>
          <w:rFonts w:ascii="Times New Roman" w:hAnsi="Times New Roman" w:cs="Times New Roman"/>
          <w:i/>
          <w:color w:val="auto"/>
          <w:sz w:val="24"/>
          <w:szCs w:val="24"/>
          <w:lang w:val="en-AU"/>
        </w:rPr>
        <w:t>International Covenant on Civil and Political Rights</w:t>
      </w:r>
      <w:r w:rsidR="00DA765F" w:rsidRPr="009B436C">
        <w:rPr>
          <w:rFonts w:ascii="Times New Roman" w:hAnsi="Times New Roman" w:cs="Times New Roman"/>
          <w:i/>
          <w:color w:val="auto"/>
          <w:sz w:val="24"/>
          <w:szCs w:val="24"/>
          <w:lang w:val="en-AU"/>
        </w:rPr>
        <w:t xml:space="preserve"> </w:t>
      </w:r>
      <w:r w:rsidR="00DA765F" w:rsidRPr="009B436C">
        <w:rPr>
          <w:rFonts w:ascii="Times New Roman" w:hAnsi="Times New Roman" w:cs="Times New Roman"/>
          <w:color w:val="auto"/>
          <w:sz w:val="24"/>
          <w:szCs w:val="24"/>
          <w:lang w:val="en-AU"/>
        </w:rPr>
        <w:t xml:space="preserve">(ICCPR), as </w:t>
      </w:r>
      <w:r w:rsidR="0029746B" w:rsidRPr="009B436C">
        <w:rPr>
          <w:rFonts w:ascii="Times New Roman" w:hAnsi="Times New Roman" w:cs="Times New Roman"/>
          <w:color w:val="auto"/>
          <w:sz w:val="24"/>
          <w:szCs w:val="24"/>
          <w:lang w:val="en-AU"/>
        </w:rPr>
        <w:t xml:space="preserve">DP 83 </w:t>
      </w:r>
      <w:r w:rsidR="00DA765F" w:rsidRPr="009B436C">
        <w:rPr>
          <w:rFonts w:ascii="Times New Roman" w:hAnsi="Times New Roman" w:cs="Times New Roman"/>
          <w:color w:val="auto"/>
          <w:sz w:val="24"/>
          <w:szCs w:val="24"/>
          <w:lang w:val="en-AU"/>
        </w:rPr>
        <w:t>notes</w:t>
      </w:r>
      <w:r w:rsidR="00790C3B" w:rsidRPr="009B436C">
        <w:rPr>
          <w:rStyle w:val="apple-converted-space"/>
          <w:rFonts w:ascii="Times New Roman" w:hAnsi="Times New Roman" w:cs="Times New Roman"/>
          <w:sz w:val="24"/>
          <w:szCs w:val="24"/>
          <w:lang w:val="en-AU"/>
        </w:rPr>
        <w:t>.</w:t>
      </w:r>
      <w:r w:rsidR="009874C8" w:rsidRPr="009874C8">
        <w:rPr>
          <w:rStyle w:val="FootnoteReference"/>
          <w:rFonts w:ascii="Times New Roman" w:hAnsi="Times New Roman" w:cs="Times New Roman"/>
          <w:bCs/>
          <w:sz w:val="24"/>
          <w:szCs w:val="24"/>
          <w:lang w:val="en-AU"/>
        </w:rPr>
        <w:footnoteReference w:id="4"/>
      </w:r>
      <w:r w:rsidR="00790C3B" w:rsidRPr="009B436C">
        <w:rPr>
          <w:rStyle w:val="apple-converted-space"/>
          <w:rFonts w:ascii="Times New Roman" w:hAnsi="Times New Roman" w:cs="Times New Roman"/>
          <w:sz w:val="24"/>
          <w:szCs w:val="24"/>
          <w:lang w:val="en-AU"/>
        </w:rPr>
        <w:t xml:space="preserve"> </w:t>
      </w:r>
      <w:r w:rsidR="00DA765F" w:rsidRPr="009B436C">
        <w:rPr>
          <w:rStyle w:val="apple-converted-space"/>
          <w:rFonts w:ascii="Times New Roman" w:hAnsi="Times New Roman" w:cs="Times New Roman"/>
          <w:sz w:val="24"/>
          <w:szCs w:val="24"/>
          <w:lang w:val="en-AU"/>
        </w:rPr>
        <w:t xml:space="preserve">Under these laws, Australia is obliged to ensure that the rights of older people are respected, protected and fulfilled. </w:t>
      </w:r>
      <w:r w:rsidR="008E5E7E" w:rsidRPr="009B436C">
        <w:rPr>
          <w:rFonts w:ascii="Times New Roman" w:hAnsi="Times New Roman" w:cs="Times New Roman"/>
          <w:color w:val="auto"/>
          <w:sz w:val="24"/>
          <w:szCs w:val="24"/>
          <w:u w:color="595959"/>
          <w:lang w:val="en-AU"/>
        </w:rPr>
        <w:t xml:space="preserve">These </w:t>
      </w:r>
      <w:r w:rsidR="00DA765F" w:rsidRPr="009B436C">
        <w:rPr>
          <w:rFonts w:ascii="Times New Roman" w:hAnsi="Times New Roman" w:cs="Times New Roman"/>
          <w:color w:val="auto"/>
          <w:sz w:val="24"/>
          <w:szCs w:val="24"/>
          <w:u w:color="595959"/>
          <w:lang w:val="en-AU"/>
        </w:rPr>
        <w:t xml:space="preserve">laws and </w:t>
      </w:r>
      <w:r w:rsidR="008E5E7E" w:rsidRPr="009B436C">
        <w:rPr>
          <w:rFonts w:ascii="Times New Roman" w:hAnsi="Times New Roman" w:cs="Times New Roman"/>
          <w:color w:val="auto"/>
          <w:sz w:val="24"/>
          <w:szCs w:val="24"/>
          <w:u w:color="595959"/>
          <w:lang w:val="en-AU"/>
        </w:rPr>
        <w:t>principles have implications for a number</w:t>
      </w:r>
      <w:r w:rsidR="00790C3B" w:rsidRPr="009B436C">
        <w:rPr>
          <w:rFonts w:ascii="Times New Roman" w:hAnsi="Times New Roman" w:cs="Times New Roman"/>
          <w:color w:val="auto"/>
          <w:sz w:val="24"/>
          <w:szCs w:val="24"/>
          <w:u w:color="595959"/>
          <w:lang w:val="en-AU"/>
        </w:rPr>
        <w:t xml:space="preserve"> of key</w:t>
      </w:r>
      <w:r w:rsidR="008E5E7E" w:rsidRPr="009B436C">
        <w:rPr>
          <w:rFonts w:ascii="Times New Roman" w:hAnsi="Times New Roman" w:cs="Times New Roman"/>
          <w:color w:val="auto"/>
          <w:sz w:val="24"/>
          <w:szCs w:val="24"/>
          <w:u w:color="595959"/>
          <w:lang w:val="en-AU"/>
        </w:rPr>
        <w:t xml:space="preserve"> policy areas relating to older persons, including </w:t>
      </w:r>
      <w:r w:rsidR="007D62B1" w:rsidRPr="009B436C">
        <w:rPr>
          <w:rFonts w:ascii="Times New Roman" w:hAnsi="Times New Roman" w:cs="Times New Roman"/>
          <w:color w:val="auto"/>
          <w:sz w:val="24"/>
          <w:szCs w:val="24"/>
          <w:u w:color="595959"/>
          <w:lang w:val="en-AU"/>
        </w:rPr>
        <w:t>the assessment of capacity to make specific decisions</w:t>
      </w:r>
      <w:r w:rsidR="00790C3B" w:rsidRPr="009B436C">
        <w:rPr>
          <w:rFonts w:ascii="Times New Roman" w:hAnsi="Times New Roman" w:cs="Times New Roman"/>
          <w:color w:val="auto"/>
          <w:sz w:val="24"/>
          <w:szCs w:val="24"/>
          <w:u w:color="595959"/>
          <w:lang w:val="en-AU"/>
        </w:rPr>
        <w:t xml:space="preserve">. They represent important standards applying to issues such as </w:t>
      </w:r>
      <w:r w:rsidR="007D62B1" w:rsidRPr="009B436C">
        <w:rPr>
          <w:rFonts w:ascii="Times New Roman" w:hAnsi="Times New Roman" w:cs="Times New Roman"/>
          <w:color w:val="auto"/>
          <w:sz w:val="24"/>
          <w:szCs w:val="24"/>
          <w:u w:color="595959"/>
          <w:lang w:val="en-AU"/>
        </w:rPr>
        <w:t>driving, housing, estate planning, the provision of healthcare, end of life and palliative care, and financial management.</w:t>
      </w:r>
      <w:r w:rsidR="00E86EEA" w:rsidRPr="009B436C">
        <w:rPr>
          <w:rStyle w:val="apple-converted-space"/>
          <w:rFonts w:ascii="Times New Roman" w:hAnsi="Times New Roman" w:cs="Times New Roman"/>
          <w:sz w:val="24"/>
          <w:szCs w:val="24"/>
          <w:lang w:val="en-AU"/>
        </w:rPr>
        <w:t xml:space="preserve"> </w:t>
      </w:r>
    </w:p>
    <w:p w:rsidR="007D62B1" w:rsidRPr="009B436C" w:rsidRDefault="007D62B1" w:rsidP="00885195">
      <w:pPr>
        <w:pStyle w:val="Body"/>
        <w:spacing w:after="0" w:line="240" w:lineRule="auto"/>
        <w:jc w:val="both"/>
        <w:rPr>
          <w:rStyle w:val="apple-converted-space"/>
          <w:rFonts w:ascii="Times New Roman" w:hAnsi="Times New Roman" w:cs="Times New Roman"/>
          <w:sz w:val="24"/>
          <w:szCs w:val="24"/>
          <w:lang w:val="en-AU"/>
        </w:rPr>
      </w:pPr>
    </w:p>
    <w:p w:rsidR="00C7294C" w:rsidRPr="009B436C" w:rsidRDefault="00DA765F" w:rsidP="008A5B99">
      <w:pPr>
        <w:pStyle w:val="Body"/>
        <w:spacing w:after="0" w:line="240" w:lineRule="auto"/>
        <w:jc w:val="both"/>
        <w:rPr>
          <w:rStyle w:val="apple-converted-space"/>
          <w:rFonts w:ascii="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E</w:t>
      </w:r>
      <w:r w:rsidR="00DF05AA" w:rsidRPr="009B436C">
        <w:rPr>
          <w:rStyle w:val="apple-converted-space"/>
          <w:rFonts w:ascii="Times New Roman" w:hAnsi="Times New Roman" w:cs="Times New Roman"/>
          <w:sz w:val="24"/>
          <w:szCs w:val="24"/>
          <w:lang w:val="en-AU"/>
        </w:rPr>
        <w:t xml:space="preserve">lder abuse can represent a violation of a wide range of human rights, including the rights to security of the person (ICCPR art 9), to freedom from cruel or degrading treatment (ICCPR art 7), to freedom of movement, including freedom to choose one's place of residence (ICCPR art 12) and to an adequate standard of living (ICESCR art 11). Ageism more generally impinges upon older persons' rights to work (and particularly to gain a living by work of their choosing - ICESCR art 6); access to justice and equality before the law (ICCPR art 26); </w:t>
      </w:r>
      <w:r w:rsidR="00752037">
        <w:rPr>
          <w:rStyle w:val="apple-converted-space"/>
          <w:rFonts w:ascii="Times New Roman" w:hAnsi="Times New Roman" w:cs="Times New Roman"/>
          <w:sz w:val="24"/>
          <w:szCs w:val="24"/>
          <w:lang w:val="en-AU"/>
        </w:rPr>
        <w:t xml:space="preserve">and </w:t>
      </w:r>
      <w:r w:rsidR="00DF05AA" w:rsidRPr="009B436C">
        <w:rPr>
          <w:rStyle w:val="apple-converted-space"/>
          <w:rFonts w:ascii="Times New Roman" w:hAnsi="Times New Roman" w:cs="Times New Roman"/>
          <w:sz w:val="24"/>
          <w:szCs w:val="24"/>
          <w:lang w:val="en-AU"/>
        </w:rPr>
        <w:t>the ri</w:t>
      </w:r>
      <w:r w:rsidR="000F4E0A" w:rsidRPr="009B436C">
        <w:rPr>
          <w:rStyle w:val="apple-converted-space"/>
          <w:rFonts w:ascii="Times New Roman" w:hAnsi="Times New Roman" w:cs="Times New Roman"/>
          <w:sz w:val="24"/>
          <w:szCs w:val="24"/>
          <w:lang w:val="en-AU"/>
        </w:rPr>
        <w:t xml:space="preserve">ght to health (ICESCR art 12). </w:t>
      </w:r>
      <w:r w:rsidR="00DF05AA" w:rsidRPr="009B436C">
        <w:rPr>
          <w:rStyle w:val="apple-converted-space"/>
          <w:rFonts w:ascii="Times New Roman" w:hAnsi="Times New Roman" w:cs="Times New Roman"/>
          <w:sz w:val="24"/>
          <w:szCs w:val="24"/>
          <w:lang w:val="en-AU"/>
        </w:rPr>
        <w:t xml:space="preserve">Other rights </w:t>
      </w:r>
      <w:r w:rsidR="001A78D8" w:rsidRPr="009B436C">
        <w:rPr>
          <w:rStyle w:val="apple-converted-space"/>
          <w:rFonts w:ascii="Times New Roman" w:hAnsi="Times New Roman" w:cs="Times New Roman"/>
          <w:sz w:val="24"/>
          <w:szCs w:val="24"/>
          <w:lang w:val="en-AU"/>
        </w:rPr>
        <w:t xml:space="preserve">that </w:t>
      </w:r>
      <w:r w:rsidR="00DF05AA" w:rsidRPr="009B436C">
        <w:rPr>
          <w:rStyle w:val="apple-converted-space"/>
          <w:rFonts w:ascii="Times New Roman" w:hAnsi="Times New Roman" w:cs="Times New Roman"/>
          <w:sz w:val="24"/>
          <w:szCs w:val="24"/>
          <w:lang w:val="en-AU"/>
        </w:rPr>
        <w:t xml:space="preserve">are pertinent in this respect include the right to social security, which obliges the government to provide adequate support for persons to enable them </w:t>
      </w:r>
      <w:r w:rsidR="00DF05AA" w:rsidRPr="009B436C">
        <w:rPr>
          <w:rStyle w:val="apple-converted-space"/>
          <w:rFonts w:ascii="Times New Roman" w:hAnsi="Times New Roman" w:cs="Times New Roman"/>
          <w:sz w:val="24"/>
          <w:szCs w:val="24"/>
          <w:lang w:val="en-AU"/>
        </w:rPr>
        <w:lastRenderedPageBreak/>
        <w:t>to live a life of dignity (ICESCR art 9) and the right to privacy (ICCPR art 17) which must be respected in any measures taken to protect older p</w:t>
      </w:r>
      <w:r w:rsidR="000F4E0A" w:rsidRPr="009B436C">
        <w:rPr>
          <w:rStyle w:val="apple-converted-space"/>
          <w:rFonts w:ascii="Times New Roman" w:hAnsi="Times New Roman" w:cs="Times New Roman"/>
          <w:sz w:val="24"/>
          <w:szCs w:val="24"/>
          <w:lang w:val="en-AU"/>
        </w:rPr>
        <w:t xml:space="preserve">ersons or address elder abuse. </w:t>
      </w:r>
    </w:p>
    <w:p w:rsidR="00C7294C" w:rsidRPr="009B436C" w:rsidRDefault="00C7294C">
      <w:pPr>
        <w:pStyle w:val="Body"/>
        <w:spacing w:after="0" w:line="240" w:lineRule="auto"/>
        <w:jc w:val="both"/>
        <w:rPr>
          <w:rStyle w:val="apple-converted-space"/>
          <w:rFonts w:ascii="Times New Roman" w:eastAsia="Times New Roman" w:hAnsi="Times New Roman" w:cs="Times New Roman"/>
          <w:sz w:val="24"/>
          <w:szCs w:val="24"/>
          <w:lang w:val="en-AU"/>
        </w:rPr>
      </w:pPr>
    </w:p>
    <w:p w:rsidR="00C7294C" w:rsidRPr="009B436C" w:rsidRDefault="00DF05AA" w:rsidP="00295935">
      <w:pPr>
        <w:pStyle w:val="Body"/>
        <w:spacing w:after="0" w:line="240" w:lineRule="auto"/>
        <w:jc w:val="both"/>
        <w:rPr>
          <w:rStyle w:val="apple-converted-space"/>
          <w:rFonts w:ascii="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 xml:space="preserve">Human </w:t>
      </w:r>
      <w:proofErr w:type="gramStart"/>
      <w:r w:rsidRPr="009B436C">
        <w:rPr>
          <w:rStyle w:val="apple-converted-space"/>
          <w:rFonts w:ascii="Times New Roman" w:hAnsi="Times New Roman" w:cs="Times New Roman"/>
          <w:sz w:val="24"/>
          <w:szCs w:val="24"/>
          <w:lang w:val="en-AU"/>
        </w:rPr>
        <w:t xml:space="preserve">rights provide a useful way of understanding the range of impacts and vulnerabilities </w:t>
      </w:r>
      <w:r w:rsidR="001A78D8" w:rsidRPr="009B436C">
        <w:rPr>
          <w:rStyle w:val="apple-converted-space"/>
          <w:rFonts w:ascii="Times New Roman" w:hAnsi="Times New Roman" w:cs="Times New Roman"/>
          <w:sz w:val="24"/>
          <w:szCs w:val="24"/>
          <w:lang w:val="en-AU"/>
        </w:rPr>
        <w:t xml:space="preserve">that </w:t>
      </w:r>
      <w:r w:rsidRPr="009B436C">
        <w:rPr>
          <w:rStyle w:val="apple-converted-space"/>
          <w:rFonts w:ascii="Times New Roman" w:hAnsi="Times New Roman" w:cs="Times New Roman"/>
          <w:sz w:val="24"/>
          <w:szCs w:val="24"/>
          <w:lang w:val="en-AU"/>
        </w:rPr>
        <w:t>are experienced by older persons, and offers</w:t>
      </w:r>
      <w:proofErr w:type="gramEnd"/>
      <w:r w:rsidRPr="009B436C">
        <w:rPr>
          <w:rStyle w:val="apple-converted-space"/>
          <w:rFonts w:ascii="Times New Roman" w:hAnsi="Times New Roman" w:cs="Times New Roman"/>
          <w:sz w:val="24"/>
          <w:szCs w:val="24"/>
          <w:lang w:val="en-AU"/>
        </w:rPr>
        <w:t xml:space="preserve"> a language for describing the</w:t>
      </w:r>
      <w:r w:rsidR="00B62220">
        <w:rPr>
          <w:rStyle w:val="apple-converted-space"/>
          <w:rFonts w:ascii="Times New Roman" w:hAnsi="Times New Roman" w:cs="Times New Roman"/>
          <w:sz w:val="24"/>
          <w:szCs w:val="24"/>
          <w:lang w:val="en-AU"/>
        </w:rPr>
        <w:t xml:space="preserve"> harm inherent in elder abuse.</w:t>
      </w:r>
      <w:r w:rsidR="00DA765F" w:rsidRPr="009B436C">
        <w:rPr>
          <w:rStyle w:val="apple-converted-space"/>
          <w:rFonts w:ascii="Times New Roman" w:hAnsi="Times New Roman" w:cs="Times New Roman"/>
          <w:sz w:val="24"/>
          <w:szCs w:val="24"/>
          <w:lang w:val="en-AU"/>
        </w:rPr>
        <w:t xml:space="preserve"> </w:t>
      </w:r>
      <w:r w:rsidRPr="009B436C">
        <w:rPr>
          <w:rStyle w:val="apple-converted-space"/>
          <w:rFonts w:ascii="Times New Roman" w:hAnsi="Times New Roman" w:cs="Times New Roman"/>
          <w:sz w:val="24"/>
          <w:szCs w:val="24"/>
          <w:lang w:val="en-AU"/>
        </w:rPr>
        <w:t>Following a human rights-based approach to elder abuse, it is clear that at all times the basic dignity and autonomy of individuals must be respected, and an older person's freedom to make decisions for himself or herself must be supported.</w:t>
      </w:r>
      <w:r w:rsidR="00CD1E43">
        <w:rPr>
          <w:rStyle w:val="apple-converted-space"/>
          <w:rFonts w:ascii="Times New Roman" w:hAnsi="Times New Roman" w:cs="Times New Roman"/>
          <w:sz w:val="24"/>
          <w:szCs w:val="24"/>
          <w:lang w:val="en-AU"/>
        </w:rPr>
        <w:t xml:space="preserve"> </w:t>
      </w:r>
      <w:r w:rsidRPr="009B436C">
        <w:rPr>
          <w:rStyle w:val="apple-converted-space"/>
          <w:rFonts w:ascii="Times New Roman" w:hAnsi="Times New Roman" w:cs="Times New Roman"/>
          <w:sz w:val="24"/>
          <w:szCs w:val="24"/>
          <w:lang w:val="en-AU"/>
        </w:rPr>
        <w:t xml:space="preserve">It should be noted </w:t>
      </w:r>
      <w:r w:rsidR="00DA765F" w:rsidRPr="009B436C">
        <w:rPr>
          <w:rStyle w:val="apple-converted-space"/>
          <w:rFonts w:ascii="Times New Roman" w:hAnsi="Times New Roman" w:cs="Times New Roman"/>
          <w:sz w:val="24"/>
          <w:szCs w:val="24"/>
          <w:lang w:val="en-AU"/>
        </w:rPr>
        <w:t xml:space="preserve">however </w:t>
      </w:r>
      <w:r w:rsidRPr="009B436C">
        <w:rPr>
          <w:rStyle w:val="apple-converted-space"/>
          <w:rFonts w:ascii="Times New Roman" w:hAnsi="Times New Roman" w:cs="Times New Roman"/>
          <w:sz w:val="24"/>
          <w:szCs w:val="24"/>
          <w:lang w:val="en-AU"/>
        </w:rPr>
        <w:t xml:space="preserve">that, while human rights principles provide a useful and appropriate normative framework for conceptualising the problem of elder abuse, human rights are not currently well-protected in Australian domestic law. This means that there is limited potential for individuals to enforce their rights in this area, particularly through legal action. We would argue that to be truly effective and meaningful, a rights-based approach to elder abuse and supporting older persons ought to encompass the legal protection of human rights within Australian law, and not just the use </w:t>
      </w:r>
      <w:r w:rsidR="00CB5A80">
        <w:rPr>
          <w:rStyle w:val="apple-converted-space"/>
          <w:rFonts w:ascii="Times New Roman" w:hAnsi="Times New Roman" w:cs="Times New Roman"/>
          <w:sz w:val="24"/>
          <w:szCs w:val="24"/>
          <w:lang w:val="en-AU"/>
        </w:rPr>
        <w:t xml:space="preserve">of </w:t>
      </w:r>
      <w:r w:rsidRPr="009B436C">
        <w:rPr>
          <w:rStyle w:val="apple-converted-space"/>
          <w:rFonts w:ascii="Times New Roman" w:hAnsi="Times New Roman" w:cs="Times New Roman"/>
          <w:sz w:val="24"/>
          <w:szCs w:val="24"/>
          <w:lang w:val="en-AU"/>
        </w:rPr>
        <w:t>human rights norms as guiding principles. This would ensure that where a violation of human rights occurs there is a remedy availab</w:t>
      </w:r>
      <w:r w:rsidR="000F4E0A" w:rsidRPr="009B436C">
        <w:rPr>
          <w:rStyle w:val="apple-converted-space"/>
          <w:rFonts w:ascii="Times New Roman" w:hAnsi="Times New Roman" w:cs="Times New Roman"/>
          <w:sz w:val="24"/>
          <w:szCs w:val="24"/>
          <w:lang w:val="en-AU"/>
        </w:rPr>
        <w:t>le to the injured individual.</w:t>
      </w:r>
    </w:p>
    <w:p w:rsidR="00177DDF" w:rsidRPr="009B436C" w:rsidRDefault="00177DDF" w:rsidP="00295935">
      <w:pPr>
        <w:pStyle w:val="Body"/>
        <w:spacing w:after="0" w:line="240" w:lineRule="auto"/>
        <w:jc w:val="both"/>
        <w:rPr>
          <w:rStyle w:val="apple-converted-space"/>
          <w:rFonts w:ascii="Times New Roman" w:hAnsi="Times New Roman" w:cs="Times New Roman"/>
          <w:sz w:val="24"/>
          <w:szCs w:val="24"/>
          <w:lang w:val="en-AU"/>
        </w:rPr>
      </w:pPr>
    </w:p>
    <w:p w:rsidR="00B104A3" w:rsidRPr="009B436C" w:rsidRDefault="001F1C6D" w:rsidP="00B104A3">
      <w:pPr>
        <w:jc w:val="both"/>
        <w:rPr>
          <w:lang w:val="en-AU"/>
        </w:rPr>
      </w:pPr>
      <w:r w:rsidRPr="009B436C">
        <w:rPr>
          <w:lang w:val="en-AU"/>
        </w:rPr>
        <w:t>A</w:t>
      </w:r>
      <w:r w:rsidR="009B6B8D" w:rsidRPr="009B436C">
        <w:rPr>
          <w:lang w:val="en-AU"/>
        </w:rPr>
        <w:t>ustralia has participated in</w:t>
      </w:r>
      <w:r w:rsidR="0016710C">
        <w:rPr>
          <w:lang w:val="en-AU"/>
        </w:rPr>
        <w:t>,</w:t>
      </w:r>
      <w:r w:rsidR="009B6B8D" w:rsidRPr="009B436C">
        <w:rPr>
          <w:lang w:val="en-AU"/>
        </w:rPr>
        <w:t xml:space="preserve"> and is signatory to</w:t>
      </w:r>
      <w:r w:rsidR="0016710C">
        <w:rPr>
          <w:lang w:val="en-AU"/>
        </w:rPr>
        <w:t>,</w:t>
      </w:r>
      <w:r w:rsidR="009B6B8D" w:rsidRPr="009B436C">
        <w:rPr>
          <w:lang w:val="en-AU"/>
        </w:rPr>
        <w:t xml:space="preserve"> a number of “soft law” instruments relating to the rights of older persons</w:t>
      </w:r>
      <w:r w:rsidRPr="009B436C">
        <w:rPr>
          <w:lang w:val="en-AU"/>
        </w:rPr>
        <w:t xml:space="preserve"> which can provide important guidance in developing domestic law </w:t>
      </w:r>
      <w:r w:rsidR="00395BD4">
        <w:rPr>
          <w:lang w:val="en-AU"/>
        </w:rPr>
        <w:t xml:space="preserve">which </w:t>
      </w:r>
      <w:r w:rsidRPr="009B436C">
        <w:rPr>
          <w:lang w:val="en-AU"/>
        </w:rPr>
        <w:t>is consistent</w:t>
      </w:r>
      <w:r w:rsidR="00B62220">
        <w:rPr>
          <w:lang w:val="en-AU"/>
        </w:rPr>
        <w:t xml:space="preserve"> with human rights principles. </w:t>
      </w:r>
      <w:r w:rsidRPr="009B436C">
        <w:rPr>
          <w:lang w:val="en-AU"/>
        </w:rPr>
        <w:t>These instruments include the</w:t>
      </w:r>
      <w:r w:rsidR="009B6B8D" w:rsidRPr="009B436C">
        <w:rPr>
          <w:i/>
          <w:lang w:val="en-AU"/>
        </w:rPr>
        <w:t xml:space="preserve"> Vienna International Plan of Action and Ageing</w:t>
      </w:r>
      <w:r w:rsidRPr="009B436C">
        <w:rPr>
          <w:lang w:val="en-AU"/>
        </w:rPr>
        <w:t>,</w:t>
      </w:r>
      <w:r w:rsidR="009B6B8D" w:rsidRPr="009B436C">
        <w:rPr>
          <w:rStyle w:val="FootnoteReference"/>
          <w:lang w:val="en-AU"/>
        </w:rPr>
        <w:footnoteReference w:id="5"/>
      </w:r>
      <w:r w:rsidRPr="009B436C">
        <w:rPr>
          <w:lang w:val="en-AU"/>
        </w:rPr>
        <w:t xml:space="preserve"> the </w:t>
      </w:r>
      <w:r w:rsidR="009B6B8D" w:rsidRPr="009B436C">
        <w:rPr>
          <w:i/>
          <w:lang w:val="en-AU"/>
        </w:rPr>
        <w:t>United Nations Principles for Older Persons</w:t>
      </w:r>
      <w:r w:rsidR="009B6B8D" w:rsidRPr="009B436C">
        <w:rPr>
          <w:rStyle w:val="FootnoteReference"/>
          <w:lang w:val="en-AU"/>
        </w:rPr>
        <w:footnoteReference w:id="6"/>
      </w:r>
      <w:r w:rsidRPr="009B436C">
        <w:rPr>
          <w:lang w:val="en-AU"/>
        </w:rPr>
        <w:t xml:space="preserve"> and the </w:t>
      </w:r>
      <w:r w:rsidR="009B6B8D" w:rsidRPr="009B436C">
        <w:rPr>
          <w:i/>
          <w:lang w:val="en-AU"/>
        </w:rPr>
        <w:t>Madrid International Plan of Action on Ageing</w:t>
      </w:r>
      <w:r w:rsidRPr="009B436C">
        <w:rPr>
          <w:lang w:val="en-AU"/>
        </w:rPr>
        <w:t>.</w:t>
      </w:r>
      <w:r w:rsidR="009B6B8D" w:rsidRPr="009B436C">
        <w:rPr>
          <w:rStyle w:val="FootnoteReference"/>
          <w:lang w:val="en-AU"/>
        </w:rPr>
        <w:footnoteReference w:id="7"/>
      </w:r>
      <w:r w:rsidR="003D5C89">
        <w:rPr>
          <w:lang w:val="en-AU"/>
        </w:rPr>
        <w:t xml:space="preserve"> </w:t>
      </w:r>
      <w:r w:rsidRPr="009B436C">
        <w:rPr>
          <w:lang w:val="en-AU"/>
        </w:rPr>
        <w:t xml:space="preserve">However, </w:t>
      </w:r>
      <w:r w:rsidR="001422E3" w:rsidRPr="009B436C">
        <w:rPr>
          <w:lang w:val="en-AU"/>
        </w:rPr>
        <w:t xml:space="preserve">these documents are </w:t>
      </w:r>
      <w:r w:rsidR="009B6B8D" w:rsidRPr="009B436C">
        <w:rPr>
          <w:lang w:val="en-AU"/>
        </w:rPr>
        <w:t xml:space="preserve">not legally binding </w:t>
      </w:r>
      <w:r w:rsidRPr="009B436C">
        <w:rPr>
          <w:lang w:val="en-AU"/>
        </w:rPr>
        <w:t xml:space="preserve">on States. </w:t>
      </w:r>
      <w:r w:rsidR="000E2F4E" w:rsidRPr="009B436C">
        <w:rPr>
          <w:lang w:val="en-AU"/>
        </w:rPr>
        <w:t xml:space="preserve">Consequently, </w:t>
      </w:r>
      <w:r w:rsidR="009B6B8D" w:rsidRPr="009B436C">
        <w:rPr>
          <w:lang w:val="en-AU"/>
        </w:rPr>
        <w:t>the important principles contained in the</w:t>
      </w:r>
      <w:r w:rsidR="004F0B60">
        <w:rPr>
          <w:lang w:val="en-AU"/>
        </w:rPr>
        <w:t>se</w:t>
      </w:r>
      <w:r w:rsidR="009B6B8D" w:rsidRPr="009B436C">
        <w:rPr>
          <w:lang w:val="en-AU"/>
        </w:rPr>
        <w:t xml:space="preserve"> documents have remained unfulfilled. </w:t>
      </w:r>
      <w:r w:rsidR="00B104A3" w:rsidRPr="009B436C">
        <w:rPr>
          <w:lang w:val="en-AU"/>
        </w:rPr>
        <w:t>The Secretary-General in his 2009 report to the General Assembly argued for stronger protection of the rights of older persons, stating that these rights were not sufficiently addressed in the exi</w:t>
      </w:r>
      <w:r w:rsidR="00B62220">
        <w:rPr>
          <w:lang w:val="en-AU"/>
        </w:rPr>
        <w:t>sting human rights instruments.</w:t>
      </w:r>
      <w:r w:rsidR="00B104A3" w:rsidRPr="009B436C">
        <w:rPr>
          <w:lang w:val="en-AU"/>
        </w:rPr>
        <w:t xml:space="preserve"> The report recommended that Member States:</w:t>
      </w:r>
    </w:p>
    <w:p w:rsidR="00B104A3" w:rsidRPr="009B436C" w:rsidRDefault="00B104A3" w:rsidP="00B104A3">
      <w:pPr>
        <w:jc w:val="both"/>
        <w:rPr>
          <w:lang w:val="en-AU"/>
        </w:rPr>
      </w:pPr>
    </w:p>
    <w:p w:rsidR="00B104A3" w:rsidRPr="009B436C" w:rsidRDefault="00B104A3" w:rsidP="00253E4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294"/>
        <w:contextualSpacing/>
        <w:jc w:val="both"/>
        <w:rPr>
          <w:rFonts w:ascii="Times New Roman" w:hAnsi="Times New Roman" w:cs="Times New Roman"/>
          <w:color w:val="auto"/>
          <w:sz w:val="24"/>
          <w:szCs w:val="24"/>
          <w:lang w:val="en-AU"/>
        </w:rPr>
      </w:pPr>
      <w:r w:rsidRPr="009B436C">
        <w:rPr>
          <w:rFonts w:ascii="Times New Roman" w:hAnsi="Times New Roman" w:cs="Times New Roman"/>
          <w:color w:val="auto"/>
          <w:sz w:val="24"/>
          <w:szCs w:val="24"/>
          <w:lang w:val="en-AU"/>
        </w:rPr>
        <w:t>Ensure that older persons have better access to information about their rights</w:t>
      </w:r>
      <w:r w:rsidR="0035620B">
        <w:rPr>
          <w:rFonts w:ascii="Times New Roman" w:hAnsi="Times New Roman" w:cs="Times New Roman"/>
          <w:color w:val="auto"/>
          <w:sz w:val="24"/>
          <w:szCs w:val="24"/>
          <w:lang w:val="en-AU"/>
        </w:rPr>
        <w:t>;</w:t>
      </w:r>
    </w:p>
    <w:p w:rsidR="00B104A3" w:rsidRPr="009B436C" w:rsidRDefault="00B104A3" w:rsidP="00253E4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294"/>
        <w:contextualSpacing/>
        <w:jc w:val="both"/>
        <w:rPr>
          <w:rFonts w:ascii="Times New Roman" w:hAnsi="Times New Roman" w:cs="Times New Roman"/>
          <w:color w:val="auto"/>
          <w:sz w:val="24"/>
          <w:szCs w:val="24"/>
          <w:lang w:val="en-AU"/>
        </w:rPr>
      </w:pPr>
      <w:r w:rsidRPr="009B436C">
        <w:rPr>
          <w:rFonts w:ascii="Times New Roman" w:hAnsi="Times New Roman" w:cs="Times New Roman"/>
          <w:color w:val="auto"/>
          <w:sz w:val="24"/>
          <w:szCs w:val="24"/>
          <w:lang w:val="en-AU"/>
        </w:rPr>
        <w:t>Develop their capacity for monitoring and enforcing the rights of older persons</w:t>
      </w:r>
      <w:r w:rsidR="0035620B">
        <w:rPr>
          <w:rFonts w:ascii="Times New Roman" w:hAnsi="Times New Roman" w:cs="Times New Roman"/>
          <w:color w:val="auto"/>
          <w:sz w:val="24"/>
          <w:szCs w:val="24"/>
          <w:lang w:val="en-AU"/>
        </w:rPr>
        <w:t>;</w:t>
      </w:r>
    </w:p>
    <w:p w:rsidR="00B104A3" w:rsidRPr="009B436C" w:rsidRDefault="00B104A3" w:rsidP="00253E4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294"/>
        <w:contextualSpacing/>
        <w:jc w:val="both"/>
        <w:rPr>
          <w:rFonts w:ascii="Times New Roman" w:hAnsi="Times New Roman" w:cs="Times New Roman"/>
          <w:color w:val="auto"/>
          <w:sz w:val="24"/>
          <w:szCs w:val="24"/>
          <w:lang w:val="en-AU"/>
        </w:rPr>
      </w:pPr>
      <w:r w:rsidRPr="009B436C">
        <w:rPr>
          <w:rFonts w:ascii="Times New Roman" w:hAnsi="Times New Roman" w:cs="Times New Roman"/>
          <w:color w:val="auto"/>
          <w:sz w:val="24"/>
          <w:szCs w:val="24"/>
          <w:lang w:val="en-AU"/>
        </w:rPr>
        <w:t xml:space="preserve">Strengthen the gender perspective </w:t>
      </w:r>
      <w:r w:rsidR="0035620B">
        <w:rPr>
          <w:rFonts w:ascii="Times New Roman" w:hAnsi="Times New Roman" w:cs="Times New Roman"/>
          <w:color w:val="auto"/>
          <w:sz w:val="24"/>
          <w:szCs w:val="24"/>
          <w:lang w:val="en-AU"/>
        </w:rPr>
        <w:t>in all policy actions on ageing;</w:t>
      </w:r>
    </w:p>
    <w:p w:rsidR="00B104A3" w:rsidRPr="009B436C" w:rsidRDefault="00B104A3" w:rsidP="00253E4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294"/>
        <w:contextualSpacing/>
        <w:jc w:val="both"/>
        <w:rPr>
          <w:rFonts w:ascii="Times New Roman" w:hAnsi="Times New Roman" w:cs="Times New Roman"/>
          <w:color w:val="auto"/>
          <w:sz w:val="24"/>
          <w:szCs w:val="24"/>
          <w:lang w:val="en-AU"/>
        </w:rPr>
      </w:pPr>
      <w:r w:rsidRPr="009B436C">
        <w:rPr>
          <w:rFonts w:ascii="Times New Roman" w:hAnsi="Times New Roman" w:cs="Times New Roman"/>
          <w:color w:val="auto"/>
          <w:sz w:val="24"/>
          <w:szCs w:val="24"/>
          <w:lang w:val="en-AU"/>
        </w:rPr>
        <w:t>Address key issues such as neglect, abuse and violence against older persons</w:t>
      </w:r>
      <w:r w:rsidR="0035620B">
        <w:rPr>
          <w:rFonts w:ascii="Times New Roman" w:hAnsi="Times New Roman" w:cs="Times New Roman"/>
          <w:color w:val="auto"/>
          <w:sz w:val="24"/>
          <w:szCs w:val="24"/>
          <w:lang w:val="en-AU"/>
        </w:rPr>
        <w:t>;</w:t>
      </w:r>
      <w:r w:rsidRPr="009B436C">
        <w:rPr>
          <w:rFonts w:ascii="Times New Roman" w:hAnsi="Times New Roman" w:cs="Times New Roman"/>
          <w:color w:val="auto"/>
          <w:sz w:val="24"/>
          <w:szCs w:val="24"/>
          <w:lang w:val="en-AU"/>
        </w:rPr>
        <w:t xml:space="preserve"> and</w:t>
      </w:r>
    </w:p>
    <w:p w:rsidR="00B104A3" w:rsidRPr="009B436C" w:rsidRDefault="00B104A3" w:rsidP="00253E4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hanging="294"/>
        <w:contextualSpacing/>
        <w:jc w:val="both"/>
        <w:rPr>
          <w:rFonts w:ascii="Times New Roman" w:hAnsi="Times New Roman" w:cs="Times New Roman"/>
          <w:color w:val="auto"/>
          <w:sz w:val="24"/>
          <w:szCs w:val="24"/>
          <w:lang w:val="en-AU"/>
        </w:rPr>
      </w:pPr>
      <w:r w:rsidRPr="009B436C">
        <w:rPr>
          <w:rFonts w:ascii="Times New Roman" w:hAnsi="Times New Roman" w:cs="Times New Roman"/>
          <w:color w:val="auto"/>
          <w:sz w:val="24"/>
          <w:szCs w:val="24"/>
          <w:lang w:val="en-AU"/>
        </w:rPr>
        <w:t>Consider how best to improve international norms and standards relating to older persons.</w:t>
      </w:r>
      <w:r w:rsidRPr="009B436C">
        <w:rPr>
          <w:rStyle w:val="FootnoteReference"/>
          <w:rFonts w:ascii="Times New Roman" w:hAnsi="Times New Roman" w:cs="Times New Roman"/>
          <w:color w:val="auto"/>
          <w:sz w:val="24"/>
          <w:szCs w:val="24"/>
          <w:lang w:val="en-AU"/>
        </w:rPr>
        <w:footnoteReference w:id="8"/>
      </w:r>
    </w:p>
    <w:p w:rsidR="009B6B8D" w:rsidRPr="009B436C" w:rsidRDefault="009B6B8D" w:rsidP="00295935">
      <w:pPr>
        <w:jc w:val="both"/>
        <w:rPr>
          <w:lang w:val="en-AU"/>
        </w:rPr>
      </w:pPr>
    </w:p>
    <w:p w:rsidR="00F80D46" w:rsidRDefault="009B6B8D" w:rsidP="00295935">
      <w:pPr>
        <w:jc w:val="both"/>
        <w:rPr>
          <w:lang w:val="en-AU"/>
        </w:rPr>
      </w:pPr>
      <w:r w:rsidRPr="009B436C">
        <w:rPr>
          <w:lang w:val="en-AU"/>
        </w:rPr>
        <w:lastRenderedPageBreak/>
        <w:t xml:space="preserve">Australia has taken steps to provide some legislative protection for its elderly citizens in the areas of health, nutrition, long term care, </w:t>
      </w:r>
      <w:proofErr w:type="gramStart"/>
      <w:r w:rsidRPr="009B436C">
        <w:rPr>
          <w:lang w:val="en-AU"/>
        </w:rPr>
        <w:t>social</w:t>
      </w:r>
      <w:proofErr w:type="gramEnd"/>
      <w:r w:rsidRPr="009B436C">
        <w:rPr>
          <w:lang w:val="en-AU"/>
        </w:rPr>
        <w:t xml:space="preserve"> </w:t>
      </w:r>
      <w:r w:rsidR="0011505A" w:rsidRPr="009B436C">
        <w:rPr>
          <w:lang w:val="en-AU"/>
        </w:rPr>
        <w:t xml:space="preserve">security and welfare programs. </w:t>
      </w:r>
      <w:r w:rsidRPr="009B436C">
        <w:rPr>
          <w:lang w:val="en-AU"/>
        </w:rPr>
        <w:t>However</w:t>
      </w:r>
      <w:r w:rsidR="0011505A" w:rsidRPr="009B436C">
        <w:rPr>
          <w:lang w:val="en-AU"/>
        </w:rPr>
        <w:t>,</w:t>
      </w:r>
      <w:r w:rsidRPr="009B436C">
        <w:rPr>
          <w:lang w:val="en-AU"/>
        </w:rPr>
        <w:t xml:space="preserve"> it is suggested that this protection is relatively one</w:t>
      </w:r>
      <w:r w:rsidR="00B104A3" w:rsidRPr="009B436C">
        <w:rPr>
          <w:lang w:val="en-AU"/>
        </w:rPr>
        <w:t>-</w:t>
      </w:r>
      <w:r w:rsidRPr="009B436C">
        <w:rPr>
          <w:lang w:val="en-AU"/>
        </w:rPr>
        <w:t xml:space="preserve">dimensional and </w:t>
      </w:r>
      <w:proofErr w:type="gramStart"/>
      <w:r w:rsidR="002244AE" w:rsidRPr="009B436C">
        <w:rPr>
          <w:lang w:val="en-AU"/>
        </w:rPr>
        <w:t xml:space="preserve">a </w:t>
      </w:r>
      <w:r w:rsidR="00A760CC">
        <w:rPr>
          <w:lang w:val="en-AU"/>
        </w:rPr>
        <w:t>welfare</w:t>
      </w:r>
      <w:proofErr w:type="gramEnd"/>
      <w:r w:rsidR="00A760CC">
        <w:rPr>
          <w:lang w:val="en-AU"/>
        </w:rPr>
        <w:t xml:space="preserve"> </w:t>
      </w:r>
      <w:r w:rsidRPr="009B436C">
        <w:rPr>
          <w:lang w:val="en-AU"/>
        </w:rPr>
        <w:t xml:space="preserve">based </w:t>
      </w:r>
      <w:r w:rsidR="00A760CC">
        <w:rPr>
          <w:lang w:val="en-AU"/>
        </w:rPr>
        <w:t xml:space="preserve">rather than a rights </w:t>
      </w:r>
      <w:r w:rsidRPr="009B436C">
        <w:rPr>
          <w:lang w:val="en-AU"/>
        </w:rPr>
        <w:t>based approach.</w:t>
      </w:r>
      <w:r w:rsidR="002244AE" w:rsidRPr="009B436C">
        <w:rPr>
          <w:lang w:val="en-AU"/>
        </w:rPr>
        <w:t xml:space="preserve"> </w:t>
      </w:r>
      <w:r w:rsidRPr="009B436C">
        <w:rPr>
          <w:lang w:val="en-AU"/>
        </w:rPr>
        <w:t xml:space="preserve">Whilst it is important to ensure the </w:t>
      </w:r>
      <w:r w:rsidR="009C70F2">
        <w:rPr>
          <w:lang w:val="en-AU"/>
        </w:rPr>
        <w:t>older</w:t>
      </w:r>
      <w:r w:rsidRPr="009B436C">
        <w:rPr>
          <w:lang w:val="en-AU"/>
        </w:rPr>
        <w:t xml:space="preserve"> population is taken care of from an economic and social perspective, it is also important to recognise that the elderly have the same inalienable right as the rest of the population to enjoy a life of dignity, security, and </w:t>
      </w:r>
      <w:r w:rsidR="00092E58" w:rsidRPr="009B436C">
        <w:rPr>
          <w:lang w:val="en-AU"/>
        </w:rPr>
        <w:t xml:space="preserve">independence. </w:t>
      </w:r>
    </w:p>
    <w:p w:rsidR="00F80D46" w:rsidRDefault="00F80D46" w:rsidP="00295935">
      <w:pPr>
        <w:jc w:val="both"/>
        <w:rPr>
          <w:lang w:val="en-AU"/>
        </w:rPr>
      </w:pPr>
    </w:p>
    <w:p w:rsidR="0005021D" w:rsidRPr="009B436C" w:rsidRDefault="009B2618"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lang w:val="en-AU"/>
        </w:rPr>
      </w:pPr>
      <w:r>
        <w:rPr>
          <w:rStyle w:val="apple-converted-space"/>
          <w:b/>
          <w:lang w:val="en-AU"/>
        </w:rPr>
        <w:t>Submission</w:t>
      </w:r>
      <w:r w:rsidR="00F80D46">
        <w:rPr>
          <w:lang w:val="en-AU"/>
        </w:rPr>
        <w:t xml:space="preserve">: </w:t>
      </w:r>
      <w:r w:rsidR="009B6B8D" w:rsidRPr="004D0664">
        <w:rPr>
          <w:lang w:val="en-AU"/>
        </w:rPr>
        <w:t>that Australia move away from a welfare</w:t>
      </w:r>
      <w:r w:rsidR="00B104A3" w:rsidRPr="004D0664">
        <w:rPr>
          <w:lang w:val="en-AU"/>
        </w:rPr>
        <w:t>-</w:t>
      </w:r>
      <w:r w:rsidR="009B6B8D" w:rsidRPr="004D0664">
        <w:rPr>
          <w:lang w:val="en-AU"/>
        </w:rPr>
        <w:t>based approach to a rights</w:t>
      </w:r>
      <w:r w:rsidR="00B104A3" w:rsidRPr="004D0664">
        <w:rPr>
          <w:lang w:val="en-AU"/>
        </w:rPr>
        <w:t>-</w:t>
      </w:r>
      <w:r w:rsidR="009B6B8D" w:rsidRPr="004D0664">
        <w:rPr>
          <w:lang w:val="en-AU"/>
        </w:rPr>
        <w:t>based framework</w:t>
      </w:r>
      <w:r w:rsidR="009B6B8D" w:rsidRPr="00F80D46">
        <w:rPr>
          <w:lang w:val="en-AU"/>
        </w:rPr>
        <w:t xml:space="preserve"> in </w:t>
      </w:r>
      <w:r w:rsidR="009B6B8D" w:rsidRPr="009B436C">
        <w:rPr>
          <w:lang w:val="en-AU"/>
        </w:rPr>
        <w:t>drafting legislation for its older citizens.</w:t>
      </w:r>
      <w:r w:rsidR="00092E58" w:rsidRPr="009B436C">
        <w:rPr>
          <w:lang w:val="en-AU"/>
        </w:rPr>
        <w:t xml:space="preserve"> </w:t>
      </w:r>
    </w:p>
    <w:p w:rsidR="00092E58" w:rsidRPr="009B436C" w:rsidRDefault="00092E58" w:rsidP="00295935">
      <w:pPr>
        <w:jc w:val="both"/>
        <w:rPr>
          <w:lang w:val="en-AU"/>
        </w:rPr>
      </w:pPr>
    </w:p>
    <w:p w:rsidR="00C7294C" w:rsidRPr="00A256AF" w:rsidRDefault="009B6B8D" w:rsidP="00A256AF">
      <w:pPr>
        <w:jc w:val="both"/>
        <w:rPr>
          <w:lang w:val="en-AU"/>
        </w:rPr>
      </w:pPr>
      <w:r w:rsidRPr="009B436C">
        <w:rPr>
          <w:lang w:val="en-AU"/>
        </w:rPr>
        <w:t xml:space="preserve">  </w:t>
      </w:r>
    </w:p>
    <w:p w:rsidR="007D5456" w:rsidRPr="009B436C" w:rsidRDefault="00333DA0">
      <w:pPr>
        <w:pStyle w:val="Body"/>
        <w:spacing w:after="0" w:line="240" w:lineRule="auto"/>
        <w:jc w:val="both"/>
        <w:rPr>
          <w:rStyle w:val="apple-converted-space"/>
          <w:rFonts w:ascii="Times New Roman" w:hAnsi="Times New Roman" w:cs="Times New Roman"/>
          <w:sz w:val="24"/>
          <w:szCs w:val="24"/>
          <w:lang w:val="en-AU"/>
        </w:rPr>
      </w:pPr>
      <w:r>
        <w:rPr>
          <w:rStyle w:val="apple-converted-space"/>
          <w:rFonts w:ascii="Times New Roman" w:hAnsi="Times New Roman" w:cs="Times New Roman"/>
          <w:b/>
          <w:sz w:val="24"/>
          <w:szCs w:val="24"/>
          <w:lang w:val="en-AU"/>
        </w:rPr>
        <w:t xml:space="preserve">1.3 </w:t>
      </w:r>
      <w:r w:rsidR="00382095" w:rsidRPr="009B436C">
        <w:rPr>
          <w:rStyle w:val="apple-converted-space"/>
          <w:rFonts w:ascii="Times New Roman" w:hAnsi="Times New Roman" w:cs="Times New Roman"/>
          <w:b/>
          <w:sz w:val="24"/>
          <w:szCs w:val="24"/>
          <w:lang w:val="en-AU"/>
        </w:rPr>
        <w:t>E</w:t>
      </w:r>
      <w:r w:rsidR="00DF05AA" w:rsidRPr="009B436C">
        <w:rPr>
          <w:rStyle w:val="apple-converted-space"/>
          <w:rFonts w:ascii="Times New Roman" w:hAnsi="Times New Roman" w:cs="Times New Roman"/>
          <w:b/>
          <w:bCs/>
          <w:sz w:val="24"/>
          <w:szCs w:val="24"/>
          <w:lang w:val="en-AU"/>
        </w:rPr>
        <w:t>lder abuse as a subset of family violence</w:t>
      </w:r>
      <w:r w:rsidR="00382095" w:rsidRPr="009B436C">
        <w:rPr>
          <w:rStyle w:val="FootnoteReference"/>
          <w:rFonts w:ascii="Times New Roman" w:hAnsi="Times New Roman" w:cs="Times New Roman"/>
          <w:bCs/>
          <w:sz w:val="24"/>
          <w:szCs w:val="24"/>
          <w:lang w:val="en-AU"/>
        </w:rPr>
        <w:footnoteReference w:id="9"/>
      </w:r>
      <w:r w:rsidR="00DF05AA" w:rsidRPr="009B436C">
        <w:rPr>
          <w:rStyle w:val="apple-converted-space"/>
          <w:rFonts w:ascii="Times New Roman" w:hAnsi="Times New Roman" w:cs="Times New Roman"/>
          <w:sz w:val="24"/>
          <w:szCs w:val="24"/>
          <w:lang w:val="en-AU"/>
        </w:rPr>
        <w:t xml:space="preserve"> </w:t>
      </w:r>
    </w:p>
    <w:p w:rsidR="00C7294C" w:rsidRDefault="007D5456">
      <w:pPr>
        <w:pStyle w:val="Body"/>
        <w:spacing w:after="0" w:line="240" w:lineRule="auto"/>
        <w:jc w:val="both"/>
        <w:rPr>
          <w:rStyle w:val="apple-converted-space"/>
          <w:rFonts w:ascii="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While it i</w:t>
      </w:r>
      <w:r w:rsidR="00DF05AA" w:rsidRPr="009B436C">
        <w:rPr>
          <w:rStyle w:val="apple-converted-space"/>
          <w:rFonts w:ascii="Times New Roman" w:hAnsi="Times New Roman" w:cs="Times New Roman"/>
          <w:sz w:val="24"/>
          <w:szCs w:val="24"/>
          <w:lang w:val="en-AU"/>
        </w:rPr>
        <w:t xml:space="preserve">s crucial to recognise the problem of inter-personal elder abuse, and the particular dimensions and subtleties this entails, elder abuse occurs in a wider range of settings which must also be addressed. </w:t>
      </w:r>
      <w:r w:rsidRPr="009B436C">
        <w:rPr>
          <w:rStyle w:val="apple-converted-space"/>
          <w:rFonts w:ascii="Times New Roman" w:hAnsi="Times New Roman" w:cs="Times New Roman"/>
          <w:sz w:val="24"/>
          <w:szCs w:val="24"/>
          <w:lang w:val="en-AU"/>
        </w:rPr>
        <w:t xml:space="preserve">While it </w:t>
      </w:r>
      <w:r w:rsidR="00DF05AA" w:rsidRPr="009B436C">
        <w:rPr>
          <w:rStyle w:val="apple-converted-space"/>
          <w:rFonts w:ascii="Times New Roman" w:hAnsi="Times New Roman" w:cs="Times New Roman"/>
          <w:sz w:val="24"/>
          <w:szCs w:val="24"/>
          <w:lang w:val="en-AU"/>
        </w:rPr>
        <w:t>might be practically convenient to tap into the public awar</w:t>
      </w:r>
      <w:r w:rsidRPr="009B436C">
        <w:rPr>
          <w:rStyle w:val="apple-converted-space"/>
          <w:rFonts w:ascii="Times New Roman" w:hAnsi="Times New Roman" w:cs="Times New Roman"/>
          <w:sz w:val="24"/>
          <w:szCs w:val="24"/>
          <w:lang w:val="en-AU"/>
        </w:rPr>
        <w:t>eness of family violence, there i</w:t>
      </w:r>
      <w:r w:rsidR="00DF05AA" w:rsidRPr="009B436C">
        <w:rPr>
          <w:rStyle w:val="apple-converted-space"/>
          <w:rFonts w:ascii="Times New Roman" w:hAnsi="Times New Roman" w:cs="Times New Roman"/>
          <w:sz w:val="24"/>
          <w:szCs w:val="24"/>
          <w:lang w:val="en-AU"/>
        </w:rPr>
        <w:t xml:space="preserve">s a concern that doing so would overlook and further marginalise those older persons who are suffering abuse in other contexts </w:t>
      </w:r>
      <w:r w:rsidR="00082810" w:rsidRPr="009B436C">
        <w:rPr>
          <w:rStyle w:val="apple-converted-space"/>
          <w:rFonts w:ascii="Times New Roman" w:hAnsi="Times New Roman" w:cs="Times New Roman"/>
          <w:sz w:val="24"/>
          <w:szCs w:val="24"/>
          <w:lang w:val="en-AU"/>
        </w:rPr>
        <w:t xml:space="preserve">for example, </w:t>
      </w:r>
      <w:r w:rsidR="00DF05AA" w:rsidRPr="009B436C">
        <w:rPr>
          <w:rStyle w:val="apple-converted-space"/>
          <w:rFonts w:ascii="Times New Roman" w:hAnsi="Times New Roman" w:cs="Times New Roman"/>
          <w:sz w:val="24"/>
          <w:szCs w:val="24"/>
          <w:lang w:val="en-AU"/>
        </w:rPr>
        <w:t xml:space="preserve">where </w:t>
      </w:r>
      <w:r w:rsidR="00082810" w:rsidRPr="009B436C">
        <w:rPr>
          <w:rStyle w:val="apple-converted-space"/>
          <w:rFonts w:ascii="Times New Roman" w:hAnsi="Times New Roman" w:cs="Times New Roman"/>
          <w:sz w:val="24"/>
          <w:szCs w:val="24"/>
          <w:lang w:val="en-AU"/>
        </w:rPr>
        <w:t xml:space="preserve">it is a </w:t>
      </w:r>
      <w:r w:rsidR="00DF05AA" w:rsidRPr="009B436C">
        <w:rPr>
          <w:rStyle w:val="apple-converted-space"/>
          <w:rFonts w:ascii="Times New Roman" w:hAnsi="Times New Roman" w:cs="Times New Roman"/>
          <w:sz w:val="24"/>
          <w:szCs w:val="24"/>
          <w:lang w:val="en-AU"/>
        </w:rPr>
        <w:t>singular incident or episodic, involving strangers, or linked m</w:t>
      </w:r>
      <w:r w:rsidR="00082810" w:rsidRPr="009B436C">
        <w:rPr>
          <w:rStyle w:val="apple-converted-space"/>
          <w:rFonts w:ascii="Times New Roman" w:hAnsi="Times New Roman" w:cs="Times New Roman"/>
          <w:sz w:val="24"/>
          <w:szCs w:val="24"/>
          <w:lang w:val="en-AU"/>
        </w:rPr>
        <w:t>ore to institutionalised ageism</w:t>
      </w:r>
      <w:r w:rsidR="00DF05AA" w:rsidRPr="009B436C">
        <w:rPr>
          <w:rStyle w:val="apple-converted-space"/>
          <w:rFonts w:ascii="Times New Roman" w:hAnsi="Times New Roman" w:cs="Times New Roman"/>
          <w:sz w:val="24"/>
          <w:szCs w:val="24"/>
          <w:lang w:val="en-AU"/>
        </w:rPr>
        <w:t>.</w:t>
      </w:r>
      <w:r w:rsidR="009605BF" w:rsidRPr="009B436C">
        <w:rPr>
          <w:rStyle w:val="apple-converted-space"/>
          <w:rFonts w:ascii="Times New Roman" w:hAnsi="Times New Roman" w:cs="Times New Roman"/>
          <w:sz w:val="24"/>
          <w:szCs w:val="24"/>
          <w:lang w:val="en-AU"/>
        </w:rPr>
        <w:t xml:space="preserve"> Further, elder abuse perpetrators do not come solely from with</w:t>
      </w:r>
      <w:r w:rsidR="00206E44">
        <w:rPr>
          <w:rStyle w:val="apple-converted-space"/>
          <w:rFonts w:ascii="Times New Roman" w:hAnsi="Times New Roman" w:cs="Times New Roman"/>
          <w:sz w:val="24"/>
          <w:szCs w:val="24"/>
          <w:lang w:val="en-AU"/>
        </w:rPr>
        <w:t>in</w:t>
      </w:r>
      <w:r w:rsidR="009605BF" w:rsidRPr="009B436C">
        <w:rPr>
          <w:rStyle w:val="apple-converted-space"/>
          <w:rFonts w:ascii="Times New Roman" w:hAnsi="Times New Roman" w:cs="Times New Roman"/>
          <w:sz w:val="24"/>
          <w:szCs w:val="24"/>
          <w:lang w:val="en-AU"/>
        </w:rPr>
        <w:t xml:space="preserve"> familial units</w:t>
      </w:r>
      <w:r w:rsidR="00C54D71">
        <w:rPr>
          <w:rStyle w:val="apple-converted-space"/>
          <w:rFonts w:ascii="Times New Roman" w:hAnsi="Times New Roman" w:cs="Times New Roman"/>
          <w:sz w:val="24"/>
          <w:szCs w:val="24"/>
          <w:lang w:val="en-AU"/>
        </w:rPr>
        <w:t>.</w:t>
      </w:r>
      <w:r w:rsidR="009605BF" w:rsidRPr="009B436C">
        <w:rPr>
          <w:rStyle w:val="apple-converted-space"/>
          <w:rFonts w:ascii="Times New Roman" w:hAnsi="Times New Roman" w:cs="Times New Roman"/>
          <w:sz w:val="24"/>
          <w:szCs w:val="24"/>
          <w:lang w:val="en-AU"/>
        </w:rPr>
        <w:t xml:space="preserve"> </w:t>
      </w:r>
      <w:r w:rsidR="00C54D71">
        <w:rPr>
          <w:rStyle w:val="apple-converted-space"/>
          <w:rFonts w:ascii="Times New Roman" w:hAnsi="Times New Roman" w:cs="Times New Roman"/>
          <w:sz w:val="24"/>
          <w:szCs w:val="24"/>
          <w:lang w:val="en-AU"/>
        </w:rPr>
        <w:t xml:space="preserve">Therefore, </w:t>
      </w:r>
      <w:r w:rsidR="009605BF" w:rsidRPr="009B436C">
        <w:rPr>
          <w:rStyle w:val="apple-converted-space"/>
          <w:rFonts w:ascii="Times New Roman" w:hAnsi="Times New Roman" w:cs="Times New Roman"/>
          <w:sz w:val="24"/>
          <w:szCs w:val="24"/>
          <w:lang w:val="en-AU"/>
        </w:rPr>
        <w:t xml:space="preserve">elder abuse as a subset of family violence may </w:t>
      </w:r>
      <w:r w:rsidR="00304B5E" w:rsidRPr="009B436C">
        <w:rPr>
          <w:rStyle w:val="apple-converted-space"/>
          <w:rFonts w:ascii="Times New Roman" w:hAnsi="Times New Roman" w:cs="Times New Roman"/>
          <w:sz w:val="24"/>
          <w:szCs w:val="24"/>
          <w:lang w:val="en-AU"/>
        </w:rPr>
        <w:t xml:space="preserve">lose its identity </w:t>
      </w:r>
      <w:r w:rsidR="009605BF" w:rsidRPr="009B436C">
        <w:rPr>
          <w:rStyle w:val="apple-converted-space"/>
          <w:rFonts w:ascii="Times New Roman" w:hAnsi="Times New Roman" w:cs="Times New Roman"/>
          <w:sz w:val="24"/>
          <w:szCs w:val="24"/>
          <w:lang w:val="en-AU"/>
        </w:rPr>
        <w:t xml:space="preserve">and not </w:t>
      </w:r>
      <w:r w:rsidR="009369FD" w:rsidRPr="009B436C">
        <w:rPr>
          <w:rStyle w:val="apple-converted-space"/>
          <w:rFonts w:ascii="Times New Roman" w:hAnsi="Times New Roman" w:cs="Times New Roman"/>
          <w:sz w:val="24"/>
          <w:szCs w:val="24"/>
          <w:lang w:val="en-AU"/>
        </w:rPr>
        <w:t xml:space="preserve">be </w:t>
      </w:r>
      <w:r w:rsidR="009605BF" w:rsidRPr="009B436C">
        <w:rPr>
          <w:rStyle w:val="apple-converted-space"/>
          <w:rFonts w:ascii="Times New Roman" w:hAnsi="Times New Roman" w:cs="Times New Roman"/>
          <w:sz w:val="24"/>
          <w:szCs w:val="24"/>
          <w:lang w:val="en-AU"/>
        </w:rPr>
        <w:t xml:space="preserve">recognised as the significant issue that it is. </w:t>
      </w:r>
    </w:p>
    <w:p w:rsidR="00470580" w:rsidRDefault="00470580">
      <w:pPr>
        <w:pStyle w:val="Body"/>
        <w:spacing w:after="0" w:line="240" w:lineRule="auto"/>
        <w:jc w:val="both"/>
        <w:rPr>
          <w:rStyle w:val="apple-converted-space"/>
          <w:rFonts w:ascii="Times New Roman" w:hAnsi="Times New Roman" w:cs="Times New Roman"/>
          <w:sz w:val="24"/>
          <w:szCs w:val="24"/>
          <w:lang w:val="en-AU"/>
        </w:rPr>
      </w:pPr>
    </w:p>
    <w:p w:rsidR="00470580" w:rsidRPr="009B436C" w:rsidRDefault="009B2618" w:rsidP="009A64E8">
      <w:pPr>
        <w:pStyle w:val="Body"/>
        <w:pBdr>
          <w:top w:val="single" w:sz="4" w:space="1" w:color="auto"/>
          <w:left w:val="single" w:sz="4" w:space="1" w:color="auto"/>
          <w:bottom w:val="single" w:sz="4" w:space="1" w:color="auto"/>
          <w:right w:val="single" w:sz="4" w:space="1" w:color="auto"/>
        </w:pBdr>
        <w:shd w:val="clear" w:color="auto" w:fill="DEEAF6" w:themeFill="accent1" w:themeFillTint="33"/>
        <w:spacing w:after="0" w:line="240" w:lineRule="auto"/>
        <w:jc w:val="both"/>
        <w:rPr>
          <w:rStyle w:val="apple-converted-space"/>
          <w:rFonts w:ascii="Times New Roman" w:eastAsia="Times New Roman" w:hAnsi="Times New Roman" w:cs="Times New Roman"/>
          <w:sz w:val="24"/>
          <w:szCs w:val="24"/>
          <w:lang w:val="en-AU"/>
        </w:rPr>
      </w:pPr>
      <w:r>
        <w:rPr>
          <w:rStyle w:val="apple-converted-space"/>
          <w:rFonts w:ascii="Times New Roman" w:hAnsi="Times New Roman" w:cs="Times New Roman"/>
          <w:b/>
          <w:sz w:val="24"/>
          <w:szCs w:val="24"/>
          <w:lang w:val="en-AU"/>
        </w:rPr>
        <w:t>Submission</w:t>
      </w:r>
      <w:r w:rsidR="00470580">
        <w:rPr>
          <w:rStyle w:val="apple-converted-space"/>
          <w:rFonts w:ascii="Times New Roman" w:hAnsi="Times New Roman" w:cs="Times New Roman"/>
          <w:sz w:val="24"/>
          <w:szCs w:val="24"/>
          <w:lang w:val="en-AU"/>
        </w:rPr>
        <w:t>: Elder abuse should not be subsumed as a category within family violence.</w:t>
      </w:r>
    </w:p>
    <w:p w:rsidR="00C7294C" w:rsidRDefault="00C7294C">
      <w:pPr>
        <w:pStyle w:val="Body"/>
        <w:spacing w:after="0" w:line="240" w:lineRule="auto"/>
        <w:jc w:val="both"/>
        <w:rPr>
          <w:rFonts w:ascii="Times New Roman" w:eastAsia="Times New Roman" w:hAnsi="Times New Roman" w:cs="Times New Roman"/>
          <w:sz w:val="24"/>
          <w:szCs w:val="24"/>
          <w:lang w:val="en-AU"/>
        </w:rPr>
      </w:pPr>
    </w:p>
    <w:p w:rsidR="00B535D8" w:rsidRPr="009B436C" w:rsidRDefault="00B535D8">
      <w:pPr>
        <w:pStyle w:val="Body"/>
        <w:spacing w:after="0" w:line="240" w:lineRule="auto"/>
        <w:jc w:val="both"/>
        <w:rPr>
          <w:rFonts w:ascii="Times New Roman" w:eastAsia="Times New Roman" w:hAnsi="Times New Roman" w:cs="Times New Roman"/>
          <w:sz w:val="24"/>
          <w:szCs w:val="24"/>
          <w:lang w:val="en-AU"/>
        </w:rPr>
      </w:pPr>
    </w:p>
    <w:p w:rsidR="00263EED" w:rsidRPr="009B436C" w:rsidRDefault="00333DA0">
      <w:pPr>
        <w:pStyle w:val="Body"/>
        <w:spacing w:after="0" w:line="240" w:lineRule="auto"/>
        <w:jc w:val="both"/>
        <w:rPr>
          <w:rStyle w:val="apple-converted-space"/>
          <w:rFonts w:ascii="Times New Roman" w:hAnsi="Times New Roman" w:cs="Times New Roman"/>
          <w:sz w:val="24"/>
          <w:szCs w:val="24"/>
          <w:lang w:val="en-AU"/>
        </w:rPr>
      </w:pPr>
      <w:r>
        <w:rPr>
          <w:rStyle w:val="apple-converted-space"/>
          <w:rFonts w:ascii="Times New Roman" w:hAnsi="Times New Roman" w:cs="Times New Roman"/>
          <w:b/>
          <w:bCs/>
          <w:sz w:val="24"/>
          <w:szCs w:val="24"/>
          <w:lang w:val="en-AU"/>
        </w:rPr>
        <w:t xml:space="preserve">1.4 </w:t>
      </w:r>
      <w:r w:rsidR="00DF05AA" w:rsidRPr="009B436C">
        <w:rPr>
          <w:rStyle w:val="apple-converted-space"/>
          <w:rFonts w:ascii="Times New Roman" w:hAnsi="Times New Roman" w:cs="Times New Roman"/>
          <w:b/>
          <w:bCs/>
          <w:sz w:val="24"/>
          <w:szCs w:val="24"/>
          <w:lang w:val="en-AU"/>
        </w:rPr>
        <w:t>Capacity</w:t>
      </w:r>
      <w:r w:rsidR="00263EED" w:rsidRPr="009B436C">
        <w:rPr>
          <w:rStyle w:val="FootnoteReference"/>
          <w:rFonts w:ascii="Times New Roman" w:hAnsi="Times New Roman" w:cs="Times New Roman"/>
          <w:b/>
          <w:bCs/>
          <w:sz w:val="24"/>
          <w:szCs w:val="24"/>
          <w:lang w:val="en-AU"/>
        </w:rPr>
        <w:footnoteReference w:id="10"/>
      </w:r>
      <w:r w:rsidR="00DF05AA" w:rsidRPr="009B436C">
        <w:rPr>
          <w:rStyle w:val="apple-converted-space"/>
          <w:rFonts w:ascii="Times New Roman" w:hAnsi="Times New Roman" w:cs="Times New Roman"/>
          <w:sz w:val="24"/>
          <w:szCs w:val="24"/>
          <w:lang w:val="en-AU"/>
        </w:rPr>
        <w:t xml:space="preserve"> </w:t>
      </w:r>
    </w:p>
    <w:p w:rsidR="007677CC" w:rsidRPr="009B436C" w:rsidRDefault="007677CC" w:rsidP="007677CC">
      <w:pPr>
        <w:pStyle w:val="Body"/>
        <w:spacing w:after="0" w:line="240" w:lineRule="auto"/>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 xml:space="preserve">With respect, we do not see any </w:t>
      </w:r>
      <w:r w:rsidR="00DF05AA" w:rsidRPr="009B436C">
        <w:rPr>
          <w:rStyle w:val="apple-converted-space"/>
          <w:rFonts w:ascii="Times New Roman" w:hAnsi="Times New Roman" w:cs="Times New Roman"/>
          <w:sz w:val="24"/>
          <w:szCs w:val="24"/>
          <w:lang w:val="en-AU"/>
        </w:rPr>
        <w:t xml:space="preserve">utility in moving away from the presumption of capacity. </w:t>
      </w:r>
      <w:r w:rsidRPr="009B436C">
        <w:rPr>
          <w:rStyle w:val="apple-converted-space"/>
          <w:rFonts w:ascii="Times New Roman" w:hAnsi="Times New Roman" w:cs="Times New Roman"/>
          <w:sz w:val="24"/>
          <w:szCs w:val="24"/>
          <w:lang w:val="en-AU"/>
        </w:rPr>
        <w:t>Indeed, from a human rights perspective, respect for dignity and autonomy dictates that capacity ought to be presumed until it can be established otherwise</w:t>
      </w:r>
      <w:r w:rsidR="00BA3F68" w:rsidRPr="009B436C">
        <w:rPr>
          <w:rStyle w:val="apple-converted-space"/>
          <w:rFonts w:ascii="Times New Roman" w:hAnsi="Times New Roman" w:cs="Times New Roman"/>
          <w:sz w:val="24"/>
          <w:szCs w:val="24"/>
          <w:lang w:val="en-AU"/>
        </w:rPr>
        <w:t>.</w:t>
      </w:r>
      <w:r w:rsidRPr="009B436C">
        <w:rPr>
          <w:rStyle w:val="apple-converted-space"/>
          <w:rFonts w:ascii="Times New Roman" w:hAnsi="Times New Roman" w:cs="Times New Roman"/>
          <w:sz w:val="24"/>
          <w:szCs w:val="24"/>
          <w:lang w:val="en-AU"/>
        </w:rPr>
        <w:t xml:space="preserve"> </w:t>
      </w:r>
      <w:r w:rsidR="00D7640E" w:rsidRPr="009B436C">
        <w:rPr>
          <w:rStyle w:val="apple-converted-space"/>
          <w:rFonts w:ascii="Times New Roman" w:hAnsi="Times New Roman" w:cs="Times New Roman"/>
          <w:sz w:val="24"/>
          <w:szCs w:val="24"/>
          <w:lang w:val="en-AU"/>
        </w:rPr>
        <w:t>In a</w:t>
      </w:r>
      <w:r w:rsidRPr="009B436C">
        <w:rPr>
          <w:rStyle w:val="apple-converted-space"/>
          <w:rFonts w:ascii="Times New Roman" w:hAnsi="Times New Roman" w:cs="Times New Roman"/>
          <w:sz w:val="24"/>
          <w:szCs w:val="24"/>
          <w:lang w:val="en-AU"/>
        </w:rPr>
        <w:t xml:space="preserve"> huma</w:t>
      </w:r>
      <w:r w:rsidR="00C41142" w:rsidRPr="009B436C">
        <w:rPr>
          <w:rStyle w:val="apple-converted-space"/>
          <w:rFonts w:ascii="Times New Roman" w:hAnsi="Times New Roman" w:cs="Times New Roman"/>
          <w:sz w:val="24"/>
          <w:szCs w:val="24"/>
          <w:lang w:val="en-AU"/>
        </w:rPr>
        <w:t>n rights-based approach</w:t>
      </w:r>
      <w:r w:rsidR="00C924C1" w:rsidRPr="009B436C">
        <w:rPr>
          <w:rStyle w:val="apple-converted-space"/>
          <w:rFonts w:ascii="Times New Roman" w:hAnsi="Times New Roman" w:cs="Times New Roman"/>
          <w:sz w:val="24"/>
          <w:szCs w:val="24"/>
          <w:lang w:val="en-AU"/>
        </w:rPr>
        <w:t>,</w:t>
      </w:r>
      <w:r w:rsidR="00C41142" w:rsidRPr="009B436C">
        <w:rPr>
          <w:rStyle w:val="apple-converted-space"/>
          <w:rFonts w:ascii="Times New Roman" w:hAnsi="Times New Roman" w:cs="Times New Roman"/>
          <w:sz w:val="24"/>
          <w:szCs w:val="24"/>
          <w:lang w:val="en-AU"/>
        </w:rPr>
        <w:t xml:space="preserve"> capacity </w:t>
      </w:r>
      <w:r w:rsidR="00B705FC">
        <w:rPr>
          <w:rStyle w:val="apple-converted-space"/>
          <w:rFonts w:ascii="Times New Roman" w:hAnsi="Times New Roman" w:cs="Times New Roman"/>
          <w:sz w:val="24"/>
          <w:szCs w:val="24"/>
          <w:lang w:val="en-AU"/>
        </w:rPr>
        <w:t>should</w:t>
      </w:r>
      <w:r w:rsidR="00D7640E" w:rsidRPr="009B436C">
        <w:rPr>
          <w:rStyle w:val="apple-converted-space"/>
          <w:rFonts w:ascii="Times New Roman" w:hAnsi="Times New Roman" w:cs="Times New Roman"/>
          <w:sz w:val="24"/>
          <w:szCs w:val="24"/>
          <w:lang w:val="en-AU"/>
        </w:rPr>
        <w:t xml:space="preserve"> not be viewed </w:t>
      </w:r>
      <w:r w:rsidRPr="009B436C">
        <w:rPr>
          <w:rStyle w:val="apple-converted-space"/>
          <w:rFonts w:ascii="Times New Roman" w:hAnsi="Times New Roman" w:cs="Times New Roman"/>
          <w:sz w:val="24"/>
          <w:szCs w:val="24"/>
          <w:lang w:val="en-AU"/>
        </w:rPr>
        <w:t>in binary terms of either having/not having capacity but</w:t>
      </w:r>
      <w:r w:rsidR="003D550B" w:rsidRPr="009B436C">
        <w:rPr>
          <w:rStyle w:val="apple-converted-space"/>
          <w:rFonts w:ascii="Times New Roman" w:hAnsi="Times New Roman" w:cs="Times New Roman"/>
          <w:sz w:val="24"/>
          <w:szCs w:val="24"/>
          <w:lang w:val="en-AU"/>
        </w:rPr>
        <w:t xml:space="preserve"> instead</w:t>
      </w:r>
      <w:r w:rsidRPr="009B436C">
        <w:rPr>
          <w:rStyle w:val="apple-converted-space"/>
          <w:rFonts w:ascii="Times New Roman" w:hAnsi="Times New Roman" w:cs="Times New Roman"/>
          <w:sz w:val="24"/>
          <w:szCs w:val="24"/>
          <w:lang w:val="en-AU"/>
        </w:rPr>
        <w:t xml:space="preserve">, </w:t>
      </w:r>
      <w:r w:rsidR="003D550B" w:rsidRPr="009B436C">
        <w:rPr>
          <w:rStyle w:val="apple-converted-space"/>
          <w:rFonts w:ascii="Times New Roman" w:hAnsi="Times New Roman" w:cs="Times New Roman"/>
          <w:sz w:val="24"/>
          <w:szCs w:val="24"/>
          <w:lang w:val="en-AU"/>
        </w:rPr>
        <w:t xml:space="preserve">and </w:t>
      </w:r>
      <w:r w:rsidRPr="009B436C">
        <w:rPr>
          <w:rStyle w:val="apple-converted-space"/>
          <w:rFonts w:ascii="Times New Roman" w:hAnsi="Times New Roman" w:cs="Times New Roman"/>
          <w:sz w:val="24"/>
          <w:szCs w:val="24"/>
          <w:lang w:val="en-AU"/>
        </w:rPr>
        <w:t xml:space="preserve">in line with the </w:t>
      </w:r>
      <w:r w:rsidRPr="009B436C">
        <w:rPr>
          <w:rStyle w:val="apple-converted-space"/>
          <w:rFonts w:ascii="Times New Roman" w:hAnsi="Times New Roman" w:cs="Times New Roman"/>
          <w:i/>
          <w:sz w:val="24"/>
          <w:szCs w:val="24"/>
          <w:lang w:val="en-AU"/>
        </w:rPr>
        <w:t>C</w:t>
      </w:r>
      <w:r w:rsidR="003D550B" w:rsidRPr="009B436C">
        <w:rPr>
          <w:rStyle w:val="apple-converted-space"/>
          <w:rFonts w:ascii="Times New Roman" w:hAnsi="Times New Roman" w:cs="Times New Roman"/>
          <w:i/>
          <w:sz w:val="24"/>
          <w:szCs w:val="24"/>
          <w:lang w:val="en-AU"/>
        </w:rPr>
        <w:t xml:space="preserve">onvention on the </w:t>
      </w:r>
      <w:r w:rsidRPr="009B436C">
        <w:rPr>
          <w:rStyle w:val="apple-converted-space"/>
          <w:rFonts w:ascii="Times New Roman" w:hAnsi="Times New Roman" w:cs="Times New Roman"/>
          <w:i/>
          <w:sz w:val="24"/>
          <w:szCs w:val="24"/>
          <w:lang w:val="en-AU"/>
        </w:rPr>
        <w:t>R</w:t>
      </w:r>
      <w:r w:rsidR="003D550B" w:rsidRPr="009B436C">
        <w:rPr>
          <w:rStyle w:val="apple-converted-space"/>
          <w:rFonts w:ascii="Times New Roman" w:hAnsi="Times New Roman" w:cs="Times New Roman"/>
          <w:i/>
          <w:sz w:val="24"/>
          <w:szCs w:val="24"/>
          <w:lang w:val="en-AU"/>
        </w:rPr>
        <w:t xml:space="preserve">ights of </w:t>
      </w:r>
      <w:r w:rsidRPr="009B436C">
        <w:rPr>
          <w:rStyle w:val="apple-converted-space"/>
          <w:rFonts w:ascii="Times New Roman" w:hAnsi="Times New Roman" w:cs="Times New Roman"/>
          <w:i/>
          <w:sz w:val="24"/>
          <w:szCs w:val="24"/>
          <w:lang w:val="en-AU"/>
        </w:rPr>
        <w:t>P</w:t>
      </w:r>
      <w:r w:rsidR="003D550B" w:rsidRPr="009B436C">
        <w:rPr>
          <w:rStyle w:val="apple-converted-space"/>
          <w:rFonts w:ascii="Times New Roman" w:hAnsi="Times New Roman" w:cs="Times New Roman"/>
          <w:i/>
          <w:sz w:val="24"/>
          <w:szCs w:val="24"/>
          <w:lang w:val="en-AU"/>
        </w:rPr>
        <w:t xml:space="preserve">ersons with </w:t>
      </w:r>
      <w:r w:rsidRPr="009B436C">
        <w:rPr>
          <w:rStyle w:val="apple-converted-space"/>
          <w:rFonts w:ascii="Times New Roman" w:hAnsi="Times New Roman" w:cs="Times New Roman"/>
          <w:i/>
          <w:sz w:val="24"/>
          <w:szCs w:val="24"/>
          <w:lang w:val="en-AU"/>
        </w:rPr>
        <w:t>D</w:t>
      </w:r>
      <w:r w:rsidR="003D550B" w:rsidRPr="009B436C">
        <w:rPr>
          <w:rStyle w:val="apple-converted-space"/>
          <w:rFonts w:ascii="Times New Roman" w:hAnsi="Times New Roman" w:cs="Times New Roman"/>
          <w:i/>
          <w:sz w:val="24"/>
          <w:szCs w:val="24"/>
          <w:lang w:val="en-AU"/>
        </w:rPr>
        <w:t>isabilities</w:t>
      </w:r>
      <w:r w:rsidR="003D550B" w:rsidRPr="009B436C">
        <w:rPr>
          <w:rStyle w:val="apple-converted-space"/>
          <w:rFonts w:ascii="Times New Roman" w:hAnsi="Times New Roman" w:cs="Times New Roman"/>
          <w:sz w:val="24"/>
          <w:szCs w:val="24"/>
          <w:lang w:val="en-AU"/>
        </w:rPr>
        <w:t>,</w:t>
      </w:r>
      <w:r w:rsidRPr="009B436C">
        <w:rPr>
          <w:rStyle w:val="apple-converted-space"/>
          <w:rFonts w:ascii="Times New Roman" w:hAnsi="Times New Roman" w:cs="Times New Roman"/>
          <w:sz w:val="24"/>
          <w:szCs w:val="24"/>
          <w:lang w:val="en-AU"/>
        </w:rPr>
        <w:t xml:space="preserve"> looking for ways to support decision-making to facilitate enjoyment of the right to make decisions for oneself.</w:t>
      </w:r>
    </w:p>
    <w:p w:rsidR="007677CC" w:rsidRPr="009B436C" w:rsidRDefault="007677CC">
      <w:pPr>
        <w:pStyle w:val="Body"/>
        <w:spacing w:after="0" w:line="240" w:lineRule="auto"/>
        <w:jc w:val="both"/>
        <w:rPr>
          <w:rStyle w:val="apple-converted-space"/>
          <w:rFonts w:ascii="Times New Roman" w:hAnsi="Times New Roman" w:cs="Times New Roman"/>
          <w:sz w:val="24"/>
          <w:szCs w:val="24"/>
          <w:lang w:val="en-AU"/>
        </w:rPr>
      </w:pPr>
    </w:p>
    <w:p w:rsidR="00C7294C" w:rsidRPr="009B436C" w:rsidRDefault="00743729" w:rsidP="00C32AB2">
      <w:pPr>
        <w:pStyle w:val="Body"/>
        <w:spacing w:after="0" w:line="240" w:lineRule="auto"/>
        <w:jc w:val="both"/>
        <w:rPr>
          <w:rStyle w:val="apple-converted-space"/>
          <w:rFonts w:ascii="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The literature has demonstrated that the b</w:t>
      </w:r>
      <w:r w:rsidR="00DF05AA" w:rsidRPr="009B436C">
        <w:rPr>
          <w:rStyle w:val="apple-converted-space"/>
          <w:rFonts w:ascii="Times New Roman" w:hAnsi="Times New Roman" w:cs="Times New Roman"/>
          <w:sz w:val="24"/>
          <w:szCs w:val="24"/>
          <w:lang w:val="en-AU"/>
        </w:rPr>
        <w:t xml:space="preserve">est test </w:t>
      </w:r>
      <w:r w:rsidRPr="009B436C">
        <w:rPr>
          <w:rStyle w:val="apple-converted-space"/>
          <w:rFonts w:ascii="Times New Roman" w:hAnsi="Times New Roman" w:cs="Times New Roman"/>
          <w:sz w:val="24"/>
          <w:szCs w:val="24"/>
          <w:lang w:val="en-AU"/>
        </w:rPr>
        <w:t xml:space="preserve">is </w:t>
      </w:r>
      <w:r w:rsidR="00DF05AA" w:rsidRPr="009B436C">
        <w:rPr>
          <w:rStyle w:val="apple-converted-space"/>
          <w:rFonts w:ascii="Times New Roman" w:hAnsi="Times New Roman" w:cs="Times New Roman"/>
          <w:sz w:val="24"/>
          <w:szCs w:val="24"/>
          <w:lang w:val="en-AU"/>
        </w:rPr>
        <w:t xml:space="preserve">probably </w:t>
      </w:r>
      <w:r w:rsidRPr="009B436C">
        <w:rPr>
          <w:rStyle w:val="apple-converted-space"/>
          <w:rFonts w:ascii="Times New Roman" w:hAnsi="Times New Roman" w:cs="Times New Roman"/>
          <w:sz w:val="24"/>
          <w:szCs w:val="24"/>
          <w:lang w:val="en-AU"/>
        </w:rPr>
        <w:t xml:space="preserve">a </w:t>
      </w:r>
      <w:r w:rsidR="00DF05AA" w:rsidRPr="009B436C">
        <w:rPr>
          <w:rStyle w:val="apple-converted-space"/>
          <w:rFonts w:ascii="Times New Roman" w:hAnsi="Times New Roman" w:cs="Times New Roman"/>
          <w:sz w:val="24"/>
          <w:szCs w:val="24"/>
          <w:lang w:val="en-AU"/>
        </w:rPr>
        <w:t>functional test</w:t>
      </w:r>
      <w:r w:rsidR="00777ABA" w:rsidRPr="009B436C">
        <w:rPr>
          <w:rStyle w:val="apple-converted-space"/>
          <w:rFonts w:ascii="Times New Roman" w:hAnsi="Times New Roman" w:cs="Times New Roman"/>
          <w:sz w:val="24"/>
          <w:szCs w:val="24"/>
          <w:lang w:val="en-AU"/>
        </w:rPr>
        <w:t>,</w:t>
      </w:r>
      <w:r w:rsidR="00DF05AA" w:rsidRPr="009B436C">
        <w:rPr>
          <w:rStyle w:val="apple-converted-space"/>
          <w:rFonts w:ascii="Times New Roman" w:hAnsi="Times New Roman" w:cs="Times New Roman"/>
          <w:sz w:val="24"/>
          <w:szCs w:val="24"/>
          <w:lang w:val="en-AU"/>
        </w:rPr>
        <w:t xml:space="preserve"> although some status</w:t>
      </w:r>
      <w:r w:rsidR="00777ABA" w:rsidRPr="009B436C">
        <w:rPr>
          <w:rStyle w:val="apple-converted-space"/>
          <w:rFonts w:ascii="Times New Roman" w:hAnsi="Times New Roman" w:cs="Times New Roman"/>
          <w:sz w:val="24"/>
          <w:szCs w:val="24"/>
          <w:lang w:val="en-AU"/>
        </w:rPr>
        <w:t>-</w:t>
      </w:r>
      <w:r w:rsidR="00DF05AA" w:rsidRPr="009B436C">
        <w:rPr>
          <w:rStyle w:val="apple-converted-space"/>
          <w:rFonts w:ascii="Times New Roman" w:hAnsi="Times New Roman" w:cs="Times New Roman"/>
          <w:sz w:val="24"/>
          <w:szCs w:val="24"/>
          <w:lang w:val="en-AU"/>
        </w:rPr>
        <w:t>based assessment can be optimal</w:t>
      </w:r>
      <w:r w:rsidR="00B62220">
        <w:rPr>
          <w:rStyle w:val="apple-converted-space"/>
          <w:rFonts w:ascii="Times New Roman" w:hAnsi="Times New Roman" w:cs="Times New Roman"/>
          <w:sz w:val="24"/>
          <w:szCs w:val="24"/>
          <w:lang w:val="en-AU"/>
        </w:rPr>
        <w:t xml:space="preserve"> in certain contexts. </w:t>
      </w:r>
      <w:r w:rsidR="00777ABA" w:rsidRPr="009B436C">
        <w:rPr>
          <w:rStyle w:val="apple-converted-space"/>
          <w:rFonts w:ascii="Times New Roman" w:hAnsi="Times New Roman" w:cs="Times New Roman"/>
          <w:sz w:val="24"/>
          <w:szCs w:val="24"/>
          <w:lang w:val="en-AU"/>
        </w:rPr>
        <w:t>F</w:t>
      </w:r>
      <w:r w:rsidR="00E9722A" w:rsidRPr="009B436C">
        <w:rPr>
          <w:rStyle w:val="apple-converted-space"/>
          <w:rFonts w:ascii="Times New Roman" w:hAnsi="Times New Roman" w:cs="Times New Roman"/>
          <w:sz w:val="24"/>
          <w:szCs w:val="24"/>
          <w:lang w:val="en-AU"/>
        </w:rPr>
        <w:t>or example,</w:t>
      </w:r>
      <w:r w:rsidR="00DF05AA" w:rsidRPr="009B436C">
        <w:rPr>
          <w:rStyle w:val="apple-converted-space"/>
          <w:rFonts w:ascii="Times New Roman" w:hAnsi="Times New Roman" w:cs="Times New Roman"/>
          <w:sz w:val="24"/>
          <w:szCs w:val="24"/>
          <w:lang w:val="en-AU"/>
        </w:rPr>
        <w:t xml:space="preserve"> </w:t>
      </w:r>
      <w:r w:rsidR="00E9722A" w:rsidRPr="009B436C">
        <w:rPr>
          <w:rStyle w:val="apple-converted-space"/>
          <w:rFonts w:ascii="Times New Roman" w:hAnsi="Times New Roman" w:cs="Times New Roman"/>
          <w:sz w:val="24"/>
          <w:szCs w:val="24"/>
          <w:lang w:val="en-AU"/>
        </w:rPr>
        <w:t xml:space="preserve">if a person is in a </w:t>
      </w:r>
      <w:r w:rsidR="00DF05AA" w:rsidRPr="009B436C">
        <w:rPr>
          <w:rStyle w:val="apple-converted-space"/>
          <w:rFonts w:ascii="Times New Roman" w:hAnsi="Times New Roman" w:cs="Times New Roman"/>
          <w:sz w:val="24"/>
          <w:szCs w:val="24"/>
          <w:lang w:val="en-AU"/>
        </w:rPr>
        <w:t>coma</w:t>
      </w:r>
      <w:r w:rsidR="00F42E7A" w:rsidRPr="009B436C">
        <w:rPr>
          <w:rStyle w:val="apple-converted-space"/>
          <w:rFonts w:ascii="Times New Roman" w:hAnsi="Times New Roman" w:cs="Times New Roman"/>
          <w:sz w:val="24"/>
          <w:szCs w:val="24"/>
          <w:lang w:val="en-AU"/>
        </w:rPr>
        <w:t>,</w:t>
      </w:r>
      <w:r w:rsidR="00DF05AA" w:rsidRPr="009B436C">
        <w:rPr>
          <w:rStyle w:val="apple-converted-space"/>
          <w:rFonts w:ascii="Times New Roman" w:hAnsi="Times New Roman" w:cs="Times New Roman"/>
          <w:sz w:val="24"/>
          <w:szCs w:val="24"/>
          <w:lang w:val="en-AU"/>
        </w:rPr>
        <w:t xml:space="preserve"> it is the person’s status which can more easily determine their level of capacity.   </w:t>
      </w:r>
    </w:p>
    <w:p w:rsidR="001C38D7" w:rsidRPr="009B436C" w:rsidRDefault="001C38D7" w:rsidP="00C32AB2">
      <w:pPr>
        <w:pStyle w:val="Body"/>
        <w:spacing w:after="0" w:line="240" w:lineRule="auto"/>
        <w:jc w:val="both"/>
        <w:rPr>
          <w:rStyle w:val="apple-converted-space"/>
          <w:rFonts w:ascii="Times New Roman" w:hAnsi="Times New Roman" w:cs="Times New Roman"/>
          <w:sz w:val="24"/>
          <w:szCs w:val="24"/>
          <w:lang w:val="en-AU"/>
        </w:rPr>
      </w:pPr>
    </w:p>
    <w:p w:rsidR="00777ABA" w:rsidRPr="009B436C" w:rsidRDefault="001C38D7" w:rsidP="00C32AB2">
      <w:pPr>
        <w:pStyle w:val="BodyText"/>
        <w:spacing w:line="240" w:lineRule="auto"/>
        <w:rPr>
          <w:rStyle w:val="apple-converted-space"/>
          <w:rFonts w:cs="Times New Roman"/>
          <w:lang w:val="en-AU"/>
        </w:rPr>
      </w:pPr>
      <w:r w:rsidRPr="009B436C">
        <w:rPr>
          <w:rStyle w:val="apple-converted-space"/>
          <w:rFonts w:cs="Times New Roman"/>
          <w:lang w:val="en-AU"/>
        </w:rPr>
        <w:t>What is required is the rigorous, transparent and accurate assessment of capacity which is currently not occurring in Australia. Instead, capacity assessment is undertaken on an ad hoc basis</w:t>
      </w:r>
      <w:r w:rsidR="00777ABA" w:rsidRPr="009B436C">
        <w:rPr>
          <w:rStyle w:val="apple-converted-space"/>
          <w:rFonts w:cs="Times New Roman"/>
          <w:lang w:val="en-AU"/>
        </w:rPr>
        <w:t xml:space="preserve">, </w:t>
      </w:r>
      <w:r w:rsidRPr="009B436C">
        <w:rPr>
          <w:rStyle w:val="apple-converted-space"/>
          <w:rFonts w:cs="Times New Roman"/>
          <w:lang w:val="en-AU"/>
        </w:rPr>
        <w:t xml:space="preserve">dependent upon </w:t>
      </w:r>
      <w:r w:rsidR="00777ABA" w:rsidRPr="009B436C">
        <w:rPr>
          <w:rStyle w:val="apple-converted-space"/>
          <w:rFonts w:cs="Times New Roman"/>
          <w:lang w:val="en-AU"/>
        </w:rPr>
        <w:t xml:space="preserve">the experience and knowledge of the </w:t>
      </w:r>
      <w:r w:rsidRPr="009B436C">
        <w:rPr>
          <w:rStyle w:val="apple-converted-space"/>
          <w:rFonts w:cs="Times New Roman"/>
          <w:lang w:val="en-AU"/>
        </w:rPr>
        <w:t xml:space="preserve">individual practitioner, be they legal </w:t>
      </w:r>
      <w:r w:rsidRPr="009B436C">
        <w:rPr>
          <w:rStyle w:val="apple-converted-space"/>
          <w:rFonts w:cs="Times New Roman"/>
          <w:lang w:val="en-AU"/>
        </w:rPr>
        <w:lastRenderedPageBreak/>
        <w:t xml:space="preserve">or health. </w:t>
      </w:r>
      <w:r w:rsidR="00EC11C4" w:rsidRPr="009B436C">
        <w:rPr>
          <w:rStyle w:val="apple-converted-space"/>
          <w:rFonts w:cs="Times New Roman"/>
          <w:lang w:val="en-AU"/>
        </w:rPr>
        <w:t xml:space="preserve">The lack of a satisfactory assessment process only serves to heighten the risk of abuse to already vulnerable individuals. </w:t>
      </w:r>
    </w:p>
    <w:p w:rsidR="00C7294C" w:rsidRPr="00B535D8" w:rsidRDefault="001C0F64" w:rsidP="00B535D8">
      <w:pPr>
        <w:pStyle w:val="BodyText"/>
        <w:spacing w:line="240" w:lineRule="auto"/>
        <w:rPr>
          <w:rFonts w:cs="Times New Roman"/>
          <w:lang w:val="en-AU"/>
        </w:rPr>
      </w:pPr>
      <w:r w:rsidRPr="009B436C">
        <w:rPr>
          <w:rFonts w:cs="Times New Roman"/>
          <w:lang w:val="en-AU"/>
        </w:rPr>
        <w:t>The critical issue is how a legal professional reaches the conclusion that an individual has lost legal capacity. Appropriate definitions, including of legal capacity, are imperative and the legal standards need to be clearly identified. This is fundamental for not only elucidating the</w:t>
      </w:r>
      <w:r w:rsidR="00777ABA" w:rsidRPr="009B436C">
        <w:rPr>
          <w:rFonts w:cs="Times New Roman"/>
          <w:lang w:val="en-AU"/>
        </w:rPr>
        <w:t xml:space="preserve"> level of </w:t>
      </w:r>
      <w:r w:rsidRPr="009B436C">
        <w:rPr>
          <w:rFonts w:cs="Times New Roman"/>
          <w:lang w:val="en-AU"/>
        </w:rPr>
        <w:t xml:space="preserve">understanding </w:t>
      </w:r>
      <w:r w:rsidR="00777ABA" w:rsidRPr="009B436C">
        <w:rPr>
          <w:rFonts w:cs="Times New Roman"/>
          <w:lang w:val="en-AU"/>
        </w:rPr>
        <w:t xml:space="preserve">required on the part </w:t>
      </w:r>
      <w:r w:rsidRPr="009B436C">
        <w:rPr>
          <w:rFonts w:cs="Times New Roman"/>
          <w:lang w:val="en-AU"/>
        </w:rPr>
        <w:t>of the individual in question, but also so that the legal and health professionals appreciate what is required of them in satisfactorily conducting assessments. Thought must be given to the clinical models available for assessment and the benefits and disadvantages of each, for example, the limitations of the M</w:t>
      </w:r>
      <w:r w:rsidR="00C924C1" w:rsidRPr="009B436C">
        <w:rPr>
          <w:rFonts w:cs="Times New Roman"/>
          <w:lang w:val="en-AU"/>
        </w:rPr>
        <w:t xml:space="preserve">ini </w:t>
      </w:r>
      <w:r w:rsidRPr="009B436C">
        <w:rPr>
          <w:rFonts w:cs="Times New Roman"/>
          <w:lang w:val="en-AU"/>
        </w:rPr>
        <w:t>M</w:t>
      </w:r>
      <w:r w:rsidR="00C924C1" w:rsidRPr="009B436C">
        <w:rPr>
          <w:rFonts w:cs="Times New Roman"/>
          <w:lang w:val="en-AU"/>
        </w:rPr>
        <w:t xml:space="preserve">ental </w:t>
      </w:r>
      <w:r w:rsidRPr="009B436C">
        <w:rPr>
          <w:rFonts w:cs="Times New Roman"/>
          <w:lang w:val="en-AU"/>
        </w:rPr>
        <w:t>S</w:t>
      </w:r>
      <w:r w:rsidR="00C924C1" w:rsidRPr="009B436C">
        <w:rPr>
          <w:rFonts w:cs="Times New Roman"/>
          <w:lang w:val="en-AU"/>
        </w:rPr>
        <w:t xml:space="preserve">tatus </w:t>
      </w:r>
      <w:r w:rsidRPr="009B436C">
        <w:rPr>
          <w:rFonts w:cs="Times New Roman"/>
          <w:lang w:val="en-AU"/>
        </w:rPr>
        <w:t>E</w:t>
      </w:r>
      <w:r w:rsidR="00C924C1" w:rsidRPr="009B436C">
        <w:rPr>
          <w:rFonts w:cs="Times New Roman"/>
          <w:lang w:val="en-AU"/>
        </w:rPr>
        <w:t>xamination</w:t>
      </w:r>
      <w:r w:rsidRPr="009B436C">
        <w:rPr>
          <w:rFonts w:cs="Times New Roman"/>
          <w:lang w:val="en-AU"/>
        </w:rPr>
        <w:t>.</w:t>
      </w:r>
      <w:r w:rsidRPr="009B436C">
        <w:rPr>
          <w:rStyle w:val="FootnoteReference"/>
          <w:rFonts w:cs="Times New Roman"/>
          <w:lang w:val="en-AU"/>
        </w:rPr>
        <w:footnoteReference w:id="11"/>
      </w:r>
      <w:r w:rsidRPr="009B436C">
        <w:rPr>
          <w:rFonts w:cs="Times New Roman"/>
          <w:lang w:val="en-AU"/>
        </w:rPr>
        <w:t xml:space="preserve"> It is also necessary to consider the triggers raising legal capacity as an issue, for example: cognitive, emotional, or behavioural signals; emotional distress; delusions; hallucinations; very poor hygiene; or displaying inappropriate behaviour.</w:t>
      </w:r>
      <w:r w:rsidRPr="009B436C">
        <w:rPr>
          <w:rStyle w:val="FootnoteReference"/>
          <w:rFonts w:cs="Times New Roman"/>
          <w:lang w:val="en-AU"/>
        </w:rPr>
        <w:footnoteReference w:id="12"/>
      </w:r>
      <w:r w:rsidRPr="009B436C">
        <w:rPr>
          <w:rFonts w:cs="Times New Roman"/>
          <w:lang w:val="en-AU"/>
        </w:rPr>
        <w:t xml:space="preserve"> Such triggers can also heighten an individual’s vulnerability to abuse. Consideration must be given to who should conduct the assessment and how, including when an interdisciplinary approach is necessary. It is important to appreciate that not </w:t>
      </w:r>
      <w:r w:rsidR="00C924C1" w:rsidRPr="009B436C">
        <w:rPr>
          <w:rFonts w:cs="Times New Roman"/>
          <w:lang w:val="en-AU"/>
        </w:rPr>
        <w:t xml:space="preserve">all </w:t>
      </w:r>
      <w:r w:rsidRPr="009B436C">
        <w:rPr>
          <w:rFonts w:cs="Times New Roman"/>
          <w:lang w:val="en-AU"/>
        </w:rPr>
        <w:t xml:space="preserve">health professionals are familiar with capacity assessments, especially given the differences between clinical and legal capacity. Consent from the individual is needed before the assessment can occur which can also further exacerbate issues of abuse. With legal capacity assessment growing in complexity, it is possible that issues surrounding practitioner liability and the assessment process itself will increase. </w:t>
      </w:r>
      <w:r w:rsidR="00777ABA" w:rsidRPr="009B436C">
        <w:rPr>
          <w:rFonts w:cs="Times New Roman"/>
          <w:lang w:val="en-AU"/>
        </w:rPr>
        <w:t xml:space="preserve">The development of national capacity </w:t>
      </w:r>
      <w:r w:rsidRPr="009B436C">
        <w:rPr>
          <w:rFonts w:cs="Times New Roman"/>
          <w:lang w:val="en-AU"/>
        </w:rPr>
        <w:t xml:space="preserve">guidelines may help address issues of practitioner liability. </w:t>
      </w:r>
    </w:p>
    <w:p w:rsidR="008501AD" w:rsidRDefault="009B2618" w:rsidP="00C32AB2">
      <w:pPr>
        <w:pStyle w:val="Body"/>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b/>
          <w:sz w:val="24"/>
          <w:szCs w:val="24"/>
          <w:bdr w:val="single" w:sz="4" w:space="0" w:color="auto"/>
          <w:shd w:val="clear" w:color="auto" w:fill="DEEAF6" w:themeFill="accent1" w:themeFillTint="33"/>
          <w:lang w:val="en-AU"/>
        </w:rPr>
        <w:t xml:space="preserve"> Submission</w:t>
      </w:r>
      <w:r w:rsidR="008501AD" w:rsidRPr="009A64E8">
        <w:rPr>
          <w:rFonts w:ascii="Times New Roman" w:eastAsia="Times New Roman" w:hAnsi="Times New Roman" w:cs="Times New Roman"/>
          <w:sz w:val="24"/>
          <w:szCs w:val="24"/>
          <w:bdr w:val="single" w:sz="4" w:space="0" w:color="auto"/>
          <w:shd w:val="clear" w:color="auto" w:fill="DEEAF6" w:themeFill="accent1" w:themeFillTint="33"/>
          <w:lang w:val="en-AU"/>
        </w:rPr>
        <w:t xml:space="preserve">: national </w:t>
      </w:r>
      <w:r w:rsidR="004245DA">
        <w:rPr>
          <w:rFonts w:ascii="Times New Roman" w:eastAsia="Times New Roman" w:hAnsi="Times New Roman" w:cs="Times New Roman"/>
          <w:sz w:val="24"/>
          <w:szCs w:val="24"/>
          <w:bdr w:val="single" w:sz="4" w:space="0" w:color="auto"/>
          <w:shd w:val="clear" w:color="auto" w:fill="DEEAF6" w:themeFill="accent1" w:themeFillTint="33"/>
          <w:lang w:val="en-AU"/>
        </w:rPr>
        <w:t xml:space="preserve">interdisciplinary </w:t>
      </w:r>
      <w:r w:rsidR="008501AD" w:rsidRPr="009A64E8">
        <w:rPr>
          <w:rFonts w:ascii="Times New Roman" w:eastAsia="Times New Roman" w:hAnsi="Times New Roman" w:cs="Times New Roman"/>
          <w:sz w:val="24"/>
          <w:szCs w:val="24"/>
          <w:bdr w:val="single" w:sz="4" w:space="0" w:color="auto"/>
          <w:shd w:val="clear" w:color="auto" w:fill="DEEAF6" w:themeFill="accent1" w:themeFillTint="33"/>
          <w:lang w:val="en-AU"/>
        </w:rPr>
        <w:t>capacity assessment guidelines should be developed.</w:t>
      </w:r>
      <w:r w:rsidR="009A64E8">
        <w:rPr>
          <w:rFonts w:ascii="Times New Roman" w:eastAsia="Times New Roman" w:hAnsi="Times New Roman" w:cs="Times New Roman"/>
          <w:sz w:val="24"/>
          <w:szCs w:val="24"/>
          <w:bdr w:val="single" w:sz="4" w:space="0" w:color="auto"/>
          <w:shd w:val="clear" w:color="auto" w:fill="F2F2F2" w:themeFill="background1" w:themeFillShade="F2"/>
          <w:lang w:val="en-AU"/>
        </w:rPr>
        <w:t xml:space="preserve"> </w:t>
      </w:r>
      <w:r w:rsidR="008501AD">
        <w:rPr>
          <w:rFonts w:ascii="Times New Roman" w:eastAsia="Times New Roman" w:hAnsi="Times New Roman" w:cs="Times New Roman"/>
          <w:sz w:val="24"/>
          <w:szCs w:val="24"/>
          <w:lang w:val="en-AU"/>
        </w:rPr>
        <w:t xml:space="preserve"> </w:t>
      </w:r>
    </w:p>
    <w:p w:rsidR="008501AD" w:rsidRDefault="008501AD" w:rsidP="00C32AB2">
      <w:pPr>
        <w:pStyle w:val="Body"/>
        <w:spacing w:after="0" w:line="240" w:lineRule="auto"/>
        <w:jc w:val="both"/>
        <w:rPr>
          <w:rFonts w:ascii="Times New Roman" w:eastAsia="Times New Roman" w:hAnsi="Times New Roman" w:cs="Times New Roman"/>
          <w:sz w:val="24"/>
          <w:szCs w:val="24"/>
          <w:lang w:val="en-AU"/>
        </w:rPr>
      </w:pPr>
    </w:p>
    <w:p w:rsidR="00B535D8" w:rsidRPr="009B436C" w:rsidRDefault="00B535D8" w:rsidP="00C32AB2">
      <w:pPr>
        <w:pStyle w:val="Body"/>
        <w:spacing w:after="0" w:line="240" w:lineRule="auto"/>
        <w:jc w:val="both"/>
        <w:rPr>
          <w:rFonts w:ascii="Times New Roman" w:eastAsia="Times New Roman" w:hAnsi="Times New Roman" w:cs="Times New Roman"/>
          <w:sz w:val="24"/>
          <w:szCs w:val="24"/>
          <w:lang w:val="en-AU"/>
        </w:rPr>
      </w:pPr>
    </w:p>
    <w:p w:rsidR="00875EAE" w:rsidRPr="009B436C" w:rsidRDefault="00333DA0">
      <w:pPr>
        <w:pStyle w:val="Body"/>
        <w:spacing w:after="0" w:line="240" w:lineRule="auto"/>
        <w:jc w:val="both"/>
        <w:rPr>
          <w:rStyle w:val="apple-converted-space"/>
          <w:rFonts w:ascii="Times New Roman" w:hAnsi="Times New Roman" w:cs="Times New Roman"/>
          <w:b/>
          <w:sz w:val="24"/>
          <w:szCs w:val="24"/>
          <w:lang w:val="en-AU"/>
        </w:rPr>
      </w:pPr>
      <w:r>
        <w:rPr>
          <w:rStyle w:val="apple-converted-space"/>
          <w:rFonts w:ascii="Times New Roman" w:hAnsi="Times New Roman" w:cs="Times New Roman"/>
          <w:b/>
          <w:sz w:val="24"/>
          <w:szCs w:val="24"/>
          <w:lang w:val="en-AU"/>
        </w:rPr>
        <w:t xml:space="preserve">1.5 </w:t>
      </w:r>
      <w:r w:rsidR="00875EAE" w:rsidRPr="009B436C">
        <w:rPr>
          <w:rStyle w:val="apple-converted-space"/>
          <w:rFonts w:ascii="Times New Roman" w:hAnsi="Times New Roman" w:cs="Times New Roman"/>
          <w:b/>
          <w:sz w:val="24"/>
          <w:szCs w:val="24"/>
          <w:lang w:val="en-AU"/>
        </w:rPr>
        <w:t xml:space="preserve">Support for family-based care-givers </w:t>
      </w:r>
    </w:p>
    <w:p w:rsidR="00875EAE" w:rsidRDefault="00875EAE">
      <w:pPr>
        <w:pStyle w:val="Body"/>
        <w:spacing w:after="0" w:line="240" w:lineRule="auto"/>
        <w:jc w:val="both"/>
        <w:rPr>
          <w:rStyle w:val="apple-converted-space"/>
          <w:rFonts w:ascii="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A human rights-based approach would also need to acknowledge the rights of those involved in ca</w:t>
      </w:r>
      <w:r w:rsidR="006E3991" w:rsidRPr="009B436C">
        <w:rPr>
          <w:rStyle w:val="apple-converted-space"/>
          <w:rFonts w:ascii="Times New Roman" w:hAnsi="Times New Roman" w:cs="Times New Roman"/>
          <w:sz w:val="24"/>
          <w:szCs w:val="24"/>
          <w:lang w:val="en-AU"/>
        </w:rPr>
        <w:t>re-giving, who are often women.</w:t>
      </w:r>
      <w:r w:rsidRPr="009B436C">
        <w:rPr>
          <w:rStyle w:val="apple-converted-space"/>
          <w:rFonts w:ascii="Times New Roman" w:hAnsi="Times New Roman" w:cs="Times New Roman"/>
          <w:sz w:val="24"/>
          <w:szCs w:val="24"/>
          <w:lang w:val="en-AU"/>
        </w:rPr>
        <w:t xml:space="preserve"> This would recognise the opportunity costs for people who </w:t>
      </w:r>
      <w:r w:rsidR="00796644" w:rsidRPr="009B436C">
        <w:rPr>
          <w:rStyle w:val="apple-converted-space"/>
          <w:rFonts w:ascii="Times New Roman" w:hAnsi="Times New Roman" w:cs="Times New Roman"/>
          <w:sz w:val="24"/>
          <w:szCs w:val="24"/>
          <w:lang w:val="en-AU"/>
        </w:rPr>
        <w:t>take on a care-giving role</w:t>
      </w:r>
      <w:r w:rsidR="00777ABA" w:rsidRPr="009B436C">
        <w:rPr>
          <w:rStyle w:val="apple-converted-space"/>
          <w:rFonts w:ascii="Times New Roman" w:hAnsi="Times New Roman" w:cs="Times New Roman"/>
          <w:sz w:val="24"/>
          <w:szCs w:val="24"/>
          <w:lang w:val="en-AU"/>
        </w:rPr>
        <w:t>,</w:t>
      </w:r>
      <w:r w:rsidR="00796644" w:rsidRPr="009B436C">
        <w:rPr>
          <w:rStyle w:val="apple-converted-space"/>
          <w:rFonts w:ascii="Times New Roman" w:hAnsi="Times New Roman" w:cs="Times New Roman"/>
          <w:sz w:val="24"/>
          <w:szCs w:val="24"/>
          <w:lang w:val="en-AU"/>
        </w:rPr>
        <w:t xml:space="preserve"> including</w:t>
      </w:r>
      <w:r w:rsidRPr="009B436C">
        <w:rPr>
          <w:rStyle w:val="apple-converted-space"/>
          <w:rFonts w:ascii="Times New Roman" w:hAnsi="Times New Roman" w:cs="Times New Roman"/>
          <w:sz w:val="24"/>
          <w:szCs w:val="24"/>
          <w:lang w:val="en-AU"/>
        </w:rPr>
        <w:t xml:space="preserve"> potential future economic consequences of being out of the workforce. </w:t>
      </w:r>
      <w:r w:rsidR="00D96A3A">
        <w:rPr>
          <w:rStyle w:val="apple-converted-space"/>
          <w:rFonts w:ascii="Times New Roman" w:hAnsi="Times New Roman" w:cs="Times New Roman"/>
          <w:sz w:val="24"/>
          <w:szCs w:val="24"/>
          <w:lang w:val="en-AU"/>
        </w:rPr>
        <w:t>I</w:t>
      </w:r>
      <w:r w:rsidR="00796644" w:rsidRPr="009B436C">
        <w:rPr>
          <w:rStyle w:val="apple-converted-space"/>
          <w:rFonts w:ascii="Times New Roman" w:hAnsi="Times New Roman" w:cs="Times New Roman"/>
          <w:sz w:val="24"/>
          <w:szCs w:val="24"/>
          <w:lang w:val="en-AU"/>
        </w:rPr>
        <w:t>t i</w:t>
      </w:r>
      <w:r w:rsidRPr="009B436C">
        <w:rPr>
          <w:rStyle w:val="apple-converted-space"/>
          <w:rFonts w:ascii="Times New Roman" w:hAnsi="Times New Roman" w:cs="Times New Roman"/>
          <w:sz w:val="24"/>
          <w:szCs w:val="24"/>
          <w:lang w:val="en-AU"/>
        </w:rPr>
        <w:t>s recognised that elder abuse can occur or be exacerbated by the strains placed on families in care-giving situations, so acknowledging the rights/interests of care-givers is</w:t>
      </w:r>
      <w:r w:rsidR="00796644" w:rsidRPr="009B436C">
        <w:rPr>
          <w:rStyle w:val="apple-converted-space"/>
          <w:rFonts w:ascii="Times New Roman" w:hAnsi="Times New Roman" w:cs="Times New Roman"/>
          <w:sz w:val="24"/>
          <w:szCs w:val="24"/>
          <w:lang w:val="en-AU"/>
        </w:rPr>
        <w:t xml:space="preserve"> no</w:t>
      </w:r>
      <w:r w:rsidRPr="009B436C">
        <w:rPr>
          <w:rStyle w:val="apple-converted-space"/>
          <w:rFonts w:ascii="Times New Roman" w:hAnsi="Times New Roman" w:cs="Times New Roman"/>
          <w:sz w:val="24"/>
          <w:szCs w:val="24"/>
          <w:lang w:val="en-AU"/>
        </w:rPr>
        <w:t xml:space="preserve">t only appropriate under </w:t>
      </w:r>
      <w:r w:rsidR="00796644" w:rsidRPr="009B436C">
        <w:rPr>
          <w:rStyle w:val="apple-converted-space"/>
          <w:rFonts w:ascii="Times New Roman" w:hAnsi="Times New Roman" w:cs="Times New Roman"/>
          <w:sz w:val="24"/>
          <w:szCs w:val="24"/>
          <w:lang w:val="en-AU"/>
        </w:rPr>
        <w:t xml:space="preserve">a </w:t>
      </w:r>
      <w:r w:rsidRPr="009B436C">
        <w:rPr>
          <w:rStyle w:val="apple-converted-space"/>
          <w:rFonts w:ascii="Times New Roman" w:hAnsi="Times New Roman" w:cs="Times New Roman"/>
          <w:sz w:val="24"/>
          <w:szCs w:val="24"/>
          <w:lang w:val="en-AU"/>
        </w:rPr>
        <w:t>human rights</w:t>
      </w:r>
      <w:r w:rsidR="00B104A3" w:rsidRPr="009B436C">
        <w:rPr>
          <w:rStyle w:val="apple-converted-space"/>
          <w:rFonts w:ascii="Times New Roman" w:hAnsi="Times New Roman" w:cs="Times New Roman"/>
          <w:sz w:val="24"/>
          <w:szCs w:val="24"/>
          <w:lang w:val="en-AU"/>
        </w:rPr>
        <w:t xml:space="preserve">-based </w:t>
      </w:r>
      <w:r w:rsidRPr="009B436C">
        <w:rPr>
          <w:rStyle w:val="apple-converted-space"/>
          <w:rFonts w:ascii="Times New Roman" w:hAnsi="Times New Roman" w:cs="Times New Roman"/>
          <w:sz w:val="24"/>
          <w:szCs w:val="24"/>
          <w:lang w:val="en-AU"/>
        </w:rPr>
        <w:t xml:space="preserve">approach, </w:t>
      </w:r>
      <w:r w:rsidR="008C195F">
        <w:rPr>
          <w:rStyle w:val="apple-converted-space"/>
          <w:rFonts w:ascii="Times New Roman" w:hAnsi="Times New Roman" w:cs="Times New Roman"/>
          <w:sz w:val="24"/>
          <w:szCs w:val="24"/>
          <w:lang w:val="en-AU"/>
        </w:rPr>
        <w:t xml:space="preserve">it </w:t>
      </w:r>
      <w:r w:rsidRPr="009B436C">
        <w:rPr>
          <w:rStyle w:val="apple-converted-space"/>
          <w:rFonts w:ascii="Times New Roman" w:hAnsi="Times New Roman" w:cs="Times New Roman"/>
          <w:sz w:val="24"/>
          <w:szCs w:val="24"/>
          <w:lang w:val="en-AU"/>
        </w:rPr>
        <w:t xml:space="preserve">may </w:t>
      </w:r>
      <w:r w:rsidR="00796644" w:rsidRPr="009B436C">
        <w:rPr>
          <w:rStyle w:val="apple-converted-space"/>
          <w:rFonts w:ascii="Times New Roman" w:hAnsi="Times New Roman" w:cs="Times New Roman"/>
          <w:sz w:val="24"/>
          <w:szCs w:val="24"/>
          <w:lang w:val="en-AU"/>
        </w:rPr>
        <w:t xml:space="preserve">also </w:t>
      </w:r>
      <w:r w:rsidRPr="009B436C">
        <w:rPr>
          <w:rStyle w:val="apple-converted-space"/>
          <w:rFonts w:ascii="Times New Roman" w:hAnsi="Times New Roman" w:cs="Times New Roman"/>
          <w:sz w:val="24"/>
          <w:szCs w:val="24"/>
          <w:lang w:val="en-AU"/>
        </w:rPr>
        <w:t>contribute to lowering incidence</w:t>
      </w:r>
      <w:r w:rsidR="00796644" w:rsidRPr="009B436C">
        <w:rPr>
          <w:rStyle w:val="apple-converted-space"/>
          <w:rFonts w:ascii="Times New Roman" w:hAnsi="Times New Roman" w:cs="Times New Roman"/>
          <w:sz w:val="24"/>
          <w:szCs w:val="24"/>
          <w:lang w:val="en-AU"/>
        </w:rPr>
        <w:t>s</w:t>
      </w:r>
      <w:r w:rsidRPr="009B436C">
        <w:rPr>
          <w:rStyle w:val="apple-converted-space"/>
          <w:rFonts w:ascii="Times New Roman" w:hAnsi="Times New Roman" w:cs="Times New Roman"/>
          <w:sz w:val="24"/>
          <w:szCs w:val="24"/>
          <w:lang w:val="en-AU"/>
        </w:rPr>
        <w:t xml:space="preserve"> </w:t>
      </w:r>
      <w:r w:rsidR="00796644" w:rsidRPr="009B436C">
        <w:rPr>
          <w:rStyle w:val="apple-converted-space"/>
          <w:rFonts w:ascii="Times New Roman" w:hAnsi="Times New Roman" w:cs="Times New Roman"/>
          <w:sz w:val="24"/>
          <w:szCs w:val="24"/>
          <w:lang w:val="en-AU"/>
        </w:rPr>
        <w:t>of abuse</w:t>
      </w:r>
      <w:r w:rsidRPr="009B436C">
        <w:rPr>
          <w:rStyle w:val="apple-converted-space"/>
          <w:rFonts w:ascii="Times New Roman" w:hAnsi="Times New Roman" w:cs="Times New Roman"/>
          <w:sz w:val="24"/>
          <w:szCs w:val="24"/>
          <w:lang w:val="en-AU"/>
        </w:rPr>
        <w:t>.</w:t>
      </w:r>
    </w:p>
    <w:p w:rsidR="00535775" w:rsidRDefault="00535775">
      <w:pPr>
        <w:pStyle w:val="Body"/>
        <w:spacing w:after="0" w:line="240" w:lineRule="auto"/>
        <w:jc w:val="both"/>
        <w:rPr>
          <w:rStyle w:val="apple-converted-space"/>
          <w:rFonts w:ascii="Times New Roman" w:hAnsi="Times New Roman" w:cs="Times New Roman"/>
          <w:sz w:val="24"/>
          <w:szCs w:val="24"/>
          <w:lang w:val="en-AU"/>
        </w:rPr>
      </w:pPr>
    </w:p>
    <w:p w:rsidR="00535775" w:rsidRPr="009B436C" w:rsidRDefault="009B2618" w:rsidP="009A64E8">
      <w:pPr>
        <w:pStyle w:val="Body"/>
        <w:pBdr>
          <w:top w:val="single" w:sz="4" w:space="1" w:color="auto"/>
          <w:left w:val="single" w:sz="4" w:space="1" w:color="auto"/>
          <w:bottom w:val="single" w:sz="4" w:space="1" w:color="auto"/>
          <w:right w:val="single" w:sz="4" w:space="1" w:color="auto"/>
        </w:pBdr>
        <w:shd w:val="clear" w:color="auto" w:fill="DEEAF6" w:themeFill="accent1" w:themeFillTint="33"/>
        <w:spacing w:after="0" w:line="240" w:lineRule="auto"/>
        <w:jc w:val="both"/>
        <w:rPr>
          <w:rFonts w:ascii="Times New Roman" w:hAnsi="Times New Roman" w:cs="Times New Roman"/>
          <w:sz w:val="24"/>
          <w:szCs w:val="24"/>
          <w:lang w:val="en-AU"/>
        </w:rPr>
      </w:pPr>
      <w:r>
        <w:rPr>
          <w:rStyle w:val="apple-converted-space"/>
          <w:rFonts w:ascii="Times New Roman" w:hAnsi="Times New Roman" w:cs="Times New Roman"/>
          <w:b/>
          <w:sz w:val="24"/>
          <w:szCs w:val="24"/>
          <w:lang w:val="en-AU"/>
        </w:rPr>
        <w:t>Submission</w:t>
      </w:r>
      <w:r w:rsidR="00535775">
        <w:rPr>
          <w:rStyle w:val="apple-converted-space"/>
          <w:rFonts w:ascii="Times New Roman" w:hAnsi="Times New Roman" w:cs="Times New Roman"/>
          <w:sz w:val="24"/>
          <w:szCs w:val="24"/>
          <w:lang w:val="en-AU"/>
        </w:rPr>
        <w:t xml:space="preserve">: recognition of the interests of care-givers is appropriate under a human rights based approach. </w:t>
      </w:r>
    </w:p>
    <w:p w:rsidR="00875EAE" w:rsidRDefault="00875EAE">
      <w:pPr>
        <w:pStyle w:val="Body"/>
        <w:spacing w:after="0" w:line="240" w:lineRule="auto"/>
        <w:jc w:val="both"/>
        <w:rPr>
          <w:rFonts w:ascii="Times New Roman" w:eastAsia="Times New Roman" w:hAnsi="Times New Roman" w:cs="Times New Roman"/>
          <w:sz w:val="24"/>
          <w:szCs w:val="24"/>
          <w:lang w:val="en-AU"/>
        </w:rPr>
      </w:pPr>
    </w:p>
    <w:p w:rsidR="00B535D8" w:rsidRPr="009B436C" w:rsidRDefault="00B535D8">
      <w:pPr>
        <w:pStyle w:val="Body"/>
        <w:spacing w:after="0" w:line="240" w:lineRule="auto"/>
        <w:jc w:val="both"/>
        <w:rPr>
          <w:rFonts w:ascii="Times New Roman" w:eastAsia="Times New Roman" w:hAnsi="Times New Roman" w:cs="Times New Roman"/>
          <w:sz w:val="24"/>
          <w:szCs w:val="24"/>
          <w:lang w:val="en-AU"/>
        </w:rPr>
      </w:pPr>
    </w:p>
    <w:p w:rsidR="00B23E0F" w:rsidRPr="009B436C" w:rsidRDefault="00333DA0">
      <w:pPr>
        <w:pStyle w:val="Body"/>
        <w:spacing w:after="0" w:line="240" w:lineRule="auto"/>
        <w:jc w:val="both"/>
        <w:rPr>
          <w:rFonts w:ascii="Times New Roman" w:eastAsia="Times New Roman" w:hAnsi="Times New Roman" w:cs="Times New Roman"/>
          <w:b/>
          <w:sz w:val="24"/>
          <w:szCs w:val="24"/>
          <w:u w:val="single"/>
          <w:lang w:val="en-AU"/>
        </w:rPr>
      </w:pPr>
      <w:r>
        <w:rPr>
          <w:rFonts w:ascii="Times New Roman" w:eastAsia="Times New Roman" w:hAnsi="Times New Roman" w:cs="Times New Roman"/>
          <w:b/>
          <w:sz w:val="24"/>
          <w:szCs w:val="24"/>
          <w:u w:val="single"/>
          <w:lang w:val="en-AU"/>
        </w:rPr>
        <w:t xml:space="preserve">2. </w:t>
      </w:r>
      <w:r w:rsidR="00B23E0F" w:rsidRPr="009B436C">
        <w:rPr>
          <w:rFonts w:ascii="Times New Roman" w:eastAsia="Times New Roman" w:hAnsi="Times New Roman" w:cs="Times New Roman"/>
          <w:b/>
          <w:sz w:val="24"/>
          <w:szCs w:val="24"/>
          <w:u w:val="single"/>
          <w:lang w:val="en-AU"/>
        </w:rPr>
        <w:t xml:space="preserve">Specific proposals and questions </w:t>
      </w:r>
    </w:p>
    <w:p w:rsidR="00C7294C" w:rsidRPr="009B436C" w:rsidRDefault="00DF05AA">
      <w:pPr>
        <w:pStyle w:val="Body"/>
        <w:spacing w:after="0" w:line="240" w:lineRule="auto"/>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 xml:space="preserve">We make the following submissions in response to the </w:t>
      </w:r>
      <w:r w:rsidR="004E6C39">
        <w:rPr>
          <w:rStyle w:val="apple-converted-space"/>
          <w:rFonts w:ascii="Times New Roman" w:hAnsi="Times New Roman" w:cs="Times New Roman"/>
          <w:sz w:val="24"/>
          <w:szCs w:val="24"/>
          <w:lang w:val="en-AU"/>
        </w:rPr>
        <w:t xml:space="preserve">specific </w:t>
      </w:r>
      <w:r w:rsidRPr="009B436C">
        <w:rPr>
          <w:rStyle w:val="apple-converted-space"/>
          <w:rFonts w:ascii="Times New Roman" w:hAnsi="Times New Roman" w:cs="Times New Roman"/>
          <w:sz w:val="24"/>
          <w:szCs w:val="24"/>
          <w:lang w:val="en-AU"/>
        </w:rPr>
        <w:t xml:space="preserve">proposals and questions set out in DP 83: </w:t>
      </w:r>
    </w:p>
    <w:p w:rsidR="00C7294C" w:rsidRPr="009B436C" w:rsidRDefault="00C7294C">
      <w:pPr>
        <w:pStyle w:val="Body"/>
        <w:spacing w:after="0" w:line="240" w:lineRule="auto"/>
        <w:jc w:val="both"/>
        <w:rPr>
          <w:rFonts w:ascii="Times New Roman" w:eastAsia="Times New Roman" w:hAnsi="Times New Roman" w:cs="Times New Roman"/>
          <w:sz w:val="24"/>
          <w:szCs w:val="24"/>
          <w:lang w:val="en-AU"/>
        </w:rPr>
      </w:pPr>
    </w:p>
    <w:p w:rsidR="00C7294C" w:rsidRPr="009B436C" w:rsidRDefault="00DF05AA" w:rsidP="00301255">
      <w:pPr>
        <w:pStyle w:val="Body"/>
        <w:numPr>
          <w:ilvl w:val="1"/>
          <w:numId w:val="10"/>
        </w:numPr>
        <w:spacing w:after="0" w:line="240" w:lineRule="auto"/>
        <w:jc w:val="both"/>
        <w:rPr>
          <w:rStyle w:val="apple-converted-space"/>
          <w:rFonts w:ascii="Times New Roman" w:eastAsia="Times New Roman" w:hAnsi="Times New Roman" w:cs="Times New Roman"/>
          <w:b/>
          <w:bCs/>
          <w:sz w:val="24"/>
          <w:szCs w:val="24"/>
          <w:lang w:val="en-AU"/>
        </w:rPr>
      </w:pPr>
      <w:r w:rsidRPr="009B436C">
        <w:rPr>
          <w:rStyle w:val="apple-converted-space"/>
          <w:rFonts w:ascii="Times New Roman" w:hAnsi="Times New Roman" w:cs="Times New Roman"/>
          <w:b/>
          <w:bCs/>
          <w:sz w:val="24"/>
          <w:szCs w:val="24"/>
          <w:lang w:val="en-AU"/>
        </w:rPr>
        <w:t>National Plan</w:t>
      </w:r>
    </w:p>
    <w:p w:rsidR="007B38D8" w:rsidRPr="00301255" w:rsidRDefault="00301255" w:rsidP="00301255">
      <w:pPr>
        <w:jc w:val="both"/>
        <w:rPr>
          <w:rStyle w:val="apple-converted-space"/>
          <w:rFonts w:eastAsia="Times New Roman"/>
          <w:lang w:val="en-AU"/>
        </w:rPr>
      </w:pPr>
      <w:r>
        <w:rPr>
          <w:rStyle w:val="apple-converted-space"/>
          <w:lang w:val="en-AU"/>
        </w:rPr>
        <w:t xml:space="preserve">2.1.1 </w:t>
      </w:r>
      <w:r w:rsidR="00DF05AA" w:rsidRPr="00301255">
        <w:rPr>
          <w:rStyle w:val="apple-converted-space"/>
          <w:lang w:val="en-AU"/>
        </w:rPr>
        <w:t>Proposal 2-1</w:t>
      </w:r>
    </w:p>
    <w:p w:rsidR="00C7294C" w:rsidRPr="007B38D8" w:rsidRDefault="00DF05AA" w:rsidP="007B38D8">
      <w:pPr>
        <w:jc w:val="both"/>
        <w:rPr>
          <w:rStyle w:val="apple-converted-space"/>
          <w:lang w:val="en-AU"/>
        </w:rPr>
      </w:pPr>
      <w:r w:rsidRPr="007B38D8">
        <w:rPr>
          <w:rStyle w:val="apple-converted-space"/>
          <w:lang w:val="en-AU"/>
        </w:rPr>
        <w:t xml:space="preserve">We agree that a national plan to address elder abuse should be developed. </w:t>
      </w:r>
    </w:p>
    <w:p w:rsidR="007B38D8" w:rsidRDefault="007B38D8" w:rsidP="007B38D8">
      <w:pPr>
        <w:ind w:left="720"/>
        <w:jc w:val="both"/>
        <w:rPr>
          <w:lang w:val="en-AU"/>
        </w:rPr>
      </w:pPr>
    </w:p>
    <w:p w:rsidR="00573A7D" w:rsidRPr="009B436C" w:rsidRDefault="00573A7D" w:rsidP="007B38D8">
      <w:pPr>
        <w:jc w:val="both"/>
        <w:rPr>
          <w:lang w:val="en-AU"/>
        </w:rPr>
      </w:pPr>
      <w:r w:rsidRPr="009B436C">
        <w:rPr>
          <w:lang w:val="en-AU"/>
        </w:rPr>
        <w:t>This submission supports the proposal to introduce a national plan to combat elder abuse</w:t>
      </w:r>
      <w:r w:rsidR="005D49E2">
        <w:rPr>
          <w:lang w:val="en-AU"/>
        </w:rPr>
        <w:t xml:space="preserve"> and </w:t>
      </w:r>
      <w:r w:rsidR="005D49E2" w:rsidRPr="009B436C">
        <w:rPr>
          <w:lang w:val="en-AU"/>
        </w:rPr>
        <w:t>the conceptualisation of elder abuse a</w:t>
      </w:r>
      <w:r w:rsidR="005D49E2" w:rsidRPr="00582B1C">
        <w:rPr>
          <w:lang w:val="en-AU"/>
        </w:rPr>
        <w:t xml:space="preserve">s a human rights issue </w:t>
      </w:r>
      <w:r w:rsidRPr="00582B1C">
        <w:rPr>
          <w:lang w:val="en-AU"/>
        </w:rPr>
        <w:t>but advocates that any such plan must also address the pervasive issue of ageism</w:t>
      </w:r>
      <w:r w:rsidRPr="009B436C">
        <w:rPr>
          <w:lang w:val="en-AU"/>
        </w:rPr>
        <w:t xml:space="preserve">. </w:t>
      </w:r>
    </w:p>
    <w:p w:rsidR="00573A7D" w:rsidRPr="009B436C" w:rsidRDefault="00573A7D" w:rsidP="00573A7D">
      <w:pPr>
        <w:jc w:val="both"/>
        <w:rPr>
          <w:lang w:val="en-AU"/>
        </w:rPr>
      </w:pPr>
    </w:p>
    <w:p w:rsidR="00573A7D" w:rsidRDefault="00573A7D" w:rsidP="007B38D8">
      <w:pPr>
        <w:jc w:val="both"/>
        <w:rPr>
          <w:lang w:val="en-AU"/>
        </w:rPr>
      </w:pPr>
      <w:r w:rsidRPr="00040DBB">
        <w:rPr>
          <w:b/>
          <w:lang w:val="en-AU"/>
        </w:rPr>
        <w:t>Ageism</w:t>
      </w:r>
      <w:r w:rsidRPr="009B436C">
        <w:rPr>
          <w:lang w:val="en-AU"/>
        </w:rPr>
        <w:t xml:space="preserve"> is the stereotyping of and discrimination against individuals or groups based on their age. These negative attitudes are present with</w:t>
      </w:r>
      <w:r w:rsidR="00995AFF">
        <w:rPr>
          <w:lang w:val="en-AU"/>
        </w:rPr>
        <w:t>in</w:t>
      </w:r>
      <w:r w:rsidRPr="009B436C">
        <w:rPr>
          <w:lang w:val="en-AU"/>
        </w:rPr>
        <w:t xml:space="preserve"> the health and aged care settings where older adults are at their most vulnerable.</w:t>
      </w:r>
      <w:r w:rsidRPr="009B436C">
        <w:rPr>
          <w:rStyle w:val="FootnoteReference"/>
          <w:lang w:val="en-AU"/>
        </w:rPr>
        <w:footnoteReference w:id="13"/>
      </w:r>
      <w:r w:rsidRPr="009B436C">
        <w:rPr>
          <w:lang w:val="en-AU"/>
        </w:rPr>
        <w:t xml:space="preserve"> By taking no active steps to combat ageism, the promotion of stereotypes of older people as being incompetent, slow and an economic burden becomes a self-fulfilling prophecy. </w:t>
      </w:r>
      <w:r w:rsidRPr="007B38D8">
        <w:rPr>
          <w:lang w:val="en-AU"/>
        </w:rPr>
        <w:t>In that regard, the</w:t>
      </w:r>
      <w:r w:rsidRPr="00161970">
        <w:rPr>
          <w:lang w:val="en-AU"/>
        </w:rPr>
        <w:t xml:space="preserve"> national plan to combat elder abuse must also seek to </w:t>
      </w:r>
      <w:r w:rsidRPr="00470EFD">
        <w:rPr>
          <w:b/>
          <w:lang w:val="en-AU"/>
        </w:rPr>
        <w:t>educate</w:t>
      </w:r>
      <w:r w:rsidRPr="00470EFD">
        <w:rPr>
          <w:lang w:val="en-AU"/>
        </w:rPr>
        <w:t xml:space="preserve"> the general community on the multiple benefits of older people </w:t>
      </w:r>
      <w:r w:rsidRPr="00A03A0F">
        <w:rPr>
          <w:lang w:val="en-AU"/>
        </w:rPr>
        <w:t>in our society.</w:t>
      </w:r>
    </w:p>
    <w:p w:rsidR="00E94EB8" w:rsidRDefault="00E94EB8" w:rsidP="007B38D8">
      <w:pPr>
        <w:jc w:val="both"/>
        <w:rPr>
          <w:lang w:val="en-AU"/>
        </w:rPr>
      </w:pPr>
    </w:p>
    <w:p w:rsidR="00E94EB8"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lang w:val="en-AU"/>
        </w:rPr>
      </w:pPr>
      <w:r>
        <w:rPr>
          <w:rStyle w:val="apple-converted-space"/>
          <w:b/>
          <w:lang w:val="en-AU"/>
        </w:rPr>
        <w:t>Submission</w:t>
      </w:r>
      <w:r w:rsidR="00E94EB8">
        <w:rPr>
          <w:lang w:val="en-AU"/>
        </w:rPr>
        <w:t>: a national plan to address elder abuse should be developed which addresses issues of ageism. Education about these issues and the plan is vital.</w:t>
      </w:r>
    </w:p>
    <w:p w:rsidR="00E94EB8" w:rsidRPr="008C0D33" w:rsidRDefault="00E94EB8" w:rsidP="007B38D8">
      <w:pPr>
        <w:jc w:val="both"/>
        <w:rPr>
          <w:rStyle w:val="apple-converted-space"/>
          <w:lang w:val="en-AU"/>
        </w:rPr>
      </w:pPr>
    </w:p>
    <w:p w:rsidR="00C7294C" w:rsidRPr="009B436C" w:rsidRDefault="00C7294C">
      <w:pPr>
        <w:pStyle w:val="ListParagraph"/>
        <w:spacing w:after="0" w:line="240" w:lineRule="auto"/>
        <w:jc w:val="both"/>
        <w:rPr>
          <w:rFonts w:ascii="Times New Roman" w:eastAsia="Times New Roman" w:hAnsi="Times New Roman" w:cs="Times New Roman"/>
          <w:sz w:val="24"/>
          <w:szCs w:val="24"/>
          <w:lang w:val="en-AU"/>
        </w:rPr>
      </w:pPr>
    </w:p>
    <w:p w:rsidR="00C7294C" w:rsidRPr="007B0E6E" w:rsidRDefault="00DF05AA" w:rsidP="007B0E6E">
      <w:pPr>
        <w:pStyle w:val="ListParagraph"/>
        <w:numPr>
          <w:ilvl w:val="2"/>
          <w:numId w:val="11"/>
        </w:numPr>
        <w:jc w:val="both"/>
        <w:rPr>
          <w:rStyle w:val="apple-converted-space"/>
          <w:rFonts w:ascii="Times New Roman" w:eastAsia="Times New Roman" w:hAnsi="Times New Roman" w:cs="Times New Roman"/>
          <w:sz w:val="24"/>
          <w:szCs w:val="24"/>
          <w:lang w:val="en-AU"/>
        </w:rPr>
      </w:pPr>
      <w:r w:rsidRPr="007B0E6E">
        <w:rPr>
          <w:rStyle w:val="apple-converted-space"/>
          <w:rFonts w:ascii="Times New Roman" w:hAnsi="Times New Roman" w:cs="Times New Roman"/>
          <w:sz w:val="24"/>
          <w:szCs w:val="24"/>
          <w:lang w:val="en-AU"/>
        </w:rPr>
        <w:t>Proposal 2-2</w:t>
      </w:r>
    </w:p>
    <w:p w:rsidR="0095228B" w:rsidRPr="00CF309B" w:rsidRDefault="00DF05AA" w:rsidP="00864366">
      <w:pPr>
        <w:jc w:val="both"/>
        <w:rPr>
          <w:rStyle w:val="apple-converted-space"/>
          <w:lang w:val="en-AU"/>
        </w:rPr>
      </w:pPr>
      <w:r w:rsidRPr="00CF309B">
        <w:rPr>
          <w:rStyle w:val="apple-converted-space"/>
          <w:lang w:val="en-AU"/>
        </w:rPr>
        <w:t>We agree that a national prevalence study of elder abuse should be commissioned</w:t>
      </w:r>
      <w:r w:rsidR="00916D30" w:rsidRPr="00CF309B">
        <w:rPr>
          <w:rStyle w:val="apple-converted-space"/>
          <w:lang w:val="en-AU"/>
        </w:rPr>
        <w:t xml:space="preserve">. This should </w:t>
      </w:r>
      <w:r w:rsidR="00D86871" w:rsidRPr="00CF309B">
        <w:rPr>
          <w:rStyle w:val="apple-converted-space"/>
          <w:lang w:val="en-AU"/>
        </w:rPr>
        <w:t xml:space="preserve">specifically </w:t>
      </w:r>
      <w:r w:rsidR="00C02D64" w:rsidRPr="00CF309B">
        <w:rPr>
          <w:rStyle w:val="apple-converted-space"/>
          <w:lang w:val="en-AU"/>
        </w:rPr>
        <w:t>tak</w:t>
      </w:r>
      <w:r w:rsidR="00916D30" w:rsidRPr="00CF309B">
        <w:rPr>
          <w:rStyle w:val="apple-converted-space"/>
          <w:lang w:val="en-AU"/>
        </w:rPr>
        <w:t>e</w:t>
      </w:r>
      <w:r w:rsidR="00C02D64" w:rsidRPr="00CF309B">
        <w:rPr>
          <w:rStyle w:val="apple-converted-space"/>
          <w:lang w:val="en-AU"/>
        </w:rPr>
        <w:t xml:space="preserve"> into account the </w:t>
      </w:r>
      <w:r w:rsidR="0095228B" w:rsidRPr="00CF309B">
        <w:rPr>
          <w:rStyle w:val="apple-converted-space"/>
          <w:lang w:val="en-AU"/>
        </w:rPr>
        <w:t>following:</w:t>
      </w:r>
    </w:p>
    <w:p w:rsidR="0095228B" w:rsidRPr="009B436C" w:rsidRDefault="002A6B6F" w:rsidP="0095228B">
      <w:pPr>
        <w:pStyle w:val="ListParagraph"/>
        <w:numPr>
          <w:ilvl w:val="0"/>
          <w:numId w:val="8"/>
        </w:numPr>
        <w:spacing w:after="0" w:line="240" w:lineRule="auto"/>
        <w:jc w:val="both"/>
        <w:rPr>
          <w:rFonts w:ascii="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 xml:space="preserve">gender specific </w:t>
      </w:r>
      <w:r w:rsidR="00C02D64" w:rsidRPr="009B436C">
        <w:rPr>
          <w:rStyle w:val="apple-converted-space"/>
          <w:rFonts w:ascii="Times New Roman" w:hAnsi="Times New Roman" w:cs="Times New Roman"/>
          <w:sz w:val="24"/>
          <w:szCs w:val="24"/>
          <w:lang w:val="en-AU"/>
        </w:rPr>
        <w:t>issues facing older women</w:t>
      </w:r>
      <w:r w:rsidR="0095228B" w:rsidRPr="009B436C">
        <w:rPr>
          <w:rFonts w:ascii="Times New Roman" w:hAnsi="Times New Roman" w:cs="Times New Roman"/>
          <w:sz w:val="24"/>
          <w:szCs w:val="24"/>
          <w:lang w:val="en-AU"/>
        </w:rPr>
        <w:t>; and</w:t>
      </w:r>
    </w:p>
    <w:p w:rsidR="0095228B" w:rsidRPr="009B436C" w:rsidRDefault="00BE39C3" w:rsidP="0095228B">
      <w:pPr>
        <w:pStyle w:val="ListParagraph"/>
        <w:numPr>
          <w:ilvl w:val="0"/>
          <w:numId w:val="8"/>
        </w:numPr>
        <w:spacing w:after="0" w:line="240" w:lineRule="auto"/>
        <w:jc w:val="both"/>
        <w:rPr>
          <w:rFonts w:ascii="Times New Roman" w:hAnsi="Times New Roman" w:cs="Times New Roman"/>
          <w:sz w:val="24"/>
          <w:szCs w:val="24"/>
          <w:lang w:val="en-AU"/>
        </w:rPr>
      </w:pPr>
      <w:proofErr w:type="gramStart"/>
      <w:r>
        <w:rPr>
          <w:rFonts w:ascii="Times New Roman" w:hAnsi="Times New Roman" w:cs="Times New Roman"/>
          <w:sz w:val="24"/>
          <w:szCs w:val="24"/>
          <w:lang w:val="en-AU"/>
        </w:rPr>
        <w:t>differentiating</w:t>
      </w:r>
      <w:proofErr w:type="gramEnd"/>
      <w:r>
        <w:rPr>
          <w:rFonts w:ascii="Times New Roman" w:hAnsi="Times New Roman" w:cs="Times New Roman"/>
          <w:sz w:val="24"/>
          <w:szCs w:val="24"/>
          <w:lang w:val="en-AU"/>
        </w:rPr>
        <w:t xml:space="preserve"> between </w:t>
      </w:r>
      <w:r w:rsidR="0095228B" w:rsidRPr="009B436C">
        <w:rPr>
          <w:rFonts w:ascii="Times New Roman" w:hAnsi="Times New Roman" w:cs="Times New Roman"/>
          <w:sz w:val="24"/>
          <w:szCs w:val="24"/>
          <w:lang w:val="en-AU"/>
        </w:rPr>
        <w:t>the ‘old’ and ‘old-old’ categories identified</w:t>
      </w:r>
      <w:r>
        <w:rPr>
          <w:rFonts w:ascii="Times New Roman" w:hAnsi="Times New Roman" w:cs="Times New Roman"/>
          <w:sz w:val="24"/>
          <w:szCs w:val="24"/>
          <w:lang w:val="en-AU"/>
        </w:rPr>
        <w:t>.</w:t>
      </w:r>
    </w:p>
    <w:p w:rsidR="00812324" w:rsidRPr="009B436C" w:rsidRDefault="00812324" w:rsidP="0095228B">
      <w:pPr>
        <w:ind w:left="1800"/>
        <w:jc w:val="both"/>
        <w:rPr>
          <w:lang w:val="en-AU"/>
        </w:rPr>
      </w:pPr>
    </w:p>
    <w:p w:rsidR="00625741" w:rsidRDefault="00916D30" w:rsidP="00734F55">
      <w:pPr>
        <w:jc w:val="both"/>
        <w:rPr>
          <w:lang w:val="en-AU"/>
        </w:rPr>
      </w:pPr>
      <w:r w:rsidRPr="00CF309B">
        <w:rPr>
          <w:lang w:val="en-AU"/>
        </w:rPr>
        <w:t>Demographic figures have long indicated that female life expectancy is greater than male life expectancy and that the majority of the elderly are women. This therefore places older women in an especially vulnerable position because of their reliance on, for example, family fo</w:t>
      </w:r>
      <w:r w:rsidR="00C546F9">
        <w:rPr>
          <w:lang w:val="en-AU"/>
        </w:rPr>
        <w:t xml:space="preserve">r financial and other support. </w:t>
      </w:r>
      <w:r w:rsidRPr="00CF309B">
        <w:rPr>
          <w:lang w:val="en-AU"/>
        </w:rPr>
        <w:t xml:space="preserve">Neglect, abuse and violence against older women often </w:t>
      </w:r>
      <w:proofErr w:type="gramStart"/>
      <w:r w:rsidRPr="00CF309B">
        <w:rPr>
          <w:lang w:val="en-AU"/>
        </w:rPr>
        <w:t>goes</w:t>
      </w:r>
      <w:proofErr w:type="gramEnd"/>
      <w:r w:rsidRPr="00CF309B">
        <w:rPr>
          <w:lang w:val="en-AU"/>
        </w:rPr>
        <w:t xml:space="preserve"> undetected. A 2013 report, </w:t>
      </w:r>
      <w:r w:rsidRPr="00CF309B">
        <w:rPr>
          <w:i/>
          <w:lang w:val="en-AU"/>
        </w:rPr>
        <w:t>Neglect, Abuse and Violence against Older Women</w:t>
      </w:r>
      <w:r w:rsidR="000674D0" w:rsidRPr="00CF309B">
        <w:rPr>
          <w:lang w:val="en-AU"/>
        </w:rPr>
        <w:t>,</w:t>
      </w:r>
      <w:r w:rsidRPr="009B436C">
        <w:rPr>
          <w:rStyle w:val="FootnoteReference"/>
          <w:lang w:val="en-AU"/>
        </w:rPr>
        <w:footnoteReference w:id="14"/>
      </w:r>
      <w:r w:rsidRPr="00CF309B">
        <w:rPr>
          <w:lang w:val="en-AU"/>
        </w:rPr>
        <w:t xml:space="preserve"> presents the different risk factors and forms of abuse suffered by older women. </w:t>
      </w:r>
      <w:r w:rsidRPr="00734F55">
        <w:rPr>
          <w:lang w:val="en-AU"/>
        </w:rPr>
        <w:t>There is however a lack of comprehensive data on older women’s experiences of neglect, violence and abuse</w:t>
      </w:r>
      <w:r w:rsidR="00B62220">
        <w:rPr>
          <w:lang w:val="en-AU"/>
        </w:rPr>
        <w:t xml:space="preserve">. </w:t>
      </w:r>
      <w:r w:rsidRPr="00734F55">
        <w:rPr>
          <w:lang w:val="en-AU"/>
        </w:rPr>
        <w:t>Such data is essential for the development of comprehensive evidence-based policies and for measuring the effectiveness of legislation or a national plan targeting elder abuse. The Secretary</w:t>
      </w:r>
      <w:r w:rsidR="000674D0" w:rsidRPr="00734F55">
        <w:rPr>
          <w:lang w:val="en-AU"/>
        </w:rPr>
        <w:t>-</w:t>
      </w:r>
      <w:r w:rsidRPr="00734F55">
        <w:rPr>
          <w:lang w:val="en-AU"/>
        </w:rPr>
        <w:t>General in his 2014 report to the United Nations General Assembly stated that most studies on violence against women survey only women under the age of 50 years</w:t>
      </w:r>
      <w:r w:rsidR="000674D0" w:rsidRPr="00734F55">
        <w:rPr>
          <w:lang w:val="en-AU"/>
        </w:rPr>
        <w:t>,</w:t>
      </w:r>
      <w:r w:rsidRPr="00734F55">
        <w:rPr>
          <w:lang w:val="en-AU"/>
        </w:rPr>
        <w:t xml:space="preserve"> thereby omitting older women altogether.</w:t>
      </w:r>
      <w:r w:rsidR="000138E2">
        <w:rPr>
          <w:rStyle w:val="FootnoteReference"/>
        </w:rPr>
        <w:footnoteReference w:id="15"/>
      </w:r>
      <w:r w:rsidRPr="00734F55">
        <w:rPr>
          <w:lang w:val="en-AU"/>
        </w:rPr>
        <w:t xml:space="preserve"> The Secretary</w:t>
      </w:r>
      <w:r w:rsidR="000674D0" w:rsidRPr="00734F55">
        <w:rPr>
          <w:lang w:val="en-AU"/>
        </w:rPr>
        <w:t>-</w:t>
      </w:r>
      <w:r w:rsidRPr="00734F55">
        <w:rPr>
          <w:lang w:val="en-AU"/>
        </w:rPr>
        <w:t xml:space="preserve">General suggests that this situation reflects the lack of an agreed definition of what is </w:t>
      </w:r>
      <w:r w:rsidRPr="00A75531">
        <w:rPr>
          <w:b/>
          <w:lang w:val="en-AU"/>
        </w:rPr>
        <w:lastRenderedPageBreak/>
        <w:t>violence against older women</w:t>
      </w:r>
      <w:r w:rsidRPr="00734F55">
        <w:rPr>
          <w:lang w:val="en-AU"/>
        </w:rPr>
        <w:t>. The report concludes by recommending that Member States ‘consider developing an explicit reference and policy framework for addressing neglect, violence and abuse against older women</w:t>
      </w:r>
      <w:r w:rsidR="000674D0" w:rsidRPr="00734F55">
        <w:rPr>
          <w:lang w:val="en-AU"/>
        </w:rPr>
        <w:t>’</w:t>
      </w:r>
      <w:r w:rsidRPr="00734F55">
        <w:rPr>
          <w:lang w:val="en-AU"/>
        </w:rPr>
        <w:t>.</w:t>
      </w:r>
      <w:r w:rsidRPr="009B436C">
        <w:rPr>
          <w:rStyle w:val="FootnoteReference"/>
          <w:lang w:val="en-AU"/>
        </w:rPr>
        <w:footnoteReference w:id="16"/>
      </w:r>
      <w:r w:rsidRPr="00734F55">
        <w:rPr>
          <w:lang w:val="en-AU"/>
        </w:rPr>
        <w:t xml:space="preserve"> </w:t>
      </w:r>
    </w:p>
    <w:p w:rsidR="00625741" w:rsidRDefault="00625741" w:rsidP="00734F55">
      <w:pPr>
        <w:jc w:val="both"/>
        <w:rPr>
          <w:lang w:val="en-AU"/>
        </w:rPr>
      </w:pPr>
    </w:p>
    <w:p w:rsidR="00916D30" w:rsidRPr="00734F55"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lang w:val="en-AU"/>
        </w:rPr>
      </w:pPr>
      <w:r>
        <w:rPr>
          <w:rStyle w:val="apple-converted-space"/>
          <w:b/>
          <w:lang w:val="en-AU"/>
        </w:rPr>
        <w:t>Submission</w:t>
      </w:r>
      <w:r w:rsidR="00625741">
        <w:rPr>
          <w:lang w:val="en-AU"/>
        </w:rPr>
        <w:t xml:space="preserve">: </w:t>
      </w:r>
      <w:r w:rsidR="007A6813">
        <w:rPr>
          <w:lang w:val="en-AU"/>
        </w:rPr>
        <w:t xml:space="preserve">A </w:t>
      </w:r>
      <w:r w:rsidR="00916D30" w:rsidRPr="00734F55">
        <w:rPr>
          <w:lang w:val="en-AU"/>
        </w:rPr>
        <w:t xml:space="preserve">prevalence study </w:t>
      </w:r>
      <w:r w:rsidR="007A6813">
        <w:rPr>
          <w:lang w:val="en-AU"/>
        </w:rPr>
        <w:t xml:space="preserve">should be undertaken </w:t>
      </w:r>
      <w:r w:rsidR="00916D30" w:rsidRPr="00734F55">
        <w:rPr>
          <w:lang w:val="en-AU"/>
        </w:rPr>
        <w:t>developing a more harmoni</w:t>
      </w:r>
      <w:r w:rsidR="000674D0" w:rsidRPr="00734F55">
        <w:rPr>
          <w:lang w:val="en-AU"/>
        </w:rPr>
        <w:t>s</w:t>
      </w:r>
      <w:r w:rsidR="00916D30" w:rsidRPr="00734F55">
        <w:rPr>
          <w:lang w:val="en-AU"/>
        </w:rPr>
        <w:t>ed and uniform approach to the prevention of abuse of older Australians, in particular violence against older women. A definition of what constitutes violence against older women should be agreed upon and included in the prevalence study.</w:t>
      </w:r>
      <w:r w:rsidR="007177EB">
        <w:rPr>
          <w:lang w:val="en-AU"/>
        </w:rPr>
        <w:t xml:space="preserve"> </w:t>
      </w:r>
      <w:r w:rsidR="00916D30" w:rsidRPr="00734F55">
        <w:rPr>
          <w:lang w:val="en-AU"/>
        </w:rPr>
        <w:t xml:space="preserve"> </w:t>
      </w:r>
    </w:p>
    <w:p w:rsidR="00916D30" w:rsidRPr="009B436C" w:rsidRDefault="00916D30">
      <w:pPr>
        <w:pStyle w:val="ListParagraph"/>
        <w:spacing w:after="0" w:line="240" w:lineRule="auto"/>
        <w:jc w:val="both"/>
        <w:rPr>
          <w:rStyle w:val="apple-converted-space"/>
          <w:rFonts w:ascii="Times New Roman" w:eastAsia="Times New Roman" w:hAnsi="Times New Roman" w:cs="Times New Roman"/>
          <w:sz w:val="24"/>
          <w:szCs w:val="24"/>
          <w:lang w:val="en-AU"/>
        </w:rPr>
      </w:pPr>
    </w:p>
    <w:p w:rsidR="00C7294C" w:rsidRPr="009B436C" w:rsidRDefault="00C7294C">
      <w:pPr>
        <w:pStyle w:val="Body"/>
        <w:spacing w:after="0" w:line="240" w:lineRule="auto"/>
        <w:jc w:val="both"/>
        <w:rPr>
          <w:rFonts w:ascii="Times New Roman" w:eastAsia="Times New Roman" w:hAnsi="Times New Roman" w:cs="Times New Roman"/>
          <w:sz w:val="24"/>
          <w:szCs w:val="24"/>
          <w:lang w:val="en-AU"/>
        </w:rPr>
      </w:pPr>
    </w:p>
    <w:p w:rsidR="00C7294C" w:rsidRPr="00C2572A" w:rsidRDefault="00F93707" w:rsidP="00C2572A">
      <w:pPr>
        <w:pStyle w:val="Body"/>
        <w:spacing w:after="0" w:line="240" w:lineRule="auto"/>
        <w:jc w:val="both"/>
        <w:rPr>
          <w:rStyle w:val="apple-converted-space"/>
          <w:rFonts w:ascii="Times New Roman" w:eastAsia="Times New Roman" w:hAnsi="Times New Roman" w:cs="Times New Roman"/>
          <w:b/>
          <w:bCs/>
          <w:sz w:val="24"/>
          <w:szCs w:val="24"/>
          <w:lang w:val="en-AU"/>
        </w:rPr>
      </w:pPr>
      <w:r>
        <w:rPr>
          <w:rStyle w:val="apple-converted-space"/>
          <w:rFonts w:ascii="Times New Roman" w:hAnsi="Times New Roman" w:cs="Times New Roman"/>
          <w:b/>
          <w:bCs/>
          <w:sz w:val="24"/>
          <w:szCs w:val="24"/>
          <w:lang w:val="en-AU"/>
        </w:rPr>
        <w:t xml:space="preserve">2.2 </w:t>
      </w:r>
      <w:r w:rsidR="00DF05AA" w:rsidRPr="009B436C">
        <w:rPr>
          <w:rStyle w:val="apple-converted-space"/>
          <w:rFonts w:ascii="Times New Roman" w:hAnsi="Times New Roman" w:cs="Times New Roman"/>
          <w:b/>
          <w:bCs/>
          <w:sz w:val="24"/>
          <w:szCs w:val="24"/>
          <w:lang w:val="en-AU"/>
        </w:rPr>
        <w:t xml:space="preserve">Powers of Investigation </w:t>
      </w:r>
      <w:r w:rsidR="00DF05AA" w:rsidRPr="00C2572A">
        <w:rPr>
          <w:rStyle w:val="apple-converted-space"/>
          <w:rFonts w:ascii="Times New Roman" w:hAnsi="Times New Roman" w:cs="Times New Roman"/>
          <w:sz w:val="24"/>
          <w:szCs w:val="24"/>
          <w:lang w:val="en-AU"/>
        </w:rPr>
        <w:t xml:space="preserve"> </w:t>
      </w:r>
    </w:p>
    <w:p w:rsidR="00C7294C" w:rsidRPr="00F93707" w:rsidRDefault="00DF05AA" w:rsidP="00C2572A">
      <w:pPr>
        <w:pStyle w:val="ListParagraph"/>
        <w:numPr>
          <w:ilvl w:val="2"/>
          <w:numId w:val="12"/>
        </w:numPr>
        <w:spacing w:after="0"/>
        <w:jc w:val="both"/>
        <w:rPr>
          <w:rStyle w:val="apple-converted-space"/>
          <w:rFonts w:ascii="Times New Roman" w:eastAsia="Times New Roman" w:hAnsi="Times New Roman" w:cs="Times New Roman"/>
          <w:sz w:val="24"/>
          <w:szCs w:val="24"/>
          <w:lang w:val="en-AU"/>
        </w:rPr>
      </w:pPr>
      <w:r w:rsidRPr="00F93707">
        <w:rPr>
          <w:rStyle w:val="apple-converted-space"/>
          <w:rFonts w:ascii="Times New Roman" w:hAnsi="Times New Roman" w:cs="Times New Roman"/>
          <w:sz w:val="24"/>
          <w:szCs w:val="24"/>
          <w:lang w:val="en-AU"/>
        </w:rPr>
        <w:t>Proposal 3-1</w:t>
      </w:r>
    </w:p>
    <w:p w:rsidR="00C7294C" w:rsidRPr="00B60F2E" w:rsidRDefault="00DF05AA" w:rsidP="00B60F2E">
      <w:pPr>
        <w:jc w:val="both"/>
        <w:rPr>
          <w:rStyle w:val="apple-converted-space"/>
          <w:rFonts w:eastAsia="Times New Roman"/>
          <w:lang w:val="en-AU"/>
        </w:rPr>
      </w:pPr>
      <w:r w:rsidRPr="00B60F2E">
        <w:rPr>
          <w:rStyle w:val="apple-converted-space"/>
          <w:lang w:val="en-AU"/>
        </w:rPr>
        <w:t xml:space="preserve">We agree that powers of investigation should exist. However, we submit that as framed such an investigation is still predominantly </w:t>
      </w:r>
      <w:proofErr w:type="gramStart"/>
      <w:r w:rsidR="00747CBA">
        <w:rPr>
          <w:rStyle w:val="apple-converted-space"/>
          <w:lang w:val="en-AU"/>
        </w:rPr>
        <w:t>be</w:t>
      </w:r>
      <w:proofErr w:type="gramEnd"/>
      <w:r w:rsidR="00747CBA">
        <w:rPr>
          <w:rStyle w:val="apple-converted-space"/>
          <w:lang w:val="en-AU"/>
        </w:rPr>
        <w:t xml:space="preserve"> </w:t>
      </w:r>
      <w:r w:rsidRPr="00B60F2E">
        <w:rPr>
          <w:rStyle w:val="apple-converted-space"/>
          <w:lang w:val="en-AU"/>
        </w:rPr>
        <w:t xml:space="preserve">reliant upon a complaint or referral being made. We note that the proposal states that the powers of investigation can be exercised by the public advocates or public guardians </w:t>
      </w:r>
      <w:r w:rsidR="000606E7" w:rsidRPr="00B60F2E">
        <w:rPr>
          <w:rStyle w:val="apple-converted-space"/>
          <w:lang w:val="en-AU"/>
        </w:rPr>
        <w:t>of</w:t>
      </w:r>
      <w:r w:rsidRPr="00B60F2E">
        <w:rPr>
          <w:rStyle w:val="apple-converted-space"/>
          <w:lang w:val="en-AU"/>
        </w:rPr>
        <w:t xml:space="preserve"> their own volition. Nevertheless, the question arises as to how they will become aware that there is an issue that needs to be investigated. </w:t>
      </w:r>
    </w:p>
    <w:p w:rsidR="00C7294C" w:rsidRPr="009B436C" w:rsidRDefault="00C7294C">
      <w:pPr>
        <w:pStyle w:val="ListParagraph"/>
        <w:spacing w:after="0" w:line="240" w:lineRule="auto"/>
        <w:jc w:val="both"/>
        <w:rPr>
          <w:rFonts w:ascii="Times New Roman" w:eastAsia="Times New Roman" w:hAnsi="Times New Roman" w:cs="Times New Roman"/>
          <w:sz w:val="24"/>
          <w:szCs w:val="24"/>
          <w:lang w:val="en-AU"/>
        </w:rPr>
      </w:pPr>
    </w:p>
    <w:p w:rsidR="000606E7" w:rsidRPr="00B60F2E"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rFonts w:ascii="Calibri" w:eastAsia="Calibri" w:hAnsi="Calibri" w:cs="Calibri"/>
          <w:color w:val="000000"/>
          <w:sz w:val="22"/>
          <w:szCs w:val="22"/>
          <w:u w:color="000000"/>
          <w:lang w:val="en-AU" w:eastAsia="en-AU"/>
        </w:rPr>
      </w:pPr>
      <w:r>
        <w:rPr>
          <w:rStyle w:val="apple-converted-space"/>
          <w:b/>
          <w:lang w:val="en-AU"/>
        </w:rPr>
        <w:t>Submission</w:t>
      </w:r>
      <w:r w:rsidR="00006596">
        <w:rPr>
          <w:rStyle w:val="apple-converted-space"/>
          <w:lang w:val="en-AU"/>
        </w:rPr>
        <w:t xml:space="preserve">: </w:t>
      </w:r>
      <w:r w:rsidR="00DF05AA" w:rsidRPr="00B60F2E">
        <w:rPr>
          <w:rStyle w:val="apple-converted-space"/>
          <w:lang w:val="en-AU"/>
        </w:rPr>
        <w:t xml:space="preserve">there should be a </w:t>
      </w:r>
      <w:r w:rsidR="00DF05AA" w:rsidRPr="009F310F">
        <w:rPr>
          <w:rStyle w:val="apple-converted-space"/>
          <w:b/>
          <w:lang w:val="en-AU"/>
        </w:rPr>
        <w:t xml:space="preserve">system of </w:t>
      </w:r>
      <w:r w:rsidR="00DF05AA" w:rsidRPr="009F310F">
        <w:rPr>
          <w:rStyle w:val="apple-converted-space"/>
          <w:b/>
          <w:bCs/>
          <w:lang w:val="en-AU"/>
        </w:rPr>
        <w:t>mandatory financial reporting</w:t>
      </w:r>
      <w:r w:rsidR="00DF05AA" w:rsidRPr="00B60F2E">
        <w:rPr>
          <w:rStyle w:val="apple-converted-space"/>
          <w:lang w:val="en-AU"/>
        </w:rPr>
        <w:t xml:space="preserve"> whereby financial attorneys have to provide annual reports in accordance with a prescribed form that </w:t>
      </w:r>
      <w:r w:rsidR="00C120AB">
        <w:rPr>
          <w:rStyle w:val="apple-converted-space"/>
          <w:lang w:val="en-AU"/>
        </w:rPr>
        <w:t>must</w:t>
      </w:r>
      <w:r w:rsidR="00C120AB" w:rsidRPr="00B60F2E">
        <w:rPr>
          <w:rStyle w:val="apple-converted-space"/>
          <w:lang w:val="en-AU"/>
        </w:rPr>
        <w:t xml:space="preserve"> </w:t>
      </w:r>
      <w:r w:rsidR="00DF05AA" w:rsidRPr="00B60F2E">
        <w:rPr>
          <w:rStyle w:val="apple-converted-space"/>
          <w:lang w:val="en-AU"/>
        </w:rPr>
        <w:t xml:space="preserve">be lodged. These can then be randomly audited for any discrepancies. </w:t>
      </w:r>
      <w:r w:rsidR="000606E7" w:rsidRPr="00B60F2E">
        <w:rPr>
          <w:rStyle w:val="apple-converted-space"/>
          <w:lang w:val="en-AU"/>
        </w:rPr>
        <w:t xml:space="preserve"> </w:t>
      </w:r>
    </w:p>
    <w:p w:rsidR="00C7294C" w:rsidRPr="009B436C" w:rsidRDefault="00C7294C" w:rsidP="00326FF8">
      <w:pPr>
        <w:jc w:val="both"/>
        <w:rPr>
          <w:rStyle w:val="apple-converted-space"/>
          <w:rFonts w:eastAsia="Times New Roman"/>
          <w:lang w:val="en-AU"/>
        </w:rPr>
      </w:pPr>
    </w:p>
    <w:p w:rsidR="00C7294C" w:rsidRPr="009B436C" w:rsidRDefault="00C7294C">
      <w:pPr>
        <w:pStyle w:val="ListParagraph"/>
        <w:spacing w:after="0" w:line="240" w:lineRule="auto"/>
        <w:jc w:val="both"/>
        <w:rPr>
          <w:rFonts w:ascii="Times New Roman" w:eastAsia="Times New Roman" w:hAnsi="Times New Roman" w:cs="Times New Roman"/>
          <w:sz w:val="24"/>
          <w:szCs w:val="24"/>
          <w:lang w:val="en-AU"/>
        </w:rPr>
      </w:pPr>
    </w:p>
    <w:p w:rsidR="00C7294C" w:rsidRPr="00C71711" w:rsidRDefault="00DF05AA" w:rsidP="00C2572A">
      <w:pPr>
        <w:pStyle w:val="ListParagraph"/>
        <w:numPr>
          <w:ilvl w:val="2"/>
          <w:numId w:val="12"/>
        </w:numPr>
        <w:spacing w:after="0"/>
        <w:jc w:val="both"/>
        <w:rPr>
          <w:rStyle w:val="apple-converted-space"/>
          <w:rFonts w:ascii="Times New Roman" w:eastAsia="Times New Roman" w:hAnsi="Times New Roman" w:cs="Times New Roman"/>
          <w:sz w:val="24"/>
          <w:szCs w:val="24"/>
          <w:lang w:val="en-AU"/>
        </w:rPr>
      </w:pPr>
      <w:r w:rsidRPr="00C71711">
        <w:rPr>
          <w:rStyle w:val="apple-converted-space"/>
          <w:rFonts w:ascii="Times New Roman" w:hAnsi="Times New Roman" w:cs="Times New Roman"/>
          <w:sz w:val="24"/>
          <w:szCs w:val="24"/>
          <w:lang w:val="en-AU"/>
        </w:rPr>
        <w:t>Proposal 3-2</w:t>
      </w:r>
    </w:p>
    <w:p w:rsidR="009005BC" w:rsidRDefault="00DF05AA" w:rsidP="00C71711">
      <w:pPr>
        <w:jc w:val="both"/>
        <w:rPr>
          <w:rStyle w:val="apple-converted-space"/>
          <w:lang w:val="en-AU"/>
        </w:rPr>
      </w:pPr>
      <w:r w:rsidRPr="00C71711">
        <w:rPr>
          <w:rStyle w:val="apple-converted-space"/>
          <w:lang w:val="en-AU"/>
        </w:rPr>
        <w:t xml:space="preserve">We agree with these principles. </w:t>
      </w:r>
    </w:p>
    <w:p w:rsidR="00A87497" w:rsidRDefault="00A87497" w:rsidP="00C71711">
      <w:pPr>
        <w:jc w:val="both"/>
        <w:rPr>
          <w:rStyle w:val="apple-converted-space"/>
          <w:lang w:val="en-AU"/>
        </w:rPr>
      </w:pPr>
    </w:p>
    <w:tbl>
      <w:tblPr>
        <w:tblStyle w:val="TableGrid"/>
        <w:tblW w:w="0" w:type="auto"/>
        <w:tblLook w:val="04A0"/>
      </w:tblPr>
      <w:tblGrid>
        <w:gridCol w:w="9350"/>
      </w:tblGrid>
      <w:tr w:rsidR="00A87497" w:rsidTr="009A64E8">
        <w:tc>
          <w:tcPr>
            <w:tcW w:w="9350" w:type="dxa"/>
            <w:shd w:val="clear" w:color="auto" w:fill="DEEAF6" w:themeFill="accent1" w:themeFillTint="33"/>
          </w:tcPr>
          <w:p w:rsidR="00A87497" w:rsidRPr="00C71711" w:rsidRDefault="00F47821" w:rsidP="00A87497">
            <w:pPr>
              <w:jc w:val="both"/>
              <w:rPr>
                <w:rStyle w:val="apple-converted-space"/>
                <w:rFonts w:eastAsia="Times New Roman"/>
                <w:lang w:val="en-AU"/>
              </w:rPr>
            </w:pPr>
            <w:r>
              <w:rPr>
                <w:rStyle w:val="apple-converted-space"/>
                <w:b/>
                <w:lang w:val="en-AU"/>
              </w:rPr>
              <w:t>Submission</w:t>
            </w:r>
            <w:r w:rsidR="00A87497">
              <w:rPr>
                <w:rStyle w:val="apple-converted-space"/>
                <w:lang w:val="en-AU"/>
              </w:rPr>
              <w:t xml:space="preserve">: </w:t>
            </w:r>
            <w:r w:rsidR="00A87497" w:rsidRPr="00C71711">
              <w:rPr>
                <w:rStyle w:val="apple-converted-space"/>
                <w:lang w:val="en-AU"/>
              </w:rPr>
              <w:t>In addition we would suggest that the following principles should also be included:</w:t>
            </w:r>
          </w:p>
          <w:p w:rsidR="00A87497" w:rsidRPr="009B436C" w:rsidRDefault="00A87497" w:rsidP="00A87497">
            <w:pPr>
              <w:pStyle w:val="ListParagraph"/>
              <w:spacing w:after="0" w:line="240" w:lineRule="auto"/>
              <w:jc w:val="both"/>
              <w:rPr>
                <w:rFonts w:ascii="Times New Roman" w:eastAsia="Times New Roman" w:hAnsi="Times New Roman" w:cs="Times New Roman"/>
                <w:sz w:val="24"/>
                <w:szCs w:val="24"/>
                <w:lang w:val="en-AU"/>
              </w:rPr>
            </w:pPr>
          </w:p>
          <w:p w:rsidR="00A87497" w:rsidRPr="009B436C" w:rsidRDefault="00A87497" w:rsidP="006D666E">
            <w:pPr>
              <w:pStyle w:val="Body"/>
              <w:numPr>
                <w:ilvl w:val="0"/>
                <w:numId w:val="4"/>
              </w:numPr>
              <w:spacing w:after="12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respect for basic human rights, including the right to be free from ageist stereotypes and discrimination;</w:t>
            </w:r>
          </w:p>
          <w:p w:rsidR="00A87497" w:rsidRPr="009B436C" w:rsidRDefault="00A87497" w:rsidP="006D666E">
            <w:pPr>
              <w:pStyle w:val="Body"/>
              <w:numPr>
                <w:ilvl w:val="0"/>
                <w:numId w:val="4"/>
              </w:numPr>
              <w:spacing w:after="12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freedom of decision, that is, the morality of a particular decision as judged by other people should not determine its validity;</w:t>
            </w:r>
          </w:p>
          <w:p w:rsidR="00A87497" w:rsidRPr="009B436C" w:rsidRDefault="00A87497" w:rsidP="006D666E">
            <w:pPr>
              <w:pStyle w:val="Body"/>
              <w:numPr>
                <w:ilvl w:val="0"/>
                <w:numId w:val="4"/>
              </w:numPr>
              <w:spacing w:after="12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promotion of self-reliance;</w:t>
            </w:r>
          </w:p>
          <w:p w:rsidR="00A87497" w:rsidRPr="009B436C" w:rsidRDefault="00A87497" w:rsidP="006D666E">
            <w:pPr>
              <w:pStyle w:val="Body"/>
              <w:numPr>
                <w:ilvl w:val="0"/>
                <w:numId w:val="4"/>
              </w:numPr>
              <w:spacing w:after="12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encouragement of the community to know and apply the principles;</w:t>
            </w:r>
          </w:p>
          <w:p w:rsidR="00A87497" w:rsidRPr="009B436C" w:rsidRDefault="00A87497" w:rsidP="006D666E">
            <w:pPr>
              <w:pStyle w:val="Body"/>
              <w:numPr>
                <w:ilvl w:val="0"/>
                <w:numId w:val="4"/>
              </w:numPr>
              <w:spacing w:after="12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encouragement of the individual to participate in their community as a valued member of society;</w:t>
            </w:r>
          </w:p>
          <w:p w:rsidR="00A87497" w:rsidRPr="009B436C" w:rsidRDefault="00A87497" w:rsidP="006D666E">
            <w:pPr>
              <w:pStyle w:val="Body"/>
              <w:numPr>
                <w:ilvl w:val="0"/>
                <w:numId w:val="4"/>
              </w:numPr>
              <w:spacing w:after="12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respect for cultural and linguistic differences;</w:t>
            </w:r>
          </w:p>
          <w:p w:rsidR="00A87497" w:rsidRPr="009B436C" w:rsidRDefault="00A87497" w:rsidP="006D666E">
            <w:pPr>
              <w:pStyle w:val="Body"/>
              <w:numPr>
                <w:ilvl w:val="0"/>
                <w:numId w:val="4"/>
              </w:numPr>
              <w:spacing w:after="12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maintenance of the individual’s environment and values; and</w:t>
            </w:r>
          </w:p>
          <w:p w:rsidR="00A87497" w:rsidRPr="009B436C" w:rsidRDefault="00A87497" w:rsidP="006D666E">
            <w:pPr>
              <w:pStyle w:val="Body"/>
              <w:numPr>
                <w:ilvl w:val="0"/>
                <w:numId w:val="4"/>
              </w:numPr>
              <w:spacing w:after="120" w:line="240" w:lineRule="auto"/>
              <w:ind w:left="738" w:hanging="284"/>
              <w:jc w:val="both"/>
              <w:rPr>
                <w:rStyle w:val="apple-converted-space"/>
                <w:rFonts w:ascii="Times New Roman" w:eastAsia="Times New Roman" w:hAnsi="Times New Roman" w:cs="Times New Roman"/>
                <w:sz w:val="24"/>
                <w:szCs w:val="24"/>
                <w:lang w:val="en-AU"/>
              </w:rPr>
            </w:pPr>
            <w:proofErr w:type="gramStart"/>
            <w:r w:rsidRPr="009B436C">
              <w:rPr>
                <w:rStyle w:val="apple-converted-space"/>
                <w:rFonts w:ascii="Times New Roman" w:hAnsi="Times New Roman" w:cs="Times New Roman"/>
                <w:sz w:val="24"/>
                <w:szCs w:val="24"/>
                <w:lang w:val="en-AU"/>
              </w:rPr>
              <w:lastRenderedPageBreak/>
              <w:t>respect</w:t>
            </w:r>
            <w:proofErr w:type="gramEnd"/>
            <w:r w:rsidRPr="009B436C">
              <w:rPr>
                <w:rStyle w:val="apple-converted-space"/>
                <w:rFonts w:ascii="Times New Roman" w:hAnsi="Times New Roman" w:cs="Times New Roman"/>
                <w:sz w:val="24"/>
                <w:szCs w:val="24"/>
                <w:lang w:val="en-AU"/>
              </w:rPr>
              <w:t xml:space="preserve"> for privacy and confidentiality.</w:t>
            </w:r>
            <w:r w:rsidRPr="009B436C">
              <w:rPr>
                <w:rStyle w:val="FootnoteReference"/>
                <w:rFonts w:ascii="Times New Roman" w:eastAsia="Times New Roman" w:hAnsi="Times New Roman" w:cs="Times New Roman"/>
                <w:sz w:val="24"/>
                <w:szCs w:val="24"/>
                <w:lang w:val="en-AU"/>
              </w:rPr>
              <w:footnoteReference w:id="17"/>
            </w:r>
          </w:p>
          <w:p w:rsidR="00A87497" w:rsidRDefault="00A87497" w:rsidP="00A87497">
            <w:pPr>
              <w:pStyle w:val="Body"/>
              <w:spacing w:after="0" w:line="240" w:lineRule="auto"/>
              <w:jc w:val="both"/>
              <w:rPr>
                <w:rStyle w:val="apple-converted-space"/>
                <w:rFonts w:ascii="Times New Roman" w:hAnsi="Times New Roman" w:cs="Times New Roman"/>
                <w:sz w:val="24"/>
                <w:szCs w:val="24"/>
                <w:lang w:val="en-AU"/>
              </w:rPr>
            </w:pPr>
          </w:p>
          <w:p w:rsidR="00A87497" w:rsidRPr="00903907" w:rsidRDefault="00A87497" w:rsidP="00903907">
            <w:pPr>
              <w:pStyle w:val="Body"/>
              <w:spacing w:after="0" w:line="240" w:lineRule="auto"/>
              <w:jc w:val="both"/>
              <w:rPr>
                <w:rStyle w:val="apple-converted-space"/>
                <w:rFonts w:ascii="Times New Roman" w:hAnsi="Times New Roman" w:cs="Times New Roman"/>
                <w:sz w:val="24"/>
                <w:szCs w:val="24"/>
              </w:rPr>
            </w:pPr>
            <w:r w:rsidRPr="009B436C">
              <w:rPr>
                <w:rStyle w:val="apple-converted-space"/>
                <w:rFonts w:ascii="Times New Roman" w:hAnsi="Times New Roman" w:cs="Times New Roman"/>
                <w:sz w:val="24"/>
                <w:szCs w:val="24"/>
                <w:lang w:val="en-AU"/>
              </w:rPr>
              <w:t>In the development of any set of guiding principles a balance must be achieved between respect for personal autonomy, self-sufficiency and privacy on the one hand, and protection</w:t>
            </w:r>
            <w:r>
              <w:rPr>
                <w:rStyle w:val="apple-converted-space"/>
                <w:rFonts w:ascii="Times New Roman" w:hAnsi="Times New Roman" w:cs="Times New Roman"/>
                <w:sz w:val="24"/>
                <w:szCs w:val="24"/>
                <w:lang w:val="en-AU"/>
              </w:rPr>
              <w:t xml:space="preserve"> and security on the other. </w:t>
            </w:r>
            <w:r w:rsidRPr="009B436C">
              <w:rPr>
                <w:rStyle w:val="apple-converted-space"/>
                <w:rFonts w:ascii="Times New Roman" w:hAnsi="Times New Roman" w:cs="Times New Roman"/>
                <w:sz w:val="24"/>
                <w:szCs w:val="24"/>
                <w:lang w:val="en-AU"/>
              </w:rPr>
              <w:t xml:space="preserve">Careful attention is required to ensure that an appropriate balance is achieved in any given context. </w:t>
            </w:r>
            <w:r w:rsidRPr="009B436C">
              <w:rPr>
                <w:rFonts w:ascii="Times New Roman" w:hAnsi="Times New Roman" w:cs="Times New Roman"/>
                <w:sz w:val="24"/>
                <w:szCs w:val="24"/>
              </w:rPr>
              <w:t xml:space="preserve">While the physical security and well-being of each individual must be protected, such protective measures must respect individual </w:t>
            </w:r>
            <w:r>
              <w:rPr>
                <w:rFonts w:ascii="Times New Roman" w:hAnsi="Times New Roman" w:cs="Times New Roman"/>
                <w:sz w:val="24"/>
                <w:szCs w:val="24"/>
              </w:rPr>
              <w:t xml:space="preserve">autonomy, liberty and dignity. </w:t>
            </w:r>
            <w:r w:rsidRPr="009B436C">
              <w:rPr>
                <w:rFonts w:ascii="Times New Roman" w:hAnsi="Times New Roman" w:cs="Times New Roman"/>
                <w:sz w:val="24"/>
                <w:szCs w:val="24"/>
              </w:rPr>
              <w:t>An infringement of these basic rights would only be acceptable in exceptional circumstances, such as when it is necessary to protect the individual from serious harm or to protect the rights of others, and only to the extent justified by those circumstances.</w:t>
            </w:r>
          </w:p>
        </w:tc>
      </w:tr>
    </w:tbl>
    <w:p w:rsidR="00A87497" w:rsidRDefault="00A87497" w:rsidP="00371C8A">
      <w:pPr>
        <w:pStyle w:val="Body"/>
        <w:spacing w:after="0" w:line="240" w:lineRule="auto"/>
        <w:jc w:val="both"/>
        <w:rPr>
          <w:rStyle w:val="apple-converted-space"/>
          <w:rFonts w:ascii="Times New Roman" w:hAnsi="Times New Roman" w:cs="Times New Roman"/>
          <w:sz w:val="24"/>
          <w:szCs w:val="24"/>
          <w:lang w:val="en-AU"/>
        </w:rPr>
      </w:pPr>
    </w:p>
    <w:p w:rsidR="001F0F26" w:rsidRPr="009B436C" w:rsidRDefault="001F0F26" w:rsidP="00371C8A">
      <w:pPr>
        <w:pStyle w:val="Body"/>
        <w:spacing w:after="0" w:line="240" w:lineRule="auto"/>
        <w:jc w:val="both"/>
        <w:rPr>
          <w:rStyle w:val="apple-converted-space"/>
          <w:rFonts w:ascii="Times New Roman" w:hAnsi="Times New Roman" w:cs="Times New Roman"/>
          <w:sz w:val="24"/>
          <w:szCs w:val="24"/>
          <w:lang w:val="en-AU"/>
        </w:rPr>
      </w:pPr>
    </w:p>
    <w:p w:rsidR="00C7294C" w:rsidRPr="00F651C6" w:rsidRDefault="00DF05AA" w:rsidP="00F651C6">
      <w:pPr>
        <w:pStyle w:val="ListParagraph"/>
        <w:numPr>
          <w:ilvl w:val="2"/>
          <w:numId w:val="12"/>
        </w:numPr>
        <w:jc w:val="both"/>
        <w:rPr>
          <w:rStyle w:val="apple-converted-space"/>
          <w:rFonts w:ascii="Times New Roman" w:eastAsia="Times New Roman" w:hAnsi="Times New Roman" w:cs="Times New Roman"/>
          <w:sz w:val="24"/>
          <w:szCs w:val="24"/>
          <w:lang w:val="en-AU"/>
        </w:rPr>
      </w:pPr>
      <w:r w:rsidRPr="00F651C6">
        <w:rPr>
          <w:rStyle w:val="apple-converted-space"/>
          <w:rFonts w:ascii="Times New Roman" w:hAnsi="Times New Roman" w:cs="Times New Roman"/>
          <w:sz w:val="24"/>
          <w:szCs w:val="24"/>
          <w:lang w:val="en-AU"/>
        </w:rPr>
        <w:t>Proposal 3-3</w:t>
      </w:r>
    </w:p>
    <w:p w:rsidR="00C7294C"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lang w:val="en-AU"/>
        </w:rPr>
      </w:pPr>
      <w:r>
        <w:rPr>
          <w:rStyle w:val="apple-converted-space"/>
          <w:b/>
          <w:lang w:val="en-AU"/>
        </w:rPr>
        <w:t>Submission</w:t>
      </w:r>
      <w:r w:rsidR="003A2FEA">
        <w:rPr>
          <w:rStyle w:val="apple-converted-space"/>
          <w:lang w:val="en-AU"/>
        </w:rPr>
        <w:t xml:space="preserve">: </w:t>
      </w:r>
      <w:r w:rsidR="00DF05AA" w:rsidRPr="003A2FEA">
        <w:rPr>
          <w:rStyle w:val="apple-converted-space"/>
          <w:lang w:val="en-AU"/>
        </w:rPr>
        <w:t xml:space="preserve">the preparation and provision of such information should be mandatory on an annual basis as per our response to Proposal 3-1. </w:t>
      </w:r>
    </w:p>
    <w:p w:rsidR="003005F7" w:rsidRPr="003A2FEA" w:rsidRDefault="003005F7" w:rsidP="003A2FEA">
      <w:pPr>
        <w:jc w:val="both"/>
        <w:rPr>
          <w:rStyle w:val="apple-converted-space"/>
          <w:rFonts w:eastAsia="Times New Roman"/>
          <w:lang w:val="en-AU"/>
        </w:rPr>
      </w:pPr>
    </w:p>
    <w:p w:rsidR="00C7294C" w:rsidRPr="009B436C" w:rsidRDefault="00C7294C">
      <w:pPr>
        <w:pStyle w:val="ListParagraph"/>
        <w:spacing w:after="0" w:line="240" w:lineRule="auto"/>
        <w:jc w:val="both"/>
        <w:rPr>
          <w:rFonts w:ascii="Times New Roman" w:eastAsia="Times New Roman" w:hAnsi="Times New Roman" w:cs="Times New Roman"/>
          <w:sz w:val="24"/>
          <w:szCs w:val="24"/>
          <w:lang w:val="en-AU"/>
        </w:rPr>
      </w:pPr>
    </w:p>
    <w:p w:rsidR="00C7294C" w:rsidRPr="002967D9" w:rsidRDefault="00DF05AA" w:rsidP="001F0F26">
      <w:pPr>
        <w:pStyle w:val="ListParagraph"/>
        <w:numPr>
          <w:ilvl w:val="2"/>
          <w:numId w:val="12"/>
        </w:numPr>
        <w:spacing w:after="0"/>
        <w:jc w:val="both"/>
        <w:rPr>
          <w:rStyle w:val="apple-converted-space"/>
          <w:rFonts w:ascii="Times New Roman" w:eastAsia="Times New Roman" w:hAnsi="Times New Roman" w:cs="Times New Roman"/>
          <w:sz w:val="24"/>
          <w:szCs w:val="24"/>
          <w:lang w:val="en-AU"/>
        </w:rPr>
      </w:pPr>
      <w:r w:rsidRPr="002967D9">
        <w:rPr>
          <w:rStyle w:val="apple-converted-space"/>
          <w:rFonts w:ascii="Times New Roman" w:hAnsi="Times New Roman" w:cs="Times New Roman"/>
          <w:sz w:val="24"/>
          <w:szCs w:val="24"/>
          <w:lang w:val="en-AU"/>
        </w:rPr>
        <w:t>Proposal 3-4</w:t>
      </w:r>
    </w:p>
    <w:p w:rsidR="00C7294C" w:rsidRPr="002967D9" w:rsidRDefault="00DF05AA" w:rsidP="002967D9">
      <w:pPr>
        <w:jc w:val="both"/>
        <w:rPr>
          <w:rStyle w:val="apple-converted-space"/>
          <w:rFonts w:eastAsia="Times New Roman"/>
          <w:lang w:val="en-AU"/>
        </w:rPr>
      </w:pPr>
      <w:r w:rsidRPr="002967D9">
        <w:rPr>
          <w:rStyle w:val="apple-converted-space"/>
          <w:lang w:val="en-AU"/>
        </w:rPr>
        <w:t xml:space="preserve">Consideration in this proposal needs to be had for the difficulties faced by older people who reside in regional, rural and remote areas. Access to ‘quality’ health care, legal services and justice can be restricted. Therefore, while theoretically an ideal to aim </w:t>
      </w:r>
      <w:proofErr w:type="gramStart"/>
      <w:r w:rsidRPr="002967D9">
        <w:rPr>
          <w:rStyle w:val="apple-converted-space"/>
          <w:lang w:val="en-AU"/>
        </w:rPr>
        <w:t>for,</w:t>
      </w:r>
      <w:proofErr w:type="gramEnd"/>
      <w:r w:rsidRPr="002967D9">
        <w:rPr>
          <w:rStyle w:val="apple-converted-space"/>
          <w:lang w:val="en-AU"/>
        </w:rPr>
        <w:t xml:space="preserve"> practical considerations do need to be taken into account. </w:t>
      </w:r>
    </w:p>
    <w:p w:rsidR="00C7294C" w:rsidRDefault="00C7294C">
      <w:pPr>
        <w:pStyle w:val="Body"/>
        <w:spacing w:after="0" w:line="240" w:lineRule="auto"/>
        <w:jc w:val="both"/>
        <w:rPr>
          <w:rFonts w:ascii="Times New Roman" w:eastAsia="Times New Roman" w:hAnsi="Times New Roman" w:cs="Times New Roman"/>
          <w:sz w:val="24"/>
          <w:szCs w:val="24"/>
          <w:lang w:val="en-AU"/>
        </w:rPr>
      </w:pPr>
    </w:p>
    <w:p w:rsidR="002E679B" w:rsidRPr="009B436C" w:rsidRDefault="002E679B">
      <w:pPr>
        <w:pStyle w:val="Body"/>
        <w:spacing w:after="0" w:line="240" w:lineRule="auto"/>
        <w:jc w:val="both"/>
        <w:rPr>
          <w:rFonts w:ascii="Times New Roman" w:eastAsia="Times New Roman" w:hAnsi="Times New Roman" w:cs="Times New Roman"/>
          <w:sz w:val="24"/>
          <w:szCs w:val="24"/>
          <w:lang w:val="en-AU"/>
        </w:rPr>
      </w:pPr>
    </w:p>
    <w:p w:rsidR="00C7294C" w:rsidRPr="009B436C" w:rsidRDefault="00DF05AA" w:rsidP="00BB376F">
      <w:pPr>
        <w:pStyle w:val="Body"/>
        <w:numPr>
          <w:ilvl w:val="1"/>
          <w:numId w:val="13"/>
        </w:numPr>
        <w:spacing w:after="0" w:line="240" w:lineRule="auto"/>
        <w:jc w:val="both"/>
        <w:rPr>
          <w:rStyle w:val="apple-converted-space"/>
          <w:rFonts w:ascii="Times New Roman" w:eastAsia="Times New Roman" w:hAnsi="Times New Roman" w:cs="Times New Roman"/>
          <w:b/>
          <w:bCs/>
          <w:sz w:val="24"/>
          <w:szCs w:val="24"/>
          <w:lang w:val="en-AU"/>
        </w:rPr>
      </w:pPr>
      <w:r w:rsidRPr="009B436C">
        <w:rPr>
          <w:rStyle w:val="apple-converted-space"/>
          <w:rFonts w:ascii="Times New Roman" w:hAnsi="Times New Roman" w:cs="Times New Roman"/>
          <w:b/>
          <w:bCs/>
          <w:sz w:val="24"/>
          <w:szCs w:val="24"/>
          <w:lang w:val="en-AU"/>
        </w:rPr>
        <w:t xml:space="preserve">Enduring Powers of Attorney and Enduring Guardianship </w:t>
      </w:r>
    </w:p>
    <w:p w:rsidR="00C7294C" w:rsidRPr="001A44A1" w:rsidRDefault="00DF05AA" w:rsidP="001F0F26">
      <w:pPr>
        <w:pStyle w:val="ListParagraph"/>
        <w:numPr>
          <w:ilvl w:val="2"/>
          <w:numId w:val="14"/>
        </w:numPr>
        <w:spacing w:after="0"/>
        <w:jc w:val="both"/>
        <w:rPr>
          <w:rStyle w:val="apple-converted-space"/>
          <w:rFonts w:ascii="Times New Roman" w:eastAsia="Times New Roman" w:hAnsi="Times New Roman" w:cs="Times New Roman"/>
          <w:sz w:val="24"/>
          <w:szCs w:val="24"/>
          <w:lang w:val="en-AU"/>
        </w:rPr>
      </w:pPr>
      <w:r w:rsidRPr="001A44A1">
        <w:rPr>
          <w:rStyle w:val="apple-converted-space"/>
          <w:rFonts w:ascii="Times New Roman" w:hAnsi="Times New Roman" w:cs="Times New Roman"/>
          <w:sz w:val="24"/>
          <w:szCs w:val="24"/>
          <w:lang w:val="en-AU"/>
        </w:rPr>
        <w:t>Proposal 5-2</w:t>
      </w:r>
    </w:p>
    <w:p w:rsidR="00C7294C" w:rsidRPr="00884886" w:rsidRDefault="00DF05AA" w:rsidP="00884886">
      <w:pPr>
        <w:jc w:val="both"/>
        <w:rPr>
          <w:rStyle w:val="apple-converted-space"/>
          <w:rFonts w:eastAsia="Times New Roman"/>
          <w:lang w:val="en-AU"/>
        </w:rPr>
      </w:pPr>
      <w:r w:rsidRPr="00884886">
        <w:rPr>
          <w:rStyle w:val="apple-converted-space"/>
          <w:lang w:val="en-AU"/>
        </w:rPr>
        <w:t>While we support an online register</w:t>
      </w:r>
      <w:r w:rsidR="002F3ACA">
        <w:rPr>
          <w:rStyle w:val="apple-converted-space"/>
          <w:lang w:val="en-AU"/>
        </w:rPr>
        <w:t>, subject to accessibility issues,</w:t>
      </w:r>
      <w:r w:rsidR="002F3ACA" w:rsidRPr="00884886">
        <w:rPr>
          <w:rStyle w:val="apple-converted-space"/>
          <w:lang w:val="en-AU"/>
        </w:rPr>
        <w:t xml:space="preserve"> </w:t>
      </w:r>
      <w:r w:rsidRPr="00884886">
        <w:rPr>
          <w:rStyle w:val="apple-converted-space"/>
          <w:lang w:val="en-AU"/>
        </w:rPr>
        <w:t>we question the need for it to be compulsory. Predicating</w:t>
      </w:r>
      <w:r w:rsidRPr="002827DA">
        <w:rPr>
          <w:rStyle w:val="apple-converted-space"/>
          <w:lang w:val="en-AU"/>
        </w:rPr>
        <w:t xml:space="preserve"> the validity of the making or revoking of an enduring </w:t>
      </w:r>
      <w:r w:rsidR="009113AC" w:rsidRPr="002827DA">
        <w:rPr>
          <w:rStyle w:val="apple-converted-space"/>
          <w:lang w:val="en-AU"/>
        </w:rPr>
        <w:t xml:space="preserve">document </w:t>
      </w:r>
      <w:r w:rsidRPr="002827DA">
        <w:rPr>
          <w:rStyle w:val="apple-converted-space"/>
          <w:lang w:val="en-AU"/>
        </w:rPr>
        <w:t xml:space="preserve">on registration adds an </w:t>
      </w:r>
      <w:r w:rsidRPr="002827DA">
        <w:rPr>
          <w:rStyle w:val="apple-converted-space"/>
          <w:bCs/>
          <w:lang w:val="en-AU"/>
        </w:rPr>
        <w:t>extra hurdle</w:t>
      </w:r>
      <w:r w:rsidRPr="002827DA">
        <w:rPr>
          <w:rStyle w:val="apple-converted-space"/>
          <w:lang w:val="en-AU"/>
        </w:rPr>
        <w:t xml:space="preserve"> to encouraging uptake of enduring documents when the execution of these documen</w:t>
      </w:r>
      <w:r w:rsidRPr="00884886">
        <w:rPr>
          <w:rStyle w:val="apple-converted-space"/>
          <w:lang w:val="en-AU"/>
        </w:rPr>
        <w:t xml:space="preserve">ts is already low. </w:t>
      </w:r>
      <w:r w:rsidR="00481239" w:rsidRPr="00884886">
        <w:rPr>
          <w:rStyle w:val="apple-converted-space"/>
          <w:lang w:val="en-AU"/>
        </w:rPr>
        <w:t xml:space="preserve">The point of </w:t>
      </w:r>
      <w:r w:rsidR="00783AD6">
        <w:rPr>
          <w:rStyle w:val="apple-converted-space"/>
          <w:lang w:val="en-AU"/>
        </w:rPr>
        <w:t>an</w:t>
      </w:r>
      <w:r w:rsidR="00783AD6" w:rsidRPr="00884886">
        <w:rPr>
          <w:rStyle w:val="apple-converted-space"/>
          <w:lang w:val="en-AU"/>
        </w:rPr>
        <w:t xml:space="preserve"> </w:t>
      </w:r>
      <w:r w:rsidR="00481239" w:rsidRPr="00884886">
        <w:rPr>
          <w:rStyle w:val="apple-converted-space"/>
          <w:lang w:val="en-AU"/>
        </w:rPr>
        <w:t xml:space="preserve">EPA is </w:t>
      </w:r>
      <w:r w:rsidR="002B0B55" w:rsidRPr="00884886">
        <w:rPr>
          <w:rStyle w:val="apple-converted-space"/>
          <w:lang w:val="en-AU"/>
        </w:rPr>
        <w:t xml:space="preserve">to </w:t>
      </w:r>
      <w:r w:rsidR="00481239" w:rsidRPr="00884886">
        <w:rPr>
          <w:rStyle w:val="apple-converted-space"/>
          <w:lang w:val="en-AU"/>
        </w:rPr>
        <w:t xml:space="preserve">facilitate decision-making at the time when people are most vulnerable, </w:t>
      </w:r>
      <w:r w:rsidR="00A9288C" w:rsidRPr="00884886">
        <w:rPr>
          <w:rStyle w:val="apple-converted-space"/>
          <w:lang w:val="en-AU"/>
        </w:rPr>
        <w:t xml:space="preserve">so </w:t>
      </w:r>
      <w:r w:rsidR="00481239" w:rsidRPr="00884886">
        <w:rPr>
          <w:rStyle w:val="apple-converted-space"/>
          <w:lang w:val="en-AU"/>
        </w:rPr>
        <w:t xml:space="preserve">a compulsory registration system would create a risk that </w:t>
      </w:r>
      <w:r w:rsidR="00635A8B" w:rsidRPr="00884886">
        <w:rPr>
          <w:rStyle w:val="apple-converted-space"/>
          <w:lang w:val="en-AU"/>
        </w:rPr>
        <w:t xml:space="preserve">an individual’s </w:t>
      </w:r>
      <w:r w:rsidR="00481239" w:rsidRPr="00884886">
        <w:rPr>
          <w:rStyle w:val="apple-converted-space"/>
          <w:lang w:val="en-AU"/>
        </w:rPr>
        <w:t xml:space="preserve">vulnerability is </w:t>
      </w:r>
      <w:r w:rsidR="00F27DC5" w:rsidRPr="00884886">
        <w:rPr>
          <w:rStyle w:val="apple-converted-space"/>
          <w:lang w:val="en-AU"/>
        </w:rPr>
        <w:t xml:space="preserve">actually </w:t>
      </w:r>
      <w:r w:rsidR="00481239" w:rsidRPr="00884886">
        <w:rPr>
          <w:rStyle w:val="apple-converted-space"/>
          <w:lang w:val="en-AU"/>
        </w:rPr>
        <w:t xml:space="preserve">exacerbated. </w:t>
      </w:r>
      <w:r w:rsidRPr="00884886">
        <w:rPr>
          <w:rStyle w:val="apple-converted-space"/>
          <w:lang w:val="en-AU"/>
        </w:rPr>
        <w:t xml:space="preserve">Additionally, a system of mandatory registration adds extra </w:t>
      </w:r>
      <w:r w:rsidRPr="00884886">
        <w:rPr>
          <w:rStyle w:val="apple-converted-space"/>
          <w:b/>
          <w:bCs/>
          <w:lang w:val="en-AU"/>
        </w:rPr>
        <w:t>cost</w:t>
      </w:r>
      <w:r w:rsidRPr="00884886">
        <w:rPr>
          <w:rStyle w:val="apple-converted-space"/>
          <w:lang w:val="en-AU"/>
        </w:rPr>
        <w:t xml:space="preserve">, even if kept as minimal as possible, to the making of enduring documents. </w:t>
      </w:r>
      <w:r w:rsidR="009113AC" w:rsidRPr="00884886">
        <w:rPr>
          <w:rStyle w:val="apple-converted-space"/>
          <w:lang w:val="en-AU"/>
        </w:rPr>
        <w:t xml:space="preserve">Many people already view these documents </w:t>
      </w:r>
      <w:r w:rsidRPr="00884886">
        <w:rPr>
          <w:rStyle w:val="apple-converted-space"/>
          <w:lang w:val="en-AU"/>
        </w:rPr>
        <w:t xml:space="preserve">as extraneous to their lives and </w:t>
      </w:r>
      <w:r w:rsidR="009113AC" w:rsidRPr="00884886">
        <w:rPr>
          <w:rStyle w:val="apple-converted-space"/>
          <w:lang w:val="en-AU"/>
        </w:rPr>
        <w:t xml:space="preserve">are </w:t>
      </w:r>
      <w:r w:rsidRPr="00884886">
        <w:rPr>
          <w:rStyle w:val="apple-converted-space"/>
          <w:lang w:val="en-AU"/>
        </w:rPr>
        <w:t xml:space="preserve">reluctant to </w:t>
      </w:r>
      <w:r w:rsidR="009113AC" w:rsidRPr="00884886">
        <w:rPr>
          <w:rStyle w:val="apple-converted-space"/>
          <w:lang w:val="en-AU"/>
        </w:rPr>
        <w:t xml:space="preserve">obtain them even </w:t>
      </w:r>
      <w:r w:rsidRPr="00884886">
        <w:rPr>
          <w:rStyle w:val="apple-converted-space"/>
          <w:lang w:val="en-AU"/>
        </w:rPr>
        <w:t xml:space="preserve">without </w:t>
      </w:r>
      <w:r w:rsidR="009113AC" w:rsidRPr="00884886">
        <w:rPr>
          <w:rStyle w:val="apple-converted-space"/>
          <w:lang w:val="en-AU"/>
        </w:rPr>
        <w:t>the</w:t>
      </w:r>
      <w:r w:rsidR="00783AD6">
        <w:rPr>
          <w:rStyle w:val="apple-converted-space"/>
          <w:lang w:val="en-AU"/>
        </w:rPr>
        <w:t xml:space="preserve"> requirement for registration. </w:t>
      </w:r>
    </w:p>
    <w:p w:rsidR="00C7294C" w:rsidRPr="009B436C" w:rsidRDefault="00C7294C">
      <w:pPr>
        <w:pStyle w:val="ListParagraph"/>
        <w:spacing w:after="0" w:line="240" w:lineRule="auto"/>
        <w:jc w:val="both"/>
        <w:rPr>
          <w:rFonts w:ascii="Times New Roman" w:eastAsia="Times New Roman" w:hAnsi="Times New Roman" w:cs="Times New Roman"/>
          <w:sz w:val="24"/>
          <w:szCs w:val="24"/>
          <w:lang w:val="en-AU"/>
        </w:rPr>
      </w:pPr>
    </w:p>
    <w:p w:rsidR="00C7294C" w:rsidRPr="00884886" w:rsidRDefault="00DF05AA" w:rsidP="00884886">
      <w:pPr>
        <w:jc w:val="both"/>
        <w:rPr>
          <w:rStyle w:val="apple-converted-space"/>
          <w:rFonts w:eastAsia="Times New Roman"/>
          <w:lang w:val="en-AU"/>
        </w:rPr>
      </w:pPr>
      <w:r w:rsidRPr="00884886">
        <w:rPr>
          <w:rStyle w:val="apple-converted-space"/>
          <w:lang w:val="en-AU"/>
        </w:rPr>
        <w:t>If a legal professional is not retained then the added requirement of compulsory registration may be missed</w:t>
      </w:r>
      <w:r w:rsidR="004C64BD" w:rsidRPr="00884886">
        <w:rPr>
          <w:rStyle w:val="apple-converted-space"/>
          <w:lang w:val="en-AU"/>
        </w:rPr>
        <w:t xml:space="preserve">, with the result that an </w:t>
      </w:r>
      <w:r w:rsidRPr="00884886">
        <w:rPr>
          <w:rStyle w:val="apple-converted-space"/>
          <w:lang w:val="en-AU"/>
        </w:rPr>
        <w:t>o</w:t>
      </w:r>
      <w:r w:rsidRPr="002827DA">
        <w:rPr>
          <w:rStyle w:val="apple-converted-space"/>
          <w:lang w:val="en-AU"/>
        </w:rPr>
        <w:t xml:space="preserve">therwise valid enduring document may </w:t>
      </w:r>
      <w:r w:rsidR="004C64BD" w:rsidRPr="002827DA">
        <w:rPr>
          <w:rStyle w:val="apple-converted-space"/>
          <w:lang w:val="en-AU"/>
        </w:rPr>
        <w:t xml:space="preserve">be rendered invalid. This would clearly run </w:t>
      </w:r>
      <w:r w:rsidRPr="002827DA">
        <w:rPr>
          <w:rStyle w:val="apple-converted-space"/>
          <w:bCs/>
          <w:lang w:val="en-AU"/>
        </w:rPr>
        <w:t xml:space="preserve">counter to the aim </w:t>
      </w:r>
      <w:r w:rsidR="004C64BD" w:rsidRPr="002827DA">
        <w:rPr>
          <w:rStyle w:val="apple-converted-space"/>
          <w:bCs/>
          <w:lang w:val="en-AU"/>
        </w:rPr>
        <w:t xml:space="preserve">of </w:t>
      </w:r>
      <w:r w:rsidRPr="002827DA">
        <w:rPr>
          <w:rStyle w:val="apple-converted-space"/>
          <w:bCs/>
          <w:lang w:val="en-AU"/>
        </w:rPr>
        <w:t>encourag</w:t>
      </w:r>
      <w:r w:rsidR="004C64BD" w:rsidRPr="002827DA">
        <w:rPr>
          <w:rStyle w:val="apple-converted-space"/>
          <w:bCs/>
          <w:lang w:val="en-AU"/>
        </w:rPr>
        <w:t>ing</w:t>
      </w:r>
      <w:r w:rsidRPr="002827DA">
        <w:rPr>
          <w:rStyle w:val="apple-converted-space"/>
          <w:bCs/>
          <w:lang w:val="en-AU"/>
        </w:rPr>
        <w:t xml:space="preserve"> uptake</w:t>
      </w:r>
      <w:r w:rsidRPr="002827DA">
        <w:rPr>
          <w:rStyle w:val="apple-converted-space"/>
          <w:lang w:val="en-AU"/>
        </w:rPr>
        <w:t xml:space="preserve"> and </w:t>
      </w:r>
      <w:r w:rsidR="004C64BD" w:rsidRPr="002827DA">
        <w:rPr>
          <w:rStyle w:val="apple-converted-space"/>
          <w:lang w:val="en-AU"/>
        </w:rPr>
        <w:t xml:space="preserve">prolonging </w:t>
      </w:r>
      <w:r w:rsidRPr="002827DA">
        <w:rPr>
          <w:rStyle w:val="apple-converted-space"/>
          <w:lang w:val="en-AU"/>
        </w:rPr>
        <w:t xml:space="preserve">decision-making capacity </w:t>
      </w:r>
      <w:r w:rsidR="004C64BD" w:rsidRPr="002827DA">
        <w:rPr>
          <w:rStyle w:val="apple-converted-space"/>
          <w:lang w:val="en-AU"/>
        </w:rPr>
        <w:t xml:space="preserve">by enabling </w:t>
      </w:r>
      <w:r w:rsidRPr="002827DA">
        <w:rPr>
          <w:rStyle w:val="apple-converted-space"/>
          <w:lang w:val="en-AU"/>
        </w:rPr>
        <w:t>an i</w:t>
      </w:r>
      <w:r w:rsidRPr="00884886">
        <w:rPr>
          <w:rStyle w:val="apple-converted-space"/>
          <w:lang w:val="en-AU"/>
        </w:rPr>
        <w:t>ndividual</w:t>
      </w:r>
      <w:r w:rsidR="004C64BD" w:rsidRPr="00884886">
        <w:rPr>
          <w:rStyle w:val="apple-converted-space"/>
          <w:lang w:val="en-AU"/>
        </w:rPr>
        <w:t xml:space="preserve"> </w:t>
      </w:r>
      <w:r w:rsidRPr="00884886">
        <w:rPr>
          <w:rStyle w:val="apple-converted-space"/>
          <w:lang w:val="en-AU"/>
        </w:rPr>
        <w:t xml:space="preserve">to appoint someone they trust to make legally recognised decisions on their behalf if they no longer have that ability.  </w:t>
      </w:r>
    </w:p>
    <w:p w:rsidR="000F2BDD" w:rsidRPr="009B436C" w:rsidRDefault="000F2BDD">
      <w:pPr>
        <w:pStyle w:val="ListParagraph"/>
        <w:spacing w:after="0" w:line="240" w:lineRule="auto"/>
        <w:jc w:val="both"/>
        <w:rPr>
          <w:rStyle w:val="apple-converted-space"/>
          <w:rFonts w:ascii="Times New Roman" w:hAnsi="Times New Roman" w:cs="Times New Roman"/>
          <w:sz w:val="24"/>
          <w:szCs w:val="24"/>
          <w:lang w:val="en-AU"/>
        </w:rPr>
      </w:pPr>
    </w:p>
    <w:p w:rsidR="00C7294C" w:rsidRPr="00884886" w:rsidRDefault="00DF05AA" w:rsidP="00884886">
      <w:pPr>
        <w:jc w:val="both"/>
        <w:rPr>
          <w:rStyle w:val="apple-converted-space"/>
          <w:rFonts w:eastAsia="Times New Roman"/>
          <w:lang w:val="en-AU"/>
        </w:rPr>
      </w:pPr>
      <w:r w:rsidRPr="00884886">
        <w:rPr>
          <w:rStyle w:val="apple-converted-space"/>
          <w:lang w:val="en-AU"/>
        </w:rPr>
        <w:t xml:space="preserve">From a human rights perspective, the argument in favour of </w:t>
      </w:r>
      <w:r w:rsidR="0029746B" w:rsidRPr="00884886">
        <w:rPr>
          <w:rStyle w:val="apple-converted-space"/>
          <w:lang w:val="en-AU"/>
        </w:rPr>
        <w:t xml:space="preserve">enduring documents </w:t>
      </w:r>
      <w:r w:rsidRPr="00884886">
        <w:rPr>
          <w:rStyle w:val="apple-converted-space"/>
          <w:lang w:val="en-AU"/>
        </w:rPr>
        <w:t xml:space="preserve">is that they enable an individual to make a free choice </w:t>
      </w:r>
      <w:r w:rsidR="0029746B" w:rsidRPr="00884886">
        <w:rPr>
          <w:rStyle w:val="apple-converted-space"/>
          <w:lang w:val="en-AU"/>
        </w:rPr>
        <w:t xml:space="preserve">as to </w:t>
      </w:r>
      <w:r w:rsidRPr="00884886">
        <w:rPr>
          <w:rStyle w:val="apple-converted-space"/>
          <w:lang w:val="en-AU"/>
        </w:rPr>
        <w:t xml:space="preserve">how their decision-making power is to be delegated in times when they </w:t>
      </w:r>
      <w:r w:rsidR="0029746B" w:rsidRPr="00884886">
        <w:rPr>
          <w:rStyle w:val="apple-converted-space"/>
          <w:lang w:val="en-AU"/>
        </w:rPr>
        <w:t xml:space="preserve">lack </w:t>
      </w:r>
      <w:r w:rsidRPr="00884886">
        <w:rPr>
          <w:rStyle w:val="apple-converted-space"/>
          <w:lang w:val="en-AU"/>
        </w:rPr>
        <w:t xml:space="preserve">capacity to act themselves. They are therefore an important means of respecting individual autonomy, as well as facilitating important action to be taken on issues of healthcare, finances, housing etc - all things which </w:t>
      </w:r>
      <w:r w:rsidR="001173DD" w:rsidRPr="00884886">
        <w:rPr>
          <w:rStyle w:val="apple-converted-space"/>
          <w:lang w:val="en-AU"/>
        </w:rPr>
        <w:t>are protected by human rights</w:t>
      </w:r>
      <w:r w:rsidR="0029746B" w:rsidRPr="00884886">
        <w:rPr>
          <w:rStyle w:val="apple-converted-space"/>
          <w:lang w:val="en-AU"/>
        </w:rPr>
        <w:t xml:space="preserve"> law</w:t>
      </w:r>
      <w:r w:rsidR="001173DD" w:rsidRPr="00884886">
        <w:rPr>
          <w:rStyle w:val="apple-converted-space"/>
          <w:lang w:val="en-AU"/>
        </w:rPr>
        <w:t xml:space="preserve">. </w:t>
      </w:r>
      <w:r w:rsidRPr="00884886">
        <w:rPr>
          <w:rStyle w:val="apple-converted-space"/>
          <w:lang w:val="en-AU"/>
        </w:rPr>
        <w:t>While there are positive benefits of registration</w:t>
      </w:r>
      <w:r w:rsidR="001173DD" w:rsidRPr="00884886">
        <w:rPr>
          <w:rStyle w:val="apple-converted-space"/>
          <w:lang w:val="en-AU"/>
        </w:rPr>
        <w:t>,</w:t>
      </w:r>
      <w:r w:rsidRPr="00884886">
        <w:rPr>
          <w:rStyle w:val="apple-converted-space"/>
          <w:lang w:val="en-AU"/>
        </w:rPr>
        <w:t xml:space="preserve"> such as transparency and accountability, they ought not to come at the expense of people creating an </w:t>
      </w:r>
      <w:r w:rsidR="0029746B" w:rsidRPr="00884886">
        <w:rPr>
          <w:rStyle w:val="apple-converted-space"/>
          <w:lang w:val="en-AU"/>
        </w:rPr>
        <w:t xml:space="preserve">enduring document </w:t>
      </w:r>
      <w:r w:rsidRPr="00884886">
        <w:rPr>
          <w:rStyle w:val="apple-converted-space"/>
          <w:lang w:val="en-AU"/>
        </w:rPr>
        <w:t>in the first place or risk invalidat</w:t>
      </w:r>
      <w:r w:rsidR="001173DD" w:rsidRPr="00884886">
        <w:rPr>
          <w:rStyle w:val="apple-converted-space"/>
          <w:lang w:val="en-AU"/>
        </w:rPr>
        <w:t>ing their freely-made decision.</w:t>
      </w:r>
    </w:p>
    <w:p w:rsidR="00C7294C" w:rsidRPr="009B436C" w:rsidRDefault="00C7294C">
      <w:pPr>
        <w:pStyle w:val="ListParagraph"/>
        <w:spacing w:after="0" w:line="240" w:lineRule="auto"/>
        <w:jc w:val="both"/>
        <w:rPr>
          <w:rFonts w:ascii="Times New Roman" w:hAnsi="Times New Roman" w:cs="Times New Roman"/>
          <w:sz w:val="24"/>
          <w:szCs w:val="24"/>
          <w:lang w:val="en-AU"/>
        </w:rPr>
      </w:pPr>
    </w:p>
    <w:p w:rsidR="00C7294C" w:rsidRPr="00884886" w:rsidRDefault="00DF05AA" w:rsidP="00884886">
      <w:pPr>
        <w:jc w:val="both"/>
        <w:rPr>
          <w:rStyle w:val="apple-converted-space"/>
          <w:rFonts w:eastAsia="Times New Roman"/>
          <w:lang w:val="en-AU"/>
        </w:rPr>
      </w:pPr>
      <w:r w:rsidRPr="00884886">
        <w:rPr>
          <w:rStyle w:val="apple-converted-space"/>
          <w:lang w:val="en-AU"/>
        </w:rPr>
        <w:t xml:space="preserve">As noted in DP 83 there is a </w:t>
      </w:r>
      <w:r w:rsidRPr="00A5682C">
        <w:rPr>
          <w:rStyle w:val="apple-converted-space"/>
          <w:b/>
          <w:bCs/>
          <w:lang w:val="en-AU"/>
        </w:rPr>
        <w:t xml:space="preserve">risk with privacy </w:t>
      </w:r>
      <w:r w:rsidRPr="00A5682C">
        <w:rPr>
          <w:rStyle w:val="apple-converted-space"/>
          <w:b/>
          <w:lang w:val="en-AU"/>
        </w:rPr>
        <w:t>and accessibility if compulsory registration is enforced</w:t>
      </w:r>
      <w:r w:rsidRPr="000E126D">
        <w:rPr>
          <w:rStyle w:val="apple-converted-space"/>
          <w:lang w:val="en-AU"/>
        </w:rPr>
        <w:t>. Th</w:t>
      </w:r>
      <w:r w:rsidR="0029746B" w:rsidRPr="000E126D">
        <w:rPr>
          <w:rStyle w:val="apple-converted-space"/>
          <w:lang w:val="en-AU"/>
        </w:rPr>
        <w:t>i</w:t>
      </w:r>
      <w:r w:rsidRPr="000E126D">
        <w:rPr>
          <w:rStyle w:val="apple-converted-space"/>
          <w:lang w:val="en-AU"/>
        </w:rPr>
        <w:t xml:space="preserve">s may also have the </w:t>
      </w:r>
      <w:r w:rsidRPr="000E126D">
        <w:rPr>
          <w:rStyle w:val="apple-converted-space"/>
          <w:bCs/>
          <w:lang w:val="en-AU"/>
        </w:rPr>
        <w:t>undesired effect of exposing older people to abuse</w:t>
      </w:r>
      <w:r w:rsidRPr="000E126D">
        <w:rPr>
          <w:rStyle w:val="apple-converted-space"/>
          <w:lang w:val="en-AU"/>
        </w:rPr>
        <w:t xml:space="preserve"> if, for example, family members beco</w:t>
      </w:r>
      <w:r w:rsidRPr="00884886">
        <w:rPr>
          <w:rStyle w:val="apple-converted-space"/>
          <w:lang w:val="en-AU"/>
        </w:rPr>
        <w:t>me aware that the older person has an enduring power of attorney which appoints a different attorney. The family member may then pressure the old</w:t>
      </w:r>
      <w:r w:rsidR="00783AD6">
        <w:rPr>
          <w:rStyle w:val="apple-converted-space"/>
          <w:lang w:val="en-AU"/>
        </w:rPr>
        <w:t xml:space="preserve">er individual to appoint them. </w:t>
      </w:r>
      <w:r w:rsidR="00F7457F" w:rsidRPr="00884886">
        <w:rPr>
          <w:rStyle w:val="apple-converted-space"/>
          <w:lang w:val="en-AU"/>
        </w:rPr>
        <w:t xml:space="preserve">Further, the </w:t>
      </w:r>
      <w:r w:rsidRPr="00884886">
        <w:rPr>
          <w:rStyle w:val="apple-converted-space"/>
          <w:lang w:val="en-AU"/>
        </w:rPr>
        <w:t>right to privacy under art 17 of ICCPR would apply here - privacy should be respected unless there is a legitima</w:t>
      </w:r>
      <w:r w:rsidR="00E5008B" w:rsidRPr="00884886">
        <w:rPr>
          <w:rStyle w:val="apple-converted-space"/>
          <w:lang w:val="en-AU"/>
        </w:rPr>
        <w:t xml:space="preserve">te reason to make info public. </w:t>
      </w:r>
    </w:p>
    <w:p w:rsidR="00D3154A" w:rsidRDefault="00D3154A" w:rsidP="00884886">
      <w:pPr>
        <w:jc w:val="both"/>
        <w:rPr>
          <w:rStyle w:val="apple-converted-space"/>
          <w:lang w:val="en-AU"/>
        </w:rPr>
      </w:pPr>
    </w:p>
    <w:p w:rsidR="00451719"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lang w:val="en-AU"/>
        </w:rPr>
      </w:pPr>
      <w:r>
        <w:rPr>
          <w:rStyle w:val="apple-converted-space"/>
          <w:b/>
          <w:lang w:val="en-AU"/>
        </w:rPr>
        <w:t>Submission</w:t>
      </w:r>
      <w:r w:rsidR="00451719">
        <w:rPr>
          <w:rStyle w:val="apple-converted-space"/>
          <w:lang w:val="en-AU"/>
        </w:rPr>
        <w:t xml:space="preserve">: </w:t>
      </w:r>
      <w:r w:rsidR="00003BBF">
        <w:rPr>
          <w:rStyle w:val="apple-converted-space"/>
          <w:lang w:val="en-AU"/>
        </w:rPr>
        <w:t>i</w:t>
      </w:r>
      <w:r w:rsidR="006C7452" w:rsidRPr="00884886">
        <w:rPr>
          <w:rStyle w:val="apple-converted-space"/>
          <w:lang w:val="en-AU"/>
        </w:rPr>
        <w:t>ntroducing compulsory registration as a condition of validity (with the exception of dealing with land, where registration is appropriate) arguably would lead to an even lower uptake of enduring documents.</w:t>
      </w:r>
      <w:r w:rsidR="006C7452">
        <w:rPr>
          <w:rStyle w:val="apple-converted-space"/>
          <w:lang w:val="en-AU"/>
        </w:rPr>
        <w:t xml:space="preserve"> </w:t>
      </w:r>
      <w:r w:rsidR="006C7452" w:rsidRPr="00884886">
        <w:rPr>
          <w:rStyle w:val="apple-converted-space"/>
          <w:lang w:val="en-AU"/>
        </w:rPr>
        <w:t>It is worth consider</w:t>
      </w:r>
      <w:r w:rsidR="006C7452">
        <w:rPr>
          <w:rStyle w:val="apple-converted-space"/>
          <w:lang w:val="en-AU"/>
        </w:rPr>
        <w:t>ing</w:t>
      </w:r>
      <w:r w:rsidR="006C7452" w:rsidRPr="00884886">
        <w:rPr>
          <w:rStyle w:val="apple-converted-space"/>
          <w:lang w:val="en-AU"/>
        </w:rPr>
        <w:t xml:space="preserve"> a scheme whereby a person could choose what kind of visibility they would like if they their </w:t>
      </w:r>
      <w:r w:rsidR="006C7452">
        <w:rPr>
          <w:rStyle w:val="apple-converted-space"/>
          <w:lang w:val="en-AU"/>
        </w:rPr>
        <w:t xml:space="preserve">EPA </w:t>
      </w:r>
      <w:proofErr w:type="gramStart"/>
      <w:r w:rsidR="00D3154A">
        <w:rPr>
          <w:rStyle w:val="apple-converted-space"/>
          <w:lang w:val="en-AU"/>
        </w:rPr>
        <w:t>is</w:t>
      </w:r>
      <w:proofErr w:type="gramEnd"/>
      <w:r w:rsidR="00D3154A">
        <w:rPr>
          <w:rStyle w:val="apple-converted-space"/>
          <w:lang w:val="en-AU"/>
        </w:rPr>
        <w:t xml:space="preserve"> </w:t>
      </w:r>
      <w:r w:rsidR="006C7452" w:rsidRPr="00884886">
        <w:rPr>
          <w:rStyle w:val="apple-converted-space"/>
          <w:lang w:val="en-AU"/>
        </w:rPr>
        <w:t>registered.</w:t>
      </w:r>
      <w:r w:rsidR="006C7452">
        <w:rPr>
          <w:rStyle w:val="apple-converted-space"/>
          <w:lang w:val="en-AU"/>
        </w:rPr>
        <w:t xml:space="preserve"> </w:t>
      </w:r>
    </w:p>
    <w:p w:rsidR="00804FAE" w:rsidRPr="00804FAE" w:rsidRDefault="00804FAE" w:rsidP="0002300B">
      <w:pPr>
        <w:pStyle w:val="ListParagraph"/>
        <w:spacing w:after="0"/>
        <w:jc w:val="both"/>
        <w:rPr>
          <w:rStyle w:val="apple-converted-space"/>
          <w:rFonts w:ascii="Times New Roman" w:eastAsia="Times New Roman" w:hAnsi="Times New Roman" w:cs="Times New Roman"/>
          <w:sz w:val="24"/>
          <w:szCs w:val="24"/>
          <w:lang w:val="en-AU"/>
        </w:rPr>
      </w:pPr>
    </w:p>
    <w:p w:rsidR="00804FAE" w:rsidRPr="00804FAE" w:rsidRDefault="00804FAE" w:rsidP="0002300B">
      <w:pPr>
        <w:pStyle w:val="ListParagraph"/>
        <w:spacing w:after="0"/>
        <w:jc w:val="both"/>
        <w:rPr>
          <w:rStyle w:val="apple-converted-space"/>
          <w:rFonts w:ascii="Times New Roman" w:eastAsia="Times New Roman" w:hAnsi="Times New Roman" w:cs="Times New Roman"/>
          <w:sz w:val="24"/>
          <w:szCs w:val="24"/>
          <w:lang w:val="en-AU"/>
        </w:rPr>
      </w:pPr>
    </w:p>
    <w:p w:rsidR="00C7294C" w:rsidRPr="00884886" w:rsidRDefault="00DF05AA" w:rsidP="0002300B">
      <w:pPr>
        <w:pStyle w:val="ListParagraph"/>
        <w:numPr>
          <w:ilvl w:val="2"/>
          <w:numId w:val="14"/>
        </w:numPr>
        <w:spacing w:after="0"/>
        <w:jc w:val="both"/>
        <w:rPr>
          <w:rStyle w:val="apple-converted-space"/>
          <w:rFonts w:ascii="Times New Roman" w:eastAsia="Times New Roman" w:hAnsi="Times New Roman" w:cs="Times New Roman"/>
          <w:sz w:val="24"/>
          <w:szCs w:val="24"/>
          <w:lang w:val="en-AU"/>
        </w:rPr>
      </w:pPr>
      <w:r w:rsidRPr="00884886">
        <w:rPr>
          <w:rStyle w:val="apple-converted-space"/>
          <w:rFonts w:ascii="Times New Roman" w:hAnsi="Times New Roman" w:cs="Times New Roman"/>
          <w:sz w:val="24"/>
          <w:szCs w:val="24"/>
          <w:lang w:val="en-AU"/>
        </w:rPr>
        <w:t>Proposal 5-3</w:t>
      </w:r>
    </w:p>
    <w:p w:rsidR="00A75059" w:rsidRDefault="00DF05AA" w:rsidP="00052946">
      <w:pPr>
        <w:jc w:val="both"/>
        <w:rPr>
          <w:rStyle w:val="apple-converted-space"/>
          <w:lang w:val="en-AU"/>
        </w:rPr>
      </w:pPr>
      <w:r w:rsidRPr="00052946">
        <w:rPr>
          <w:rStyle w:val="apple-converted-space"/>
          <w:lang w:val="en-AU"/>
        </w:rPr>
        <w:t xml:space="preserve">If compulsory registration </w:t>
      </w:r>
      <w:r w:rsidR="0029746B" w:rsidRPr="00052946">
        <w:rPr>
          <w:rStyle w:val="apple-converted-space"/>
          <w:lang w:val="en-AU"/>
        </w:rPr>
        <w:t xml:space="preserve">is </w:t>
      </w:r>
      <w:r w:rsidRPr="00052946">
        <w:rPr>
          <w:rStyle w:val="apple-converted-space"/>
          <w:lang w:val="en-AU"/>
        </w:rPr>
        <w:t>enforced there is a real risk that</w:t>
      </w:r>
      <w:r w:rsidR="0029746B" w:rsidRPr="00052946">
        <w:rPr>
          <w:rStyle w:val="apple-converted-space"/>
          <w:lang w:val="en-AU"/>
        </w:rPr>
        <w:t>, even with a transitional process in place,</w:t>
      </w:r>
      <w:r w:rsidRPr="00052946">
        <w:rPr>
          <w:rStyle w:val="apple-converted-space"/>
          <w:lang w:val="en-AU"/>
        </w:rPr>
        <w:t xml:space="preserve"> people in the community </w:t>
      </w:r>
      <w:r w:rsidR="0029746B" w:rsidRPr="00052946">
        <w:rPr>
          <w:rStyle w:val="apple-converted-space"/>
          <w:lang w:val="en-AU"/>
        </w:rPr>
        <w:t xml:space="preserve">may </w:t>
      </w:r>
      <w:r w:rsidRPr="00052946">
        <w:rPr>
          <w:rStyle w:val="apple-converted-space"/>
          <w:lang w:val="en-AU"/>
        </w:rPr>
        <w:t xml:space="preserve">not realise that they need to register their </w:t>
      </w:r>
      <w:r w:rsidR="0029746B" w:rsidRPr="00052946">
        <w:rPr>
          <w:rStyle w:val="apple-converted-space"/>
          <w:lang w:val="en-AU"/>
        </w:rPr>
        <w:t xml:space="preserve">existing </w:t>
      </w:r>
      <w:r w:rsidRPr="00052946">
        <w:rPr>
          <w:rStyle w:val="apple-converted-space"/>
          <w:lang w:val="en-AU"/>
        </w:rPr>
        <w:t>enduring documents to ensure that they remain valid</w:t>
      </w:r>
      <w:r w:rsidR="0029746B" w:rsidRPr="00052946">
        <w:rPr>
          <w:rStyle w:val="apple-converted-space"/>
          <w:lang w:val="en-AU"/>
        </w:rPr>
        <w:t xml:space="preserve">.  </w:t>
      </w:r>
    </w:p>
    <w:p w:rsidR="00A75059" w:rsidRDefault="00A75059" w:rsidP="00052946">
      <w:pPr>
        <w:jc w:val="both"/>
        <w:rPr>
          <w:rStyle w:val="apple-converted-space"/>
          <w:lang w:val="en-AU"/>
        </w:rPr>
      </w:pPr>
    </w:p>
    <w:p w:rsidR="00C7294C" w:rsidRPr="00052946"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rFonts w:eastAsia="Times New Roman"/>
          <w:lang w:val="en-AU"/>
        </w:rPr>
      </w:pPr>
      <w:r>
        <w:rPr>
          <w:rStyle w:val="apple-converted-space"/>
          <w:b/>
          <w:lang w:val="en-AU"/>
        </w:rPr>
        <w:t>Submission</w:t>
      </w:r>
      <w:r w:rsidR="00A75059">
        <w:rPr>
          <w:rStyle w:val="apple-converted-space"/>
          <w:lang w:val="en-AU"/>
        </w:rPr>
        <w:t xml:space="preserve">: compulsory registration </w:t>
      </w:r>
      <w:r w:rsidR="00A75059" w:rsidRPr="00052946">
        <w:rPr>
          <w:rStyle w:val="apple-converted-space"/>
          <w:lang w:val="en-AU"/>
        </w:rPr>
        <w:t xml:space="preserve">will have the opposite effect to that intended in that people who currently have valid enduring documents will find themselves without </w:t>
      </w:r>
      <w:r w:rsidR="0055011D">
        <w:rPr>
          <w:rStyle w:val="apple-converted-space"/>
          <w:lang w:val="en-AU"/>
        </w:rPr>
        <w:t xml:space="preserve">valid </w:t>
      </w:r>
      <w:r w:rsidR="00A75059" w:rsidRPr="00052946">
        <w:rPr>
          <w:rStyle w:val="apple-converted-space"/>
          <w:lang w:val="en-AU"/>
        </w:rPr>
        <w:t>documents.</w:t>
      </w:r>
      <w:r w:rsidR="00DF05AA" w:rsidRPr="00052946">
        <w:rPr>
          <w:rStyle w:val="apple-converted-space"/>
          <w:lang w:val="en-AU"/>
        </w:rPr>
        <w:t xml:space="preserve"> </w:t>
      </w:r>
    </w:p>
    <w:p w:rsidR="00C7294C" w:rsidRDefault="00C7294C">
      <w:pPr>
        <w:pStyle w:val="ListParagraph"/>
        <w:spacing w:after="0" w:line="240" w:lineRule="auto"/>
        <w:jc w:val="both"/>
        <w:rPr>
          <w:rFonts w:ascii="Times New Roman" w:eastAsia="Times New Roman" w:hAnsi="Times New Roman" w:cs="Times New Roman"/>
          <w:sz w:val="24"/>
          <w:szCs w:val="24"/>
          <w:lang w:val="en-AU"/>
        </w:rPr>
      </w:pPr>
    </w:p>
    <w:p w:rsidR="00BF6DB2" w:rsidRPr="009B436C" w:rsidRDefault="00BF6DB2">
      <w:pPr>
        <w:pStyle w:val="ListParagraph"/>
        <w:spacing w:after="0" w:line="240" w:lineRule="auto"/>
        <w:jc w:val="both"/>
        <w:rPr>
          <w:rFonts w:ascii="Times New Roman" w:eastAsia="Times New Roman" w:hAnsi="Times New Roman" w:cs="Times New Roman"/>
          <w:sz w:val="24"/>
          <w:szCs w:val="24"/>
          <w:lang w:val="en-AU"/>
        </w:rPr>
      </w:pPr>
    </w:p>
    <w:p w:rsidR="00052946" w:rsidRPr="00052946" w:rsidRDefault="00DF05AA" w:rsidP="00BF6DB2">
      <w:pPr>
        <w:pStyle w:val="ListParagraph"/>
        <w:numPr>
          <w:ilvl w:val="2"/>
          <w:numId w:val="14"/>
        </w:numPr>
        <w:spacing w:after="0"/>
        <w:jc w:val="both"/>
        <w:rPr>
          <w:rStyle w:val="apple-converted-space"/>
          <w:rFonts w:ascii="Times New Roman" w:eastAsia="Times New Roman" w:hAnsi="Times New Roman" w:cs="Times New Roman"/>
          <w:sz w:val="24"/>
          <w:szCs w:val="24"/>
          <w:lang w:val="en-AU"/>
        </w:rPr>
      </w:pPr>
      <w:r w:rsidRPr="00052946">
        <w:rPr>
          <w:rStyle w:val="apple-converted-space"/>
          <w:rFonts w:ascii="Times New Roman" w:hAnsi="Times New Roman" w:cs="Times New Roman"/>
          <w:sz w:val="24"/>
          <w:szCs w:val="24"/>
          <w:lang w:val="en-AU"/>
        </w:rPr>
        <w:t>Question 5-1</w:t>
      </w:r>
    </w:p>
    <w:p w:rsidR="006E2A13" w:rsidRPr="00052946" w:rsidRDefault="0029746B" w:rsidP="00052946">
      <w:pPr>
        <w:jc w:val="both"/>
        <w:rPr>
          <w:rStyle w:val="apple-converted-space"/>
          <w:rFonts w:eastAsia="Times New Roman"/>
          <w:lang w:val="en-AU"/>
        </w:rPr>
      </w:pPr>
      <w:r w:rsidRPr="00052946">
        <w:rPr>
          <w:rStyle w:val="apple-converted-space"/>
          <w:lang w:val="en-AU"/>
        </w:rPr>
        <w:t>The q</w:t>
      </w:r>
      <w:r w:rsidR="002011F4">
        <w:rPr>
          <w:rStyle w:val="apple-converted-space"/>
          <w:lang w:val="en-AU"/>
        </w:rPr>
        <w:t xml:space="preserve">uestion of who </w:t>
      </w:r>
      <w:r w:rsidRPr="00052946">
        <w:rPr>
          <w:rStyle w:val="apple-converted-space"/>
          <w:lang w:val="en-AU"/>
        </w:rPr>
        <w:t xml:space="preserve">ought to be given access to registered documents raises similar </w:t>
      </w:r>
      <w:r w:rsidR="00DF05AA" w:rsidRPr="00052946">
        <w:rPr>
          <w:rStyle w:val="apple-converted-space"/>
          <w:lang w:val="en-AU"/>
        </w:rPr>
        <w:t>argument</w:t>
      </w:r>
      <w:r w:rsidRPr="00052946">
        <w:rPr>
          <w:rStyle w:val="apple-converted-space"/>
          <w:lang w:val="en-AU"/>
        </w:rPr>
        <w:t>s</w:t>
      </w:r>
      <w:r w:rsidR="00DF05AA" w:rsidRPr="00052946">
        <w:rPr>
          <w:rStyle w:val="apple-converted-space"/>
          <w:lang w:val="en-AU"/>
        </w:rPr>
        <w:t xml:space="preserve"> </w:t>
      </w:r>
      <w:r w:rsidR="002C6D85">
        <w:rPr>
          <w:rStyle w:val="apple-converted-space"/>
          <w:lang w:val="en-AU"/>
        </w:rPr>
        <w:t xml:space="preserve">to those </w:t>
      </w:r>
      <w:r w:rsidR="00DF05AA" w:rsidRPr="00052946">
        <w:rPr>
          <w:rStyle w:val="apple-converted-space"/>
          <w:lang w:val="en-AU"/>
        </w:rPr>
        <w:t>a</w:t>
      </w:r>
      <w:r w:rsidR="00B52A69" w:rsidRPr="00052946">
        <w:rPr>
          <w:rStyle w:val="apple-converted-space"/>
          <w:lang w:val="en-AU"/>
        </w:rPr>
        <w:t>gainst compulsory registration</w:t>
      </w:r>
      <w:r w:rsidRPr="00052946">
        <w:rPr>
          <w:rStyle w:val="apple-converted-space"/>
          <w:lang w:val="en-AU"/>
        </w:rPr>
        <w:t>,</w:t>
      </w:r>
      <w:r w:rsidR="00B52A69" w:rsidRPr="00052946">
        <w:rPr>
          <w:rStyle w:val="apple-converted-space"/>
          <w:lang w:val="en-AU"/>
        </w:rPr>
        <w:t xml:space="preserve"> as</w:t>
      </w:r>
      <w:r w:rsidR="00DF05AA" w:rsidRPr="00052946">
        <w:rPr>
          <w:rStyle w:val="apple-converted-space"/>
          <w:lang w:val="en-AU"/>
        </w:rPr>
        <w:t xml:space="preserve"> people may not want their doc</w:t>
      </w:r>
      <w:r w:rsidR="00B52A69" w:rsidRPr="00052946">
        <w:rPr>
          <w:rStyle w:val="apple-converted-space"/>
          <w:lang w:val="en-AU"/>
        </w:rPr>
        <w:t>ument</w:t>
      </w:r>
      <w:r w:rsidR="00DF05AA" w:rsidRPr="00052946">
        <w:rPr>
          <w:rStyle w:val="apple-converted-space"/>
          <w:lang w:val="en-AU"/>
        </w:rPr>
        <w:t xml:space="preserve">s </w:t>
      </w:r>
      <w:r w:rsidRPr="00052946">
        <w:rPr>
          <w:rStyle w:val="apple-converted-space"/>
          <w:lang w:val="en-AU"/>
        </w:rPr>
        <w:t xml:space="preserve">to be </w:t>
      </w:r>
      <w:r w:rsidR="00DF05AA" w:rsidRPr="00052946">
        <w:rPr>
          <w:rStyle w:val="apple-converted-space"/>
          <w:lang w:val="en-AU"/>
        </w:rPr>
        <w:t xml:space="preserve">visible </w:t>
      </w:r>
      <w:r w:rsidR="006E2A13" w:rsidRPr="00052946">
        <w:rPr>
          <w:rStyle w:val="apple-converted-space"/>
          <w:lang w:val="en-AU"/>
        </w:rPr>
        <w:t xml:space="preserve">and </w:t>
      </w:r>
      <w:r w:rsidRPr="00052946">
        <w:rPr>
          <w:rStyle w:val="apple-converted-space"/>
          <w:lang w:val="en-AU"/>
        </w:rPr>
        <w:t xml:space="preserve">such a policy may </w:t>
      </w:r>
      <w:r w:rsidR="00BE3D76" w:rsidRPr="00052946">
        <w:rPr>
          <w:rStyle w:val="apple-converted-space"/>
          <w:lang w:val="en-AU"/>
        </w:rPr>
        <w:t xml:space="preserve">(inadvertently) </w:t>
      </w:r>
      <w:r w:rsidR="00DF05AA" w:rsidRPr="00052946">
        <w:rPr>
          <w:rStyle w:val="apple-converted-space"/>
          <w:lang w:val="en-AU"/>
        </w:rPr>
        <w:t xml:space="preserve">act as a deterrent. </w:t>
      </w:r>
    </w:p>
    <w:p w:rsidR="00C7294C" w:rsidRPr="00FE0500" w:rsidRDefault="00C7294C" w:rsidP="00FE0500">
      <w:pPr>
        <w:jc w:val="both"/>
        <w:rPr>
          <w:rFonts w:eastAsia="Times New Roman"/>
          <w:lang w:val="en-AU"/>
        </w:rPr>
      </w:pPr>
    </w:p>
    <w:p w:rsidR="00C7294C" w:rsidRPr="002011F4" w:rsidRDefault="001A6F0E" w:rsidP="002011F4">
      <w:pPr>
        <w:jc w:val="both"/>
        <w:rPr>
          <w:rStyle w:val="apple-converted-space"/>
          <w:rFonts w:eastAsia="Times New Roman"/>
          <w:lang w:val="en-AU"/>
        </w:rPr>
      </w:pPr>
      <w:r w:rsidRPr="002011F4">
        <w:rPr>
          <w:rStyle w:val="apple-converted-space"/>
          <w:lang w:val="en-AU"/>
        </w:rPr>
        <w:t>There are concerns about the risk of abuse or negative treatment from family members if they become aware that an enduring document has been entered into which gi</w:t>
      </w:r>
      <w:r w:rsidR="00B62220">
        <w:rPr>
          <w:rStyle w:val="apple-converted-space"/>
          <w:lang w:val="en-AU"/>
        </w:rPr>
        <w:t xml:space="preserve">ves authority to someone else. </w:t>
      </w:r>
      <w:r w:rsidRPr="002011F4">
        <w:rPr>
          <w:rStyle w:val="apple-converted-space"/>
          <w:lang w:val="en-AU"/>
        </w:rPr>
        <w:t>Some variability in terms of access to the register of instruments</w:t>
      </w:r>
      <w:r w:rsidR="00593C0C" w:rsidRPr="002011F4">
        <w:rPr>
          <w:rStyle w:val="apple-converted-space"/>
          <w:lang w:val="en-AU"/>
        </w:rPr>
        <w:t xml:space="preserve"> may therefore be appropriate. </w:t>
      </w:r>
      <w:r w:rsidR="00C6378F" w:rsidRPr="002011F4">
        <w:rPr>
          <w:rStyle w:val="apple-converted-space"/>
          <w:lang w:val="en-AU"/>
        </w:rPr>
        <w:t xml:space="preserve">Giving family members access to the </w:t>
      </w:r>
      <w:r w:rsidRPr="002011F4">
        <w:rPr>
          <w:rStyle w:val="apple-converted-space"/>
          <w:lang w:val="en-AU"/>
        </w:rPr>
        <w:t xml:space="preserve">information </w:t>
      </w:r>
      <w:r w:rsidR="00C6378F" w:rsidRPr="002011F4">
        <w:rPr>
          <w:rStyle w:val="apple-converted-space"/>
          <w:lang w:val="en-AU"/>
        </w:rPr>
        <w:t>as to whether a document exists but n</w:t>
      </w:r>
      <w:r w:rsidR="00DF05AA" w:rsidRPr="002011F4">
        <w:rPr>
          <w:rStyle w:val="apple-converted-space"/>
          <w:lang w:val="en-AU"/>
        </w:rPr>
        <w:t xml:space="preserve">ot to </w:t>
      </w:r>
      <w:r w:rsidR="00C6378F" w:rsidRPr="002011F4">
        <w:rPr>
          <w:rStyle w:val="apple-converted-space"/>
          <w:lang w:val="en-AU"/>
        </w:rPr>
        <w:t xml:space="preserve">the actual </w:t>
      </w:r>
      <w:r w:rsidR="00DF05AA" w:rsidRPr="002011F4">
        <w:rPr>
          <w:rStyle w:val="apple-converted-space"/>
          <w:lang w:val="en-AU"/>
        </w:rPr>
        <w:t xml:space="preserve">content of </w:t>
      </w:r>
      <w:r w:rsidR="00C6378F" w:rsidRPr="002011F4">
        <w:rPr>
          <w:rStyle w:val="apple-converted-space"/>
          <w:lang w:val="en-AU"/>
        </w:rPr>
        <w:t xml:space="preserve">the </w:t>
      </w:r>
      <w:r w:rsidR="00DF05AA" w:rsidRPr="002011F4">
        <w:rPr>
          <w:rStyle w:val="apple-converted-space"/>
          <w:lang w:val="en-AU"/>
        </w:rPr>
        <w:t>doc</w:t>
      </w:r>
      <w:r w:rsidR="00C6378F" w:rsidRPr="002011F4">
        <w:rPr>
          <w:rStyle w:val="apple-converted-space"/>
          <w:lang w:val="en-AU"/>
        </w:rPr>
        <w:t>ument</w:t>
      </w:r>
      <w:r w:rsidR="00DF05AA" w:rsidRPr="002011F4">
        <w:rPr>
          <w:rStyle w:val="apple-converted-space"/>
          <w:lang w:val="en-AU"/>
        </w:rPr>
        <w:t xml:space="preserve"> may help </w:t>
      </w:r>
      <w:r w:rsidRPr="002011F4">
        <w:rPr>
          <w:rStyle w:val="apple-converted-space"/>
          <w:lang w:val="en-AU"/>
        </w:rPr>
        <w:t>mitigate this risk</w:t>
      </w:r>
      <w:r w:rsidR="00C6378F" w:rsidRPr="002011F4">
        <w:rPr>
          <w:rStyle w:val="apple-converted-space"/>
          <w:lang w:val="en-AU"/>
        </w:rPr>
        <w:t xml:space="preserve">. For example, an </w:t>
      </w:r>
      <w:r w:rsidR="00DF05AA" w:rsidRPr="002011F4">
        <w:rPr>
          <w:rStyle w:val="apple-converted-space"/>
          <w:lang w:val="en-AU"/>
        </w:rPr>
        <w:t xml:space="preserve">elderly </w:t>
      </w:r>
      <w:r w:rsidR="00C6378F" w:rsidRPr="002011F4">
        <w:rPr>
          <w:rStyle w:val="apple-converted-space"/>
          <w:lang w:val="en-AU"/>
        </w:rPr>
        <w:t xml:space="preserve">mother </w:t>
      </w:r>
      <w:r w:rsidR="00DF05AA" w:rsidRPr="002011F4">
        <w:rPr>
          <w:rStyle w:val="apple-converted-space"/>
          <w:lang w:val="en-AU"/>
        </w:rPr>
        <w:t>could say to a</w:t>
      </w:r>
      <w:r w:rsidR="00C6378F" w:rsidRPr="002011F4">
        <w:rPr>
          <w:rStyle w:val="apple-converted-space"/>
          <w:lang w:val="en-AU"/>
        </w:rPr>
        <w:t xml:space="preserve">n overbearing child that she has </w:t>
      </w:r>
      <w:r w:rsidRPr="002011F4">
        <w:rPr>
          <w:rStyle w:val="apple-converted-space"/>
          <w:lang w:val="en-AU"/>
        </w:rPr>
        <w:t xml:space="preserve">an enduring document, but would not be required to disclose who has been named as her attorney in the instrument. </w:t>
      </w:r>
    </w:p>
    <w:p w:rsidR="00C7294C" w:rsidRPr="009B436C" w:rsidRDefault="00C7294C">
      <w:pPr>
        <w:pStyle w:val="ListParagraph"/>
        <w:spacing w:after="0" w:line="240" w:lineRule="auto"/>
        <w:jc w:val="both"/>
        <w:rPr>
          <w:rStyle w:val="apple-converted-space"/>
          <w:rFonts w:ascii="Times New Roman" w:eastAsia="Times New Roman" w:hAnsi="Times New Roman" w:cs="Times New Roman"/>
          <w:sz w:val="24"/>
          <w:szCs w:val="24"/>
          <w:lang w:val="en-AU"/>
        </w:rPr>
      </w:pPr>
    </w:p>
    <w:p w:rsidR="00003BBF" w:rsidRDefault="00DF05AA" w:rsidP="002011F4">
      <w:pPr>
        <w:jc w:val="both"/>
        <w:rPr>
          <w:rStyle w:val="apple-converted-space"/>
          <w:lang w:val="en-AU"/>
        </w:rPr>
      </w:pPr>
      <w:r w:rsidRPr="002011F4">
        <w:rPr>
          <w:rStyle w:val="apple-converted-space"/>
          <w:lang w:val="en-AU"/>
        </w:rPr>
        <w:lastRenderedPageBreak/>
        <w:t xml:space="preserve">There are good arguments for registration, and people may choose to register as a means of strengthening protection, but not everyone </w:t>
      </w:r>
      <w:r w:rsidR="00525A53" w:rsidRPr="002011F4">
        <w:rPr>
          <w:rStyle w:val="apple-converted-space"/>
          <w:lang w:val="en-AU"/>
        </w:rPr>
        <w:t>is in the same circumstances.</w:t>
      </w:r>
      <w:r w:rsidR="00C6378F" w:rsidRPr="002011F4">
        <w:rPr>
          <w:rStyle w:val="apple-converted-space"/>
          <w:lang w:val="en-AU"/>
        </w:rPr>
        <w:t xml:space="preserve"> </w:t>
      </w:r>
    </w:p>
    <w:p w:rsidR="00003BBF" w:rsidRDefault="00003BBF" w:rsidP="002011F4">
      <w:pPr>
        <w:jc w:val="both"/>
        <w:rPr>
          <w:rStyle w:val="apple-converted-space"/>
          <w:lang w:val="en-AU"/>
        </w:rPr>
      </w:pPr>
    </w:p>
    <w:tbl>
      <w:tblPr>
        <w:tblStyle w:val="TableGrid"/>
        <w:tblW w:w="0" w:type="auto"/>
        <w:tblLook w:val="04A0"/>
      </w:tblPr>
      <w:tblGrid>
        <w:gridCol w:w="9350"/>
      </w:tblGrid>
      <w:tr w:rsidR="007D42B2" w:rsidTr="009A64E8">
        <w:tc>
          <w:tcPr>
            <w:tcW w:w="9350" w:type="dxa"/>
            <w:shd w:val="clear" w:color="auto" w:fill="DEEAF6" w:themeFill="accent1" w:themeFillTint="33"/>
          </w:tcPr>
          <w:p w:rsidR="007D42B2" w:rsidRPr="003B37D8" w:rsidRDefault="00F47821" w:rsidP="007D42B2">
            <w:pPr>
              <w:jc w:val="both"/>
              <w:rPr>
                <w:rStyle w:val="apple-converted-space"/>
                <w:rFonts w:eastAsia="Times New Roman"/>
                <w:lang w:val="en-AU"/>
              </w:rPr>
            </w:pPr>
            <w:r>
              <w:rPr>
                <w:rStyle w:val="apple-converted-space"/>
                <w:b/>
                <w:lang w:val="en-AU"/>
              </w:rPr>
              <w:t>Submission</w:t>
            </w:r>
            <w:r w:rsidR="007D42B2">
              <w:rPr>
                <w:rStyle w:val="apple-converted-space"/>
                <w:lang w:val="en-AU"/>
              </w:rPr>
              <w:t xml:space="preserve">: </w:t>
            </w:r>
            <w:r w:rsidR="007D42B2" w:rsidRPr="002011F4">
              <w:rPr>
                <w:rStyle w:val="apple-converted-space"/>
                <w:lang w:val="en-AU"/>
              </w:rPr>
              <w:t xml:space="preserve">we suggest that a more versatile scheme would be more beneficial whereby individuals are encouraged to register, but registration does not determine validity, and the donor can choose who will have access. The barriers to usage must be minimised and confidence in the security of any such system must be high. Education is vital. </w:t>
            </w:r>
            <w:r w:rsidR="007D42B2" w:rsidRPr="003B37D8">
              <w:rPr>
                <w:rStyle w:val="apple-converted-space"/>
                <w:lang w:val="en-AU"/>
              </w:rPr>
              <w:t>People who may have access might include:</w:t>
            </w:r>
          </w:p>
          <w:p w:rsidR="007D42B2" w:rsidRPr="009B436C" w:rsidRDefault="007D42B2" w:rsidP="00F1418E">
            <w:pPr>
              <w:pStyle w:val="ListParagraph"/>
              <w:numPr>
                <w:ilvl w:val="0"/>
                <w:numId w:val="15"/>
              </w:numPr>
              <w:spacing w:after="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Legal professionals – to see whether clients have valid enduring documents.</w:t>
            </w:r>
          </w:p>
          <w:p w:rsidR="007D42B2" w:rsidRPr="009B436C" w:rsidRDefault="007D42B2" w:rsidP="00F1418E">
            <w:pPr>
              <w:pStyle w:val="ListParagraph"/>
              <w:numPr>
                <w:ilvl w:val="0"/>
                <w:numId w:val="15"/>
              </w:numPr>
              <w:spacing w:after="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Health professionals – may need to know the identity of a health attorney if one has been appointed. This would be increasingly the case if there is an increase in the role of health professionals in encouraging the uptake of future planning documents.</w:t>
            </w:r>
            <w:r w:rsidRPr="009B436C">
              <w:rPr>
                <w:rStyle w:val="apple-converted-space"/>
                <w:rFonts w:ascii="Times New Roman" w:eastAsia="Times New Roman" w:hAnsi="Times New Roman" w:cs="Times New Roman"/>
                <w:sz w:val="24"/>
                <w:szCs w:val="24"/>
                <w:lang w:val="en-AU"/>
              </w:rPr>
              <w:t xml:space="preserve"> </w:t>
            </w:r>
          </w:p>
          <w:p w:rsidR="007D42B2" w:rsidRPr="009B436C" w:rsidRDefault="007D42B2" w:rsidP="00F1418E">
            <w:pPr>
              <w:pStyle w:val="ListParagraph"/>
              <w:numPr>
                <w:ilvl w:val="0"/>
                <w:numId w:val="15"/>
              </w:numPr>
              <w:spacing w:after="0" w:line="240" w:lineRule="auto"/>
              <w:ind w:left="738" w:hanging="284"/>
              <w:jc w:val="both"/>
              <w:rPr>
                <w:rStyle w:val="apple-converted-space"/>
                <w:rFonts w:ascii="Times New Roman" w:eastAsia="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 xml:space="preserve">Staff in financial institutions (for example banks) – although this access would need to be restricted and only to give effect to Proposal 7-1. </w:t>
            </w:r>
          </w:p>
          <w:p w:rsidR="007D42B2" w:rsidRDefault="007D42B2" w:rsidP="002011F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eastAsia="Times New Roman"/>
                <w:lang w:val="en-AU"/>
              </w:rPr>
            </w:pPr>
          </w:p>
        </w:tc>
      </w:tr>
    </w:tbl>
    <w:p w:rsidR="00C7294C" w:rsidRPr="002011F4" w:rsidRDefault="00C7294C" w:rsidP="002011F4">
      <w:pPr>
        <w:jc w:val="both"/>
        <w:rPr>
          <w:rStyle w:val="apple-converted-space"/>
          <w:rFonts w:eastAsia="Times New Roman"/>
          <w:lang w:val="en-AU"/>
        </w:rPr>
      </w:pPr>
    </w:p>
    <w:p w:rsidR="00C7294C" w:rsidRPr="009B436C" w:rsidRDefault="00C7294C">
      <w:pPr>
        <w:pStyle w:val="ListParagraph"/>
        <w:spacing w:after="0" w:line="240" w:lineRule="auto"/>
        <w:jc w:val="both"/>
        <w:rPr>
          <w:rStyle w:val="apple-converted-space"/>
          <w:rFonts w:ascii="Times New Roman" w:eastAsia="Times New Roman" w:hAnsi="Times New Roman" w:cs="Times New Roman"/>
          <w:sz w:val="24"/>
          <w:szCs w:val="24"/>
          <w:lang w:val="en-AU"/>
        </w:rPr>
      </w:pPr>
    </w:p>
    <w:p w:rsidR="00C7294C" w:rsidRPr="002011F4" w:rsidRDefault="00FE0176" w:rsidP="002011F4">
      <w:pPr>
        <w:jc w:val="both"/>
        <w:rPr>
          <w:rStyle w:val="apple-converted-space"/>
          <w:lang w:val="en-AU"/>
        </w:rPr>
      </w:pPr>
      <w:r>
        <w:rPr>
          <w:rStyle w:val="apple-converted-space"/>
          <w:lang w:val="en-AU"/>
        </w:rPr>
        <w:t xml:space="preserve">2.3.4 </w:t>
      </w:r>
      <w:r w:rsidR="00DF05AA" w:rsidRPr="002011F4">
        <w:rPr>
          <w:rStyle w:val="apple-converted-space"/>
          <w:lang w:val="en-AU"/>
        </w:rPr>
        <w:t>Question 5-2</w:t>
      </w:r>
    </w:p>
    <w:p w:rsidR="00C7294C" w:rsidRPr="002011F4" w:rsidRDefault="00DF05AA" w:rsidP="002011F4">
      <w:pPr>
        <w:jc w:val="both"/>
        <w:rPr>
          <w:rStyle w:val="apple-converted-space"/>
          <w:rFonts w:eastAsia="Times New Roman"/>
          <w:lang w:val="en-AU"/>
        </w:rPr>
      </w:pPr>
      <w:r w:rsidRPr="002011F4">
        <w:rPr>
          <w:rStyle w:val="apple-converted-space"/>
          <w:lang w:val="en-AU"/>
        </w:rPr>
        <w:t>Yes</w:t>
      </w:r>
      <w:r w:rsidR="00660935" w:rsidRPr="002011F4">
        <w:rPr>
          <w:rStyle w:val="apple-converted-space"/>
          <w:lang w:val="en-AU"/>
        </w:rPr>
        <w:t xml:space="preserve">. </w:t>
      </w:r>
      <w:proofErr w:type="gramStart"/>
      <w:r w:rsidR="00660935" w:rsidRPr="002011F4">
        <w:rPr>
          <w:rStyle w:val="apple-converted-space"/>
          <w:lang w:val="en-AU"/>
        </w:rPr>
        <w:t xml:space="preserve">This </w:t>
      </w:r>
      <w:r w:rsidR="009337C6" w:rsidRPr="002011F4">
        <w:rPr>
          <w:rStyle w:val="apple-converted-space"/>
          <w:lang w:val="en-AU"/>
        </w:rPr>
        <w:t>ties</w:t>
      </w:r>
      <w:proofErr w:type="gramEnd"/>
      <w:r w:rsidR="009337C6" w:rsidRPr="002011F4">
        <w:rPr>
          <w:rStyle w:val="apple-converted-space"/>
          <w:lang w:val="en-AU"/>
        </w:rPr>
        <w:t xml:space="preserve"> </w:t>
      </w:r>
      <w:r w:rsidRPr="002011F4">
        <w:rPr>
          <w:rStyle w:val="apple-converted-space"/>
          <w:lang w:val="en-AU"/>
        </w:rPr>
        <w:t xml:space="preserve">in with </w:t>
      </w:r>
      <w:r w:rsidR="00777538" w:rsidRPr="002011F4">
        <w:rPr>
          <w:rStyle w:val="apple-converted-space"/>
          <w:lang w:val="en-AU"/>
        </w:rPr>
        <w:t xml:space="preserve">the </w:t>
      </w:r>
      <w:r w:rsidRPr="002011F4">
        <w:rPr>
          <w:rStyle w:val="apple-converted-space"/>
          <w:lang w:val="en-AU"/>
        </w:rPr>
        <w:t>idea of compulsory financial reporting</w:t>
      </w:r>
      <w:r w:rsidR="007C7B21" w:rsidRPr="002011F4">
        <w:rPr>
          <w:rStyle w:val="apple-converted-space"/>
          <w:lang w:val="en-AU"/>
        </w:rPr>
        <w:t>.</w:t>
      </w:r>
      <w:r w:rsidRPr="002011F4">
        <w:rPr>
          <w:rStyle w:val="apple-converted-space"/>
          <w:lang w:val="en-AU"/>
        </w:rPr>
        <w:t xml:space="preserve"> </w:t>
      </w:r>
      <w:r w:rsidR="007C7B21" w:rsidRPr="002011F4">
        <w:rPr>
          <w:rStyle w:val="apple-converted-space"/>
          <w:lang w:val="en-AU"/>
        </w:rPr>
        <w:t xml:space="preserve">The </w:t>
      </w:r>
      <w:r w:rsidRPr="002011F4">
        <w:rPr>
          <w:rStyle w:val="apple-converted-space"/>
          <w:lang w:val="en-AU"/>
        </w:rPr>
        <w:t xml:space="preserve">fear of being caught can be a powerful </w:t>
      </w:r>
      <w:r w:rsidR="001A6F0E" w:rsidRPr="002011F4">
        <w:rPr>
          <w:rStyle w:val="apple-converted-space"/>
          <w:lang w:val="en-AU"/>
        </w:rPr>
        <w:t xml:space="preserve">incentive </w:t>
      </w:r>
      <w:r w:rsidRPr="002011F4">
        <w:rPr>
          <w:rStyle w:val="apple-converted-space"/>
          <w:lang w:val="en-AU"/>
        </w:rPr>
        <w:t xml:space="preserve">to do the right thing. </w:t>
      </w:r>
    </w:p>
    <w:p w:rsidR="00C7294C" w:rsidRDefault="00C7294C">
      <w:pPr>
        <w:pStyle w:val="ListParagraph"/>
        <w:spacing w:after="0" w:line="240" w:lineRule="auto"/>
        <w:jc w:val="both"/>
        <w:rPr>
          <w:rFonts w:ascii="Times New Roman" w:eastAsia="Times New Roman" w:hAnsi="Times New Roman" w:cs="Times New Roman"/>
          <w:sz w:val="24"/>
          <w:szCs w:val="24"/>
          <w:lang w:val="en-AU"/>
        </w:rPr>
      </w:pPr>
    </w:p>
    <w:p w:rsidR="00BF6DB2" w:rsidRPr="009B436C" w:rsidRDefault="00BF6DB2">
      <w:pPr>
        <w:pStyle w:val="ListParagraph"/>
        <w:spacing w:after="0" w:line="240" w:lineRule="auto"/>
        <w:jc w:val="both"/>
        <w:rPr>
          <w:rFonts w:ascii="Times New Roman" w:eastAsia="Times New Roman" w:hAnsi="Times New Roman" w:cs="Times New Roman"/>
          <w:sz w:val="24"/>
          <w:szCs w:val="24"/>
          <w:lang w:val="en-AU"/>
        </w:rPr>
      </w:pPr>
    </w:p>
    <w:p w:rsidR="00C7294C" w:rsidRPr="00FE0176" w:rsidRDefault="00DF05AA" w:rsidP="00BF6DB2">
      <w:pPr>
        <w:pStyle w:val="ListParagraph"/>
        <w:numPr>
          <w:ilvl w:val="2"/>
          <w:numId w:val="16"/>
        </w:numPr>
        <w:spacing w:after="0"/>
        <w:jc w:val="both"/>
        <w:rPr>
          <w:rStyle w:val="apple-converted-space"/>
          <w:rFonts w:ascii="Times New Roman" w:eastAsia="Times New Roman" w:hAnsi="Times New Roman" w:cs="Times New Roman"/>
          <w:sz w:val="24"/>
          <w:szCs w:val="24"/>
          <w:lang w:val="en-AU"/>
        </w:rPr>
      </w:pPr>
      <w:r w:rsidRPr="00FE0176">
        <w:rPr>
          <w:rStyle w:val="apple-converted-space"/>
          <w:rFonts w:ascii="Times New Roman" w:hAnsi="Times New Roman" w:cs="Times New Roman"/>
          <w:sz w:val="24"/>
          <w:szCs w:val="24"/>
          <w:lang w:val="en-AU"/>
        </w:rPr>
        <w:t>Proposal 5-4</w:t>
      </w:r>
    </w:p>
    <w:p w:rsidR="001A6F0E" w:rsidRPr="00FE0176" w:rsidRDefault="001225FC" w:rsidP="00FE0176">
      <w:pPr>
        <w:jc w:val="both"/>
        <w:rPr>
          <w:rStyle w:val="apple-converted-space"/>
          <w:lang w:val="en-AU"/>
        </w:rPr>
      </w:pPr>
      <w:r w:rsidRPr="00FE0176">
        <w:rPr>
          <w:rStyle w:val="apple-converted-space"/>
          <w:lang w:val="en-AU"/>
        </w:rPr>
        <w:t>We agree with the proposal that there should be two independent witnesses</w:t>
      </w:r>
      <w:r w:rsidR="001A6F0E" w:rsidRPr="00FE0176">
        <w:rPr>
          <w:rStyle w:val="apple-converted-space"/>
          <w:lang w:val="en-AU"/>
        </w:rPr>
        <w:t xml:space="preserve"> for enduring documents</w:t>
      </w:r>
      <w:r w:rsidRPr="00FE0176">
        <w:rPr>
          <w:rStyle w:val="apple-converted-space"/>
          <w:lang w:val="en-AU"/>
        </w:rPr>
        <w:t>.</w:t>
      </w:r>
    </w:p>
    <w:p w:rsidR="006B2CDD" w:rsidRPr="009B436C" w:rsidRDefault="001225FC">
      <w:pPr>
        <w:pStyle w:val="ListParagraph"/>
        <w:spacing w:after="0" w:line="240" w:lineRule="auto"/>
        <w:jc w:val="both"/>
        <w:rPr>
          <w:rStyle w:val="apple-converted-space"/>
          <w:rFonts w:ascii="Times New Roman" w:hAnsi="Times New Roman" w:cs="Times New Roman"/>
          <w:sz w:val="24"/>
          <w:szCs w:val="24"/>
          <w:lang w:val="en-AU"/>
        </w:rPr>
      </w:pPr>
      <w:r w:rsidRPr="009B436C">
        <w:rPr>
          <w:rStyle w:val="apple-converted-space"/>
          <w:rFonts w:ascii="Times New Roman" w:hAnsi="Times New Roman" w:cs="Times New Roman"/>
          <w:sz w:val="24"/>
          <w:szCs w:val="24"/>
          <w:lang w:val="en-AU"/>
        </w:rPr>
        <w:t xml:space="preserve"> </w:t>
      </w:r>
    </w:p>
    <w:p w:rsidR="001A6F0E" w:rsidRPr="00FE0176" w:rsidRDefault="001225FC" w:rsidP="00FE0176">
      <w:pPr>
        <w:jc w:val="both"/>
        <w:rPr>
          <w:rStyle w:val="apple-converted-space"/>
          <w:lang w:val="en-AU"/>
        </w:rPr>
      </w:pPr>
      <w:r w:rsidRPr="00FE0176">
        <w:rPr>
          <w:rStyle w:val="apple-converted-space"/>
          <w:lang w:val="en-AU"/>
        </w:rPr>
        <w:t xml:space="preserve">The inclusion of legal and health professionals is </w:t>
      </w:r>
      <w:r w:rsidR="005D6CC1" w:rsidRPr="00FE0176">
        <w:rPr>
          <w:rStyle w:val="apple-converted-space"/>
          <w:lang w:val="en-AU"/>
        </w:rPr>
        <w:t xml:space="preserve">particularly </w:t>
      </w:r>
      <w:r w:rsidRPr="00FE0176">
        <w:rPr>
          <w:rStyle w:val="apple-converted-space"/>
          <w:lang w:val="en-AU"/>
        </w:rPr>
        <w:t xml:space="preserve">useful, </w:t>
      </w:r>
      <w:r w:rsidR="00DF05AA" w:rsidRPr="00FE0176">
        <w:rPr>
          <w:rStyle w:val="apple-converted-space"/>
          <w:lang w:val="en-AU"/>
        </w:rPr>
        <w:t xml:space="preserve">especially </w:t>
      </w:r>
      <w:r w:rsidR="001A6F0E" w:rsidRPr="00FE0176">
        <w:rPr>
          <w:rStyle w:val="apple-converted-space"/>
          <w:lang w:val="en-AU"/>
        </w:rPr>
        <w:t xml:space="preserve">given the </w:t>
      </w:r>
      <w:r w:rsidR="00DF05AA" w:rsidRPr="00FE0176">
        <w:rPr>
          <w:rStyle w:val="apple-converted-space"/>
          <w:lang w:val="en-AU"/>
        </w:rPr>
        <w:t xml:space="preserve">issues of capacity which underpin this whole area. </w:t>
      </w:r>
      <w:r w:rsidR="00177085" w:rsidRPr="00FE0176">
        <w:rPr>
          <w:rStyle w:val="apple-converted-space"/>
          <w:lang w:val="en-AU"/>
        </w:rPr>
        <w:t xml:space="preserve">Health professionals in particular are more ‘front line’ </w:t>
      </w:r>
      <w:r w:rsidR="001A6F0E" w:rsidRPr="00FE0176">
        <w:rPr>
          <w:rStyle w:val="apple-converted-space"/>
          <w:lang w:val="en-AU"/>
        </w:rPr>
        <w:t xml:space="preserve">and may be in a better position to assess changes in a patient’s capacity. </w:t>
      </w:r>
      <w:r w:rsidR="00177085" w:rsidRPr="00FE0176">
        <w:rPr>
          <w:rStyle w:val="apple-converted-space"/>
          <w:lang w:val="en-AU"/>
        </w:rPr>
        <w:t>Further, there is</w:t>
      </w:r>
      <w:r w:rsidR="001A6F0E" w:rsidRPr="00FE0176">
        <w:rPr>
          <w:rStyle w:val="apple-converted-space"/>
          <w:lang w:val="en-AU"/>
        </w:rPr>
        <w:t xml:space="preserve"> often</w:t>
      </w:r>
      <w:r w:rsidR="00177085" w:rsidRPr="00FE0176">
        <w:rPr>
          <w:rStyle w:val="apple-converted-space"/>
          <w:lang w:val="en-AU"/>
        </w:rPr>
        <w:t xml:space="preserve"> an element of </w:t>
      </w:r>
      <w:r w:rsidR="00177085" w:rsidRPr="00A75171">
        <w:rPr>
          <w:rStyle w:val="apple-converted-space"/>
          <w:b/>
          <w:lang w:val="en-AU"/>
        </w:rPr>
        <w:t>trust</w:t>
      </w:r>
      <w:r w:rsidR="00177085" w:rsidRPr="00FE0176">
        <w:rPr>
          <w:rStyle w:val="apple-converted-space"/>
          <w:lang w:val="en-AU"/>
        </w:rPr>
        <w:t xml:space="preserve"> that exists between </w:t>
      </w:r>
      <w:r w:rsidR="001A6F0E" w:rsidRPr="00FE0176">
        <w:rPr>
          <w:rStyle w:val="apple-converted-space"/>
          <w:lang w:val="en-AU"/>
        </w:rPr>
        <w:t xml:space="preserve">patients </w:t>
      </w:r>
      <w:r w:rsidR="00177085" w:rsidRPr="00FE0176">
        <w:rPr>
          <w:rStyle w:val="apple-converted-space"/>
          <w:lang w:val="en-AU"/>
        </w:rPr>
        <w:t xml:space="preserve">and their </w:t>
      </w:r>
      <w:r w:rsidR="00C204B6" w:rsidRPr="00FE0176">
        <w:rPr>
          <w:rStyle w:val="apple-converted-space"/>
          <w:lang w:val="en-AU"/>
        </w:rPr>
        <w:t>health professionals</w:t>
      </w:r>
      <w:r w:rsidR="001A6F0E" w:rsidRPr="00FE0176">
        <w:rPr>
          <w:rStyle w:val="apple-converted-space"/>
          <w:lang w:val="en-AU"/>
        </w:rPr>
        <w:t xml:space="preserve"> which is not always present in a lawyer-client relationship, given that people may</w:t>
      </w:r>
      <w:r w:rsidR="00177085" w:rsidRPr="00FE0176">
        <w:rPr>
          <w:rStyle w:val="apple-converted-space"/>
          <w:lang w:val="en-AU"/>
        </w:rPr>
        <w:t xml:space="preserve"> </w:t>
      </w:r>
      <w:r w:rsidR="001A6F0E" w:rsidRPr="00FE0176">
        <w:rPr>
          <w:rStyle w:val="apple-converted-space"/>
          <w:lang w:val="en-AU"/>
        </w:rPr>
        <w:t>have only dealt with lawyers in negative or stressful circumstances.</w:t>
      </w:r>
      <w:r w:rsidR="002801BA" w:rsidRPr="00FE0176">
        <w:rPr>
          <w:rStyle w:val="apple-converted-space"/>
          <w:lang w:val="en-AU"/>
        </w:rPr>
        <w:t xml:space="preserve"> </w:t>
      </w:r>
    </w:p>
    <w:p w:rsidR="001A6F0E" w:rsidRPr="009B436C" w:rsidRDefault="001A6F0E">
      <w:pPr>
        <w:pStyle w:val="ListParagraph"/>
        <w:spacing w:after="0" w:line="240" w:lineRule="auto"/>
        <w:jc w:val="both"/>
        <w:rPr>
          <w:rStyle w:val="apple-converted-space"/>
          <w:rFonts w:ascii="Times New Roman" w:hAnsi="Times New Roman" w:cs="Times New Roman"/>
          <w:sz w:val="24"/>
          <w:szCs w:val="24"/>
          <w:lang w:val="en-AU"/>
        </w:rPr>
      </w:pPr>
    </w:p>
    <w:p w:rsidR="00F44824" w:rsidRPr="00FE0176" w:rsidRDefault="00DF05AA" w:rsidP="00FE0176">
      <w:pPr>
        <w:jc w:val="both"/>
        <w:rPr>
          <w:rStyle w:val="apple-converted-space"/>
          <w:lang w:val="en-AU"/>
        </w:rPr>
      </w:pPr>
      <w:r w:rsidRPr="00FE0176">
        <w:rPr>
          <w:rStyle w:val="apple-converted-space"/>
          <w:lang w:val="en-AU"/>
        </w:rPr>
        <w:t xml:space="preserve">However, the problem is that </w:t>
      </w:r>
      <w:r w:rsidR="006B2CDD" w:rsidRPr="00FE0176">
        <w:rPr>
          <w:rStyle w:val="apple-converted-space"/>
          <w:lang w:val="en-AU"/>
        </w:rPr>
        <w:t xml:space="preserve">many </w:t>
      </w:r>
      <w:r w:rsidR="00341F4D" w:rsidRPr="00FE0176">
        <w:rPr>
          <w:rStyle w:val="apple-converted-space"/>
          <w:lang w:val="en-AU"/>
        </w:rPr>
        <w:t xml:space="preserve">legal and health professionals </w:t>
      </w:r>
      <w:r w:rsidRPr="00FE0176">
        <w:rPr>
          <w:rStyle w:val="apple-converted-space"/>
          <w:lang w:val="en-AU"/>
        </w:rPr>
        <w:t xml:space="preserve">do not have the </w:t>
      </w:r>
      <w:r w:rsidRPr="001016AA">
        <w:rPr>
          <w:rStyle w:val="apple-converted-space"/>
          <w:b/>
          <w:lang w:val="en-AU"/>
        </w:rPr>
        <w:t>ability to</w:t>
      </w:r>
      <w:r w:rsidR="007411FF" w:rsidRPr="001016AA">
        <w:rPr>
          <w:rStyle w:val="apple-converted-space"/>
          <w:b/>
          <w:lang w:val="en-AU"/>
        </w:rPr>
        <w:t xml:space="preserve"> </w:t>
      </w:r>
      <w:r w:rsidR="006B2CDD" w:rsidRPr="001016AA">
        <w:rPr>
          <w:rStyle w:val="apple-converted-space"/>
          <w:b/>
          <w:lang w:val="en-AU"/>
        </w:rPr>
        <w:t>identify capacity issues</w:t>
      </w:r>
      <w:r w:rsidR="006B2CDD" w:rsidRPr="00FE0176">
        <w:rPr>
          <w:rStyle w:val="apple-converted-space"/>
          <w:lang w:val="en-AU"/>
        </w:rPr>
        <w:t xml:space="preserve"> </w:t>
      </w:r>
      <w:r w:rsidR="006B2CDD" w:rsidRPr="00062B08">
        <w:rPr>
          <w:rStyle w:val="apple-converted-space"/>
          <w:b/>
          <w:lang w:val="en-AU"/>
        </w:rPr>
        <w:t xml:space="preserve">and/or to </w:t>
      </w:r>
      <w:r w:rsidR="007411FF" w:rsidRPr="00062B08">
        <w:rPr>
          <w:rStyle w:val="apple-converted-space"/>
          <w:b/>
          <w:lang w:val="en-AU"/>
        </w:rPr>
        <w:t>accurately</w:t>
      </w:r>
      <w:r w:rsidRPr="00062B08">
        <w:rPr>
          <w:rStyle w:val="apple-converted-space"/>
          <w:b/>
          <w:lang w:val="en-AU"/>
        </w:rPr>
        <w:t xml:space="preserve"> assess capacity</w:t>
      </w:r>
      <w:r w:rsidR="006B2CDD" w:rsidRPr="00FE0176">
        <w:rPr>
          <w:rStyle w:val="apple-converted-space"/>
          <w:lang w:val="en-AU"/>
        </w:rPr>
        <w:t xml:space="preserve">. </w:t>
      </w:r>
      <w:r w:rsidR="00F92D53" w:rsidRPr="00FE0176">
        <w:rPr>
          <w:rStyle w:val="apple-converted-space"/>
          <w:lang w:val="en-AU"/>
        </w:rPr>
        <w:t xml:space="preserve">This again highlights the importance of national guidelines, including a strong system of education for all practitioners, but also referrals where a practitioner themselves lacks the expertise necessary. </w:t>
      </w:r>
      <w:r w:rsidR="007F2AF6" w:rsidRPr="00FE0176">
        <w:rPr>
          <w:rStyle w:val="apple-converted-space"/>
          <w:lang w:val="en-AU"/>
        </w:rPr>
        <w:t xml:space="preserve">Identifying issues of capacity earlier rather than later can also serve to avoid litigation at a later date </w:t>
      </w:r>
      <w:r w:rsidR="001A6F0E" w:rsidRPr="00FE0176">
        <w:rPr>
          <w:rStyle w:val="apple-converted-space"/>
          <w:lang w:val="en-AU"/>
        </w:rPr>
        <w:t>by ensuring</w:t>
      </w:r>
      <w:r w:rsidR="007F2AF6" w:rsidRPr="00FE0176">
        <w:rPr>
          <w:rStyle w:val="apple-converted-space"/>
          <w:lang w:val="en-AU"/>
        </w:rPr>
        <w:t xml:space="preserve">, for example, </w:t>
      </w:r>
      <w:r w:rsidR="001A6F0E" w:rsidRPr="00FE0176">
        <w:rPr>
          <w:rStyle w:val="apple-converted-space"/>
          <w:lang w:val="en-AU"/>
        </w:rPr>
        <w:t xml:space="preserve">that </w:t>
      </w:r>
      <w:r w:rsidR="007F2AF6" w:rsidRPr="00FE0176">
        <w:rPr>
          <w:rStyle w:val="apple-converted-space"/>
          <w:lang w:val="en-AU"/>
        </w:rPr>
        <w:t>the document is executed</w:t>
      </w:r>
      <w:r w:rsidR="001A6F0E" w:rsidRPr="00FE0176">
        <w:rPr>
          <w:rStyle w:val="apple-converted-space"/>
          <w:lang w:val="en-AU"/>
        </w:rPr>
        <w:t xml:space="preserve"> at a time when </w:t>
      </w:r>
      <w:r w:rsidR="007F2AF6" w:rsidRPr="00FE0176">
        <w:rPr>
          <w:rStyle w:val="apple-converted-space"/>
          <w:lang w:val="en-AU"/>
        </w:rPr>
        <w:t xml:space="preserve">there is no issue as to capacity. </w:t>
      </w:r>
    </w:p>
    <w:p w:rsidR="00F44824" w:rsidRPr="009B436C" w:rsidRDefault="00F44824">
      <w:pPr>
        <w:pStyle w:val="ListParagraph"/>
        <w:spacing w:after="0" w:line="240" w:lineRule="auto"/>
        <w:jc w:val="both"/>
        <w:rPr>
          <w:rStyle w:val="apple-converted-space"/>
          <w:rFonts w:ascii="Times New Roman" w:hAnsi="Times New Roman" w:cs="Times New Roman"/>
          <w:sz w:val="24"/>
          <w:szCs w:val="24"/>
          <w:lang w:val="en-AU"/>
        </w:rPr>
      </w:pPr>
    </w:p>
    <w:p w:rsidR="00C7294C" w:rsidRPr="00FE0176" w:rsidRDefault="00BA1343" w:rsidP="00FE0176">
      <w:pPr>
        <w:jc w:val="both"/>
        <w:rPr>
          <w:rStyle w:val="apple-converted-space"/>
          <w:rFonts w:eastAsia="Times New Roman"/>
          <w:lang w:val="en-AU"/>
        </w:rPr>
      </w:pPr>
      <w:r w:rsidRPr="00FE0176">
        <w:rPr>
          <w:rStyle w:val="apple-converted-space"/>
          <w:lang w:val="en-AU"/>
        </w:rPr>
        <w:t xml:space="preserve">With respect to the other suggested witnesses, while a wide ranging list </w:t>
      </w:r>
      <w:r w:rsidR="00904708" w:rsidRPr="00FE0176">
        <w:rPr>
          <w:rStyle w:val="apple-converted-space"/>
          <w:lang w:val="en-AU"/>
        </w:rPr>
        <w:t xml:space="preserve">may mean an increase in the uptake of </w:t>
      </w:r>
      <w:r w:rsidRPr="00FE0176">
        <w:rPr>
          <w:rStyle w:val="apple-converted-space"/>
          <w:lang w:val="en-AU"/>
        </w:rPr>
        <w:t xml:space="preserve">enduring documents, there are issues as to </w:t>
      </w:r>
      <w:r w:rsidR="00904708" w:rsidRPr="00FE0176">
        <w:rPr>
          <w:rStyle w:val="apple-converted-space"/>
          <w:lang w:val="en-AU"/>
        </w:rPr>
        <w:t xml:space="preserve">ensuring that witnesses are </w:t>
      </w:r>
      <w:r w:rsidRPr="00FE0176">
        <w:rPr>
          <w:rStyle w:val="apple-converted-space"/>
          <w:lang w:val="en-AU"/>
        </w:rPr>
        <w:t xml:space="preserve">able to accurately identify issues around capacity. </w:t>
      </w:r>
      <w:r w:rsidR="00904708" w:rsidRPr="00FE0176">
        <w:rPr>
          <w:rStyle w:val="apple-converted-space"/>
          <w:lang w:val="en-AU"/>
        </w:rPr>
        <w:t>As noted above, l</w:t>
      </w:r>
      <w:r w:rsidRPr="00FE0176">
        <w:rPr>
          <w:rStyle w:val="apple-converted-space"/>
          <w:lang w:val="en-AU"/>
        </w:rPr>
        <w:t xml:space="preserve">egal and health practitioners cannot </w:t>
      </w:r>
      <w:r w:rsidR="00DF05AA" w:rsidRPr="00FE0176">
        <w:rPr>
          <w:rStyle w:val="apple-converted-space"/>
          <w:lang w:val="en-AU"/>
        </w:rPr>
        <w:t>always assess capacity correctly (</w:t>
      </w:r>
      <w:r w:rsidRPr="00FE0176">
        <w:rPr>
          <w:rStyle w:val="apple-converted-space"/>
          <w:lang w:val="en-AU"/>
        </w:rPr>
        <w:t xml:space="preserve">especially around the </w:t>
      </w:r>
      <w:r w:rsidR="00904708" w:rsidRPr="00FE0176">
        <w:rPr>
          <w:rStyle w:val="apple-converted-space"/>
          <w:lang w:val="en-AU"/>
        </w:rPr>
        <w:t xml:space="preserve">necessary level of </w:t>
      </w:r>
      <w:r w:rsidR="00DF05AA" w:rsidRPr="00FE0176">
        <w:rPr>
          <w:rStyle w:val="apple-converted-space"/>
          <w:lang w:val="en-AU"/>
        </w:rPr>
        <w:t xml:space="preserve">understanding of the enduring document being </w:t>
      </w:r>
      <w:r w:rsidR="00904708" w:rsidRPr="00FE0176">
        <w:rPr>
          <w:rStyle w:val="apple-converted-space"/>
          <w:lang w:val="en-AU"/>
        </w:rPr>
        <w:t>signed</w:t>
      </w:r>
      <w:r w:rsidR="00DF05AA" w:rsidRPr="00FE0176">
        <w:rPr>
          <w:rStyle w:val="apple-converted-space"/>
          <w:lang w:val="en-AU"/>
        </w:rPr>
        <w:t xml:space="preserve">) so </w:t>
      </w:r>
      <w:r w:rsidRPr="00FE0176">
        <w:rPr>
          <w:rStyle w:val="apple-converted-space"/>
          <w:lang w:val="en-AU"/>
        </w:rPr>
        <w:t>we suggest</w:t>
      </w:r>
      <w:r w:rsidR="003D17FB" w:rsidRPr="00FE0176">
        <w:rPr>
          <w:rStyle w:val="apple-converted-space"/>
          <w:lang w:val="en-AU"/>
        </w:rPr>
        <w:t xml:space="preserve"> that </w:t>
      </w:r>
      <w:r w:rsidR="00DF05AA" w:rsidRPr="00FE0176">
        <w:rPr>
          <w:rStyle w:val="apple-converted-space"/>
          <w:lang w:val="en-AU"/>
        </w:rPr>
        <w:t xml:space="preserve">the ability of the others mentioned </w:t>
      </w:r>
      <w:r w:rsidR="00A040B9" w:rsidRPr="00FE0176">
        <w:rPr>
          <w:rStyle w:val="apple-converted-space"/>
          <w:lang w:val="en-AU"/>
        </w:rPr>
        <w:t xml:space="preserve">in </w:t>
      </w:r>
      <w:r w:rsidR="00DF05AA" w:rsidRPr="00FE0176">
        <w:rPr>
          <w:rStyle w:val="apple-converted-space"/>
          <w:lang w:val="en-AU"/>
        </w:rPr>
        <w:t xml:space="preserve">(c) – </w:t>
      </w:r>
      <w:r w:rsidR="00DF05AA" w:rsidRPr="00FE0176">
        <w:rPr>
          <w:rStyle w:val="apple-converted-space"/>
          <w:lang w:val="en-AU"/>
        </w:rPr>
        <w:lastRenderedPageBreak/>
        <w:t>(e)</w:t>
      </w:r>
      <w:r w:rsidR="003D17FB" w:rsidRPr="00FE0176">
        <w:rPr>
          <w:rStyle w:val="apple-converted-space"/>
          <w:lang w:val="en-AU"/>
        </w:rPr>
        <w:t xml:space="preserve"> would be even more questionable. A human rights</w:t>
      </w:r>
      <w:r w:rsidR="00B104A3" w:rsidRPr="00FE0176">
        <w:rPr>
          <w:rStyle w:val="apple-converted-space"/>
          <w:lang w:val="en-AU"/>
        </w:rPr>
        <w:t xml:space="preserve">-based </w:t>
      </w:r>
      <w:r w:rsidR="00DF05AA" w:rsidRPr="00FE0176">
        <w:rPr>
          <w:rStyle w:val="apple-converted-space"/>
          <w:lang w:val="en-AU"/>
        </w:rPr>
        <w:t xml:space="preserve">approach strongly supports </w:t>
      </w:r>
      <w:r w:rsidR="003D17FB" w:rsidRPr="00FE0176">
        <w:rPr>
          <w:rStyle w:val="apple-converted-space"/>
          <w:lang w:val="en-AU"/>
        </w:rPr>
        <w:t xml:space="preserve">the </w:t>
      </w:r>
      <w:r w:rsidR="00DF05AA" w:rsidRPr="00FE0176">
        <w:rPr>
          <w:rStyle w:val="apple-converted-space"/>
          <w:lang w:val="en-AU"/>
        </w:rPr>
        <w:t xml:space="preserve">presumption of capacity in the absence of appropriate evidence.  </w:t>
      </w:r>
    </w:p>
    <w:p w:rsidR="00C7294C" w:rsidRPr="009B436C" w:rsidRDefault="00C7294C">
      <w:pPr>
        <w:pStyle w:val="ListParagraph"/>
        <w:spacing w:after="0" w:line="240" w:lineRule="auto"/>
        <w:jc w:val="both"/>
        <w:rPr>
          <w:rFonts w:ascii="Times New Roman" w:hAnsi="Times New Roman" w:cs="Times New Roman"/>
          <w:sz w:val="24"/>
          <w:szCs w:val="24"/>
          <w:lang w:val="en-AU"/>
        </w:rPr>
      </w:pPr>
    </w:p>
    <w:p w:rsidR="00C7294C" w:rsidRDefault="00942B05" w:rsidP="00FE0176">
      <w:pPr>
        <w:jc w:val="both"/>
        <w:rPr>
          <w:rStyle w:val="apple-converted-space"/>
          <w:lang w:val="en-AU"/>
        </w:rPr>
      </w:pPr>
      <w:r w:rsidRPr="00FE0176">
        <w:rPr>
          <w:rStyle w:val="apple-converted-space"/>
          <w:lang w:val="en-AU"/>
        </w:rPr>
        <w:t xml:space="preserve">The connected </w:t>
      </w:r>
      <w:r w:rsidRPr="00B41E5D">
        <w:rPr>
          <w:rStyle w:val="apple-converted-space"/>
          <w:b/>
          <w:lang w:val="en-AU"/>
        </w:rPr>
        <w:t>issue</w:t>
      </w:r>
      <w:r w:rsidR="0039422F" w:rsidRPr="00B41E5D">
        <w:rPr>
          <w:rStyle w:val="apple-converted-space"/>
          <w:b/>
          <w:lang w:val="en-AU"/>
        </w:rPr>
        <w:t xml:space="preserve"> of </w:t>
      </w:r>
      <w:r w:rsidR="00DF05AA" w:rsidRPr="00B41E5D">
        <w:rPr>
          <w:rStyle w:val="apple-converted-space"/>
          <w:b/>
          <w:lang w:val="en-AU"/>
        </w:rPr>
        <w:t>cost</w:t>
      </w:r>
      <w:r w:rsidRPr="00FE0176">
        <w:rPr>
          <w:rStyle w:val="apple-converted-space"/>
          <w:lang w:val="en-AU"/>
        </w:rPr>
        <w:t xml:space="preserve"> is raised</w:t>
      </w:r>
      <w:r w:rsidR="0039422F" w:rsidRPr="00FE0176">
        <w:rPr>
          <w:rStyle w:val="apple-converted-space"/>
          <w:lang w:val="en-AU"/>
        </w:rPr>
        <w:t xml:space="preserve">. Who is going to pay for an assessment if capacity is an issue? There is </w:t>
      </w:r>
      <w:r w:rsidR="0039422F" w:rsidRPr="00B41E5D">
        <w:rPr>
          <w:rStyle w:val="apple-converted-space"/>
          <w:b/>
          <w:lang w:val="en-AU"/>
        </w:rPr>
        <w:t xml:space="preserve">no </w:t>
      </w:r>
      <w:r w:rsidR="00DF05AA" w:rsidRPr="00B41E5D">
        <w:rPr>
          <w:rStyle w:val="apple-converted-space"/>
          <w:b/>
          <w:lang w:val="en-AU"/>
        </w:rPr>
        <w:t xml:space="preserve">Medicare claim </w:t>
      </w:r>
      <w:r w:rsidR="00C22E92" w:rsidRPr="00B41E5D">
        <w:rPr>
          <w:rStyle w:val="apple-converted-space"/>
          <w:b/>
          <w:lang w:val="en-AU"/>
        </w:rPr>
        <w:t xml:space="preserve">number </w:t>
      </w:r>
      <w:r w:rsidR="00DF05AA" w:rsidRPr="00B41E5D">
        <w:rPr>
          <w:rStyle w:val="apple-converted-space"/>
          <w:b/>
          <w:lang w:val="en-AU"/>
        </w:rPr>
        <w:t>for witnessing documents or for providing capacity assessments</w:t>
      </w:r>
      <w:r w:rsidR="00DF05AA" w:rsidRPr="00FE0176">
        <w:rPr>
          <w:rStyle w:val="apple-converted-space"/>
          <w:lang w:val="en-AU"/>
        </w:rPr>
        <w:t xml:space="preserve">. How </w:t>
      </w:r>
      <w:r w:rsidR="00C22E92" w:rsidRPr="00FE0176">
        <w:rPr>
          <w:rStyle w:val="apple-converted-space"/>
          <w:lang w:val="en-AU"/>
        </w:rPr>
        <w:t xml:space="preserve">then are health professionals </w:t>
      </w:r>
      <w:r w:rsidR="00DF05AA" w:rsidRPr="00FE0176">
        <w:rPr>
          <w:rStyle w:val="apple-converted-space"/>
          <w:lang w:val="en-AU"/>
        </w:rPr>
        <w:t xml:space="preserve">to charge? Similarly with </w:t>
      </w:r>
      <w:r w:rsidR="007E1B0C" w:rsidRPr="00FE0176">
        <w:rPr>
          <w:rStyle w:val="apple-converted-space"/>
          <w:lang w:val="en-AU"/>
        </w:rPr>
        <w:t>legal professionals</w:t>
      </w:r>
      <w:r w:rsidR="00DF05AA" w:rsidRPr="00FE0176">
        <w:rPr>
          <w:rStyle w:val="apple-converted-space"/>
          <w:lang w:val="en-AU"/>
        </w:rPr>
        <w:t>, people will have to pay for the witnessing</w:t>
      </w:r>
      <w:r w:rsidR="008A5B8C" w:rsidRPr="00FE0176">
        <w:rPr>
          <w:rStyle w:val="apple-converted-space"/>
          <w:lang w:val="en-AU"/>
        </w:rPr>
        <w:t>.</w:t>
      </w:r>
      <w:r w:rsidR="00982691" w:rsidRPr="00FE0176">
        <w:rPr>
          <w:rStyle w:val="apple-converted-space"/>
          <w:lang w:val="en-AU"/>
        </w:rPr>
        <w:t xml:space="preserve"> </w:t>
      </w:r>
    </w:p>
    <w:p w:rsidR="0015655F" w:rsidRDefault="0015655F" w:rsidP="00FE0176">
      <w:pPr>
        <w:jc w:val="both"/>
        <w:rPr>
          <w:rStyle w:val="apple-converted-space"/>
          <w:lang w:val="en-AU"/>
        </w:rPr>
      </w:pPr>
    </w:p>
    <w:p w:rsidR="0015655F" w:rsidRPr="00FE0176"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rFonts w:eastAsia="Times New Roman"/>
          <w:lang w:val="en-AU"/>
        </w:rPr>
      </w:pPr>
      <w:r>
        <w:rPr>
          <w:rStyle w:val="apple-converted-space"/>
          <w:b/>
          <w:lang w:val="en-AU"/>
        </w:rPr>
        <w:t>Submission</w:t>
      </w:r>
      <w:r w:rsidR="0015655F">
        <w:rPr>
          <w:rStyle w:val="apple-converted-space"/>
          <w:lang w:val="en-AU"/>
        </w:rPr>
        <w:t xml:space="preserve">: </w:t>
      </w:r>
      <w:r w:rsidR="0015655F" w:rsidRPr="00FE0176">
        <w:rPr>
          <w:rStyle w:val="apple-converted-space"/>
          <w:lang w:val="en-AU"/>
        </w:rPr>
        <w:t xml:space="preserve">people witnessing </w:t>
      </w:r>
      <w:r w:rsidR="00F83944">
        <w:rPr>
          <w:rStyle w:val="apple-converted-space"/>
          <w:lang w:val="en-AU"/>
        </w:rPr>
        <w:t xml:space="preserve">must be </w:t>
      </w:r>
      <w:r w:rsidR="0015655F" w:rsidRPr="00FE0176">
        <w:rPr>
          <w:rStyle w:val="apple-converted-space"/>
          <w:lang w:val="en-AU"/>
        </w:rPr>
        <w:t xml:space="preserve">appropriately trained/qualified to spot a potential lack of capacity and to </w:t>
      </w:r>
      <w:r w:rsidR="0015655F" w:rsidRPr="00A647BE">
        <w:rPr>
          <w:rStyle w:val="apple-converted-space"/>
          <w:i/>
          <w:lang w:val="en-AU"/>
        </w:rPr>
        <w:t>know</w:t>
      </w:r>
      <w:r w:rsidR="0015655F" w:rsidRPr="00FE0176">
        <w:rPr>
          <w:rStyle w:val="apple-converted-space"/>
          <w:lang w:val="en-AU"/>
        </w:rPr>
        <w:t xml:space="preserve"> how to make an assessment.</w:t>
      </w:r>
      <w:r w:rsidR="0015655F">
        <w:rPr>
          <w:rStyle w:val="apple-converted-space"/>
          <w:lang w:val="en-AU"/>
        </w:rPr>
        <w:t xml:space="preserve"> </w:t>
      </w:r>
      <w:r w:rsidR="00CD6C79">
        <w:rPr>
          <w:rStyle w:val="apple-converted-space"/>
          <w:lang w:val="en-AU"/>
        </w:rPr>
        <w:t xml:space="preserve">National capacity assessment guidelines building on an interdisciplinary approach must be developed. </w:t>
      </w:r>
      <w:r w:rsidR="0015655F" w:rsidRPr="00FE0176">
        <w:rPr>
          <w:rStyle w:val="apple-converted-space"/>
          <w:lang w:val="en-AU"/>
        </w:rPr>
        <w:t xml:space="preserve">Cost is critical </w:t>
      </w:r>
      <w:r w:rsidR="001B5322">
        <w:rPr>
          <w:rStyle w:val="apple-converted-space"/>
          <w:lang w:val="en-AU"/>
        </w:rPr>
        <w:t xml:space="preserve">to effective witnessing provisions </w:t>
      </w:r>
      <w:r w:rsidR="0015655F" w:rsidRPr="00FE0176">
        <w:rPr>
          <w:rStyle w:val="apple-converted-space"/>
          <w:lang w:val="en-AU"/>
        </w:rPr>
        <w:t>and may prove to be a barrier if not addressed.</w:t>
      </w:r>
    </w:p>
    <w:p w:rsidR="00C7294C" w:rsidRDefault="00C7294C">
      <w:pPr>
        <w:pStyle w:val="ListParagraph"/>
        <w:spacing w:after="0" w:line="240" w:lineRule="auto"/>
        <w:jc w:val="both"/>
        <w:rPr>
          <w:rFonts w:ascii="Times New Roman" w:eastAsia="Times New Roman" w:hAnsi="Times New Roman" w:cs="Times New Roman"/>
          <w:sz w:val="24"/>
          <w:szCs w:val="24"/>
          <w:lang w:val="en-AU"/>
        </w:rPr>
      </w:pPr>
    </w:p>
    <w:p w:rsidR="001B5322" w:rsidRPr="009B436C" w:rsidRDefault="001B5322">
      <w:pPr>
        <w:pStyle w:val="ListParagraph"/>
        <w:spacing w:after="0" w:line="240" w:lineRule="auto"/>
        <w:jc w:val="both"/>
        <w:rPr>
          <w:rFonts w:ascii="Times New Roman" w:eastAsia="Times New Roman" w:hAnsi="Times New Roman" w:cs="Times New Roman"/>
          <w:sz w:val="24"/>
          <w:szCs w:val="24"/>
          <w:lang w:val="en-AU"/>
        </w:rPr>
      </w:pPr>
    </w:p>
    <w:p w:rsidR="00C7294C" w:rsidRPr="00FE0176" w:rsidRDefault="00DF05AA" w:rsidP="00FE0176">
      <w:pPr>
        <w:pStyle w:val="ListParagraph"/>
        <w:numPr>
          <w:ilvl w:val="2"/>
          <w:numId w:val="16"/>
        </w:numPr>
        <w:jc w:val="both"/>
        <w:rPr>
          <w:rStyle w:val="apple-converted-space"/>
          <w:rFonts w:ascii="Times New Roman" w:eastAsia="Times New Roman" w:hAnsi="Times New Roman" w:cs="Times New Roman"/>
          <w:sz w:val="24"/>
          <w:szCs w:val="24"/>
          <w:lang w:val="en-AU"/>
        </w:rPr>
      </w:pPr>
      <w:r w:rsidRPr="00FE0176">
        <w:rPr>
          <w:rStyle w:val="apple-converted-space"/>
          <w:rFonts w:ascii="Times New Roman" w:hAnsi="Times New Roman" w:cs="Times New Roman"/>
          <w:sz w:val="24"/>
          <w:szCs w:val="24"/>
          <w:lang w:val="en-AU"/>
        </w:rPr>
        <w:t>Proposal 5-7</w:t>
      </w:r>
    </w:p>
    <w:p w:rsidR="00C7294C" w:rsidRPr="00FE0176"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rFonts w:eastAsia="Times New Roman"/>
          <w:lang w:val="en-AU"/>
        </w:rPr>
      </w:pPr>
      <w:r>
        <w:rPr>
          <w:rStyle w:val="apple-converted-space"/>
          <w:b/>
          <w:lang w:val="en-AU"/>
        </w:rPr>
        <w:t>Submission</w:t>
      </w:r>
      <w:r w:rsidR="00544388">
        <w:rPr>
          <w:rStyle w:val="apple-converted-space"/>
          <w:lang w:val="en-AU"/>
        </w:rPr>
        <w:t xml:space="preserve">: </w:t>
      </w:r>
      <w:r w:rsidR="0094153A">
        <w:rPr>
          <w:rStyle w:val="apple-converted-space"/>
          <w:lang w:val="en-AU"/>
        </w:rPr>
        <w:t>w</w:t>
      </w:r>
      <w:r w:rsidR="00904708" w:rsidRPr="00FE0176">
        <w:rPr>
          <w:rStyle w:val="apple-converted-space"/>
          <w:lang w:val="en-AU"/>
        </w:rPr>
        <w:t xml:space="preserve">e agree with this proposal and would further add another category of ineligible person, being someone who </w:t>
      </w:r>
      <w:r w:rsidR="00DF05AA" w:rsidRPr="00FE0176">
        <w:rPr>
          <w:rStyle w:val="apple-converted-space"/>
          <w:lang w:val="en-AU"/>
        </w:rPr>
        <w:t>has committed an offence against the principal</w:t>
      </w:r>
      <w:r w:rsidR="00904708" w:rsidRPr="00FE0176">
        <w:rPr>
          <w:rStyle w:val="apple-converted-space"/>
          <w:lang w:val="en-AU"/>
        </w:rPr>
        <w:t>.</w:t>
      </w:r>
    </w:p>
    <w:p w:rsidR="00C7294C" w:rsidRDefault="00C7294C">
      <w:pPr>
        <w:pStyle w:val="ListParagraph"/>
        <w:spacing w:after="0" w:line="240" w:lineRule="auto"/>
        <w:jc w:val="both"/>
        <w:rPr>
          <w:rFonts w:ascii="Times New Roman" w:eastAsia="Times New Roman" w:hAnsi="Times New Roman" w:cs="Times New Roman"/>
          <w:sz w:val="24"/>
          <w:szCs w:val="24"/>
          <w:lang w:val="en-AU"/>
        </w:rPr>
      </w:pPr>
    </w:p>
    <w:p w:rsidR="004E4B0D" w:rsidRPr="009B436C" w:rsidRDefault="004E4B0D">
      <w:pPr>
        <w:pStyle w:val="ListParagraph"/>
        <w:spacing w:after="0" w:line="240" w:lineRule="auto"/>
        <w:jc w:val="both"/>
        <w:rPr>
          <w:rFonts w:ascii="Times New Roman" w:eastAsia="Times New Roman" w:hAnsi="Times New Roman" w:cs="Times New Roman"/>
          <w:sz w:val="24"/>
          <w:szCs w:val="24"/>
          <w:lang w:val="en-AU"/>
        </w:rPr>
      </w:pPr>
    </w:p>
    <w:p w:rsidR="00C7294C" w:rsidRPr="00544388" w:rsidRDefault="00DF05AA" w:rsidP="004E4B0D">
      <w:pPr>
        <w:pStyle w:val="ListParagraph"/>
        <w:numPr>
          <w:ilvl w:val="2"/>
          <w:numId w:val="16"/>
        </w:numPr>
        <w:spacing w:after="0"/>
        <w:jc w:val="both"/>
        <w:rPr>
          <w:rStyle w:val="apple-converted-space"/>
          <w:rFonts w:ascii="Times New Roman" w:eastAsia="Times New Roman" w:hAnsi="Times New Roman" w:cs="Times New Roman"/>
          <w:sz w:val="24"/>
          <w:szCs w:val="24"/>
          <w:lang w:val="en-AU"/>
        </w:rPr>
      </w:pPr>
      <w:r w:rsidRPr="00544388">
        <w:rPr>
          <w:rStyle w:val="apple-converted-space"/>
          <w:rFonts w:ascii="Times New Roman" w:hAnsi="Times New Roman" w:cs="Times New Roman"/>
          <w:sz w:val="24"/>
          <w:szCs w:val="24"/>
          <w:lang w:val="en-AU"/>
        </w:rPr>
        <w:t>Proposal 5-8</w:t>
      </w:r>
    </w:p>
    <w:p w:rsidR="00C7294C" w:rsidRPr="009B436C" w:rsidRDefault="00C87459" w:rsidP="002D5E18">
      <w:pPr>
        <w:jc w:val="both"/>
        <w:rPr>
          <w:rStyle w:val="apple-converted-space"/>
          <w:rFonts w:eastAsia="Times New Roman"/>
          <w:lang w:val="en-AU"/>
        </w:rPr>
      </w:pPr>
      <w:r w:rsidRPr="00544388">
        <w:rPr>
          <w:rStyle w:val="apple-converted-space"/>
          <w:lang w:val="en-AU"/>
        </w:rPr>
        <w:t xml:space="preserve">As a peripheral issue, </w:t>
      </w:r>
      <w:r w:rsidR="00DF05AA" w:rsidRPr="00544388">
        <w:rPr>
          <w:rStyle w:val="apple-converted-space"/>
          <w:lang w:val="en-AU"/>
        </w:rPr>
        <w:t xml:space="preserve">capacity to consent to </w:t>
      </w:r>
      <w:r w:rsidR="00DF05AA" w:rsidRPr="00544388">
        <w:rPr>
          <w:rStyle w:val="apple-converted-space"/>
          <w:b/>
          <w:lang w:val="en-AU"/>
        </w:rPr>
        <w:t>marriage</w:t>
      </w:r>
      <w:r w:rsidR="00DF05AA" w:rsidRPr="00544388">
        <w:rPr>
          <w:rStyle w:val="apple-converted-space"/>
          <w:lang w:val="en-AU"/>
        </w:rPr>
        <w:t xml:space="preserve"> is generally lower than that </w:t>
      </w:r>
      <w:r w:rsidR="00904708" w:rsidRPr="00544388">
        <w:rPr>
          <w:rStyle w:val="apple-converted-space"/>
          <w:lang w:val="en-AU"/>
        </w:rPr>
        <w:t xml:space="preserve">required </w:t>
      </w:r>
      <w:r w:rsidR="00DF05AA" w:rsidRPr="00544388">
        <w:rPr>
          <w:rStyle w:val="apple-converted-space"/>
          <w:lang w:val="en-AU"/>
        </w:rPr>
        <w:t xml:space="preserve">to make a will. So, while a person may </w:t>
      </w:r>
      <w:r w:rsidR="00F64EAD" w:rsidRPr="00544388">
        <w:rPr>
          <w:rStyle w:val="apple-converted-space"/>
          <w:lang w:val="en-AU"/>
        </w:rPr>
        <w:t xml:space="preserve">not </w:t>
      </w:r>
      <w:r w:rsidR="00DF05AA" w:rsidRPr="00544388">
        <w:rPr>
          <w:rStyle w:val="apple-converted-space"/>
          <w:lang w:val="en-AU"/>
        </w:rPr>
        <w:t>be capable at law of making a will, they can enter into a marriage, the effect of which is to revoke previous wills unless the will was made in contemplation of marriage (</w:t>
      </w:r>
      <w:r w:rsidR="00F64EAD" w:rsidRPr="00544388">
        <w:rPr>
          <w:rStyle w:val="apple-converted-space"/>
          <w:lang w:val="en-AU"/>
        </w:rPr>
        <w:t xml:space="preserve">see </w:t>
      </w:r>
      <w:r w:rsidR="00DF05AA" w:rsidRPr="00544388">
        <w:rPr>
          <w:rStyle w:val="apple-converted-space"/>
          <w:lang w:val="en-AU"/>
        </w:rPr>
        <w:t xml:space="preserve">for example </w:t>
      </w:r>
      <w:r w:rsidR="00DF05AA" w:rsidRPr="00544388">
        <w:rPr>
          <w:rStyle w:val="apple-converted-space"/>
          <w:i/>
          <w:iCs/>
          <w:lang w:val="en-AU"/>
        </w:rPr>
        <w:t>Succession Act 1981</w:t>
      </w:r>
      <w:r w:rsidR="00DF05AA" w:rsidRPr="00544388">
        <w:rPr>
          <w:rStyle w:val="apple-converted-space"/>
          <w:lang w:val="en-AU"/>
        </w:rPr>
        <w:t xml:space="preserve"> (Qld) s 14).  </w:t>
      </w:r>
    </w:p>
    <w:p w:rsidR="00C7294C" w:rsidRDefault="00C7294C">
      <w:pPr>
        <w:pStyle w:val="ListParagraph"/>
        <w:spacing w:after="0" w:line="240" w:lineRule="auto"/>
        <w:jc w:val="both"/>
        <w:rPr>
          <w:rFonts w:ascii="Times New Roman" w:eastAsia="Times New Roman" w:hAnsi="Times New Roman" w:cs="Times New Roman"/>
          <w:sz w:val="24"/>
          <w:szCs w:val="24"/>
          <w:lang w:val="en-AU"/>
        </w:rPr>
      </w:pPr>
    </w:p>
    <w:p w:rsidR="004E4B0D" w:rsidRPr="009B436C" w:rsidRDefault="004E4B0D">
      <w:pPr>
        <w:pStyle w:val="ListParagraph"/>
        <w:spacing w:after="0" w:line="240" w:lineRule="auto"/>
        <w:jc w:val="both"/>
        <w:rPr>
          <w:rFonts w:ascii="Times New Roman" w:eastAsia="Times New Roman" w:hAnsi="Times New Roman" w:cs="Times New Roman"/>
          <w:sz w:val="24"/>
          <w:szCs w:val="24"/>
          <w:lang w:val="en-AU"/>
        </w:rPr>
      </w:pPr>
    </w:p>
    <w:p w:rsidR="00C7294C" w:rsidRPr="00BF5665" w:rsidRDefault="00DF05AA" w:rsidP="00BF5665">
      <w:pPr>
        <w:pStyle w:val="ListParagraph"/>
        <w:numPr>
          <w:ilvl w:val="2"/>
          <w:numId w:val="16"/>
        </w:numPr>
        <w:jc w:val="both"/>
        <w:rPr>
          <w:rStyle w:val="apple-converted-space"/>
          <w:rFonts w:ascii="Times New Roman" w:eastAsia="Times New Roman" w:hAnsi="Times New Roman" w:cs="Times New Roman"/>
          <w:sz w:val="24"/>
          <w:szCs w:val="24"/>
          <w:lang w:val="en-AU"/>
        </w:rPr>
      </w:pPr>
      <w:r w:rsidRPr="00BF5665">
        <w:rPr>
          <w:rStyle w:val="apple-converted-space"/>
          <w:rFonts w:ascii="Times New Roman" w:hAnsi="Times New Roman" w:cs="Times New Roman"/>
          <w:sz w:val="24"/>
          <w:szCs w:val="24"/>
          <w:lang w:val="en-AU"/>
        </w:rPr>
        <w:t>Proposal 5-9</w:t>
      </w:r>
    </w:p>
    <w:p w:rsidR="00C7294C"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rFonts w:eastAsia="Times New Roman"/>
          <w:lang w:val="en-AU"/>
        </w:rPr>
      </w:pPr>
      <w:r>
        <w:rPr>
          <w:rStyle w:val="apple-converted-space"/>
          <w:b/>
          <w:lang w:val="en-AU"/>
        </w:rPr>
        <w:t>Submission</w:t>
      </w:r>
      <w:r w:rsidR="00BF5665">
        <w:rPr>
          <w:rStyle w:val="apple-converted-space"/>
          <w:lang w:val="en-AU"/>
        </w:rPr>
        <w:t xml:space="preserve">: </w:t>
      </w:r>
      <w:r w:rsidR="0094153A">
        <w:rPr>
          <w:rStyle w:val="apple-converted-space"/>
          <w:lang w:val="en-AU"/>
        </w:rPr>
        <w:t>w</w:t>
      </w:r>
      <w:r w:rsidR="00904708" w:rsidRPr="00BF5665">
        <w:rPr>
          <w:rStyle w:val="apple-converted-space"/>
          <w:lang w:val="en-AU"/>
        </w:rPr>
        <w:t xml:space="preserve">e support this proposal and would further add the requirement that attorneys </w:t>
      </w:r>
      <w:r w:rsidR="00DF05AA" w:rsidRPr="00BF5665">
        <w:rPr>
          <w:rStyle w:val="apple-converted-space"/>
          <w:lang w:val="en-AU"/>
        </w:rPr>
        <w:t xml:space="preserve">report yearly. </w:t>
      </w:r>
    </w:p>
    <w:p w:rsidR="00C7294C" w:rsidRDefault="00C7294C">
      <w:pPr>
        <w:pStyle w:val="Body"/>
        <w:spacing w:after="0" w:line="240" w:lineRule="auto"/>
        <w:jc w:val="both"/>
        <w:rPr>
          <w:rFonts w:ascii="Times New Roman" w:eastAsia="Times New Roman" w:hAnsi="Times New Roman" w:cs="Times New Roman"/>
          <w:sz w:val="24"/>
          <w:szCs w:val="24"/>
          <w:lang w:val="en-AU"/>
        </w:rPr>
      </w:pPr>
    </w:p>
    <w:p w:rsidR="004E4B0D" w:rsidRPr="009B436C" w:rsidRDefault="004E4B0D">
      <w:pPr>
        <w:pStyle w:val="Body"/>
        <w:spacing w:after="0" w:line="240" w:lineRule="auto"/>
        <w:jc w:val="both"/>
        <w:rPr>
          <w:rFonts w:ascii="Times New Roman" w:eastAsia="Times New Roman" w:hAnsi="Times New Roman" w:cs="Times New Roman"/>
          <w:sz w:val="24"/>
          <w:szCs w:val="24"/>
          <w:lang w:val="en-AU"/>
        </w:rPr>
      </w:pPr>
    </w:p>
    <w:p w:rsidR="00C7294C" w:rsidRPr="009B436C" w:rsidRDefault="0094153A">
      <w:pPr>
        <w:pStyle w:val="Body"/>
        <w:spacing w:after="0" w:line="240" w:lineRule="auto"/>
        <w:jc w:val="both"/>
        <w:rPr>
          <w:rStyle w:val="apple-converted-space"/>
          <w:rFonts w:ascii="Times New Roman" w:eastAsia="Times New Roman" w:hAnsi="Times New Roman" w:cs="Times New Roman"/>
          <w:b/>
          <w:bCs/>
          <w:sz w:val="24"/>
          <w:szCs w:val="24"/>
          <w:lang w:val="en-AU"/>
        </w:rPr>
      </w:pPr>
      <w:r>
        <w:rPr>
          <w:rStyle w:val="apple-converted-space"/>
          <w:rFonts w:ascii="Times New Roman" w:hAnsi="Times New Roman" w:cs="Times New Roman"/>
          <w:b/>
          <w:bCs/>
          <w:sz w:val="24"/>
          <w:szCs w:val="24"/>
          <w:lang w:val="en-AU"/>
        </w:rPr>
        <w:t xml:space="preserve">2.4 </w:t>
      </w:r>
      <w:r w:rsidR="00DF05AA" w:rsidRPr="009B436C">
        <w:rPr>
          <w:rStyle w:val="apple-converted-space"/>
          <w:rFonts w:ascii="Times New Roman" w:hAnsi="Times New Roman" w:cs="Times New Roman"/>
          <w:b/>
          <w:bCs/>
          <w:sz w:val="24"/>
          <w:szCs w:val="24"/>
          <w:lang w:val="en-AU"/>
        </w:rPr>
        <w:t xml:space="preserve">Guardianship and Financial Administration Orders </w:t>
      </w:r>
    </w:p>
    <w:p w:rsidR="00C7294C" w:rsidRPr="0094153A" w:rsidRDefault="00DF05AA" w:rsidP="0094153A">
      <w:pPr>
        <w:pStyle w:val="ListParagraph"/>
        <w:numPr>
          <w:ilvl w:val="2"/>
          <w:numId w:val="18"/>
        </w:numPr>
        <w:jc w:val="both"/>
        <w:rPr>
          <w:rStyle w:val="apple-converted-space"/>
          <w:rFonts w:ascii="Times New Roman" w:eastAsia="Times New Roman" w:hAnsi="Times New Roman" w:cs="Times New Roman"/>
          <w:sz w:val="24"/>
          <w:szCs w:val="24"/>
          <w:lang w:val="en-AU"/>
        </w:rPr>
      </w:pPr>
      <w:r w:rsidRPr="0094153A">
        <w:rPr>
          <w:rStyle w:val="apple-converted-space"/>
          <w:rFonts w:ascii="Times New Roman" w:hAnsi="Times New Roman" w:cs="Times New Roman"/>
          <w:sz w:val="24"/>
          <w:szCs w:val="24"/>
          <w:lang w:val="en-AU"/>
        </w:rPr>
        <w:t>Proposal 6-1</w:t>
      </w:r>
    </w:p>
    <w:p w:rsidR="00C7294C" w:rsidRPr="0094153A"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rFonts w:eastAsia="Times New Roman"/>
          <w:lang w:val="en-AU"/>
        </w:rPr>
      </w:pPr>
      <w:r>
        <w:rPr>
          <w:rStyle w:val="apple-converted-space"/>
          <w:b/>
          <w:lang w:val="en-AU"/>
        </w:rPr>
        <w:t>Submission</w:t>
      </w:r>
      <w:r w:rsidR="0094153A">
        <w:rPr>
          <w:rStyle w:val="apple-converted-space"/>
          <w:lang w:val="en-AU"/>
        </w:rPr>
        <w:t>: w</w:t>
      </w:r>
      <w:r w:rsidR="00904708" w:rsidRPr="0094153A">
        <w:rPr>
          <w:rStyle w:val="apple-converted-space"/>
          <w:lang w:val="en-AU"/>
        </w:rPr>
        <w:t xml:space="preserve">e support this proposal but question </w:t>
      </w:r>
      <w:proofErr w:type="gramStart"/>
      <w:r w:rsidR="00904708" w:rsidRPr="0094153A">
        <w:rPr>
          <w:rStyle w:val="apple-converted-space"/>
          <w:lang w:val="en-AU"/>
        </w:rPr>
        <w:t>who</w:t>
      </w:r>
      <w:proofErr w:type="gramEnd"/>
      <w:r w:rsidR="00904708" w:rsidRPr="0094153A">
        <w:rPr>
          <w:rStyle w:val="apple-converted-space"/>
          <w:lang w:val="en-AU"/>
        </w:rPr>
        <w:t xml:space="preserve"> would be given the responsibility fo</w:t>
      </w:r>
      <w:r w:rsidR="0094153A" w:rsidRPr="0094153A">
        <w:rPr>
          <w:rStyle w:val="apple-converted-space"/>
          <w:lang w:val="en-AU"/>
        </w:rPr>
        <w:t xml:space="preserve">r providing such information. </w:t>
      </w:r>
      <w:r w:rsidR="00904708" w:rsidRPr="0094153A">
        <w:rPr>
          <w:rStyle w:val="apple-converted-space"/>
          <w:lang w:val="en-AU"/>
        </w:rPr>
        <w:t xml:space="preserve">This is something which requires </w:t>
      </w:r>
      <w:r w:rsidR="0094153A" w:rsidRPr="0094153A">
        <w:rPr>
          <w:rStyle w:val="apple-converted-space"/>
          <w:lang w:val="en-AU"/>
        </w:rPr>
        <w:t xml:space="preserve">further </w:t>
      </w:r>
      <w:r w:rsidR="00904708" w:rsidRPr="0094153A">
        <w:rPr>
          <w:rStyle w:val="apple-converted-space"/>
          <w:lang w:val="en-AU"/>
        </w:rPr>
        <w:t xml:space="preserve">consideration. </w:t>
      </w:r>
    </w:p>
    <w:p w:rsidR="00C7294C" w:rsidRDefault="00C7294C">
      <w:pPr>
        <w:pStyle w:val="ListParagraph"/>
        <w:spacing w:after="0" w:line="240" w:lineRule="auto"/>
        <w:jc w:val="both"/>
        <w:rPr>
          <w:rFonts w:ascii="Times New Roman" w:eastAsia="Times New Roman" w:hAnsi="Times New Roman" w:cs="Times New Roman"/>
          <w:sz w:val="24"/>
          <w:szCs w:val="24"/>
          <w:lang w:val="en-AU"/>
        </w:rPr>
      </w:pPr>
    </w:p>
    <w:p w:rsidR="004E4B0D" w:rsidRPr="009B436C" w:rsidRDefault="004E4B0D">
      <w:pPr>
        <w:pStyle w:val="ListParagraph"/>
        <w:spacing w:after="0" w:line="240" w:lineRule="auto"/>
        <w:jc w:val="both"/>
        <w:rPr>
          <w:rFonts w:ascii="Times New Roman" w:eastAsia="Times New Roman" w:hAnsi="Times New Roman" w:cs="Times New Roman"/>
          <w:sz w:val="24"/>
          <w:szCs w:val="24"/>
          <w:lang w:val="en-AU"/>
        </w:rPr>
      </w:pPr>
    </w:p>
    <w:p w:rsidR="00C7294C" w:rsidRPr="00436F5B" w:rsidRDefault="00DF05AA" w:rsidP="004E4B0D">
      <w:pPr>
        <w:pStyle w:val="ListParagraph"/>
        <w:numPr>
          <w:ilvl w:val="2"/>
          <w:numId w:val="18"/>
        </w:numPr>
        <w:spacing w:after="0"/>
        <w:jc w:val="both"/>
        <w:rPr>
          <w:rStyle w:val="apple-converted-space"/>
          <w:rFonts w:ascii="Times New Roman" w:eastAsia="Times New Roman" w:hAnsi="Times New Roman" w:cs="Times New Roman"/>
          <w:sz w:val="24"/>
          <w:szCs w:val="24"/>
          <w:lang w:val="en-AU"/>
        </w:rPr>
      </w:pPr>
      <w:r w:rsidRPr="00436F5B">
        <w:rPr>
          <w:rStyle w:val="apple-converted-space"/>
          <w:rFonts w:ascii="Times New Roman" w:hAnsi="Times New Roman" w:cs="Times New Roman"/>
          <w:sz w:val="24"/>
          <w:szCs w:val="24"/>
          <w:lang w:val="en-AU"/>
        </w:rPr>
        <w:t>Question 6-1</w:t>
      </w:r>
    </w:p>
    <w:p w:rsidR="00C7294C" w:rsidRPr="00FC2CFB" w:rsidRDefault="00904708" w:rsidP="00FC2CFB">
      <w:pPr>
        <w:jc w:val="both"/>
        <w:rPr>
          <w:rStyle w:val="apple-converted-space"/>
          <w:rFonts w:eastAsia="Times New Roman"/>
          <w:lang w:val="en-AU"/>
        </w:rPr>
      </w:pPr>
      <w:r w:rsidRPr="00FC2CFB">
        <w:rPr>
          <w:rStyle w:val="apple-converted-space"/>
          <w:lang w:val="en-AU"/>
        </w:rPr>
        <w:t xml:space="preserve">Our concern in relation to option (a) would be that people may not agree to undertake the role of attorney or guardian if it required </w:t>
      </w:r>
      <w:r w:rsidR="00DF05AA" w:rsidRPr="00FC2CFB">
        <w:rPr>
          <w:rStyle w:val="apple-converted-space"/>
          <w:lang w:val="en-AU"/>
        </w:rPr>
        <w:t>compulsory training</w:t>
      </w:r>
      <w:r w:rsidRPr="00FC2CFB">
        <w:rPr>
          <w:rStyle w:val="apple-converted-space"/>
          <w:lang w:val="en-AU"/>
        </w:rPr>
        <w:t xml:space="preserve">, even those who would perform the role appropriately.  </w:t>
      </w:r>
    </w:p>
    <w:p w:rsidR="00C7294C" w:rsidRPr="009B436C" w:rsidRDefault="00C7294C">
      <w:pPr>
        <w:pStyle w:val="ListParagraph"/>
        <w:spacing w:after="0" w:line="240" w:lineRule="auto"/>
        <w:jc w:val="both"/>
        <w:rPr>
          <w:rFonts w:ascii="Times New Roman" w:eastAsia="Times New Roman" w:hAnsi="Times New Roman" w:cs="Times New Roman"/>
          <w:sz w:val="24"/>
          <w:szCs w:val="24"/>
          <w:lang w:val="en-AU"/>
        </w:rPr>
      </w:pPr>
    </w:p>
    <w:tbl>
      <w:tblPr>
        <w:tblStyle w:val="TableGrid"/>
        <w:tblW w:w="0" w:type="auto"/>
        <w:tblLook w:val="04A0"/>
      </w:tblPr>
      <w:tblGrid>
        <w:gridCol w:w="9350"/>
      </w:tblGrid>
      <w:tr w:rsidR="009F0306" w:rsidTr="009A64E8">
        <w:tc>
          <w:tcPr>
            <w:tcW w:w="9350" w:type="dxa"/>
            <w:shd w:val="clear" w:color="auto" w:fill="DEEAF6" w:themeFill="accent1" w:themeFillTint="33"/>
          </w:tcPr>
          <w:p w:rsidR="009F0306" w:rsidRDefault="00F47821" w:rsidP="00755CEA">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eastAsia="Times New Roman"/>
                <w:lang w:val="en-AU"/>
              </w:rPr>
            </w:pPr>
            <w:r>
              <w:rPr>
                <w:rStyle w:val="apple-converted-space"/>
                <w:b/>
                <w:lang w:val="en-AU"/>
              </w:rPr>
              <w:t>Submission</w:t>
            </w:r>
            <w:r w:rsidR="009F0306">
              <w:rPr>
                <w:rStyle w:val="apple-converted-space"/>
                <w:lang w:val="en-AU"/>
              </w:rPr>
              <w:t>: w</w:t>
            </w:r>
            <w:r w:rsidR="009F0306" w:rsidRPr="00FC2CFB">
              <w:rPr>
                <w:rStyle w:val="apple-converted-space"/>
                <w:lang w:val="en-AU"/>
              </w:rPr>
              <w:t xml:space="preserve">e </w:t>
            </w:r>
            <w:r w:rsidR="009F0306">
              <w:rPr>
                <w:rStyle w:val="apple-converted-space"/>
                <w:lang w:val="en-AU"/>
              </w:rPr>
              <w:t xml:space="preserve">suggest that </w:t>
            </w:r>
            <w:r w:rsidR="009F0306" w:rsidRPr="004974CA">
              <w:rPr>
                <w:rStyle w:val="apple-converted-space"/>
                <w:lang w:val="en-AU"/>
              </w:rPr>
              <w:t xml:space="preserve">training should be voluntary, and should to be part of an </w:t>
            </w:r>
            <w:r w:rsidR="009F0306" w:rsidRPr="004974CA">
              <w:rPr>
                <w:rStyle w:val="apple-converted-space"/>
                <w:lang w:val="en-AU"/>
              </w:rPr>
              <w:lastRenderedPageBreak/>
              <w:t>integrated framework that includ</w:t>
            </w:r>
            <w:r w:rsidR="009F0306" w:rsidRPr="00FC2CFB">
              <w:rPr>
                <w:rStyle w:val="apple-converted-space"/>
                <w:lang w:val="en-AU"/>
              </w:rPr>
              <w:t xml:space="preserve">es compulsory financial reporting and spot checks, on the basis that people will be more motivated to undertake voluntary training if they know that they will be required to report on the performance of their duties, and that consequences may arise if they do not comply with the relevant guidelines. </w:t>
            </w:r>
            <w:r w:rsidR="009F0306" w:rsidRPr="00755CEA">
              <w:rPr>
                <w:rStyle w:val="apple-converted-space"/>
                <w:lang w:val="en-AU"/>
              </w:rPr>
              <w:t>We support options (b), (c). Other ways could include online information and hard-copy resources (for those who do not have access to the internet).</w:t>
            </w:r>
          </w:p>
        </w:tc>
      </w:tr>
    </w:tbl>
    <w:p w:rsidR="00C7294C" w:rsidRPr="009B436C" w:rsidRDefault="00C7294C">
      <w:pPr>
        <w:pStyle w:val="ListParagraph"/>
        <w:spacing w:after="0" w:line="240" w:lineRule="auto"/>
        <w:jc w:val="both"/>
        <w:rPr>
          <w:rFonts w:ascii="Times New Roman" w:eastAsia="Times New Roman" w:hAnsi="Times New Roman" w:cs="Times New Roman"/>
          <w:sz w:val="24"/>
          <w:szCs w:val="24"/>
          <w:lang w:val="en-AU"/>
        </w:rPr>
      </w:pPr>
    </w:p>
    <w:p w:rsidR="00C7294C" w:rsidRPr="009B436C" w:rsidRDefault="00C7294C">
      <w:pPr>
        <w:pStyle w:val="Body"/>
        <w:spacing w:after="0" w:line="240" w:lineRule="auto"/>
        <w:jc w:val="both"/>
        <w:rPr>
          <w:rFonts w:ascii="Times New Roman" w:eastAsia="Times New Roman" w:hAnsi="Times New Roman" w:cs="Times New Roman"/>
          <w:sz w:val="24"/>
          <w:szCs w:val="24"/>
          <w:lang w:val="en-AU"/>
        </w:rPr>
      </w:pPr>
    </w:p>
    <w:p w:rsidR="00C7294C" w:rsidRPr="009B436C" w:rsidRDefault="00DF05AA" w:rsidP="00553A96">
      <w:pPr>
        <w:pStyle w:val="Body"/>
        <w:keepNext/>
        <w:numPr>
          <w:ilvl w:val="1"/>
          <w:numId w:val="18"/>
        </w:numPr>
        <w:spacing w:after="0" w:line="240" w:lineRule="auto"/>
        <w:jc w:val="both"/>
        <w:rPr>
          <w:rStyle w:val="apple-converted-space"/>
          <w:rFonts w:ascii="Times New Roman" w:eastAsia="Times New Roman" w:hAnsi="Times New Roman" w:cs="Times New Roman"/>
          <w:b/>
          <w:bCs/>
          <w:sz w:val="24"/>
          <w:szCs w:val="24"/>
          <w:lang w:val="en-AU"/>
        </w:rPr>
      </w:pPr>
      <w:r w:rsidRPr="009B436C">
        <w:rPr>
          <w:rStyle w:val="apple-converted-space"/>
          <w:rFonts w:ascii="Times New Roman" w:hAnsi="Times New Roman" w:cs="Times New Roman"/>
          <w:b/>
          <w:bCs/>
          <w:sz w:val="24"/>
          <w:szCs w:val="24"/>
          <w:lang w:val="en-AU"/>
        </w:rPr>
        <w:t xml:space="preserve">Banks and Superannuation </w:t>
      </w:r>
    </w:p>
    <w:p w:rsidR="00C7294C" w:rsidRPr="002B6A59" w:rsidRDefault="002B6A59" w:rsidP="00553A96">
      <w:pPr>
        <w:keepNext/>
        <w:jc w:val="both"/>
        <w:rPr>
          <w:rStyle w:val="apple-converted-space"/>
          <w:rFonts w:eastAsia="Times New Roman"/>
          <w:lang w:val="en-AU"/>
        </w:rPr>
      </w:pPr>
      <w:r>
        <w:rPr>
          <w:rStyle w:val="apple-converted-space"/>
          <w:lang w:val="en-AU"/>
        </w:rPr>
        <w:t xml:space="preserve">2.5.1 </w:t>
      </w:r>
      <w:r w:rsidR="00DF05AA" w:rsidRPr="002B6A59">
        <w:rPr>
          <w:rStyle w:val="apple-converted-space"/>
          <w:lang w:val="en-AU"/>
        </w:rPr>
        <w:t>Proposal 7-2</w:t>
      </w:r>
    </w:p>
    <w:p w:rsidR="002B6A59" w:rsidRDefault="00DF05AA" w:rsidP="002B6A59">
      <w:pPr>
        <w:jc w:val="both"/>
        <w:rPr>
          <w:rStyle w:val="apple-converted-space"/>
          <w:lang w:val="en-AU"/>
        </w:rPr>
      </w:pPr>
      <w:r w:rsidRPr="002B6A59">
        <w:rPr>
          <w:rStyle w:val="apple-converted-space"/>
          <w:lang w:val="en-AU"/>
        </w:rPr>
        <w:t>Problem</w:t>
      </w:r>
      <w:r w:rsidR="003934C5" w:rsidRPr="002B6A59">
        <w:rPr>
          <w:rStyle w:val="apple-converted-space"/>
          <w:lang w:val="en-AU"/>
        </w:rPr>
        <w:t>s again arise here with respect to</w:t>
      </w:r>
      <w:r w:rsidRPr="002B6A59">
        <w:rPr>
          <w:rStyle w:val="apple-converted-space"/>
          <w:lang w:val="en-AU"/>
        </w:rPr>
        <w:t xml:space="preserve"> capacity</w:t>
      </w:r>
      <w:r w:rsidR="00A06FE2" w:rsidRPr="002B6A59">
        <w:rPr>
          <w:rStyle w:val="apple-converted-space"/>
          <w:lang w:val="en-AU"/>
        </w:rPr>
        <w:t>.</w:t>
      </w:r>
      <w:r w:rsidRPr="002B6A59">
        <w:rPr>
          <w:rStyle w:val="apple-converted-space"/>
          <w:lang w:val="en-AU"/>
        </w:rPr>
        <w:t xml:space="preserve"> </w:t>
      </w:r>
      <w:r w:rsidR="00A06FE2" w:rsidRPr="002B6A59">
        <w:rPr>
          <w:rStyle w:val="apple-converted-space"/>
          <w:lang w:val="en-AU"/>
        </w:rPr>
        <w:t>H</w:t>
      </w:r>
      <w:r w:rsidRPr="002B6A59">
        <w:rPr>
          <w:rStyle w:val="apple-converted-space"/>
          <w:lang w:val="en-AU"/>
        </w:rPr>
        <w:t xml:space="preserve">ow are the witnesses going to attest to the fact that the customer had capacity unless </w:t>
      </w:r>
      <w:r w:rsidR="00E853AE" w:rsidRPr="002B6A59">
        <w:rPr>
          <w:rStyle w:val="apple-converted-space"/>
          <w:lang w:val="en-AU"/>
        </w:rPr>
        <w:t xml:space="preserve">it is very </w:t>
      </w:r>
      <w:r w:rsidRPr="002B6A59">
        <w:rPr>
          <w:rStyle w:val="apple-converted-space"/>
          <w:lang w:val="en-AU"/>
        </w:rPr>
        <w:t xml:space="preserve">clear? </w:t>
      </w:r>
    </w:p>
    <w:p w:rsidR="002B6A59" w:rsidRDefault="002B6A59" w:rsidP="002B6A59">
      <w:pPr>
        <w:jc w:val="both"/>
        <w:rPr>
          <w:rStyle w:val="apple-converted-space"/>
          <w:lang w:val="en-AU"/>
        </w:rPr>
      </w:pPr>
    </w:p>
    <w:p w:rsidR="00C7294C" w:rsidRPr="002B6A59"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rFonts w:eastAsia="Times New Roman"/>
          <w:lang w:val="en-AU"/>
        </w:rPr>
      </w:pPr>
      <w:r>
        <w:rPr>
          <w:rStyle w:val="apple-converted-space"/>
          <w:b/>
          <w:lang w:val="en-AU"/>
        </w:rPr>
        <w:t>Submission</w:t>
      </w:r>
      <w:r w:rsidR="002B6A59">
        <w:rPr>
          <w:rStyle w:val="apple-converted-space"/>
          <w:lang w:val="en-AU"/>
        </w:rPr>
        <w:t xml:space="preserve">: </w:t>
      </w:r>
      <w:r w:rsidR="00DF05AA" w:rsidRPr="002B6A59">
        <w:rPr>
          <w:rStyle w:val="apple-converted-space"/>
          <w:lang w:val="en-AU"/>
        </w:rPr>
        <w:t xml:space="preserve">Training and education will be </w:t>
      </w:r>
      <w:proofErr w:type="gramStart"/>
      <w:r w:rsidR="00DF05AA" w:rsidRPr="002B6A59">
        <w:rPr>
          <w:rStyle w:val="apple-converted-space"/>
          <w:lang w:val="en-AU"/>
        </w:rPr>
        <w:t>key</w:t>
      </w:r>
      <w:proofErr w:type="gramEnd"/>
      <w:r w:rsidR="00DF05AA" w:rsidRPr="002B6A59">
        <w:rPr>
          <w:rStyle w:val="apple-converted-space"/>
          <w:lang w:val="en-AU"/>
        </w:rPr>
        <w:t xml:space="preserve"> if this comes to fruition</w:t>
      </w:r>
      <w:r w:rsidR="00904708" w:rsidRPr="002B6A59">
        <w:rPr>
          <w:rStyle w:val="apple-converted-space"/>
          <w:lang w:val="en-AU"/>
        </w:rPr>
        <w:t>,</w:t>
      </w:r>
      <w:r w:rsidR="00EE5FAB" w:rsidRPr="002B6A59">
        <w:rPr>
          <w:rStyle w:val="apple-converted-space"/>
          <w:lang w:val="en-AU"/>
        </w:rPr>
        <w:t xml:space="preserve"> highlighting the need for national assessment guidelines. </w:t>
      </w:r>
    </w:p>
    <w:p w:rsidR="00C7294C" w:rsidRPr="009B436C" w:rsidRDefault="00C7294C">
      <w:pPr>
        <w:pStyle w:val="ListParagraph"/>
        <w:spacing w:after="0" w:line="240" w:lineRule="auto"/>
        <w:jc w:val="both"/>
        <w:rPr>
          <w:rFonts w:ascii="Times New Roman" w:eastAsia="Times New Roman" w:hAnsi="Times New Roman" w:cs="Times New Roman"/>
          <w:sz w:val="24"/>
          <w:szCs w:val="24"/>
          <w:lang w:val="en-AU"/>
        </w:rPr>
      </w:pPr>
    </w:p>
    <w:p w:rsidR="00C7294C" w:rsidRPr="009B436C" w:rsidRDefault="00C7294C">
      <w:pPr>
        <w:pStyle w:val="Body"/>
        <w:spacing w:after="0" w:line="240" w:lineRule="auto"/>
        <w:jc w:val="both"/>
        <w:rPr>
          <w:rFonts w:ascii="Times New Roman" w:eastAsia="Times New Roman" w:hAnsi="Times New Roman" w:cs="Times New Roman"/>
          <w:sz w:val="24"/>
          <w:szCs w:val="24"/>
          <w:lang w:val="en-AU"/>
        </w:rPr>
      </w:pPr>
    </w:p>
    <w:p w:rsidR="00C7294C" w:rsidRPr="009B436C" w:rsidRDefault="00DF05AA" w:rsidP="00F965CD">
      <w:pPr>
        <w:pStyle w:val="Body"/>
        <w:numPr>
          <w:ilvl w:val="1"/>
          <w:numId w:val="18"/>
        </w:numPr>
        <w:spacing w:after="0" w:line="240" w:lineRule="auto"/>
        <w:jc w:val="both"/>
        <w:rPr>
          <w:rStyle w:val="apple-converted-space"/>
          <w:rFonts w:ascii="Times New Roman" w:eastAsia="Times New Roman" w:hAnsi="Times New Roman" w:cs="Times New Roman"/>
          <w:b/>
          <w:bCs/>
          <w:sz w:val="24"/>
          <w:szCs w:val="24"/>
          <w:lang w:val="en-AU"/>
        </w:rPr>
      </w:pPr>
      <w:r w:rsidRPr="009B436C">
        <w:rPr>
          <w:rStyle w:val="apple-converted-space"/>
          <w:rFonts w:ascii="Times New Roman" w:hAnsi="Times New Roman" w:cs="Times New Roman"/>
          <w:b/>
          <w:bCs/>
          <w:sz w:val="24"/>
          <w:szCs w:val="24"/>
          <w:lang w:val="en-AU"/>
        </w:rPr>
        <w:t xml:space="preserve">Family Agreements </w:t>
      </w:r>
    </w:p>
    <w:p w:rsidR="00C7294C" w:rsidRPr="00F965CD" w:rsidRDefault="00F965CD" w:rsidP="00F965CD">
      <w:pPr>
        <w:jc w:val="both"/>
        <w:rPr>
          <w:rStyle w:val="apple-converted-space"/>
          <w:rFonts w:eastAsia="Times New Roman"/>
          <w:lang w:val="en-AU"/>
        </w:rPr>
      </w:pPr>
      <w:r>
        <w:rPr>
          <w:rStyle w:val="apple-converted-space"/>
          <w:lang w:val="en-AU"/>
        </w:rPr>
        <w:t xml:space="preserve">2.6.1 </w:t>
      </w:r>
      <w:r w:rsidR="00DF05AA" w:rsidRPr="00F965CD">
        <w:rPr>
          <w:rStyle w:val="apple-converted-space"/>
          <w:lang w:val="en-AU"/>
        </w:rPr>
        <w:t>Proposal 8-1</w:t>
      </w:r>
    </w:p>
    <w:p w:rsidR="00F57D78" w:rsidRDefault="00F57D78" w:rsidP="00F965CD">
      <w:pPr>
        <w:jc w:val="both"/>
      </w:pPr>
      <w:r w:rsidRPr="009B436C">
        <w:t>It is our submission that any discussion about famil</w:t>
      </w:r>
      <w:r w:rsidRPr="00053C1F">
        <w:t xml:space="preserve">y agreements should include consideration of </w:t>
      </w:r>
      <w:r w:rsidRPr="004D0664">
        <w:t>establishing elder mediation services in all State Tribunals</w:t>
      </w:r>
      <w:r w:rsidRPr="009B436C">
        <w:t>.</w:t>
      </w:r>
    </w:p>
    <w:p w:rsidR="00E0624A" w:rsidRPr="009B436C" w:rsidRDefault="00E0624A" w:rsidP="00F965CD">
      <w:pPr>
        <w:jc w:val="both"/>
      </w:pPr>
    </w:p>
    <w:p w:rsidR="00F57D78" w:rsidRDefault="00F57D78" w:rsidP="00F965CD">
      <w:pPr>
        <w:jc w:val="both"/>
      </w:pPr>
      <w:r w:rsidRPr="00A346FF">
        <w:rPr>
          <w:b/>
        </w:rPr>
        <w:t>Elder mediation</w:t>
      </w:r>
      <w:r w:rsidRPr="009B436C">
        <w:t xml:space="preserve"> is a preventative process because its focus on self-determination may interrupt the passivity and dependency that are often the pre-conditions of abuse, neglect and self-neglect.</w:t>
      </w:r>
      <w:r w:rsidRPr="009B436C">
        <w:rPr>
          <w:rStyle w:val="FootnoteReference"/>
        </w:rPr>
        <w:footnoteReference w:id="18"/>
      </w:r>
      <w:r w:rsidRPr="009B436C">
        <w:t xml:space="preserve">  Dispute resolution for older people is a service that is complementary to other forms of intervention such as advocacy and legal, medical, psychiatri</w:t>
      </w:r>
      <w:r w:rsidR="00B62220">
        <w:t xml:space="preserve">c, and social work assistance. </w:t>
      </w:r>
      <w:r w:rsidRPr="009B436C">
        <w:t xml:space="preserve">Elder mediation should be a discrete process that distinctively </w:t>
      </w:r>
      <w:proofErr w:type="spellStart"/>
      <w:r w:rsidRPr="009B436C">
        <w:t>focusses</w:t>
      </w:r>
      <w:proofErr w:type="spellEnd"/>
      <w:r w:rsidRPr="009B436C">
        <w:t xml:space="preserve"> on promoting the autonomy, independence and control of the parties in the situation of making deci</w:t>
      </w:r>
      <w:r w:rsidR="00B62220">
        <w:t xml:space="preserve">sions that affect their lives. </w:t>
      </w:r>
      <w:r w:rsidRPr="009B436C">
        <w:t>Without effective management, dysfunctional family dynamics c</w:t>
      </w:r>
      <w:r w:rsidR="00B62220">
        <w:t xml:space="preserve">an escalate and lead to abuse. </w:t>
      </w:r>
      <w:r w:rsidRPr="009B436C">
        <w:t>Elder mediation is an alternative dispute mechanism for resolving such conflicts without recourse to formal legal proceedings.</w:t>
      </w:r>
      <w:r w:rsidRPr="009B436C">
        <w:rPr>
          <w:rStyle w:val="FootnoteReference"/>
        </w:rPr>
        <w:footnoteReference w:id="19"/>
      </w:r>
      <w:r w:rsidRPr="009B436C">
        <w:t xml:space="preserve">  </w:t>
      </w:r>
    </w:p>
    <w:p w:rsidR="00782043" w:rsidRDefault="00782043" w:rsidP="00F965CD">
      <w:pPr>
        <w:jc w:val="both"/>
      </w:pPr>
    </w:p>
    <w:p w:rsidR="00782043" w:rsidRPr="009B436C"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pPr>
      <w:r>
        <w:rPr>
          <w:rStyle w:val="apple-converted-space"/>
          <w:b/>
          <w:lang w:val="en-AU"/>
        </w:rPr>
        <w:t>Submission</w:t>
      </w:r>
      <w:r w:rsidR="00782043">
        <w:t xml:space="preserve">: </w:t>
      </w:r>
      <w:r w:rsidR="00782043" w:rsidRPr="00782043">
        <w:t>any discussion about family agreements should include consideration of establishing elder mediation services in all State Tribunals.</w:t>
      </w:r>
    </w:p>
    <w:p w:rsidR="00F57D78" w:rsidRPr="009B436C" w:rsidRDefault="00F57D78" w:rsidP="00F57D78">
      <w:pPr>
        <w:pStyle w:val="ListParagraph"/>
        <w:spacing w:after="0" w:line="240" w:lineRule="auto"/>
        <w:jc w:val="both"/>
        <w:rPr>
          <w:rStyle w:val="apple-converted-space"/>
          <w:rFonts w:ascii="Times New Roman" w:hAnsi="Times New Roman" w:cs="Times New Roman"/>
          <w:b/>
          <w:sz w:val="24"/>
          <w:szCs w:val="24"/>
        </w:rPr>
      </w:pPr>
    </w:p>
    <w:p w:rsidR="00C7294C" w:rsidRPr="009B436C" w:rsidRDefault="00C7294C">
      <w:pPr>
        <w:pStyle w:val="ListParagraph"/>
        <w:spacing w:after="0" w:line="240" w:lineRule="auto"/>
        <w:jc w:val="both"/>
        <w:rPr>
          <w:rFonts w:ascii="Times New Roman" w:eastAsia="Times New Roman" w:hAnsi="Times New Roman" w:cs="Times New Roman"/>
          <w:sz w:val="24"/>
          <w:szCs w:val="24"/>
        </w:rPr>
      </w:pPr>
    </w:p>
    <w:p w:rsidR="00C7294C" w:rsidRPr="009B436C" w:rsidRDefault="00DF05AA" w:rsidP="00B86647">
      <w:pPr>
        <w:pStyle w:val="Body"/>
        <w:numPr>
          <w:ilvl w:val="1"/>
          <w:numId w:val="18"/>
        </w:numPr>
        <w:spacing w:after="0" w:line="240" w:lineRule="auto"/>
        <w:jc w:val="both"/>
        <w:rPr>
          <w:rStyle w:val="apple-converted-space"/>
          <w:rFonts w:ascii="Times New Roman" w:eastAsia="Times New Roman" w:hAnsi="Times New Roman" w:cs="Times New Roman"/>
          <w:b/>
          <w:bCs/>
          <w:sz w:val="24"/>
          <w:szCs w:val="24"/>
          <w:lang w:val="en-AU"/>
        </w:rPr>
      </w:pPr>
      <w:r w:rsidRPr="009B436C">
        <w:rPr>
          <w:rStyle w:val="apple-converted-space"/>
          <w:rFonts w:ascii="Times New Roman" w:hAnsi="Times New Roman" w:cs="Times New Roman"/>
          <w:b/>
          <w:bCs/>
          <w:sz w:val="24"/>
          <w:szCs w:val="24"/>
          <w:lang w:val="en-AU"/>
        </w:rPr>
        <w:t xml:space="preserve">Wills </w:t>
      </w:r>
    </w:p>
    <w:p w:rsidR="00C7294C" w:rsidRPr="00B86647" w:rsidRDefault="00B86647" w:rsidP="00B86647">
      <w:pPr>
        <w:jc w:val="both"/>
        <w:rPr>
          <w:rStyle w:val="apple-converted-space"/>
          <w:rFonts w:eastAsia="Times New Roman"/>
          <w:lang w:val="en-AU"/>
        </w:rPr>
      </w:pPr>
      <w:r>
        <w:rPr>
          <w:rStyle w:val="apple-converted-space"/>
          <w:lang w:val="en-AU"/>
        </w:rPr>
        <w:t xml:space="preserve">2.7.1 </w:t>
      </w:r>
      <w:r w:rsidR="00DF05AA" w:rsidRPr="00B86647">
        <w:rPr>
          <w:rStyle w:val="apple-converted-space"/>
          <w:lang w:val="en-AU"/>
        </w:rPr>
        <w:t>Proposal 9-1</w:t>
      </w:r>
    </w:p>
    <w:p w:rsidR="00F57D78" w:rsidRPr="009B436C" w:rsidRDefault="00DF05AA" w:rsidP="00B86647">
      <w:pPr>
        <w:pStyle w:val="BodyText"/>
        <w:spacing w:line="240" w:lineRule="auto"/>
        <w:rPr>
          <w:rFonts w:cs="Times New Roman"/>
          <w:lang w:val="en-AU"/>
        </w:rPr>
      </w:pPr>
      <w:r w:rsidRPr="009B436C">
        <w:rPr>
          <w:rFonts w:cs="Times New Roman"/>
          <w:lang w:val="en-AU"/>
        </w:rPr>
        <w:t xml:space="preserve">The use of </w:t>
      </w:r>
      <w:r w:rsidRPr="00116C13">
        <w:rPr>
          <w:rStyle w:val="apple-converted-space"/>
          <w:rFonts w:cs="Times New Roman"/>
          <w:bCs/>
          <w:lang w:val="en-AU"/>
        </w:rPr>
        <w:t>national guidelines</w:t>
      </w:r>
      <w:r w:rsidRPr="009B436C">
        <w:rPr>
          <w:rFonts w:cs="Times New Roman"/>
          <w:lang w:val="en-AU"/>
        </w:rPr>
        <w:t xml:space="preserve"> is strongly supported. Law societies and other government and professional organisations </w:t>
      </w:r>
      <w:r w:rsidR="00D366D0" w:rsidRPr="009B436C">
        <w:rPr>
          <w:rFonts w:cs="Times New Roman"/>
          <w:lang w:val="en-AU"/>
        </w:rPr>
        <w:t xml:space="preserve">frequently produce </w:t>
      </w:r>
      <w:r w:rsidRPr="009B436C">
        <w:rPr>
          <w:rFonts w:cs="Times New Roman"/>
          <w:lang w:val="en-AU"/>
        </w:rPr>
        <w:t xml:space="preserve">various sets of guidelines with respect to the matters identified in Proposal 9-1(a)-(d). The problem is that each of these sets of guidelines is </w:t>
      </w:r>
      <w:r w:rsidRPr="009B436C">
        <w:rPr>
          <w:rFonts w:cs="Times New Roman"/>
          <w:lang w:val="en-AU"/>
        </w:rPr>
        <w:lastRenderedPageBreak/>
        <w:t xml:space="preserve">being produced independently of the others. As such, they all cover similar ground but differences exist which can cause confusion and undermine attempts at </w:t>
      </w:r>
      <w:r w:rsidR="00A04CBA">
        <w:rPr>
          <w:rFonts w:cs="Times New Roman"/>
          <w:lang w:val="en-AU"/>
        </w:rPr>
        <w:t xml:space="preserve">establishing </w:t>
      </w:r>
      <w:r w:rsidRPr="009B436C">
        <w:rPr>
          <w:rFonts w:cs="Times New Roman"/>
          <w:lang w:val="en-AU"/>
        </w:rPr>
        <w:t xml:space="preserve">best practice. Guidelines, such as those with respect to assessing capacity (Proposal 9-1(c)) have recently been updated in, for example, New South Wales and Queensland and yet they differ markedly from one another. </w:t>
      </w:r>
    </w:p>
    <w:p w:rsidR="00C7294C" w:rsidRPr="009B436C" w:rsidRDefault="00DF05AA" w:rsidP="00B86647">
      <w:pPr>
        <w:pStyle w:val="BodyText"/>
        <w:spacing w:line="240" w:lineRule="auto"/>
        <w:rPr>
          <w:rFonts w:cs="Times New Roman"/>
          <w:lang w:val="en-AU"/>
        </w:rPr>
      </w:pPr>
      <w:r w:rsidRPr="009B436C">
        <w:rPr>
          <w:rFonts w:cs="Times New Roman"/>
          <w:lang w:val="en-AU"/>
        </w:rPr>
        <w:t>On the issue of capacity assessment, health organisations, including insurers, are also producing their own guidelines. Consequently, when the legal and health professions intersect there is confusion about what is required to be assessed, how the assessment should be conducted and what format any such assessment should take</w:t>
      </w:r>
      <w:r w:rsidR="00F57D78" w:rsidRPr="009B436C">
        <w:rPr>
          <w:rFonts w:cs="Times New Roman"/>
          <w:lang w:val="en-AU"/>
        </w:rPr>
        <w:t>.</w:t>
      </w:r>
      <w:r w:rsidRPr="009B436C">
        <w:rPr>
          <w:rStyle w:val="FootnoteReference"/>
          <w:rFonts w:cs="Times New Roman"/>
          <w:lang w:val="en-AU"/>
        </w:rPr>
        <w:footnoteReference w:id="20"/>
      </w:r>
      <w:r w:rsidRPr="009B436C">
        <w:rPr>
          <w:rFonts w:cs="Times New Roman"/>
          <w:lang w:val="en-AU"/>
        </w:rPr>
        <w:t xml:space="preserve"> This is concerning because it not only impacts the individual in question but potentially also the practitioners, both legal and health, as questions around professional liability grow in this context. </w:t>
      </w:r>
    </w:p>
    <w:p w:rsidR="00C7294C" w:rsidRPr="009B436C" w:rsidRDefault="00DF05AA" w:rsidP="00B86647">
      <w:pPr>
        <w:pStyle w:val="BodyText"/>
        <w:spacing w:line="240" w:lineRule="auto"/>
        <w:rPr>
          <w:rFonts w:cs="Times New Roman"/>
          <w:lang w:val="en-AU"/>
        </w:rPr>
      </w:pPr>
      <w:r w:rsidRPr="009B436C">
        <w:rPr>
          <w:rFonts w:cs="Times New Roman"/>
          <w:lang w:val="en-AU"/>
        </w:rPr>
        <w:t xml:space="preserve">An interdisciplinary approach through the inclusion of health professionals in the preparation of guidelines will expose the process to wider scrutiny. Such external investigation will strengthen the development and application of any guidelines, especially when proposing that the health professionals have a greater role in the context of testamentary and enduring documents as a way to combat elder abuse. This is especially pertinent to Proposal 9-1(c) which is fundamentally assessing the individual’s capacity. </w:t>
      </w:r>
    </w:p>
    <w:p w:rsidR="00C7294C" w:rsidRDefault="00DF05AA" w:rsidP="00B86647">
      <w:pPr>
        <w:pStyle w:val="BodyText"/>
        <w:spacing w:line="240" w:lineRule="auto"/>
        <w:rPr>
          <w:rFonts w:cs="Times New Roman"/>
          <w:lang w:val="en-AU"/>
        </w:rPr>
      </w:pPr>
      <w:r w:rsidRPr="009B436C">
        <w:rPr>
          <w:rFonts w:cs="Times New Roman"/>
          <w:lang w:val="en-AU"/>
        </w:rPr>
        <w:t>Building upon this would then be the inclusion of other relevant stakeholder groups including financial organisations, medical and legal i</w:t>
      </w:r>
      <w:r w:rsidRPr="00434D3E">
        <w:rPr>
          <w:rFonts w:cs="Times New Roman"/>
          <w:lang w:val="en-AU"/>
        </w:rPr>
        <w:t xml:space="preserve">nsurers, but also groups representing people who have had their capacity assessed to ensure that </w:t>
      </w:r>
      <w:r w:rsidRPr="00434D3E">
        <w:rPr>
          <w:rStyle w:val="apple-converted-space"/>
          <w:rFonts w:cs="Times New Roman"/>
          <w:bCs/>
          <w:lang w:val="en-AU"/>
        </w:rPr>
        <w:t>superior assessment processes</w:t>
      </w:r>
      <w:r w:rsidRPr="00434D3E">
        <w:rPr>
          <w:rFonts w:cs="Times New Roman"/>
          <w:lang w:val="en-AU"/>
        </w:rPr>
        <w:t xml:space="preserve"> taking into account the lived experiences of the people who will be</w:t>
      </w:r>
      <w:r w:rsidRPr="009B436C">
        <w:rPr>
          <w:rFonts w:cs="Times New Roman"/>
          <w:lang w:val="en-AU"/>
        </w:rPr>
        <w:t xml:space="preserve"> the subject of such guidelines.</w:t>
      </w:r>
    </w:p>
    <w:p w:rsidR="00AA79CD" w:rsidRPr="009B436C" w:rsidRDefault="00F47821" w:rsidP="009A64E8">
      <w:pPr>
        <w:pStyle w:val="BodyText"/>
        <w:pBdr>
          <w:top w:val="single" w:sz="4" w:space="1" w:color="auto"/>
          <w:left w:val="single" w:sz="4" w:space="1" w:color="auto"/>
          <w:bottom w:val="single" w:sz="4" w:space="1" w:color="auto"/>
          <w:right w:val="single" w:sz="4" w:space="1" w:color="auto"/>
        </w:pBdr>
        <w:shd w:val="clear" w:color="auto" w:fill="DEEAF6" w:themeFill="accent1" w:themeFillTint="33"/>
        <w:spacing w:after="0" w:line="240" w:lineRule="auto"/>
        <w:rPr>
          <w:rFonts w:cs="Times New Roman"/>
          <w:lang w:val="en-AU"/>
        </w:rPr>
      </w:pPr>
      <w:r>
        <w:rPr>
          <w:rStyle w:val="apple-converted-space"/>
          <w:rFonts w:cs="Times New Roman"/>
          <w:b/>
          <w:lang w:val="en-AU"/>
        </w:rPr>
        <w:t>Submission</w:t>
      </w:r>
      <w:r w:rsidR="00AA79CD">
        <w:rPr>
          <w:rFonts w:cs="Times New Roman"/>
          <w:lang w:val="en-AU"/>
        </w:rPr>
        <w:t xml:space="preserve">: </w:t>
      </w:r>
      <w:r w:rsidR="00AA79CD" w:rsidRPr="005742C7">
        <w:rPr>
          <w:rFonts w:cs="Times New Roman"/>
          <w:b/>
          <w:lang w:val="en-AU"/>
        </w:rPr>
        <w:t xml:space="preserve">national </w:t>
      </w:r>
      <w:r w:rsidR="00FF43EA" w:rsidRPr="005742C7">
        <w:rPr>
          <w:rFonts w:cs="Times New Roman"/>
          <w:b/>
          <w:lang w:val="en-AU"/>
        </w:rPr>
        <w:t xml:space="preserve">interdisciplinary </w:t>
      </w:r>
      <w:r w:rsidR="00AA79CD" w:rsidRPr="005742C7">
        <w:rPr>
          <w:rFonts w:cs="Times New Roman"/>
          <w:b/>
          <w:lang w:val="en-AU"/>
        </w:rPr>
        <w:t>guidelines</w:t>
      </w:r>
      <w:r w:rsidR="00AA79CD" w:rsidRPr="009B436C">
        <w:rPr>
          <w:rFonts w:cs="Times New Roman"/>
          <w:lang w:val="en-AU"/>
        </w:rPr>
        <w:t xml:space="preserve"> should be </w:t>
      </w:r>
      <w:r w:rsidR="00FF43EA">
        <w:rPr>
          <w:rFonts w:cs="Times New Roman"/>
          <w:lang w:val="en-AU"/>
        </w:rPr>
        <w:t>developed</w:t>
      </w:r>
      <w:r w:rsidR="00AA79CD" w:rsidRPr="009B436C">
        <w:rPr>
          <w:rFonts w:cs="Times New Roman"/>
          <w:lang w:val="en-AU"/>
        </w:rPr>
        <w:t xml:space="preserve"> drawing not only upon the Law Council of Australia and the various st</w:t>
      </w:r>
      <w:r w:rsidR="00AA79CD" w:rsidRPr="00FF43EA">
        <w:rPr>
          <w:rFonts w:cs="Times New Roman"/>
          <w:lang w:val="en-AU"/>
        </w:rPr>
        <w:t xml:space="preserve">ate and territory law societies but also upon the representative bodies of relevant health professionals. </w:t>
      </w:r>
      <w:r w:rsidR="00AA79CD" w:rsidRPr="00FF43EA">
        <w:rPr>
          <w:rStyle w:val="apple-converted-space"/>
          <w:rFonts w:cs="Times New Roman"/>
          <w:bCs/>
          <w:lang w:val="en-AU"/>
        </w:rPr>
        <w:t>Interdisciplinary guidelines</w:t>
      </w:r>
      <w:r w:rsidR="00AA79CD" w:rsidRPr="00FF43EA">
        <w:rPr>
          <w:rFonts w:cs="Times New Roman"/>
          <w:lang w:val="en-AU"/>
        </w:rPr>
        <w:t xml:space="preserve"> have been produced in the United States of America by</w:t>
      </w:r>
      <w:r w:rsidR="00AA79CD" w:rsidRPr="009B436C">
        <w:rPr>
          <w:rFonts w:cs="Times New Roman"/>
          <w:lang w:val="en-AU"/>
        </w:rPr>
        <w:t xml:space="preserve"> the American Psychological Association and the American Bar </w:t>
      </w:r>
      <w:proofErr w:type="gramStart"/>
      <w:r w:rsidR="00AA79CD" w:rsidRPr="009B436C">
        <w:rPr>
          <w:rFonts w:cs="Times New Roman"/>
          <w:lang w:val="en-AU"/>
        </w:rPr>
        <w:t>Association,</w:t>
      </w:r>
      <w:r w:rsidR="00AA79CD" w:rsidRPr="009B436C">
        <w:rPr>
          <w:rStyle w:val="FootnoteReference"/>
          <w:rFonts w:cs="Times New Roman"/>
          <w:lang w:val="en-AU"/>
        </w:rPr>
        <w:footnoteReference w:id="21"/>
      </w:r>
      <w:proofErr w:type="gramEnd"/>
      <w:r w:rsidR="00AA79CD" w:rsidRPr="009B436C">
        <w:rPr>
          <w:rFonts w:cs="Times New Roman"/>
          <w:lang w:val="en-AU"/>
        </w:rPr>
        <w:t xml:space="preserve"> and in the United Kingdom by the British Medical Society and the Law Society</w:t>
      </w:r>
      <w:r w:rsidR="00AA79CD" w:rsidRPr="009B436C">
        <w:rPr>
          <w:rStyle w:val="FootnoteReference"/>
          <w:rFonts w:cs="Times New Roman"/>
          <w:lang w:val="en-AU"/>
        </w:rPr>
        <w:footnoteReference w:id="22"/>
      </w:r>
      <w:r w:rsidR="00AA79CD" w:rsidRPr="009B436C">
        <w:rPr>
          <w:rFonts w:cs="Times New Roman"/>
          <w:lang w:val="en-AU"/>
        </w:rPr>
        <w:t xml:space="preserve"> which act as excellent </w:t>
      </w:r>
      <w:r w:rsidR="00AA79CD" w:rsidRPr="005742C7">
        <w:rPr>
          <w:rFonts w:cs="Times New Roman"/>
          <w:b/>
          <w:lang w:val="en-AU"/>
        </w:rPr>
        <w:t>exemplars</w:t>
      </w:r>
      <w:r w:rsidR="00AA79CD" w:rsidRPr="009B436C">
        <w:rPr>
          <w:rFonts w:cs="Times New Roman"/>
          <w:lang w:val="en-AU"/>
        </w:rPr>
        <w:t xml:space="preserve"> of professional organisations working together.</w:t>
      </w:r>
    </w:p>
    <w:p w:rsidR="00016C47" w:rsidRDefault="00016C47" w:rsidP="00997A20">
      <w:pPr>
        <w:pStyle w:val="ListParagraph"/>
        <w:spacing w:after="0"/>
        <w:jc w:val="both"/>
        <w:rPr>
          <w:rStyle w:val="apple-converted-space"/>
          <w:rFonts w:ascii="Times New Roman" w:eastAsia="Times New Roman" w:hAnsi="Times New Roman" w:cs="Times New Roman"/>
          <w:sz w:val="24"/>
          <w:szCs w:val="24"/>
          <w:lang w:val="en-AU"/>
        </w:rPr>
      </w:pPr>
    </w:p>
    <w:p w:rsidR="00997A20" w:rsidRPr="00016C47" w:rsidRDefault="00997A20" w:rsidP="00997A20">
      <w:pPr>
        <w:pStyle w:val="ListParagraph"/>
        <w:spacing w:after="0"/>
        <w:jc w:val="both"/>
        <w:rPr>
          <w:rStyle w:val="apple-converted-space"/>
          <w:rFonts w:ascii="Times New Roman" w:eastAsia="Times New Roman" w:hAnsi="Times New Roman" w:cs="Times New Roman"/>
          <w:sz w:val="24"/>
          <w:szCs w:val="24"/>
          <w:lang w:val="en-AU"/>
        </w:rPr>
      </w:pPr>
    </w:p>
    <w:p w:rsidR="00C7294C" w:rsidRPr="00B86647" w:rsidRDefault="00DF05AA" w:rsidP="00016C47">
      <w:pPr>
        <w:pStyle w:val="ListParagraph"/>
        <w:numPr>
          <w:ilvl w:val="2"/>
          <w:numId w:val="19"/>
        </w:numPr>
        <w:spacing w:after="0"/>
        <w:jc w:val="both"/>
        <w:rPr>
          <w:rStyle w:val="apple-converted-space"/>
          <w:rFonts w:ascii="Times New Roman" w:eastAsia="Times New Roman" w:hAnsi="Times New Roman" w:cs="Times New Roman"/>
          <w:sz w:val="24"/>
          <w:szCs w:val="24"/>
          <w:lang w:val="en-AU"/>
        </w:rPr>
      </w:pPr>
      <w:r w:rsidRPr="00B86647">
        <w:rPr>
          <w:rStyle w:val="apple-converted-space"/>
          <w:rFonts w:ascii="Times New Roman" w:hAnsi="Times New Roman" w:cs="Times New Roman"/>
          <w:sz w:val="24"/>
          <w:szCs w:val="24"/>
          <w:lang w:val="en-AU"/>
        </w:rPr>
        <w:lastRenderedPageBreak/>
        <w:t>Proposal 9-2</w:t>
      </w:r>
    </w:p>
    <w:p w:rsidR="00C7294C" w:rsidRPr="00B86647" w:rsidRDefault="00705C5D" w:rsidP="00B86647">
      <w:pPr>
        <w:jc w:val="both"/>
        <w:rPr>
          <w:rFonts w:eastAsia="Times New Roman"/>
          <w:lang w:val="en-AU"/>
        </w:rPr>
      </w:pPr>
      <w:r w:rsidRPr="00B86647">
        <w:rPr>
          <w:rStyle w:val="apple-converted-space"/>
          <w:lang w:val="en-AU"/>
        </w:rPr>
        <w:t xml:space="preserve">We support this proposal, especially in light of the concerns regarding capacity noted above.  </w:t>
      </w:r>
    </w:p>
    <w:p w:rsidR="00C7294C" w:rsidRPr="009B436C" w:rsidRDefault="00C7294C">
      <w:pPr>
        <w:pStyle w:val="Body"/>
        <w:spacing w:after="0" w:line="240" w:lineRule="auto"/>
        <w:jc w:val="both"/>
        <w:rPr>
          <w:rFonts w:ascii="Times New Roman" w:eastAsia="Times New Roman" w:hAnsi="Times New Roman" w:cs="Times New Roman"/>
          <w:sz w:val="24"/>
          <w:szCs w:val="24"/>
          <w:lang w:val="en-AU"/>
        </w:rPr>
      </w:pPr>
    </w:p>
    <w:p w:rsidR="00C7294C" w:rsidRPr="009B436C" w:rsidRDefault="00C7294C">
      <w:pPr>
        <w:pStyle w:val="Body"/>
        <w:spacing w:after="0" w:line="240" w:lineRule="auto"/>
        <w:jc w:val="both"/>
        <w:rPr>
          <w:rFonts w:ascii="Times New Roman" w:eastAsia="Times New Roman" w:hAnsi="Times New Roman" w:cs="Times New Roman"/>
          <w:sz w:val="24"/>
          <w:szCs w:val="24"/>
          <w:lang w:val="en-AU"/>
        </w:rPr>
      </w:pPr>
    </w:p>
    <w:p w:rsidR="00C7294C" w:rsidRPr="009B436C" w:rsidRDefault="00B86647">
      <w:pPr>
        <w:pStyle w:val="Body"/>
        <w:spacing w:after="0" w:line="240" w:lineRule="auto"/>
        <w:jc w:val="both"/>
        <w:rPr>
          <w:rStyle w:val="apple-converted-space"/>
          <w:rFonts w:ascii="Times New Roman" w:eastAsia="Times New Roman" w:hAnsi="Times New Roman" w:cs="Times New Roman"/>
          <w:sz w:val="24"/>
          <w:szCs w:val="24"/>
          <w:lang w:val="en-AU"/>
        </w:rPr>
      </w:pPr>
      <w:r>
        <w:rPr>
          <w:rStyle w:val="apple-converted-space"/>
          <w:rFonts w:ascii="Times New Roman" w:hAnsi="Times New Roman" w:cs="Times New Roman"/>
          <w:b/>
          <w:bCs/>
          <w:sz w:val="24"/>
          <w:szCs w:val="24"/>
          <w:lang w:val="en-AU"/>
        </w:rPr>
        <w:t xml:space="preserve">2.8 </w:t>
      </w:r>
      <w:r w:rsidR="00DF05AA" w:rsidRPr="009B436C">
        <w:rPr>
          <w:rStyle w:val="apple-converted-space"/>
          <w:rFonts w:ascii="Times New Roman" w:hAnsi="Times New Roman" w:cs="Times New Roman"/>
          <w:b/>
          <w:bCs/>
          <w:sz w:val="24"/>
          <w:szCs w:val="24"/>
          <w:lang w:val="en-AU"/>
        </w:rPr>
        <w:t>Aged</w:t>
      </w:r>
      <w:r w:rsidR="00DF05AA" w:rsidRPr="009B436C">
        <w:rPr>
          <w:rStyle w:val="apple-converted-space"/>
          <w:rFonts w:ascii="Times New Roman" w:hAnsi="Times New Roman" w:cs="Times New Roman"/>
          <w:sz w:val="24"/>
          <w:szCs w:val="24"/>
          <w:lang w:val="en-AU"/>
        </w:rPr>
        <w:t xml:space="preserve"> </w:t>
      </w:r>
      <w:r w:rsidR="00DF05AA" w:rsidRPr="009B436C">
        <w:rPr>
          <w:rStyle w:val="apple-converted-space"/>
          <w:rFonts w:ascii="Times New Roman" w:hAnsi="Times New Roman" w:cs="Times New Roman"/>
          <w:b/>
          <w:bCs/>
          <w:sz w:val="24"/>
          <w:szCs w:val="24"/>
          <w:lang w:val="en-AU"/>
        </w:rPr>
        <w:t>Care</w:t>
      </w:r>
      <w:r w:rsidR="00DF05AA" w:rsidRPr="009B436C">
        <w:rPr>
          <w:rStyle w:val="apple-converted-space"/>
          <w:rFonts w:ascii="Times New Roman" w:hAnsi="Times New Roman" w:cs="Times New Roman"/>
          <w:sz w:val="24"/>
          <w:szCs w:val="24"/>
          <w:lang w:val="en-AU"/>
        </w:rPr>
        <w:t xml:space="preserve"> </w:t>
      </w:r>
    </w:p>
    <w:p w:rsidR="00C7294C" w:rsidRPr="000610A6" w:rsidRDefault="00DF05AA" w:rsidP="005A6E9A">
      <w:pPr>
        <w:pStyle w:val="ListParagraph"/>
        <w:numPr>
          <w:ilvl w:val="2"/>
          <w:numId w:val="20"/>
        </w:numPr>
        <w:spacing w:after="0"/>
        <w:jc w:val="both"/>
        <w:rPr>
          <w:rStyle w:val="apple-converted-space"/>
          <w:rFonts w:ascii="Times New Roman" w:eastAsia="Times New Roman" w:hAnsi="Times New Roman" w:cs="Times New Roman"/>
          <w:sz w:val="24"/>
          <w:szCs w:val="24"/>
          <w:lang w:val="en-AU"/>
        </w:rPr>
      </w:pPr>
      <w:r w:rsidRPr="000610A6">
        <w:rPr>
          <w:rStyle w:val="apple-converted-space"/>
          <w:rFonts w:ascii="Times New Roman" w:hAnsi="Times New Roman" w:cs="Times New Roman"/>
          <w:sz w:val="24"/>
          <w:szCs w:val="24"/>
          <w:lang w:val="en-AU"/>
        </w:rPr>
        <w:t>Proposal 11-10</w:t>
      </w:r>
    </w:p>
    <w:p w:rsidR="000610A6" w:rsidRPr="000610A6" w:rsidRDefault="00705C5D" w:rsidP="00902E22">
      <w:pPr>
        <w:jc w:val="both"/>
        <w:rPr>
          <w:rStyle w:val="apple-converted-space"/>
          <w:lang w:val="en-AU"/>
        </w:rPr>
      </w:pPr>
      <w:r w:rsidRPr="000610A6">
        <w:rPr>
          <w:rStyle w:val="apple-converted-space"/>
          <w:lang w:val="en-AU"/>
        </w:rPr>
        <w:t xml:space="preserve">While we support this proposal in general, it does present some issues with respect to privacy. </w:t>
      </w:r>
      <w:r w:rsidR="00902E22" w:rsidRPr="000610A6">
        <w:rPr>
          <w:rStyle w:val="apple-converted-space"/>
          <w:lang w:val="en-AU"/>
        </w:rPr>
        <w:t>Also, in 11-10(a) one of the key questions for inspectors is to ensure that rights are being upheld, but that assumes we have a clear statement of what the rights are.</w:t>
      </w:r>
      <w:r w:rsidRPr="000610A6">
        <w:rPr>
          <w:rStyle w:val="apple-converted-space"/>
          <w:lang w:val="en-AU"/>
        </w:rPr>
        <w:t xml:space="preserve"> </w:t>
      </w:r>
    </w:p>
    <w:p w:rsidR="000610A6" w:rsidRDefault="000610A6" w:rsidP="00902E22">
      <w:pPr>
        <w:pStyle w:val="ListParagraph"/>
        <w:spacing w:after="0" w:line="240" w:lineRule="auto"/>
        <w:jc w:val="both"/>
        <w:rPr>
          <w:rStyle w:val="apple-converted-space"/>
          <w:rFonts w:ascii="Times New Roman" w:hAnsi="Times New Roman" w:cs="Times New Roman"/>
          <w:sz w:val="24"/>
          <w:szCs w:val="24"/>
          <w:lang w:val="en-AU"/>
        </w:rPr>
      </w:pPr>
    </w:p>
    <w:p w:rsidR="00902E22" w:rsidRPr="000610A6"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rFonts w:eastAsia="Times New Roman"/>
          <w:lang w:val="en-AU"/>
        </w:rPr>
      </w:pPr>
      <w:r>
        <w:rPr>
          <w:rStyle w:val="apple-converted-space"/>
          <w:b/>
          <w:lang w:val="en-AU"/>
        </w:rPr>
        <w:t>Submission</w:t>
      </w:r>
      <w:r w:rsidR="000610A6">
        <w:rPr>
          <w:rStyle w:val="apple-converted-space"/>
          <w:lang w:val="en-AU"/>
        </w:rPr>
        <w:t xml:space="preserve">: </w:t>
      </w:r>
      <w:r w:rsidR="000610A6" w:rsidRPr="000610A6">
        <w:rPr>
          <w:rStyle w:val="apple-converted-space"/>
          <w:lang w:val="en-AU"/>
        </w:rPr>
        <w:t>w</w:t>
      </w:r>
      <w:r w:rsidR="00705C5D" w:rsidRPr="000610A6">
        <w:rPr>
          <w:rStyle w:val="apple-converted-space"/>
          <w:lang w:val="en-AU"/>
        </w:rPr>
        <w:t xml:space="preserve">e would propose that any system of inspection include clear guidelines and standards for </w:t>
      </w:r>
      <w:r w:rsidR="00184C73" w:rsidRPr="000610A6">
        <w:rPr>
          <w:rStyle w:val="apple-converted-space"/>
          <w:lang w:val="en-AU"/>
        </w:rPr>
        <w:t>visitors</w:t>
      </w:r>
      <w:r w:rsidR="00705C5D" w:rsidRPr="000610A6">
        <w:rPr>
          <w:rStyle w:val="apple-converted-space"/>
          <w:lang w:val="en-AU"/>
        </w:rPr>
        <w:t xml:space="preserve"> to apply.</w:t>
      </w:r>
    </w:p>
    <w:p w:rsidR="00C7294C" w:rsidRDefault="00C7294C">
      <w:pPr>
        <w:pStyle w:val="ListParagraph"/>
        <w:spacing w:after="0" w:line="240" w:lineRule="auto"/>
        <w:jc w:val="both"/>
        <w:rPr>
          <w:rFonts w:ascii="Times New Roman" w:eastAsia="Times New Roman" w:hAnsi="Times New Roman" w:cs="Times New Roman"/>
          <w:sz w:val="24"/>
          <w:szCs w:val="24"/>
          <w:lang w:val="en-AU"/>
        </w:rPr>
      </w:pPr>
    </w:p>
    <w:p w:rsidR="00A26FCB" w:rsidRPr="009B436C" w:rsidRDefault="00A26FCB">
      <w:pPr>
        <w:pStyle w:val="ListParagraph"/>
        <w:spacing w:after="0" w:line="240" w:lineRule="auto"/>
        <w:jc w:val="both"/>
        <w:rPr>
          <w:rFonts w:ascii="Times New Roman" w:eastAsia="Times New Roman" w:hAnsi="Times New Roman" w:cs="Times New Roman"/>
          <w:sz w:val="24"/>
          <w:szCs w:val="24"/>
          <w:lang w:val="en-AU"/>
        </w:rPr>
      </w:pPr>
    </w:p>
    <w:p w:rsidR="00C7294C" w:rsidRPr="00F80C4E" w:rsidRDefault="00DF05AA" w:rsidP="00F80C4E">
      <w:pPr>
        <w:pStyle w:val="ListParagraph"/>
        <w:numPr>
          <w:ilvl w:val="2"/>
          <w:numId w:val="20"/>
        </w:numPr>
        <w:jc w:val="both"/>
        <w:rPr>
          <w:rStyle w:val="apple-converted-space"/>
          <w:rFonts w:ascii="Times New Roman" w:eastAsia="Times New Roman" w:hAnsi="Times New Roman" w:cs="Times New Roman"/>
          <w:sz w:val="24"/>
          <w:szCs w:val="24"/>
          <w:lang w:val="en-AU"/>
        </w:rPr>
      </w:pPr>
      <w:r w:rsidRPr="00F80C4E">
        <w:rPr>
          <w:rStyle w:val="apple-converted-space"/>
          <w:rFonts w:ascii="Times New Roman" w:hAnsi="Times New Roman" w:cs="Times New Roman"/>
          <w:sz w:val="24"/>
          <w:szCs w:val="24"/>
          <w:lang w:val="en-AU"/>
        </w:rPr>
        <w:t>Proposal 11-11</w:t>
      </w:r>
    </w:p>
    <w:p w:rsidR="00705C5D" w:rsidRPr="00F80C4E" w:rsidRDefault="00F47821" w:rsidP="009A64E8">
      <w:pPr>
        <w:pBdr>
          <w:top w:val="single" w:sz="4" w:space="1" w:color="auto"/>
          <w:left w:val="single" w:sz="4" w:space="1" w:color="auto"/>
          <w:bottom w:val="single" w:sz="4" w:space="1" w:color="auto"/>
          <w:right w:val="single" w:sz="4" w:space="1" w:color="auto"/>
        </w:pBdr>
        <w:shd w:val="clear" w:color="auto" w:fill="DEEAF6" w:themeFill="accent1" w:themeFillTint="33"/>
        <w:jc w:val="both"/>
        <w:rPr>
          <w:rStyle w:val="apple-converted-space"/>
          <w:lang w:val="en-AU"/>
        </w:rPr>
      </w:pPr>
      <w:r>
        <w:rPr>
          <w:rStyle w:val="apple-converted-space"/>
          <w:b/>
          <w:lang w:val="en-AU"/>
        </w:rPr>
        <w:t>Submission</w:t>
      </w:r>
      <w:r w:rsidR="006243FB">
        <w:rPr>
          <w:rStyle w:val="apple-converted-space"/>
          <w:lang w:val="en-AU"/>
        </w:rPr>
        <w:t xml:space="preserve">: </w:t>
      </w:r>
      <w:r w:rsidR="00C42F98">
        <w:rPr>
          <w:rStyle w:val="apple-converted-space"/>
          <w:lang w:val="en-AU"/>
        </w:rPr>
        <w:t>i</w:t>
      </w:r>
      <w:r w:rsidR="00705C5D" w:rsidRPr="00F80C4E">
        <w:rPr>
          <w:rStyle w:val="apple-converted-space"/>
          <w:lang w:val="en-AU"/>
        </w:rPr>
        <w:t xml:space="preserve">n line with the comments above for Proposal 11-10, any powers given to visitors to inspect an aged care facility or confer with residents should ensure respect for privacy </w:t>
      </w:r>
      <w:r w:rsidR="00B62220">
        <w:rPr>
          <w:rStyle w:val="apple-converted-space"/>
          <w:lang w:val="en-AU"/>
        </w:rPr>
        <w:t xml:space="preserve">and autonomy of individuals. </w:t>
      </w:r>
      <w:r w:rsidR="00705C5D" w:rsidRPr="00F80C4E">
        <w:rPr>
          <w:rStyle w:val="apple-converted-space"/>
          <w:lang w:val="en-AU"/>
        </w:rPr>
        <w:t xml:space="preserve">Similarly, powers to investigate and report should be exercised in </w:t>
      </w:r>
      <w:proofErr w:type="gramStart"/>
      <w:r w:rsidR="00705C5D" w:rsidRPr="00F80C4E">
        <w:rPr>
          <w:rStyle w:val="apple-converted-space"/>
          <w:lang w:val="en-AU"/>
        </w:rPr>
        <w:t>a way which ensure</w:t>
      </w:r>
      <w:proofErr w:type="gramEnd"/>
      <w:r w:rsidR="00705C5D" w:rsidRPr="00F80C4E">
        <w:rPr>
          <w:rStyle w:val="apple-converted-space"/>
          <w:lang w:val="en-AU"/>
        </w:rPr>
        <w:t xml:space="preserve"> natural justice and due process for any person suspected of wrongdoing. </w:t>
      </w:r>
    </w:p>
    <w:sectPr w:rsidR="00705C5D" w:rsidRPr="00F80C4E" w:rsidSect="004145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BA" w:rsidRDefault="00CA06BA">
      <w:r>
        <w:separator/>
      </w:r>
    </w:p>
  </w:endnote>
  <w:endnote w:type="continuationSeparator" w:id="0">
    <w:p w:rsidR="00CA06BA" w:rsidRDefault="00CA0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A1" w:rsidRDefault="001928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73" w:rsidRDefault="00184C73">
    <w:pPr>
      <w:pStyle w:val="Footer"/>
      <w:tabs>
        <w:tab w:val="clear" w:pos="9360"/>
        <w:tab w:val="right" w:pos="9340"/>
      </w:tabs>
      <w:rPr>
        <w:rFonts w:ascii="Times New Roman" w:hAnsi="Times New Roman"/>
        <w:sz w:val="20"/>
        <w:szCs w:val="20"/>
      </w:rPr>
    </w:pPr>
  </w:p>
  <w:p w:rsidR="00184C73" w:rsidRDefault="00184C73">
    <w:pPr>
      <w:pStyle w:val="Footer"/>
      <w:tabs>
        <w:tab w:val="clear" w:pos="9360"/>
        <w:tab w:val="right" w:pos="9340"/>
      </w:tabs>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Submission to ALRC DP 83 Elder Abuse</w:t>
    </w:r>
  </w:p>
  <w:p w:rsidR="00184C73" w:rsidRDefault="009378B6">
    <w:pPr>
      <w:pStyle w:val="Footer"/>
      <w:tabs>
        <w:tab w:val="clear" w:pos="9360"/>
        <w:tab w:val="right" w:pos="9340"/>
      </w:tabs>
      <w:jc w:val="right"/>
    </w:pPr>
    <w:r>
      <w:rPr>
        <w:rStyle w:val="apple-converted-space"/>
        <w:rFonts w:ascii="Times New Roman" w:eastAsia="Times New Roman" w:hAnsi="Times New Roman" w:cs="Times New Roman"/>
        <w:sz w:val="20"/>
        <w:szCs w:val="20"/>
      </w:rPr>
      <w:fldChar w:fldCharType="begin"/>
    </w:r>
    <w:r w:rsidR="00184C73">
      <w:rPr>
        <w:rStyle w:val="apple-converted-space"/>
        <w:rFonts w:ascii="Times New Roman" w:eastAsia="Times New Roman" w:hAnsi="Times New Roman" w:cs="Times New Roman"/>
        <w:sz w:val="20"/>
        <w:szCs w:val="20"/>
      </w:rPr>
      <w:instrText xml:space="preserve"> PAGE </w:instrText>
    </w:r>
    <w:r>
      <w:rPr>
        <w:rStyle w:val="apple-converted-space"/>
        <w:rFonts w:ascii="Times New Roman" w:eastAsia="Times New Roman" w:hAnsi="Times New Roman" w:cs="Times New Roman"/>
        <w:sz w:val="20"/>
        <w:szCs w:val="20"/>
      </w:rPr>
      <w:fldChar w:fldCharType="separate"/>
    </w:r>
    <w:r w:rsidR="004371DB">
      <w:rPr>
        <w:rStyle w:val="apple-converted-space"/>
        <w:rFonts w:ascii="Times New Roman" w:eastAsia="Times New Roman" w:hAnsi="Times New Roman" w:cs="Times New Roman"/>
        <w:noProof/>
        <w:sz w:val="20"/>
        <w:szCs w:val="20"/>
      </w:rPr>
      <w:t>14</w:t>
    </w:r>
    <w:r>
      <w:rPr>
        <w:rStyle w:val="apple-converted-space"/>
        <w:rFonts w:ascii="Times New Roman" w:eastAsia="Times New Roman" w:hAnsi="Times New Roman"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A1" w:rsidRDefault="00192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BA" w:rsidRDefault="00CA06BA">
      <w:r>
        <w:separator/>
      </w:r>
    </w:p>
  </w:footnote>
  <w:footnote w:type="continuationSeparator" w:id="0">
    <w:p w:rsidR="00CA06BA" w:rsidRDefault="00CA06BA">
      <w:r>
        <w:continuationSeparator/>
      </w:r>
    </w:p>
  </w:footnote>
  <w:footnote w:type="continuationNotice" w:id="1">
    <w:p w:rsidR="00CA06BA" w:rsidRDefault="00CA06BA"/>
  </w:footnote>
  <w:footnote w:id="2">
    <w:p w:rsidR="00184C73" w:rsidRPr="002917F5" w:rsidRDefault="00184C73">
      <w:pPr>
        <w:pStyle w:val="FootnoteText"/>
        <w:rPr>
          <w:lang w:val="en-AU"/>
        </w:rPr>
      </w:pPr>
      <w:r w:rsidRPr="002917F5">
        <w:rPr>
          <w:rStyle w:val="FootnoteReference"/>
        </w:rPr>
        <w:footnoteRef/>
      </w:r>
      <w:r w:rsidRPr="002917F5">
        <w:t xml:space="preserve"> </w:t>
      </w:r>
      <w:proofErr w:type="gramStart"/>
      <w:r w:rsidR="007219E8" w:rsidRPr="002917F5">
        <w:rPr>
          <w:lang w:val="en-AU"/>
        </w:rPr>
        <w:t xml:space="preserve">Australian Law Reform Commission, </w:t>
      </w:r>
      <w:r w:rsidRPr="002917F5">
        <w:rPr>
          <w:i/>
          <w:lang w:val="en-AU"/>
        </w:rPr>
        <w:t>Elder Abuse</w:t>
      </w:r>
      <w:r w:rsidR="007219E8" w:rsidRPr="002917F5">
        <w:rPr>
          <w:lang w:val="en-AU"/>
        </w:rPr>
        <w:t>,</w:t>
      </w:r>
      <w:r w:rsidRPr="002917F5">
        <w:rPr>
          <w:lang w:val="en-AU"/>
        </w:rPr>
        <w:t xml:space="preserve"> D</w:t>
      </w:r>
      <w:r w:rsidR="007219E8" w:rsidRPr="002917F5">
        <w:rPr>
          <w:lang w:val="en-AU"/>
        </w:rPr>
        <w:t xml:space="preserve">iscussion </w:t>
      </w:r>
      <w:r w:rsidRPr="002917F5">
        <w:rPr>
          <w:lang w:val="en-AU"/>
        </w:rPr>
        <w:t>P</w:t>
      </w:r>
      <w:r w:rsidR="007219E8" w:rsidRPr="002917F5">
        <w:rPr>
          <w:lang w:val="en-AU"/>
        </w:rPr>
        <w:t xml:space="preserve">aper </w:t>
      </w:r>
      <w:r w:rsidRPr="002917F5">
        <w:rPr>
          <w:lang w:val="en-AU"/>
        </w:rPr>
        <w:t>83</w:t>
      </w:r>
      <w:r w:rsidR="007219E8" w:rsidRPr="002917F5">
        <w:rPr>
          <w:lang w:val="en-AU"/>
        </w:rPr>
        <w:t>, (2016)</w:t>
      </w:r>
      <w:r w:rsidRPr="002917F5">
        <w:rPr>
          <w:lang w:val="en-AU"/>
        </w:rPr>
        <w:t xml:space="preserve"> 22.</w:t>
      </w:r>
      <w:proofErr w:type="gramEnd"/>
    </w:p>
  </w:footnote>
  <w:footnote w:id="3">
    <w:p w:rsidR="00184C73" w:rsidRPr="002917F5" w:rsidRDefault="00184C73">
      <w:pPr>
        <w:pStyle w:val="FootnoteText"/>
      </w:pPr>
      <w:r w:rsidRPr="002917F5">
        <w:rPr>
          <w:rStyle w:val="FootnoteReference"/>
        </w:rPr>
        <w:footnoteRef/>
      </w:r>
      <w:r w:rsidRPr="002917F5">
        <w:t xml:space="preserve"> </w:t>
      </w:r>
      <w:proofErr w:type="gramStart"/>
      <w:r w:rsidR="000969E9" w:rsidRPr="002917F5">
        <w:t>Ibid</w:t>
      </w:r>
      <w:r w:rsidRPr="002917F5">
        <w:t xml:space="preserve"> 17.</w:t>
      </w:r>
      <w:proofErr w:type="gramEnd"/>
    </w:p>
  </w:footnote>
  <w:footnote w:id="4">
    <w:p w:rsidR="009874C8" w:rsidRPr="002917F5" w:rsidRDefault="009874C8" w:rsidP="009874C8">
      <w:pPr>
        <w:pStyle w:val="FootnoteText"/>
        <w:rPr>
          <w:lang w:val="en-AU"/>
        </w:rPr>
      </w:pPr>
      <w:r w:rsidRPr="002917F5">
        <w:rPr>
          <w:rStyle w:val="FootnoteReference"/>
        </w:rPr>
        <w:footnoteRef/>
      </w:r>
      <w:r w:rsidRPr="002917F5">
        <w:t xml:space="preserve"> </w:t>
      </w:r>
      <w:proofErr w:type="gramStart"/>
      <w:r w:rsidRPr="002917F5">
        <w:rPr>
          <w:rStyle w:val="apple-converted-space"/>
        </w:rPr>
        <w:t>Ibid 34-7.</w:t>
      </w:r>
      <w:proofErr w:type="gramEnd"/>
    </w:p>
  </w:footnote>
  <w:footnote w:id="5">
    <w:p w:rsidR="00184C73" w:rsidRPr="002917F5" w:rsidRDefault="00184C73" w:rsidP="009B6B8D">
      <w:pPr>
        <w:pStyle w:val="FootnoteText"/>
      </w:pPr>
      <w:r w:rsidRPr="002917F5">
        <w:rPr>
          <w:rStyle w:val="FootnoteReference"/>
        </w:rPr>
        <w:footnoteRef/>
      </w:r>
      <w:r w:rsidRPr="002917F5">
        <w:t xml:space="preserve"> </w:t>
      </w:r>
      <w:r w:rsidRPr="002917F5">
        <w:rPr>
          <w:i/>
        </w:rPr>
        <w:t xml:space="preserve">The Vienna International Plan of Action on Ageing, </w:t>
      </w:r>
      <w:r w:rsidRPr="002917F5">
        <w:t xml:space="preserve">December 1982, </w:t>
      </w:r>
      <w:hyperlink r:id="rId1" w:history="1">
        <w:r w:rsidRPr="002917F5">
          <w:rPr>
            <w:rStyle w:val="Hyperlink"/>
          </w:rPr>
          <w:t>https://www.un.org/development/desa/ageing/resources/vienna-international-plan-of-action.html</w:t>
        </w:r>
      </w:hyperlink>
      <w:r w:rsidRPr="002917F5">
        <w:t xml:space="preserve"> (Accessed 16.01.2017)</w:t>
      </w:r>
    </w:p>
  </w:footnote>
  <w:footnote w:id="6">
    <w:p w:rsidR="00184C73" w:rsidRPr="002917F5" w:rsidRDefault="00184C73" w:rsidP="009B6B8D">
      <w:pPr>
        <w:pStyle w:val="FootnoteText"/>
      </w:pPr>
      <w:r w:rsidRPr="002917F5">
        <w:rPr>
          <w:rStyle w:val="FootnoteReference"/>
        </w:rPr>
        <w:footnoteRef/>
      </w:r>
      <w:r w:rsidRPr="002917F5">
        <w:t xml:space="preserve"> </w:t>
      </w:r>
      <w:r w:rsidRPr="002917F5">
        <w:rPr>
          <w:i/>
        </w:rPr>
        <w:t xml:space="preserve">The United Nations Principles for Older Persons, </w:t>
      </w:r>
      <w:r w:rsidRPr="002917F5">
        <w:t xml:space="preserve">United Nations General Assembly Resolution 46/91, December 1991, </w:t>
      </w:r>
      <w:hyperlink r:id="rId2" w:history="1">
        <w:r w:rsidRPr="002917F5">
          <w:rPr>
            <w:rStyle w:val="Hyperlink"/>
          </w:rPr>
          <w:t>http://www.ohchr.org/EN/ProfessionalInterest/Pages/OlderPersons.aspx</w:t>
        </w:r>
      </w:hyperlink>
      <w:r w:rsidRPr="002917F5">
        <w:t xml:space="preserve"> (Accessed 16.01.2017).</w:t>
      </w:r>
    </w:p>
  </w:footnote>
  <w:footnote w:id="7">
    <w:p w:rsidR="00184C73" w:rsidRPr="002917F5" w:rsidRDefault="00184C73" w:rsidP="009B6B8D">
      <w:pPr>
        <w:pStyle w:val="FootnoteText"/>
      </w:pPr>
      <w:r w:rsidRPr="002917F5">
        <w:rPr>
          <w:rStyle w:val="FootnoteReference"/>
        </w:rPr>
        <w:footnoteRef/>
      </w:r>
      <w:r w:rsidRPr="002917F5">
        <w:t xml:space="preserve"> </w:t>
      </w:r>
      <w:proofErr w:type="gramStart"/>
      <w:r w:rsidRPr="002917F5">
        <w:rPr>
          <w:i/>
        </w:rPr>
        <w:t>The Madrid International Plan of Action on Ageing</w:t>
      </w:r>
      <w:r w:rsidRPr="002917F5">
        <w:t xml:space="preserve">, UN General Assembly Resolution 46/91, April 2002, </w:t>
      </w:r>
      <w:hyperlink r:id="rId3" w:history="1">
        <w:r w:rsidRPr="002917F5">
          <w:rPr>
            <w:rStyle w:val="Hyperlink"/>
          </w:rPr>
          <w:t>https://www.un.org/development/desa/ageing/madrid-plan-of-action-and-its-implementation.html</w:t>
        </w:r>
      </w:hyperlink>
      <w:r w:rsidRPr="002917F5">
        <w:t xml:space="preserve"> (Accessed 16.01.2017).</w:t>
      </w:r>
      <w:proofErr w:type="gramEnd"/>
    </w:p>
  </w:footnote>
  <w:footnote w:id="8">
    <w:p w:rsidR="00184C73" w:rsidRPr="002917F5" w:rsidRDefault="00184C73" w:rsidP="00B104A3">
      <w:pPr>
        <w:pStyle w:val="FootnoteText"/>
      </w:pPr>
      <w:r w:rsidRPr="002917F5">
        <w:rPr>
          <w:rStyle w:val="FootnoteReference"/>
        </w:rPr>
        <w:footnoteRef/>
      </w:r>
      <w:r w:rsidRPr="002917F5">
        <w:t xml:space="preserve"> Follow up to the Second World Assembly on Ageing: Report of the Secretary General, Submitted to the United Nations General Assembly, A/64/127, </w:t>
      </w:r>
      <w:proofErr w:type="gramStart"/>
      <w:r w:rsidRPr="002917F5">
        <w:t>July</w:t>
      </w:r>
      <w:proofErr w:type="gramEnd"/>
      <w:r w:rsidRPr="002917F5">
        <w:t xml:space="preserve"> 2009.</w:t>
      </w:r>
    </w:p>
  </w:footnote>
  <w:footnote w:id="9">
    <w:p w:rsidR="00184C73" w:rsidRPr="002917F5" w:rsidRDefault="00184C73">
      <w:pPr>
        <w:pStyle w:val="FootnoteText"/>
        <w:rPr>
          <w:lang w:val="fr-FR"/>
        </w:rPr>
      </w:pPr>
      <w:r w:rsidRPr="002917F5">
        <w:rPr>
          <w:rStyle w:val="FootnoteReference"/>
        </w:rPr>
        <w:footnoteRef/>
      </w:r>
      <w:r w:rsidRPr="002917F5">
        <w:rPr>
          <w:lang w:val="fr-FR"/>
        </w:rPr>
        <w:t xml:space="preserve"> </w:t>
      </w:r>
      <w:proofErr w:type="gramStart"/>
      <w:r w:rsidR="00B1439C" w:rsidRPr="002917F5">
        <w:rPr>
          <w:lang w:val="en-AU"/>
        </w:rPr>
        <w:t xml:space="preserve">Australian Law Reform Commission, </w:t>
      </w:r>
      <w:r w:rsidR="00B1439C" w:rsidRPr="002917F5">
        <w:rPr>
          <w:i/>
          <w:lang w:val="en-AU"/>
        </w:rPr>
        <w:t>Elder Abuse</w:t>
      </w:r>
      <w:r w:rsidR="00B1439C" w:rsidRPr="002917F5">
        <w:rPr>
          <w:lang w:val="en-AU"/>
        </w:rPr>
        <w:t xml:space="preserve">, Discussion Paper 83, (2016) </w:t>
      </w:r>
      <w:r w:rsidRPr="002917F5">
        <w:rPr>
          <w:lang w:val="fr-FR"/>
        </w:rPr>
        <w:t>33.</w:t>
      </w:r>
      <w:proofErr w:type="gramEnd"/>
    </w:p>
  </w:footnote>
  <w:footnote w:id="10">
    <w:p w:rsidR="00184C73" w:rsidRPr="002917F5" w:rsidRDefault="00184C73">
      <w:pPr>
        <w:pStyle w:val="FootnoteText"/>
        <w:rPr>
          <w:lang w:val="fr-FR"/>
        </w:rPr>
      </w:pPr>
      <w:r w:rsidRPr="002917F5">
        <w:rPr>
          <w:rStyle w:val="FootnoteReference"/>
        </w:rPr>
        <w:footnoteRef/>
      </w:r>
      <w:r w:rsidRPr="002917F5">
        <w:rPr>
          <w:lang w:val="fr-FR"/>
        </w:rPr>
        <w:t xml:space="preserve"> </w:t>
      </w:r>
      <w:proofErr w:type="spellStart"/>
      <w:r w:rsidR="00B1439C" w:rsidRPr="002917F5">
        <w:rPr>
          <w:rStyle w:val="apple-converted-space"/>
          <w:lang w:val="fr-FR"/>
        </w:rPr>
        <w:t>Ibid</w:t>
      </w:r>
      <w:proofErr w:type="spellEnd"/>
      <w:r w:rsidR="00B1439C" w:rsidRPr="002917F5">
        <w:rPr>
          <w:rStyle w:val="apple-converted-space"/>
          <w:lang w:val="fr-FR"/>
        </w:rPr>
        <w:t xml:space="preserve"> </w:t>
      </w:r>
      <w:r w:rsidRPr="002917F5">
        <w:rPr>
          <w:rStyle w:val="apple-converted-space"/>
          <w:lang w:val="fr-FR"/>
        </w:rPr>
        <w:t>43.</w:t>
      </w:r>
    </w:p>
  </w:footnote>
  <w:footnote w:id="11">
    <w:p w:rsidR="00184C73" w:rsidRPr="002917F5" w:rsidRDefault="00184C73" w:rsidP="001C0F64">
      <w:pPr>
        <w:pStyle w:val="FootnoteText"/>
      </w:pPr>
      <w:r w:rsidRPr="002917F5">
        <w:rPr>
          <w:rStyle w:val="FootnoteReference"/>
        </w:rPr>
        <w:footnoteRef/>
      </w:r>
      <w:r w:rsidRPr="002917F5">
        <w:t xml:space="preserve"> </w:t>
      </w:r>
      <w:r w:rsidR="004D6D9C" w:rsidRPr="002917F5">
        <w:t xml:space="preserve">American Bar Association Commission on Law and Aging/American Psychological Association Assessment of Capacity in Older Adults Project Working Group, </w:t>
      </w:r>
      <w:r w:rsidR="004D6D9C" w:rsidRPr="002917F5">
        <w:rPr>
          <w:i/>
        </w:rPr>
        <w:t xml:space="preserve">Assessment of Older Adults with Diminished Capacity: A Handbook for Lawyers </w:t>
      </w:r>
      <w:r w:rsidR="004D6D9C" w:rsidRPr="002917F5">
        <w:t xml:space="preserve">(2005) </w:t>
      </w:r>
      <w:r w:rsidRPr="002917F5">
        <w:t>21.</w:t>
      </w:r>
    </w:p>
  </w:footnote>
  <w:footnote w:id="12">
    <w:p w:rsidR="00184C73" w:rsidRPr="002917F5" w:rsidRDefault="00184C73" w:rsidP="001C0F64">
      <w:pPr>
        <w:pStyle w:val="FootnoteText"/>
      </w:pPr>
      <w:r w:rsidRPr="002917F5">
        <w:rPr>
          <w:rStyle w:val="FootnoteReference"/>
        </w:rPr>
        <w:footnoteRef/>
      </w:r>
      <w:r w:rsidRPr="002917F5">
        <w:t xml:space="preserve"> </w:t>
      </w:r>
      <w:proofErr w:type="gramStart"/>
      <w:r w:rsidR="004616F7" w:rsidRPr="002917F5">
        <w:t>Ibid</w:t>
      </w:r>
      <w:r w:rsidRPr="002917F5">
        <w:t xml:space="preserve"> 15–6.</w:t>
      </w:r>
      <w:proofErr w:type="gramEnd"/>
    </w:p>
  </w:footnote>
  <w:footnote w:id="13">
    <w:p w:rsidR="00573A7D" w:rsidRPr="002917F5" w:rsidRDefault="00573A7D" w:rsidP="00573A7D">
      <w:pPr>
        <w:pStyle w:val="FootnoteText"/>
      </w:pPr>
      <w:r w:rsidRPr="002917F5">
        <w:rPr>
          <w:rStyle w:val="FootnoteReference"/>
        </w:rPr>
        <w:footnoteRef/>
      </w:r>
      <w:r w:rsidRPr="002917F5">
        <w:t xml:space="preserve"> </w:t>
      </w:r>
      <w:proofErr w:type="gramStart"/>
      <w:r w:rsidRPr="002917F5">
        <w:t xml:space="preserve">World Report on Ageing and Health 2015, World Health </w:t>
      </w:r>
      <w:proofErr w:type="spellStart"/>
      <w:r w:rsidRPr="002917F5">
        <w:t>Organisation</w:t>
      </w:r>
      <w:proofErr w:type="spellEnd"/>
      <w:r w:rsidRPr="002917F5">
        <w:t>.</w:t>
      </w:r>
      <w:proofErr w:type="gramEnd"/>
      <w:r w:rsidRPr="002917F5">
        <w:t xml:space="preserve"> </w:t>
      </w:r>
      <w:hyperlink r:id="rId4" w:history="1">
        <w:r w:rsidRPr="002917F5">
          <w:rPr>
            <w:rStyle w:val="Hyperlink"/>
          </w:rPr>
          <w:t>http://www.who.int/ageing/events/world-report-2015-launch/en/</w:t>
        </w:r>
      </w:hyperlink>
      <w:r w:rsidRPr="002917F5">
        <w:t xml:space="preserve"> </w:t>
      </w:r>
    </w:p>
  </w:footnote>
  <w:footnote w:id="14">
    <w:p w:rsidR="00184C73" w:rsidRPr="002917F5" w:rsidRDefault="00184C73" w:rsidP="00916D30">
      <w:pPr>
        <w:pStyle w:val="FootnoteText"/>
      </w:pPr>
      <w:r w:rsidRPr="002917F5">
        <w:rPr>
          <w:rStyle w:val="FootnoteReference"/>
        </w:rPr>
        <w:footnoteRef/>
      </w:r>
      <w:r w:rsidRPr="002917F5">
        <w:t xml:space="preserve"> </w:t>
      </w:r>
      <w:proofErr w:type="gramStart"/>
      <w:r w:rsidRPr="002917F5">
        <w:rPr>
          <w:i/>
        </w:rPr>
        <w:t xml:space="preserve">Neglect, Abuse and Violence against Older Women, </w:t>
      </w:r>
      <w:r w:rsidRPr="002917F5">
        <w:t>United Nations Division for Social Policy and Development of the Department of Economic and Social Affairs, 2013, ST/ESA/351.</w:t>
      </w:r>
      <w:proofErr w:type="gramEnd"/>
      <w:r w:rsidRPr="002917F5">
        <w:t xml:space="preserve"> </w:t>
      </w:r>
      <w:hyperlink r:id="rId5" w:history="1">
        <w:r w:rsidRPr="002917F5">
          <w:rPr>
            <w:rStyle w:val="Hyperlink"/>
          </w:rPr>
          <w:t>http://www.un.org/esa/socdev/documents/ageing/neglect-abuse-violence-older-women.pdf</w:t>
        </w:r>
      </w:hyperlink>
      <w:r w:rsidRPr="002917F5">
        <w:t xml:space="preserve"> (accessed 16.01.2017).</w:t>
      </w:r>
    </w:p>
  </w:footnote>
  <w:footnote w:id="15">
    <w:p w:rsidR="000138E2" w:rsidRPr="002917F5" w:rsidRDefault="000138E2">
      <w:pPr>
        <w:pStyle w:val="FootnoteText"/>
        <w:rPr>
          <w:lang w:val="en-AU"/>
        </w:rPr>
      </w:pPr>
      <w:r w:rsidRPr="002917F5">
        <w:rPr>
          <w:rStyle w:val="FootnoteReference"/>
        </w:rPr>
        <w:footnoteRef/>
      </w:r>
      <w:r w:rsidRPr="002917F5">
        <w:t xml:space="preserve"> </w:t>
      </w:r>
      <w:r w:rsidR="00200EE9" w:rsidRPr="00200EE9">
        <w:rPr>
          <w:i/>
        </w:rPr>
        <w:t>Follow up to the Second World Assembly on Ageing: Report of the Secretary General</w:t>
      </w:r>
      <w:r w:rsidR="00200EE9" w:rsidRPr="002917F5">
        <w:t>, Submitted to the United Nations General A</w:t>
      </w:r>
      <w:r w:rsidR="00200EE9">
        <w:t>ssembly, A/69/180, 24 July 2014, 11.</w:t>
      </w:r>
    </w:p>
  </w:footnote>
  <w:footnote w:id="16">
    <w:p w:rsidR="00184C73" w:rsidRPr="002917F5" w:rsidRDefault="00184C73" w:rsidP="00916D30">
      <w:pPr>
        <w:pStyle w:val="FootnoteText"/>
      </w:pPr>
      <w:r w:rsidRPr="002917F5">
        <w:rPr>
          <w:rStyle w:val="FootnoteReference"/>
        </w:rPr>
        <w:footnoteRef/>
      </w:r>
      <w:r w:rsidRPr="002917F5">
        <w:t xml:space="preserve"> </w:t>
      </w:r>
      <w:r w:rsidR="00200EE9">
        <w:t>Ibid.</w:t>
      </w:r>
      <w:bookmarkStart w:id="0" w:name="_GoBack"/>
      <w:bookmarkEnd w:id="0"/>
    </w:p>
  </w:footnote>
  <w:footnote w:id="17">
    <w:p w:rsidR="00A87497" w:rsidRPr="002917F5" w:rsidRDefault="00A87497" w:rsidP="00A87497">
      <w:pPr>
        <w:pStyle w:val="FootnoteText"/>
      </w:pPr>
      <w:r w:rsidRPr="002917F5">
        <w:rPr>
          <w:rStyle w:val="apple-converted-space"/>
          <w:vertAlign w:val="superscript"/>
        </w:rPr>
        <w:footnoteRef/>
      </w:r>
      <w:r w:rsidRPr="002917F5">
        <w:rPr>
          <w:rFonts w:eastAsia="Arial Unicode MS"/>
        </w:rPr>
        <w:t xml:space="preserve"> On this see further: American Bar Association Commission on Law and Aging, American Psychological Association Assessment of Capacity in Older Adults Project Working Group</w:t>
      </w:r>
      <w:r w:rsidR="009F409A" w:rsidRPr="002917F5">
        <w:rPr>
          <w:rFonts w:eastAsia="Arial Unicode MS"/>
        </w:rPr>
        <w:t>, above n 10</w:t>
      </w:r>
      <w:r w:rsidR="00333F94" w:rsidRPr="002917F5">
        <w:rPr>
          <w:rFonts w:eastAsia="Arial Unicode MS"/>
        </w:rPr>
        <w:t>,</w:t>
      </w:r>
      <w:r w:rsidRPr="002917F5">
        <w:rPr>
          <w:rFonts w:eastAsia="Arial Unicode MS"/>
        </w:rPr>
        <w:t xml:space="preserve"> 13.</w:t>
      </w:r>
    </w:p>
  </w:footnote>
  <w:footnote w:id="18">
    <w:p w:rsidR="00184C73" w:rsidRPr="002917F5" w:rsidRDefault="00184C73" w:rsidP="00F57D78">
      <w:pPr>
        <w:pStyle w:val="FootnoteText"/>
      </w:pPr>
      <w:r w:rsidRPr="002917F5">
        <w:rPr>
          <w:rStyle w:val="FootnoteReference"/>
        </w:rPr>
        <w:footnoteRef/>
      </w:r>
      <w:r w:rsidRPr="002917F5">
        <w:t xml:space="preserve"> </w:t>
      </w:r>
      <w:r w:rsidR="008062D8" w:rsidRPr="002917F5">
        <w:t xml:space="preserve">R </w:t>
      </w:r>
      <w:proofErr w:type="spellStart"/>
      <w:r w:rsidRPr="002917F5">
        <w:t>Ammerman</w:t>
      </w:r>
      <w:proofErr w:type="spellEnd"/>
      <w:r w:rsidRPr="002917F5">
        <w:t xml:space="preserve">  &amp; </w:t>
      </w:r>
      <w:r w:rsidR="008062D8" w:rsidRPr="002917F5">
        <w:t xml:space="preserve">M </w:t>
      </w:r>
      <w:proofErr w:type="spellStart"/>
      <w:r w:rsidRPr="002917F5">
        <w:t>Herson</w:t>
      </w:r>
      <w:proofErr w:type="spellEnd"/>
      <w:r w:rsidR="008062D8" w:rsidRPr="002917F5">
        <w:t>,</w:t>
      </w:r>
      <w:r w:rsidRPr="002917F5">
        <w:t xml:space="preserve"> </w:t>
      </w:r>
      <w:r w:rsidRPr="002917F5">
        <w:rPr>
          <w:i/>
        </w:rPr>
        <w:t>Case studies in family violence</w:t>
      </w:r>
      <w:r w:rsidRPr="002917F5">
        <w:t xml:space="preserve"> </w:t>
      </w:r>
      <w:r w:rsidR="008062D8" w:rsidRPr="002917F5">
        <w:t>(</w:t>
      </w:r>
      <w:proofErr w:type="spellStart"/>
      <w:r w:rsidRPr="002917F5">
        <w:t>Plennum</w:t>
      </w:r>
      <w:proofErr w:type="spellEnd"/>
      <w:r w:rsidRPr="002917F5">
        <w:t xml:space="preserve"> Press</w:t>
      </w:r>
      <w:r w:rsidR="008062D8" w:rsidRPr="002917F5">
        <w:t>, 1991)</w:t>
      </w:r>
      <w:r w:rsidRPr="002917F5">
        <w:t xml:space="preserve"> as cited by </w:t>
      </w:r>
      <w:r w:rsidR="005A73A8" w:rsidRPr="002917F5">
        <w:t xml:space="preserve">Craig MA </w:t>
      </w:r>
      <w:r w:rsidRPr="002917F5">
        <w:t>Yvonne</w:t>
      </w:r>
      <w:r w:rsidR="00C210B5" w:rsidRPr="002917F5">
        <w:t>,</w:t>
      </w:r>
      <w:r w:rsidRPr="002917F5">
        <w:t xml:space="preserve"> </w:t>
      </w:r>
      <w:r w:rsidR="00C210B5" w:rsidRPr="002917F5">
        <w:t>‘</w:t>
      </w:r>
      <w:r w:rsidRPr="002917F5">
        <w:t>Elder Mediation</w:t>
      </w:r>
      <w:r w:rsidR="00C210B5" w:rsidRPr="002917F5">
        <w:t>’ (1994) 6(1)</w:t>
      </w:r>
      <w:r w:rsidRPr="002917F5">
        <w:rPr>
          <w:i/>
        </w:rPr>
        <w:t xml:space="preserve"> Journal of Elder Abuse &amp; Neglect</w:t>
      </w:r>
      <w:r w:rsidRPr="002917F5">
        <w:t xml:space="preserve"> 86-7.</w:t>
      </w:r>
    </w:p>
  </w:footnote>
  <w:footnote w:id="19">
    <w:p w:rsidR="00184C73" w:rsidRPr="002917F5" w:rsidRDefault="00184C73" w:rsidP="00F57D78">
      <w:pPr>
        <w:pStyle w:val="FootnoteText"/>
      </w:pPr>
      <w:r w:rsidRPr="002917F5">
        <w:rPr>
          <w:rStyle w:val="FootnoteReference"/>
        </w:rPr>
        <w:footnoteRef/>
      </w:r>
      <w:r w:rsidRPr="002917F5">
        <w:t xml:space="preserve"> Report A/HRC/33/44, </w:t>
      </w:r>
      <w:r w:rsidRPr="002917F5">
        <w:rPr>
          <w:i/>
        </w:rPr>
        <w:t>Report of the Independent Expert on the enjoyment of all human rights by older persons</w:t>
      </w:r>
      <w:r w:rsidRPr="002917F5">
        <w:t>, United Nations General Assembly, Human Rights Council, Thirty Third Session, 8 July 2016, 9</w:t>
      </w:r>
      <w:r w:rsidR="00582341" w:rsidRPr="002917F5">
        <w:t>.</w:t>
      </w:r>
    </w:p>
  </w:footnote>
  <w:footnote w:id="20">
    <w:p w:rsidR="00184C73" w:rsidRPr="002917F5" w:rsidRDefault="00184C73">
      <w:pPr>
        <w:pStyle w:val="FootnoteText"/>
      </w:pPr>
      <w:r w:rsidRPr="002917F5">
        <w:rPr>
          <w:rStyle w:val="FootnoteReference"/>
        </w:rPr>
        <w:footnoteRef/>
      </w:r>
      <w:r w:rsidRPr="002917F5">
        <w:rPr>
          <w:rFonts w:eastAsia="Arial Unicode MS"/>
        </w:rPr>
        <w:t xml:space="preserve"> See for example: Kelly Purser, ‘</w:t>
      </w:r>
      <w:hyperlink r:id="rId6" w:history="1">
        <w:proofErr w:type="gramStart"/>
        <w:r w:rsidRPr="002917F5">
          <w:rPr>
            <w:rFonts w:eastAsia="Arial Unicode MS"/>
          </w:rPr>
          <w:t>Assessing</w:t>
        </w:r>
        <w:proofErr w:type="gramEnd"/>
        <w:r w:rsidRPr="002917F5">
          <w:rPr>
            <w:rFonts w:eastAsia="Arial Unicode MS"/>
          </w:rPr>
          <w:t xml:space="preserve"> testamentary capacity in the 21st Century: Is Banks v </w:t>
        </w:r>
        <w:proofErr w:type="spellStart"/>
        <w:r w:rsidRPr="002917F5">
          <w:rPr>
            <w:rFonts w:eastAsia="Arial Unicode MS"/>
          </w:rPr>
          <w:t>Goodfellow</w:t>
        </w:r>
        <w:proofErr w:type="spellEnd"/>
        <w:r w:rsidRPr="002917F5">
          <w:rPr>
            <w:rFonts w:eastAsia="Arial Unicode MS"/>
          </w:rPr>
          <w:t xml:space="preserve"> still relevant?</w:t>
        </w:r>
      </w:hyperlink>
      <w:r w:rsidRPr="002917F5">
        <w:rPr>
          <w:rFonts w:eastAsia="Arial Unicode MS"/>
        </w:rPr>
        <w:t xml:space="preserve">’ (2015) </w:t>
      </w:r>
      <w:r w:rsidRPr="002917F5">
        <w:rPr>
          <w:rStyle w:val="apple-converted-space"/>
          <w:rFonts w:eastAsia="Arial Unicode MS"/>
          <w:i/>
          <w:iCs/>
        </w:rPr>
        <w:t>University of New South Wales Law Journal,</w:t>
      </w:r>
      <w:r w:rsidRPr="002917F5">
        <w:rPr>
          <w:rFonts w:eastAsia="Arial Unicode MS"/>
        </w:rPr>
        <w:t xml:space="preserve"> 854; Kelly Purser and </w:t>
      </w:r>
      <w:proofErr w:type="spellStart"/>
      <w:r w:rsidRPr="002917F5">
        <w:rPr>
          <w:rFonts w:eastAsia="Arial Unicode MS"/>
        </w:rPr>
        <w:t>Tuly</w:t>
      </w:r>
      <w:proofErr w:type="spellEnd"/>
      <w:r w:rsidRPr="002917F5">
        <w:rPr>
          <w:rFonts w:eastAsia="Arial Unicode MS"/>
        </w:rPr>
        <w:t xml:space="preserve"> Rosenfeld, ‘</w:t>
      </w:r>
      <w:hyperlink r:id="rId7" w:history="1">
        <w:r w:rsidRPr="002917F5">
          <w:rPr>
            <w:rFonts w:eastAsia="Arial Unicode MS"/>
          </w:rPr>
          <w:t>Evaluation of legal capacity by doctors and lawyers: the need for collaborative assessment</w:t>
        </w:r>
      </w:hyperlink>
      <w:r w:rsidRPr="002917F5">
        <w:rPr>
          <w:rFonts w:eastAsia="Arial Unicode MS"/>
        </w:rPr>
        <w:t xml:space="preserve">’ (2014) </w:t>
      </w:r>
      <w:r w:rsidRPr="002917F5">
        <w:rPr>
          <w:rStyle w:val="apple-converted-space"/>
          <w:rFonts w:eastAsia="Arial Unicode MS"/>
          <w:i/>
          <w:iCs/>
        </w:rPr>
        <w:t>Medical Journal of Australia</w:t>
      </w:r>
      <w:r w:rsidRPr="002917F5">
        <w:rPr>
          <w:rFonts w:eastAsia="Arial Unicode MS"/>
        </w:rPr>
        <w:t>, 483; Kelly Purser</w:t>
      </w:r>
      <w:r w:rsidRPr="002917F5">
        <w:rPr>
          <w:rStyle w:val="apple-converted-space"/>
          <w:rFonts w:eastAsia="Arial Unicode MS"/>
          <w:shd w:val="clear" w:color="auto" w:fill="FFFFFF"/>
        </w:rPr>
        <w:t xml:space="preserve"> &amp; </w:t>
      </w:r>
      <w:proofErr w:type="spellStart"/>
      <w:r w:rsidRPr="002917F5">
        <w:rPr>
          <w:rStyle w:val="apple-converted-space"/>
          <w:rFonts w:eastAsia="Arial Unicode MS"/>
          <w:shd w:val="clear" w:color="auto" w:fill="FFFFFF"/>
        </w:rPr>
        <w:t>Tuly</w:t>
      </w:r>
      <w:proofErr w:type="spellEnd"/>
      <w:r w:rsidRPr="002917F5">
        <w:rPr>
          <w:rStyle w:val="apple-converted-space"/>
          <w:rFonts w:eastAsia="Arial Unicode MS"/>
          <w:shd w:val="clear" w:color="auto" w:fill="FFFFFF"/>
        </w:rPr>
        <w:t xml:space="preserve"> Rosenfeld, ‘</w:t>
      </w:r>
      <w:hyperlink r:id="rId8" w:history="1">
        <w:r w:rsidRPr="002917F5">
          <w:rPr>
            <w:rStyle w:val="Hyperlink3"/>
            <w:rFonts w:eastAsia="Arial Unicode MS"/>
          </w:rPr>
          <w:t>Too ill to will? Deathbed wills: assessing testamentary capacity near the end of life’ (2016) 45(3)</w:t>
        </w:r>
        <w:r w:rsidRPr="002917F5">
          <w:rPr>
            <w:rStyle w:val="apple-converted-space"/>
            <w:rFonts w:eastAsia="Arial Unicode MS"/>
            <w:shd w:val="clear" w:color="auto" w:fill="FFFFFF"/>
          </w:rPr>
          <w:t> </w:t>
        </w:r>
      </w:hyperlink>
      <w:r w:rsidRPr="002917F5">
        <w:rPr>
          <w:rStyle w:val="apple-converted-space"/>
          <w:rFonts w:eastAsia="Calibri"/>
          <w:i/>
          <w:iCs/>
          <w:shd w:val="clear" w:color="auto" w:fill="FFFFFF"/>
        </w:rPr>
        <w:t>Age and Ageing</w:t>
      </w:r>
      <w:r w:rsidRPr="002917F5">
        <w:rPr>
          <w:rStyle w:val="apple-converted-space"/>
          <w:rFonts w:eastAsia="Arial Unicode MS"/>
          <w:shd w:val="clear" w:color="auto" w:fill="FFFFFF"/>
        </w:rPr>
        <w:t xml:space="preserve"> 334.</w:t>
      </w:r>
    </w:p>
  </w:footnote>
  <w:footnote w:id="21">
    <w:p w:rsidR="00AA79CD" w:rsidRPr="002917F5" w:rsidRDefault="00AA79CD" w:rsidP="00AA79CD">
      <w:pPr>
        <w:pStyle w:val="Body"/>
        <w:spacing w:after="0" w:line="240" w:lineRule="auto"/>
        <w:jc w:val="both"/>
        <w:rPr>
          <w:rFonts w:ascii="Times New Roman" w:hAnsi="Times New Roman" w:cs="Times New Roman"/>
          <w:sz w:val="20"/>
          <w:szCs w:val="20"/>
        </w:rPr>
      </w:pPr>
      <w:r w:rsidRPr="002917F5">
        <w:rPr>
          <w:rStyle w:val="FootnoteReference"/>
          <w:rFonts w:ascii="Times New Roman" w:hAnsi="Times New Roman" w:cs="Times New Roman"/>
          <w:sz w:val="20"/>
          <w:szCs w:val="20"/>
        </w:rPr>
        <w:footnoteRef/>
      </w:r>
      <w:r w:rsidRPr="002917F5">
        <w:rPr>
          <w:rStyle w:val="apple-converted-space"/>
          <w:rFonts w:ascii="Times New Roman" w:hAnsi="Times New Roman" w:cs="Times New Roman"/>
          <w:sz w:val="20"/>
          <w:szCs w:val="20"/>
        </w:rPr>
        <w:t xml:space="preserve"> American Bar Association Commission on Law and Aging/American Psychological Association Assessment of Capacity in Older Adults Project Working Group, </w:t>
      </w:r>
      <w:r w:rsidRPr="002917F5">
        <w:rPr>
          <w:rStyle w:val="apple-converted-space"/>
          <w:rFonts w:ascii="Times New Roman" w:hAnsi="Times New Roman" w:cs="Times New Roman"/>
          <w:i/>
          <w:iCs/>
          <w:sz w:val="20"/>
          <w:szCs w:val="20"/>
        </w:rPr>
        <w:t>Assessment of Older Adults with Diminished Capacity: A Handbook for Lawyers</w:t>
      </w:r>
      <w:r w:rsidRPr="002917F5">
        <w:rPr>
          <w:rStyle w:val="apple-converted-space"/>
          <w:rFonts w:ascii="Times New Roman" w:hAnsi="Times New Roman" w:cs="Times New Roman"/>
          <w:sz w:val="20"/>
          <w:szCs w:val="20"/>
        </w:rPr>
        <w:t xml:space="preserve"> (2005); American Bar Association Commission on Law and Aging/American Psychological Association Assessment of Capacity in Older Adults Project Working Group, </w:t>
      </w:r>
      <w:r w:rsidRPr="002917F5">
        <w:rPr>
          <w:rStyle w:val="apple-converted-space"/>
          <w:rFonts w:ascii="Times New Roman" w:hAnsi="Times New Roman" w:cs="Times New Roman"/>
          <w:i/>
          <w:iCs/>
          <w:sz w:val="20"/>
          <w:szCs w:val="20"/>
        </w:rPr>
        <w:t>Assessment of Older Adults with Diminished Capacity: A Handbook for Psychologists</w:t>
      </w:r>
      <w:r w:rsidRPr="002917F5">
        <w:rPr>
          <w:rStyle w:val="apple-converted-space"/>
          <w:rFonts w:ascii="Times New Roman" w:hAnsi="Times New Roman" w:cs="Times New Roman"/>
          <w:sz w:val="20"/>
          <w:szCs w:val="20"/>
        </w:rPr>
        <w:t xml:space="preserve"> (2008). American Bar Association Commission on Law and Aging, American Psychological Association and National College of Probate Judges, </w:t>
      </w:r>
      <w:r w:rsidRPr="002917F5">
        <w:rPr>
          <w:rStyle w:val="apple-converted-space"/>
          <w:rFonts w:ascii="Times New Roman" w:hAnsi="Times New Roman" w:cs="Times New Roman"/>
          <w:i/>
          <w:iCs/>
          <w:sz w:val="20"/>
          <w:szCs w:val="20"/>
        </w:rPr>
        <w:t xml:space="preserve">Judicial Determination of Capacity of Older Adults in Guardianship Proceedings: A Handbook for Judges </w:t>
      </w:r>
      <w:r w:rsidRPr="002917F5">
        <w:rPr>
          <w:rStyle w:val="apple-converted-space"/>
          <w:rFonts w:ascii="Times New Roman" w:hAnsi="Times New Roman" w:cs="Times New Roman"/>
          <w:sz w:val="20"/>
          <w:szCs w:val="20"/>
        </w:rPr>
        <w:t>(2006).</w:t>
      </w:r>
    </w:p>
  </w:footnote>
  <w:footnote w:id="22">
    <w:p w:rsidR="00AA79CD" w:rsidRPr="002917F5" w:rsidRDefault="00AA79CD" w:rsidP="00AA79CD">
      <w:pPr>
        <w:pStyle w:val="FootnoteText"/>
      </w:pPr>
      <w:r w:rsidRPr="002917F5">
        <w:rPr>
          <w:rStyle w:val="FootnoteReference"/>
        </w:rPr>
        <w:footnoteRef/>
      </w:r>
      <w:r w:rsidRPr="002917F5">
        <w:rPr>
          <w:rFonts w:eastAsia="Arial Unicode MS"/>
        </w:rPr>
        <w:t xml:space="preserve"> British Medical Association and the Law Society, </w:t>
      </w:r>
      <w:r w:rsidRPr="002917F5">
        <w:rPr>
          <w:rStyle w:val="apple-converted-space"/>
          <w:rFonts w:eastAsia="Arial Unicode MS"/>
          <w:i/>
          <w:iCs/>
        </w:rPr>
        <w:t>Assessment of Mental Capacity: Guidance for Doctors and Lawyers</w:t>
      </w:r>
      <w:r w:rsidRPr="002917F5">
        <w:rPr>
          <w:rFonts w:eastAsia="Arial Unicode MS"/>
        </w:rPr>
        <w:t xml:space="preserve"> (Law Society Publishing, 4</w:t>
      </w:r>
      <w:r w:rsidRPr="002917F5">
        <w:rPr>
          <w:rStyle w:val="FootnoteReference"/>
          <w:rFonts w:eastAsia="Arial Unicode MS"/>
        </w:rPr>
        <w:t>th</w:t>
      </w:r>
      <w:r w:rsidRPr="002917F5">
        <w:rPr>
          <w:rFonts w:eastAsia="Arial Unicode MS"/>
        </w:rPr>
        <w:t xml:space="preserve"> </w:t>
      </w:r>
      <w:proofErr w:type="spellStart"/>
      <w:proofErr w:type="gramStart"/>
      <w:r w:rsidRPr="002917F5">
        <w:rPr>
          <w:rFonts w:eastAsia="Arial Unicode MS"/>
        </w:rPr>
        <w:t>ed</w:t>
      </w:r>
      <w:proofErr w:type="spellEnd"/>
      <w:proofErr w:type="gramEnd"/>
      <w:r w:rsidRPr="002917F5">
        <w:rPr>
          <w:rFonts w:eastAsia="Arial Unicode MS"/>
        </w:rPr>
        <w: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A1" w:rsidRDefault="001928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A1" w:rsidRPr="001928A1" w:rsidRDefault="001928A1">
    <w:pPr>
      <w:pStyle w:val="Header"/>
      <w:rPr>
        <w:lang w:val="en-AU"/>
      </w:rPr>
    </w:pPr>
    <w:r>
      <w:rPr>
        <w:lang w:val="en-AU"/>
      </w:rPr>
      <w:t xml:space="preserve">298.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A1" w:rsidRDefault="001928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659B"/>
    <w:multiLevelType w:val="multilevel"/>
    <w:tmpl w:val="85B02606"/>
    <w:lvl w:ilvl="0">
      <w:start w:val="2"/>
      <w:numFmt w:val="decimal"/>
      <w:lvlText w:val="%1."/>
      <w:lvlJc w:val="left"/>
      <w:pPr>
        <w:ind w:left="360" w:hanging="360"/>
      </w:pPr>
      <w:rPr>
        <w:rFonts w:eastAsia="Arial Unicode MS" w:hint="default"/>
      </w:rPr>
    </w:lvl>
    <w:lvl w:ilvl="1">
      <w:start w:val="4"/>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
    <w:nsid w:val="1C616F5D"/>
    <w:multiLevelType w:val="multilevel"/>
    <w:tmpl w:val="053651CA"/>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nsid w:val="29C36947"/>
    <w:multiLevelType w:val="multilevel"/>
    <w:tmpl w:val="1416F954"/>
    <w:lvl w:ilvl="0">
      <w:start w:val="2"/>
      <w:numFmt w:val="decimal"/>
      <w:lvlText w:val="%1"/>
      <w:lvlJc w:val="left"/>
      <w:pPr>
        <w:ind w:left="480" w:hanging="480"/>
      </w:pPr>
      <w:rPr>
        <w:rFonts w:eastAsia="Arial Unicode MS" w:hint="default"/>
      </w:rPr>
    </w:lvl>
    <w:lvl w:ilvl="1">
      <w:start w:val="3"/>
      <w:numFmt w:val="decimal"/>
      <w:lvlText w:val="%1.%2"/>
      <w:lvlJc w:val="left"/>
      <w:pPr>
        <w:ind w:left="480" w:hanging="48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
    <w:nsid w:val="33324F6B"/>
    <w:multiLevelType w:val="hybridMultilevel"/>
    <w:tmpl w:val="F8020E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6542B7"/>
    <w:multiLevelType w:val="multilevel"/>
    <w:tmpl w:val="1416F954"/>
    <w:lvl w:ilvl="0">
      <w:start w:val="2"/>
      <w:numFmt w:val="decimal"/>
      <w:lvlText w:val="%1"/>
      <w:lvlJc w:val="left"/>
      <w:pPr>
        <w:ind w:left="480" w:hanging="480"/>
      </w:pPr>
      <w:rPr>
        <w:rFonts w:eastAsia="Arial Unicode MS" w:hint="default"/>
      </w:rPr>
    </w:lvl>
    <w:lvl w:ilvl="1">
      <w:start w:val="3"/>
      <w:numFmt w:val="decimal"/>
      <w:lvlText w:val="%1.%2"/>
      <w:lvlJc w:val="left"/>
      <w:pPr>
        <w:ind w:left="480" w:hanging="480"/>
      </w:pPr>
      <w:rPr>
        <w:rFonts w:eastAsia="Arial Unicode MS" w:hint="default"/>
      </w:rPr>
    </w:lvl>
    <w:lvl w:ilvl="2">
      <w:start w:val="5"/>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5">
    <w:nsid w:val="355706BE"/>
    <w:multiLevelType w:val="hybridMultilevel"/>
    <w:tmpl w:val="9F04DBAA"/>
    <w:styleLink w:val="ImportedStyle2"/>
    <w:lvl w:ilvl="0" w:tplc="B37C1E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0A9C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CAFAD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E3A78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F032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E894B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56AFF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BA37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1C647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5745B1F"/>
    <w:multiLevelType w:val="multilevel"/>
    <w:tmpl w:val="207A55B0"/>
    <w:lvl w:ilvl="0">
      <w:start w:val="2"/>
      <w:numFmt w:val="decimal"/>
      <w:lvlText w:val="%1"/>
      <w:lvlJc w:val="left"/>
      <w:pPr>
        <w:ind w:left="480" w:hanging="480"/>
      </w:pPr>
      <w:rPr>
        <w:rFonts w:eastAsia="Arial Unicode MS" w:hint="default"/>
      </w:rPr>
    </w:lvl>
    <w:lvl w:ilvl="1">
      <w:start w:val="1"/>
      <w:numFmt w:val="decimal"/>
      <w:lvlText w:val="%1.%2"/>
      <w:lvlJc w:val="left"/>
      <w:pPr>
        <w:ind w:left="480" w:hanging="480"/>
      </w:pPr>
      <w:rPr>
        <w:rFonts w:eastAsia="Arial Unicode MS" w:hint="default"/>
      </w:rPr>
    </w:lvl>
    <w:lvl w:ilvl="2">
      <w:start w:val="2"/>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7">
    <w:nsid w:val="383927E3"/>
    <w:multiLevelType w:val="hybridMultilevel"/>
    <w:tmpl w:val="9F04DBAA"/>
    <w:numStyleLink w:val="ImportedStyle2"/>
  </w:abstractNum>
  <w:abstractNum w:abstractNumId="8">
    <w:nsid w:val="3AD00F47"/>
    <w:multiLevelType w:val="multilevel"/>
    <w:tmpl w:val="1416F954"/>
    <w:lvl w:ilvl="0">
      <w:start w:val="2"/>
      <w:numFmt w:val="decimal"/>
      <w:lvlText w:val="%1"/>
      <w:lvlJc w:val="left"/>
      <w:pPr>
        <w:ind w:left="480" w:hanging="480"/>
      </w:pPr>
      <w:rPr>
        <w:rFonts w:eastAsia="Arial Unicode MS" w:hint="default"/>
      </w:rPr>
    </w:lvl>
    <w:lvl w:ilvl="1">
      <w:start w:val="8"/>
      <w:numFmt w:val="decimal"/>
      <w:lvlText w:val="%1.%2"/>
      <w:lvlJc w:val="left"/>
      <w:pPr>
        <w:ind w:left="480" w:hanging="48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9">
    <w:nsid w:val="44826A02"/>
    <w:multiLevelType w:val="hybridMultilevel"/>
    <w:tmpl w:val="EFFE8198"/>
    <w:lvl w:ilvl="0" w:tplc="85A6CB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0E14FD"/>
    <w:multiLevelType w:val="multilevel"/>
    <w:tmpl w:val="1416F954"/>
    <w:lvl w:ilvl="0">
      <w:start w:val="2"/>
      <w:numFmt w:val="decimal"/>
      <w:lvlText w:val="%1"/>
      <w:lvlJc w:val="left"/>
      <w:pPr>
        <w:ind w:left="480" w:hanging="480"/>
      </w:pPr>
      <w:rPr>
        <w:rFonts w:eastAsia="Arial Unicode MS" w:hint="default"/>
      </w:rPr>
    </w:lvl>
    <w:lvl w:ilvl="1">
      <w:start w:val="7"/>
      <w:numFmt w:val="decimal"/>
      <w:lvlText w:val="%1.%2"/>
      <w:lvlJc w:val="left"/>
      <w:pPr>
        <w:ind w:left="480" w:hanging="480"/>
      </w:pPr>
      <w:rPr>
        <w:rFonts w:eastAsia="Arial Unicode MS" w:hint="default"/>
      </w:rPr>
    </w:lvl>
    <w:lvl w:ilvl="2">
      <w:start w:val="2"/>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1">
    <w:nsid w:val="473A50D0"/>
    <w:multiLevelType w:val="hybridMultilevel"/>
    <w:tmpl w:val="0F9C33F4"/>
    <w:styleLink w:val="ImportedStyle3"/>
    <w:lvl w:ilvl="0" w:tplc="83D2885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AA55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A85B58">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B30318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6CA72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12CBB4">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4365B9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285DE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E2E968">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7115FE1"/>
    <w:multiLevelType w:val="hybridMultilevel"/>
    <w:tmpl w:val="0F9C33F4"/>
    <w:numStyleLink w:val="ImportedStyle3"/>
  </w:abstractNum>
  <w:abstractNum w:abstractNumId="13">
    <w:nsid w:val="5BF2233E"/>
    <w:multiLevelType w:val="hybridMultilevel"/>
    <w:tmpl w:val="0F9C33F4"/>
    <w:lvl w:ilvl="0" w:tplc="ADF8842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AC85E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9AFFF4">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D3CDE7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EA185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48266">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C4C98D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367FA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1C3DD6">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B167D6B"/>
    <w:multiLevelType w:val="multilevel"/>
    <w:tmpl w:val="1416F954"/>
    <w:lvl w:ilvl="0">
      <w:start w:val="2"/>
      <w:numFmt w:val="decimal"/>
      <w:lvlText w:val="%1"/>
      <w:lvlJc w:val="left"/>
      <w:pPr>
        <w:ind w:left="480" w:hanging="480"/>
      </w:pPr>
      <w:rPr>
        <w:rFonts w:eastAsia="Arial Unicode MS" w:hint="default"/>
      </w:rPr>
    </w:lvl>
    <w:lvl w:ilvl="1">
      <w:start w:val="3"/>
      <w:numFmt w:val="decimal"/>
      <w:lvlText w:val="%1.%2"/>
      <w:lvlJc w:val="left"/>
      <w:pPr>
        <w:ind w:left="480" w:hanging="480"/>
      </w:pPr>
      <w:rPr>
        <w:rFonts w:eastAsia="Arial Unicode MS" w:hint="default"/>
      </w:rPr>
    </w:lvl>
    <w:lvl w:ilvl="2">
      <w:start w:val="2"/>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5">
    <w:nsid w:val="6D2F00DB"/>
    <w:multiLevelType w:val="multilevel"/>
    <w:tmpl w:val="1416F954"/>
    <w:lvl w:ilvl="0">
      <w:start w:val="2"/>
      <w:numFmt w:val="decimal"/>
      <w:lvlText w:val="%1"/>
      <w:lvlJc w:val="left"/>
      <w:pPr>
        <w:ind w:left="480" w:hanging="480"/>
      </w:pPr>
      <w:rPr>
        <w:rFonts w:eastAsia="Arial Unicode MS" w:hint="default"/>
      </w:rPr>
    </w:lvl>
    <w:lvl w:ilvl="1">
      <w:start w:val="4"/>
      <w:numFmt w:val="decimal"/>
      <w:lvlText w:val="%1.%2"/>
      <w:lvlJc w:val="left"/>
      <w:pPr>
        <w:ind w:left="480" w:hanging="48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6">
    <w:nsid w:val="6D2F6E09"/>
    <w:multiLevelType w:val="hybridMultilevel"/>
    <w:tmpl w:val="D2685E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E533FCB"/>
    <w:multiLevelType w:val="hybridMultilevel"/>
    <w:tmpl w:val="58FE9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02F1232"/>
    <w:multiLevelType w:val="multilevel"/>
    <w:tmpl w:val="9484186C"/>
    <w:lvl w:ilvl="0">
      <w:start w:val="2"/>
      <w:numFmt w:val="decimal"/>
      <w:lvlText w:val="%1"/>
      <w:lvlJc w:val="left"/>
      <w:pPr>
        <w:ind w:left="480" w:hanging="480"/>
      </w:pPr>
      <w:rPr>
        <w:rFonts w:eastAsia="Arial Unicode MS" w:hint="default"/>
      </w:rPr>
    </w:lvl>
    <w:lvl w:ilvl="1">
      <w:start w:val="2"/>
      <w:numFmt w:val="decimal"/>
      <w:lvlText w:val="%1.%2"/>
      <w:lvlJc w:val="left"/>
      <w:pPr>
        <w:ind w:left="480" w:hanging="48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9">
    <w:nsid w:val="7E717AA0"/>
    <w:multiLevelType w:val="hybridMultilevel"/>
    <w:tmpl w:val="5D6C8B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2"/>
  </w:num>
  <w:num w:numId="5">
    <w:abstractNumId w:val="7"/>
    <w:lvlOverride w:ilvl="0">
      <w:startOverride w:val="5"/>
    </w:lvlOverride>
  </w:num>
  <w:num w:numId="6">
    <w:abstractNumId w:val="16"/>
  </w:num>
  <w:num w:numId="7">
    <w:abstractNumId w:val="17"/>
  </w:num>
  <w:num w:numId="8">
    <w:abstractNumId w:val="3"/>
  </w:num>
  <w:num w:numId="9">
    <w:abstractNumId w:val="9"/>
  </w:num>
  <w:num w:numId="10">
    <w:abstractNumId w:val="1"/>
  </w:num>
  <w:num w:numId="11">
    <w:abstractNumId w:val="6"/>
  </w:num>
  <w:num w:numId="12">
    <w:abstractNumId w:val="18"/>
  </w:num>
  <w:num w:numId="13">
    <w:abstractNumId w:val="14"/>
  </w:num>
  <w:num w:numId="14">
    <w:abstractNumId w:val="2"/>
  </w:num>
  <w:num w:numId="15">
    <w:abstractNumId w:val="13"/>
  </w:num>
  <w:num w:numId="16">
    <w:abstractNumId w:val="4"/>
  </w:num>
  <w:num w:numId="17">
    <w:abstractNumId w:val="0"/>
  </w:num>
  <w:num w:numId="18">
    <w:abstractNumId w:val="15"/>
  </w:num>
  <w:num w:numId="19">
    <w:abstractNumId w:val="10"/>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C7294C"/>
    <w:rsid w:val="00003418"/>
    <w:rsid w:val="00003BBF"/>
    <w:rsid w:val="00006103"/>
    <w:rsid w:val="000061EA"/>
    <w:rsid w:val="00006596"/>
    <w:rsid w:val="00011E65"/>
    <w:rsid w:val="00011F5D"/>
    <w:rsid w:val="000138E2"/>
    <w:rsid w:val="00015AC2"/>
    <w:rsid w:val="00016C47"/>
    <w:rsid w:val="00017455"/>
    <w:rsid w:val="0002300B"/>
    <w:rsid w:val="0002332C"/>
    <w:rsid w:val="0002489F"/>
    <w:rsid w:val="000266A1"/>
    <w:rsid w:val="00035B10"/>
    <w:rsid w:val="00040DBB"/>
    <w:rsid w:val="00043EBC"/>
    <w:rsid w:val="000441BD"/>
    <w:rsid w:val="0004662A"/>
    <w:rsid w:val="000468E2"/>
    <w:rsid w:val="0005021D"/>
    <w:rsid w:val="00052946"/>
    <w:rsid w:val="00053C1F"/>
    <w:rsid w:val="000606E7"/>
    <w:rsid w:val="000610A6"/>
    <w:rsid w:val="000613E6"/>
    <w:rsid w:val="00061ACC"/>
    <w:rsid w:val="00061CFE"/>
    <w:rsid w:val="00062B08"/>
    <w:rsid w:val="00062B56"/>
    <w:rsid w:val="00066219"/>
    <w:rsid w:val="000663DC"/>
    <w:rsid w:val="000674D0"/>
    <w:rsid w:val="00071734"/>
    <w:rsid w:val="00082810"/>
    <w:rsid w:val="000914AA"/>
    <w:rsid w:val="00092E58"/>
    <w:rsid w:val="00093DB1"/>
    <w:rsid w:val="000949BD"/>
    <w:rsid w:val="00094B33"/>
    <w:rsid w:val="000969E9"/>
    <w:rsid w:val="000B0726"/>
    <w:rsid w:val="000B07A6"/>
    <w:rsid w:val="000D0F07"/>
    <w:rsid w:val="000D1D64"/>
    <w:rsid w:val="000D3CF6"/>
    <w:rsid w:val="000D40D5"/>
    <w:rsid w:val="000D6994"/>
    <w:rsid w:val="000E126D"/>
    <w:rsid w:val="000E2E62"/>
    <w:rsid w:val="000E2F4E"/>
    <w:rsid w:val="000E3929"/>
    <w:rsid w:val="000F2BDD"/>
    <w:rsid w:val="000F4E0A"/>
    <w:rsid w:val="000F57C8"/>
    <w:rsid w:val="001016AA"/>
    <w:rsid w:val="00104402"/>
    <w:rsid w:val="00104DCA"/>
    <w:rsid w:val="001111CA"/>
    <w:rsid w:val="00113108"/>
    <w:rsid w:val="0011328C"/>
    <w:rsid w:val="0011505A"/>
    <w:rsid w:val="00116C13"/>
    <w:rsid w:val="001173DD"/>
    <w:rsid w:val="00117775"/>
    <w:rsid w:val="001225FC"/>
    <w:rsid w:val="00123B62"/>
    <w:rsid w:val="00131A4C"/>
    <w:rsid w:val="0013334E"/>
    <w:rsid w:val="00133C83"/>
    <w:rsid w:val="00134E8D"/>
    <w:rsid w:val="001377AF"/>
    <w:rsid w:val="00140B4F"/>
    <w:rsid w:val="001422E3"/>
    <w:rsid w:val="00143CC4"/>
    <w:rsid w:val="001467B7"/>
    <w:rsid w:val="00147929"/>
    <w:rsid w:val="0015372F"/>
    <w:rsid w:val="00156391"/>
    <w:rsid w:val="0015655F"/>
    <w:rsid w:val="00156D9C"/>
    <w:rsid w:val="001570AD"/>
    <w:rsid w:val="00161970"/>
    <w:rsid w:val="001666C6"/>
    <w:rsid w:val="0016710C"/>
    <w:rsid w:val="0016766D"/>
    <w:rsid w:val="0017182A"/>
    <w:rsid w:val="001740B3"/>
    <w:rsid w:val="00177085"/>
    <w:rsid w:val="00177DDF"/>
    <w:rsid w:val="00184C73"/>
    <w:rsid w:val="0018787D"/>
    <w:rsid w:val="0019038E"/>
    <w:rsid w:val="001928A1"/>
    <w:rsid w:val="00196B99"/>
    <w:rsid w:val="001A1F73"/>
    <w:rsid w:val="001A44A1"/>
    <w:rsid w:val="001A645B"/>
    <w:rsid w:val="001A6F0E"/>
    <w:rsid w:val="001A78D8"/>
    <w:rsid w:val="001B2A86"/>
    <w:rsid w:val="001B5322"/>
    <w:rsid w:val="001C0F64"/>
    <w:rsid w:val="001C38D7"/>
    <w:rsid w:val="001C4F3D"/>
    <w:rsid w:val="001C652D"/>
    <w:rsid w:val="001D16FF"/>
    <w:rsid w:val="001D2076"/>
    <w:rsid w:val="001D22B0"/>
    <w:rsid w:val="001E4418"/>
    <w:rsid w:val="001E5A80"/>
    <w:rsid w:val="001E64F5"/>
    <w:rsid w:val="001F0F26"/>
    <w:rsid w:val="001F1C6D"/>
    <w:rsid w:val="001F6B67"/>
    <w:rsid w:val="001F6FAD"/>
    <w:rsid w:val="00200EE9"/>
    <w:rsid w:val="002011F4"/>
    <w:rsid w:val="00203B34"/>
    <w:rsid w:val="00206E44"/>
    <w:rsid w:val="00214C21"/>
    <w:rsid w:val="00220452"/>
    <w:rsid w:val="00222014"/>
    <w:rsid w:val="002243D8"/>
    <w:rsid w:val="002244AE"/>
    <w:rsid w:val="00226B79"/>
    <w:rsid w:val="00232795"/>
    <w:rsid w:val="002424CC"/>
    <w:rsid w:val="00244F9E"/>
    <w:rsid w:val="00252E18"/>
    <w:rsid w:val="00253E49"/>
    <w:rsid w:val="00255C2F"/>
    <w:rsid w:val="0025749D"/>
    <w:rsid w:val="0026298B"/>
    <w:rsid w:val="00263D66"/>
    <w:rsid w:val="00263EED"/>
    <w:rsid w:val="002710D2"/>
    <w:rsid w:val="00271545"/>
    <w:rsid w:val="00272EE9"/>
    <w:rsid w:val="002800D9"/>
    <w:rsid w:val="002801BA"/>
    <w:rsid w:val="002827DA"/>
    <w:rsid w:val="002836AB"/>
    <w:rsid w:val="0028479B"/>
    <w:rsid w:val="002860FB"/>
    <w:rsid w:val="00286ED5"/>
    <w:rsid w:val="002917F5"/>
    <w:rsid w:val="002947BD"/>
    <w:rsid w:val="00295935"/>
    <w:rsid w:val="002967D9"/>
    <w:rsid w:val="0029746B"/>
    <w:rsid w:val="002A1F04"/>
    <w:rsid w:val="002A6B6F"/>
    <w:rsid w:val="002A7352"/>
    <w:rsid w:val="002B0B55"/>
    <w:rsid w:val="002B2206"/>
    <w:rsid w:val="002B6661"/>
    <w:rsid w:val="002B6A59"/>
    <w:rsid w:val="002B748E"/>
    <w:rsid w:val="002C1644"/>
    <w:rsid w:val="002C4704"/>
    <w:rsid w:val="002C6BE4"/>
    <w:rsid w:val="002C6D85"/>
    <w:rsid w:val="002D2597"/>
    <w:rsid w:val="002D3213"/>
    <w:rsid w:val="002D4E59"/>
    <w:rsid w:val="002D598E"/>
    <w:rsid w:val="002D5E18"/>
    <w:rsid w:val="002E23F5"/>
    <w:rsid w:val="002E5A7E"/>
    <w:rsid w:val="002E679B"/>
    <w:rsid w:val="002E6F21"/>
    <w:rsid w:val="002E7CDD"/>
    <w:rsid w:val="002F232E"/>
    <w:rsid w:val="002F3ACA"/>
    <w:rsid w:val="003005F7"/>
    <w:rsid w:val="00301255"/>
    <w:rsid w:val="003034CD"/>
    <w:rsid w:val="00304B5E"/>
    <w:rsid w:val="0030570A"/>
    <w:rsid w:val="00305B10"/>
    <w:rsid w:val="00326FF8"/>
    <w:rsid w:val="003317A0"/>
    <w:rsid w:val="00333DA0"/>
    <w:rsid w:val="00333F94"/>
    <w:rsid w:val="00334451"/>
    <w:rsid w:val="00341F4D"/>
    <w:rsid w:val="00346154"/>
    <w:rsid w:val="003519CB"/>
    <w:rsid w:val="0035620B"/>
    <w:rsid w:val="003610A4"/>
    <w:rsid w:val="00361779"/>
    <w:rsid w:val="00366655"/>
    <w:rsid w:val="003709F1"/>
    <w:rsid w:val="00371C8A"/>
    <w:rsid w:val="003756FF"/>
    <w:rsid w:val="00382095"/>
    <w:rsid w:val="00382E23"/>
    <w:rsid w:val="00391666"/>
    <w:rsid w:val="003934C5"/>
    <w:rsid w:val="0039422F"/>
    <w:rsid w:val="003958B1"/>
    <w:rsid w:val="00395BD4"/>
    <w:rsid w:val="0039738A"/>
    <w:rsid w:val="003A2FEA"/>
    <w:rsid w:val="003A33AD"/>
    <w:rsid w:val="003A3835"/>
    <w:rsid w:val="003B2301"/>
    <w:rsid w:val="003B37D8"/>
    <w:rsid w:val="003B3B9F"/>
    <w:rsid w:val="003B7DCB"/>
    <w:rsid w:val="003C0CD2"/>
    <w:rsid w:val="003C2BD7"/>
    <w:rsid w:val="003C5661"/>
    <w:rsid w:val="003C67E6"/>
    <w:rsid w:val="003D134D"/>
    <w:rsid w:val="003D17FB"/>
    <w:rsid w:val="003D550B"/>
    <w:rsid w:val="003D5770"/>
    <w:rsid w:val="003D5C89"/>
    <w:rsid w:val="003D7C3F"/>
    <w:rsid w:val="003D7E2C"/>
    <w:rsid w:val="003E4336"/>
    <w:rsid w:val="003E64FF"/>
    <w:rsid w:val="003E65F1"/>
    <w:rsid w:val="003F2E18"/>
    <w:rsid w:val="004007E2"/>
    <w:rsid w:val="00402739"/>
    <w:rsid w:val="0040754A"/>
    <w:rsid w:val="00407D1E"/>
    <w:rsid w:val="0041450F"/>
    <w:rsid w:val="00422C96"/>
    <w:rsid w:val="00424273"/>
    <w:rsid w:val="004245DA"/>
    <w:rsid w:val="004252BE"/>
    <w:rsid w:val="004264C9"/>
    <w:rsid w:val="00426BEF"/>
    <w:rsid w:val="00434D3E"/>
    <w:rsid w:val="00435E4C"/>
    <w:rsid w:val="00436A3E"/>
    <w:rsid w:val="00436F5B"/>
    <w:rsid w:val="004371DB"/>
    <w:rsid w:val="00440F52"/>
    <w:rsid w:val="00451719"/>
    <w:rsid w:val="00451D25"/>
    <w:rsid w:val="00453ECD"/>
    <w:rsid w:val="004552B0"/>
    <w:rsid w:val="00455921"/>
    <w:rsid w:val="004616F2"/>
    <w:rsid w:val="004616F7"/>
    <w:rsid w:val="0046466B"/>
    <w:rsid w:val="00470580"/>
    <w:rsid w:val="00470EFD"/>
    <w:rsid w:val="00473708"/>
    <w:rsid w:val="00481239"/>
    <w:rsid w:val="004860F1"/>
    <w:rsid w:val="00490A6D"/>
    <w:rsid w:val="00496C1E"/>
    <w:rsid w:val="004974CA"/>
    <w:rsid w:val="00497731"/>
    <w:rsid w:val="004A2F8A"/>
    <w:rsid w:val="004A6FC5"/>
    <w:rsid w:val="004B1797"/>
    <w:rsid w:val="004B3272"/>
    <w:rsid w:val="004B43E2"/>
    <w:rsid w:val="004C17D9"/>
    <w:rsid w:val="004C2291"/>
    <w:rsid w:val="004C25FB"/>
    <w:rsid w:val="004C64BD"/>
    <w:rsid w:val="004D0664"/>
    <w:rsid w:val="004D4181"/>
    <w:rsid w:val="004D4A3C"/>
    <w:rsid w:val="004D5837"/>
    <w:rsid w:val="004D6D9C"/>
    <w:rsid w:val="004E3A12"/>
    <w:rsid w:val="004E4B0D"/>
    <w:rsid w:val="004E5551"/>
    <w:rsid w:val="004E6C39"/>
    <w:rsid w:val="004F0B60"/>
    <w:rsid w:val="004F261A"/>
    <w:rsid w:val="004F539B"/>
    <w:rsid w:val="004F65EF"/>
    <w:rsid w:val="00503596"/>
    <w:rsid w:val="00503999"/>
    <w:rsid w:val="005113E0"/>
    <w:rsid w:val="005136F4"/>
    <w:rsid w:val="00522F9E"/>
    <w:rsid w:val="00524E05"/>
    <w:rsid w:val="0052593E"/>
    <w:rsid w:val="00525A53"/>
    <w:rsid w:val="005309CF"/>
    <w:rsid w:val="00535284"/>
    <w:rsid w:val="00535775"/>
    <w:rsid w:val="00544388"/>
    <w:rsid w:val="005452C2"/>
    <w:rsid w:val="0055011D"/>
    <w:rsid w:val="00551C96"/>
    <w:rsid w:val="00553A96"/>
    <w:rsid w:val="005558BA"/>
    <w:rsid w:val="00556A21"/>
    <w:rsid w:val="0056222A"/>
    <w:rsid w:val="0056380A"/>
    <w:rsid w:val="0056552F"/>
    <w:rsid w:val="00565DB4"/>
    <w:rsid w:val="00567412"/>
    <w:rsid w:val="00570BDC"/>
    <w:rsid w:val="00573A7D"/>
    <w:rsid w:val="005742C7"/>
    <w:rsid w:val="0057486E"/>
    <w:rsid w:val="00580C7F"/>
    <w:rsid w:val="005822C9"/>
    <w:rsid w:val="00582341"/>
    <w:rsid w:val="00582B1C"/>
    <w:rsid w:val="005908A7"/>
    <w:rsid w:val="005935CE"/>
    <w:rsid w:val="0059386B"/>
    <w:rsid w:val="00593C0C"/>
    <w:rsid w:val="005979E4"/>
    <w:rsid w:val="00597B68"/>
    <w:rsid w:val="005A06A8"/>
    <w:rsid w:val="005A6E9A"/>
    <w:rsid w:val="005A73A8"/>
    <w:rsid w:val="005B1AA2"/>
    <w:rsid w:val="005B3763"/>
    <w:rsid w:val="005B4CEA"/>
    <w:rsid w:val="005C200C"/>
    <w:rsid w:val="005D0647"/>
    <w:rsid w:val="005D0910"/>
    <w:rsid w:val="005D34E1"/>
    <w:rsid w:val="005D49E2"/>
    <w:rsid w:val="005D4CD0"/>
    <w:rsid w:val="005D599B"/>
    <w:rsid w:val="005D6CC1"/>
    <w:rsid w:val="005D7A0B"/>
    <w:rsid w:val="005E1F04"/>
    <w:rsid w:val="005E78F5"/>
    <w:rsid w:val="00603236"/>
    <w:rsid w:val="0060604A"/>
    <w:rsid w:val="006127BA"/>
    <w:rsid w:val="006157B9"/>
    <w:rsid w:val="0062359C"/>
    <w:rsid w:val="0062379D"/>
    <w:rsid w:val="006243FB"/>
    <w:rsid w:val="00625741"/>
    <w:rsid w:val="00631310"/>
    <w:rsid w:val="00635A8B"/>
    <w:rsid w:val="006372FE"/>
    <w:rsid w:val="0064073B"/>
    <w:rsid w:val="006469BD"/>
    <w:rsid w:val="006475FC"/>
    <w:rsid w:val="0065121B"/>
    <w:rsid w:val="0065170B"/>
    <w:rsid w:val="006529A0"/>
    <w:rsid w:val="0065781C"/>
    <w:rsid w:val="00660935"/>
    <w:rsid w:val="00661283"/>
    <w:rsid w:val="00663879"/>
    <w:rsid w:val="00670551"/>
    <w:rsid w:val="00682653"/>
    <w:rsid w:val="00682E76"/>
    <w:rsid w:val="0068350B"/>
    <w:rsid w:val="00690475"/>
    <w:rsid w:val="00692228"/>
    <w:rsid w:val="00696202"/>
    <w:rsid w:val="006A46AC"/>
    <w:rsid w:val="006A5491"/>
    <w:rsid w:val="006B0625"/>
    <w:rsid w:val="006B0649"/>
    <w:rsid w:val="006B2CDD"/>
    <w:rsid w:val="006C7452"/>
    <w:rsid w:val="006D666E"/>
    <w:rsid w:val="006E0134"/>
    <w:rsid w:val="006E2A13"/>
    <w:rsid w:val="006E3991"/>
    <w:rsid w:val="006E3C6F"/>
    <w:rsid w:val="006E4F2C"/>
    <w:rsid w:val="006F3192"/>
    <w:rsid w:val="006F5E9E"/>
    <w:rsid w:val="006F736D"/>
    <w:rsid w:val="00704BA7"/>
    <w:rsid w:val="00705C5D"/>
    <w:rsid w:val="007100DF"/>
    <w:rsid w:val="007177EB"/>
    <w:rsid w:val="007219E8"/>
    <w:rsid w:val="0072236C"/>
    <w:rsid w:val="00723CC1"/>
    <w:rsid w:val="00724BA1"/>
    <w:rsid w:val="00733D04"/>
    <w:rsid w:val="00734F55"/>
    <w:rsid w:val="007409EF"/>
    <w:rsid w:val="00740C8A"/>
    <w:rsid w:val="007411FF"/>
    <w:rsid w:val="0074220B"/>
    <w:rsid w:val="00743729"/>
    <w:rsid w:val="00746D39"/>
    <w:rsid w:val="00746D88"/>
    <w:rsid w:val="00747CBA"/>
    <w:rsid w:val="00752037"/>
    <w:rsid w:val="00755CEA"/>
    <w:rsid w:val="00756D5F"/>
    <w:rsid w:val="00757585"/>
    <w:rsid w:val="007677CC"/>
    <w:rsid w:val="0077119C"/>
    <w:rsid w:val="00772011"/>
    <w:rsid w:val="00777538"/>
    <w:rsid w:val="00777ABA"/>
    <w:rsid w:val="00782043"/>
    <w:rsid w:val="0078231C"/>
    <w:rsid w:val="00783AD6"/>
    <w:rsid w:val="00790C3B"/>
    <w:rsid w:val="00792CDC"/>
    <w:rsid w:val="00796340"/>
    <w:rsid w:val="00796644"/>
    <w:rsid w:val="00796A12"/>
    <w:rsid w:val="007A2958"/>
    <w:rsid w:val="007A3805"/>
    <w:rsid w:val="007A614C"/>
    <w:rsid w:val="007A6813"/>
    <w:rsid w:val="007B0E6E"/>
    <w:rsid w:val="007B24DB"/>
    <w:rsid w:val="007B385C"/>
    <w:rsid w:val="007B38D8"/>
    <w:rsid w:val="007C0B49"/>
    <w:rsid w:val="007C0F3E"/>
    <w:rsid w:val="007C24A0"/>
    <w:rsid w:val="007C7B21"/>
    <w:rsid w:val="007D42B2"/>
    <w:rsid w:val="007D5456"/>
    <w:rsid w:val="007D62B1"/>
    <w:rsid w:val="007D6A9E"/>
    <w:rsid w:val="007E0E69"/>
    <w:rsid w:val="007E1442"/>
    <w:rsid w:val="007E1B0C"/>
    <w:rsid w:val="007F04EE"/>
    <w:rsid w:val="007F0E8A"/>
    <w:rsid w:val="007F286B"/>
    <w:rsid w:val="007F2AF6"/>
    <w:rsid w:val="00804FAE"/>
    <w:rsid w:val="008055AF"/>
    <w:rsid w:val="008062D8"/>
    <w:rsid w:val="00812324"/>
    <w:rsid w:val="008214D2"/>
    <w:rsid w:val="008269B8"/>
    <w:rsid w:val="008315E8"/>
    <w:rsid w:val="00833959"/>
    <w:rsid w:val="008356A5"/>
    <w:rsid w:val="008376D8"/>
    <w:rsid w:val="00840ED4"/>
    <w:rsid w:val="00841746"/>
    <w:rsid w:val="008436D6"/>
    <w:rsid w:val="008501AD"/>
    <w:rsid w:val="00851303"/>
    <w:rsid w:val="008560E5"/>
    <w:rsid w:val="00864366"/>
    <w:rsid w:val="008648CD"/>
    <w:rsid w:val="00875743"/>
    <w:rsid w:val="00875EAE"/>
    <w:rsid w:val="00884886"/>
    <w:rsid w:val="00885195"/>
    <w:rsid w:val="008929E5"/>
    <w:rsid w:val="00894F55"/>
    <w:rsid w:val="00896A23"/>
    <w:rsid w:val="0089797C"/>
    <w:rsid w:val="008A0CC3"/>
    <w:rsid w:val="008A271D"/>
    <w:rsid w:val="008A5B8C"/>
    <w:rsid w:val="008A5B99"/>
    <w:rsid w:val="008A744B"/>
    <w:rsid w:val="008B387B"/>
    <w:rsid w:val="008B7E1D"/>
    <w:rsid w:val="008C0579"/>
    <w:rsid w:val="008C0D33"/>
    <w:rsid w:val="008C128E"/>
    <w:rsid w:val="008C195F"/>
    <w:rsid w:val="008C267D"/>
    <w:rsid w:val="008D0A8E"/>
    <w:rsid w:val="008D1C6B"/>
    <w:rsid w:val="008D1CFA"/>
    <w:rsid w:val="008D4C7D"/>
    <w:rsid w:val="008E2E26"/>
    <w:rsid w:val="008E386C"/>
    <w:rsid w:val="008E3B95"/>
    <w:rsid w:val="008E5E7E"/>
    <w:rsid w:val="008F09D6"/>
    <w:rsid w:val="008F2010"/>
    <w:rsid w:val="008F23CD"/>
    <w:rsid w:val="009005BC"/>
    <w:rsid w:val="00902E22"/>
    <w:rsid w:val="00903907"/>
    <w:rsid w:val="00904708"/>
    <w:rsid w:val="00904E6F"/>
    <w:rsid w:val="009113AC"/>
    <w:rsid w:val="00913A7F"/>
    <w:rsid w:val="00916D30"/>
    <w:rsid w:val="00932F02"/>
    <w:rsid w:val="009337C6"/>
    <w:rsid w:val="009369FD"/>
    <w:rsid w:val="009378B6"/>
    <w:rsid w:val="0094153A"/>
    <w:rsid w:val="00942B05"/>
    <w:rsid w:val="00946335"/>
    <w:rsid w:val="0094645C"/>
    <w:rsid w:val="0095228B"/>
    <w:rsid w:val="009570C5"/>
    <w:rsid w:val="009605BF"/>
    <w:rsid w:val="0096116A"/>
    <w:rsid w:val="009615E8"/>
    <w:rsid w:val="009666E5"/>
    <w:rsid w:val="009676CF"/>
    <w:rsid w:val="00967F5F"/>
    <w:rsid w:val="0097477F"/>
    <w:rsid w:val="009774E7"/>
    <w:rsid w:val="00982691"/>
    <w:rsid w:val="00984665"/>
    <w:rsid w:val="00985927"/>
    <w:rsid w:val="009874C8"/>
    <w:rsid w:val="009926FB"/>
    <w:rsid w:val="00994C57"/>
    <w:rsid w:val="00995AFF"/>
    <w:rsid w:val="00997A20"/>
    <w:rsid w:val="009A106B"/>
    <w:rsid w:val="009A64E8"/>
    <w:rsid w:val="009B04DB"/>
    <w:rsid w:val="009B2017"/>
    <w:rsid w:val="009B2618"/>
    <w:rsid w:val="009B436C"/>
    <w:rsid w:val="009B6B8D"/>
    <w:rsid w:val="009B73BF"/>
    <w:rsid w:val="009C0926"/>
    <w:rsid w:val="009C47C7"/>
    <w:rsid w:val="009C6A5E"/>
    <w:rsid w:val="009C70F2"/>
    <w:rsid w:val="009D0A77"/>
    <w:rsid w:val="009D254A"/>
    <w:rsid w:val="009D2F4B"/>
    <w:rsid w:val="009D5A03"/>
    <w:rsid w:val="009D6205"/>
    <w:rsid w:val="009E0EA5"/>
    <w:rsid w:val="009E3076"/>
    <w:rsid w:val="009F0061"/>
    <w:rsid w:val="009F0306"/>
    <w:rsid w:val="009F310F"/>
    <w:rsid w:val="009F409A"/>
    <w:rsid w:val="009F4FAF"/>
    <w:rsid w:val="00A00DAA"/>
    <w:rsid w:val="00A03A0F"/>
    <w:rsid w:val="00A040B9"/>
    <w:rsid w:val="00A04CBA"/>
    <w:rsid w:val="00A06FE2"/>
    <w:rsid w:val="00A11E12"/>
    <w:rsid w:val="00A12F07"/>
    <w:rsid w:val="00A2006F"/>
    <w:rsid w:val="00A21F21"/>
    <w:rsid w:val="00A256AF"/>
    <w:rsid w:val="00A26FCB"/>
    <w:rsid w:val="00A27D70"/>
    <w:rsid w:val="00A31318"/>
    <w:rsid w:val="00A32B28"/>
    <w:rsid w:val="00A34664"/>
    <w:rsid w:val="00A346FF"/>
    <w:rsid w:val="00A34AA0"/>
    <w:rsid w:val="00A34C8E"/>
    <w:rsid w:val="00A35FD2"/>
    <w:rsid w:val="00A47E25"/>
    <w:rsid w:val="00A549E6"/>
    <w:rsid w:val="00A5682C"/>
    <w:rsid w:val="00A57087"/>
    <w:rsid w:val="00A60242"/>
    <w:rsid w:val="00A61D0E"/>
    <w:rsid w:val="00A647BE"/>
    <w:rsid w:val="00A67660"/>
    <w:rsid w:val="00A67753"/>
    <w:rsid w:val="00A729EA"/>
    <w:rsid w:val="00A72F3A"/>
    <w:rsid w:val="00A75059"/>
    <w:rsid w:val="00A75171"/>
    <w:rsid w:val="00A75531"/>
    <w:rsid w:val="00A760CC"/>
    <w:rsid w:val="00A76D15"/>
    <w:rsid w:val="00A81F33"/>
    <w:rsid w:val="00A85478"/>
    <w:rsid w:val="00A87497"/>
    <w:rsid w:val="00A9222F"/>
    <w:rsid w:val="00A9288C"/>
    <w:rsid w:val="00A94874"/>
    <w:rsid w:val="00A960C8"/>
    <w:rsid w:val="00A96BA5"/>
    <w:rsid w:val="00AA166B"/>
    <w:rsid w:val="00AA79CD"/>
    <w:rsid w:val="00AB2149"/>
    <w:rsid w:val="00AB59BA"/>
    <w:rsid w:val="00AC1DD7"/>
    <w:rsid w:val="00AC200A"/>
    <w:rsid w:val="00AC7C6B"/>
    <w:rsid w:val="00AD07CB"/>
    <w:rsid w:val="00AD0B56"/>
    <w:rsid w:val="00AD22CD"/>
    <w:rsid w:val="00AE07E9"/>
    <w:rsid w:val="00AE08A6"/>
    <w:rsid w:val="00AE4953"/>
    <w:rsid w:val="00AE514D"/>
    <w:rsid w:val="00AF3D68"/>
    <w:rsid w:val="00AF3DFD"/>
    <w:rsid w:val="00B01185"/>
    <w:rsid w:val="00B03E4A"/>
    <w:rsid w:val="00B104A3"/>
    <w:rsid w:val="00B10AC6"/>
    <w:rsid w:val="00B1439C"/>
    <w:rsid w:val="00B17608"/>
    <w:rsid w:val="00B17C00"/>
    <w:rsid w:val="00B22912"/>
    <w:rsid w:val="00B2361D"/>
    <w:rsid w:val="00B23E0F"/>
    <w:rsid w:val="00B247BF"/>
    <w:rsid w:val="00B25CBD"/>
    <w:rsid w:val="00B41E5D"/>
    <w:rsid w:val="00B46120"/>
    <w:rsid w:val="00B52A69"/>
    <w:rsid w:val="00B535D8"/>
    <w:rsid w:val="00B60F2E"/>
    <w:rsid w:val="00B62220"/>
    <w:rsid w:val="00B629AD"/>
    <w:rsid w:val="00B705FC"/>
    <w:rsid w:val="00B81EC1"/>
    <w:rsid w:val="00B83322"/>
    <w:rsid w:val="00B839FE"/>
    <w:rsid w:val="00B845E2"/>
    <w:rsid w:val="00B86647"/>
    <w:rsid w:val="00B934B7"/>
    <w:rsid w:val="00B94858"/>
    <w:rsid w:val="00BA113B"/>
    <w:rsid w:val="00BA1343"/>
    <w:rsid w:val="00BA3F68"/>
    <w:rsid w:val="00BA54A0"/>
    <w:rsid w:val="00BA68E7"/>
    <w:rsid w:val="00BB376F"/>
    <w:rsid w:val="00BC0108"/>
    <w:rsid w:val="00BC6726"/>
    <w:rsid w:val="00BD0925"/>
    <w:rsid w:val="00BE39C3"/>
    <w:rsid w:val="00BE3D76"/>
    <w:rsid w:val="00BF11AE"/>
    <w:rsid w:val="00BF40E0"/>
    <w:rsid w:val="00BF4CF0"/>
    <w:rsid w:val="00BF5665"/>
    <w:rsid w:val="00BF60FD"/>
    <w:rsid w:val="00BF6DB2"/>
    <w:rsid w:val="00BF783B"/>
    <w:rsid w:val="00C02D64"/>
    <w:rsid w:val="00C03C6E"/>
    <w:rsid w:val="00C06D90"/>
    <w:rsid w:val="00C120AB"/>
    <w:rsid w:val="00C1365C"/>
    <w:rsid w:val="00C15252"/>
    <w:rsid w:val="00C16C2B"/>
    <w:rsid w:val="00C204B6"/>
    <w:rsid w:val="00C210B5"/>
    <w:rsid w:val="00C21EBE"/>
    <w:rsid w:val="00C22E92"/>
    <w:rsid w:val="00C23163"/>
    <w:rsid w:val="00C2572A"/>
    <w:rsid w:val="00C26582"/>
    <w:rsid w:val="00C32AB2"/>
    <w:rsid w:val="00C3581C"/>
    <w:rsid w:val="00C41142"/>
    <w:rsid w:val="00C42F98"/>
    <w:rsid w:val="00C516C5"/>
    <w:rsid w:val="00C546F9"/>
    <w:rsid w:val="00C54D71"/>
    <w:rsid w:val="00C6378F"/>
    <w:rsid w:val="00C647F8"/>
    <w:rsid w:val="00C66246"/>
    <w:rsid w:val="00C70E1A"/>
    <w:rsid w:val="00C71711"/>
    <w:rsid w:val="00C7294C"/>
    <w:rsid w:val="00C81526"/>
    <w:rsid w:val="00C82115"/>
    <w:rsid w:val="00C847A1"/>
    <w:rsid w:val="00C8657F"/>
    <w:rsid w:val="00C867CE"/>
    <w:rsid w:val="00C86DAD"/>
    <w:rsid w:val="00C87459"/>
    <w:rsid w:val="00C90EA4"/>
    <w:rsid w:val="00C924C1"/>
    <w:rsid w:val="00CA06BA"/>
    <w:rsid w:val="00CA1902"/>
    <w:rsid w:val="00CA6575"/>
    <w:rsid w:val="00CB1B92"/>
    <w:rsid w:val="00CB1F01"/>
    <w:rsid w:val="00CB599A"/>
    <w:rsid w:val="00CB5A80"/>
    <w:rsid w:val="00CC017D"/>
    <w:rsid w:val="00CC20C4"/>
    <w:rsid w:val="00CC5207"/>
    <w:rsid w:val="00CC541C"/>
    <w:rsid w:val="00CC5429"/>
    <w:rsid w:val="00CC5943"/>
    <w:rsid w:val="00CD08ED"/>
    <w:rsid w:val="00CD1E43"/>
    <w:rsid w:val="00CD5171"/>
    <w:rsid w:val="00CD64BC"/>
    <w:rsid w:val="00CD6C79"/>
    <w:rsid w:val="00CE6596"/>
    <w:rsid w:val="00CF07B5"/>
    <w:rsid w:val="00CF309B"/>
    <w:rsid w:val="00CF412C"/>
    <w:rsid w:val="00CF4DAD"/>
    <w:rsid w:val="00D03570"/>
    <w:rsid w:val="00D05AA9"/>
    <w:rsid w:val="00D06994"/>
    <w:rsid w:val="00D069CE"/>
    <w:rsid w:val="00D11BE3"/>
    <w:rsid w:val="00D16428"/>
    <w:rsid w:val="00D213C5"/>
    <w:rsid w:val="00D21801"/>
    <w:rsid w:val="00D2691D"/>
    <w:rsid w:val="00D277E5"/>
    <w:rsid w:val="00D3154A"/>
    <w:rsid w:val="00D31EEF"/>
    <w:rsid w:val="00D366D0"/>
    <w:rsid w:val="00D37996"/>
    <w:rsid w:val="00D46EDC"/>
    <w:rsid w:val="00D528D6"/>
    <w:rsid w:val="00D544F8"/>
    <w:rsid w:val="00D54FF9"/>
    <w:rsid w:val="00D56121"/>
    <w:rsid w:val="00D635C7"/>
    <w:rsid w:val="00D646A9"/>
    <w:rsid w:val="00D65D67"/>
    <w:rsid w:val="00D66A1B"/>
    <w:rsid w:val="00D7305F"/>
    <w:rsid w:val="00D74839"/>
    <w:rsid w:val="00D7640E"/>
    <w:rsid w:val="00D85C52"/>
    <w:rsid w:val="00D86871"/>
    <w:rsid w:val="00D93633"/>
    <w:rsid w:val="00D94CEC"/>
    <w:rsid w:val="00D96A3A"/>
    <w:rsid w:val="00D9780D"/>
    <w:rsid w:val="00DA1FBE"/>
    <w:rsid w:val="00DA4A84"/>
    <w:rsid w:val="00DA5E1D"/>
    <w:rsid w:val="00DA69D0"/>
    <w:rsid w:val="00DA765F"/>
    <w:rsid w:val="00DB4795"/>
    <w:rsid w:val="00DB638C"/>
    <w:rsid w:val="00DB63A3"/>
    <w:rsid w:val="00DB6A59"/>
    <w:rsid w:val="00DC0E53"/>
    <w:rsid w:val="00DC3469"/>
    <w:rsid w:val="00DC5044"/>
    <w:rsid w:val="00DC72B0"/>
    <w:rsid w:val="00DD24E0"/>
    <w:rsid w:val="00DD42A0"/>
    <w:rsid w:val="00DD7855"/>
    <w:rsid w:val="00DF05AA"/>
    <w:rsid w:val="00DF3E6E"/>
    <w:rsid w:val="00E00111"/>
    <w:rsid w:val="00E02E9B"/>
    <w:rsid w:val="00E0493C"/>
    <w:rsid w:val="00E0624A"/>
    <w:rsid w:val="00E07850"/>
    <w:rsid w:val="00E155F5"/>
    <w:rsid w:val="00E16E9F"/>
    <w:rsid w:val="00E245F1"/>
    <w:rsid w:val="00E263BE"/>
    <w:rsid w:val="00E26B88"/>
    <w:rsid w:val="00E30F04"/>
    <w:rsid w:val="00E34360"/>
    <w:rsid w:val="00E37DB5"/>
    <w:rsid w:val="00E415A4"/>
    <w:rsid w:val="00E43153"/>
    <w:rsid w:val="00E5008B"/>
    <w:rsid w:val="00E51489"/>
    <w:rsid w:val="00E531D2"/>
    <w:rsid w:val="00E536C8"/>
    <w:rsid w:val="00E55154"/>
    <w:rsid w:val="00E5731B"/>
    <w:rsid w:val="00E60E19"/>
    <w:rsid w:val="00E611F6"/>
    <w:rsid w:val="00E6173A"/>
    <w:rsid w:val="00E61F60"/>
    <w:rsid w:val="00E6459E"/>
    <w:rsid w:val="00E6643E"/>
    <w:rsid w:val="00E73259"/>
    <w:rsid w:val="00E753A2"/>
    <w:rsid w:val="00E82C1A"/>
    <w:rsid w:val="00E853AE"/>
    <w:rsid w:val="00E86850"/>
    <w:rsid w:val="00E86EEA"/>
    <w:rsid w:val="00E94EB8"/>
    <w:rsid w:val="00E9722A"/>
    <w:rsid w:val="00E97454"/>
    <w:rsid w:val="00EA7C34"/>
    <w:rsid w:val="00EB049E"/>
    <w:rsid w:val="00EB405A"/>
    <w:rsid w:val="00EB6791"/>
    <w:rsid w:val="00EB7512"/>
    <w:rsid w:val="00EC000F"/>
    <w:rsid w:val="00EC11C4"/>
    <w:rsid w:val="00EC39EE"/>
    <w:rsid w:val="00EC46D5"/>
    <w:rsid w:val="00ED3203"/>
    <w:rsid w:val="00ED415A"/>
    <w:rsid w:val="00ED4F45"/>
    <w:rsid w:val="00ED6353"/>
    <w:rsid w:val="00EE03DC"/>
    <w:rsid w:val="00EE0CDF"/>
    <w:rsid w:val="00EE131C"/>
    <w:rsid w:val="00EE24DD"/>
    <w:rsid w:val="00EE5FAB"/>
    <w:rsid w:val="00EF004D"/>
    <w:rsid w:val="00EF07DC"/>
    <w:rsid w:val="00EF2662"/>
    <w:rsid w:val="00EF29D2"/>
    <w:rsid w:val="00EF6E4A"/>
    <w:rsid w:val="00EF7185"/>
    <w:rsid w:val="00F01670"/>
    <w:rsid w:val="00F041E5"/>
    <w:rsid w:val="00F05AA9"/>
    <w:rsid w:val="00F06E94"/>
    <w:rsid w:val="00F11439"/>
    <w:rsid w:val="00F116FE"/>
    <w:rsid w:val="00F1418E"/>
    <w:rsid w:val="00F226BC"/>
    <w:rsid w:val="00F2386F"/>
    <w:rsid w:val="00F2411B"/>
    <w:rsid w:val="00F27DC5"/>
    <w:rsid w:val="00F302CE"/>
    <w:rsid w:val="00F42E7A"/>
    <w:rsid w:val="00F44824"/>
    <w:rsid w:val="00F47821"/>
    <w:rsid w:val="00F5725C"/>
    <w:rsid w:val="00F57D78"/>
    <w:rsid w:val="00F62ACF"/>
    <w:rsid w:val="00F62AD7"/>
    <w:rsid w:val="00F64EAD"/>
    <w:rsid w:val="00F651C6"/>
    <w:rsid w:val="00F7457F"/>
    <w:rsid w:val="00F80C4E"/>
    <w:rsid w:val="00F80D46"/>
    <w:rsid w:val="00F82F88"/>
    <w:rsid w:val="00F83944"/>
    <w:rsid w:val="00F92D53"/>
    <w:rsid w:val="00F93707"/>
    <w:rsid w:val="00F9411E"/>
    <w:rsid w:val="00F965CD"/>
    <w:rsid w:val="00FA0329"/>
    <w:rsid w:val="00FA40DE"/>
    <w:rsid w:val="00FA4C3C"/>
    <w:rsid w:val="00FA54E8"/>
    <w:rsid w:val="00FA6993"/>
    <w:rsid w:val="00FA6C32"/>
    <w:rsid w:val="00FC1E0E"/>
    <w:rsid w:val="00FC2CFB"/>
    <w:rsid w:val="00FC3621"/>
    <w:rsid w:val="00FC443D"/>
    <w:rsid w:val="00FD06E4"/>
    <w:rsid w:val="00FD4504"/>
    <w:rsid w:val="00FD5237"/>
    <w:rsid w:val="00FE0176"/>
    <w:rsid w:val="00FE0500"/>
    <w:rsid w:val="00FE5049"/>
    <w:rsid w:val="00FE6078"/>
    <w:rsid w:val="00FF0768"/>
    <w:rsid w:val="00FF1E6A"/>
    <w:rsid w:val="00FF2611"/>
    <w:rsid w:val="00FF43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45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50F"/>
    <w:rPr>
      <w:u w:val="single"/>
    </w:rPr>
  </w:style>
  <w:style w:type="paragraph" w:customStyle="1" w:styleId="HeaderFooter">
    <w:name w:val="Header &amp; Footer"/>
    <w:rsid w:val="0041450F"/>
    <w:pPr>
      <w:tabs>
        <w:tab w:val="right" w:pos="9020"/>
      </w:tabs>
    </w:pPr>
    <w:rPr>
      <w:rFonts w:ascii="Helvetica" w:hAnsi="Helvetica" w:cs="Arial Unicode MS"/>
      <w:color w:val="000000"/>
      <w:sz w:val="24"/>
      <w:szCs w:val="24"/>
    </w:rPr>
  </w:style>
  <w:style w:type="paragraph" w:styleId="Footer">
    <w:name w:val="footer"/>
    <w:rsid w:val="0041450F"/>
    <w:pPr>
      <w:tabs>
        <w:tab w:val="center" w:pos="4680"/>
        <w:tab w:val="right" w:pos="9360"/>
      </w:tabs>
    </w:pPr>
    <w:rPr>
      <w:rFonts w:ascii="Calibri" w:eastAsia="Calibri" w:hAnsi="Calibri" w:cs="Calibri"/>
      <w:color w:val="000000"/>
      <w:sz w:val="22"/>
      <w:szCs w:val="22"/>
      <w:u w:color="000000"/>
      <w:lang w:val="en-US"/>
    </w:rPr>
  </w:style>
  <w:style w:type="character" w:customStyle="1" w:styleId="apple-converted-space">
    <w:name w:val="apple-converted-space"/>
    <w:rsid w:val="0041450F"/>
    <w:rPr>
      <w:lang w:val="en-US"/>
    </w:rPr>
  </w:style>
  <w:style w:type="paragraph" w:customStyle="1" w:styleId="Body">
    <w:name w:val="Body"/>
    <w:rsid w:val="0041450F"/>
    <w:pPr>
      <w:spacing w:after="160" w:line="259" w:lineRule="auto"/>
    </w:pPr>
    <w:rPr>
      <w:rFonts w:ascii="Calibri" w:eastAsia="Calibri" w:hAnsi="Calibri" w:cs="Calibri"/>
      <w:color w:val="000000"/>
      <w:sz w:val="22"/>
      <w:szCs w:val="22"/>
      <w:u w:color="000000"/>
      <w:lang w:val="en-US"/>
    </w:rPr>
  </w:style>
  <w:style w:type="character" w:customStyle="1" w:styleId="Link">
    <w:name w:val="Link"/>
    <w:rsid w:val="0041450F"/>
    <w:rPr>
      <w:color w:val="0563C1"/>
      <w:u w:val="single" w:color="0563C1"/>
    </w:rPr>
  </w:style>
  <w:style w:type="character" w:customStyle="1" w:styleId="Hyperlink0">
    <w:name w:val="Hyperlink.0"/>
    <w:basedOn w:val="Link"/>
    <w:rsid w:val="0041450F"/>
    <w:rPr>
      <w:rFonts w:ascii="Times New Roman" w:eastAsia="Times New Roman" w:hAnsi="Times New Roman" w:cs="Times New Roman"/>
      <w:color w:val="0563C1"/>
      <w:sz w:val="24"/>
      <w:szCs w:val="24"/>
      <w:u w:val="single" w:color="0563C1"/>
    </w:rPr>
  </w:style>
  <w:style w:type="paragraph" w:styleId="ListParagraph">
    <w:name w:val="List Paragraph"/>
    <w:qFormat/>
    <w:rsid w:val="0041450F"/>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41450F"/>
    <w:pPr>
      <w:numPr>
        <w:numId w:val="1"/>
      </w:numPr>
    </w:pPr>
  </w:style>
  <w:style w:type="numbering" w:customStyle="1" w:styleId="ImportedStyle3">
    <w:name w:val="Imported Style 3"/>
    <w:rsid w:val="0041450F"/>
    <w:pPr>
      <w:numPr>
        <w:numId w:val="3"/>
      </w:numPr>
    </w:pPr>
  </w:style>
  <w:style w:type="character" w:styleId="FootnoteReference">
    <w:name w:val="footnote reference"/>
    <w:basedOn w:val="apple-converted-space"/>
    <w:uiPriority w:val="99"/>
    <w:rsid w:val="0041450F"/>
    <w:rPr>
      <w:vertAlign w:val="superscript"/>
      <w:lang w:val="en-US"/>
    </w:rPr>
  </w:style>
  <w:style w:type="paragraph" w:styleId="FootnoteText">
    <w:name w:val="footnote text"/>
    <w:link w:val="FootnoteTextChar"/>
    <w:uiPriority w:val="99"/>
    <w:rsid w:val="0041450F"/>
    <w:rPr>
      <w:rFonts w:eastAsia="Times New Roman"/>
      <w:color w:val="000000"/>
      <w:u w:color="000000"/>
      <w:lang w:val="en-US"/>
    </w:rPr>
  </w:style>
  <w:style w:type="paragraph" w:styleId="BodyText">
    <w:name w:val="Body Text"/>
    <w:rsid w:val="0041450F"/>
    <w:pPr>
      <w:spacing w:after="240" w:line="480" w:lineRule="auto"/>
      <w:jc w:val="both"/>
    </w:pPr>
    <w:rPr>
      <w:rFonts w:cs="Arial Unicode MS"/>
      <w:color w:val="000000"/>
      <w:sz w:val="24"/>
      <w:szCs w:val="24"/>
      <w:u w:color="000000"/>
      <w:lang w:val="en-US"/>
    </w:rPr>
  </w:style>
  <w:style w:type="character" w:customStyle="1" w:styleId="Hyperlink1">
    <w:name w:val="Hyperlink.1"/>
    <w:basedOn w:val="Hyperlink"/>
    <w:rsid w:val="0041450F"/>
    <w:rPr>
      <w:u w:val="single"/>
    </w:rPr>
  </w:style>
  <w:style w:type="character" w:customStyle="1" w:styleId="Hyperlink2">
    <w:name w:val="Hyperlink.2"/>
    <w:basedOn w:val="Hyperlink"/>
    <w:rsid w:val="0041450F"/>
    <w:rPr>
      <w:u w:val="single"/>
    </w:rPr>
  </w:style>
  <w:style w:type="character" w:customStyle="1" w:styleId="Hyperlink3">
    <w:name w:val="Hyperlink.3"/>
    <w:basedOn w:val="Link"/>
    <w:rsid w:val="0041450F"/>
    <w:rPr>
      <w:color w:val="000000"/>
      <w:u w:val="none" w:color="000000"/>
      <w:shd w:val="clear" w:color="auto" w:fill="FFFFFF"/>
    </w:rPr>
  </w:style>
  <w:style w:type="character" w:customStyle="1" w:styleId="FootnoteTextChar">
    <w:name w:val="Footnote Text Char"/>
    <w:basedOn w:val="DefaultParagraphFont"/>
    <w:link w:val="FootnoteText"/>
    <w:uiPriority w:val="99"/>
    <w:rsid w:val="009B6B8D"/>
    <w:rPr>
      <w:rFonts w:eastAsia="Times New Roman"/>
      <w:color w:val="000000"/>
      <w:u w:color="000000"/>
      <w:lang w:val="en-US"/>
    </w:rPr>
  </w:style>
  <w:style w:type="character" w:styleId="CommentReference">
    <w:name w:val="annotation reference"/>
    <w:basedOn w:val="DefaultParagraphFont"/>
    <w:uiPriority w:val="99"/>
    <w:semiHidden/>
    <w:unhideWhenUsed/>
    <w:rsid w:val="000E2E62"/>
    <w:rPr>
      <w:sz w:val="16"/>
      <w:szCs w:val="16"/>
    </w:rPr>
  </w:style>
  <w:style w:type="paragraph" w:styleId="CommentText">
    <w:name w:val="annotation text"/>
    <w:basedOn w:val="Normal"/>
    <w:link w:val="CommentTextChar"/>
    <w:uiPriority w:val="99"/>
    <w:unhideWhenUsed/>
    <w:rsid w:val="000E2E62"/>
    <w:rPr>
      <w:sz w:val="20"/>
      <w:szCs w:val="20"/>
    </w:rPr>
  </w:style>
  <w:style w:type="character" w:customStyle="1" w:styleId="CommentTextChar">
    <w:name w:val="Comment Text Char"/>
    <w:basedOn w:val="DefaultParagraphFont"/>
    <w:link w:val="CommentText"/>
    <w:uiPriority w:val="99"/>
    <w:rsid w:val="000E2E62"/>
    <w:rPr>
      <w:lang w:val="en-US" w:eastAsia="en-US"/>
    </w:rPr>
  </w:style>
  <w:style w:type="paragraph" w:styleId="CommentSubject">
    <w:name w:val="annotation subject"/>
    <w:basedOn w:val="CommentText"/>
    <w:next w:val="CommentText"/>
    <w:link w:val="CommentSubjectChar"/>
    <w:uiPriority w:val="99"/>
    <w:semiHidden/>
    <w:unhideWhenUsed/>
    <w:rsid w:val="000E2E62"/>
    <w:rPr>
      <w:b/>
      <w:bCs/>
    </w:rPr>
  </w:style>
  <w:style w:type="character" w:customStyle="1" w:styleId="CommentSubjectChar">
    <w:name w:val="Comment Subject Char"/>
    <w:basedOn w:val="CommentTextChar"/>
    <w:link w:val="CommentSubject"/>
    <w:uiPriority w:val="99"/>
    <w:semiHidden/>
    <w:rsid w:val="000E2E62"/>
    <w:rPr>
      <w:b/>
      <w:bCs/>
      <w:lang w:val="en-US" w:eastAsia="en-US"/>
    </w:rPr>
  </w:style>
  <w:style w:type="paragraph" w:styleId="BalloonText">
    <w:name w:val="Balloon Text"/>
    <w:basedOn w:val="Normal"/>
    <w:link w:val="BalloonTextChar"/>
    <w:uiPriority w:val="99"/>
    <w:semiHidden/>
    <w:unhideWhenUsed/>
    <w:rsid w:val="000E2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62"/>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1F1C6D"/>
    <w:rPr>
      <w:color w:val="FF00FF" w:themeColor="followedHyperlink"/>
      <w:u w:val="single"/>
    </w:rPr>
  </w:style>
  <w:style w:type="table" w:styleId="TableGrid">
    <w:name w:val="Table Grid"/>
    <w:basedOn w:val="TableNormal"/>
    <w:uiPriority w:val="39"/>
    <w:rsid w:val="00A8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28A1"/>
    <w:pPr>
      <w:tabs>
        <w:tab w:val="center" w:pos="4513"/>
        <w:tab w:val="right" w:pos="9026"/>
      </w:tabs>
    </w:pPr>
  </w:style>
  <w:style w:type="character" w:customStyle="1" w:styleId="HeaderChar">
    <w:name w:val="Header Char"/>
    <w:basedOn w:val="DefaultParagraphFont"/>
    <w:link w:val="Header"/>
    <w:uiPriority w:val="99"/>
    <w:semiHidden/>
    <w:rsid w:val="001928A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5319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er_abuse@alr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prints.qut.edu.au/94420/" TargetMode="External"/><Relationship Id="rId3" Type="http://schemas.openxmlformats.org/officeDocument/2006/relationships/hyperlink" Target="https://www.un.org/development/desa/ageing/madrid-plan-of-action-and-its-implementation.html" TargetMode="External"/><Relationship Id="rId7" Type="http://schemas.openxmlformats.org/officeDocument/2006/relationships/hyperlink" Target="http://eprints.qut.edu.au/77882" TargetMode="External"/><Relationship Id="rId2" Type="http://schemas.openxmlformats.org/officeDocument/2006/relationships/hyperlink" Target="http://www.ohchr.org/EN/ProfessionalInterest/Pages/OlderPersons.aspx" TargetMode="External"/><Relationship Id="rId1" Type="http://schemas.openxmlformats.org/officeDocument/2006/relationships/hyperlink" Target="https://www.un.org/development/desa/ageing/resources/vienna-international-plan-of-action.html" TargetMode="External"/><Relationship Id="rId6" Type="http://schemas.openxmlformats.org/officeDocument/2006/relationships/hyperlink" Target="http://eprints.qut.edu.au/87003" TargetMode="External"/><Relationship Id="rId5" Type="http://schemas.openxmlformats.org/officeDocument/2006/relationships/hyperlink" Target="http://www.un.org/esa/socdev/documents/ageing/neglect-abuse-violence-older-women.pdf" TargetMode="External"/><Relationship Id="rId4" Type="http://schemas.openxmlformats.org/officeDocument/2006/relationships/hyperlink" Target="http://www.who.int/ageing/events/world-report-2015-launch/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15D1-A12F-43F2-92C2-AE0B606D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5081</Words>
  <Characters>28967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33981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Purser</dc:creator>
  <cp:lastModifiedBy>marie-claire.muir</cp:lastModifiedBy>
  <cp:revision>2</cp:revision>
  <cp:lastPrinted>2017-03-01T22:22:00Z</cp:lastPrinted>
  <dcterms:created xsi:type="dcterms:W3CDTF">2017-03-03T05:17:00Z</dcterms:created>
  <dcterms:modified xsi:type="dcterms:W3CDTF">2017-03-03T05:17:00Z</dcterms:modified>
</cp:coreProperties>
</file>