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DA0" w:rsidRDefault="00995530" w:rsidP="005870BA">
      <w:pPr>
        <w:pStyle w:val="Heading1"/>
      </w:pPr>
      <w:r>
        <w:rPr>
          <w:noProof/>
          <w:lang w:eastAsia="en-AU"/>
        </w:rPr>
        <w:drawing>
          <wp:inline distT="0" distB="0" distL="0" distR="0">
            <wp:extent cx="1483744" cy="663537"/>
            <wp:effectExtent l="0" t="0" r="2540" b="3810"/>
            <wp:docPr id="2" name="Picture 2" descr="\\NARI-FS\shared\shared\ADMINISTRATION\ADDRESS LABELS - Various\AAG\AAG SECRETARIAT\LOGO's\NEW LOGO as at March 2013\AAG NEW LOGO as at 04.03.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I-FS\shared\shared\ADMINISTRATION\ADDRESS LABELS - Various\AAG\AAG SECRETARIAT\LOGO's\NEW LOGO as at March 2013\AAG NEW LOGO as at 04.03.2013.png"/>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3918" cy="663615"/>
                    </a:xfrm>
                    <a:prstGeom prst="rect">
                      <a:avLst/>
                    </a:prstGeom>
                    <a:noFill/>
                    <a:ln>
                      <a:noFill/>
                    </a:ln>
                  </pic:spPr>
                </pic:pic>
              </a:graphicData>
            </a:graphic>
          </wp:inline>
        </w:drawing>
      </w:r>
      <w:r>
        <w:rPr>
          <w:noProof/>
          <w:lang w:eastAsia="en-AU"/>
        </w:rPr>
        <w:tab/>
      </w:r>
      <w:r>
        <w:rPr>
          <w:noProof/>
          <w:lang w:eastAsia="en-AU"/>
        </w:rPr>
        <w:tab/>
      </w:r>
      <w:r>
        <w:rPr>
          <w:noProof/>
          <w:lang w:eastAsia="en-AU"/>
        </w:rPr>
        <w:drawing>
          <wp:inline distT="0" distB="0" distL="0" distR="0">
            <wp:extent cx="2534400" cy="691200"/>
            <wp:effectExtent l="0" t="0" r="0" b="0"/>
            <wp:docPr id="1" name="Picture 1" descr="S:\shared\CORPORATE\NARI LOGOs\NEW Jpgs 07 - 2012\NARI-Logo-landsca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CORPORATE\NARI LOGOs\NEW Jpgs 07 - 2012\NARI-Logo-landscape_rgb.jpg"/>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34400" cy="691200"/>
                    </a:xfrm>
                    <a:prstGeom prst="rect">
                      <a:avLst/>
                    </a:prstGeom>
                    <a:noFill/>
                    <a:ln>
                      <a:noFill/>
                    </a:ln>
                  </pic:spPr>
                </pic:pic>
              </a:graphicData>
            </a:graphic>
          </wp:inline>
        </w:drawing>
      </w:r>
    </w:p>
    <w:p w:rsidR="00A2744A" w:rsidRDefault="00A2744A" w:rsidP="00307B1C">
      <w:pPr>
        <w:pStyle w:val="Heading1"/>
        <w:spacing w:before="0" w:line="240" w:lineRule="auto"/>
      </w:pPr>
    </w:p>
    <w:p w:rsidR="00A2744A" w:rsidRPr="00BB0E19" w:rsidRDefault="00A2744A" w:rsidP="00A2744A">
      <w:pPr>
        <w:pStyle w:val="Heading2"/>
        <w:spacing w:before="0" w:line="240" w:lineRule="auto"/>
        <w:rPr>
          <w:sz w:val="28"/>
          <w:szCs w:val="28"/>
        </w:rPr>
      </w:pPr>
      <w:r w:rsidRPr="00BB0E19">
        <w:rPr>
          <w:sz w:val="28"/>
          <w:szCs w:val="28"/>
        </w:rPr>
        <w:t>About us</w:t>
      </w:r>
    </w:p>
    <w:p w:rsidR="004F493E" w:rsidRDefault="004F493E" w:rsidP="00307B1C">
      <w:pPr>
        <w:spacing w:after="0" w:line="240" w:lineRule="auto"/>
      </w:pPr>
    </w:p>
    <w:p w:rsidR="00DE0D19" w:rsidRDefault="00995530" w:rsidP="00307B1C">
      <w:pPr>
        <w:spacing w:after="0" w:line="240" w:lineRule="auto"/>
      </w:pPr>
      <w:r>
        <w:t>The Australian Association of Gerontology (AAG)</w:t>
      </w:r>
      <w:r w:rsidRPr="00735F16">
        <w:t xml:space="preserve"> is Australia's peak national body linking professionals working across the multidisciplinary fields of ageing.</w:t>
      </w:r>
      <w:r w:rsidR="00DE0D19" w:rsidRPr="00DE0D19">
        <w:t xml:space="preserve"> Since 1964, we have engaged professionals to help them connect and collaborate on evidence based approaches to improve the experience of ageing.  </w:t>
      </w:r>
      <w:r w:rsidR="00674941">
        <w:t xml:space="preserve">We have an Elder Abuse Special Interest Group to </w:t>
      </w:r>
      <w:r w:rsidR="00674941" w:rsidRPr="00674941">
        <w:t xml:space="preserve">promote exchanges between </w:t>
      </w:r>
      <w:r w:rsidR="00674941">
        <w:t xml:space="preserve">AAG </w:t>
      </w:r>
      <w:r w:rsidR="00674941" w:rsidRPr="00674941">
        <w:t>members</w:t>
      </w:r>
      <w:r w:rsidR="00674941">
        <w:t xml:space="preserve"> </w:t>
      </w:r>
      <w:r w:rsidR="00674941" w:rsidRPr="00674941">
        <w:t>who have an interest in research, advocacy</w:t>
      </w:r>
      <w:r w:rsidR="00674941">
        <w:t>,</w:t>
      </w:r>
      <w:r w:rsidR="00674941" w:rsidRPr="00674941">
        <w:t xml:space="preserve"> and</w:t>
      </w:r>
      <w:r w:rsidR="00674941">
        <w:t xml:space="preserve"> increasing</w:t>
      </w:r>
      <w:r w:rsidR="00674941" w:rsidRPr="00674941">
        <w:t xml:space="preserve"> knowledge </w:t>
      </w:r>
      <w:r w:rsidR="00674941">
        <w:t xml:space="preserve">or </w:t>
      </w:r>
      <w:r w:rsidR="00674941" w:rsidRPr="00674941">
        <w:t>awareness of elder abuse</w:t>
      </w:r>
      <w:r w:rsidR="00674941">
        <w:t>.</w:t>
      </w:r>
    </w:p>
    <w:p w:rsidR="00307B1C" w:rsidRPr="00DE0D19" w:rsidRDefault="00307B1C" w:rsidP="00307B1C">
      <w:pPr>
        <w:spacing w:after="0" w:line="240" w:lineRule="auto"/>
      </w:pPr>
    </w:p>
    <w:p w:rsidR="00E718E0" w:rsidRDefault="00E718E0" w:rsidP="00307B1C">
      <w:pPr>
        <w:spacing w:after="0" w:line="240" w:lineRule="auto"/>
      </w:pPr>
      <w:r>
        <w:t xml:space="preserve">The </w:t>
      </w:r>
      <w:r w:rsidR="00735F16">
        <w:t>National Ageing Research Institute (</w:t>
      </w:r>
      <w:r w:rsidRPr="00E718E0">
        <w:t>NARI</w:t>
      </w:r>
      <w:r w:rsidR="00735F16">
        <w:t>)</w:t>
      </w:r>
      <w:r w:rsidRPr="00E718E0">
        <w:t xml:space="preserve"> is recognised as a leading research institute in </w:t>
      </w:r>
      <w:r w:rsidR="006F540D">
        <w:t xml:space="preserve">the area of </w:t>
      </w:r>
      <w:r w:rsidRPr="00E718E0">
        <w:t>ageing including falls and balance, pain, dementia, physical activity, healthy ageing, public and preventive health, and health systems evaluation. NARI also conducts a broad range of other clinical and psychosocial research including</w:t>
      </w:r>
      <w:r w:rsidR="00735F16">
        <w:t xml:space="preserve"> a focus on </w:t>
      </w:r>
      <w:r w:rsidR="006F540D">
        <w:t xml:space="preserve">wellbeing, </w:t>
      </w:r>
      <w:r w:rsidR="00735F16">
        <w:t>mental health and elder abuse.</w:t>
      </w:r>
    </w:p>
    <w:p w:rsidR="00307B1C" w:rsidRDefault="00307B1C" w:rsidP="00307B1C">
      <w:pPr>
        <w:spacing w:after="0" w:line="240" w:lineRule="auto"/>
      </w:pPr>
    </w:p>
    <w:p w:rsidR="00735F16" w:rsidRDefault="00735F16" w:rsidP="00307B1C">
      <w:pPr>
        <w:spacing w:after="0" w:line="240" w:lineRule="auto"/>
      </w:pPr>
      <w:r>
        <w:t xml:space="preserve">AAG </w:t>
      </w:r>
      <w:r w:rsidR="00995530">
        <w:t xml:space="preserve">and NARI </w:t>
      </w:r>
      <w:r>
        <w:t xml:space="preserve">have decided to make a joint submission to the Australian Law Reform Commission inquiry into Elder Abuse Law Reform. </w:t>
      </w:r>
      <w:r w:rsidR="00240AE5">
        <w:t>In line with these organisations</w:t>
      </w:r>
      <w:r w:rsidR="006F540D">
        <w:t>’</w:t>
      </w:r>
      <w:r w:rsidR="00240AE5">
        <w:t xml:space="preserve"> expertise, t</w:t>
      </w:r>
      <w:r>
        <w:t xml:space="preserve">he following submission focuses on </w:t>
      </w:r>
      <w:r w:rsidR="00995530">
        <w:t>proposals 2 (national plan), 3 (powers of investigation) and 11 (aged care).</w:t>
      </w:r>
    </w:p>
    <w:p w:rsidR="00307B1C" w:rsidRPr="00BB0E19" w:rsidRDefault="00307B1C" w:rsidP="00307B1C">
      <w:pPr>
        <w:spacing w:after="0" w:line="240" w:lineRule="auto"/>
        <w:rPr>
          <w:sz w:val="28"/>
          <w:szCs w:val="28"/>
        </w:rPr>
      </w:pPr>
    </w:p>
    <w:p w:rsidR="00735F16" w:rsidRPr="00BB0E19" w:rsidRDefault="00995530" w:rsidP="00307B1C">
      <w:pPr>
        <w:pStyle w:val="Heading2"/>
        <w:spacing w:before="0" w:line="240" w:lineRule="auto"/>
        <w:rPr>
          <w:sz w:val="28"/>
          <w:szCs w:val="28"/>
        </w:rPr>
      </w:pPr>
      <w:r w:rsidRPr="00BB0E19">
        <w:rPr>
          <w:sz w:val="28"/>
          <w:szCs w:val="28"/>
        </w:rPr>
        <w:t>National Plan</w:t>
      </w:r>
    </w:p>
    <w:p w:rsidR="00307B1C" w:rsidRDefault="00307B1C" w:rsidP="00307B1C">
      <w:pPr>
        <w:spacing w:after="0" w:line="240" w:lineRule="auto"/>
      </w:pPr>
    </w:p>
    <w:p w:rsidR="00991E6B" w:rsidRPr="00991E6B" w:rsidRDefault="00991E6B" w:rsidP="00307B1C">
      <w:pPr>
        <w:spacing w:after="0" w:line="240" w:lineRule="auto"/>
        <w:rPr>
          <w:color w:val="C00000"/>
        </w:rPr>
      </w:pPr>
      <w:r w:rsidRPr="00991E6B">
        <w:rPr>
          <w:color w:val="C00000"/>
        </w:rPr>
        <w:t>Proposal 2-1: A National Plan to address elder abuse should be developed.</w:t>
      </w:r>
    </w:p>
    <w:p w:rsidR="00991E6B" w:rsidRDefault="00991E6B" w:rsidP="00307B1C">
      <w:pPr>
        <w:spacing w:after="0" w:line="240" w:lineRule="auto"/>
      </w:pPr>
    </w:p>
    <w:p w:rsidR="00464BDA" w:rsidRDefault="008915A5" w:rsidP="00991E6B">
      <w:pPr>
        <w:spacing w:after="0" w:line="240" w:lineRule="auto"/>
      </w:pPr>
      <w:r>
        <w:t>We</w:t>
      </w:r>
      <w:r w:rsidR="00991E6B">
        <w:t xml:space="preserve"> strongly support this proposal</w:t>
      </w:r>
      <w:r w:rsidR="00464BDA">
        <w:t xml:space="preserve"> and the four proposed components of the plan</w:t>
      </w:r>
      <w:r w:rsidR="001D3F13">
        <w:t xml:space="preserve"> (at paragraph 2.11)</w:t>
      </w:r>
      <w:r w:rsidR="00464BDA">
        <w:t>:</w:t>
      </w:r>
    </w:p>
    <w:p w:rsidR="007F76C2" w:rsidRDefault="007F76C2" w:rsidP="00991E6B">
      <w:pPr>
        <w:spacing w:after="0" w:line="240" w:lineRule="auto"/>
      </w:pPr>
    </w:p>
    <w:p w:rsidR="00464BDA" w:rsidRDefault="00464BDA" w:rsidP="00583DE3">
      <w:pPr>
        <w:pStyle w:val="ListParagraph"/>
        <w:numPr>
          <w:ilvl w:val="0"/>
          <w:numId w:val="30"/>
        </w:numPr>
        <w:spacing w:after="0" w:line="240" w:lineRule="auto"/>
      </w:pPr>
      <w:r>
        <w:t>promoting respectful intergenerational relationships</w:t>
      </w:r>
    </w:p>
    <w:p w:rsidR="00464BDA" w:rsidRDefault="00464BDA" w:rsidP="00583DE3">
      <w:pPr>
        <w:pStyle w:val="ListParagraph"/>
        <w:numPr>
          <w:ilvl w:val="0"/>
          <w:numId w:val="30"/>
        </w:numPr>
        <w:spacing w:after="0" w:line="240" w:lineRule="auto"/>
      </w:pPr>
      <w:r>
        <w:t>making systems work together effectively</w:t>
      </w:r>
    </w:p>
    <w:p w:rsidR="00464BDA" w:rsidRDefault="00464BDA" w:rsidP="00583DE3">
      <w:pPr>
        <w:pStyle w:val="ListParagraph"/>
        <w:numPr>
          <w:ilvl w:val="0"/>
          <w:numId w:val="30"/>
        </w:numPr>
        <w:spacing w:after="0" w:line="240" w:lineRule="auto"/>
      </w:pPr>
      <w:r>
        <w:t>improving responses to elder abuse</w:t>
      </w:r>
    </w:p>
    <w:p w:rsidR="00464BDA" w:rsidRDefault="00464BDA" w:rsidP="00583DE3">
      <w:pPr>
        <w:pStyle w:val="ListParagraph"/>
        <w:numPr>
          <w:ilvl w:val="0"/>
          <w:numId w:val="30"/>
        </w:numPr>
        <w:spacing w:after="0" w:line="240" w:lineRule="auto"/>
      </w:pPr>
      <w:proofErr w:type="gramStart"/>
      <w:r>
        <w:t>improving</w:t>
      </w:r>
      <w:proofErr w:type="gramEnd"/>
      <w:r>
        <w:t xml:space="preserve"> the evidence base.</w:t>
      </w:r>
    </w:p>
    <w:p w:rsidR="00991E6B" w:rsidRDefault="00991E6B" w:rsidP="00991E6B">
      <w:pPr>
        <w:spacing w:after="0" w:line="240" w:lineRule="auto"/>
      </w:pPr>
    </w:p>
    <w:p w:rsidR="00BB0E19" w:rsidRDefault="00BB0E19" w:rsidP="00991E6B">
      <w:pPr>
        <w:spacing w:after="0" w:line="240" w:lineRule="auto"/>
      </w:pPr>
      <w:r>
        <w:t xml:space="preserve">We note that the Coalition Federal Government committed $15 million to develop a national pan during the 2016 Federal Election in its </w:t>
      </w:r>
      <w:hyperlink r:id="rId13" w:history="1">
        <w:r w:rsidRPr="00BB0E19">
          <w:rPr>
            <w:rStyle w:val="Hyperlink"/>
            <w:i/>
          </w:rPr>
          <w:t>Policy to Protect the Rights of Older People</w:t>
        </w:r>
      </w:hyperlink>
      <w:r>
        <w:t>.</w:t>
      </w:r>
    </w:p>
    <w:p w:rsidR="00BB0E19" w:rsidRDefault="00BB0E19" w:rsidP="00991E6B">
      <w:pPr>
        <w:spacing w:after="0" w:line="240" w:lineRule="auto"/>
      </w:pPr>
    </w:p>
    <w:p w:rsidR="008915A5" w:rsidRPr="00583DE3" w:rsidRDefault="008915A5" w:rsidP="00583DE3">
      <w:pPr>
        <w:pStyle w:val="ListParagraph"/>
        <w:numPr>
          <w:ilvl w:val="0"/>
          <w:numId w:val="31"/>
        </w:numPr>
        <w:spacing w:after="0" w:line="240" w:lineRule="auto"/>
        <w:rPr>
          <w:b/>
        </w:rPr>
      </w:pPr>
      <w:r w:rsidRPr="00583DE3">
        <w:rPr>
          <w:b/>
        </w:rPr>
        <w:t xml:space="preserve">Promoting respectful intergenerational relationships </w:t>
      </w:r>
    </w:p>
    <w:p w:rsidR="008915A5" w:rsidRDefault="008915A5" w:rsidP="009A1961">
      <w:pPr>
        <w:spacing w:after="0" w:line="240" w:lineRule="auto"/>
      </w:pPr>
    </w:p>
    <w:p w:rsidR="00674941" w:rsidRDefault="00674941" w:rsidP="009A1961">
      <w:pPr>
        <w:spacing w:after="0" w:line="240" w:lineRule="auto"/>
      </w:pPr>
      <w:r>
        <w:t xml:space="preserve">We strongly support promoting respectful intergenerational relationships.  </w:t>
      </w:r>
    </w:p>
    <w:p w:rsidR="00674941" w:rsidRDefault="00674941" w:rsidP="009A1961">
      <w:pPr>
        <w:spacing w:after="0" w:line="240" w:lineRule="auto"/>
      </w:pPr>
    </w:p>
    <w:p w:rsidR="008E49EA" w:rsidRDefault="001D3F13" w:rsidP="009A1961">
      <w:pPr>
        <w:spacing w:after="0" w:line="240" w:lineRule="auto"/>
      </w:pPr>
      <w:r>
        <w:t xml:space="preserve">We </w:t>
      </w:r>
      <w:r w:rsidR="00674941">
        <w:t xml:space="preserve">also </w:t>
      </w:r>
      <w:r>
        <w:t xml:space="preserve">agree that there is a need for strategies that are directed towards understanding the </w:t>
      </w:r>
      <w:r w:rsidR="009A1961">
        <w:t xml:space="preserve">specific </w:t>
      </w:r>
      <w:r>
        <w:t>experiences of</w:t>
      </w:r>
      <w:r w:rsidR="009A1961">
        <w:t xml:space="preserve"> older people from </w:t>
      </w:r>
      <w:r w:rsidR="000D50E1">
        <w:t>diverse groups (at paragraph 2.19)</w:t>
      </w:r>
      <w:r w:rsidR="009A1961">
        <w:t>,</w:t>
      </w:r>
      <w:r w:rsidR="000D50E1">
        <w:t xml:space="preserve"> including older people from Aboriginal and Torres Strait Islander</w:t>
      </w:r>
      <w:r w:rsidR="009A1961">
        <w:t xml:space="preserve"> (ATSI); </w:t>
      </w:r>
      <w:r w:rsidR="000D50E1">
        <w:t>culturally and</w:t>
      </w:r>
      <w:r w:rsidR="009A1961">
        <w:t xml:space="preserve"> </w:t>
      </w:r>
      <w:r w:rsidR="000D50E1">
        <w:t>linguistically diverse (CALD)</w:t>
      </w:r>
      <w:r w:rsidR="009A1961">
        <w:t xml:space="preserve">; and </w:t>
      </w:r>
      <w:r w:rsidR="000D50E1">
        <w:t>lesbian, gay, bisexual, transgender</w:t>
      </w:r>
      <w:r w:rsidR="009A1961">
        <w:t xml:space="preserve"> </w:t>
      </w:r>
      <w:r w:rsidR="000D50E1">
        <w:t>and intersex (LGBTI) communities; and people living in regional and remote</w:t>
      </w:r>
      <w:r w:rsidR="009A1961">
        <w:t xml:space="preserve"> (RRR) </w:t>
      </w:r>
      <w:r w:rsidR="000D50E1">
        <w:t>communities.</w:t>
      </w:r>
      <w:r w:rsidR="009A1961">
        <w:t xml:space="preserve">  </w:t>
      </w:r>
    </w:p>
    <w:p w:rsidR="008E49EA" w:rsidRDefault="008E49EA" w:rsidP="009A1961">
      <w:pPr>
        <w:spacing w:after="0" w:line="240" w:lineRule="auto"/>
      </w:pPr>
    </w:p>
    <w:p w:rsidR="003617C3" w:rsidRDefault="009A1961" w:rsidP="008915A5">
      <w:pPr>
        <w:spacing w:after="0" w:line="240" w:lineRule="auto"/>
      </w:pPr>
      <w:r>
        <w:lastRenderedPageBreak/>
        <w:t xml:space="preserve">AAG is working with the National Aboriginal Community Controlled Health Organisation (NACCHO), Federation of Ethnic Communities’ Councils of Australia (FECCA), and the National LGBTI Health Alliance (Alliance) to develop and implement a </w:t>
      </w:r>
      <w:r w:rsidRPr="009A1961">
        <w:rPr>
          <w:i/>
        </w:rPr>
        <w:t>Diversity Framework</w:t>
      </w:r>
      <w:r>
        <w:t xml:space="preserve"> that will address the high level principles and common issues that affect diverse groups, with the creation of specialist action plans for each of </w:t>
      </w:r>
      <w:r w:rsidR="008E49EA">
        <w:t xml:space="preserve">the </w:t>
      </w:r>
      <w:r>
        <w:t xml:space="preserve">CALD, ATSI and LGBTI communities.  On 23 November 2016, the now Minister for Aged Care and Indigenous Health Ken Wyatt gave support to the </w:t>
      </w:r>
      <w:r w:rsidR="008E49EA">
        <w:t>frame</w:t>
      </w:r>
      <w:r>
        <w:t>work</w:t>
      </w:r>
      <w:r w:rsidR="008E49EA">
        <w:t>.</w:t>
      </w:r>
      <w:r w:rsidR="00337953">
        <w:t xml:space="preserve">  The framework will </w:t>
      </w:r>
      <w:r w:rsidR="003617C3">
        <w:t>make a valuable contribution to addressing the specific needs of older people from diverse groups.</w:t>
      </w:r>
    </w:p>
    <w:p w:rsidR="003617C3" w:rsidRDefault="003617C3" w:rsidP="008915A5">
      <w:pPr>
        <w:spacing w:after="0" w:line="240" w:lineRule="auto"/>
      </w:pPr>
    </w:p>
    <w:p w:rsidR="008915A5" w:rsidRPr="00583DE3" w:rsidRDefault="008915A5" w:rsidP="00583DE3">
      <w:pPr>
        <w:pStyle w:val="ListParagraph"/>
        <w:numPr>
          <w:ilvl w:val="0"/>
          <w:numId w:val="31"/>
        </w:numPr>
        <w:spacing w:after="0" w:line="240" w:lineRule="auto"/>
        <w:rPr>
          <w:b/>
        </w:rPr>
      </w:pPr>
      <w:r w:rsidRPr="00583DE3">
        <w:rPr>
          <w:b/>
        </w:rPr>
        <w:t>Making systems work together effectively</w:t>
      </w:r>
    </w:p>
    <w:p w:rsidR="008915A5" w:rsidRDefault="008915A5" w:rsidP="00991E6B">
      <w:pPr>
        <w:spacing w:after="0" w:line="240" w:lineRule="auto"/>
      </w:pPr>
    </w:p>
    <w:p w:rsidR="00BB4241" w:rsidRDefault="001D3F13" w:rsidP="00991E6B">
      <w:pPr>
        <w:spacing w:after="0" w:line="240" w:lineRule="auto"/>
      </w:pPr>
      <w:r>
        <w:t>We agree that a national approach, with consistent laws and coordinated responses is a key element in addressing elder abuse (at paragraph 2.23).</w:t>
      </w:r>
      <w:r w:rsidR="00363596">
        <w:t xml:space="preserve"> </w:t>
      </w:r>
      <w:r w:rsidR="00F9040E">
        <w:t xml:space="preserve"> </w:t>
      </w:r>
      <w:r>
        <w:t xml:space="preserve">The National Plan should consolidate the work that has been (or is being) undertaken across the states and territories.  </w:t>
      </w:r>
    </w:p>
    <w:p w:rsidR="00BB4241" w:rsidRDefault="00BB4241" w:rsidP="00991E6B">
      <w:pPr>
        <w:spacing w:after="0" w:line="240" w:lineRule="auto"/>
      </w:pPr>
    </w:p>
    <w:p w:rsidR="00991E6B" w:rsidRDefault="00991E6B" w:rsidP="00991E6B">
      <w:pPr>
        <w:spacing w:after="0" w:line="240" w:lineRule="auto"/>
      </w:pPr>
      <w:r>
        <w:t xml:space="preserve">In August 2016 NARI received a Major Grant from </w:t>
      </w:r>
      <w:proofErr w:type="spellStart"/>
      <w:r>
        <w:t>Gandel</w:t>
      </w:r>
      <w:proofErr w:type="spellEnd"/>
      <w:r>
        <w:t xml:space="preserve"> Philanthropy to develop an </w:t>
      </w:r>
      <w:r w:rsidR="00363596" w:rsidRPr="00363596">
        <w:rPr>
          <w:i/>
        </w:rPr>
        <w:t>A</w:t>
      </w:r>
      <w:r w:rsidRPr="00363596">
        <w:rPr>
          <w:i/>
        </w:rPr>
        <w:t>c</w:t>
      </w:r>
      <w:r w:rsidRPr="00247A2D">
        <w:rPr>
          <w:i/>
        </w:rPr>
        <w:t>tion Plan on Elder Abuse</w:t>
      </w:r>
      <w:r w:rsidRPr="00247A2D">
        <w:t xml:space="preserve"> </w:t>
      </w:r>
      <w:r>
        <w:t>for Victoria.  NARI has</w:t>
      </w:r>
      <w:r w:rsidRPr="00247A2D">
        <w:t xml:space="preserve"> begun scoping what is being done in Victoria at a research, policy and practice level. This project seeks to identify gaps in understanding and service, and identify the organisations or services that could potentially address those gaps. The research is expected to be concluded in late 2017.</w:t>
      </w:r>
      <w:r>
        <w:t xml:space="preserve"> </w:t>
      </w:r>
      <w:r w:rsidR="00F9040E">
        <w:t xml:space="preserve"> </w:t>
      </w:r>
      <w:r w:rsidR="00363596">
        <w:t xml:space="preserve">NARI’s </w:t>
      </w:r>
      <w:r w:rsidR="00337953">
        <w:t>action plan</w:t>
      </w:r>
      <w:r>
        <w:t xml:space="preserve"> will </w:t>
      </w:r>
      <w:r w:rsidR="00464BDA">
        <w:t xml:space="preserve">make </w:t>
      </w:r>
      <w:r>
        <w:t>a valuable contribution to the proposed National Plan</w:t>
      </w:r>
      <w:r w:rsidR="00F9040E">
        <w:t>.</w:t>
      </w:r>
      <w:r w:rsidR="001D3F13" w:rsidRPr="001D3F13">
        <w:t xml:space="preserve"> </w:t>
      </w:r>
    </w:p>
    <w:p w:rsidR="00991E6B" w:rsidRDefault="00991E6B" w:rsidP="00991E6B">
      <w:pPr>
        <w:spacing w:after="0" w:line="240" w:lineRule="auto"/>
      </w:pPr>
    </w:p>
    <w:p w:rsidR="008915A5" w:rsidRPr="00583DE3" w:rsidRDefault="008915A5" w:rsidP="00583DE3">
      <w:pPr>
        <w:pStyle w:val="ListParagraph"/>
        <w:numPr>
          <w:ilvl w:val="0"/>
          <w:numId w:val="31"/>
        </w:numPr>
        <w:spacing w:after="0" w:line="240" w:lineRule="auto"/>
        <w:rPr>
          <w:b/>
        </w:rPr>
      </w:pPr>
      <w:r w:rsidRPr="00583DE3">
        <w:rPr>
          <w:b/>
        </w:rPr>
        <w:t>Improving responses to elder abuse</w:t>
      </w:r>
    </w:p>
    <w:p w:rsidR="008915A5" w:rsidRDefault="008915A5" w:rsidP="00307B1C">
      <w:pPr>
        <w:spacing w:after="0" w:line="240" w:lineRule="auto"/>
      </w:pPr>
    </w:p>
    <w:p w:rsidR="008E49EA" w:rsidRDefault="00464BDA" w:rsidP="00307B1C">
      <w:pPr>
        <w:spacing w:after="0" w:line="240" w:lineRule="auto"/>
      </w:pPr>
      <w:r w:rsidRPr="00540A65">
        <w:t>We agree that in addition to national co</w:t>
      </w:r>
      <w:r w:rsidR="00540A65" w:rsidRPr="00540A65">
        <w:t>n</w:t>
      </w:r>
      <w:r w:rsidRPr="00540A65">
        <w:t>sistency</w:t>
      </w:r>
      <w:r w:rsidR="00540A65">
        <w:t>,</w:t>
      </w:r>
      <w:r w:rsidRPr="00540A65">
        <w:t xml:space="preserve"> there are </w:t>
      </w:r>
      <w:r w:rsidR="00540A65" w:rsidRPr="00540A65">
        <w:t>several other essential elements in im</w:t>
      </w:r>
      <w:r w:rsidR="00540A65">
        <w:t>prov</w:t>
      </w:r>
      <w:r w:rsidR="00540A65" w:rsidRPr="00540A65">
        <w:t>ing the response to elder abuse</w:t>
      </w:r>
      <w:r w:rsidR="001D3F13">
        <w:t xml:space="preserve"> (at paragraph 2.29)</w:t>
      </w:r>
      <w:r w:rsidR="00540A65" w:rsidRPr="00540A65">
        <w:t xml:space="preserve"> inc</w:t>
      </w:r>
      <w:r w:rsidR="001D3F13">
        <w:t>luding</w:t>
      </w:r>
      <w:r w:rsidR="00674941">
        <w:t>:</w:t>
      </w:r>
      <w:r w:rsidR="001D3F13">
        <w:t xml:space="preserve"> </w:t>
      </w:r>
      <w:r w:rsidR="00540A65">
        <w:t>t</w:t>
      </w:r>
      <w:r w:rsidR="00540A65" w:rsidRPr="00540A65">
        <w:t xml:space="preserve">raining </w:t>
      </w:r>
      <w:r w:rsidR="009476C3">
        <w:t xml:space="preserve">people who </w:t>
      </w:r>
      <w:r w:rsidR="00674941">
        <w:t>interact</w:t>
      </w:r>
      <w:r w:rsidR="009476C3">
        <w:t xml:space="preserve"> with older people </w:t>
      </w:r>
      <w:r w:rsidR="00540A65" w:rsidRPr="00540A65">
        <w:t>to recognise and respon</w:t>
      </w:r>
      <w:r w:rsidR="00540A65">
        <w:t>d</w:t>
      </w:r>
      <w:r w:rsidR="00540A65" w:rsidRPr="00540A65">
        <w:t xml:space="preserve"> to elder abuse</w:t>
      </w:r>
      <w:r w:rsidR="00674941">
        <w:t>;</w:t>
      </w:r>
      <w:r w:rsidR="001D3F13">
        <w:t xml:space="preserve"> </w:t>
      </w:r>
      <w:r w:rsidR="00540A65">
        <w:t>i</w:t>
      </w:r>
      <w:r w:rsidR="00540A65" w:rsidRPr="00540A65">
        <w:t>mproved accessibility of services</w:t>
      </w:r>
      <w:r w:rsidR="00674941">
        <w:t>;</w:t>
      </w:r>
      <w:r w:rsidR="001D3F13">
        <w:t xml:space="preserve"> and </w:t>
      </w:r>
      <w:r w:rsidR="00540A65">
        <w:t>b</w:t>
      </w:r>
      <w:r w:rsidR="00540A65" w:rsidRPr="00540A65">
        <w:t>etter responses to perpetrators.</w:t>
      </w:r>
      <w:r w:rsidR="001D3F13">
        <w:t xml:space="preserve">  </w:t>
      </w:r>
    </w:p>
    <w:p w:rsidR="008E49EA" w:rsidRDefault="008E49EA" w:rsidP="00307B1C">
      <w:pPr>
        <w:spacing w:after="0" w:line="240" w:lineRule="auto"/>
      </w:pPr>
    </w:p>
    <w:p w:rsidR="007F76C2" w:rsidRDefault="00540A65" w:rsidP="00307B1C">
      <w:pPr>
        <w:spacing w:after="0" w:line="240" w:lineRule="auto"/>
      </w:pPr>
      <w:r w:rsidRPr="009476C3">
        <w:t xml:space="preserve">We would also suggest that consideration needs to be given </w:t>
      </w:r>
      <w:r w:rsidR="00D84985">
        <w:t xml:space="preserve">to how to ensure that people experiencing elder abuse will be directed to the most appropriate service regardless of where they initially seek help (i.e. a </w:t>
      </w:r>
      <w:r w:rsidR="00D84985" w:rsidRPr="00D84985">
        <w:rPr>
          <w:i/>
        </w:rPr>
        <w:t>no wrong door</w:t>
      </w:r>
      <w:r w:rsidR="00D84985">
        <w:t xml:space="preserve"> approach).  This will require </w:t>
      </w:r>
      <w:r w:rsidRPr="009476C3">
        <w:t xml:space="preserve">knowledge sharing </w:t>
      </w:r>
      <w:r w:rsidR="007F76C2">
        <w:t>and referral</w:t>
      </w:r>
      <w:r w:rsidR="00D84985">
        <w:t xml:space="preserve"> protocols</w:t>
      </w:r>
      <w:r w:rsidR="007F76C2">
        <w:t xml:space="preserve"> </w:t>
      </w:r>
      <w:r w:rsidRPr="009476C3">
        <w:t xml:space="preserve">between </w:t>
      </w:r>
      <w:r w:rsidR="00D84985">
        <w:t>organisations that</w:t>
      </w:r>
      <w:r w:rsidRPr="009476C3">
        <w:t xml:space="preserve"> ‘deal with older people’ </w:t>
      </w:r>
      <w:r w:rsidR="009476C3">
        <w:t>and</w:t>
      </w:r>
      <w:r w:rsidR="00D84985">
        <w:t xml:space="preserve"> organisations that </w:t>
      </w:r>
      <w:r w:rsidR="009476C3">
        <w:t xml:space="preserve">deal with </w:t>
      </w:r>
      <w:r w:rsidR="007F76C2">
        <w:t xml:space="preserve">other </w:t>
      </w:r>
      <w:r w:rsidR="009476C3">
        <w:t>relevant</w:t>
      </w:r>
      <w:r w:rsidRPr="009476C3">
        <w:t xml:space="preserve"> forms of abuse.  For example, centres against sexual assault and family violence support </w:t>
      </w:r>
      <w:r w:rsidR="009476C3" w:rsidRPr="009476C3">
        <w:t>organisations will have a range of responses and services that may be appropriate for older people</w:t>
      </w:r>
      <w:r w:rsidR="007F76C2">
        <w:t xml:space="preserve"> in some circumstances</w:t>
      </w:r>
      <w:r w:rsidR="00D84985">
        <w:t>.</w:t>
      </w:r>
      <w:r w:rsidR="007F76C2">
        <w:t xml:space="preserve">  </w:t>
      </w:r>
    </w:p>
    <w:p w:rsidR="007F76C2" w:rsidRDefault="007F76C2" w:rsidP="00307B1C">
      <w:pPr>
        <w:spacing w:after="0" w:line="240" w:lineRule="auto"/>
      </w:pPr>
    </w:p>
    <w:p w:rsidR="008915A5" w:rsidRPr="00583DE3" w:rsidRDefault="008915A5" w:rsidP="00583DE3">
      <w:pPr>
        <w:pStyle w:val="ListParagraph"/>
        <w:numPr>
          <w:ilvl w:val="0"/>
          <w:numId w:val="31"/>
        </w:numPr>
        <w:spacing w:after="0" w:line="240" w:lineRule="auto"/>
        <w:rPr>
          <w:b/>
        </w:rPr>
      </w:pPr>
      <w:r w:rsidRPr="00583DE3">
        <w:rPr>
          <w:b/>
        </w:rPr>
        <w:t xml:space="preserve">Improving the evidence base </w:t>
      </w:r>
    </w:p>
    <w:p w:rsidR="008915A5" w:rsidRPr="0049330D" w:rsidRDefault="008915A5" w:rsidP="00307B1C">
      <w:pPr>
        <w:spacing w:after="0" w:line="240" w:lineRule="auto"/>
      </w:pPr>
    </w:p>
    <w:p w:rsidR="007F76C2" w:rsidRPr="007F76C2" w:rsidRDefault="007F76C2" w:rsidP="00307B1C">
      <w:pPr>
        <w:spacing w:after="0" w:line="240" w:lineRule="auto"/>
        <w:rPr>
          <w:color w:val="C00000"/>
        </w:rPr>
      </w:pPr>
      <w:r w:rsidRPr="007F76C2">
        <w:rPr>
          <w:color w:val="C00000"/>
        </w:rPr>
        <w:t>Proposal 2-2</w:t>
      </w:r>
      <w:r w:rsidR="00337953">
        <w:rPr>
          <w:color w:val="C00000"/>
        </w:rPr>
        <w:t>:</w:t>
      </w:r>
      <w:r w:rsidRPr="007F76C2">
        <w:rPr>
          <w:color w:val="C00000"/>
        </w:rPr>
        <w:t xml:space="preserve"> A national prevalence study of elder abuse should be commissioned.</w:t>
      </w:r>
    </w:p>
    <w:p w:rsidR="007F76C2" w:rsidRDefault="007F76C2" w:rsidP="00307B1C">
      <w:pPr>
        <w:spacing w:after="0" w:line="240" w:lineRule="auto"/>
      </w:pPr>
    </w:p>
    <w:p w:rsidR="00CE12D8" w:rsidRDefault="008915A5" w:rsidP="00307B1C">
      <w:pPr>
        <w:spacing w:after="0" w:line="240" w:lineRule="auto"/>
      </w:pPr>
      <w:r>
        <w:t>We strongly</w:t>
      </w:r>
      <w:r w:rsidR="00CE12D8">
        <w:t xml:space="preserve"> support th</w:t>
      </w:r>
      <w:r w:rsidR="00C77B57">
        <w:t>e</w:t>
      </w:r>
      <w:r w:rsidR="00CE12D8">
        <w:t xml:space="preserve"> proposal </w:t>
      </w:r>
      <w:r w:rsidR="00C77B57">
        <w:t xml:space="preserve">for a national prevalence study </w:t>
      </w:r>
      <w:r w:rsidR="00CE12D8">
        <w:t xml:space="preserve">and reiterate our previous comments about specific issues to be considered in establishing </w:t>
      </w:r>
      <w:r w:rsidR="00C77B57">
        <w:t>the</w:t>
      </w:r>
      <w:r w:rsidR="00CE12D8">
        <w:t xml:space="preserve"> study (noted by the ALRC at paragraph 2.38).</w:t>
      </w:r>
    </w:p>
    <w:p w:rsidR="00CE12D8" w:rsidRDefault="00CE12D8" w:rsidP="00307B1C">
      <w:pPr>
        <w:spacing w:after="0" w:line="240" w:lineRule="auto"/>
      </w:pPr>
    </w:p>
    <w:p w:rsidR="00E9449D" w:rsidRDefault="00C77B57" w:rsidP="00307B1C">
      <w:pPr>
        <w:spacing w:after="0" w:line="240" w:lineRule="auto"/>
      </w:pPr>
      <w:r w:rsidRPr="001B45F7">
        <w:t>However, we believe that this proposal does not go far enough.  We believe that a comprehensive program of research and data collection on elder abuse is required to provide</w:t>
      </w:r>
      <w:r w:rsidR="00E9449D">
        <w:t xml:space="preserve"> </w:t>
      </w:r>
      <w:r w:rsidR="009C071F">
        <w:t xml:space="preserve">a </w:t>
      </w:r>
      <w:r w:rsidR="00E9449D">
        <w:t>solid</w:t>
      </w:r>
      <w:r w:rsidRPr="001B45F7">
        <w:t xml:space="preserve"> evidence-base for good policy and practice.  </w:t>
      </w:r>
      <w:r w:rsidR="00E9449D">
        <w:t>Further consideration and consultation is needed about th</w:t>
      </w:r>
      <w:r w:rsidR="007D1ECB">
        <w:t xml:space="preserve">e key gaps in the evidence-base. </w:t>
      </w:r>
      <w:r w:rsidR="009E0AAE">
        <w:t xml:space="preserve"> Based on work done by NARI and AAG </w:t>
      </w:r>
      <w:r w:rsidR="007D1ECB">
        <w:t>(see further information below)</w:t>
      </w:r>
      <w:r w:rsidR="009E0AAE">
        <w:t xml:space="preserve">, we suggest that an elder abuse research and data program should at least </w:t>
      </w:r>
      <w:r w:rsidR="00E9449D">
        <w:t>include:</w:t>
      </w:r>
    </w:p>
    <w:p w:rsidR="00E260D4" w:rsidRDefault="00E260D4">
      <w:r>
        <w:br w:type="page"/>
      </w:r>
    </w:p>
    <w:p w:rsidR="00E9449D" w:rsidRPr="00E9449D" w:rsidRDefault="0086182E" w:rsidP="00E9449D">
      <w:pPr>
        <w:pStyle w:val="ListParagraph"/>
        <w:numPr>
          <w:ilvl w:val="0"/>
          <w:numId w:val="32"/>
        </w:numPr>
        <w:spacing w:after="0" w:line="240" w:lineRule="auto"/>
      </w:pPr>
      <w:r w:rsidRPr="00E9449D">
        <w:lastRenderedPageBreak/>
        <w:t xml:space="preserve">the </w:t>
      </w:r>
      <w:r w:rsidR="00CE12D8" w:rsidRPr="00E9449D">
        <w:t>risk factors for elder abuse</w:t>
      </w:r>
      <w:r w:rsidR="00E9449D">
        <w:t xml:space="preserve"> (for both people experiencing abuse and people perpetrating abuse)</w:t>
      </w:r>
    </w:p>
    <w:p w:rsidR="00E9449D" w:rsidRPr="00E9449D" w:rsidRDefault="0086182E" w:rsidP="00E9449D">
      <w:pPr>
        <w:pStyle w:val="ListParagraph"/>
        <w:numPr>
          <w:ilvl w:val="0"/>
          <w:numId w:val="32"/>
        </w:numPr>
        <w:spacing w:after="0" w:line="240" w:lineRule="auto"/>
      </w:pPr>
      <w:r w:rsidRPr="00E9449D">
        <w:t xml:space="preserve">effectiveness of </w:t>
      </w:r>
      <w:r w:rsidR="00E9449D" w:rsidRPr="00E9449D">
        <w:t xml:space="preserve">existing prevention, </w:t>
      </w:r>
      <w:r w:rsidRPr="00E9449D">
        <w:t>intervention</w:t>
      </w:r>
      <w:r w:rsidR="00E9449D" w:rsidRPr="00E9449D">
        <w:t xml:space="preserve"> and remediation responses</w:t>
      </w:r>
      <w:r w:rsidRPr="00E9449D">
        <w:t xml:space="preserve"> to address elder abuse</w:t>
      </w:r>
    </w:p>
    <w:p w:rsidR="008915A5" w:rsidRPr="00E9449D" w:rsidRDefault="00C47A6B" w:rsidP="00E9449D">
      <w:pPr>
        <w:pStyle w:val="ListParagraph"/>
        <w:numPr>
          <w:ilvl w:val="0"/>
          <w:numId w:val="32"/>
        </w:numPr>
        <w:spacing w:after="0" w:line="240" w:lineRule="auto"/>
      </w:pPr>
      <w:proofErr w:type="gramStart"/>
      <w:r>
        <w:t>ongoing</w:t>
      </w:r>
      <w:proofErr w:type="gramEnd"/>
      <w:r>
        <w:t xml:space="preserve"> </w:t>
      </w:r>
      <w:r w:rsidR="00E9449D" w:rsidRPr="00E9449D">
        <w:t xml:space="preserve">collection </w:t>
      </w:r>
      <w:r w:rsidR="007D1ECB">
        <w:t xml:space="preserve">and reporting </w:t>
      </w:r>
      <w:r w:rsidR="00E9449D" w:rsidRPr="00E9449D">
        <w:t xml:space="preserve">of </w:t>
      </w:r>
      <w:r w:rsidR="007D1ECB">
        <w:t xml:space="preserve">relevant </w:t>
      </w:r>
      <w:r w:rsidR="00E9449D" w:rsidRPr="00E9449D">
        <w:t xml:space="preserve">data by aged care providers, complaints bodies, </w:t>
      </w:r>
      <w:r w:rsidR="00674941">
        <w:t xml:space="preserve">financial institutions, </w:t>
      </w:r>
      <w:r w:rsidR="00E9449D" w:rsidRPr="00E9449D">
        <w:t>law enforcement agencies and guardianship tribunals.</w:t>
      </w:r>
    </w:p>
    <w:p w:rsidR="00E9449D" w:rsidRDefault="00E9449D" w:rsidP="00307B1C">
      <w:pPr>
        <w:spacing w:after="0" w:line="240" w:lineRule="auto"/>
      </w:pPr>
    </w:p>
    <w:p w:rsidR="00587B42" w:rsidRDefault="00587B42" w:rsidP="00587B42">
      <w:pPr>
        <w:spacing w:after="0" w:line="240" w:lineRule="auto"/>
      </w:pPr>
      <w:r>
        <w:t xml:space="preserve">We note that the </w:t>
      </w:r>
      <w:hyperlink r:id="rId14" w:history="1">
        <w:r w:rsidRPr="00587B42">
          <w:rPr>
            <w:rStyle w:val="Hyperlink"/>
          </w:rPr>
          <w:t xml:space="preserve">Coalition’s 2016 Federal Election </w:t>
        </w:r>
        <w:r>
          <w:rPr>
            <w:rStyle w:val="Hyperlink"/>
          </w:rPr>
          <w:t>policy</w:t>
        </w:r>
      </w:hyperlink>
      <w:r>
        <w:t xml:space="preserve"> (referred to above) included developing measures to enhance the knowledge base relating to risk factors and </w:t>
      </w:r>
      <w:r w:rsidR="009C071F">
        <w:t xml:space="preserve">the </w:t>
      </w:r>
      <w:r>
        <w:t>effectiveness of existing responses.</w:t>
      </w:r>
    </w:p>
    <w:p w:rsidR="00587B42" w:rsidRDefault="00587B42" w:rsidP="00587B42">
      <w:pPr>
        <w:spacing w:after="0" w:line="240" w:lineRule="auto"/>
      </w:pPr>
    </w:p>
    <w:p w:rsidR="009E0AAE" w:rsidRDefault="009E0AAE" w:rsidP="00CE12D8">
      <w:pPr>
        <w:spacing w:after="0" w:line="240" w:lineRule="auto"/>
      </w:pPr>
      <w:r>
        <w:t xml:space="preserve">Relevant work done by NARI and AAG </w:t>
      </w:r>
      <w:r w:rsidR="00CB3C72">
        <w:t>that assists with identifying gaps in the evidence base includes</w:t>
      </w:r>
      <w:r>
        <w:t>:</w:t>
      </w:r>
    </w:p>
    <w:p w:rsidR="009E0AAE" w:rsidRDefault="009E0AAE" w:rsidP="00CE12D8">
      <w:pPr>
        <w:spacing w:after="0" w:line="240" w:lineRule="auto"/>
      </w:pPr>
    </w:p>
    <w:p w:rsidR="00876293" w:rsidRDefault="00876293" w:rsidP="009E0AAE">
      <w:pPr>
        <w:pStyle w:val="ListParagraph"/>
        <w:numPr>
          <w:ilvl w:val="0"/>
          <w:numId w:val="33"/>
        </w:numPr>
        <w:spacing w:after="0" w:line="240" w:lineRule="auto"/>
      </w:pPr>
      <w:r>
        <w:t xml:space="preserve">In June 2015, NARI in partnership with Seniors Rights Victoria (SRV) </w:t>
      </w:r>
      <w:r w:rsidR="00CE12D8">
        <w:t xml:space="preserve">published </w:t>
      </w:r>
      <w:hyperlink r:id="rId15" w:history="1">
        <w:r w:rsidR="00CE12D8" w:rsidRPr="009E0AAE">
          <w:rPr>
            <w:rStyle w:val="Hyperlink"/>
            <w:i/>
          </w:rPr>
          <w:t>Profile of elder abuse in Victoria</w:t>
        </w:r>
      </w:hyperlink>
      <w:r w:rsidR="00CE12D8" w:rsidRPr="009E0AAE">
        <w:rPr>
          <w:i/>
        </w:rPr>
        <w:t xml:space="preserve">: </w:t>
      </w:r>
      <w:r w:rsidRPr="009E0AAE">
        <w:rPr>
          <w:i/>
        </w:rPr>
        <w:t>an analysis of data about people seeking help for elder abuse</w:t>
      </w:r>
      <w:r>
        <w:t xml:space="preserve">. </w:t>
      </w:r>
      <w:r w:rsidRPr="00876293">
        <w:t xml:space="preserve"> </w:t>
      </w:r>
      <w:r w:rsidRPr="00CE12D8">
        <w:t>The report</w:t>
      </w:r>
      <w:r>
        <w:t xml:space="preserve"> shows the kinds and frequency of abuse and other matters being reported to the SRV helpline, as well as some of the common characteristics of the people who experience abuse and those who perpetrate it, and the common responses currently provided.  Th</w:t>
      </w:r>
      <w:r w:rsidR="00CE12D8">
        <w:t>e</w:t>
      </w:r>
      <w:r>
        <w:t xml:space="preserve"> report</w:t>
      </w:r>
      <w:r w:rsidR="00CE12D8">
        <w:t xml:space="preserve"> concludes </w:t>
      </w:r>
      <w:r>
        <w:t xml:space="preserve">that in order to address elder abuse, further research is needed into understanding </w:t>
      </w:r>
      <w:r w:rsidRPr="000424E1">
        <w:rPr>
          <w:i/>
        </w:rPr>
        <w:t>intergenerational family conflict</w:t>
      </w:r>
      <w:r>
        <w:t>.</w:t>
      </w:r>
    </w:p>
    <w:p w:rsidR="00BB4241" w:rsidRDefault="00CE12D8" w:rsidP="00E82D4F">
      <w:pPr>
        <w:pStyle w:val="ListParagraph"/>
        <w:numPr>
          <w:ilvl w:val="0"/>
          <w:numId w:val="33"/>
        </w:numPr>
        <w:spacing w:after="0" w:line="240" w:lineRule="auto"/>
      </w:pPr>
      <w:r>
        <w:t>In September 2016, NA</w:t>
      </w:r>
      <w:r w:rsidR="00BB4241" w:rsidRPr="0086182E">
        <w:t xml:space="preserve">RI </w:t>
      </w:r>
      <w:r>
        <w:t xml:space="preserve">in partnership </w:t>
      </w:r>
      <w:r w:rsidRPr="0086182E">
        <w:t xml:space="preserve">with </w:t>
      </w:r>
      <w:r>
        <w:t xml:space="preserve">the </w:t>
      </w:r>
      <w:r w:rsidRPr="0086182E">
        <w:t xml:space="preserve">Melbourne Social Equity Institute </w:t>
      </w:r>
      <w:r w:rsidR="0086182E" w:rsidRPr="0086182E">
        <w:t xml:space="preserve">completed an </w:t>
      </w:r>
      <w:r w:rsidR="00BB4241" w:rsidRPr="009E0AAE">
        <w:rPr>
          <w:i/>
        </w:rPr>
        <w:t>Elder Abuse Scoping Paper</w:t>
      </w:r>
      <w:r w:rsidR="0086182E" w:rsidRPr="0086182E">
        <w:t>.  The paper</w:t>
      </w:r>
      <w:r w:rsidR="00BB4241" w:rsidRPr="0086182E">
        <w:t xml:space="preserve"> is a consideration of the research literature </w:t>
      </w:r>
      <w:r>
        <w:t>on</w:t>
      </w:r>
      <w:r w:rsidR="00BB4241" w:rsidRPr="0086182E">
        <w:t xml:space="preserve"> understand</w:t>
      </w:r>
      <w:r>
        <w:t>ing</w:t>
      </w:r>
      <w:r w:rsidR="00BB4241" w:rsidRPr="0086182E">
        <w:t xml:space="preserve"> how elder abuse is conceptualised, what interventions have been used to address it, and how effective these interventions have been.</w:t>
      </w:r>
      <w:r w:rsidR="0086182E">
        <w:t xml:space="preserve">  The paper will provide a valuable contribution to </w:t>
      </w:r>
      <w:r w:rsidR="00183806">
        <w:t xml:space="preserve">identifying the gaps in current research and </w:t>
      </w:r>
      <w:r w:rsidR="0086182E">
        <w:t xml:space="preserve">improving the evidence base. </w:t>
      </w:r>
      <w:r w:rsidR="00E82D4F" w:rsidRPr="00E82D4F">
        <w:t>The paper finds that while there is an overall lack of high-quality evidence supporting elder abuse interventions, there are some interventions that address intergenerational familial elder abuse that show evidence or promise and should be further and more rigorously researched and evaluated.</w:t>
      </w:r>
    </w:p>
    <w:p w:rsidR="000424E1" w:rsidRPr="0086182E" w:rsidRDefault="000424E1" w:rsidP="009E0AAE">
      <w:pPr>
        <w:pStyle w:val="ListParagraph"/>
        <w:numPr>
          <w:ilvl w:val="0"/>
          <w:numId w:val="33"/>
        </w:numPr>
        <w:spacing w:after="0" w:line="240" w:lineRule="auto"/>
      </w:pPr>
      <w:r>
        <w:t xml:space="preserve">In June 2016, NARI and SRV published </w:t>
      </w:r>
      <w:hyperlink r:id="rId16" w:history="1">
        <w:proofErr w:type="gramStart"/>
        <w:r w:rsidRPr="008A08F3">
          <w:rPr>
            <w:rStyle w:val="Hyperlink"/>
            <w:i/>
          </w:rPr>
          <w:t>The</w:t>
        </w:r>
        <w:proofErr w:type="gramEnd"/>
        <w:r w:rsidRPr="008A08F3">
          <w:rPr>
            <w:rStyle w:val="Hyperlink"/>
            <w:i/>
          </w:rPr>
          <w:t xml:space="preserve"> older person’s experience: outcomes of interventions into elder abuse</w:t>
        </w:r>
      </w:hyperlink>
      <w:r>
        <w:t xml:space="preserve">.  This report documented the </w:t>
      </w:r>
      <w:r w:rsidR="00282454">
        <w:t xml:space="preserve">unique </w:t>
      </w:r>
      <w:r>
        <w:t xml:space="preserve">experiences of 28 older people who had experienced abuse and sought help from SRV. </w:t>
      </w:r>
      <w:r w:rsidR="00282454">
        <w:t xml:space="preserve">The report highlighted the need for a range of interventions to address elder abuse because each case has its own unique features. However key recommendations included the need for: greater efforts to ensure older people are aware of their legal rights; awareness </w:t>
      </w:r>
      <w:proofErr w:type="gramStart"/>
      <w:r w:rsidR="00282454">
        <w:t>raising</w:t>
      </w:r>
      <w:proofErr w:type="gramEnd"/>
      <w:r w:rsidR="00282454">
        <w:t xml:space="preserve"> about elder abuse; and further refinement and testing of non-legal therapeutic approaches, such as family mediation.</w:t>
      </w:r>
    </w:p>
    <w:p w:rsidR="000E1956" w:rsidRPr="000E1956" w:rsidRDefault="00CE12D8" w:rsidP="009E0AAE">
      <w:pPr>
        <w:pStyle w:val="ListParagraph"/>
        <w:numPr>
          <w:ilvl w:val="0"/>
          <w:numId w:val="33"/>
        </w:numPr>
        <w:spacing w:after="0" w:line="240" w:lineRule="auto"/>
      </w:pPr>
      <w:r w:rsidRPr="000E1956">
        <w:t>In November</w:t>
      </w:r>
      <w:r w:rsidR="000E21AC" w:rsidRPr="000E1956">
        <w:t xml:space="preserve"> 2016</w:t>
      </w:r>
      <w:r w:rsidR="000E1956" w:rsidRPr="000E1956">
        <w:t>,</w:t>
      </w:r>
      <w:r w:rsidR="000E21AC" w:rsidRPr="000E1956">
        <w:t xml:space="preserve"> </w:t>
      </w:r>
      <w:r w:rsidR="00BB4241" w:rsidRPr="000E1956">
        <w:t xml:space="preserve">AAG held </w:t>
      </w:r>
      <w:r w:rsidR="000E21AC" w:rsidRPr="000E1956">
        <w:t xml:space="preserve">a number of </w:t>
      </w:r>
      <w:r w:rsidR="00BB4241" w:rsidRPr="000E1956">
        <w:t xml:space="preserve">sessions on elder abuse at its </w:t>
      </w:r>
      <w:hyperlink r:id="rId17" w:history="1">
        <w:r w:rsidR="00BB4241" w:rsidRPr="009E0AAE">
          <w:rPr>
            <w:rStyle w:val="Hyperlink"/>
            <w:i/>
          </w:rPr>
          <w:t>Annual National Conference</w:t>
        </w:r>
        <w:r w:rsidR="000E1956" w:rsidRPr="009E0AAE">
          <w:rPr>
            <w:rStyle w:val="Hyperlink"/>
            <w:i/>
          </w:rPr>
          <w:t xml:space="preserve">. </w:t>
        </w:r>
      </w:hyperlink>
      <w:r w:rsidR="000E1956" w:rsidRPr="009E0AAE">
        <w:rPr>
          <w:i/>
        </w:rPr>
        <w:t xml:space="preserve"> </w:t>
      </w:r>
      <w:r w:rsidR="000E1956" w:rsidRPr="000E1956">
        <w:t xml:space="preserve">These presentations explored some of the other aspects of elder abuse that may warrant further research, </w:t>
      </w:r>
      <w:r w:rsidR="005713C6">
        <w:t>for example</w:t>
      </w:r>
      <w:r w:rsidR="000E1956" w:rsidRPr="000E1956">
        <w:t>:</w:t>
      </w:r>
    </w:p>
    <w:p w:rsidR="00BB4241" w:rsidRPr="005713C6" w:rsidRDefault="00BB4241" w:rsidP="009E0AAE">
      <w:pPr>
        <w:pStyle w:val="ListParagraph"/>
        <w:numPr>
          <w:ilvl w:val="1"/>
          <w:numId w:val="33"/>
        </w:numPr>
        <w:spacing w:after="0" w:line="240" w:lineRule="auto"/>
      </w:pPr>
      <w:r w:rsidRPr="005713C6">
        <w:rPr>
          <w:i/>
        </w:rPr>
        <w:t>A scoping study of responses to elder abuse in Tasmania</w:t>
      </w:r>
      <w:r w:rsidR="00AF0BA6" w:rsidRPr="005713C6">
        <w:t xml:space="preserve"> by Susan Banks</w:t>
      </w:r>
      <w:r w:rsidR="005713C6">
        <w:t xml:space="preserve"> (University of Tasmania)</w:t>
      </w:r>
      <w:r w:rsidR="007D1ECB">
        <w:t>.</w:t>
      </w:r>
    </w:p>
    <w:p w:rsidR="00CE0296" w:rsidRPr="00CE0296" w:rsidRDefault="00852D5B" w:rsidP="009E0AAE">
      <w:pPr>
        <w:pStyle w:val="ListParagraph"/>
        <w:numPr>
          <w:ilvl w:val="1"/>
          <w:numId w:val="33"/>
        </w:numPr>
        <w:spacing w:after="0" w:line="240" w:lineRule="auto"/>
      </w:pPr>
      <w:r>
        <w:rPr>
          <w:i/>
        </w:rPr>
        <w:t xml:space="preserve">Education as intervention in elder abuse </w:t>
      </w:r>
      <w:r w:rsidRPr="00CE0296">
        <w:t>by Gary Ferguson (Sen</w:t>
      </w:r>
      <w:r w:rsidR="00CE0296" w:rsidRPr="00CE0296">
        <w:t>iors Rights Victoria).</w:t>
      </w:r>
    </w:p>
    <w:p w:rsidR="00BB4241" w:rsidRPr="005713C6" w:rsidRDefault="00BB4241" w:rsidP="009E0AAE">
      <w:pPr>
        <w:pStyle w:val="ListParagraph"/>
        <w:numPr>
          <w:ilvl w:val="1"/>
          <w:numId w:val="33"/>
        </w:numPr>
        <w:spacing w:after="0" w:line="240" w:lineRule="auto"/>
      </w:pPr>
      <w:r w:rsidRPr="005713C6">
        <w:rPr>
          <w:i/>
        </w:rPr>
        <w:t>Elder mediation: a collaborative approach to addressing elder abuse</w:t>
      </w:r>
      <w:r w:rsidR="00AF0BA6" w:rsidRPr="005713C6">
        <w:t xml:space="preserve"> by Anita </w:t>
      </w:r>
      <w:proofErr w:type="spellStart"/>
      <w:r w:rsidR="00AF0BA6" w:rsidRPr="005713C6">
        <w:t>Frayman</w:t>
      </w:r>
      <w:proofErr w:type="spellEnd"/>
      <w:r w:rsidR="005713C6">
        <w:t xml:space="preserve"> (Elder Solutions).</w:t>
      </w:r>
    </w:p>
    <w:p w:rsidR="007F76C2" w:rsidRPr="000E1956" w:rsidRDefault="007F76C2" w:rsidP="00307B1C">
      <w:pPr>
        <w:spacing w:after="0" w:line="240" w:lineRule="auto"/>
      </w:pPr>
    </w:p>
    <w:p w:rsidR="00B562AF" w:rsidRDefault="00B562AF">
      <w:pPr>
        <w:rPr>
          <w:rFonts w:eastAsiaTheme="majorEastAsia" w:cstheme="majorBidi"/>
          <w:b/>
          <w:bCs/>
          <w:color w:val="4F81BD" w:themeColor="accent1"/>
          <w:sz w:val="28"/>
          <w:szCs w:val="28"/>
        </w:rPr>
      </w:pPr>
      <w:r>
        <w:rPr>
          <w:sz w:val="28"/>
          <w:szCs w:val="28"/>
        </w:rPr>
        <w:br w:type="page"/>
      </w:r>
    </w:p>
    <w:p w:rsidR="00505BD0" w:rsidRPr="00BB0E19" w:rsidRDefault="00505BD0" w:rsidP="00307B1C">
      <w:pPr>
        <w:pStyle w:val="Heading2"/>
        <w:spacing w:before="0" w:line="240" w:lineRule="auto"/>
        <w:rPr>
          <w:sz w:val="28"/>
          <w:szCs w:val="28"/>
        </w:rPr>
      </w:pPr>
      <w:r w:rsidRPr="00BB0E19">
        <w:rPr>
          <w:sz w:val="28"/>
          <w:szCs w:val="28"/>
        </w:rPr>
        <w:lastRenderedPageBreak/>
        <w:t>P</w:t>
      </w:r>
      <w:r w:rsidR="00247A2D" w:rsidRPr="00BB0E19">
        <w:rPr>
          <w:sz w:val="28"/>
          <w:szCs w:val="28"/>
        </w:rPr>
        <w:t>owers of investigation</w:t>
      </w:r>
    </w:p>
    <w:p w:rsidR="00307B1C" w:rsidRDefault="00307B1C" w:rsidP="00307B1C">
      <w:pPr>
        <w:spacing w:after="0" w:line="240" w:lineRule="auto"/>
      </w:pPr>
    </w:p>
    <w:p w:rsidR="00E64A6A" w:rsidRDefault="00E64A6A" w:rsidP="00E64A6A">
      <w:pPr>
        <w:spacing w:after="0" w:line="240" w:lineRule="auto"/>
        <w:rPr>
          <w:color w:val="C00000"/>
        </w:rPr>
      </w:pPr>
      <w:r w:rsidRPr="00E64A6A">
        <w:rPr>
          <w:color w:val="C00000"/>
        </w:rPr>
        <w:t>Proposal 3-1: State and territory public advocates or public guardians should be given the power to investigate elder abuse where they have a reasonable cause to suspect that an older person:</w:t>
      </w:r>
    </w:p>
    <w:p w:rsidR="00E64A6A" w:rsidRPr="00E64A6A" w:rsidRDefault="00E64A6A" w:rsidP="00E64A6A">
      <w:pPr>
        <w:spacing w:after="0" w:line="240" w:lineRule="auto"/>
        <w:rPr>
          <w:color w:val="C00000"/>
        </w:rPr>
      </w:pPr>
    </w:p>
    <w:p w:rsidR="00E64A6A" w:rsidRPr="00E64A6A" w:rsidRDefault="00E64A6A" w:rsidP="00E64A6A">
      <w:pPr>
        <w:pStyle w:val="ListParagraph"/>
        <w:numPr>
          <w:ilvl w:val="0"/>
          <w:numId w:val="34"/>
        </w:numPr>
        <w:spacing w:after="0" w:line="240" w:lineRule="auto"/>
        <w:rPr>
          <w:color w:val="C00000"/>
        </w:rPr>
      </w:pPr>
      <w:r w:rsidRPr="00E64A6A">
        <w:rPr>
          <w:color w:val="C00000"/>
        </w:rPr>
        <w:t>has care and support needs;</w:t>
      </w:r>
    </w:p>
    <w:p w:rsidR="00E64A6A" w:rsidRPr="00E64A6A" w:rsidRDefault="00E64A6A" w:rsidP="00E64A6A">
      <w:pPr>
        <w:pStyle w:val="ListParagraph"/>
        <w:numPr>
          <w:ilvl w:val="0"/>
          <w:numId w:val="34"/>
        </w:numPr>
        <w:spacing w:after="0" w:line="240" w:lineRule="auto"/>
        <w:rPr>
          <w:color w:val="C00000"/>
        </w:rPr>
      </w:pPr>
      <w:r w:rsidRPr="00E64A6A">
        <w:rPr>
          <w:color w:val="C00000"/>
        </w:rPr>
        <w:t>is, or is at risk of, being abused or neglected; and</w:t>
      </w:r>
    </w:p>
    <w:p w:rsidR="00E64A6A" w:rsidRDefault="00E64A6A" w:rsidP="00E64A6A">
      <w:pPr>
        <w:pStyle w:val="ListParagraph"/>
        <w:numPr>
          <w:ilvl w:val="0"/>
          <w:numId w:val="34"/>
        </w:numPr>
        <w:spacing w:after="0" w:line="240" w:lineRule="auto"/>
        <w:rPr>
          <w:color w:val="C00000"/>
        </w:rPr>
      </w:pPr>
      <w:proofErr w:type="gramStart"/>
      <w:r w:rsidRPr="00E64A6A">
        <w:rPr>
          <w:color w:val="C00000"/>
        </w:rPr>
        <w:t>is</w:t>
      </w:r>
      <w:proofErr w:type="gramEnd"/>
      <w:r w:rsidRPr="00E64A6A">
        <w:rPr>
          <w:color w:val="C00000"/>
        </w:rPr>
        <w:t xml:space="preserve"> unable to protect themselves from the abuse or neglect, or the risk of it because of care and support needs.</w:t>
      </w:r>
    </w:p>
    <w:p w:rsidR="00E64A6A" w:rsidRPr="00E64A6A" w:rsidRDefault="00E64A6A" w:rsidP="00E64A6A">
      <w:pPr>
        <w:pStyle w:val="ListParagraph"/>
        <w:spacing w:after="0" w:line="240" w:lineRule="auto"/>
        <w:ind w:left="360"/>
        <w:rPr>
          <w:color w:val="C00000"/>
        </w:rPr>
      </w:pPr>
    </w:p>
    <w:p w:rsidR="00E64A6A" w:rsidRPr="00E64A6A" w:rsidRDefault="00E64A6A" w:rsidP="00E64A6A">
      <w:pPr>
        <w:spacing w:after="0" w:line="240" w:lineRule="auto"/>
        <w:rPr>
          <w:color w:val="C00000"/>
        </w:rPr>
      </w:pPr>
      <w:r w:rsidRPr="00E64A6A">
        <w:rPr>
          <w:color w:val="C00000"/>
        </w:rPr>
        <w:t>Public advocates or public guardians should be able to exercise this power on</w:t>
      </w:r>
      <w:r>
        <w:rPr>
          <w:color w:val="C00000"/>
        </w:rPr>
        <w:t xml:space="preserve"> </w:t>
      </w:r>
      <w:r w:rsidRPr="00E64A6A">
        <w:rPr>
          <w:color w:val="C00000"/>
        </w:rPr>
        <w:t>receipt of a complaint or referral or on their own motion.</w:t>
      </w:r>
    </w:p>
    <w:p w:rsidR="00E64A6A" w:rsidRDefault="00E64A6A" w:rsidP="00E64A6A">
      <w:pPr>
        <w:spacing w:after="0" w:line="240" w:lineRule="auto"/>
      </w:pPr>
    </w:p>
    <w:p w:rsidR="00E73881" w:rsidRDefault="00E64A6A" w:rsidP="00E73881">
      <w:pPr>
        <w:spacing w:after="0" w:line="240" w:lineRule="auto"/>
      </w:pPr>
      <w:r>
        <w:t xml:space="preserve">We </w:t>
      </w:r>
      <w:r w:rsidR="00E73881">
        <w:t xml:space="preserve">strongly </w:t>
      </w:r>
      <w:r>
        <w:t>support this proposal in princip</w:t>
      </w:r>
      <w:r w:rsidR="00F25293">
        <w:t>le</w:t>
      </w:r>
      <w:r w:rsidR="00E73881">
        <w:t xml:space="preserve"> but note that it will only be effective if </w:t>
      </w:r>
      <w:r w:rsidR="008246CE">
        <w:t xml:space="preserve">there is much better resourcing by </w:t>
      </w:r>
      <w:r w:rsidR="00E73881">
        <w:t>state governments</w:t>
      </w:r>
      <w:r w:rsidR="008246CE">
        <w:t xml:space="preserve"> to enable public advocates or public guardians to conduct proper investigations</w:t>
      </w:r>
      <w:r w:rsidR="00E73881" w:rsidRPr="008A0624">
        <w:t>.</w:t>
      </w:r>
      <w:r w:rsidR="008246CE">
        <w:t xml:space="preserve">  This may result in significant disparities between states and territories.</w:t>
      </w:r>
    </w:p>
    <w:p w:rsidR="00E73881" w:rsidRDefault="00E73881" w:rsidP="00E73881">
      <w:pPr>
        <w:spacing w:after="0" w:line="240" w:lineRule="auto"/>
      </w:pPr>
    </w:p>
    <w:p w:rsidR="00E64A6A" w:rsidRDefault="00E73881" w:rsidP="00E64A6A">
      <w:pPr>
        <w:spacing w:after="0" w:line="240" w:lineRule="auto"/>
      </w:pPr>
      <w:r>
        <w:t>We also believe that</w:t>
      </w:r>
      <w:r w:rsidR="00E64A6A">
        <w:t xml:space="preserve"> further consideration and consultation is </w:t>
      </w:r>
      <w:r w:rsidR="0062112C">
        <w:t>needed</w:t>
      </w:r>
      <w:r w:rsidR="00E64A6A">
        <w:t xml:space="preserve"> about the following aspects of the proposal:</w:t>
      </w:r>
    </w:p>
    <w:p w:rsidR="00E64A6A" w:rsidRDefault="00E64A6A" w:rsidP="00E64A6A">
      <w:pPr>
        <w:spacing w:after="0" w:line="240" w:lineRule="auto"/>
      </w:pPr>
    </w:p>
    <w:p w:rsidR="00153AC3" w:rsidRDefault="00255DE4" w:rsidP="00153AC3">
      <w:pPr>
        <w:pStyle w:val="ListParagraph"/>
        <w:numPr>
          <w:ilvl w:val="0"/>
          <w:numId w:val="35"/>
        </w:numPr>
        <w:spacing w:after="0" w:line="240" w:lineRule="auto"/>
      </w:pPr>
      <w:r>
        <w:t>Should</w:t>
      </w:r>
      <w:r w:rsidR="00E64A6A">
        <w:t xml:space="preserve"> this investigative power depend on who </w:t>
      </w:r>
      <w:r w:rsidR="0062112C">
        <w:t>the (</w:t>
      </w:r>
      <w:r w:rsidR="00E64A6A">
        <w:t>actual or potential</w:t>
      </w:r>
      <w:r w:rsidR="0062112C">
        <w:t>)</w:t>
      </w:r>
      <w:r w:rsidR="00E64A6A">
        <w:t xml:space="preserve"> abuser is?  For example, is it intended that the public advocate </w:t>
      </w:r>
      <w:r>
        <w:t>could</w:t>
      </w:r>
      <w:r w:rsidR="00E64A6A">
        <w:t xml:space="preserve"> investigate a</w:t>
      </w:r>
      <w:r w:rsidR="00153AC3">
        <w:t>buse</w:t>
      </w:r>
      <w:r w:rsidR="00E64A6A">
        <w:t xml:space="preserve"> by </w:t>
      </w:r>
      <w:r w:rsidR="00153AC3">
        <w:t xml:space="preserve">a </w:t>
      </w:r>
      <w:r w:rsidR="009C071F">
        <w:t>stranger</w:t>
      </w:r>
      <w:r w:rsidR="00153AC3">
        <w:t xml:space="preserve"> </w:t>
      </w:r>
      <w:r w:rsidR="00E64A6A">
        <w:t xml:space="preserve">or a co-resident </w:t>
      </w:r>
      <w:r>
        <w:t>(</w:t>
      </w:r>
      <w:r w:rsidR="00E64A6A">
        <w:t xml:space="preserve">in </w:t>
      </w:r>
      <w:r>
        <w:t>residential</w:t>
      </w:r>
      <w:r w:rsidR="00E64A6A">
        <w:t xml:space="preserve"> aged care</w:t>
      </w:r>
      <w:r>
        <w:t>)</w:t>
      </w:r>
      <w:r w:rsidR="00153AC3">
        <w:t>?  T</w:t>
      </w:r>
      <w:r w:rsidR="00E64A6A">
        <w:t>raditional definition</w:t>
      </w:r>
      <w:r w:rsidR="00153AC3">
        <w:t>s</w:t>
      </w:r>
      <w:r w:rsidR="00E64A6A">
        <w:t xml:space="preserve"> of ‘elder abuse’ </w:t>
      </w:r>
      <w:r w:rsidR="00153AC3">
        <w:t xml:space="preserve">might exclude these examples because they are relationships </w:t>
      </w:r>
      <w:r w:rsidR="00E64A6A">
        <w:t xml:space="preserve">where there is </w:t>
      </w:r>
      <w:r w:rsidR="00153AC3">
        <w:t>no</w:t>
      </w:r>
      <w:r w:rsidR="00E64A6A">
        <w:t xml:space="preserve"> expectation of trust.</w:t>
      </w:r>
    </w:p>
    <w:p w:rsidR="005A7D59" w:rsidRDefault="005A7D59" w:rsidP="005A7D59">
      <w:pPr>
        <w:pStyle w:val="ListParagraph"/>
        <w:spacing w:after="0" w:line="240" w:lineRule="auto"/>
      </w:pPr>
    </w:p>
    <w:p w:rsidR="00C34F3D" w:rsidRDefault="00153AC3" w:rsidP="00153AC3">
      <w:pPr>
        <w:pStyle w:val="ListParagraph"/>
        <w:numPr>
          <w:ilvl w:val="0"/>
          <w:numId w:val="35"/>
        </w:numPr>
        <w:spacing w:after="0" w:line="240" w:lineRule="auto"/>
      </w:pPr>
      <w:r>
        <w:t xml:space="preserve">Should the definition of ‘care and support needs’ </w:t>
      </w:r>
      <w:r w:rsidR="00C34F3D">
        <w:t xml:space="preserve">(at paragraph 3.32) </w:t>
      </w:r>
      <w:r>
        <w:t>include physical restraint</w:t>
      </w:r>
      <w:r w:rsidR="009C071F">
        <w:t xml:space="preserve"> but</w:t>
      </w:r>
      <w:r w:rsidR="00C34F3D">
        <w:t xml:space="preserve"> exclude</w:t>
      </w:r>
      <w:r>
        <w:t xml:space="preserve"> other forms of </w:t>
      </w:r>
      <w:r w:rsidR="009C071F">
        <w:t>restrictive practices</w:t>
      </w:r>
      <w:r>
        <w:t>?  For example, is it intended that the public advocate</w:t>
      </w:r>
      <w:r w:rsidR="00C34F3D">
        <w:t>:</w:t>
      </w:r>
    </w:p>
    <w:p w:rsidR="00C34F3D" w:rsidRDefault="00153AC3" w:rsidP="00C34F3D">
      <w:pPr>
        <w:pStyle w:val="ListParagraph"/>
        <w:numPr>
          <w:ilvl w:val="1"/>
          <w:numId w:val="35"/>
        </w:numPr>
        <w:spacing w:after="0" w:line="240" w:lineRule="auto"/>
      </w:pPr>
      <w:r>
        <w:t>could investigate instances of physical restraint in private homes and/or residential aged care</w:t>
      </w:r>
      <w:r w:rsidR="00255DE4">
        <w:t>, but</w:t>
      </w:r>
    </w:p>
    <w:p w:rsidR="00C34F3D" w:rsidRDefault="00C34F3D" w:rsidP="00C34F3D">
      <w:pPr>
        <w:pStyle w:val="ListParagraph"/>
        <w:numPr>
          <w:ilvl w:val="1"/>
          <w:numId w:val="35"/>
        </w:numPr>
        <w:spacing w:after="0" w:line="240" w:lineRule="auto"/>
      </w:pPr>
      <w:proofErr w:type="gramStart"/>
      <w:r>
        <w:t>could</w:t>
      </w:r>
      <w:proofErr w:type="gramEnd"/>
      <w:r>
        <w:t xml:space="preserve"> </w:t>
      </w:r>
      <w:r w:rsidRPr="00C34F3D">
        <w:rPr>
          <w:u w:val="single"/>
        </w:rPr>
        <w:t>not</w:t>
      </w:r>
      <w:r>
        <w:t xml:space="preserve"> investigate </w:t>
      </w:r>
      <w:r w:rsidR="00153AC3">
        <w:t xml:space="preserve">instances of </w:t>
      </w:r>
      <w:r w:rsidR="009C071F">
        <w:t xml:space="preserve">mechanical restraint, </w:t>
      </w:r>
      <w:r w:rsidR="00153AC3">
        <w:t>chemical restraint</w:t>
      </w:r>
      <w:r w:rsidR="009C071F">
        <w:t>, seclusion or detention (as defined at paragraph 11.236)</w:t>
      </w:r>
      <w:r w:rsidR="00153AC3">
        <w:t>?</w:t>
      </w:r>
    </w:p>
    <w:p w:rsidR="005A7D59" w:rsidRDefault="005A7D59" w:rsidP="005A7D59">
      <w:pPr>
        <w:pStyle w:val="ListParagraph"/>
        <w:spacing w:after="0" w:line="240" w:lineRule="auto"/>
        <w:ind w:left="1440"/>
      </w:pPr>
    </w:p>
    <w:p w:rsidR="00DC2253" w:rsidRDefault="009E696E" w:rsidP="00DC2253">
      <w:pPr>
        <w:spacing w:after="0" w:line="240" w:lineRule="auto"/>
      </w:pPr>
      <w:r>
        <w:t>See further comments about restrictive practices below (proposal 11-7).</w:t>
      </w:r>
    </w:p>
    <w:p w:rsidR="00E73881" w:rsidRDefault="00E73881" w:rsidP="00DC2253">
      <w:pPr>
        <w:spacing w:after="0" w:line="240" w:lineRule="auto"/>
      </w:pPr>
    </w:p>
    <w:p w:rsidR="00E57F5D" w:rsidRDefault="00CE2371" w:rsidP="00DC2253">
      <w:pPr>
        <w:spacing w:after="0" w:line="240" w:lineRule="auto"/>
      </w:pPr>
      <w:r>
        <w:t xml:space="preserve">Finally, we note that this expanded power will represent a significant departure from the current business of public guardians, from working with people who do </w:t>
      </w:r>
      <w:r w:rsidRPr="008A08F3">
        <w:rPr>
          <w:u w:val="single"/>
        </w:rPr>
        <w:t>not</w:t>
      </w:r>
      <w:r>
        <w:t xml:space="preserve"> have mental capacity to make decisions to working with people who have ‘</w:t>
      </w:r>
      <w:proofErr w:type="spellStart"/>
      <w:r>
        <w:t>çare</w:t>
      </w:r>
      <w:proofErr w:type="spellEnd"/>
      <w:r>
        <w:t xml:space="preserve"> and support needs’ but may still have mental capacity.  This will require careful</w:t>
      </w:r>
      <w:r w:rsidR="00E57F5D">
        <w:t xml:space="preserve"> change management around policies, practices, training and supervision.</w:t>
      </w:r>
    </w:p>
    <w:p w:rsidR="008A0624" w:rsidRDefault="008A0624" w:rsidP="00DC2253">
      <w:pPr>
        <w:spacing w:after="0" w:line="240" w:lineRule="auto"/>
      </w:pPr>
    </w:p>
    <w:p w:rsidR="00017B44" w:rsidRDefault="00017B44" w:rsidP="00017B44">
      <w:pPr>
        <w:spacing w:after="0" w:line="240" w:lineRule="auto"/>
        <w:rPr>
          <w:color w:val="C00000"/>
        </w:rPr>
      </w:pPr>
      <w:r w:rsidRPr="00017B44">
        <w:rPr>
          <w:color w:val="C00000"/>
        </w:rPr>
        <w:t>Proposal 3-2: Public advocates or public guardians should be guided by the following principles:</w:t>
      </w:r>
    </w:p>
    <w:p w:rsidR="0024627B" w:rsidRPr="00017B44" w:rsidRDefault="0024627B" w:rsidP="00017B44">
      <w:pPr>
        <w:spacing w:after="0" w:line="240" w:lineRule="auto"/>
        <w:rPr>
          <w:color w:val="C00000"/>
        </w:rPr>
      </w:pPr>
    </w:p>
    <w:p w:rsidR="00017B44" w:rsidRPr="00017B44" w:rsidRDefault="00017B44" w:rsidP="00017B44">
      <w:pPr>
        <w:pStyle w:val="ListParagraph"/>
        <w:numPr>
          <w:ilvl w:val="0"/>
          <w:numId w:val="36"/>
        </w:numPr>
        <w:spacing w:after="0" w:line="240" w:lineRule="auto"/>
        <w:rPr>
          <w:color w:val="C00000"/>
        </w:rPr>
      </w:pPr>
      <w:r w:rsidRPr="00017B44">
        <w:rPr>
          <w:color w:val="C00000"/>
        </w:rPr>
        <w:t>older people experiencing abuse or neglect have the right to refuse support, assistance or protection;</w:t>
      </w:r>
    </w:p>
    <w:p w:rsidR="00017B44" w:rsidRPr="00017B44" w:rsidRDefault="00017B44" w:rsidP="00017B44">
      <w:pPr>
        <w:pStyle w:val="ListParagraph"/>
        <w:numPr>
          <w:ilvl w:val="0"/>
          <w:numId w:val="36"/>
        </w:numPr>
        <w:spacing w:after="0" w:line="240" w:lineRule="auto"/>
        <w:rPr>
          <w:color w:val="C00000"/>
        </w:rPr>
      </w:pPr>
      <w:r w:rsidRPr="00017B44">
        <w:rPr>
          <w:color w:val="C00000"/>
        </w:rPr>
        <w:t>the need to protect someone from abuse or neglect must be balanced with respect for the person’s right to make their own decisions about their care; and</w:t>
      </w:r>
    </w:p>
    <w:p w:rsidR="00C34F3D" w:rsidRPr="00017B44" w:rsidRDefault="00017B44" w:rsidP="00017B44">
      <w:pPr>
        <w:pStyle w:val="ListParagraph"/>
        <w:numPr>
          <w:ilvl w:val="0"/>
          <w:numId w:val="36"/>
        </w:numPr>
        <w:spacing w:after="0" w:line="240" w:lineRule="auto"/>
        <w:rPr>
          <w:color w:val="C00000"/>
        </w:rPr>
      </w:pPr>
      <w:proofErr w:type="gramStart"/>
      <w:r w:rsidRPr="00017B44">
        <w:rPr>
          <w:color w:val="C00000"/>
        </w:rPr>
        <w:t>the</w:t>
      </w:r>
      <w:proofErr w:type="gramEnd"/>
      <w:r w:rsidRPr="00017B44">
        <w:rPr>
          <w:color w:val="C00000"/>
        </w:rPr>
        <w:t xml:space="preserve"> will, preferences and rights of the older person must be respected.</w:t>
      </w:r>
    </w:p>
    <w:p w:rsidR="00C34F3D" w:rsidRDefault="00C34F3D" w:rsidP="00C34F3D">
      <w:pPr>
        <w:pStyle w:val="ListParagraph"/>
        <w:spacing w:after="0" w:line="240" w:lineRule="auto"/>
      </w:pPr>
    </w:p>
    <w:p w:rsidR="00C34F3D" w:rsidRDefault="00017B44" w:rsidP="00017B44">
      <w:pPr>
        <w:spacing w:after="0" w:line="240" w:lineRule="auto"/>
      </w:pPr>
      <w:r>
        <w:t xml:space="preserve">We </w:t>
      </w:r>
      <w:r w:rsidR="00407AFD">
        <w:t xml:space="preserve">strongly </w:t>
      </w:r>
      <w:r>
        <w:t>support this proposal.</w:t>
      </w:r>
    </w:p>
    <w:p w:rsidR="00017B44" w:rsidRDefault="00017B44" w:rsidP="00017B44">
      <w:pPr>
        <w:spacing w:after="0" w:line="240" w:lineRule="auto"/>
      </w:pPr>
    </w:p>
    <w:p w:rsidR="00017B44" w:rsidRDefault="00017B44" w:rsidP="00017B44">
      <w:pPr>
        <w:spacing w:after="0" w:line="240" w:lineRule="auto"/>
        <w:rPr>
          <w:color w:val="C00000"/>
        </w:rPr>
      </w:pPr>
      <w:r w:rsidRPr="00017B44">
        <w:rPr>
          <w:color w:val="C00000"/>
        </w:rPr>
        <w:lastRenderedPageBreak/>
        <w:t>Proposal 3-3: Public advocates or public guardians should have the power to require that a person, other than the older person:</w:t>
      </w:r>
    </w:p>
    <w:p w:rsidR="0024627B" w:rsidRPr="00017B44" w:rsidRDefault="0024627B" w:rsidP="00017B44">
      <w:pPr>
        <w:spacing w:after="0" w:line="240" w:lineRule="auto"/>
        <w:rPr>
          <w:color w:val="C00000"/>
        </w:rPr>
      </w:pPr>
    </w:p>
    <w:p w:rsidR="00017B44" w:rsidRPr="00017B44" w:rsidRDefault="00017B44" w:rsidP="00017B44">
      <w:pPr>
        <w:pStyle w:val="ListParagraph"/>
        <w:numPr>
          <w:ilvl w:val="0"/>
          <w:numId w:val="37"/>
        </w:numPr>
        <w:spacing w:after="0" w:line="240" w:lineRule="auto"/>
        <w:rPr>
          <w:color w:val="C00000"/>
        </w:rPr>
      </w:pPr>
      <w:r w:rsidRPr="00017B44">
        <w:rPr>
          <w:color w:val="C00000"/>
        </w:rPr>
        <w:t>furnish information;</w:t>
      </w:r>
    </w:p>
    <w:p w:rsidR="00017B44" w:rsidRPr="00017B44" w:rsidRDefault="00017B44" w:rsidP="00017B44">
      <w:pPr>
        <w:pStyle w:val="ListParagraph"/>
        <w:numPr>
          <w:ilvl w:val="0"/>
          <w:numId w:val="37"/>
        </w:numPr>
        <w:spacing w:after="0" w:line="240" w:lineRule="auto"/>
        <w:rPr>
          <w:color w:val="C00000"/>
        </w:rPr>
      </w:pPr>
      <w:r w:rsidRPr="00017B44">
        <w:rPr>
          <w:color w:val="C00000"/>
        </w:rPr>
        <w:t>produce documents; or</w:t>
      </w:r>
    </w:p>
    <w:p w:rsidR="00017B44" w:rsidRPr="00017B44" w:rsidRDefault="00017B44" w:rsidP="00017B44">
      <w:pPr>
        <w:pStyle w:val="ListParagraph"/>
        <w:numPr>
          <w:ilvl w:val="0"/>
          <w:numId w:val="37"/>
        </w:numPr>
        <w:spacing w:after="0" w:line="240" w:lineRule="auto"/>
        <w:rPr>
          <w:color w:val="C00000"/>
        </w:rPr>
      </w:pPr>
      <w:proofErr w:type="gramStart"/>
      <w:r w:rsidRPr="00017B44">
        <w:rPr>
          <w:color w:val="C00000"/>
        </w:rPr>
        <w:t>participate</w:t>
      </w:r>
      <w:proofErr w:type="gramEnd"/>
      <w:r w:rsidRPr="00017B44">
        <w:rPr>
          <w:color w:val="C00000"/>
        </w:rPr>
        <w:t xml:space="preserve"> in an interview relating to an investigation of the abuse or neglect of an older person.</w:t>
      </w:r>
    </w:p>
    <w:p w:rsidR="00153AC3" w:rsidRDefault="00153AC3" w:rsidP="00E64A6A">
      <w:pPr>
        <w:spacing w:after="0" w:line="240" w:lineRule="auto"/>
      </w:pPr>
    </w:p>
    <w:p w:rsidR="0024627B" w:rsidRDefault="00017B44" w:rsidP="00017B44">
      <w:pPr>
        <w:spacing w:after="0" w:line="240" w:lineRule="auto"/>
      </w:pPr>
      <w:r>
        <w:t>We</w:t>
      </w:r>
      <w:r w:rsidRPr="00017B44">
        <w:t xml:space="preserve"> </w:t>
      </w:r>
      <w:r>
        <w:t xml:space="preserve">support this proposal in principal.  However, we believe further consideration and consultation is required about </w:t>
      </w:r>
      <w:r w:rsidR="00407AFD">
        <w:t xml:space="preserve">appropriate legal </w:t>
      </w:r>
      <w:r w:rsidR="00327296">
        <w:t>safeguards</w:t>
      </w:r>
      <w:r w:rsidR="0052585D">
        <w:t xml:space="preserve"> for people furnishing information, providing documents or participating in interviews,</w:t>
      </w:r>
      <w:r w:rsidR="00327296">
        <w:t xml:space="preserve"> </w:t>
      </w:r>
      <w:r w:rsidR="00407AFD">
        <w:t>for example</w:t>
      </w:r>
      <w:r w:rsidR="00C04E29">
        <w:t>:</w:t>
      </w:r>
    </w:p>
    <w:p w:rsidR="0024627B" w:rsidRDefault="0024627B" w:rsidP="00017B44">
      <w:pPr>
        <w:spacing w:after="0" w:line="240" w:lineRule="auto"/>
      </w:pPr>
    </w:p>
    <w:p w:rsidR="0024627B" w:rsidRDefault="00C04E29" w:rsidP="0024627B">
      <w:pPr>
        <w:pStyle w:val="ListParagraph"/>
        <w:numPr>
          <w:ilvl w:val="0"/>
          <w:numId w:val="38"/>
        </w:numPr>
        <w:spacing w:after="0" w:line="240" w:lineRule="auto"/>
      </w:pPr>
      <w:r>
        <w:t xml:space="preserve">the </w:t>
      </w:r>
      <w:r w:rsidR="00017B44">
        <w:t>right to silence</w:t>
      </w:r>
    </w:p>
    <w:p w:rsidR="0024627B" w:rsidRDefault="00C04E29" w:rsidP="0024627B">
      <w:pPr>
        <w:pStyle w:val="ListParagraph"/>
        <w:numPr>
          <w:ilvl w:val="0"/>
          <w:numId w:val="38"/>
        </w:numPr>
        <w:spacing w:after="0" w:line="240" w:lineRule="auto"/>
      </w:pPr>
      <w:r>
        <w:t xml:space="preserve">the </w:t>
      </w:r>
      <w:r w:rsidR="00017B44">
        <w:t xml:space="preserve">right to </w:t>
      </w:r>
      <w:r w:rsidR="005561DD">
        <w:t>seek</w:t>
      </w:r>
      <w:r w:rsidR="00017B44">
        <w:t xml:space="preserve"> legal </w:t>
      </w:r>
      <w:r w:rsidR="0024627B">
        <w:t>advice</w:t>
      </w:r>
    </w:p>
    <w:p w:rsidR="00327296" w:rsidRDefault="00C04E29" w:rsidP="0024627B">
      <w:pPr>
        <w:pStyle w:val="ListParagraph"/>
        <w:numPr>
          <w:ilvl w:val="0"/>
          <w:numId w:val="38"/>
        </w:numPr>
        <w:spacing w:after="0" w:line="240" w:lineRule="auto"/>
      </w:pPr>
      <w:proofErr w:type="gramStart"/>
      <w:r>
        <w:t>the</w:t>
      </w:r>
      <w:proofErr w:type="gramEnd"/>
      <w:r>
        <w:t xml:space="preserve"> </w:t>
      </w:r>
      <w:r w:rsidR="00017B44">
        <w:t>privilege against self-incrimination</w:t>
      </w:r>
      <w:r w:rsidR="00407AFD">
        <w:t>.</w:t>
      </w:r>
    </w:p>
    <w:p w:rsidR="00407AFD" w:rsidRDefault="00407AFD" w:rsidP="00E64A6A">
      <w:pPr>
        <w:spacing w:after="0" w:line="240" w:lineRule="auto"/>
      </w:pPr>
    </w:p>
    <w:p w:rsidR="00674941" w:rsidRDefault="00407AFD" w:rsidP="00E64A6A">
      <w:pPr>
        <w:spacing w:after="0" w:line="240" w:lineRule="auto"/>
      </w:pPr>
      <w:r>
        <w:t xml:space="preserve">We suspect that older people may refuse support </w:t>
      </w:r>
      <w:r w:rsidR="00C42097">
        <w:t xml:space="preserve">from the public advocate </w:t>
      </w:r>
      <w:r>
        <w:t xml:space="preserve">if they believe </w:t>
      </w:r>
      <w:r w:rsidR="0052585D">
        <w:t xml:space="preserve">an investigation may expose the perpetrator to </w:t>
      </w:r>
      <w:r w:rsidR="006A5F20">
        <w:t xml:space="preserve">later </w:t>
      </w:r>
      <w:r w:rsidR="0052585D">
        <w:t xml:space="preserve">criminal or civil proceedings. </w:t>
      </w:r>
      <w:r w:rsidR="00674941">
        <w:t xml:space="preserve">NARI’s analysis of calls to Senior Rights Victoria found that 67% of alleged perpetrators were the sons or daughters of the older person (further information in our earlier </w:t>
      </w:r>
      <w:hyperlink r:id="rId18" w:history="1">
        <w:r w:rsidR="00674941" w:rsidRPr="00674941">
          <w:rPr>
            <w:rStyle w:val="Hyperlink"/>
          </w:rPr>
          <w:t>submission no.65</w:t>
        </w:r>
      </w:hyperlink>
      <w:r w:rsidR="00674941">
        <w:t xml:space="preserve">). </w:t>
      </w:r>
    </w:p>
    <w:p w:rsidR="00674941" w:rsidRDefault="00674941" w:rsidP="00E64A6A">
      <w:pPr>
        <w:spacing w:after="0" w:line="240" w:lineRule="auto"/>
      </w:pPr>
    </w:p>
    <w:p w:rsidR="0052585D" w:rsidRDefault="0052585D" w:rsidP="00E64A6A">
      <w:pPr>
        <w:spacing w:after="0" w:line="240" w:lineRule="auto"/>
      </w:pPr>
      <w:r>
        <w:t>As noted by the ALRC (at paragraph 3.5), a</w:t>
      </w:r>
      <w:r w:rsidR="00C42097">
        <w:t xml:space="preserve"> study by NARI and Senior Rights Victoria f</w:t>
      </w:r>
      <w:r>
        <w:t>ound that some of the negative outcomes of intervening to address elder abuse related to fear for the welfare of the perpetrator.</w:t>
      </w:r>
    </w:p>
    <w:p w:rsidR="0052585D" w:rsidRDefault="0052585D" w:rsidP="006E524C">
      <w:pPr>
        <w:spacing w:after="0" w:line="240" w:lineRule="auto"/>
        <w:rPr>
          <w:color w:val="C00000"/>
        </w:rPr>
      </w:pPr>
    </w:p>
    <w:p w:rsidR="006E524C" w:rsidRPr="006E524C" w:rsidRDefault="006E524C" w:rsidP="006E524C">
      <w:pPr>
        <w:spacing w:after="0" w:line="240" w:lineRule="auto"/>
        <w:rPr>
          <w:color w:val="C00000"/>
        </w:rPr>
      </w:pPr>
      <w:r w:rsidRPr="006E524C">
        <w:rPr>
          <w:color w:val="C00000"/>
        </w:rPr>
        <w:t>Proposal 3-4: In responding to the suspected abuse or neglect of an older person, public advocates or public guardians may:</w:t>
      </w:r>
    </w:p>
    <w:p w:rsidR="006E524C" w:rsidRPr="006E524C" w:rsidRDefault="006E524C" w:rsidP="006E524C">
      <w:pPr>
        <w:spacing w:after="0" w:line="240" w:lineRule="auto"/>
        <w:rPr>
          <w:color w:val="C00000"/>
        </w:rPr>
      </w:pPr>
    </w:p>
    <w:p w:rsidR="006E524C" w:rsidRPr="006E524C" w:rsidRDefault="006E524C" w:rsidP="006E524C">
      <w:pPr>
        <w:pStyle w:val="ListParagraph"/>
        <w:numPr>
          <w:ilvl w:val="0"/>
          <w:numId w:val="39"/>
        </w:numPr>
        <w:spacing w:after="0" w:line="240" w:lineRule="auto"/>
        <w:rPr>
          <w:color w:val="C00000"/>
        </w:rPr>
      </w:pPr>
      <w:r w:rsidRPr="006E524C">
        <w:rPr>
          <w:color w:val="C00000"/>
        </w:rPr>
        <w:t>refer the older person or the perpetrator to available health care, social, legal, accommodation or other services;</w:t>
      </w:r>
    </w:p>
    <w:p w:rsidR="006E524C" w:rsidRPr="006E524C" w:rsidRDefault="006E524C" w:rsidP="006E524C">
      <w:pPr>
        <w:pStyle w:val="ListParagraph"/>
        <w:numPr>
          <w:ilvl w:val="0"/>
          <w:numId w:val="39"/>
        </w:numPr>
        <w:spacing w:after="0" w:line="240" w:lineRule="auto"/>
        <w:rPr>
          <w:color w:val="C00000"/>
        </w:rPr>
      </w:pPr>
      <w:r w:rsidRPr="006E524C">
        <w:rPr>
          <w:color w:val="C00000"/>
        </w:rPr>
        <w:t>assist the older person or perpetrator in obtaining those services;</w:t>
      </w:r>
    </w:p>
    <w:p w:rsidR="006E524C" w:rsidRPr="006E524C" w:rsidRDefault="006E524C" w:rsidP="006E524C">
      <w:pPr>
        <w:pStyle w:val="ListParagraph"/>
        <w:numPr>
          <w:ilvl w:val="0"/>
          <w:numId w:val="39"/>
        </w:numPr>
        <w:spacing w:after="0" w:line="240" w:lineRule="auto"/>
        <w:rPr>
          <w:color w:val="C00000"/>
        </w:rPr>
      </w:pPr>
      <w:r w:rsidRPr="006E524C">
        <w:rPr>
          <w:color w:val="C00000"/>
        </w:rPr>
        <w:t>prepare, in consultation with the older person, a support and assistance plan that specifies any services needed by the older person; or</w:t>
      </w:r>
    </w:p>
    <w:p w:rsidR="006E524C" w:rsidRPr="006E524C" w:rsidRDefault="006E524C" w:rsidP="006E524C">
      <w:pPr>
        <w:pStyle w:val="ListParagraph"/>
        <w:numPr>
          <w:ilvl w:val="0"/>
          <w:numId w:val="39"/>
        </w:numPr>
        <w:spacing w:after="0" w:line="240" w:lineRule="auto"/>
        <w:rPr>
          <w:color w:val="C00000"/>
        </w:rPr>
      </w:pPr>
      <w:proofErr w:type="gramStart"/>
      <w:r w:rsidRPr="006E524C">
        <w:rPr>
          <w:color w:val="C00000"/>
        </w:rPr>
        <w:t>decide</w:t>
      </w:r>
      <w:proofErr w:type="gramEnd"/>
      <w:r w:rsidRPr="006E524C">
        <w:rPr>
          <w:color w:val="C00000"/>
        </w:rPr>
        <w:t xml:space="preserve"> to take no further action.</w:t>
      </w:r>
    </w:p>
    <w:p w:rsidR="006E524C" w:rsidRDefault="006E524C" w:rsidP="00E64A6A">
      <w:pPr>
        <w:spacing w:after="0" w:line="240" w:lineRule="auto"/>
      </w:pPr>
    </w:p>
    <w:p w:rsidR="006E524C" w:rsidRDefault="006E524C" w:rsidP="00E64A6A">
      <w:pPr>
        <w:spacing w:after="0" w:line="240" w:lineRule="auto"/>
      </w:pPr>
      <w:r>
        <w:t>We support th</w:t>
      </w:r>
      <w:r w:rsidR="00535516">
        <w:t>is</w:t>
      </w:r>
      <w:r>
        <w:t xml:space="preserve"> proposal in principle in relation to the responses to the older person.  However, we believe that further clarification of the p</w:t>
      </w:r>
      <w:r w:rsidR="005561DD">
        <w:t>roposal to</w:t>
      </w:r>
      <w:r>
        <w:t xml:space="preserve"> </w:t>
      </w:r>
      <w:r w:rsidRPr="005561DD">
        <w:rPr>
          <w:i/>
        </w:rPr>
        <w:t>‘assist the older person in obtaining those services’</w:t>
      </w:r>
      <w:r>
        <w:t xml:space="preserve"> is required</w:t>
      </w:r>
      <w:r w:rsidR="009D7EC8">
        <w:t>,</w:t>
      </w:r>
      <w:r>
        <w:t xml:space="preserve"> in order to manage expectations.  For example, </w:t>
      </w:r>
      <w:r w:rsidR="009D7EC8">
        <w:t xml:space="preserve">is it intended that assistance would </w:t>
      </w:r>
      <w:r>
        <w:t>extend to providing social worker services?  Would it extend as far as providing financial assistance to enable the older person to obtain legal services or alternative accommodation?</w:t>
      </w:r>
      <w:r w:rsidR="005561DD">
        <w:t xml:space="preserve">  </w:t>
      </w:r>
    </w:p>
    <w:p w:rsidR="008A0624" w:rsidRDefault="00A93DA9" w:rsidP="00E64A6A">
      <w:pPr>
        <w:spacing w:after="0" w:line="240" w:lineRule="auto"/>
      </w:pPr>
      <w:r>
        <w:t>This would require clear guidelines and agreed protocols with service providers as to what action can be taken should elder abuse be identified. There is a risk of raising unrealistic expectations regarding resolution of the elder abuse unless the next steps post investigation are clearly identified and adequately resourced.</w:t>
      </w:r>
    </w:p>
    <w:p w:rsidR="006F4E38" w:rsidRDefault="006F4E38" w:rsidP="00E64A6A">
      <w:pPr>
        <w:spacing w:after="0" w:line="240" w:lineRule="auto"/>
      </w:pPr>
    </w:p>
    <w:p w:rsidR="005561DD" w:rsidRDefault="005561DD" w:rsidP="00E64A6A">
      <w:pPr>
        <w:spacing w:after="0" w:line="240" w:lineRule="auto"/>
      </w:pPr>
      <w:r>
        <w:t xml:space="preserve">We </w:t>
      </w:r>
      <w:r w:rsidR="006E524C">
        <w:t xml:space="preserve">believe further consideration and consultation is </w:t>
      </w:r>
      <w:r w:rsidR="0062112C">
        <w:t xml:space="preserve">needed </w:t>
      </w:r>
      <w:r w:rsidR="006E524C">
        <w:t xml:space="preserve">about the proposed responses to the perpetrator. </w:t>
      </w:r>
      <w:r>
        <w:t xml:space="preserve"> We are concerned that there may be an actual or perceived conflict of interest if the public advocate assists both the older person and the perpetrator.</w:t>
      </w:r>
      <w:r w:rsidR="00C42097">
        <w:t xml:space="preserve">  </w:t>
      </w:r>
      <w:r w:rsidR="006F4E38">
        <w:t xml:space="preserve">On the other hand, we acknowledge that sometimes the best outcome for the older person is for the perpetrator to obtain assistance.  </w:t>
      </w:r>
      <w:r w:rsidR="00C42097">
        <w:t>We believe the public advocate’s primary</w:t>
      </w:r>
      <w:r w:rsidR="006F4E38">
        <w:t xml:space="preserve"> objective</w:t>
      </w:r>
      <w:r w:rsidR="00C42097">
        <w:t xml:space="preserve"> should be to the older person</w:t>
      </w:r>
      <w:r w:rsidR="006F4E38">
        <w:t>, regardless of who they are assisting.</w:t>
      </w:r>
    </w:p>
    <w:p w:rsidR="005561DD" w:rsidRDefault="005561DD" w:rsidP="00E64A6A">
      <w:pPr>
        <w:spacing w:after="0" w:line="240" w:lineRule="auto"/>
      </w:pPr>
    </w:p>
    <w:p w:rsidR="005561DD" w:rsidRPr="00C04E29" w:rsidRDefault="005561DD" w:rsidP="005561DD">
      <w:pPr>
        <w:spacing w:after="0" w:line="240" w:lineRule="auto"/>
        <w:rPr>
          <w:color w:val="C00000"/>
        </w:rPr>
      </w:pPr>
      <w:r w:rsidRPr="00C04E29">
        <w:rPr>
          <w:color w:val="C00000"/>
        </w:rPr>
        <w:t>Proposal 3</w:t>
      </w:r>
      <w:r w:rsidR="00C04E29" w:rsidRPr="00C04E29">
        <w:rPr>
          <w:color w:val="C00000"/>
        </w:rPr>
        <w:t>-</w:t>
      </w:r>
      <w:r w:rsidRPr="00C04E29">
        <w:rPr>
          <w:color w:val="C00000"/>
        </w:rPr>
        <w:t>5</w:t>
      </w:r>
      <w:r w:rsidR="00C04E29" w:rsidRPr="00C04E29">
        <w:rPr>
          <w:color w:val="C00000"/>
        </w:rPr>
        <w:t xml:space="preserve">: </w:t>
      </w:r>
      <w:r w:rsidRPr="00C04E29">
        <w:rPr>
          <w:color w:val="C00000"/>
        </w:rPr>
        <w:t xml:space="preserve"> Any person who reports elder abuse to the public advocate</w:t>
      </w:r>
      <w:r w:rsidR="00C04E29" w:rsidRPr="00C04E29">
        <w:rPr>
          <w:color w:val="C00000"/>
        </w:rPr>
        <w:t xml:space="preserve"> </w:t>
      </w:r>
      <w:r w:rsidRPr="00C04E29">
        <w:rPr>
          <w:color w:val="C00000"/>
        </w:rPr>
        <w:t>or public guardian in good faith and based on a reasonable suspicion should not,</w:t>
      </w:r>
      <w:r w:rsidR="00C04E29" w:rsidRPr="00C04E29">
        <w:rPr>
          <w:color w:val="C00000"/>
        </w:rPr>
        <w:t xml:space="preserve"> </w:t>
      </w:r>
      <w:r w:rsidRPr="00C04E29">
        <w:rPr>
          <w:color w:val="C00000"/>
        </w:rPr>
        <w:t>as a consequence of their report, be:</w:t>
      </w:r>
    </w:p>
    <w:p w:rsidR="00C04E29" w:rsidRPr="00C04E29" w:rsidRDefault="00C04E29" w:rsidP="005561DD">
      <w:pPr>
        <w:spacing w:after="0" w:line="240" w:lineRule="auto"/>
        <w:rPr>
          <w:color w:val="C00000"/>
        </w:rPr>
      </w:pPr>
    </w:p>
    <w:p w:rsidR="005561DD" w:rsidRPr="00C04E29" w:rsidRDefault="005561DD" w:rsidP="00C04E29">
      <w:pPr>
        <w:pStyle w:val="ListParagraph"/>
        <w:numPr>
          <w:ilvl w:val="0"/>
          <w:numId w:val="40"/>
        </w:numPr>
        <w:spacing w:after="0" w:line="240" w:lineRule="auto"/>
        <w:rPr>
          <w:color w:val="C00000"/>
        </w:rPr>
      </w:pPr>
      <w:r w:rsidRPr="00C04E29">
        <w:rPr>
          <w:color w:val="C00000"/>
        </w:rPr>
        <w:t>liable, civilly, criminally or under an administrative process;</w:t>
      </w:r>
    </w:p>
    <w:p w:rsidR="005561DD" w:rsidRPr="00C04E29" w:rsidRDefault="005561DD" w:rsidP="00C04E29">
      <w:pPr>
        <w:pStyle w:val="ListParagraph"/>
        <w:numPr>
          <w:ilvl w:val="0"/>
          <w:numId w:val="40"/>
        </w:numPr>
        <w:spacing w:after="0" w:line="240" w:lineRule="auto"/>
        <w:rPr>
          <w:color w:val="C00000"/>
        </w:rPr>
      </w:pPr>
      <w:r w:rsidRPr="00C04E29">
        <w:rPr>
          <w:color w:val="C00000"/>
        </w:rPr>
        <w:t>found to have departed from standards of professional conduct;</w:t>
      </w:r>
    </w:p>
    <w:p w:rsidR="005561DD" w:rsidRPr="00C04E29" w:rsidRDefault="005561DD" w:rsidP="00C04E29">
      <w:pPr>
        <w:pStyle w:val="ListParagraph"/>
        <w:numPr>
          <w:ilvl w:val="0"/>
          <w:numId w:val="40"/>
        </w:numPr>
        <w:spacing w:after="0" w:line="240" w:lineRule="auto"/>
        <w:rPr>
          <w:color w:val="C00000"/>
        </w:rPr>
      </w:pPr>
      <w:r w:rsidRPr="00C04E29">
        <w:rPr>
          <w:color w:val="C00000"/>
        </w:rPr>
        <w:t>dismissed or threatened in the course of their employment; or</w:t>
      </w:r>
    </w:p>
    <w:p w:rsidR="005561DD" w:rsidRPr="00C04E29" w:rsidRDefault="005561DD" w:rsidP="00C04E29">
      <w:pPr>
        <w:pStyle w:val="ListParagraph"/>
        <w:numPr>
          <w:ilvl w:val="0"/>
          <w:numId w:val="40"/>
        </w:numPr>
        <w:spacing w:after="0" w:line="240" w:lineRule="auto"/>
        <w:rPr>
          <w:color w:val="C00000"/>
        </w:rPr>
      </w:pPr>
      <w:proofErr w:type="gramStart"/>
      <w:r w:rsidRPr="00C04E29">
        <w:rPr>
          <w:color w:val="C00000"/>
        </w:rPr>
        <w:t>discriminated</w:t>
      </w:r>
      <w:proofErr w:type="gramEnd"/>
      <w:r w:rsidRPr="00C04E29">
        <w:rPr>
          <w:color w:val="C00000"/>
        </w:rPr>
        <w:t xml:space="preserve"> against with respect to employment or membership in a</w:t>
      </w:r>
      <w:r w:rsidR="00C04E29" w:rsidRPr="00C04E29">
        <w:rPr>
          <w:color w:val="C00000"/>
        </w:rPr>
        <w:t xml:space="preserve"> </w:t>
      </w:r>
      <w:r w:rsidRPr="00C04E29">
        <w:rPr>
          <w:color w:val="C00000"/>
        </w:rPr>
        <w:t>profession or trade union.</w:t>
      </w:r>
    </w:p>
    <w:p w:rsidR="00C04E29" w:rsidRDefault="00C04E29" w:rsidP="005561DD">
      <w:pPr>
        <w:spacing w:after="0" w:line="240" w:lineRule="auto"/>
      </w:pPr>
    </w:p>
    <w:p w:rsidR="005A7D59" w:rsidRDefault="00AC2C89" w:rsidP="005561DD">
      <w:pPr>
        <w:spacing w:after="0" w:line="240" w:lineRule="auto"/>
      </w:pPr>
      <w:r w:rsidRPr="009D7EC8">
        <w:t>We support this proposal in principle</w:t>
      </w:r>
      <w:r w:rsidR="007C2563">
        <w:rPr>
          <w:b/>
          <w:i/>
        </w:rPr>
        <w:t>.</w:t>
      </w:r>
      <w:r w:rsidRPr="00DC2253">
        <w:t xml:space="preserve">  However, </w:t>
      </w:r>
      <w:r w:rsidR="005A7D59" w:rsidRPr="00DC2253">
        <w:t xml:space="preserve">we </w:t>
      </w:r>
      <w:r w:rsidRPr="00DC2253">
        <w:t>believe further</w:t>
      </w:r>
      <w:r w:rsidR="0062112C" w:rsidRPr="00DC2253">
        <w:t xml:space="preserve"> consideration and consultation </w:t>
      </w:r>
      <w:r w:rsidRPr="00DC2253">
        <w:t>is</w:t>
      </w:r>
      <w:r>
        <w:t xml:space="preserve"> </w:t>
      </w:r>
      <w:r w:rsidR="0062112C">
        <w:t>needed</w:t>
      </w:r>
      <w:r>
        <w:t xml:space="preserve"> about ways to support </w:t>
      </w:r>
      <w:r w:rsidR="00797C96">
        <w:t xml:space="preserve">health, aged care and other </w:t>
      </w:r>
      <w:r w:rsidR="0062112C">
        <w:t xml:space="preserve">relevant </w:t>
      </w:r>
      <w:r w:rsidR="00797C96">
        <w:t>professionals</w:t>
      </w:r>
      <w:r w:rsidR="0062112C">
        <w:t xml:space="preserve"> with the decision to make a report.  We believe that guidance </w:t>
      </w:r>
      <w:r w:rsidR="0062112C" w:rsidRPr="0062112C">
        <w:t>and protocols a</w:t>
      </w:r>
      <w:r w:rsidR="0062112C">
        <w:t xml:space="preserve">bout consultation with the older person and </w:t>
      </w:r>
      <w:r w:rsidR="009D7EC8">
        <w:t xml:space="preserve">about </w:t>
      </w:r>
      <w:r w:rsidR="0062112C">
        <w:t xml:space="preserve">the process for decision-making would </w:t>
      </w:r>
      <w:r w:rsidR="005A7D59">
        <w:t xml:space="preserve">help professionals to </w:t>
      </w:r>
      <w:r w:rsidR="009D7EC8">
        <w:t>act</w:t>
      </w:r>
      <w:r w:rsidR="00DC2253">
        <w:t xml:space="preserve"> in a manner that is</w:t>
      </w:r>
      <w:r w:rsidR="005A7D59">
        <w:t>:</w:t>
      </w:r>
    </w:p>
    <w:p w:rsidR="005A7D59" w:rsidRDefault="005A7D59" w:rsidP="005561DD">
      <w:pPr>
        <w:spacing w:after="0" w:line="240" w:lineRule="auto"/>
      </w:pPr>
    </w:p>
    <w:p w:rsidR="005A7D59" w:rsidRDefault="005A7D59" w:rsidP="005A7D59">
      <w:pPr>
        <w:pStyle w:val="ListParagraph"/>
        <w:numPr>
          <w:ilvl w:val="0"/>
          <w:numId w:val="41"/>
        </w:numPr>
        <w:spacing w:after="0" w:line="240" w:lineRule="auto"/>
      </w:pPr>
      <w:r>
        <w:t xml:space="preserve">respectful </w:t>
      </w:r>
      <w:r w:rsidR="00DC2253">
        <w:t>of</w:t>
      </w:r>
      <w:r>
        <w:t xml:space="preserve"> the older </w:t>
      </w:r>
      <w:r w:rsidR="00DC2253">
        <w:t>person, and</w:t>
      </w:r>
    </w:p>
    <w:p w:rsidR="005A7D59" w:rsidRDefault="005A7D59" w:rsidP="005A7D59">
      <w:pPr>
        <w:pStyle w:val="ListParagraph"/>
        <w:numPr>
          <w:ilvl w:val="0"/>
          <w:numId w:val="41"/>
        </w:numPr>
        <w:spacing w:after="0" w:line="240" w:lineRule="auto"/>
      </w:pPr>
      <w:proofErr w:type="gramStart"/>
      <w:r>
        <w:t>consistent</w:t>
      </w:r>
      <w:proofErr w:type="gramEnd"/>
      <w:r>
        <w:t xml:space="preserve"> with </w:t>
      </w:r>
      <w:r w:rsidR="008A0624">
        <w:t xml:space="preserve">relevant </w:t>
      </w:r>
      <w:r>
        <w:t>standards of professional conduct.</w:t>
      </w:r>
    </w:p>
    <w:p w:rsidR="00E260D4" w:rsidRDefault="00E260D4" w:rsidP="00E260D4">
      <w:pPr>
        <w:pStyle w:val="ListParagraph"/>
        <w:spacing w:after="0" w:line="240" w:lineRule="auto"/>
      </w:pPr>
    </w:p>
    <w:p w:rsidR="00E260D4" w:rsidRDefault="00E260D4" w:rsidP="00E260D4">
      <w:pPr>
        <w:pStyle w:val="ListParagraph"/>
        <w:spacing w:after="0" w:line="240" w:lineRule="auto"/>
      </w:pPr>
    </w:p>
    <w:p w:rsidR="00FF2789" w:rsidRPr="00FF2789" w:rsidRDefault="00247A2D" w:rsidP="00307B1C">
      <w:pPr>
        <w:pStyle w:val="Heading2"/>
        <w:spacing w:before="0" w:line="240" w:lineRule="auto"/>
      </w:pPr>
      <w:r>
        <w:t>Aged care</w:t>
      </w:r>
    </w:p>
    <w:p w:rsidR="002F26AE" w:rsidRDefault="002F26AE" w:rsidP="00307B1C">
      <w:pPr>
        <w:spacing w:after="0" w:line="240" w:lineRule="auto"/>
      </w:pPr>
    </w:p>
    <w:p w:rsidR="002F26AE" w:rsidRDefault="0078108A" w:rsidP="00307B1C">
      <w:pPr>
        <w:spacing w:after="0" w:line="240" w:lineRule="auto"/>
        <w:rPr>
          <w:color w:val="C00000"/>
        </w:rPr>
      </w:pPr>
      <w:r w:rsidRPr="002F26AE">
        <w:rPr>
          <w:color w:val="C00000"/>
        </w:rPr>
        <w:t>Proposal 11</w:t>
      </w:r>
      <w:r w:rsidR="002F26AE">
        <w:rPr>
          <w:color w:val="C00000"/>
        </w:rPr>
        <w:t>-</w:t>
      </w:r>
      <w:r w:rsidRPr="002F26AE">
        <w:rPr>
          <w:color w:val="C00000"/>
        </w:rPr>
        <w:t>1</w:t>
      </w:r>
      <w:r w:rsidR="002F26AE">
        <w:rPr>
          <w:color w:val="C00000"/>
        </w:rPr>
        <w:t>:</w:t>
      </w:r>
      <w:r w:rsidRPr="002F26AE">
        <w:rPr>
          <w:color w:val="C00000"/>
        </w:rPr>
        <w:t xml:space="preserve"> Aged care legislation should establish a reportable incidents scheme. The scheme should require approved providers to notify reportable incidents to the Aged Care Complaints Commissioner, who will oversee the approved provider’s investigation of and response to those incidents. </w:t>
      </w:r>
    </w:p>
    <w:p w:rsidR="002F26AE" w:rsidRDefault="002F26AE" w:rsidP="00307B1C">
      <w:pPr>
        <w:spacing w:after="0" w:line="240" w:lineRule="auto"/>
        <w:rPr>
          <w:color w:val="C00000"/>
        </w:rPr>
      </w:pPr>
    </w:p>
    <w:p w:rsidR="002F26AE" w:rsidRDefault="0078108A" w:rsidP="00307B1C">
      <w:pPr>
        <w:spacing w:after="0" w:line="240" w:lineRule="auto"/>
        <w:rPr>
          <w:color w:val="C00000"/>
        </w:rPr>
      </w:pPr>
      <w:r w:rsidRPr="002F26AE">
        <w:rPr>
          <w:color w:val="C00000"/>
        </w:rPr>
        <w:t>Proposal 11</w:t>
      </w:r>
      <w:r w:rsidR="002F26AE">
        <w:rPr>
          <w:color w:val="C00000"/>
        </w:rPr>
        <w:t>-</w:t>
      </w:r>
      <w:r w:rsidRPr="002F26AE">
        <w:rPr>
          <w:color w:val="C00000"/>
        </w:rPr>
        <w:t>2</w:t>
      </w:r>
      <w:r w:rsidR="002F26AE">
        <w:rPr>
          <w:color w:val="C00000"/>
        </w:rPr>
        <w:t>:</w:t>
      </w:r>
      <w:r w:rsidRPr="002F26AE">
        <w:rPr>
          <w:color w:val="C00000"/>
        </w:rPr>
        <w:t xml:space="preserve"> The term ‘reportable assault’ in the </w:t>
      </w:r>
      <w:r w:rsidRPr="00857A33">
        <w:rPr>
          <w:i/>
          <w:color w:val="C00000"/>
        </w:rPr>
        <w:t>Aged Care Act 1997 (</w:t>
      </w:r>
      <w:proofErr w:type="spellStart"/>
      <w:r w:rsidRPr="00857A33">
        <w:rPr>
          <w:i/>
          <w:color w:val="C00000"/>
        </w:rPr>
        <w:t>Cth</w:t>
      </w:r>
      <w:proofErr w:type="spellEnd"/>
      <w:r w:rsidRPr="00857A33">
        <w:rPr>
          <w:i/>
          <w:color w:val="C00000"/>
        </w:rPr>
        <w:t>)</w:t>
      </w:r>
      <w:r w:rsidRPr="002F26AE">
        <w:rPr>
          <w:color w:val="C00000"/>
        </w:rPr>
        <w:t xml:space="preserve"> should be replaced with ‘reportable incident’. With respect to residential care, ‘reportable incident’ should mean: </w:t>
      </w:r>
    </w:p>
    <w:p w:rsidR="002F26AE" w:rsidRDefault="002F26AE" w:rsidP="00307B1C">
      <w:pPr>
        <w:spacing w:after="0" w:line="240" w:lineRule="auto"/>
        <w:rPr>
          <w:color w:val="C00000"/>
        </w:rPr>
      </w:pPr>
    </w:p>
    <w:p w:rsidR="002F26AE" w:rsidRPr="002F26AE" w:rsidRDefault="0078108A" w:rsidP="002F26AE">
      <w:pPr>
        <w:pStyle w:val="ListParagraph"/>
        <w:numPr>
          <w:ilvl w:val="0"/>
          <w:numId w:val="42"/>
        </w:numPr>
        <w:spacing w:after="0" w:line="240" w:lineRule="auto"/>
        <w:rPr>
          <w:color w:val="C00000"/>
        </w:rPr>
      </w:pPr>
      <w:r w:rsidRPr="002F26AE">
        <w:rPr>
          <w:color w:val="C00000"/>
        </w:rPr>
        <w:t>a sexual offence, sexual misconduct, assault, fraud/financial abuse, ill</w:t>
      </w:r>
      <w:r w:rsidR="00857A33">
        <w:rPr>
          <w:color w:val="C00000"/>
        </w:rPr>
        <w:t xml:space="preserve"> </w:t>
      </w:r>
      <w:r w:rsidRPr="002F26AE">
        <w:rPr>
          <w:color w:val="C00000"/>
        </w:rPr>
        <w:t xml:space="preserve">treatment or neglect committed by a staff member on or toward a care recipient; </w:t>
      </w:r>
    </w:p>
    <w:p w:rsidR="002F26AE" w:rsidRPr="002F26AE" w:rsidRDefault="0078108A" w:rsidP="002F26AE">
      <w:pPr>
        <w:pStyle w:val="ListParagraph"/>
        <w:numPr>
          <w:ilvl w:val="0"/>
          <w:numId w:val="42"/>
        </w:numPr>
        <w:spacing w:after="0" w:line="240" w:lineRule="auto"/>
        <w:rPr>
          <w:color w:val="C00000"/>
        </w:rPr>
      </w:pPr>
      <w:r w:rsidRPr="002F26AE">
        <w:rPr>
          <w:color w:val="C00000"/>
        </w:rPr>
        <w:t xml:space="preserve">a sexual offence, an incident causing serious injury, an incident involving the use of a weapon, or an incident that is part of a pattern of abuse when committed by a care recipient toward another care recipient; or </w:t>
      </w:r>
    </w:p>
    <w:p w:rsidR="002F26AE" w:rsidRPr="002F26AE" w:rsidRDefault="0078108A" w:rsidP="002F26AE">
      <w:pPr>
        <w:pStyle w:val="ListParagraph"/>
        <w:numPr>
          <w:ilvl w:val="0"/>
          <w:numId w:val="42"/>
        </w:numPr>
        <w:spacing w:after="0" w:line="240" w:lineRule="auto"/>
        <w:rPr>
          <w:color w:val="C00000"/>
        </w:rPr>
      </w:pPr>
      <w:proofErr w:type="gramStart"/>
      <w:r w:rsidRPr="002F26AE">
        <w:rPr>
          <w:color w:val="C00000"/>
        </w:rPr>
        <w:t>an</w:t>
      </w:r>
      <w:proofErr w:type="gramEnd"/>
      <w:r w:rsidRPr="002F26AE">
        <w:rPr>
          <w:color w:val="C00000"/>
        </w:rPr>
        <w:t xml:space="preserve"> incident resulting in an unexplained serious injury to a care recipient. With respect to home care or flexible care, ‘reportable incident’ should mean a sexual offence, sexual misconduct, assault, fraud/financial abuse, ill-treatment or neglect committed by a staff member on or toward a care recipient. </w:t>
      </w:r>
    </w:p>
    <w:p w:rsidR="002F26AE" w:rsidRDefault="002F26AE" w:rsidP="00307B1C">
      <w:pPr>
        <w:spacing w:after="0" w:line="240" w:lineRule="auto"/>
        <w:rPr>
          <w:color w:val="C00000"/>
        </w:rPr>
      </w:pPr>
    </w:p>
    <w:p w:rsidR="00247A2D" w:rsidRPr="002F26AE" w:rsidRDefault="0078108A" w:rsidP="002F26AE">
      <w:pPr>
        <w:spacing w:after="0" w:line="240" w:lineRule="auto"/>
        <w:rPr>
          <w:color w:val="C00000"/>
        </w:rPr>
      </w:pPr>
      <w:r w:rsidRPr="002F26AE">
        <w:rPr>
          <w:color w:val="C00000"/>
        </w:rPr>
        <w:t>Pr</w:t>
      </w:r>
      <w:r w:rsidR="002F26AE">
        <w:rPr>
          <w:color w:val="C00000"/>
        </w:rPr>
        <w:t>oposal 11-</w:t>
      </w:r>
      <w:r w:rsidRPr="002F26AE">
        <w:rPr>
          <w:color w:val="C00000"/>
        </w:rPr>
        <w:t>3</w:t>
      </w:r>
      <w:r w:rsidR="002F26AE">
        <w:rPr>
          <w:color w:val="C00000"/>
        </w:rPr>
        <w:t>:</w:t>
      </w:r>
      <w:r w:rsidRPr="002F26AE">
        <w:rPr>
          <w:color w:val="C00000"/>
        </w:rPr>
        <w:t xml:space="preserve"> The exemption to reporting provided by s 53 of the </w:t>
      </w:r>
      <w:r w:rsidRPr="00857A33">
        <w:rPr>
          <w:i/>
          <w:color w:val="C00000"/>
        </w:rPr>
        <w:t>Accountability Principles 2014 (</w:t>
      </w:r>
      <w:proofErr w:type="spellStart"/>
      <w:r w:rsidRPr="00857A33">
        <w:rPr>
          <w:i/>
          <w:color w:val="C00000"/>
        </w:rPr>
        <w:t>Cth</w:t>
      </w:r>
      <w:proofErr w:type="spellEnd"/>
      <w:r w:rsidRPr="00857A33">
        <w:rPr>
          <w:i/>
          <w:color w:val="C00000"/>
        </w:rPr>
        <w:t>)</w:t>
      </w:r>
      <w:r w:rsidRPr="002F26AE">
        <w:rPr>
          <w:color w:val="C00000"/>
        </w:rPr>
        <w:t xml:space="preserve">, regarding alleged or suspected assaults committed by a care recipient with a pre-diagnosed cognitive impairment on another care recipient, should be removed. </w:t>
      </w:r>
    </w:p>
    <w:p w:rsidR="00227B1E" w:rsidRDefault="00227B1E" w:rsidP="00227B1E">
      <w:pPr>
        <w:spacing w:after="0" w:line="240" w:lineRule="auto"/>
      </w:pPr>
    </w:p>
    <w:p w:rsidR="00BB4241" w:rsidRDefault="002F26AE" w:rsidP="00227B1E">
      <w:pPr>
        <w:spacing w:after="0" w:line="240" w:lineRule="auto"/>
      </w:pPr>
      <w:r>
        <w:t xml:space="preserve">We </w:t>
      </w:r>
      <w:r w:rsidR="00CC1BEB">
        <w:t xml:space="preserve">have reservations about these proposals.  We </w:t>
      </w:r>
      <w:r w:rsidRPr="00DC2253">
        <w:t>believe further consideration and consultation is</w:t>
      </w:r>
      <w:r>
        <w:t xml:space="preserve"> needed </w:t>
      </w:r>
      <w:r w:rsidR="00372A76">
        <w:t>given the concerns raised by a range of stakeholders (at paragraph 11.64).</w:t>
      </w:r>
    </w:p>
    <w:p w:rsidR="00372A76" w:rsidRDefault="00372A76" w:rsidP="00227B1E">
      <w:pPr>
        <w:spacing w:after="0" w:line="240" w:lineRule="auto"/>
      </w:pPr>
    </w:p>
    <w:p w:rsidR="00857A33" w:rsidRPr="00857A33" w:rsidRDefault="00857A33" w:rsidP="00857A33">
      <w:pPr>
        <w:spacing w:after="0" w:line="240" w:lineRule="auto"/>
        <w:rPr>
          <w:color w:val="C00000"/>
        </w:rPr>
      </w:pPr>
      <w:r w:rsidRPr="00857A33">
        <w:rPr>
          <w:color w:val="C00000"/>
        </w:rPr>
        <w:t>Proposal 11</w:t>
      </w:r>
      <w:r>
        <w:rPr>
          <w:color w:val="C00000"/>
        </w:rPr>
        <w:t>-4:</w:t>
      </w:r>
      <w:r w:rsidRPr="00857A33">
        <w:rPr>
          <w:color w:val="C00000"/>
        </w:rPr>
        <w:t xml:space="preserve"> There should be a national employment screening process</w:t>
      </w:r>
      <w:r>
        <w:rPr>
          <w:color w:val="C00000"/>
        </w:rPr>
        <w:t xml:space="preserve"> </w:t>
      </w:r>
      <w:r w:rsidRPr="00857A33">
        <w:rPr>
          <w:color w:val="C00000"/>
        </w:rPr>
        <w:t>for Australian Government funded aged care. The screening process should</w:t>
      </w:r>
      <w:r>
        <w:rPr>
          <w:color w:val="C00000"/>
        </w:rPr>
        <w:t xml:space="preserve"> </w:t>
      </w:r>
      <w:r w:rsidRPr="00857A33">
        <w:rPr>
          <w:color w:val="C00000"/>
        </w:rPr>
        <w:t>determine whether a clearance should be granted to work in aged care, based on</w:t>
      </w:r>
      <w:r>
        <w:rPr>
          <w:color w:val="C00000"/>
        </w:rPr>
        <w:t xml:space="preserve"> </w:t>
      </w:r>
      <w:r w:rsidRPr="00857A33">
        <w:rPr>
          <w:color w:val="C00000"/>
        </w:rPr>
        <w:t>an assessment of:</w:t>
      </w:r>
    </w:p>
    <w:p w:rsidR="00B562AF" w:rsidRDefault="00B562AF">
      <w:pPr>
        <w:rPr>
          <w:color w:val="C00000"/>
        </w:rPr>
      </w:pPr>
      <w:r>
        <w:rPr>
          <w:color w:val="C00000"/>
        </w:rPr>
        <w:br w:type="page"/>
      </w:r>
    </w:p>
    <w:p w:rsidR="00857A33" w:rsidRDefault="00857A33" w:rsidP="00857A33">
      <w:pPr>
        <w:spacing w:after="0" w:line="240" w:lineRule="auto"/>
        <w:rPr>
          <w:color w:val="C00000"/>
        </w:rPr>
      </w:pPr>
    </w:p>
    <w:p w:rsidR="00857A33" w:rsidRPr="00857A33" w:rsidRDefault="00857A33" w:rsidP="00857A33">
      <w:pPr>
        <w:pStyle w:val="ListParagraph"/>
        <w:numPr>
          <w:ilvl w:val="0"/>
          <w:numId w:val="43"/>
        </w:numPr>
        <w:spacing w:after="0" w:line="240" w:lineRule="auto"/>
        <w:rPr>
          <w:color w:val="C00000"/>
        </w:rPr>
      </w:pPr>
      <w:r w:rsidRPr="00857A33">
        <w:rPr>
          <w:color w:val="C00000"/>
        </w:rPr>
        <w:t>a person’s national criminal history;</w:t>
      </w:r>
    </w:p>
    <w:p w:rsidR="00857A33" w:rsidRPr="00857A33" w:rsidRDefault="00857A33" w:rsidP="00857A33">
      <w:pPr>
        <w:pStyle w:val="ListParagraph"/>
        <w:numPr>
          <w:ilvl w:val="0"/>
          <w:numId w:val="43"/>
        </w:numPr>
        <w:spacing w:after="0" w:line="240" w:lineRule="auto"/>
        <w:rPr>
          <w:color w:val="C00000"/>
        </w:rPr>
      </w:pPr>
      <w:r w:rsidRPr="00857A33">
        <w:rPr>
          <w:color w:val="C00000"/>
        </w:rPr>
        <w:t>relevant reportable incidents under the proposed reportable incidents scheme; and</w:t>
      </w:r>
    </w:p>
    <w:p w:rsidR="00857A33" w:rsidRPr="00857A33" w:rsidRDefault="00857A33" w:rsidP="00857A33">
      <w:pPr>
        <w:pStyle w:val="ListParagraph"/>
        <w:numPr>
          <w:ilvl w:val="0"/>
          <w:numId w:val="43"/>
        </w:numPr>
        <w:spacing w:after="0" w:line="240" w:lineRule="auto"/>
        <w:rPr>
          <w:color w:val="C00000"/>
        </w:rPr>
      </w:pPr>
      <w:proofErr w:type="gramStart"/>
      <w:r w:rsidRPr="00857A33">
        <w:rPr>
          <w:color w:val="C00000"/>
        </w:rPr>
        <w:t>relevant</w:t>
      </w:r>
      <w:proofErr w:type="gramEnd"/>
      <w:r w:rsidRPr="00857A33">
        <w:rPr>
          <w:color w:val="C00000"/>
        </w:rPr>
        <w:t xml:space="preserve"> disciplinary proceedings or complaints.</w:t>
      </w:r>
    </w:p>
    <w:p w:rsidR="00857A33" w:rsidRDefault="00857A33" w:rsidP="00857A33">
      <w:pPr>
        <w:spacing w:after="0" w:line="240" w:lineRule="auto"/>
        <w:rPr>
          <w:color w:val="C00000"/>
        </w:rPr>
      </w:pPr>
    </w:p>
    <w:p w:rsidR="00372A76" w:rsidRDefault="00857A33" w:rsidP="00857A33">
      <w:pPr>
        <w:spacing w:after="0" w:line="240" w:lineRule="auto"/>
        <w:rPr>
          <w:color w:val="C00000"/>
        </w:rPr>
      </w:pPr>
      <w:r>
        <w:rPr>
          <w:color w:val="C00000"/>
        </w:rPr>
        <w:t>Proposal 11-5:</w:t>
      </w:r>
      <w:r w:rsidRPr="00857A33">
        <w:rPr>
          <w:color w:val="C00000"/>
        </w:rPr>
        <w:t xml:space="preserve"> A national database should be established to record the</w:t>
      </w:r>
      <w:r>
        <w:rPr>
          <w:color w:val="C00000"/>
        </w:rPr>
        <w:t xml:space="preserve"> </w:t>
      </w:r>
      <w:r w:rsidRPr="00857A33">
        <w:rPr>
          <w:color w:val="C00000"/>
        </w:rPr>
        <w:t>outcome and status of employment clearances.</w:t>
      </w:r>
    </w:p>
    <w:p w:rsidR="00857A33" w:rsidRDefault="00857A33" w:rsidP="00857A33">
      <w:pPr>
        <w:spacing w:after="0" w:line="240" w:lineRule="auto"/>
        <w:rPr>
          <w:color w:val="C00000"/>
        </w:rPr>
      </w:pPr>
    </w:p>
    <w:p w:rsidR="00173C0F" w:rsidRDefault="00840CA3" w:rsidP="00857A33">
      <w:pPr>
        <w:spacing w:after="0" w:line="240" w:lineRule="auto"/>
      </w:pPr>
      <w:r>
        <w:t>Aged and Community Services (ACSA) has</w:t>
      </w:r>
      <w:r w:rsidR="00173C0F">
        <w:t xml:space="preserve"> p</w:t>
      </w:r>
      <w:r>
        <w:t xml:space="preserve">ointed out the lack of evidence about the efficacy of </w:t>
      </w:r>
      <w:r w:rsidR="00DA369D">
        <w:t xml:space="preserve">such checks </w:t>
      </w:r>
      <w:r>
        <w:t>(at paragraph 11.178)</w:t>
      </w:r>
      <w:r w:rsidR="00173C0F">
        <w:t xml:space="preserve"> and that there are a range of </w:t>
      </w:r>
      <w:r w:rsidR="00DA369D">
        <w:t xml:space="preserve">options for </w:t>
      </w:r>
      <w:r w:rsidR="00A35D6A">
        <w:t xml:space="preserve">improving </w:t>
      </w:r>
      <w:r w:rsidR="00DA369D">
        <w:t>staff screening (</w:t>
      </w:r>
      <w:hyperlink r:id="rId19" w:history="1">
        <w:r w:rsidR="00DA369D" w:rsidRPr="00DA369D">
          <w:rPr>
            <w:rStyle w:val="Hyperlink"/>
            <w:i/>
          </w:rPr>
          <w:t>ACSA Elder Abuse Position Statement 2016</w:t>
        </w:r>
      </w:hyperlink>
      <w:r w:rsidR="00DA369D">
        <w:t>)</w:t>
      </w:r>
      <w:r w:rsidR="00173C0F">
        <w:t xml:space="preserve">.  The ALRC has already noted that both the </w:t>
      </w:r>
      <w:r w:rsidR="00173C0F" w:rsidRPr="00DA369D">
        <w:rPr>
          <w:i/>
        </w:rPr>
        <w:t>Aged Care Legislated Review</w:t>
      </w:r>
      <w:r w:rsidR="00173C0F">
        <w:t xml:space="preserve"> and the Senate </w:t>
      </w:r>
      <w:r w:rsidR="00173C0F" w:rsidRPr="00DA369D">
        <w:rPr>
          <w:i/>
        </w:rPr>
        <w:t>Inquiry into the Future of Australia’s Aged Care Sector Workforce</w:t>
      </w:r>
      <w:r w:rsidR="00173C0F">
        <w:t xml:space="preserve"> will be considering workforce strategies (at paragraph 11.223).  We suggest that these proposals should be further considered as part of those reviews</w:t>
      </w:r>
      <w:r w:rsidR="00A35D6A">
        <w:t>,</w:t>
      </w:r>
      <w:r w:rsidR="00173C0F">
        <w:t xml:space="preserve"> to ensure that they</w:t>
      </w:r>
      <w:r w:rsidR="00DA369D">
        <w:t xml:space="preserve"> </w:t>
      </w:r>
      <w:r w:rsidR="00173C0F">
        <w:t xml:space="preserve">are </w:t>
      </w:r>
      <w:r w:rsidR="00DA369D">
        <w:t xml:space="preserve">properly </w:t>
      </w:r>
      <w:r w:rsidR="00173C0F">
        <w:t>integrated with b</w:t>
      </w:r>
      <w:r w:rsidR="00DA369D">
        <w:t>roader</w:t>
      </w:r>
      <w:r w:rsidR="00173C0F">
        <w:t xml:space="preserve"> aged care w</w:t>
      </w:r>
      <w:r w:rsidR="00DA369D">
        <w:t>o</w:t>
      </w:r>
      <w:r w:rsidR="00173C0F">
        <w:t>rkforce policy settings.</w:t>
      </w:r>
    </w:p>
    <w:p w:rsidR="00173C0F" w:rsidRDefault="00173C0F" w:rsidP="00857A33">
      <w:pPr>
        <w:spacing w:after="0" w:line="240" w:lineRule="auto"/>
      </w:pPr>
    </w:p>
    <w:p w:rsidR="00173C0F" w:rsidRPr="00A35D6A" w:rsidRDefault="00A35D6A" w:rsidP="00A35D6A">
      <w:pPr>
        <w:spacing w:after="0" w:line="240" w:lineRule="auto"/>
        <w:rPr>
          <w:color w:val="C00000"/>
        </w:rPr>
      </w:pPr>
      <w:r w:rsidRPr="00A35D6A">
        <w:rPr>
          <w:color w:val="C00000"/>
        </w:rPr>
        <w:t>Proposal 11-6: Unregistered aged care workers who provide direct care should be subject to the planned National Code of Conduct for Health Care Workers.</w:t>
      </w:r>
    </w:p>
    <w:p w:rsidR="00840CA3" w:rsidRDefault="00840CA3" w:rsidP="00857A33">
      <w:pPr>
        <w:spacing w:after="0" w:line="240" w:lineRule="auto"/>
        <w:rPr>
          <w:color w:val="C00000"/>
        </w:rPr>
      </w:pPr>
    </w:p>
    <w:p w:rsidR="00A35D6A" w:rsidRDefault="00A35D6A" w:rsidP="00857A33">
      <w:pPr>
        <w:spacing w:after="0" w:line="240" w:lineRule="auto"/>
      </w:pPr>
      <w:r>
        <w:t>We support this proposal.</w:t>
      </w:r>
    </w:p>
    <w:p w:rsidR="00A35D6A" w:rsidRDefault="00A35D6A" w:rsidP="00857A33">
      <w:pPr>
        <w:spacing w:after="0" w:line="240" w:lineRule="auto"/>
      </w:pPr>
    </w:p>
    <w:p w:rsidR="00A35D6A" w:rsidRPr="00A35D6A" w:rsidRDefault="00A35D6A" w:rsidP="00A35D6A">
      <w:pPr>
        <w:spacing w:after="0" w:line="240" w:lineRule="auto"/>
        <w:rPr>
          <w:color w:val="C00000"/>
        </w:rPr>
      </w:pPr>
      <w:r w:rsidRPr="00A35D6A">
        <w:rPr>
          <w:color w:val="C00000"/>
        </w:rPr>
        <w:t>Proposal 11</w:t>
      </w:r>
      <w:r>
        <w:rPr>
          <w:color w:val="C00000"/>
        </w:rPr>
        <w:t>-7:</w:t>
      </w:r>
      <w:r w:rsidRPr="00A35D6A">
        <w:rPr>
          <w:color w:val="C00000"/>
        </w:rPr>
        <w:t xml:space="preserve"> The </w:t>
      </w:r>
      <w:r w:rsidRPr="00A35D6A">
        <w:rPr>
          <w:i/>
          <w:color w:val="C00000"/>
        </w:rPr>
        <w:t>Aged Care Act 1997 (</w:t>
      </w:r>
      <w:proofErr w:type="spellStart"/>
      <w:r w:rsidRPr="00A35D6A">
        <w:rPr>
          <w:i/>
          <w:color w:val="C00000"/>
        </w:rPr>
        <w:t>Cth</w:t>
      </w:r>
      <w:proofErr w:type="spellEnd"/>
      <w:r w:rsidRPr="00A35D6A">
        <w:rPr>
          <w:i/>
          <w:color w:val="C00000"/>
        </w:rPr>
        <w:t>)</w:t>
      </w:r>
      <w:r w:rsidRPr="00A35D6A">
        <w:rPr>
          <w:color w:val="C00000"/>
        </w:rPr>
        <w:t xml:space="preserve"> should regulate the use of</w:t>
      </w:r>
      <w:r>
        <w:rPr>
          <w:color w:val="C00000"/>
        </w:rPr>
        <w:t xml:space="preserve"> </w:t>
      </w:r>
      <w:r w:rsidRPr="00A35D6A">
        <w:rPr>
          <w:color w:val="C00000"/>
        </w:rPr>
        <w:t>restrictive practices in residential aged care. The Act should provide that</w:t>
      </w:r>
      <w:r>
        <w:rPr>
          <w:color w:val="C00000"/>
        </w:rPr>
        <w:t xml:space="preserve"> </w:t>
      </w:r>
      <w:r w:rsidRPr="00A35D6A">
        <w:rPr>
          <w:color w:val="C00000"/>
        </w:rPr>
        <w:t>restrictive practices only be used:</w:t>
      </w:r>
    </w:p>
    <w:p w:rsidR="00A35D6A" w:rsidRDefault="00A35D6A" w:rsidP="00A35D6A">
      <w:pPr>
        <w:spacing w:after="0" w:line="240" w:lineRule="auto"/>
        <w:rPr>
          <w:color w:val="C00000"/>
        </w:rPr>
      </w:pPr>
    </w:p>
    <w:p w:rsidR="00A35D6A" w:rsidRPr="00A35D6A" w:rsidRDefault="00A35D6A" w:rsidP="00A35D6A">
      <w:pPr>
        <w:pStyle w:val="ListParagraph"/>
        <w:numPr>
          <w:ilvl w:val="0"/>
          <w:numId w:val="44"/>
        </w:numPr>
        <w:spacing w:after="0" w:line="240" w:lineRule="auto"/>
        <w:rPr>
          <w:color w:val="C00000"/>
        </w:rPr>
      </w:pPr>
      <w:r w:rsidRPr="00A35D6A">
        <w:rPr>
          <w:color w:val="C00000"/>
        </w:rPr>
        <w:t>when necessary to prevent physical harm;</w:t>
      </w:r>
    </w:p>
    <w:p w:rsidR="00A35D6A" w:rsidRPr="00A35D6A" w:rsidRDefault="00A35D6A" w:rsidP="00A35D6A">
      <w:pPr>
        <w:pStyle w:val="ListParagraph"/>
        <w:numPr>
          <w:ilvl w:val="0"/>
          <w:numId w:val="44"/>
        </w:numPr>
        <w:spacing w:after="0" w:line="240" w:lineRule="auto"/>
        <w:rPr>
          <w:color w:val="C00000"/>
        </w:rPr>
      </w:pPr>
      <w:r w:rsidRPr="00A35D6A">
        <w:rPr>
          <w:color w:val="C00000"/>
        </w:rPr>
        <w:t>to the extent necessary to prevent the harm;</w:t>
      </w:r>
    </w:p>
    <w:p w:rsidR="00A35D6A" w:rsidRPr="00A35D6A" w:rsidRDefault="00A35D6A" w:rsidP="00A35D6A">
      <w:pPr>
        <w:pStyle w:val="ListParagraph"/>
        <w:numPr>
          <w:ilvl w:val="0"/>
          <w:numId w:val="44"/>
        </w:numPr>
        <w:spacing w:after="0" w:line="240" w:lineRule="auto"/>
        <w:rPr>
          <w:color w:val="C00000"/>
        </w:rPr>
      </w:pPr>
      <w:r w:rsidRPr="00A35D6A">
        <w:rPr>
          <w:color w:val="C00000"/>
        </w:rPr>
        <w:t>with the approval of an independent decision maker, such as a senior clinician, with statutory authority to make this decision; and</w:t>
      </w:r>
    </w:p>
    <w:p w:rsidR="00A35D6A" w:rsidRPr="00A35D6A" w:rsidRDefault="00A35D6A" w:rsidP="00A35D6A">
      <w:pPr>
        <w:pStyle w:val="ListParagraph"/>
        <w:numPr>
          <w:ilvl w:val="0"/>
          <w:numId w:val="44"/>
        </w:numPr>
        <w:spacing w:after="0" w:line="240" w:lineRule="auto"/>
        <w:rPr>
          <w:color w:val="C00000"/>
        </w:rPr>
      </w:pPr>
      <w:proofErr w:type="gramStart"/>
      <w:r w:rsidRPr="00A35D6A">
        <w:rPr>
          <w:color w:val="C00000"/>
        </w:rPr>
        <w:t>as</w:t>
      </w:r>
      <w:proofErr w:type="gramEnd"/>
      <w:r w:rsidRPr="00A35D6A">
        <w:rPr>
          <w:color w:val="C00000"/>
        </w:rPr>
        <w:t xml:space="preserve"> prescribed in a person’s behaviour management plan.</w:t>
      </w:r>
    </w:p>
    <w:p w:rsidR="00A35D6A" w:rsidRDefault="00A35D6A" w:rsidP="00A35D6A">
      <w:pPr>
        <w:spacing w:after="0" w:line="240" w:lineRule="auto"/>
        <w:rPr>
          <w:color w:val="C00000"/>
        </w:rPr>
      </w:pPr>
    </w:p>
    <w:p w:rsidR="009E696E" w:rsidRDefault="009E696E" w:rsidP="00A35D6A">
      <w:pPr>
        <w:spacing w:after="0" w:line="240" w:lineRule="auto"/>
      </w:pPr>
      <w:r>
        <w:t>We support this proposal in principle.  However, we believe that further consideration and consultation is needed about:</w:t>
      </w:r>
    </w:p>
    <w:p w:rsidR="009E696E" w:rsidRDefault="009E696E" w:rsidP="00A35D6A">
      <w:pPr>
        <w:spacing w:after="0" w:line="240" w:lineRule="auto"/>
      </w:pPr>
    </w:p>
    <w:p w:rsidR="009E696E" w:rsidRDefault="009E696E" w:rsidP="009E696E">
      <w:pPr>
        <w:pStyle w:val="ListParagraph"/>
        <w:numPr>
          <w:ilvl w:val="0"/>
          <w:numId w:val="45"/>
        </w:numPr>
        <w:spacing w:after="0" w:line="240" w:lineRule="auto"/>
      </w:pPr>
      <w:r>
        <w:t xml:space="preserve">a consistent approach </w:t>
      </w:r>
      <w:r w:rsidR="00880959">
        <w:t xml:space="preserve">to be used </w:t>
      </w:r>
      <w:r>
        <w:t>across the disability, health and aged care sectors (</w:t>
      </w:r>
      <w:r w:rsidR="00880959">
        <w:t>as per ALRC r</w:t>
      </w:r>
      <w:r>
        <w:t>ecommend</w:t>
      </w:r>
      <w:r w:rsidR="00880959">
        <w:t>ation 8-2 in the</w:t>
      </w:r>
      <w:r>
        <w:t xml:space="preserve"> </w:t>
      </w:r>
      <w:hyperlink r:id="rId20" w:history="1">
        <w:r w:rsidRPr="009E696E">
          <w:rPr>
            <w:rStyle w:val="Hyperlink"/>
            <w:i/>
          </w:rPr>
          <w:t>Equality, Capacity and Disability Report 2014</w:t>
        </w:r>
      </w:hyperlink>
      <w:r>
        <w:t>)</w:t>
      </w:r>
    </w:p>
    <w:p w:rsidR="00A35D6A" w:rsidRDefault="009E696E" w:rsidP="009E696E">
      <w:pPr>
        <w:pStyle w:val="ListParagraph"/>
        <w:numPr>
          <w:ilvl w:val="0"/>
          <w:numId w:val="45"/>
        </w:numPr>
        <w:spacing w:after="0" w:line="240" w:lineRule="auto"/>
      </w:pPr>
      <w:proofErr w:type="gramStart"/>
      <w:r>
        <w:t>what</w:t>
      </w:r>
      <w:proofErr w:type="gramEnd"/>
      <w:r>
        <w:t xml:space="preserve"> constitutes appropriate safeguards, monitoring and oversight. We note that the provisions in Part 7 of the </w:t>
      </w:r>
      <w:hyperlink r:id="rId21" w:history="1">
        <w:r w:rsidRPr="009E696E">
          <w:rPr>
            <w:rStyle w:val="Hyperlink"/>
            <w:i/>
          </w:rPr>
          <w:t>Disability Act 2006 (Vic)</w:t>
        </w:r>
      </w:hyperlink>
      <w:r>
        <w:t xml:space="preserve"> are significantly different to this proposal</w:t>
      </w:r>
      <w:r w:rsidR="00880959">
        <w:t>.</w:t>
      </w:r>
    </w:p>
    <w:p w:rsidR="00482297" w:rsidRDefault="00482297" w:rsidP="00482297">
      <w:pPr>
        <w:spacing w:after="0" w:line="240" w:lineRule="auto"/>
      </w:pPr>
    </w:p>
    <w:p w:rsidR="00B562AF" w:rsidRPr="00482297" w:rsidRDefault="00B562AF" w:rsidP="00B562AF">
      <w:pPr>
        <w:spacing w:after="0" w:line="240" w:lineRule="auto"/>
        <w:rPr>
          <w:color w:val="C00000"/>
        </w:rPr>
      </w:pPr>
      <w:r w:rsidRPr="00482297">
        <w:rPr>
          <w:color w:val="C00000"/>
        </w:rPr>
        <w:t>Proposal 11-9: The Department of Health (</w:t>
      </w:r>
      <w:proofErr w:type="spellStart"/>
      <w:r w:rsidRPr="00482297">
        <w:rPr>
          <w:color w:val="C00000"/>
        </w:rPr>
        <w:t>Cth</w:t>
      </w:r>
      <w:proofErr w:type="spellEnd"/>
      <w:r w:rsidRPr="00482297">
        <w:rPr>
          <w:color w:val="C00000"/>
        </w:rPr>
        <w:t xml:space="preserve">) should develop national guidelines for the community visitors scheme that: </w:t>
      </w:r>
    </w:p>
    <w:p w:rsidR="00B562AF" w:rsidRPr="00482297" w:rsidRDefault="00B562AF" w:rsidP="00B562AF">
      <w:pPr>
        <w:spacing w:after="0" w:line="240" w:lineRule="auto"/>
        <w:rPr>
          <w:color w:val="C00000"/>
        </w:rPr>
      </w:pPr>
    </w:p>
    <w:p w:rsidR="00B562AF" w:rsidRPr="00482297" w:rsidRDefault="00B562AF" w:rsidP="00B562AF">
      <w:pPr>
        <w:pStyle w:val="ListParagraph"/>
        <w:numPr>
          <w:ilvl w:val="0"/>
          <w:numId w:val="46"/>
        </w:numPr>
        <w:spacing w:after="0" w:line="240" w:lineRule="auto"/>
        <w:rPr>
          <w:color w:val="C00000"/>
        </w:rPr>
      </w:pPr>
      <w:r w:rsidRPr="00482297">
        <w:rPr>
          <w:color w:val="C00000"/>
        </w:rPr>
        <w:t xml:space="preserve">provide policies and procedures for community visitors to follow if they have concerns about abuse or neglect of care recipients; </w:t>
      </w:r>
    </w:p>
    <w:p w:rsidR="00B562AF" w:rsidRPr="00482297" w:rsidRDefault="00B562AF" w:rsidP="00B562AF">
      <w:pPr>
        <w:pStyle w:val="ListParagraph"/>
        <w:numPr>
          <w:ilvl w:val="0"/>
          <w:numId w:val="46"/>
        </w:numPr>
        <w:spacing w:after="0" w:line="240" w:lineRule="auto"/>
        <w:rPr>
          <w:color w:val="C00000"/>
        </w:rPr>
      </w:pPr>
      <w:r w:rsidRPr="00482297">
        <w:rPr>
          <w:color w:val="C00000"/>
        </w:rPr>
        <w:t xml:space="preserve">provide policies and procedures for community visitors to refer care recipients to advocacy services or complaints mechanisms where this may assist them; and </w:t>
      </w:r>
    </w:p>
    <w:p w:rsidR="00B562AF" w:rsidRDefault="00B562AF" w:rsidP="00B562AF">
      <w:pPr>
        <w:pStyle w:val="ListParagraph"/>
        <w:numPr>
          <w:ilvl w:val="0"/>
          <w:numId w:val="46"/>
        </w:numPr>
        <w:spacing w:after="0" w:line="240" w:lineRule="auto"/>
        <w:rPr>
          <w:color w:val="C00000"/>
        </w:rPr>
      </w:pPr>
      <w:proofErr w:type="gramStart"/>
      <w:r w:rsidRPr="00482297">
        <w:rPr>
          <w:color w:val="C00000"/>
        </w:rPr>
        <w:t>require</w:t>
      </w:r>
      <w:proofErr w:type="gramEnd"/>
      <w:r w:rsidRPr="00482297">
        <w:rPr>
          <w:color w:val="C00000"/>
        </w:rPr>
        <w:t xml:space="preserve"> training of community visitors in these policies and procedures.</w:t>
      </w:r>
    </w:p>
    <w:p w:rsidR="00B562AF" w:rsidRDefault="00B562AF" w:rsidP="00B562AF">
      <w:pPr>
        <w:spacing w:after="0" w:line="240" w:lineRule="auto"/>
        <w:rPr>
          <w:color w:val="C00000"/>
        </w:rPr>
      </w:pPr>
    </w:p>
    <w:p w:rsidR="00B562AF" w:rsidRPr="001D519B" w:rsidRDefault="00B562AF" w:rsidP="00B562AF">
      <w:pPr>
        <w:spacing w:after="0" w:line="240" w:lineRule="auto"/>
      </w:pPr>
      <w:r>
        <w:t xml:space="preserve">We support the principle of providing policies and procedures to </w:t>
      </w:r>
      <w:r w:rsidRPr="00B562AF">
        <w:t>guide community visitors</w:t>
      </w:r>
      <w:r w:rsidRPr="001D519B">
        <w:t xml:space="preserve"> if they have concerns about elder abuse or neglect.  We note that community visitor scheme organisations will need to be properly resourced to provide training.</w:t>
      </w:r>
    </w:p>
    <w:p w:rsidR="00B562AF" w:rsidRDefault="00B562AF" w:rsidP="00B562AF">
      <w:pPr>
        <w:spacing w:after="0" w:line="240" w:lineRule="auto"/>
      </w:pPr>
    </w:p>
    <w:p w:rsidR="008057E2" w:rsidRPr="0095139B" w:rsidRDefault="008057E2" w:rsidP="008057E2">
      <w:pPr>
        <w:spacing w:after="0" w:line="240" w:lineRule="auto"/>
        <w:rPr>
          <w:color w:val="C00000"/>
        </w:rPr>
      </w:pPr>
      <w:r w:rsidRPr="0095139B">
        <w:rPr>
          <w:color w:val="C00000"/>
        </w:rPr>
        <w:lastRenderedPageBreak/>
        <w:t xml:space="preserve">Proposal 11-10: The </w:t>
      </w:r>
      <w:r w:rsidRPr="0095139B">
        <w:rPr>
          <w:i/>
          <w:color w:val="C00000"/>
        </w:rPr>
        <w:t>Aged Care Act 1997 (</w:t>
      </w:r>
      <w:proofErr w:type="spellStart"/>
      <w:r w:rsidRPr="0095139B">
        <w:rPr>
          <w:i/>
          <w:color w:val="C00000"/>
        </w:rPr>
        <w:t>Cth</w:t>
      </w:r>
      <w:proofErr w:type="spellEnd"/>
      <w:r w:rsidRPr="0095139B">
        <w:rPr>
          <w:i/>
          <w:color w:val="C00000"/>
        </w:rPr>
        <w:t xml:space="preserve">) </w:t>
      </w:r>
      <w:r w:rsidRPr="0095139B">
        <w:rPr>
          <w:color w:val="C00000"/>
        </w:rPr>
        <w:t xml:space="preserve">should provide for an ‘official visitors’ scheme for residential aged care. Official visitors’ functions should be to inquire into and report on: </w:t>
      </w:r>
    </w:p>
    <w:p w:rsidR="008057E2" w:rsidRPr="0095139B" w:rsidRDefault="008057E2" w:rsidP="008057E2">
      <w:pPr>
        <w:spacing w:after="0" w:line="240" w:lineRule="auto"/>
        <w:rPr>
          <w:color w:val="C00000"/>
        </w:rPr>
      </w:pPr>
    </w:p>
    <w:p w:rsidR="008057E2" w:rsidRPr="0095139B" w:rsidRDefault="008057E2" w:rsidP="008057E2">
      <w:pPr>
        <w:pStyle w:val="ListParagraph"/>
        <w:numPr>
          <w:ilvl w:val="0"/>
          <w:numId w:val="47"/>
        </w:numPr>
        <w:spacing w:after="0" w:line="240" w:lineRule="auto"/>
        <w:rPr>
          <w:color w:val="C00000"/>
        </w:rPr>
      </w:pPr>
      <w:r w:rsidRPr="0095139B">
        <w:rPr>
          <w:color w:val="C00000"/>
        </w:rPr>
        <w:t xml:space="preserve">whether the rights of care recipients are being upheld; </w:t>
      </w:r>
    </w:p>
    <w:p w:rsidR="008057E2" w:rsidRPr="0095139B" w:rsidRDefault="008057E2" w:rsidP="008057E2">
      <w:pPr>
        <w:pStyle w:val="ListParagraph"/>
        <w:numPr>
          <w:ilvl w:val="0"/>
          <w:numId w:val="47"/>
        </w:numPr>
        <w:spacing w:after="0" w:line="240" w:lineRule="auto"/>
        <w:rPr>
          <w:color w:val="C00000"/>
        </w:rPr>
      </w:pPr>
      <w:r w:rsidRPr="0095139B">
        <w:rPr>
          <w:color w:val="C00000"/>
        </w:rPr>
        <w:t xml:space="preserve">the adequacy of information provided to care recipients about their rights, including the availability of advocacy </w:t>
      </w:r>
      <w:bookmarkStart w:id="0" w:name="_GoBack"/>
      <w:r w:rsidRPr="0095139B">
        <w:rPr>
          <w:color w:val="C00000"/>
        </w:rPr>
        <w:t xml:space="preserve">services </w:t>
      </w:r>
      <w:bookmarkEnd w:id="0"/>
      <w:r w:rsidRPr="0095139B">
        <w:rPr>
          <w:color w:val="C00000"/>
        </w:rPr>
        <w:t xml:space="preserve">and complaints mechanisms; and </w:t>
      </w:r>
    </w:p>
    <w:p w:rsidR="008057E2" w:rsidRPr="0095139B" w:rsidRDefault="008057E2" w:rsidP="008057E2">
      <w:pPr>
        <w:pStyle w:val="ListParagraph"/>
        <w:numPr>
          <w:ilvl w:val="0"/>
          <w:numId w:val="47"/>
        </w:numPr>
        <w:spacing w:after="0" w:line="240" w:lineRule="auto"/>
        <w:rPr>
          <w:color w:val="C00000"/>
        </w:rPr>
      </w:pPr>
      <w:proofErr w:type="gramStart"/>
      <w:r w:rsidRPr="0095139B">
        <w:rPr>
          <w:color w:val="C00000"/>
        </w:rPr>
        <w:t>concerns</w:t>
      </w:r>
      <w:proofErr w:type="gramEnd"/>
      <w:r w:rsidRPr="0095139B">
        <w:rPr>
          <w:color w:val="C00000"/>
        </w:rPr>
        <w:t xml:space="preserve"> relating to abuse and neglect of care recipients. </w:t>
      </w:r>
    </w:p>
    <w:p w:rsidR="008057E2" w:rsidRPr="0095139B" w:rsidRDefault="008057E2" w:rsidP="008057E2">
      <w:pPr>
        <w:spacing w:after="0" w:line="240" w:lineRule="auto"/>
        <w:rPr>
          <w:color w:val="C00000"/>
        </w:rPr>
      </w:pPr>
    </w:p>
    <w:p w:rsidR="008057E2" w:rsidRPr="0095139B" w:rsidRDefault="008057E2" w:rsidP="008057E2">
      <w:pPr>
        <w:spacing w:after="0" w:line="240" w:lineRule="auto"/>
        <w:rPr>
          <w:color w:val="C00000"/>
        </w:rPr>
      </w:pPr>
      <w:r w:rsidRPr="0095139B">
        <w:rPr>
          <w:color w:val="C00000"/>
        </w:rPr>
        <w:t xml:space="preserve">Proposal 11-11: Official visitors should be empowered to: </w:t>
      </w:r>
    </w:p>
    <w:p w:rsidR="008057E2" w:rsidRPr="0095139B" w:rsidRDefault="008057E2" w:rsidP="008057E2">
      <w:pPr>
        <w:spacing w:after="0" w:line="240" w:lineRule="auto"/>
        <w:rPr>
          <w:color w:val="C00000"/>
        </w:rPr>
      </w:pPr>
    </w:p>
    <w:p w:rsidR="008057E2" w:rsidRPr="0095139B" w:rsidRDefault="008057E2" w:rsidP="008057E2">
      <w:pPr>
        <w:pStyle w:val="ListParagraph"/>
        <w:numPr>
          <w:ilvl w:val="0"/>
          <w:numId w:val="48"/>
        </w:numPr>
        <w:spacing w:after="0" w:line="240" w:lineRule="auto"/>
        <w:rPr>
          <w:color w:val="C00000"/>
        </w:rPr>
      </w:pPr>
      <w:r w:rsidRPr="0095139B">
        <w:rPr>
          <w:color w:val="C00000"/>
        </w:rPr>
        <w:t>enter and inspect a residential aged care service;</w:t>
      </w:r>
    </w:p>
    <w:p w:rsidR="008057E2" w:rsidRPr="0095139B" w:rsidRDefault="008057E2" w:rsidP="008057E2">
      <w:pPr>
        <w:pStyle w:val="ListParagraph"/>
        <w:numPr>
          <w:ilvl w:val="0"/>
          <w:numId w:val="48"/>
        </w:numPr>
        <w:spacing w:after="0" w:line="240" w:lineRule="auto"/>
        <w:rPr>
          <w:color w:val="C00000"/>
        </w:rPr>
      </w:pPr>
      <w:r w:rsidRPr="0095139B">
        <w:rPr>
          <w:color w:val="C00000"/>
        </w:rPr>
        <w:t>confer alone with residents and staff of a residential aged care service; and</w:t>
      </w:r>
    </w:p>
    <w:p w:rsidR="008057E2" w:rsidRPr="0095139B" w:rsidRDefault="008057E2" w:rsidP="008057E2">
      <w:pPr>
        <w:pStyle w:val="ListParagraph"/>
        <w:numPr>
          <w:ilvl w:val="0"/>
          <w:numId w:val="48"/>
        </w:numPr>
        <w:spacing w:after="0" w:line="240" w:lineRule="auto"/>
        <w:rPr>
          <w:color w:val="C00000"/>
        </w:rPr>
      </w:pPr>
      <w:proofErr w:type="gramStart"/>
      <w:r w:rsidRPr="0095139B">
        <w:rPr>
          <w:color w:val="C00000"/>
        </w:rPr>
        <w:t>make</w:t>
      </w:r>
      <w:proofErr w:type="gramEnd"/>
      <w:r w:rsidRPr="0095139B">
        <w:rPr>
          <w:color w:val="C00000"/>
        </w:rPr>
        <w:t xml:space="preserve"> complaints or reports about suspected abuse or neglect of care recipients to appropriate persons or entities.</w:t>
      </w:r>
    </w:p>
    <w:p w:rsidR="008057E2" w:rsidRDefault="008057E2" w:rsidP="00482297">
      <w:pPr>
        <w:spacing w:after="0" w:line="240" w:lineRule="auto"/>
        <w:rPr>
          <w:color w:val="C00000"/>
        </w:rPr>
      </w:pPr>
    </w:p>
    <w:p w:rsidR="00B562AF" w:rsidRDefault="008057E2" w:rsidP="00B562AF">
      <w:pPr>
        <w:spacing w:after="0" w:line="240" w:lineRule="auto"/>
      </w:pPr>
      <w:r w:rsidRPr="008057E2">
        <w:t xml:space="preserve">We </w:t>
      </w:r>
      <w:r w:rsidR="00CC1BEB">
        <w:t xml:space="preserve">believe further consideration is needed about </w:t>
      </w:r>
      <w:r w:rsidR="008F02C6">
        <w:t>whether</w:t>
      </w:r>
      <w:r w:rsidR="00B562AF">
        <w:t>/how</w:t>
      </w:r>
      <w:r w:rsidR="008F02C6">
        <w:t xml:space="preserve"> the</w:t>
      </w:r>
      <w:r w:rsidR="00D44E55">
        <w:t xml:space="preserve">se proposals </w:t>
      </w:r>
      <w:r w:rsidR="008F02C6">
        <w:t xml:space="preserve">overlap with </w:t>
      </w:r>
      <w:r w:rsidR="00CC1BEB">
        <w:t>role of the Aged Care Quality Agency</w:t>
      </w:r>
      <w:r w:rsidR="00B562AF">
        <w:t>,</w:t>
      </w:r>
      <w:r w:rsidR="00B562AF" w:rsidRPr="00B562AF">
        <w:t xml:space="preserve"> </w:t>
      </w:r>
      <w:r w:rsidR="00B562AF">
        <w:t>to ensure that they are properly integrated with broader aged care regulatory settings.</w:t>
      </w:r>
    </w:p>
    <w:p w:rsidR="008057E2" w:rsidRPr="008A08F3" w:rsidRDefault="008057E2" w:rsidP="00482297">
      <w:pPr>
        <w:spacing w:after="0" w:line="240" w:lineRule="auto"/>
      </w:pPr>
    </w:p>
    <w:p w:rsidR="000B0A47" w:rsidRDefault="000B0A47" w:rsidP="00482297">
      <w:pPr>
        <w:spacing w:after="0" w:line="240" w:lineRule="auto"/>
      </w:pPr>
    </w:p>
    <w:p w:rsidR="005A6C57" w:rsidRPr="00FF2789" w:rsidRDefault="005A6C57" w:rsidP="005A6C57">
      <w:pPr>
        <w:pStyle w:val="Heading2"/>
        <w:spacing w:before="0" w:line="240" w:lineRule="auto"/>
      </w:pPr>
      <w:r>
        <w:t>Authorisation</w:t>
      </w:r>
    </w:p>
    <w:p w:rsidR="005A6C57" w:rsidRDefault="005A6C57" w:rsidP="00482297">
      <w:pPr>
        <w:spacing w:after="0" w:line="240" w:lineRule="auto"/>
      </w:pPr>
    </w:p>
    <w:p w:rsidR="000B0A47" w:rsidRDefault="000B0A47" w:rsidP="000B0A47">
      <w:pPr>
        <w:spacing w:after="0" w:line="240" w:lineRule="auto"/>
      </w:pPr>
      <w:r>
        <w:t>This submission has been authorised by the Chief Executive Officer of AAG and the Director of NARI.</w:t>
      </w:r>
    </w:p>
    <w:p w:rsidR="000B0A47" w:rsidRDefault="000B0A47" w:rsidP="000B0A47">
      <w:pPr>
        <w:spacing w:after="0" w:line="240" w:lineRule="auto"/>
      </w:pPr>
    </w:p>
    <w:p w:rsidR="000B0A47" w:rsidRDefault="007F70E3" w:rsidP="000B0A47">
      <w:pPr>
        <w:spacing w:after="0" w:line="240" w:lineRule="auto"/>
      </w:pPr>
      <w:r w:rsidRPr="007F70E3">
        <w:rPr>
          <w:noProof/>
          <w:lang w:eastAsia="en-AU"/>
        </w:rPr>
        <w:drawing>
          <wp:inline distT="0" distB="0" distL="0" distR="0">
            <wp:extent cx="1924050" cy="433996"/>
            <wp:effectExtent l="0" t="0" r="0" b="4445"/>
            <wp:docPr id="4" name="Picture 4" descr="I:\BOARD\ESignatures\james b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OARD\ESignatures\james bs signature.jpg"/>
                    <pic:cNvPicPr>
                      <a:picLocks noChangeAspect="1" noChangeArrowheads="1"/>
                    </pic:cNvPicPr>
                  </pic:nvPicPr>
                  <pic:blipFill>
                    <a:blip r:embed="rId2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8330" cy="439473"/>
                    </a:xfrm>
                    <a:prstGeom prst="rect">
                      <a:avLst/>
                    </a:prstGeom>
                    <a:noFill/>
                    <a:ln>
                      <a:noFill/>
                    </a:ln>
                  </pic:spPr>
                </pic:pic>
              </a:graphicData>
            </a:graphic>
          </wp:inline>
        </w:drawing>
      </w:r>
      <w:r>
        <w:tab/>
      </w:r>
      <w:r>
        <w:tab/>
      </w:r>
      <w:r>
        <w:tab/>
      </w:r>
      <w:r w:rsidRPr="007F70E3">
        <w:rPr>
          <w:noProof/>
          <w:lang w:eastAsia="en-AU"/>
        </w:rPr>
        <w:drawing>
          <wp:inline distT="0" distB="0" distL="0" distR="0">
            <wp:extent cx="1902240" cy="619125"/>
            <wp:effectExtent l="0" t="0" r="3175" b="0"/>
            <wp:docPr id="3" name="Picture 3" descr="I:\BOARD\ESignatures\Bri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OARD\ESignatures\Briony.jpg"/>
                    <pic:cNvPicPr>
                      <a:picLocks noChangeAspect="1" noChangeArrowheads="1"/>
                    </pic:cNvPicPr>
                  </pic:nvPicPr>
                  <pic:blipFill>
                    <a:blip r:embed="rId2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8326" cy="624360"/>
                    </a:xfrm>
                    <a:prstGeom prst="rect">
                      <a:avLst/>
                    </a:prstGeom>
                    <a:noFill/>
                    <a:ln>
                      <a:noFill/>
                    </a:ln>
                  </pic:spPr>
                </pic:pic>
              </a:graphicData>
            </a:graphic>
          </wp:inline>
        </w:drawing>
      </w:r>
    </w:p>
    <w:p w:rsidR="000B0A47" w:rsidRDefault="000B0A47" w:rsidP="000B0A47">
      <w:pPr>
        <w:spacing w:after="0" w:line="240" w:lineRule="auto"/>
      </w:pPr>
    </w:p>
    <w:p w:rsidR="000B0A47" w:rsidRPr="008A08F3" w:rsidRDefault="000B0A47" w:rsidP="000B0A47">
      <w:pPr>
        <w:spacing w:after="0" w:line="240" w:lineRule="auto"/>
        <w:rPr>
          <w:b/>
        </w:rPr>
      </w:pPr>
      <w:r w:rsidRPr="008A08F3">
        <w:rPr>
          <w:b/>
        </w:rPr>
        <w:t>James Beckford Saunders</w:t>
      </w:r>
      <w:r w:rsidRPr="008A08F3">
        <w:rPr>
          <w:b/>
        </w:rPr>
        <w:tab/>
      </w:r>
      <w:r w:rsidRPr="008A08F3">
        <w:rPr>
          <w:b/>
        </w:rPr>
        <w:tab/>
      </w:r>
      <w:r w:rsidRPr="008A08F3">
        <w:rPr>
          <w:b/>
        </w:rPr>
        <w:tab/>
      </w:r>
      <w:r w:rsidRPr="008A08F3">
        <w:rPr>
          <w:b/>
        </w:rPr>
        <w:tab/>
        <w:t xml:space="preserve">Associate Professor </w:t>
      </w:r>
      <w:proofErr w:type="spellStart"/>
      <w:r w:rsidRPr="008A08F3">
        <w:rPr>
          <w:b/>
        </w:rPr>
        <w:t>Briony</w:t>
      </w:r>
      <w:proofErr w:type="spellEnd"/>
      <w:r w:rsidRPr="008A08F3">
        <w:rPr>
          <w:b/>
        </w:rPr>
        <w:t xml:space="preserve"> Dow</w:t>
      </w:r>
    </w:p>
    <w:p w:rsidR="000B0A47" w:rsidRDefault="000B0A47" w:rsidP="000B0A47">
      <w:pPr>
        <w:spacing w:after="0" w:line="240" w:lineRule="auto"/>
      </w:pPr>
      <w:r>
        <w:t>CEO</w:t>
      </w:r>
      <w:r>
        <w:tab/>
      </w:r>
      <w:r>
        <w:tab/>
      </w:r>
      <w:r>
        <w:tab/>
      </w:r>
      <w:r>
        <w:tab/>
      </w:r>
      <w:r>
        <w:tab/>
      </w:r>
      <w:r>
        <w:tab/>
      </w:r>
      <w:r>
        <w:tab/>
        <w:t xml:space="preserve">Director </w:t>
      </w:r>
    </w:p>
    <w:p w:rsidR="000B0A47" w:rsidRDefault="000B0A47" w:rsidP="000B0A47">
      <w:pPr>
        <w:spacing w:after="0" w:line="240" w:lineRule="auto"/>
      </w:pPr>
      <w:r>
        <w:t xml:space="preserve">Australia Association of </w:t>
      </w:r>
      <w:r>
        <w:tab/>
        <w:t>Gerontology</w:t>
      </w:r>
      <w:r>
        <w:tab/>
      </w:r>
      <w:r>
        <w:tab/>
      </w:r>
      <w:r>
        <w:tab/>
        <w:t>National Ageing Research Institute</w:t>
      </w:r>
    </w:p>
    <w:p w:rsidR="000B0A47" w:rsidRDefault="000B0A47" w:rsidP="000B0A47">
      <w:pPr>
        <w:spacing w:after="0" w:line="240" w:lineRule="auto"/>
      </w:pPr>
    </w:p>
    <w:p w:rsidR="000B0A47" w:rsidRDefault="000B0A47" w:rsidP="000B0A47">
      <w:pPr>
        <w:spacing w:after="0" w:line="240" w:lineRule="auto"/>
      </w:pPr>
    </w:p>
    <w:p w:rsidR="000B0A47" w:rsidRPr="000B0A47" w:rsidRDefault="000B0A47" w:rsidP="000B0A47">
      <w:pPr>
        <w:spacing w:after="0" w:line="240" w:lineRule="auto"/>
        <w:rPr>
          <w:rFonts w:eastAsiaTheme="majorEastAsia" w:cstheme="majorBidi"/>
          <w:b/>
          <w:bCs/>
          <w:color w:val="4F81BD" w:themeColor="accent1"/>
          <w:sz w:val="26"/>
          <w:szCs w:val="26"/>
        </w:rPr>
      </w:pPr>
      <w:r w:rsidRPr="000B0A47">
        <w:rPr>
          <w:rFonts w:eastAsiaTheme="majorEastAsia" w:cstheme="majorBidi"/>
          <w:b/>
          <w:bCs/>
          <w:color w:val="4F81BD" w:themeColor="accent1"/>
          <w:sz w:val="26"/>
          <w:szCs w:val="26"/>
        </w:rPr>
        <w:t>Contact</w:t>
      </w:r>
    </w:p>
    <w:p w:rsidR="000B0A47" w:rsidRDefault="000B0A47" w:rsidP="000B0A47">
      <w:pPr>
        <w:spacing w:after="0" w:line="240" w:lineRule="auto"/>
      </w:pPr>
    </w:p>
    <w:p w:rsidR="000B0A47" w:rsidRDefault="000B0A47" w:rsidP="000B0A47">
      <w:pPr>
        <w:spacing w:after="0" w:line="240" w:lineRule="auto"/>
      </w:pPr>
      <w:r>
        <w:t>For further information about this submission please contact:</w:t>
      </w:r>
    </w:p>
    <w:p w:rsidR="000B0A47" w:rsidRDefault="000B0A47" w:rsidP="000B0A47">
      <w:pPr>
        <w:spacing w:after="0" w:line="240" w:lineRule="auto"/>
      </w:pPr>
    </w:p>
    <w:p w:rsidR="000B0A47" w:rsidRDefault="000B0A47" w:rsidP="000B0A47">
      <w:pPr>
        <w:spacing w:after="0" w:line="240" w:lineRule="auto"/>
      </w:pPr>
      <w:proofErr w:type="spellStart"/>
      <w:r>
        <w:t>Tonye</w:t>
      </w:r>
      <w:proofErr w:type="spellEnd"/>
      <w:r>
        <w:t xml:space="preserve"> </w:t>
      </w:r>
      <w:proofErr w:type="spellStart"/>
      <w:r>
        <w:t>Segbedzi</w:t>
      </w:r>
      <w:proofErr w:type="spellEnd"/>
    </w:p>
    <w:p w:rsidR="000B0A47" w:rsidRDefault="000B0A47" w:rsidP="000B0A47">
      <w:pPr>
        <w:spacing w:after="0" w:line="240" w:lineRule="auto"/>
      </w:pPr>
      <w:r>
        <w:t>Senior Policy Officer</w:t>
      </w:r>
    </w:p>
    <w:p w:rsidR="000B0A47" w:rsidRDefault="000B0A47" w:rsidP="000B0A47">
      <w:pPr>
        <w:spacing w:after="0" w:line="240" w:lineRule="auto"/>
      </w:pPr>
      <w:r>
        <w:t>tsegbedzi@aag.asn.au</w:t>
      </w:r>
    </w:p>
    <w:p w:rsidR="000B0A47" w:rsidRDefault="000B0A47" w:rsidP="000B0A47">
      <w:pPr>
        <w:spacing w:after="0" w:line="240" w:lineRule="auto"/>
      </w:pPr>
      <w:r>
        <w:t>03 8506 0521</w:t>
      </w:r>
    </w:p>
    <w:p w:rsidR="000B0A47" w:rsidRDefault="000B0A47" w:rsidP="00482297">
      <w:pPr>
        <w:spacing w:after="0" w:line="240" w:lineRule="auto"/>
      </w:pPr>
    </w:p>
    <w:sectPr w:rsidR="000B0A47" w:rsidSect="004F5A93">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881" w:rsidRDefault="00E73881" w:rsidP="00B26CA2">
      <w:pPr>
        <w:spacing w:after="0" w:line="240" w:lineRule="auto"/>
      </w:pPr>
      <w:r>
        <w:separator/>
      </w:r>
    </w:p>
  </w:endnote>
  <w:endnote w:type="continuationSeparator" w:id="0">
    <w:p w:rsidR="00E73881" w:rsidRDefault="00E73881" w:rsidP="00B26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57" w:rsidRDefault="00D516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81" w:rsidRDefault="00E73881" w:rsidP="008A08F3">
    <w:pPr>
      <w:pStyle w:val="Footer"/>
    </w:pPr>
    <w:r>
      <w:t>27 February 2017</w:t>
    </w:r>
    <w:r>
      <w:tab/>
    </w:r>
    <w:r>
      <w:tab/>
    </w:r>
    <w:sdt>
      <w:sdtPr>
        <w:id w:val="-1985615753"/>
        <w:docPartObj>
          <w:docPartGallery w:val="Page Numbers (Bottom of Page)"/>
          <w:docPartUnique/>
        </w:docPartObj>
      </w:sdtPr>
      <w:sdtEndPr>
        <w:rPr>
          <w:noProof/>
        </w:rPr>
      </w:sdtEndPr>
      <w:sdtContent>
        <w:r w:rsidR="00A408F0">
          <w:fldChar w:fldCharType="begin"/>
        </w:r>
        <w:r>
          <w:instrText xml:space="preserve"> PAGE   \* MERGEFORMAT </w:instrText>
        </w:r>
        <w:r w:rsidR="00A408F0">
          <w:fldChar w:fldCharType="separate"/>
        </w:r>
        <w:r w:rsidR="009B6DFF">
          <w:rPr>
            <w:noProof/>
          </w:rPr>
          <w:t>8</w:t>
        </w:r>
        <w:r w:rsidR="00A408F0">
          <w:rPr>
            <w:noProof/>
          </w:rPr>
          <w:fldChar w:fldCharType="end"/>
        </w:r>
      </w:sdtContent>
    </w:sdt>
  </w:p>
  <w:p w:rsidR="00E73881" w:rsidRDefault="00E738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57" w:rsidRDefault="00D516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881" w:rsidRDefault="00E73881" w:rsidP="00B26CA2">
      <w:pPr>
        <w:spacing w:after="0" w:line="240" w:lineRule="auto"/>
      </w:pPr>
      <w:r>
        <w:separator/>
      </w:r>
    </w:p>
  </w:footnote>
  <w:footnote w:type="continuationSeparator" w:id="0">
    <w:p w:rsidR="00E73881" w:rsidRDefault="00E73881" w:rsidP="00B26C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57" w:rsidRDefault="00D516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57" w:rsidRDefault="00D51657">
    <w:pPr>
      <w:pStyle w:val="Header"/>
    </w:pPr>
    <w:r>
      <w:t xml:space="preserve">291. </w:t>
    </w:r>
    <w:r>
      <w:rPr>
        <w:color w:val="000000"/>
      </w:rPr>
      <w:t>Australian Association of Gerontology (AAG) and the National Ageing Research Institute (NARI)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657" w:rsidRDefault="00D516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2A31"/>
    <w:multiLevelType w:val="hybridMultilevel"/>
    <w:tmpl w:val="A1D4E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450C8E"/>
    <w:multiLevelType w:val="hybridMultilevel"/>
    <w:tmpl w:val="9A0A059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FCB1402"/>
    <w:multiLevelType w:val="hybridMultilevel"/>
    <w:tmpl w:val="865011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AC1045"/>
    <w:multiLevelType w:val="hybridMultilevel"/>
    <w:tmpl w:val="C2A82F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8E10DD"/>
    <w:multiLevelType w:val="hybridMultilevel"/>
    <w:tmpl w:val="01CEA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71738E"/>
    <w:multiLevelType w:val="hybridMultilevel"/>
    <w:tmpl w:val="99D61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AF587A"/>
    <w:multiLevelType w:val="hybridMultilevel"/>
    <w:tmpl w:val="15887D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A1B2DA9"/>
    <w:multiLevelType w:val="hybridMultilevel"/>
    <w:tmpl w:val="EED039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5E17AE"/>
    <w:multiLevelType w:val="hybridMultilevel"/>
    <w:tmpl w:val="63A2A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4542B0"/>
    <w:multiLevelType w:val="hybridMultilevel"/>
    <w:tmpl w:val="5950E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EA4F6C"/>
    <w:multiLevelType w:val="hybridMultilevel"/>
    <w:tmpl w:val="3FDE7F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E443C79"/>
    <w:multiLevelType w:val="hybridMultilevel"/>
    <w:tmpl w:val="5E7C1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682161"/>
    <w:multiLevelType w:val="hybridMultilevel"/>
    <w:tmpl w:val="5AB2CD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8A34116"/>
    <w:multiLevelType w:val="hybridMultilevel"/>
    <w:tmpl w:val="3FDE7F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99B5D85"/>
    <w:multiLevelType w:val="hybridMultilevel"/>
    <w:tmpl w:val="27FE8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F6319A"/>
    <w:multiLevelType w:val="hybridMultilevel"/>
    <w:tmpl w:val="41861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6630D"/>
    <w:multiLevelType w:val="hybridMultilevel"/>
    <w:tmpl w:val="56823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9A64A5"/>
    <w:multiLevelType w:val="hybridMultilevel"/>
    <w:tmpl w:val="DAD229BE"/>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18">
    <w:nsid w:val="30601512"/>
    <w:multiLevelType w:val="hybridMultilevel"/>
    <w:tmpl w:val="077A2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2EA6E93"/>
    <w:multiLevelType w:val="hybridMultilevel"/>
    <w:tmpl w:val="9B52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26638E"/>
    <w:multiLevelType w:val="hybridMultilevel"/>
    <w:tmpl w:val="15780C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34A6852"/>
    <w:multiLevelType w:val="hybridMultilevel"/>
    <w:tmpl w:val="B21A2B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3BD2066"/>
    <w:multiLevelType w:val="hybridMultilevel"/>
    <w:tmpl w:val="36C47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4D63F26"/>
    <w:multiLevelType w:val="hybridMultilevel"/>
    <w:tmpl w:val="89A89DB8"/>
    <w:lvl w:ilvl="0" w:tplc="499C610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EB027E"/>
    <w:multiLevelType w:val="hybridMultilevel"/>
    <w:tmpl w:val="880CC48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0361DA8"/>
    <w:multiLevelType w:val="hybridMultilevel"/>
    <w:tmpl w:val="D9261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1CA236F"/>
    <w:multiLevelType w:val="hybridMultilevel"/>
    <w:tmpl w:val="2EC00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DE2B49"/>
    <w:multiLevelType w:val="hybridMultilevel"/>
    <w:tmpl w:val="78584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3B94B2D"/>
    <w:multiLevelType w:val="hybridMultilevel"/>
    <w:tmpl w:val="E4DEC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46E7A9A"/>
    <w:multiLevelType w:val="hybridMultilevel"/>
    <w:tmpl w:val="73005E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6491D88"/>
    <w:multiLevelType w:val="hybridMultilevel"/>
    <w:tmpl w:val="30E2A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CAF0A16"/>
    <w:multiLevelType w:val="hybridMultilevel"/>
    <w:tmpl w:val="30244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D6434BB"/>
    <w:multiLevelType w:val="hybridMultilevel"/>
    <w:tmpl w:val="43AC9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F1A4EEF"/>
    <w:multiLevelType w:val="hybridMultilevel"/>
    <w:tmpl w:val="F0720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2472F6C"/>
    <w:multiLevelType w:val="hybridMultilevel"/>
    <w:tmpl w:val="E8EC6344"/>
    <w:lvl w:ilvl="0" w:tplc="499C61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364E2C"/>
    <w:multiLevelType w:val="hybridMultilevel"/>
    <w:tmpl w:val="7BA6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C771A2D"/>
    <w:multiLevelType w:val="hybridMultilevel"/>
    <w:tmpl w:val="032CEA58"/>
    <w:lvl w:ilvl="0" w:tplc="499C610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DE60652"/>
    <w:multiLevelType w:val="hybridMultilevel"/>
    <w:tmpl w:val="6874C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29707CC"/>
    <w:multiLevelType w:val="hybridMultilevel"/>
    <w:tmpl w:val="9DECF6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5536066"/>
    <w:multiLevelType w:val="hybridMultilevel"/>
    <w:tmpl w:val="CE88DD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B81E23"/>
    <w:multiLevelType w:val="hybridMultilevel"/>
    <w:tmpl w:val="C2A0F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8275C90"/>
    <w:multiLevelType w:val="hybridMultilevel"/>
    <w:tmpl w:val="72D0383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6B305E70"/>
    <w:multiLevelType w:val="hybridMultilevel"/>
    <w:tmpl w:val="90126AC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B5D1689"/>
    <w:multiLevelType w:val="hybridMultilevel"/>
    <w:tmpl w:val="7DBABD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BFE2D66"/>
    <w:multiLevelType w:val="hybridMultilevel"/>
    <w:tmpl w:val="AED82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C6A5C7B"/>
    <w:multiLevelType w:val="hybridMultilevel"/>
    <w:tmpl w:val="3FCE105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4B3359F"/>
    <w:multiLevelType w:val="hybridMultilevel"/>
    <w:tmpl w:val="AFA264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5104A92"/>
    <w:multiLevelType w:val="hybridMultilevel"/>
    <w:tmpl w:val="EE7C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267E93"/>
    <w:multiLevelType w:val="hybridMultilevel"/>
    <w:tmpl w:val="324AA0B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32"/>
  </w:num>
  <w:num w:numId="4">
    <w:abstractNumId w:val="17"/>
  </w:num>
  <w:num w:numId="5">
    <w:abstractNumId w:val="23"/>
  </w:num>
  <w:num w:numId="6">
    <w:abstractNumId w:val="40"/>
  </w:num>
  <w:num w:numId="7">
    <w:abstractNumId w:val="9"/>
  </w:num>
  <w:num w:numId="8">
    <w:abstractNumId w:val="8"/>
  </w:num>
  <w:num w:numId="9">
    <w:abstractNumId w:val="16"/>
  </w:num>
  <w:num w:numId="10">
    <w:abstractNumId w:val="22"/>
  </w:num>
  <w:num w:numId="11">
    <w:abstractNumId w:val="11"/>
  </w:num>
  <w:num w:numId="12">
    <w:abstractNumId w:val="5"/>
  </w:num>
  <w:num w:numId="13">
    <w:abstractNumId w:val="30"/>
  </w:num>
  <w:num w:numId="14">
    <w:abstractNumId w:val="14"/>
  </w:num>
  <w:num w:numId="15">
    <w:abstractNumId w:val="18"/>
  </w:num>
  <w:num w:numId="16">
    <w:abstractNumId w:val="34"/>
  </w:num>
  <w:num w:numId="17">
    <w:abstractNumId w:val="47"/>
  </w:num>
  <w:num w:numId="18">
    <w:abstractNumId w:val="42"/>
  </w:num>
  <w:num w:numId="19">
    <w:abstractNumId w:val="26"/>
  </w:num>
  <w:num w:numId="20">
    <w:abstractNumId w:val="29"/>
  </w:num>
  <w:num w:numId="21">
    <w:abstractNumId w:val="39"/>
  </w:num>
  <w:num w:numId="22">
    <w:abstractNumId w:val="15"/>
  </w:num>
  <w:num w:numId="23">
    <w:abstractNumId w:val="48"/>
  </w:num>
  <w:num w:numId="24">
    <w:abstractNumId w:val="19"/>
  </w:num>
  <w:num w:numId="25">
    <w:abstractNumId w:val="4"/>
  </w:num>
  <w:num w:numId="26">
    <w:abstractNumId w:val="25"/>
  </w:num>
  <w:num w:numId="27">
    <w:abstractNumId w:val="44"/>
  </w:num>
  <w:num w:numId="28">
    <w:abstractNumId w:val="27"/>
  </w:num>
  <w:num w:numId="29">
    <w:abstractNumId w:val="33"/>
  </w:num>
  <w:num w:numId="30">
    <w:abstractNumId w:val="45"/>
  </w:num>
  <w:num w:numId="31">
    <w:abstractNumId w:val="1"/>
  </w:num>
  <w:num w:numId="32">
    <w:abstractNumId w:val="31"/>
  </w:num>
  <w:num w:numId="33">
    <w:abstractNumId w:val="38"/>
  </w:num>
  <w:num w:numId="34">
    <w:abstractNumId w:val="41"/>
  </w:num>
  <w:num w:numId="35">
    <w:abstractNumId w:val="43"/>
  </w:num>
  <w:num w:numId="36">
    <w:abstractNumId w:val="2"/>
  </w:num>
  <w:num w:numId="37">
    <w:abstractNumId w:val="20"/>
  </w:num>
  <w:num w:numId="38">
    <w:abstractNumId w:val="37"/>
  </w:num>
  <w:num w:numId="39">
    <w:abstractNumId w:val="3"/>
  </w:num>
  <w:num w:numId="40">
    <w:abstractNumId w:val="12"/>
  </w:num>
  <w:num w:numId="41">
    <w:abstractNumId w:val="0"/>
  </w:num>
  <w:num w:numId="42">
    <w:abstractNumId w:val="46"/>
  </w:num>
  <w:num w:numId="43">
    <w:abstractNumId w:val="7"/>
  </w:num>
  <w:num w:numId="44">
    <w:abstractNumId w:val="24"/>
  </w:num>
  <w:num w:numId="45">
    <w:abstractNumId w:val="35"/>
  </w:num>
  <w:num w:numId="46">
    <w:abstractNumId w:val="10"/>
  </w:num>
  <w:num w:numId="47">
    <w:abstractNumId w:val="6"/>
  </w:num>
  <w:num w:numId="48">
    <w:abstractNumId w:val="21"/>
  </w:num>
  <w:num w:numId="4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505BD0"/>
    <w:rsid w:val="00010E50"/>
    <w:rsid w:val="00017B44"/>
    <w:rsid w:val="00022F99"/>
    <w:rsid w:val="00023DBF"/>
    <w:rsid w:val="000424E1"/>
    <w:rsid w:val="00046ACF"/>
    <w:rsid w:val="000804C1"/>
    <w:rsid w:val="00081DA0"/>
    <w:rsid w:val="00085D5A"/>
    <w:rsid w:val="000B0A47"/>
    <w:rsid w:val="000B1215"/>
    <w:rsid w:val="000D50E1"/>
    <w:rsid w:val="000E1956"/>
    <w:rsid w:val="000E21AC"/>
    <w:rsid w:val="00102282"/>
    <w:rsid w:val="001141F6"/>
    <w:rsid w:val="00123A07"/>
    <w:rsid w:val="001314C1"/>
    <w:rsid w:val="00153AC3"/>
    <w:rsid w:val="001630D9"/>
    <w:rsid w:val="001667F2"/>
    <w:rsid w:val="001671AE"/>
    <w:rsid w:val="00173C0F"/>
    <w:rsid w:val="00183806"/>
    <w:rsid w:val="001944E7"/>
    <w:rsid w:val="001B45F7"/>
    <w:rsid w:val="001C632A"/>
    <w:rsid w:val="001D3F13"/>
    <w:rsid w:val="001F3277"/>
    <w:rsid w:val="00212C4D"/>
    <w:rsid w:val="00222299"/>
    <w:rsid w:val="002233BE"/>
    <w:rsid w:val="00226730"/>
    <w:rsid w:val="00227B1E"/>
    <w:rsid w:val="00231FAE"/>
    <w:rsid w:val="00240AE5"/>
    <w:rsid w:val="0024627B"/>
    <w:rsid w:val="00247A2D"/>
    <w:rsid w:val="00255DE4"/>
    <w:rsid w:val="00262EA0"/>
    <w:rsid w:val="00270CB9"/>
    <w:rsid w:val="00274312"/>
    <w:rsid w:val="00282454"/>
    <w:rsid w:val="002836E5"/>
    <w:rsid w:val="002E4927"/>
    <w:rsid w:val="002E57B1"/>
    <w:rsid w:val="002F26AE"/>
    <w:rsid w:val="002F7E5B"/>
    <w:rsid w:val="00307B1C"/>
    <w:rsid w:val="0031192C"/>
    <w:rsid w:val="00327296"/>
    <w:rsid w:val="00332303"/>
    <w:rsid w:val="00332F53"/>
    <w:rsid w:val="00337953"/>
    <w:rsid w:val="003617C3"/>
    <w:rsid w:val="00363596"/>
    <w:rsid w:val="00372A76"/>
    <w:rsid w:val="00374E48"/>
    <w:rsid w:val="003A5C57"/>
    <w:rsid w:val="003D6438"/>
    <w:rsid w:val="003E37BB"/>
    <w:rsid w:val="00407940"/>
    <w:rsid w:val="00407AFD"/>
    <w:rsid w:val="004250D6"/>
    <w:rsid w:val="004548E6"/>
    <w:rsid w:val="00462DF4"/>
    <w:rsid w:val="00464BDA"/>
    <w:rsid w:val="004663B7"/>
    <w:rsid w:val="00466789"/>
    <w:rsid w:val="00477E4D"/>
    <w:rsid w:val="00482297"/>
    <w:rsid w:val="0049330D"/>
    <w:rsid w:val="004B70FB"/>
    <w:rsid w:val="004C252A"/>
    <w:rsid w:val="004D59AD"/>
    <w:rsid w:val="004F493E"/>
    <w:rsid w:val="004F5A93"/>
    <w:rsid w:val="00504158"/>
    <w:rsid w:val="00505BD0"/>
    <w:rsid w:val="00515612"/>
    <w:rsid w:val="00522AEE"/>
    <w:rsid w:val="0052585D"/>
    <w:rsid w:val="00526855"/>
    <w:rsid w:val="00535516"/>
    <w:rsid w:val="00540A65"/>
    <w:rsid w:val="00542EB2"/>
    <w:rsid w:val="00545FBC"/>
    <w:rsid w:val="005561DD"/>
    <w:rsid w:val="00560875"/>
    <w:rsid w:val="005713C6"/>
    <w:rsid w:val="00583DE3"/>
    <w:rsid w:val="005870BA"/>
    <w:rsid w:val="00587B42"/>
    <w:rsid w:val="005A6C57"/>
    <w:rsid w:val="005A7D59"/>
    <w:rsid w:val="005C1532"/>
    <w:rsid w:val="005E3527"/>
    <w:rsid w:val="00606E12"/>
    <w:rsid w:val="006102C9"/>
    <w:rsid w:val="0062112C"/>
    <w:rsid w:val="006651A8"/>
    <w:rsid w:val="00674941"/>
    <w:rsid w:val="00687F62"/>
    <w:rsid w:val="006A5F20"/>
    <w:rsid w:val="006B5F80"/>
    <w:rsid w:val="006B7EB9"/>
    <w:rsid w:val="006E1100"/>
    <w:rsid w:val="006E524C"/>
    <w:rsid w:val="006F4E38"/>
    <w:rsid w:val="006F540D"/>
    <w:rsid w:val="00735F16"/>
    <w:rsid w:val="00740BB1"/>
    <w:rsid w:val="007552F4"/>
    <w:rsid w:val="0078108A"/>
    <w:rsid w:val="00797C96"/>
    <w:rsid w:val="007C2563"/>
    <w:rsid w:val="007D1ECB"/>
    <w:rsid w:val="007E6056"/>
    <w:rsid w:val="007F70E3"/>
    <w:rsid w:val="007F76C2"/>
    <w:rsid w:val="008057E2"/>
    <w:rsid w:val="008246CE"/>
    <w:rsid w:val="00824A27"/>
    <w:rsid w:val="00836E7A"/>
    <w:rsid w:val="00840CA3"/>
    <w:rsid w:val="00842A65"/>
    <w:rsid w:val="00852D5B"/>
    <w:rsid w:val="00857A33"/>
    <w:rsid w:val="0086182E"/>
    <w:rsid w:val="00876293"/>
    <w:rsid w:val="00880959"/>
    <w:rsid w:val="008915A5"/>
    <w:rsid w:val="008A0624"/>
    <w:rsid w:val="008A08F3"/>
    <w:rsid w:val="008A38FC"/>
    <w:rsid w:val="008B3EC8"/>
    <w:rsid w:val="008C2743"/>
    <w:rsid w:val="008E49EA"/>
    <w:rsid w:val="008F02C6"/>
    <w:rsid w:val="00925CB3"/>
    <w:rsid w:val="009476C3"/>
    <w:rsid w:val="0095139B"/>
    <w:rsid w:val="009522BD"/>
    <w:rsid w:val="00954318"/>
    <w:rsid w:val="00977F06"/>
    <w:rsid w:val="00991E6B"/>
    <w:rsid w:val="00995530"/>
    <w:rsid w:val="009A1961"/>
    <w:rsid w:val="009B1D3D"/>
    <w:rsid w:val="009B6DFF"/>
    <w:rsid w:val="009C071F"/>
    <w:rsid w:val="009D7EC8"/>
    <w:rsid w:val="009E0AAE"/>
    <w:rsid w:val="009E696E"/>
    <w:rsid w:val="00A077C5"/>
    <w:rsid w:val="00A22611"/>
    <w:rsid w:val="00A23BDA"/>
    <w:rsid w:val="00A2744A"/>
    <w:rsid w:val="00A35D6A"/>
    <w:rsid w:val="00A408F0"/>
    <w:rsid w:val="00A63F2B"/>
    <w:rsid w:val="00A93DA9"/>
    <w:rsid w:val="00AC2C89"/>
    <w:rsid w:val="00AF0BA6"/>
    <w:rsid w:val="00B26CA2"/>
    <w:rsid w:val="00B562AF"/>
    <w:rsid w:val="00B66DFA"/>
    <w:rsid w:val="00B85890"/>
    <w:rsid w:val="00BA7764"/>
    <w:rsid w:val="00BB0E19"/>
    <w:rsid w:val="00BB4241"/>
    <w:rsid w:val="00BB7A9E"/>
    <w:rsid w:val="00BC17BA"/>
    <w:rsid w:val="00BD0650"/>
    <w:rsid w:val="00BD2BAD"/>
    <w:rsid w:val="00BD5D39"/>
    <w:rsid w:val="00C04E29"/>
    <w:rsid w:val="00C054DA"/>
    <w:rsid w:val="00C263EC"/>
    <w:rsid w:val="00C34F3D"/>
    <w:rsid w:val="00C42097"/>
    <w:rsid w:val="00C47A6B"/>
    <w:rsid w:val="00C51D6A"/>
    <w:rsid w:val="00C74FF2"/>
    <w:rsid w:val="00C77B57"/>
    <w:rsid w:val="00CB1F52"/>
    <w:rsid w:val="00CB3C72"/>
    <w:rsid w:val="00CB7EE0"/>
    <w:rsid w:val="00CC0E0E"/>
    <w:rsid w:val="00CC1B67"/>
    <w:rsid w:val="00CC1BEB"/>
    <w:rsid w:val="00CE0296"/>
    <w:rsid w:val="00CE12D8"/>
    <w:rsid w:val="00CE1BB2"/>
    <w:rsid w:val="00CE2371"/>
    <w:rsid w:val="00D01AD0"/>
    <w:rsid w:val="00D023C4"/>
    <w:rsid w:val="00D2440D"/>
    <w:rsid w:val="00D25C76"/>
    <w:rsid w:val="00D44E55"/>
    <w:rsid w:val="00D51657"/>
    <w:rsid w:val="00D84985"/>
    <w:rsid w:val="00D975B0"/>
    <w:rsid w:val="00DA369D"/>
    <w:rsid w:val="00DA5725"/>
    <w:rsid w:val="00DC2253"/>
    <w:rsid w:val="00DE0D19"/>
    <w:rsid w:val="00DF0256"/>
    <w:rsid w:val="00E260D4"/>
    <w:rsid w:val="00E37C41"/>
    <w:rsid w:val="00E57F5D"/>
    <w:rsid w:val="00E60C24"/>
    <w:rsid w:val="00E64A6A"/>
    <w:rsid w:val="00E718E0"/>
    <w:rsid w:val="00E73881"/>
    <w:rsid w:val="00E82D4F"/>
    <w:rsid w:val="00E85F72"/>
    <w:rsid w:val="00E9449D"/>
    <w:rsid w:val="00EA42FE"/>
    <w:rsid w:val="00EF7C22"/>
    <w:rsid w:val="00F116AC"/>
    <w:rsid w:val="00F25293"/>
    <w:rsid w:val="00F44294"/>
    <w:rsid w:val="00F62F23"/>
    <w:rsid w:val="00F9040E"/>
    <w:rsid w:val="00FF09D7"/>
    <w:rsid w:val="00FF2789"/>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93"/>
  </w:style>
  <w:style w:type="paragraph" w:styleId="Heading1">
    <w:name w:val="heading 1"/>
    <w:basedOn w:val="Normal"/>
    <w:next w:val="Normal"/>
    <w:link w:val="Heading1Char"/>
    <w:uiPriority w:val="9"/>
    <w:qFormat/>
    <w:rsid w:val="005870BA"/>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70BA"/>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DERLINE">
    <w:name w:val="UNDERLINE"/>
    <w:basedOn w:val="NoSpacing"/>
    <w:autoRedefine/>
    <w:qFormat/>
    <w:rsid w:val="00222299"/>
    <w:rPr>
      <w:u w:val="single"/>
    </w:rPr>
  </w:style>
  <w:style w:type="paragraph" w:styleId="NoSpacing">
    <w:name w:val="No Spacing"/>
    <w:uiPriority w:val="1"/>
    <w:qFormat/>
    <w:rsid w:val="00222299"/>
    <w:pPr>
      <w:spacing w:after="0" w:line="240" w:lineRule="auto"/>
    </w:pPr>
  </w:style>
  <w:style w:type="paragraph" w:styleId="ListParagraph">
    <w:name w:val="List Paragraph"/>
    <w:basedOn w:val="Normal"/>
    <w:uiPriority w:val="34"/>
    <w:qFormat/>
    <w:rsid w:val="00505BD0"/>
    <w:pPr>
      <w:ind w:left="720"/>
      <w:contextualSpacing/>
    </w:pPr>
  </w:style>
  <w:style w:type="character" w:customStyle="1" w:styleId="Heading1Char">
    <w:name w:val="Heading 1 Char"/>
    <w:basedOn w:val="DefaultParagraphFont"/>
    <w:link w:val="Heading1"/>
    <w:uiPriority w:val="9"/>
    <w:rsid w:val="005870BA"/>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70BA"/>
    <w:rPr>
      <w:rFonts w:eastAsiaTheme="majorEastAsia" w:cstheme="majorBidi"/>
      <w:b/>
      <w:bCs/>
      <w:color w:val="4F81BD" w:themeColor="accent1"/>
      <w:sz w:val="26"/>
      <w:szCs w:val="26"/>
    </w:rPr>
  </w:style>
  <w:style w:type="paragraph" w:styleId="Header">
    <w:name w:val="header"/>
    <w:basedOn w:val="Normal"/>
    <w:link w:val="HeaderChar"/>
    <w:uiPriority w:val="99"/>
    <w:unhideWhenUsed/>
    <w:rsid w:val="00B26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CA2"/>
  </w:style>
  <w:style w:type="paragraph" w:styleId="Footer">
    <w:name w:val="footer"/>
    <w:basedOn w:val="Normal"/>
    <w:link w:val="FooterChar"/>
    <w:uiPriority w:val="99"/>
    <w:unhideWhenUsed/>
    <w:rsid w:val="00B26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CA2"/>
  </w:style>
  <w:style w:type="paragraph" w:styleId="BalloonText">
    <w:name w:val="Balloon Text"/>
    <w:basedOn w:val="Normal"/>
    <w:link w:val="BalloonTextChar"/>
    <w:uiPriority w:val="99"/>
    <w:semiHidden/>
    <w:unhideWhenUsed/>
    <w:rsid w:val="008C2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743"/>
    <w:rPr>
      <w:rFonts w:ascii="Tahoma" w:hAnsi="Tahoma" w:cs="Tahoma"/>
      <w:sz w:val="16"/>
      <w:szCs w:val="16"/>
    </w:rPr>
  </w:style>
  <w:style w:type="character" w:styleId="Hyperlink">
    <w:name w:val="Hyperlink"/>
    <w:basedOn w:val="DefaultParagraphFont"/>
    <w:uiPriority w:val="99"/>
    <w:unhideWhenUsed/>
    <w:rsid w:val="001671AE"/>
    <w:rPr>
      <w:color w:val="0000FF" w:themeColor="hyperlink"/>
      <w:u w:val="single"/>
    </w:rPr>
  </w:style>
  <w:style w:type="character" w:styleId="FollowedHyperlink">
    <w:name w:val="FollowedHyperlink"/>
    <w:basedOn w:val="DefaultParagraphFont"/>
    <w:uiPriority w:val="99"/>
    <w:semiHidden/>
    <w:unhideWhenUsed/>
    <w:rsid w:val="00842A65"/>
    <w:rPr>
      <w:color w:val="800080" w:themeColor="followedHyperlink"/>
      <w:u w:val="single"/>
    </w:rPr>
  </w:style>
  <w:style w:type="paragraph" w:styleId="EndnoteText">
    <w:name w:val="endnote text"/>
    <w:basedOn w:val="Normal"/>
    <w:link w:val="EndnoteTextChar"/>
    <w:uiPriority w:val="99"/>
    <w:semiHidden/>
    <w:unhideWhenUsed/>
    <w:rsid w:val="00991E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1E6B"/>
    <w:rPr>
      <w:sz w:val="20"/>
      <w:szCs w:val="20"/>
    </w:rPr>
  </w:style>
  <w:style w:type="character" w:styleId="EndnoteReference">
    <w:name w:val="endnote reference"/>
    <w:basedOn w:val="DefaultParagraphFont"/>
    <w:uiPriority w:val="99"/>
    <w:semiHidden/>
    <w:unhideWhenUsed/>
    <w:rsid w:val="00991E6B"/>
    <w:rPr>
      <w:vertAlign w:val="superscript"/>
    </w:rPr>
  </w:style>
  <w:style w:type="character" w:styleId="CommentReference">
    <w:name w:val="annotation reference"/>
    <w:basedOn w:val="DefaultParagraphFont"/>
    <w:uiPriority w:val="99"/>
    <w:semiHidden/>
    <w:unhideWhenUsed/>
    <w:rsid w:val="000424E1"/>
    <w:rPr>
      <w:sz w:val="16"/>
      <w:szCs w:val="16"/>
    </w:rPr>
  </w:style>
  <w:style w:type="paragraph" w:styleId="CommentText">
    <w:name w:val="annotation text"/>
    <w:basedOn w:val="Normal"/>
    <w:link w:val="CommentTextChar"/>
    <w:uiPriority w:val="99"/>
    <w:semiHidden/>
    <w:unhideWhenUsed/>
    <w:rsid w:val="000424E1"/>
    <w:pPr>
      <w:spacing w:line="240" w:lineRule="auto"/>
    </w:pPr>
    <w:rPr>
      <w:sz w:val="20"/>
      <w:szCs w:val="20"/>
    </w:rPr>
  </w:style>
  <w:style w:type="character" w:customStyle="1" w:styleId="CommentTextChar">
    <w:name w:val="Comment Text Char"/>
    <w:basedOn w:val="DefaultParagraphFont"/>
    <w:link w:val="CommentText"/>
    <w:uiPriority w:val="99"/>
    <w:semiHidden/>
    <w:rsid w:val="000424E1"/>
    <w:rPr>
      <w:sz w:val="20"/>
      <w:szCs w:val="20"/>
    </w:rPr>
  </w:style>
  <w:style w:type="paragraph" w:styleId="CommentSubject">
    <w:name w:val="annotation subject"/>
    <w:basedOn w:val="CommentText"/>
    <w:next w:val="CommentText"/>
    <w:link w:val="CommentSubjectChar"/>
    <w:uiPriority w:val="99"/>
    <w:semiHidden/>
    <w:unhideWhenUsed/>
    <w:rsid w:val="000424E1"/>
    <w:rPr>
      <w:b/>
      <w:bCs/>
    </w:rPr>
  </w:style>
  <w:style w:type="character" w:customStyle="1" w:styleId="CommentSubjectChar">
    <w:name w:val="Comment Subject Char"/>
    <w:basedOn w:val="CommentTextChar"/>
    <w:link w:val="CommentSubject"/>
    <w:uiPriority w:val="99"/>
    <w:semiHidden/>
    <w:rsid w:val="000424E1"/>
    <w:rPr>
      <w:b/>
      <w:bCs/>
      <w:sz w:val="20"/>
      <w:szCs w:val="20"/>
    </w:rPr>
  </w:style>
</w:styles>
</file>

<file path=word/webSettings.xml><?xml version="1.0" encoding="utf-8"?>
<w:webSettings xmlns:r="http://schemas.openxmlformats.org/officeDocument/2006/relationships" xmlns:w="http://schemas.openxmlformats.org/wordprocessingml/2006/main">
  <w:divs>
    <w:div w:id="503131908">
      <w:bodyDiv w:val="1"/>
      <w:marLeft w:val="0"/>
      <w:marRight w:val="0"/>
      <w:marTop w:val="0"/>
      <w:marBottom w:val="0"/>
      <w:divBdr>
        <w:top w:val="none" w:sz="0" w:space="0" w:color="auto"/>
        <w:left w:val="none" w:sz="0" w:space="0" w:color="auto"/>
        <w:bottom w:val="none" w:sz="0" w:space="0" w:color="auto"/>
        <w:right w:val="none" w:sz="0" w:space="0" w:color="auto"/>
      </w:divBdr>
    </w:div>
    <w:div w:id="186112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beral.org.au/coalitions-policy-protect-rights-older-australians" TargetMode="External"/><Relationship Id="rId18" Type="http://schemas.openxmlformats.org/officeDocument/2006/relationships/hyperlink" Target="https://www.alrc.gov.au/inquiries/elder-abuse/submission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egislation.vic.gov.au/Domino/Web_Notes/LDMS/PubStatbook.nsf/f932b66241ecf1b7ca256e92000e23be/0B82C05270E27961CA25717000216104/$FILE/06-023a.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aag.asn.au/national-conference/2016-conference-program-abstracts-and-presentation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eniorsrights.org.au/wp-content/uploads/2016/06/SRV-NARI-Outcomes-Report-2016-FINAL-Web-6-June-2016.pdf" TargetMode="External"/><Relationship Id="rId20" Type="http://schemas.openxmlformats.org/officeDocument/2006/relationships/hyperlink" Target="https://www.alrc.gov.au/sites/default/files/pdfs/publications/alrc_124_summary_report_whole_pfd_.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eniorsrights.org.au/wp-content/uploads/2014/03/Summary-Report_Profile-of-Elder-Abuse-in-Victoria_Final.pdf" TargetMode="External"/><Relationship Id="rId23" Type="http://schemas.openxmlformats.org/officeDocument/2006/relationships/image" Target="media/image4.jpeg"/><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acsa.asn.au/getattachment/Media/Media-Releases/ACSA-Elder-Abuse-Position-Statement-Nov-2016.pdf.aspx?lang=en-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beral.org.au/coalitions-policy-protect-rights-older-australians" TargetMode="External"/><Relationship Id="rId22" Type="http://schemas.openxmlformats.org/officeDocument/2006/relationships/image" Target="media/image3.jpe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E971B316D974096FBAC9D7FD65623" ma:contentTypeVersion="2" ma:contentTypeDescription="Create a new document." ma:contentTypeScope="" ma:versionID="dc0604177e7f038a324c8987c7751f29">
  <xsd:schema xmlns:xsd="http://www.w3.org/2001/XMLSchema" xmlns:xs="http://www.w3.org/2001/XMLSchema" xmlns:p="http://schemas.microsoft.com/office/2006/metadata/properties" xmlns:ns2="852d4931-6f3c-4604-88f3-7234f40cbcda" targetNamespace="http://schemas.microsoft.com/office/2006/metadata/properties" ma:root="true" ma:fieldsID="c284c47229bc309e44f8adbbcbdb16e0" ns2:_="">
    <xsd:import namespace="852d4931-6f3c-4604-88f3-7234f40cbcd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2d4931-6f3c-4604-88f3-7234f40cbc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3FE27-C2D6-4ED5-8741-750B54218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2d4931-6f3c-4604-88f3-7234f40cb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BFF64-B83F-4CBD-839E-C83E4ECFE37D}">
  <ds:schemaRefs>
    <ds:schemaRef ds:uri="http://schemas.microsoft.com/sharepoint/v3/contenttype/forms"/>
  </ds:schemaRefs>
</ds:datastoreItem>
</file>

<file path=customXml/itemProps3.xml><?xml version="1.0" encoding="utf-8"?>
<ds:datastoreItem xmlns:ds="http://schemas.openxmlformats.org/officeDocument/2006/customXml" ds:itemID="{CB6605A8-3721-44D5-ADE0-D325483F909F}">
  <ds:schemaRefs>
    <ds:schemaRef ds:uri="http://purl.org/dc/dcmitype/"/>
    <ds:schemaRef ds:uri="http://purl.org/dc/elements/1.1/"/>
    <ds:schemaRef ds:uri="http://schemas.microsoft.com/office/2006/metadata/properties"/>
    <ds:schemaRef ds:uri="http://purl.org/dc/terms/"/>
    <ds:schemaRef ds:uri="852d4931-6f3c-4604-88f3-7234f40cbcda"/>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0B0F808-DA87-416B-B62F-67A69BCC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3355</Words>
  <Characters>19130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Joosten</dc:creator>
  <cp:lastModifiedBy>marie-claire.muir</cp:lastModifiedBy>
  <cp:revision>2</cp:revision>
  <cp:lastPrinted>2017-02-27T02:38:00Z</cp:lastPrinted>
  <dcterms:created xsi:type="dcterms:W3CDTF">2017-03-03T05:09:00Z</dcterms:created>
  <dcterms:modified xsi:type="dcterms:W3CDTF">2017-03-03T05:09:00Z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0x010100855E971B316D974096FBAC9D7FD65623</vt:lpwstr>
  </property>
</Properties>
</file>