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56" w:rsidRPr="007C6156" w:rsidRDefault="00DF13C8" w:rsidP="007C6156">
      <w:pPr>
        <w:widowControl w:val="0"/>
        <w:autoSpaceDE w:val="0"/>
        <w:autoSpaceDN w:val="0"/>
        <w:adjustRightInd w:val="0"/>
        <w:spacing w:before="4"/>
        <w:ind w:left="118" w:right="503"/>
        <w:jc w:val="center"/>
        <w:rPr>
          <w:rFonts w:ascii="Arial" w:eastAsiaTheme="minorEastAsia" w:hAnsi="Arial" w:cs="Arial"/>
          <w:b/>
          <w:sz w:val="24"/>
          <w:szCs w:val="24"/>
        </w:rPr>
      </w:pPr>
      <w:bookmarkStart w:id="0" w:name="_GoBack"/>
      <w:bookmarkEnd w:id="0"/>
      <w:r w:rsidRPr="007C6156">
        <w:rPr>
          <w:rFonts w:ascii="Arial" w:eastAsiaTheme="minorEastAsia" w:hAnsi="Arial" w:cs="Arial"/>
          <w:b/>
          <w:sz w:val="24"/>
          <w:szCs w:val="24"/>
        </w:rPr>
        <w:t>SUBMISSION TO THE</w:t>
      </w:r>
    </w:p>
    <w:p w:rsidR="00DF13C8" w:rsidRDefault="00DF13C8" w:rsidP="007C6156">
      <w:pPr>
        <w:widowControl w:val="0"/>
        <w:tabs>
          <w:tab w:val="left" w:pos="567"/>
          <w:tab w:val="left" w:pos="1134"/>
          <w:tab w:val="left" w:pos="1701"/>
          <w:tab w:val="left" w:pos="2268"/>
        </w:tabs>
        <w:autoSpaceDE w:val="0"/>
        <w:autoSpaceDN w:val="0"/>
        <w:adjustRightInd w:val="0"/>
        <w:spacing w:before="4" w:after="120"/>
        <w:ind w:left="118" w:right="503"/>
        <w:jc w:val="center"/>
        <w:rPr>
          <w:rFonts w:ascii="Arial" w:eastAsiaTheme="minorEastAsia" w:hAnsi="Arial" w:cs="Arial"/>
          <w:b/>
          <w:sz w:val="24"/>
          <w:szCs w:val="24"/>
        </w:rPr>
      </w:pPr>
      <w:r w:rsidRPr="007C6156">
        <w:rPr>
          <w:rFonts w:ascii="Arial" w:eastAsiaTheme="minorEastAsia" w:hAnsi="Arial" w:cs="Arial"/>
          <w:b/>
          <w:sz w:val="24"/>
          <w:szCs w:val="24"/>
        </w:rPr>
        <w:t>AUSTRALIAN LAW REFORM COMMISSION</w:t>
      </w:r>
      <w:r>
        <w:rPr>
          <w:rFonts w:ascii="Arial" w:eastAsiaTheme="minorEastAsia" w:hAnsi="Arial" w:cs="Arial"/>
          <w:b/>
          <w:sz w:val="24"/>
          <w:szCs w:val="24"/>
        </w:rPr>
        <w:t xml:space="preserve"> </w:t>
      </w:r>
    </w:p>
    <w:p w:rsidR="007C6156" w:rsidRPr="007C6156" w:rsidRDefault="007C6156" w:rsidP="007C6156">
      <w:pPr>
        <w:widowControl w:val="0"/>
        <w:tabs>
          <w:tab w:val="left" w:pos="567"/>
          <w:tab w:val="left" w:pos="1134"/>
          <w:tab w:val="left" w:pos="1701"/>
          <w:tab w:val="left" w:pos="2268"/>
        </w:tabs>
        <w:autoSpaceDE w:val="0"/>
        <w:autoSpaceDN w:val="0"/>
        <w:adjustRightInd w:val="0"/>
        <w:spacing w:before="4" w:after="120"/>
        <w:ind w:left="118" w:right="503"/>
        <w:jc w:val="center"/>
        <w:rPr>
          <w:rFonts w:ascii="Arial" w:eastAsiaTheme="minorEastAsia" w:hAnsi="Arial" w:cs="Arial"/>
          <w:b/>
          <w:sz w:val="24"/>
          <w:szCs w:val="24"/>
        </w:rPr>
      </w:pPr>
      <w:r w:rsidRPr="007C6156">
        <w:rPr>
          <w:rFonts w:ascii="Arial" w:eastAsiaTheme="minorEastAsia" w:hAnsi="Arial" w:cs="Arial"/>
          <w:b/>
          <w:sz w:val="24"/>
          <w:szCs w:val="24"/>
        </w:rPr>
        <w:t>Response to the</w:t>
      </w:r>
      <w:r>
        <w:rPr>
          <w:rFonts w:ascii="Arial" w:eastAsiaTheme="minorEastAsia" w:hAnsi="Arial" w:cs="Arial"/>
          <w:b/>
          <w:sz w:val="24"/>
          <w:szCs w:val="24"/>
        </w:rPr>
        <w:t xml:space="preserve"> </w:t>
      </w:r>
      <w:r w:rsidRPr="007C6156">
        <w:rPr>
          <w:rFonts w:ascii="Arial" w:eastAsiaTheme="minorEastAsia" w:hAnsi="Arial" w:cs="Arial"/>
          <w:b/>
          <w:sz w:val="24"/>
          <w:szCs w:val="24"/>
        </w:rPr>
        <w:t>Elder Abuse Discussion Paper 83</w:t>
      </w:r>
    </w:p>
    <w:p w:rsidR="003A44E8" w:rsidRPr="003A44E8" w:rsidRDefault="00555AE4" w:rsidP="00555AE4">
      <w:pPr>
        <w:jc w:val="center"/>
        <w:rPr>
          <w:rFonts w:ascii="Arial" w:eastAsiaTheme="minorHAnsi" w:hAnsi="Arial" w:cs="Arial"/>
          <w:sz w:val="22"/>
          <w:szCs w:val="22"/>
        </w:rPr>
      </w:pPr>
      <w:r>
        <w:rPr>
          <w:rFonts w:ascii="Arial" w:eastAsiaTheme="minorHAnsi" w:hAnsi="Arial" w:cs="Arial"/>
          <w:b/>
          <w:sz w:val="22"/>
          <w:szCs w:val="22"/>
        </w:rPr>
        <w:t>February 2017</w:t>
      </w:r>
    </w:p>
    <w:p w:rsidR="003A44E8" w:rsidRDefault="003A44E8" w:rsidP="001D5137">
      <w:pPr>
        <w:rPr>
          <w:rFonts w:ascii="Arial" w:eastAsiaTheme="minorHAnsi" w:hAnsi="Arial" w:cs="Arial"/>
          <w:sz w:val="22"/>
          <w:szCs w:val="22"/>
        </w:rPr>
      </w:pPr>
    </w:p>
    <w:p w:rsidR="007C6156" w:rsidRDefault="007C6156" w:rsidP="007C6156">
      <w:pPr>
        <w:pStyle w:val="Default"/>
        <w:rPr>
          <w:rFonts w:ascii="Arial" w:eastAsiaTheme="minorHAnsi" w:hAnsi="Arial" w:cs="Arial"/>
          <w:sz w:val="22"/>
          <w:szCs w:val="22"/>
          <w:lang w:eastAsia="en-US"/>
        </w:rPr>
      </w:pPr>
      <w:r w:rsidRPr="007C6156">
        <w:rPr>
          <w:rFonts w:ascii="Arial" w:eastAsiaTheme="minorHAnsi" w:hAnsi="Arial" w:cs="Arial"/>
          <w:sz w:val="22"/>
          <w:szCs w:val="22"/>
          <w:lang w:eastAsia="en-US"/>
        </w:rPr>
        <w:t xml:space="preserve">MECWACARE </w:t>
      </w:r>
      <w:r w:rsidRPr="007C6156">
        <w:rPr>
          <w:rFonts w:ascii="Arial" w:hAnsi="Arial" w:cs="Arial"/>
          <w:sz w:val="22"/>
          <w:szCs w:val="22"/>
        </w:rPr>
        <w:t xml:space="preserve">appreciates the opportunity to provide feedback on the </w:t>
      </w:r>
      <w:r w:rsidRPr="007C6156">
        <w:rPr>
          <w:rFonts w:ascii="Arial" w:hAnsi="Arial" w:cs="Arial"/>
          <w:i/>
          <w:iCs/>
          <w:sz w:val="22"/>
          <w:szCs w:val="22"/>
        </w:rPr>
        <w:t xml:space="preserve">Elder Abuse Discussion Paper </w:t>
      </w:r>
      <w:r w:rsidRPr="007C6156">
        <w:rPr>
          <w:rFonts w:ascii="Arial" w:hAnsi="Arial" w:cs="Arial"/>
          <w:sz w:val="22"/>
          <w:szCs w:val="22"/>
        </w:rPr>
        <w:t xml:space="preserve">prepared </w:t>
      </w:r>
      <w:r w:rsidRPr="007C6156">
        <w:rPr>
          <w:rFonts w:ascii="Arial" w:eastAsiaTheme="minorHAnsi" w:hAnsi="Arial" w:cs="Arial"/>
          <w:sz w:val="22"/>
          <w:szCs w:val="22"/>
          <w:lang w:eastAsia="en-US"/>
        </w:rPr>
        <w:t>by the Australian Law Reform Commission (ALRC).</w:t>
      </w:r>
    </w:p>
    <w:p w:rsidR="007C6156" w:rsidRDefault="007C6156" w:rsidP="007C6156">
      <w:pPr>
        <w:pStyle w:val="Default"/>
        <w:rPr>
          <w:rFonts w:ascii="Arial" w:eastAsiaTheme="minorHAnsi" w:hAnsi="Arial" w:cs="Arial"/>
          <w:sz w:val="22"/>
          <w:szCs w:val="22"/>
          <w:lang w:eastAsia="en-US"/>
        </w:rPr>
      </w:pPr>
    </w:p>
    <w:p w:rsidR="007C6156" w:rsidRDefault="007C6156" w:rsidP="007C6156">
      <w:pPr>
        <w:pStyle w:val="Default"/>
        <w:rPr>
          <w:rFonts w:ascii="Arial" w:eastAsiaTheme="minorHAnsi" w:hAnsi="Arial" w:cs="Arial"/>
          <w:sz w:val="22"/>
          <w:szCs w:val="22"/>
          <w:lang w:eastAsia="en-US"/>
        </w:rPr>
      </w:pPr>
      <w:proofErr w:type="spellStart"/>
      <w:proofErr w:type="gramStart"/>
      <w:r w:rsidRPr="007C6156">
        <w:rPr>
          <w:rFonts w:ascii="Arial" w:eastAsiaTheme="minorHAnsi" w:hAnsi="Arial" w:cs="Arial"/>
          <w:sz w:val="22"/>
          <w:szCs w:val="22"/>
          <w:lang w:eastAsia="en-US"/>
        </w:rPr>
        <w:t>mecwacare</w:t>
      </w:r>
      <w:proofErr w:type="spellEnd"/>
      <w:proofErr w:type="gramEnd"/>
      <w:r w:rsidRPr="007C6156">
        <w:rPr>
          <w:rFonts w:ascii="Arial" w:eastAsiaTheme="minorHAnsi" w:hAnsi="Arial" w:cs="Arial"/>
          <w:sz w:val="22"/>
          <w:szCs w:val="22"/>
          <w:lang w:eastAsia="en-US"/>
        </w:rPr>
        <w:t xml:space="preserve"> is a leading not-for-profit organisation with a reputation for excellence. We have provided care to the Victorian community for over 58 years, offering residential aged care, home care packages, respite care, in-home support, community housing, community programs, </w:t>
      </w:r>
      <w:proofErr w:type="gramStart"/>
      <w:r w:rsidRPr="007C6156">
        <w:rPr>
          <w:rFonts w:ascii="Arial" w:eastAsiaTheme="minorHAnsi" w:hAnsi="Arial" w:cs="Arial"/>
          <w:sz w:val="22"/>
          <w:szCs w:val="22"/>
          <w:lang w:eastAsia="en-US"/>
        </w:rPr>
        <w:t>disability</w:t>
      </w:r>
      <w:proofErr w:type="gramEnd"/>
      <w:r w:rsidRPr="007C6156">
        <w:rPr>
          <w:rFonts w:ascii="Arial" w:eastAsiaTheme="minorHAnsi" w:hAnsi="Arial" w:cs="Arial"/>
          <w:sz w:val="22"/>
          <w:szCs w:val="22"/>
          <w:lang w:eastAsia="en-US"/>
        </w:rPr>
        <w:t xml:space="preserve"> and nursing services. We provide optimal choice for people of all ages, irrespective of financial, religious, cu</w:t>
      </w:r>
      <w:r>
        <w:rPr>
          <w:rFonts w:ascii="Arial" w:eastAsiaTheme="minorHAnsi" w:hAnsi="Arial" w:cs="Arial"/>
          <w:sz w:val="22"/>
          <w:szCs w:val="22"/>
          <w:lang w:eastAsia="en-US"/>
        </w:rPr>
        <w:t xml:space="preserve">ltural or lifestyle background. </w:t>
      </w:r>
    </w:p>
    <w:p w:rsidR="007C6156" w:rsidRDefault="007C6156" w:rsidP="007C6156">
      <w:pPr>
        <w:pStyle w:val="Default"/>
        <w:rPr>
          <w:rFonts w:ascii="Arial" w:eastAsiaTheme="minorHAnsi" w:hAnsi="Arial" w:cs="Arial"/>
          <w:sz w:val="22"/>
          <w:szCs w:val="22"/>
          <w:lang w:eastAsia="en-US"/>
        </w:rPr>
      </w:pPr>
    </w:p>
    <w:p w:rsidR="007C6156" w:rsidRPr="007C6156" w:rsidRDefault="007C6156" w:rsidP="007C6156">
      <w:pPr>
        <w:pStyle w:val="Default"/>
        <w:rPr>
          <w:rFonts w:ascii="Arial" w:eastAsiaTheme="minorHAnsi" w:hAnsi="Arial" w:cs="Arial"/>
          <w:sz w:val="22"/>
          <w:szCs w:val="22"/>
          <w:lang w:eastAsia="en-US"/>
        </w:rPr>
      </w:pPr>
      <w:proofErr w:type="spellStart"/>
      <w:proofErr w:type="gramStart"/>
      <w:r>
        <w:rPr>
          <w:rFonts w:ascii="Arial" w:eastAsiaTheme="minorHAnsi" w:hAnsi="Arial" w:cs="Arial"/>
          <w:sz w:val="22"/>
          <w:szCs w:val="22"/>
          <w:lang w:eastAsia="en-US"/>
        </w:rPr>
        <w:t>m</w:t>
      </w:r>
      <w:r w:rsidRPr="007C6156">
        <w:rPr>
          <w:rFonts w:ascii="Arial" w:eastAsiaTheme="minorHAnsi" w:hAnsi="Arial" w:cs="Arial"/>
          <w:sz w:val="22"/>
          <w:szCs w:val="22"/>
          <w:lang w:eastAsia="en-US"/>
        </w:rPr>
        <w:t>ecwacare</w:t>
      </w:r>
      <w:proofErr w:type="spellEnd"/>
      <w:proofErr w:type="gramEnd"/>
      <w:r>
        <w:rPr>
          <w:rFonts w:ascii="Arial" w:eastAsiaTheme="minorHAnsi" w:hAnsi="Arial" w:cs="Arial"/>
          <w:sz w:val="22"/>
          <w:szCs w:val="22"/>
          <w:lang w:eastAsia="en-US"/>
        </w:rPr>
        <w:t xml:space="preserve"> </w:t>
      </w:r>
      <w:r w:rsidRPr="007C6156">
        <w:rPr>
          <w:rFonts w:ascii="Arial" w:eastAsiaTheme="minorHAnsi" w:hAnsi="Arial" w:cs="Arial"/>
          <w:sz w:val="22"/>
          <w:szCs w:val="22"/>
          <w:lang w:eastAsia="en-US"/>
        </w:rPr>
        <w:t xml:space="preserve">cares for more than 12,000 people each week across greater Melbourne and regional Victoria through a highly-integrated service network operated by more than 1,600 employees and 350 volunteers. Our </w:t>
      </w:r>
      <w:proofErr w:type="gramStart"/>
      <w:r w:rsidRPr="007C6156">
        <w:rPr>
          <w:rFonts w:ascii="Arial" w:eastAsiaTheme="minorHAnsi" w:hAnsi="Arial" w:cs="Arial"/>
          <w:sz w:val="22"/>
          <w:szCs w:val="22"/>
          <w:lang w:eastAsia="en-US"/>
        </w:rPr>
        <w:t>staff are</w:t>
      </w:r>
      <w:proofErr w:type="gramEnd"/>
      <w:r w:rsidRPr="007C6156">
        <w:rPr>
          <w:rFonts w:ascii="Arial" w:eastAsiaTheme="minorHAnsi" w:hAnsi="Arial" w:cs="Arial"/>
          <w:sz w:val="22"/>
          <w:szCs w:val="22"/>
          <w:lang w:eastAsia="en-US"/>
        </w:rPr>
        <w:t xml:space="preserve"> culturally and linguistically diverse, representing 86 nationalities and speaking 98 languages.</w:t>
      </w:r>
    </w:p>
    <w:p w:rsidR="007C6156" w:rsidRDefault="007C6156" w:rsidP="007C6156">
      <w:pPr>
        <w:pStyle w:val="Default"/>
        <w:rPr>
          <w:rFonts w:ascii="Arial" w:eastAsiaTheme="minorHAnsi" w:hAnsi="Arial" w:cs="Arial"/>
          <w:sz w:val="22"/>
          <w:szCs w:val="22"/>
          <w:lang w:eastAsia="en-US"/>
        </w:rPr>
      </w:pPr>
    </w:p>
    <w:p w:rsidR="007C6156" w:rsidRPr="007C6156" w:rsidRDefault="007C6156" w:rsidP="007C6156">
      <w:pPr>
        <w:pStyle w:val="Default"/>
        <w:rPr>
          <w:rFonts w:ascii="Arial" w:eastAsiaTheme="minorHAnsi" w:hAnsi="Arial" w:cs="Arial"/>
          <w:sz w:val="22"/>
          <w:szCs w:val="22"/>
          <w:lang w:eastAsia="en-US"/>
        </w:rPr>
      </w:pPr>
      <w:r w:rsidRPr="007C6156">
        <w:rPr>
          <w:rFonts w:ascii="Arial" w:eastAsiaTheme="minorHAnsi" w:hAnsi="Arial" w:cs="Arial"/>
          <w:sz w:val="22"/>
          <w:szCs w:val="22"/>
          <w:lang w:eastAsia="en-US"/>
        </w:rPr>
        <w:t xml:space="preserve">Our organisation believes in responding to the changing needs of the community and actively </w:t>
      </w:r>
      <w:proofErr w:type="gramStart"/>
      <w:r w:rsidRPr="007C6156">
        <w:rPr>
          <w:rFonts w:ascii="Arial" w:eastAsiaTheme="minorHAnsi" w:hAnsi="Arial" w:cs="Arial"/>
          <w:sz w:val="22"/>
          <w:szCs w:val="22"/>
          <w:lang w:eastAsia="en-US"/>
        </w:rPr>
        <w:t>encourages</w:t>
      </w:r>
      <w:proofErr w:type="gramEnd"/>
      <w:r w:rsidRPr="007C6156">
        <w:rPr>
          <w:rFonts w:ascii="Arial" w:eastAsiaTheme="minorHAnsi" w:hAnsi="Arial" w:cs="Arial"/>
          <w:sz w:val="22"/>
          <w:szCs w:val="22"/>
          <w:lang w:eastAsia="en-US"/>
        </w:rPr>
        <w:t xml:space="preserve"> and supports continuous improvement, innovation and safe service delivery.</w:t>
      </w:r>
    </w:p>
    <w:p w:rsidR="007C6156" w:rsidRDefault="007C6156" w:rsidP="007C6156">
      <w:pPr>
        <w:rPr>
          <w:rFonts w:ascii="Arial" w:eastAsiaTheme="minorHAnsi" w:hAnsi="Arial" w:cs="Arial"/>
          <w:b/>
          <w:sz w:val="22"/>
          <w:szCs w:val="22"/>
        </w:rPr>
      </w:pPr>
    </w:p>
    <w:p w:rsidR="007C6156" w:rsidRDefault="00DF13C8" w:rsidP="007C6156">
      <w:pPr>
        <w:rPr>
          <w:rFonts w:ascii="Arial" w:eastAsiaTheme="minorHAnsi" w:hAnsi="Arial" w:cs="Arial"/>
          <w:b/>
          <w:sz w:val="22"/>
          <w:szCs w:val="22"/>
        </w:rPr>
      </w:pPr>
      <w:r>
        <w:rPr>
          <w:rFonts w:ascii="Arial" w:eastAsiaTheme="minorHAnsi" w:hAnsi="Arial" w:cs="Arial"/>
          <w:b/>
          <w:sz w:val="22"/>
          <w:szCs w:val="22"/>
        </w:rPr>
        <w:t>DISCUSSION</w:t>
      </w:r>
    </w:p>
    <w:p w:rsidR="00DF13C8" w:rsidRDefault="00DF13C8" w:rsidP="00DF13C8">
      <w:pPr>
        <w:autoSpaceDE w:val="0"/>
        <w:autoSpaceDN w:val="0"/>
        <w:adjustRightInd w:val="0"/>
        <w:rPr>
          <w:rFonts w:ascii="Arial" w:eastAsiaTheme="minorHAnsi" w:hAnsi="Arial" w:cs="Arial"/>
          <w:b/>
          <w:bCs/>
          <w:i/>
          <w:color w:val="000000"/>
          <w:sz w:val="22"/>
          <w:szCs w:val="22"/>
          <w:lang w:eastAsia="en-US"/>
        </w:rPr>
      </w:pPr>
    </w:p>
    <w:p w:rsidR="007C6156" w:rsidRPr="007C6156" w:rsidRDefault="007C6156" w:rsidP="00DF13C8">
      <w:pPr>
        <w:autoSpaceDE w:val="0"/>
        <w:autoSpaceDN w:val="0"/>
        <w:adjustRightInd w:val="0"/>
        <w:rPr>
          <w:rFonts w:ascii="Arial" w:eastAsiaTheme="minorHAnsi" w:hAnsi="Arial" w:cs="Arial"/>
          <w:i/>
          <w:color w:val="000000"/>
          <w:sz w:val="22"/>
          <w:szCs w:val="22"/>
          <w:lang w:eastAsia="en-US"/>
        </w:rPr>
      </w:pPr>
      <w:r w:rsidRPr="007C6156">
        <w:rPr>
          <w:rFonts w:ascii="Arial" w:eastAsiaTheme="minorHAnsi" w:hAnsi="Arial" w:cs="Arial"/>
          <w:b/>
          <w:bCs/>
          <w:i/>
          <w:color w:val="000000"/>
          <w:sz w:val="22"/>
          <w:szCs w:val="22"/>
          <w:lang w:eastAsia="en-US"/>
        </w:rPr>
        <w:t xml:space="preserve">Definition of elder abuse </w:t>
      </w:r>
    </w:p>
    <w:p w:rsidR="007C6156" w:rsidRPr="007C6156" w:rsidRDefault="007C6156" w:rsidP="007C6156">
      <w:pPr>
        <w:autoSpaceDE w:val="0"/>
        <w:autoSpaceDN w:val="0"/>
        <w:adjustRightInd w:val="0"/>
        <w:rPr>
          <w:rFonts w:ascii="Arial" w:eastAsiaTheme="minorHAnsi" w:hAnsi="Arial" w:cs="Arial"/>
          <w:color w:val="000000"/>
          <w:sz w:val="22"/>
          <w:szCs w:val="22"/>
          <w:lang w:eastAsia="en-US"/>
        </w:rPr>
      </w:pPr>
      <w:proofErr w:type="spellStart"/>
      <w:proofErr w:type="gramStart"/>
      <w:r w:rsidRPr="007C6156">
        <w:rPr>
          <w:rFonts w:ascii="Arial" w:eastAsiaTheme="minorHAnsi" w:hAnsi="Arial" w:cs="Arial"/>
          <w:color w:val="000000"/>
          <w:sz w:val="22"/>
          <w:szCs w:val="22"/>
          <w:lang w:eastAsia="en-US"/>
        </w:rPr>
        <w:t>mecwacare</w:t>
      </w:r>
      <w:proofErr w:type="spellEnd"/>
      <w:proofErr w:type="gramEnd"/>
      <w:r w:rsidRPr="007C6156">
        <w:rPr>
          <w:rFonts w:ascii="Arial" w:eastAsiaTheme="minorHAnsi" w:hAnsi="Arial" w:cs="Arial"/>
          <w:color w:val="000000"/>
          <w:sz w:val="22"/>
          <w:szCs w:val="22"/>
          <w:lang w:eastAsia="en-US"/>
        </w:rPr>
        <w:t xml:space="preserve"> supports the view that definitions of elder abuse should be focussed upon the victim</w:t>
      </w:r>
      <w:r>
        <w:rPr>
          <w:rFonts w:ascii="Arial" w:eastAsiaTheme="minorHAnsi" w:hAnsi="Arial" w:cs="Arial"/>
          <w:color w:val="000000"/>
          <w:sz w:val="22"/>
          <w:szCs w:val="22"/>
          <w:lang w:eastAsia="en-US"/>
        </w:rPr>
        <w:t xml:space="preserve"> and identify that the absence of a precise and agreed definition of elder abuse is problematic. Specifically, the lack of definition prohibits the accurate measurement and monitoring </w:t>
      </w:r>
      <w:r w:rsidRPr="007C6156">
        <w:rPr>
          <w:rFonts w:ascii="Arial" w:eastAsiaTheme="minorHAnsi" w:hAnsi="Arial" w:cs="Arial"/>
          <w:color w:val="000000"/>
          <w:sz w:val="22"/>
          <w:szCs w:val="22"/>
          <w:lang w:eastAsia="en-US"/>
        </w:rPr>
        <w:t xml:space="preserve">of abuse and reduced detection due to lack of clarity as to what constitutes </w:t>
      </w:r>
      <w:proofErr w:type="gramStart"/>
      <w:r w:rsidRPr="007C6156">
        <w:rPr>
          <w:rFonts w:ascii="Arial" w:eastAsiaTheme="minorHAnsi" w:hAnsi="Arial" w:cs="Arial"/>
          <w:color w:val="000000"/>
          <w:sz w:val="22"/>
          <w:szCs w:val="22"/>
          <w:lang w:eastAsia="en-US"/>
        </w:rPr>
        <w:t>abuse</w:t>
      </w:r>
      <w:r w:rsidR="007B27C3">
        <w:rPr>
          <w:rFonts w:ascii="Arial" w:eastAsiaTheme="minorHAnsi" w:hAnsi="Arial" w:cs="Arial"/>
          <w:color w:val="000000"/>
          <w:sz w:val="22"/>
          <w:szCs w:val="22"/>
          <w:lang w:eastAsia="en-US"/>
        </w:rPr>
        <w:t xml:space="preserve"> </w:t>
      </w:r>
      <w:proofErr w:type="gramEnd"/>
      <w:r w:rsidRPr="007C6156">
        <w:rPr>
          <w:rFonts w:ascii="Arial" w:eastAsiaTheme="minorHAnsi" w:hAnsi="Arial" w:cs="Arial"/>
          <w:color w:val="000000"/>
          <w:sz w:val="22"/>
          <w:szCs w:val="22"/>
          <w:lang w:eastAsia="en-US"/>
        </w:rPr>
        <w:footnoteReference w:id="1"/>
      </w:r>
      <w:r w:rsidRPr="007C6156">
        <w:rPr>
          <w:rFonts w:ascii="Arial" w:eastAsiaTheme="minorHAnsi" w:hAnsi="Arial" w:cs="Arial"/>
          <w:color w:val="000000"/>
          <w:sz w:val="22"/>
          <w:szCs w:val="22"/>
          <w:lang w:eastAsia="en-US"/>
        </w:rPr>
        <w:t xml:space="preserve">. </w:t>
      </w:r>
    </w:p>
    <w:p w:rsidR="007C6156" w:rsidRPr="007C6156" w:rsidRDefault="007C6156"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A</w:t>
      </w:r>
      <w:r w:rsidRPr="007C6156">
        <w:rPr>
          <w:rFonts w:ascii="Arial" w:eastAsiaTheme="minorHAnsi" w:hAnsi="Arial" w:cs="Arial"/>
          <w:color w:val="000000"/>
          <w:sz w:val="22"/>
          <w:szCs w:val="22"/>
          <w:lang w:eastAsia="en-US"/>
        </w:rPr>
        <w:t xml:space="preserve"> definition of elder abuse must underpin the National Plan to enable effective implementation. </w:t>
      </w:r>
      <w:proofErr w:type="spellStart"/>
      <w:proofErr w:type="gramStart"/>
      <w:r>
        <w:rPr>
          <w:rFonts w:ascii="Arial" w:eastAsiaTheme="minorHAnsi" w:hAnsi="Arial" w:cs="Arial"/>
          <w:color w:val="000000"/>
          <w:sz w:val="22"/>
          <w:szCs w:val="22"/>
          <w:lang w:eastAsia="en-US"/>
        </w:rPr>
        <w:t>mecwacare</w:t>
      </w:r>
      <w:proofErr w:type="spellEnd"/>
      <w:proofErr w:type="gramEnd"/>
      <w:r>
        <w:rPr>
          <w:rFonts w:ascii="Arial" w:eastAsiaTheme="minorHAnsi" w:hAnsi="Arial" w:cs="Arial"/>
          <w:color w:val="000000"/>
          <w:sz w:val="22"/>
          <w:szCs w:val="22"/>
          <w:lang w:eastAsia="en-US"/>
        </w:rPr>
        <w:t xml:space="preserve"> </w:t>
      </w:r>
      <w:r w:rsidRPr="007C6156">
        <w:rPr>
          <w:rFonts w:ascii="Arial" w:eastAsiaTheme="minorHAnsi" w:hAnsi="Arial" w:cs="Arial"/>
          <w:color w:val="000000"/>
          <w:sz w:val="22"/>
          <w:szCs w:val="22"/>
          <w:lang w:eastAsia="en-US"/>
        </w:rPr>
        <w:t xml:space="preserve">believe that this </w:t>
      </w:r>
      <w:r>
        <w:rPr>
          <w:rFonts w:ascii="Arial" w:eastAsiaTheme="minorHAnsi" w:hAnsi="Arial" w:cs="Arial"/>
          <w:color w:val="000000"/>
          <w:sz w:val="22"/>
          <w:szCs w:val="22"/>
          <w:lang w:eastAsia="en-US"/>
        </w:rPr>
        <w:t xml:space="preserve">definition </w:t>
      </w:r>
      <w:r w:rsidRPr="007C6156">
        <w:rPr>
          <w:rFonts w:ascii="Arial" w:eastAsiaTheme="minorHAnsi" w:hAnsi="Arial" w:cs="Arial"/>
          <w:color w:val="000000"/>
          <w:sz w:val="22"/>
          <w:szCs w:val="22"/>
          <w:lang w:eastAsia="en-US"/>
        </w:rPr>
        <w:t>should be based on the widely-accepted World Health Organisation definition, taking into account different forms of abuse, including emotional, financial, medication, physical, sexual, domestic abuse and neglect</w:t>
      </w:r>
      <w:r>
        <w:rPr>
          <w:rStyle w:val="FootnoteReference"/>
          <w:rFonts w:ascii="Arial" w:eastAsiaTheme="minorHAnsi" w:hAnsi="Arial" w:cs="Arial"/>
          <w:color w:val="000000"/>
          <w:sz w:val="22"/>
          <w:szCs w:val="22"/>
          <w:lang w:eastAsia="en-US"/>
        </w:rPr>
        <w:footnoteReference w:id="2"/>
      </w:r>
      <w:r w:rsidRPr="007C6156">
        <w:rPr>
          <w:rFonts w:ascii="Arial" w:eastAsiaTheme="minorHAnsi" w:hAnsi="Arial" w:cs="Arial"/>
          <w:color w:val="000000"/>
          <w:sz w:val="22"/>
          <w:szCs w:val="22"/>
          <w:lang w:eastAsia="en-US"/>
        </w:rPr>
        <w:t>.</w:t>
      </w:r>
    </w:p>
    <w:p w:rsidR="007C6156" w:rsidRDefault="007C6156" w:rsidP="007C615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It is noted that the </w:t>
      </w:r>
      <w:r w:rsidRPr="007C6156">
        <w:rPr>
          <w:rFonts w:ascii="Arial" w:eastAsiaTheme="minorHAnsi" w:hAnsi="Arial" w:cs="Arial"/>
          <w:color w:val="000000"/>
          <w:sz w:val="22"/>
          <w:szCs w:val="22"/>
          <w:lang w:eastAsia="en-US"/>
        </w:rPr>
        <w:t xml:space="preserve">Discussion Paper’s observation that “unlike a number of overseas jurisdictions, there are no specific laws in Australia dealing with what might be broadly classed as ‘elder abuse’”, and the subsequent comment that: </w:t>
      </w:r>
    </w:p>
    <w:p w:rsidR="007C6156" w:rsidRPr="007C6156" w:rsidRDefault="007C6156" w:rsidP="007C6156">
      <w:pPr>
        <w:autoSpaceDE w:val="0"/>
        <w:autoSpaceDN w:val="0"/>
        <w:adjustRightInd w:val="0"/>
        <w:rPr>
          <w:rFonts w:ascii="Arial" w:eastAsiaTheme="minorHAnsi" w:hAnsi="Arial" w:cs="Arial"/>
          <w:color w:val="000000"/>
          <w:sz w:val="22"/>
          <w:szCs w:val="22"/>
          <w:lang w:eastAsia="en-US"/>
        </w:rPr>
      </w:pPr>
    </w:p>
    <w:p w:rsidR="007C6156" w:rsidRPr="007C6156" w:rsidRDefault="007C6156" w:rsidP="007C6156">
      <w:pPr>
        <w:autoSpaceDE w:val="0"/>
        <w:autoSpaceDN w:val="0"/>
        <w:adjustRightInd w:val="0"/>
        <w:ind w:left="720"/>
        <w:rPr>
          <w:rFonts w:ascii="Arial" w:eastAsiaTheme="minorHAnsi" w:hAnsi="Arial" w:cs="Arial"/>
          <w:color w:val="000000"/>
          <w:sz w:val="22"/>
          <w:szCs w:val="22"/>
          <w:lang w:eastAsia="en-US"/>
        </w:rPr>
      </w:pPr>
      <w:r w:rsidRPr="007C6156">
        <w:rPr>
          <w:rFonts w:ascii="Arial" w:eastAsiaTheme="minorHAnsi" w:hAnsi="Arial" w:cs="Arial"/>
          <w:i/>
          <w:color w:val="000000"/>
          <w:sz w:val="22"/>
          <w:szCs w:val="22"/>
          <w:lang w:eastAsia="en-US"/>
        </w:rPr>
        <w:t>1.77 Responses to the management and prevention of elder abuse sit within a range of complex policy and practice structures across different levels of government, and various justice system frameworks within the private sector and across non-government organisations</w:t>
      </w:r>
      <w:r>
        <w:rPr>
          <w:rStyle w:val="FootnoteReference"/>
          <w:rFonts w:ascii="Arial" w:eastAsiaTheme="minorHAnsi" w:hAnsi="Arial" w:cs="Arial"/>
          <w:i/>
          <w:color w:val="000000"/>
          <w:sz w:val="22"/>
          <w:szCs w:val="22"/>
          <w:lang w:eastAsia="en-US"/>
        </w:rPr>
        <w:footnoteReference w:id="3"/>
      </w:r>
      <w:r w:rsidRPr="007C6156">
        <w:rPr>
          <w:rFonts w:ascii="Arial" w:eastAsiaTheme="minorHAnsi" w:hAnsi="Arial" w:cs="Arial"/>
          <w:color w:val="000000"/>
          <w:sz w:val="22"/>
          <w:szCs w:val="22"/>
          <w:lang w:eastAsia="en-US"/>
        </w:rPr>
        <w:t xml:space="preserve">. </w:t>
      </w:r>
    </w:p>
    <w:p w:rsidR="007C6156" w:rsidRPr="007C6156" w:rsidRDefault="007B27C3"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w:t>
      </w:r>
      <w:r w:rsidR="007C6156" w:rsidRPr="007C6156">
        <w:rPr>
          <w:rFonts w:ascii="Arial" w:eastAsiaTheme="minorHAnsi" w:hAnsi="Arial" w:cs="Arial"/>
          <w:color w:val="000000"/>
          <w:sz w:val="22"/>
          <w:szCs w:val="22"/>
          <w:lang w:eastAsia="en-US"/>
        </w:rPr>
        <w:t>ecwacare</w:t>
      </w:r>
      <w:proofErr w:type="spellEnd"/>
      <w:proofErr w:type="gramEnd"/>
      <w:r w:rsidR="007C6156" w:rsidRPr="007C6156">
        <w:rPr>
          <w:rFonts w:ascii="Arial" w:eastAsiaTheme="minorHAnsi" w:hAnsi="Arial" w:cs="Arial"/>
          <w:color w:val="000000"/>
          <w:sz w:val="22"/>
          <w:szCs w:val="22"/>
          <w:lang w:eastAsia="en-US"/>
        </w:rPr>
        <w:t xml:space="preserve"> believes that consistency must be applied across all legal frameworks to reduce confusion, and misinterpretation and enhance protection for all elderly people’s</w:t>
      </w:r>
      <w:r w:rsidR="007C6156">
        <w:rPr>
          <w:rFonts w:ascii="Arial" w:eastAsiaTheme="minorHAnsi" w:hAnsi="Arial" w:cs="Arial"/>
          <w:color w:val="000000"/>
          <w:sz w:val="22"/>
          <w:szCs w:val="22"/>
          <w:lang w:eastAsia="en-US"/>
        </w:rPr>
        <w:t xml:space="preserve"> across all jurisdictions. The national Plan should provide for this consistency. </w:t>
      </w:r>
    </w:p>
    <w:p w:rsidR="00DF13C8" w:rsidRDefault="00DF13C8" w:rsidP="00DF13C8">
      <w:pPr>
        <w:autoSpaceDE w:val="0"/>
        <w:autoSpaceDN w:val="0"/>
        <w:adjustRightInd w:val="0"/>
        <w:rPr>
          <w:rFonts w:eastAsiaTheme="minorEastAsia" w:cs="Times"/>
          <w:sz w:val="23"/>
          <w:szCs w:val="23"/>
        </w:rPr>
      </w:pPr>
    </w:p>
    <w:p w:rsidR="007C6156" w:rsidRPr="007C6156" w:rsidRDefault="007C6156" w:rsidP="00DF13C8">
      <w:pPr>
        <w:autoSpaceDE w:val="0"/>
        <w:autoSpaceDN w:val="0"/>
        <w:adjustRightInd w:val="0"/>
        <w:rPr>
          <w:rFonts w:ascii="Arial" w:eastAsiaTheme="minorHAnsi" w:hAnsi="Arial" w:cs="Arial"/>
          <w:b/>
          <w:bCs/>
          <w:i/>
          <w:color w:val="000000"/>
          <w:sz w:val="22"/>
          <w:szCs w:val="22"/>
          <w:lang w:eastAsia="en-US"/>
        </w:rPr>
      </w:pPr>
      <w:r w:rsidRPr="007C6156">
        <w:rPr>
          <w:rFonts w:ascii="Arial" w:eastAsiaTheme="minorHAnsi" w:hAnsi="Arial" w:cs="Arial"/>
          <w:b/>
          <w:bCs/>
          <w:i/>
          <w:color w:val="000000"/>
          <w:sz w:val="22"/>
          <w:szCs w:val="22"/>
          <w:lang w:eastAsia="en-US"/>
        </w:rPr>
        <w:t xml:space="preserve">Powers of Investigation </w:t>
      </w:r>
    </w:p>
    <w:p w:rsidR="007C6156" w:rsidRPr="007C6156" w:rsidRDefault="00CF1A55" w:rsidP="007C6156">
      <w:pPr>
        <w:autoSpaceDE w:val="0"/>
        <w:autoSpaceDN w:val="0"/>
        <w:adjustRightInd w:val="0"/>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w:t>
      </w:r>
      <w:r w:rsidR="007C6156">
        <w:rPr>
          <w:rFonts w:ascii="Arial" w:eastAsiaTheme="minorHAnsi" w:hAnsi="Arial" w:cs="Arial"/>
          <w:color w:val="000000"/>
          <w:sz w:val="22"/>
          <w:szCs w:val="22"/>
          <w:lang w:eastAsia="en-US"/>
        </w:rPr>
        <w:t>ecwacare</w:t>
      </w:r>
      <w:proofErr w:type="spellEnd"/>
      <w:proofErr w:type="gramEnd"/>
      <w:r w:rsidR="007C6156">
        <w:rPr>
          <w:rFonts w:ascii="Arial" w:eastAsiaTheme="minorHAnsi" w:hAnsi="Arial" w:cs="Arial"/>
          <w:color w:val="000000"/>
          <w:sz w:val="22"/>
          <w:szCs w:val="22"/>
          <w:lang w:eastAsia="en-US"/>
        </w:rPr>
        <w:t xml:space="preserve"> </w:t>
      </w:r>
      <w:r w:rsidR="007C6156" w:rsidRPr="007C6156">
        <w:rPr>
          <w:rFonts w:ascii="Arial" w:eastAsiaTheme="minorHAnsi" w:hAnsi="Arial" w:cs="Arial"/>
          <w:color w:val="000000"/>
          <w:sz w:val="22"/>
          <w:szCs w:val="22"/>
          <w:lang w:eastAsia="en-US"/>
        </w:rPr>
        <w:t xml:space="preserve">seeks </w:t>
      </w:r>
      <w:r w:rsidR="007C6156">
        <w:rPr>
          <w:rFonts w:ascii="Arial" w:eastAsiaTheme="minorHAnsi" w:hAnsi="Arial" w:cs="Arial"/>
          <w:color w:val="000000"/>
          <w:sz w:val="22"/>
          <w:szCs w:val="22"/>
          <w:lang w:eastAsia="en-US"/>
        </w:rPr>
        <w:t xml:space="preserve">clarification </w:t>
      </w:r>
      <w:r w:rsidR="007C6156" w:rsidRPr="007C6156">
        <w:rPr>
          <w:rFonts w:ascii="Arial" w:eastAsiaTheme="minorHAnsi" w:hAnsi="Arial" w:cs="Arial"/>
          <w:color w:val="000000"/>
          <w:sz w:val="22"/>
          <w:szCs w:val="22"/>
          <w:lang w:eastAsia="en-US"/>
        </w:rPr>
        <w:t xml:space="preserve">on the anticipated thresholds for investigation before supporting the proposal to increase powers for the Public Guardian in undertaking investigations. </w:t>
      </w:r>
    </w:p>
    <w:p w:rsidR="007C6156" w:rsidRDefault="007C6156" w:rsidP="007C6156">
      <w:pPr>
        <w:autoSpaceDE w:val="0"/>
        <w:autoSpaceDN w:val="0"/>
        <w:adjustRightInd w:val="0"/>
        <w:rPr>
          <w:rFonts w:ascii="Arial" w:eastAsiaTheme="minorHAnsi" w:hAnsi="Arial" w:cs="Arial"/>
          <w:color w:val="000000"/>
          <w:sz w:val="22"/>
          <w:szCs w:val="22"/>
          <w:lang w:eastAsia="en-US"/>
        </w:rPr>
      </w:pPr>
      <w:r w:rsidRPr="007C6156">
        <w:rPr>
          <w:rFonts w:ascii="Arial" w:eastAsiaTheme="minorHAnsi" w:hAnsi="Arial" w:cs="Arial"/>
          <w:color w:val="000000"/>
          <w:sz w:val="22"/>
          <w:szCs w:val="22"/>
          <w:lang w:eastAsia="en-US"/>
        </w:rPr>
        <w:lastRenderedPageBreak/>
        <w:t>We caution that changes to investigation processes should not result in duplication of strategies already facilitated through other provisions, such as the Aged Care Act 1997</w:t>
      </w:r>
      <w:r>
        <w:rPr>
          <w:rFonts w:ascii="Arial" w:eastAsiaTheme="minorHAnsi" w:hAnsi="Arial" w:cs="Arial"/>
          <w:color w:val="000000"/>
          <w:sz w:val="22"/>
          <w:szCs w:val="22"/>
          <w:lang w:eastAsia="en-US"/>
        </w:rPr>
        <w:t xml:space="preserve">. </w:t>
      </w:r>
    </w:p>
    <w:p w:rsidR="00DF13C8" w:rsidRDefault="00DF13C8" w:rsidP="007C6156">
      <w:pPr>
        <w:autoSpaceDE w:val="0"/>
        <w:autoSpaceDN w:val="0"/>
        <w:adjustRightInd w:val="0"/>
        <w:rPr>
          <w:rFonts w:ascii="Arial" w:eastAsiaTheme="minorHAnsi" w:hAnsi="Arial" w:cs="Arial"/>
          <w:color w:val="000000"/>
          <w:sz w:val="22"/>
          <w:szCs w:val="22"/>
          <w:lang w:eastAsia="en-US"/>
        </w:rPr>
      </w:pPr>
    </w:p>
    <w:p w:rsidR="00DF13C8" w:rsidRPr="007C6156" w:rsidRDefault="00DF13C8" w:rsidP="00DF13C8">
      <w:pPr>
        <w:autoSpaceDE w:val="0"/>
        <w:autoSpaceDN w:val="0"/>
        <w:adjustRightInd w:val="0"/>
        <w:rPr>
          <w:rFonts w:ascii="Arial" w:eastAsiaTheme="minorHAnsi" w:hAnsi="Arial" w:cs="Arial"/>
          <w:color w:val="000000"/>
          <w:sz w:val="22"/>
          <w:szCs w:val="22"/>
          <w:lang w:eastAsia="en-US"/>
        </w:rPr>
      </w:pPr>
      <w:r w:rsidRPr="007C6156">
        <w:rPr>
          <w:rFonts w:ascii="Arial" w:eastAsiaTheme="minorHAnsi" w:hAnsi="Arial" w:cs="Arial"/>
          <w:color w:val="000000"/>
          <w:sz w:val="22"/>
          <w:szCs w:val="22"/>
          <w:lang w:eastAsia="en-US"/>
        </w:rPr>
        <w:t>Furth</w:t>
      </w:r>
      <w:r>
        <w:rPr>
          <w:rFonts w:ascii="Arial" w:eastAsiaTheme="minorHAnsi" w:hAnsi="Arial" w:cs="Arial"/>
          <w:color w:val="000000"/>
          <w:sz w:val="22"/>
          <w:szCs w:val="22"/>
          <w:lang w:eastAsia="en-US"/>
        </w:rPr>
        <w:t xml:space="preserve">er guidance in relation to powers of investigation and </w:t>
      </w:r>
      <w:r w:rsidRPr="007C6156">
        <w:rPr>
          <w:rFonts w:ascii="Arial" w:eastAsiaTheme="minorHAnsi" w:hAnsi="Arial" w:cs="Arial"/>
          <w:color w:val="000000"/>
          <w:sz w:val="22"/>
          <w:szCs w:val="22"/>
          <w:lang w:eastAsia="en-US"/>
        </w:rPr>
        <w:t xml:space="preserve">how it can be navigated is required. </w:t>
      </w:r>
    </w:p>
    <w:p w:rsidR="00DF13C8" w:rsidRDefault="00DF13C8" w:rsidP="00DF13C8">
      <w:pPr>
        <w:autoSpaceDE w:val="0"/>
        <w:autoSpaceDN w:val="0"/>
        <w:adjustRightInd w:val="0"/>
        <w:rPr>
          <w:rFonts w:ascii="Arial" w:eastAsiaTheme="minorHAnsi" w:hAnsi="Arial" w:cs="Arial"/>
          <w:color w:val="000000"/>
          <w:sz w:val="22"/>
          <w:szCs w:val="22"/>
          <w:lang w:eastAsia="en-US"/>
        </w:rPr>
      </w:pPr>
      <w:r w:rsidRPr="007C6156">
        <w:rPr>
          <w:rFonts w:ascii="Arial" w:eastAsiaTheme="minorHAnsi" w:hAnsi="Arial" w:cs="Arial"/>
          <w:color w:val="000000"/>
          <w:sz w:val="22"/>
          <w:szCs w:val="22"/>
          <w:lang w:eastAsia="en-US"/>
        </w:rPr>
        <w:t xml:space="preserve">Regarding other </w:t>
      </w:r>
      <w:r>
        <w:rPr>
          <w:rFonts w:ascii="Arial" w:eastAsiaTheme="minorHAnsi" w:hAnsi="Arial" w:cs="Arial"/>
          <w:color w:val="000000"/>
          <w:sz w:val="22"/>
          <w:szCs w:val="22"/>
          <w:lang w:eastAsia="en-US"/>
        </w:rPr>
        <w:t xml:space="preserve">investigation </w:t>
      </w:r>
      <w:r w:rsidRPr="007C6156">
        <w:rPr>
          <w:rFonts w:ascii="Arial" w:eastAsiaTheme="minorHAnsi" w:hAnsi="Arial" w:cs="Arial"/>
          <w:color w:val="000000"/>
          <w:sz w:val="22"/>
          <w:szCs w:val="22"/>
          <w:lang w:eastAsia="en-US"/>
        </w:rPr>
        <w:t xml:space="preserve">mechanisms </w:t>
      </w:r>
      <w:r>
        <w:rPr>
          <w:rFonts w:ascii="Arial" w:eastAsiaTheme="minorHAnsi" w:hAnsi="Arial" w:cs="Arial"/>
          <w:color w:val="000000"/>
          <w:sz w:val="22"/>
          <w:szCs w:val="22"/>
          <w:lang w:eastAsia="en-US"/>
        </w:rPr>
        <w:t xml:space="preserve">– we note that </w:t>
      </w:r>
      <w:r w:rsidRPr="007C6156">
        <w:rPr>
          <w:rFonts w:ascii="Arial" w:eastAsiaTheme="minorHAnsi" w:hAnsi="Arial" w:cs="Arial"/>
          <w:color w:val="000000"/>
          <w:sz w:val="22"/>
          <w:szCs w:val="22"/>
          <w:lang w:eastAsia="en-US"/>
        </w:rPr>
        <w:t xml:space="preserve">Elder Abuse </w:t>
      </w:r>
      <w:proofErr w:type="spellStart"/>
      <w:r w:rsidRPr="007C6156">
        <w:rPr>
          <w:rFonts w:ascii="Arial" w:eastAsiaTheme="minorHAnsi" w:hAnsi="Arial" w:cs="Arial"/>
          <w:color w:val="000000"/>
          <w:sz w:val="22"/>
          <w:szCs w:val="22"/>
          <w:lang w:eastAsia="en-US"/>
        </w:rPr>
        <w:t>helplines</w:t>
      </w:r>
      <w:proofErr w:type="spellEnd"/>
      <w:r w:rsidRPr="007C6156">
        <w:rPr>
          <w:rFonts w:ascii="Arial" w:eastAsiaTheme="minorHAnsi" w:hAnsi="Arial" w:cs="Arial"/>
          <w:color w:val="000000"/>
          <w:sz w:val="22"/>
          <w:szCs w:val="22"/>
          <w:lang w:eastAsia="en-US"/>
        </w:rPr>
        <w:t xml:space="preserve"> may </w:t>
      </w:r>
      <w:r>
        <w:rPr>
          <w:rFonts w:ascii="Arial" w:eastAsiaTheme="minorHAnsi" w:hAnsi="Arial" w:cs="Arial"/>
          <w:color w:val="000000"/>
          <w:sz w:val="22"/>
          <w:szCs w:val="22"/>
          <w:lang w:eastAsia="en-US"/>
        </w:rPr>
        <w:t xml:space="preserve">have limited efficacy in the provision of support by referral to other agencies/ services with nil investigative powers and limited capacity to determine or investigate the actuality of abuse. </w:t>
      </w:r>
    </w:p>
    <w:p w:rsidR="00DF13C8" w:rsidRPr="007C6156" w:rsidRDefault="00DF13C8" w:rsidP="00DF13C8">
      <w:pPr>
        <w:autoSpaceDE w:val="0"/>
        <w:autoSpaceDN w:val="0"/>
        <w:adjustRightInd w:val="0"/>
        <w:rPr>
          <w:rFonts w:ascii="Arial" w:eastAsiaTheme="minorHAnsi" w:hAnsi="Arial" w:cs="Arial"/>
          <w:color w:val="000000"/>
          <w:sz w:val="22"/>
          <w:szCs w:val="22"/>
          <w:lang w:eastAsia="en-US"/>
        </w:rPr>
      </w:pPr>
    </w:p>
    <w:p w:rsidR="00DF13C8" w:rsidRDefault="00DF13C8" w:rsidP="00DF13C8">
      <w:pPr>
        <w:autoSpaceDE w:val="0"/>
        <w:autoSpaceDN w:val="0"/>
        <w:adjustRightInd w:val="0"/>
        <w:rPr>
          <w:rFonts w:ascii="Arial" w:eastAsiaTheme="minorHAnsi" w:hAnsi="Arial" w:cs="Arial"/>
          <w:color w:val="000000"/>
          <w:sz w:val="22"/>
          <w:szCs w:val="22"/>
          <w:lang w:eastAsia="en-US"/>
        </w:rPr>
      </w:pPr>
      <w:r w:rsidRPr="007C6156">
        <w:rPr>
          <w:rFonts w:ascii="Arial" w:eastAsiaTheme="minorHAnsi" w:hAnsi="Arial" w:cs="Arial"/>
          <w:color w:val="000000"/>
          <w:sz w:val="22"/>
          <w:szCs w:val="22"/>
          <w:lang w:eastAsia="en-US"/>
        </w:rPr>
        <w:t xml:space="preserve">In the context of investigation, </w:t>
      </w:r>
      <w:r>
        <w:rPr>
          <w:rFonts w:ascii="Arial" w:eastAsiaTheme="minorHAnsi" w:hAnsi="Arial" w:cs="Arial"/>
          <w:color w:val="000000"/>
          <w:sz w:val="22"/>
          <w:szCs w:val="22"/>
          <w:lang w:eastAsia="en-US"/>
        </w:rPr>
        <w:t xml:space="preserve">we </w:t>
      </w:r>
      <w:r w:rsidR="007B27C3">
        <w:rPr>
          <w:rFonts w:ascii="Arial" w:eastAsiaTheme="minorHAnsi" w:hAnsi="Arial" w:cs="Arial"/>
          <w:color w:val="000000"/>
          <w:sz w:val="22"/>
          <w:szCs w:val="22"/>
          <w:lang w:eastAsia="en-US"/>
        </w:rPr>
        <w:t xml:space="preserve">believe </w:t>
      </w:r>
      <w:r>
        <w:rPr>
          <w:rFonts w:ascii="Arial" w:eastAsiaTheme="minorHAnsi" w:hAnsi="Arial" w:cs="Arial"/>
          <w:color w:val="000000"/>
          <w:sz w:val="22"/>
          <w:szCs w:val="22"/>
          <w:lang w:eastAsia="en-US"/>
        </w:rPr>
        <w:t xml:space="preserve">that </w:t>
      </w:r>
      <w:r w:rsidRPr="007C6156">
        <w:rPr>
          <w:rFonts w:ascii="Arial" w:eastAsiaTheme="minorHAnsi" w:hAnsi="Arial" w:cs="Arial"/>
          <w:color w:val="000000"/>
          <w:sz w:val="22"/>
          <w:szCs w:val="22"/>
          <w:lang w:eastAsia="en-US"/>
        </w:rPr>
        <w:t xml:space="preserve">service providers’ </w:t>
      </w:r>
      <w:r>
        <w:rPr>
          <w:rFonts w:ascii="Arial" w:eastAsiaTheme="minorHAnsi" w:hAnsi="Arial" w:cs="Arial"/>
          <w:color w:val="000000"/>
          <w:sz w:val="22"/>
          <w:szCs w:val="22"/>
          <w:lang w:eastAsia="en-US"/>
        </w:rPr>
        <w:t xml:space="preserve">legal </w:t>
      </w:r>
      <w:r w:rsidRPr="007C6156">
        <w:rPr>
          <w:rFonts w:ascii="Arial" w:eastAsiaTheme="minorHAnsi" w:hAnsi="Arial" w:cs="Arial"/>
          <w:color w:val="000000"/>
          <w:sz w:val="22"/>
          <w:szCs w:val="22"/>
          <w:lang w:eastAsia="en-US"/>
        </w:rPr>
        <w:t xml:space="preserve">obligations </w:t>
      </w:r>
      <w:r>
        <w:rPr>
          <w:rFonts w:ascii="Arial" w:eastAsiaTheme="minorHAnsi" w:hAnsi="Arial" w:cs="Arial"/>
          <w:color w:val="000000"/>
          <w:sz w:val="22"/>
          <w:szCs w:val="22"/>
          <w:lang w:eastAsia="en-US"/>
        </w:rPr>
        <w:t>r</w:t>
      </w:r>
      <w:r w:rsidR="007B27C3">
        <w:rPr>
          <w:rFonts w:ascii="Arial" w:eastAsiaTheme="minorHAnsi" w:hAnsi="Arial" w:cs="Arial"/>
          <w:color w:val="000000"/>
          <w:sz w:val="22"/>
          <w:szCs w:val="22"/>
          <w:lang w:eastAsia="en-US"/>
        </w:rPr>
        <w:t xml:space="preserve">elated to compulsory reporting </w:t>
      </w:r>
      <w:r>
        <w:rPr>
          <w:rFonts w:ascii="Arial" w:eastAsiaTheme="minorHAnsi" w:hAnsi="Arial" w:cs="Arial"/>
          <w:color w:val="000000"/>
          <w:sz w:val="22"/>
          <w:szCs w:val="22"/>
          <w:lang w:eastAsia="en-US"/>
        </w:rPr>
        <w:t xml:space="preserve">and responsibilities </w:t>
      </w:r>
      <w:r w:rsidRPr="007C6156">
        <w:rPr>
          <w:rFonts w:ascii="Arial" w:eastAsiaTheme="minorHAnsi" w:hAnsi="Arial" w:cs="Arial"/>
          <w:color w:val="000000"/>
          <w:sz w:val="22"/>
          <w:szCs w:val="22"/>
          <w:lang w:eastAsia="en-US"/>
        </w:rPr>
        <w:t xml:space="preserve">concerning privacy and confidentiality of client information must </w:t>
      </w:r>
      <w:r>
        <w:rPr>
          <w:rFonts w:ascii="Arial" w:eastAsiaTheme="minorHAnsi" w:hAnsi="Arial" w:cs="Arial"/>
          <w:color w:val="000000"/>
          <w:sz w:val="22"/>
          <w:szCs w:val="22"/>
          <w:lang w:eastAsia="en-US"/>
        </w:rPr>
        <w:t xml:space="preserve">be considered as part of the options for investigation. </w:t>
      </w:r>
    </w:p>
    <w:p w:rsidR="00DF13C8" w:rsidRDefault="00DF13C8" w:rsidP="00DF13C8">
      <w:pPr>
        <w:autoSpaceDE w:val="0"/>
        <w:autoSpaceDN w:val="0"/>
        <w:adjustRightInd w:val="0"/>
        <w:rPr>
          <w:rFonts w:ascii="Arial" w:eastAsiaTheme="minorHAnsi" w:hAnsi="Arial" w:cs="Arial"/>
          <w:color w:val="000000"/>
          <w:sz w:val="22"/>
          <w:szCs w:val="22"/>
          <w:lang w:eastAsia="en-US"/>
        </w:rPr>
      </w:pPr>
    </w:p>
    <w:p w:rsidR="00DF13C8" w:rsidRPr="00DF13C8" w:rsidRDefault="00DF13C8" w:rsidP="00DF13C8">
      <w:pPr>
        <w:autoSpaceDE w:val="0"/>
        <w:autoSpaceDN w:val="0"/>
        <w:adjustRightInd w:val="0"/>
        <w:rPr>
          <w:rFonts w:ascii="Arial" w:eastAsiaTheme="minorHAnsi" w:hAnsi="Arial" w:cs="Arial"/>
          <w:b/>
          <w:i/>
          <w:color w:val="000000"/>
          <w:sz w:val="22"/>
          <w:szCs w:val="22"/>
          <w:lang w:eastAsia="en-US"/>
        </w:rPr>
      </w:pPr>
      <w:r>
        <w:rPr>
          <w:rFonts w:ascii="Arial" w:eastAsiaTheme="minorHAnsi" w:hAnsi="Arial" w:cs="Arial"/>
          <w:b/>
          <w:i/>
          <w:color w:val="000000"/>
          <w:sz w:val="22"/>
          <w:szCs w:val="22"/>
          <w:lang w:eastAsia="en-US"/>
        </w:rPr>
        <w:t xml:space="preserve">Aged Care </w:t>
      </w:r>
      <w:r w:rsidRPr="00DF13C8">
        <w:rPr>
          <w:rFonts w:ascii="Arial" w:eastAsiaTheme="minorHAnsi" w:hAnsi="Arial" w:cs="Arial"/>
          <w:b/>
          <w:i/>
          <w:color w:val="000000"/>
          <w:sz w:val="22"/>
          <w:szCs w:val="22"/>
          <w:lang w:eastAsia="en-US"/>
        </w:rPr>
        <w:t xml:space="preserve">Proposals </w:t>
      </w:r>
    </w:p>
    <w:p w:rsidR="007C6156" w:rsidRPr="00093BDD" w:rsidRDefault="007C6156" w:rsidP="00DF13C8">
      <w:pPr>
        <w:keepNext/>
        <w:spacing w:before="240" w:after="60"/>
        <w:outlineLvl w:val="2"/>
        <w:rPr>
          <w:rFonts w:ascii="Arial" w:eastAsiaTheme="minorHAnsi" w:hAnsi="Arial" w:cs="Arial"/>
          <w:i/>
          <w:color w:val="000000"/>
          <w:sz w:val="22"/>
          <w:szCs w:val="22"/>
          <w:lang w:eastAsia="en-US"/>
        </w:rPr>
      </w:pPr>
      <w:r w:rsidRPr="00093BDD">
        <w:rPr>
          <w:rFonts w:ascii="Arial" w:eastAsiaTheme="minorHAnsi" w:hAnsi="Arial" w:cs="Arial"/>
          <w:i/>
          <w:color w:val="000000"/>
          <w:sz w:val="22"/>
          <w:szCs w:val="22"/>
          <w:u w:val="single"/>
          <w:lang w:eastAsia="en-US"/>
        </w:rPr>
        <w:t>Proposal 11–1</w:t>
      </w:r>
      <w:r w:rsidRPr="00093BDD">
        <w:rPr>
          <w:rFonts w:ascii="Arial" w:eastAsiaTheme="minorHAnsi" w:hAnsi="Arial" w:cs="Arial"/>
          <w:i/>
          <w:color w:val="000000"/>
          <w:sz w:val="22"/>
          <w:szCs w:val="22"/>
          <w:lang w:eastAsia="en-US"/>
        </w:rPr>
        <w:t xml:space="preserve"> Aged care legislation should establish a reportable incidents scheme. The scheme should require approved providers to notify reportable incidents to the Aged Care Complaints Commissioner, who will oversee the approved provider’s investigation of and response to those incidents.</w:t>
      </w:r>
    </w:p>
    <w:p w:rsidR="008C0EBB" w:rsidRDefault="008C0EBB" w:rsidP="008C0EBB">
      <w:pPr>
        <w:widowControl w:val="0"/>
        <w:tabs>
          <w:tab w:val="left" w:pos="567"/>
          <w:tab w:val="left" w:pos="1134"/>
          <w:tab w:val="left" w:pos="1701"/>
          <w:tab w:val="left" w:pos="2268"/>
        </w:tabs>
        <w:autoSpaceDE w:val="0"/>
        <w:autoSpaceDN w:val="0"/>
        <w:spacing w:before="100" w:beforeAutospacing="1" w:after="100" w:afterAutospacing="1"/>
        <w:jc w:val="both"/>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mecwacare</w:t>
      </w:r>
      <w:proofErr w:type="spellEnd"/>
      <w:proofErr w:type="gramEnd"/>
      <w:r>
        <w:rPr>
          <w:rFonts w:ascii="Arial" w:eastAsiaTheme="minorHAnsi" w:hAnsi="Arial" w:cs="Arial"/>
          <w:color w:val="000000"/>
          <w:sz w:val="22"/>
          <w:szCs w:val="22"/>
          <w:lang w:eastAsia="en-US"/>
        </w:rPr>
        <w:t xml:space="preserve"> </w:t>
      </w:r>
      <w:r w:rsidR="007B27C3">
        <w:rPr>
          <w:rFonts w:ascii="Arial" w:eastAsiaTheme="minorHAnsi" w:hAnsi="Arial" w:cs="Arial"/>
          <w:color w:val="000000"/>
          <w:sz w:val="22"/>
          <w:szCs w:val="22"/>
          <w:lang w:eastAsia="en-US"/>
        </w:rPr>
        <w:t xml:space="preserve">strongly </w:t>
      </w:r>
      <w:r>
        <w:rPr>
          <w:rFonts w:ascii="Arial" w:eastAsiaTheme="minorHAnsi" w:hAnsi="Arial" w:cs="Arial"/>
          <w:color w:val="000000"/>
          <w:sz w:val="22"/>
          <w:szCs w:val="22"/>
          <w:lang w:eastAsia="en-US"/>
        </w:rPr>
        <w:t xml:space="preserve">rejects the proposal for additional reporting. Approved providers have a duty of care enforceable through the Aged Care Act and other regulations and in the first instance should be managed through the criminal justice system and Police as care recipients have the same rights as all citizens. </w:t>
      </w:r>
    </w:p>
    <w:p w:rsidR="00CF1A55" w:rsidRDefault="00CF1A55" w:rsidP="008C0EBB">
      <w:pPr>
        <w:widowControl w:val="0"/>
        <w:tabs>
          <w:tab w:val="left" w:pos="567"/>
          <w:tab w:val="left" w:pos="1134"/>
          <w:tab w:val="left" w:pos="1701"/>
          <w:tab w:val="left" w:pos="2268"/>
        </w:tabs>
        <w:autoSpaceDE w:val="0"/>
        <w:autoSpaceDN w:val="0"/>
        <w:spacing w:before="100" w:beforeAutospacing="1" w:after="100" w:afterAutospacing="1"/>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This </w:t>
      </w:r>
      <w:r w:rsidRPr="00CF1A55">
        <w:rPr>
          <w:rFonts w:ascii="Arial" w:eastAsiaTheme="minorHAnsi" w:hAnsi="Arial" w:cs="Arial"/>
          <w:color w:val="000000"/>
          <w:sz w:val="22"/>
          <w:szCs w:val="22"/>
          <w:lang w:eastAsia="en-US"/>
        </w:rPr>
        <w:t xml:space="preserve">proposal to require the matter be reported to the Aged Care Complaints Commissioner </w:t>
      </w:r>
      <w:r>
        <w:rPr>
          <w:rFonts w:ascii="Arial" w:eastAsiaTheme="minorHAnsi" w:hAnsi="Arial" w:cs="Arial"/>
          <w:color w:val="000000"/>
          <w:sz w:val="22"/>
          <w:szCs w:val="22"/>
          <w:lang w:eastAsia="en-US"/>
        </w:rPr>
        <w:t xml:space="preserve">appears to </w:t>
      </w:r>
      <w:r w:rsidRPr="00CF1A55">
        <w:rPr>
          <w:rFonts w:ascii="Arial" w:eastAsiaTheme="minorHAnsi" w:hAnsi="Arial" w:cs="Arial"/>
          <w:color w:val="000000"/>
          <w:sz w:val="22"/>
          <w:szCs w:val="22"/>
          <w:lang w:eastAsia="en-US"/>
        </w:rPr>
        <w:t>fundamentally change the role of the Commissioner from a complaints resolution body to that of a standards investigator. Traditionally, this compliance monitoring function has been performed Department of Health and Quality Agency and the proposal has the potential t</w:t>
      </w:r>
      <w:r>
        <w:rPr>
          <w:rFonts w:ascii="Arial" w:eastAsiaTheme="minorHAnsi" w:hAnsi="Arial" w:cs="Arial"/>
          <w:color w:val="000000"/>
          <w:sz w:val="22"/>
          <w:szCs w:val="22"/>
          <w:lang w:eastAsia="en-US"/>
        </w:rPr>
        <w:t xml:space="preserve">o blur the roles of these roles adding a layer of confusion. </w:t>
      </w:r>
    </w:p>
    <w:p w:rsidR="007C6156" w:rsidRPr="007C6156" w:rsidRDefault="007C6156" w:rsidP="00093BDD">
      <w:pPr>
        <w:keepNext/>
        <w:spacing w:before="240" w:after="60"/>
        <w:outlineLvl w:val="2"/>
        <w:rPr>
          <w:rFonts w:ascii="Arial" w:eastAsiaTheme="minorHAnsi" w:hAnsi="Arial" w:cs="Arial"/>
          <w:i/>
          <w:color w:val="000000"/>
          <w:sz w:val="22"/>
          <w:szCs w:val="22"/>
          <w:lang w:eastAsia="en-US"/>
        </w:rPr>
      </w:pPr>
      <w:r w:rsidRPr="007C6156">
        <w:rPr>
          <w:rFonts w:ascii="Arial" w:eastAsiaTheme="minorHAnsi" w:hAnsi="Arial" w:cs="Arial"/>
          <w:i/>
          <w:color w:val="000000"/>
          <w:sz w:val="22"/>
          <w:szCs w:val="22"/>
          <w:u w:val="single"/>
          <w:lang w:eastAsia="en-US"/>
        </w:rPr>
        <w:t>Proposal 11–2</w:t>
      </w:r>
      <w:r w:rsidRPr="007C6156">
        <w:rPr>
          <w:rFonts w:ascii="Arial" w:eastAsiaTheme="minorHAnsi" w:hAnsi="Arial" w:cs="Arial"/>
          <w:i/>
          <w:color w:val="000000"/>
          <w:sz w:val="22"/>
          <w:szCs w:val="22"/>
          <w:lang w:eastAsia="en-US"/>
        </w:rPr>
        <w:t xml:space="preserve"> </w:t>
      </w:r>
      <w:proofErr w:type="gramStart"/>
      <w:r w:rsidRPr="007C6156">
        <w:rPr>
          <w:rFonts w:ascii="Arial" w:eastAsiaTheme="minorHAnsi" w:hAnsi="Arial" w:cs="Arial"/>
          <w:i/>
          <w:color w:val="000000"/>
          <w:sz w:val="22"/>
          <w:szCs w:val="22"/>
          <w:lang w:eastAsia="en-US"/>
        </w:rPr>
        <w:t>The</w:t>
      </w:r>
      <w:proofErr w:type="gramEnd"/>
      <w:r w:rsidRPr="007C6156">
        <w:rPr>
          <w:rFonts w:ascii="Arial" w:eastAsiaTheme="minorHAnsi" w:hAnsi="Arial" w:cs="Arial"/>
          <w:i/>
          <w:color w:val="000000"/>
          <w:sz w:val="22"/>
          <w:szCs w:val="22"/>
          <w:lang w:eastAsia="en-US"/>
        </w:rPr>
        <w:t xml:space="preserve"> term ‘reportable assault’ in the Aged Care Act 1997 (</w:t>
      </w:r>
      <w:proofErr w:type="spellStart"/>
      <w:r w:rsidRPr="007C6156">
        <w:rPr>
          <w:rFonts w:ascii="Arial" w:eastAsiaTheme="minorHAnsi" w:hAnsi="Arial" w:cs="Arial"/>
          <w:i/>
          <w:color w:val="000000"/>
          <w:sz w:val="22"/>
          <w:szCs w:val="22"/>
          <w:lang w:eastAsia="en-US"/>
        </w:rPr>
        <w:t>Cth</w:t>
      </w:r>
      <w:proofErr w:type="spellEnd"/>
      <w:r w:rsidRPr="007C6156">
        <w:rPr>
          <w:rFonts w:ascii="Arial" w:eastAsiaTheme="minorHAnsi" w:hAnsi="Arial" w:cs="Arial"/>
          <w:i/>
          <w:color w:val="000000"/>
          <w:sz w:val="22"/>
          <w:szCs w:val="22"/>
          <w:lang w:eastAsia="en-US"/>
        </w:rPr>
        <w:t>) should be replaced with ‘reportable incident’. With respect to residential care, ‘reportable incident’ should mean:(a) a sexual offence, sexual misconduct, assault, fraud/financial abuse, ill-treatment or neglect committed by a staff member on or toward a care recipient;</w:t>
      </w:r>
      <w:r w:rsidR="00093BDD">
        <w:rPr>
          <w:rFonts w:ascii="Arial" w:eastAsiaTheme="minorHAnsi" w:hAnsi="Arial" w:cs="Arial"/>
          <w:i/>
          <w:color w:val="000000"/>
          <w:sz w:val="22"/>
          <w:szCs w:val="22"/>
          <w:lang w:eastAsia="en-US"/>
        </w:rPr>
        <w:t xml:space="preserve"> </w:t>
      </w:r>
      <w:r w:rsidRPr="007C6156">
        <w:rPr>
          <w:rFonts w:ascii="Arial" w:eastAsiaTheme="minorHAnsi" w:hAnsi="Arial" w:cs="Arial"/>
          <w:i/>
          <w:color w:val="000000"/>
          <w:sz w:val="22"/>
          <w:szCs w:val="22"/>
          <w:lang w:eastAsia="en-US"/>
        </w:rPr>
        <w:t>(b) a sexual offence, an incident causing serious injury, an incident involving the use of a weapon, or an incident that is part of a pattern of abuse when committed by a care recipient toward another care recipient; or</w:t>
      </w:r>
      <w:r w:rsidR="00093BDD">
        <w:rPr>
          <w:rFonts w:ascii="Arial" w:eastAsiaTheme="minorHAnsi" w:hAnsi="Arial" w:cs="Arial"/>
          <w:i/>
          <w:color w:val="000000"/>
          <w:sz w:val="22"/>
          <w:szCs w:val="22"/>
          <w:lang w:eastAsia="en-US"/>
        </w:rPr>
        <w:t xml:space="preserve"> </w:t>
      </w:r>
      <w:r w:rsidRPr="007C6156">
        <w:rPr>
          <w:rFonts w:ascii="Arial" w:eastAsiaTheme="minorHAnsi" w:hAnsi="Arial" w:cs="Arial"/>
          <w:i/>
          <w:color w:val="000000"/>
          <w:sz w:val="22"/>
          <w:szCs w:val="22"/>
          <w:lang w:eastAsia="en-US"/>
        </w:rPr>
        <w:t>(c) an incident resulting in an unexplained serious injury to a care recipient.</w:t>
      </w:r>
    </w:p>
    <w:p w:rsidR="007C6156" w:rsidRPr="007C6156" w:rsidRDefault="005569E7" w:rsidP="007C6156">
      <w:pPr>
        <w:keepNext/>
        <w:spacing w:before="240" w:after="60"/>
        <w:outlineLvl w:val="2"/>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Within </w:t>
      </w:r>
      <w:r w:rsidR="007C6156" w:rsidRPr="007C6156">
        <w:rPr>
          <w:rFonts w:ascii="Arial" w:eastAsiaTheme="minorHAnsi" w:hAnsi="Arial" w:cs="Arial"/>
          <w:color w:val="000000"/>
          <w:sz w:val="22"/>
          <w:szCs w:val="22"/>
          <w:lang w:eastAsia="en-US"/>
        </w:rPr>
        <w:t>home care or flexible care, ‘reportable incident’ should mean a sexual offence, sexual misconduct, assault, fraud/financial abuse, ill-treatment or neglect committed by a staff member on or toward a care recipient.</w:t>
      </w:r>
    </w:p>
    <w:p w:rsidR="007C6156" w:rsidRDefault="007C6156"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r w:rsidRPr="007C6156">
        <w:rPr>
          <w:rFonts w:ascii="Arial" w:eastAsiaTheme="minorHAnsi" w:hAnsi="Arial" w:cs="Arial"/>
          <w:color w:val="000000"/>
          <w:sz w:val="22"/>
          <w:szCs w:val="22"/>
          <w:lang w:eastAsia="en-US"/>
        </w:rPr>
        <w:t xml:space="preserve">In regard to the proposed definition for part (b), </w:t>
      </w:r>
      <w:proofErr w:type="spellStart"/>
      <w:r w:rsidR="00DF13C8">
        <w:rPr>
          <w:rFonts w:ascii="Arial" w:eastAsiaTheme="minorHAnsi" w:hAnsi="Arial" w:cs="Arial"/>
          <w:color w:val="000000"/>
          <w:sz w:val="22"/>
          <w:szCs w:val="22"/>
          <w:lang w:eastAsia="en-US"/>
        </w:rPr>
        <w:t>mecwacare</w:t>
      </w:r>
      <w:proofErr w:type="spellEnd"/>
      <w:r w:rsidR="00DF13C8">
        <w:rPr>
          <w:rFonts w:ascii="Arial" w:eastAsiaTheme="minorHAnsi" w:hAnsi="Arial" w:cs="Arial"/>
          <w:color w:val="000000"/>
          <w:sz w:val="22"/>
          <w:szCs w:val="22"/>
          <w:lang w:eastAsia="en-US"/>
        </w:rPr>
        <w:t xml:space="preserve"> forwards that </w:t>
      </w:r>
      <w:r w:rsidRPr="007C6156">
        <w:rPr>
          <w:rFonts w:ascii="Arial" w:eastAsiaTheme="minorHAnsi" w:hAnsi="Arial" w:cs="Arial"/>
          <w:color w:val="000000"/>
          <w:sz w:val="22"/>
          <w:szCs w:val="22"/>
          <w:lang w:eastAsia="en-US"/>
        </w:rPr>
        <w:t xml:space="preserve">violence or exploitation ‘that is part of a pattern of abuse when committed by a care recipient toward another care recipient’ should focus on the perpetrator’s pattern of behaviour, whether or not the abuse is directed against the same co-resident each time. </w:t>
      </w:r>
      <w:r w:rsidR="005569E7">
        <w:rPr>
          <w:rFonts w:ascii="Arial" w:eastAsiaTheme="minorHAnsi" w:hAnsi="Arial" w:cs="Arial"/>
          <w:color w:val="000000"/>
          <w:sz w:val="22"/>
          <w:szCs w:val="22"/>
          <w:lang w:eastAsia="en-US"/>
        </w:rPr>
        <w:t>We support</w:t>
      </w:r>
      <w:r w:rsidRPr="007C6156">
        <w:rPr>
          <w:rFonts w:ascii="Arial" w:eastAsiaTheme="minorHAnsi" w:hAnsi="Arial" w:cs="Arial"/>
          <w:color w:val="000000"/>
          <w:sz w:val="22"/>
          <w:szCs w:val="22"/>
          <w:lang w:eastAsia="en-US"/>
        </w:rPr>
        <w:t xml:space="preserve"> the inclusion of staff-to-resident incidents occurring in home-care settings under this mandatory reporting scheme.</w:t>
      </w:r>
    </w:p>
    <w:p w:rsidR="00CF1A55" w:rsidRPr="00CF1A55" w:rsidRDefault="00CF1A55" w:rsidP="00CF1A55">
      <w:pPr>
        <w:pStyle w:val="NormalWeb"/>
        <w:spacing w:line="300" w:lineRule="atLeast"/>
        <w:rPr>
          <w:rFonts w:ascii="Arial" w:eastAsiaTheme="minorHAnsi" w:hAnsi="Arial" w:cs="Arial"/>
          <w:color w:val="000000"/>
          <w:sz w:val="22"/>
          <w:szCs w:val="22"/>
          <w:lang w:eastAsia="en-US"/>
        </w:rPr>
      </w:pPr>
      <w:r w:rsidRPr="00CF1A55">
        <w:rPr>
          <w:rFonts w:ascii="Arial" w:eastAsiaTheme="minorHAnsi" w:hAnsi="Arial" w:cs="Arial"/>
          <w:color w:val="000000"/>
          <w:sz w:val="22"/>
          <w:szCs w:val="22"/>
          <w:lang w:eastAsia="en-US"/>
        </w:rPr>
        <w:t xml:space="preserve">Requiring providers to report resident-resident assaults, even where the perpetrator has a cognitive impairment has the potentially to significantly increase the number </w:t>
      </w:r>
      <w:r w:rsidRPr="007B27C3">
        <w:rPr>
          <w:rFonts w:ascii="Arial" w:eastAsiaTheme="minorHAnsi" w:hAnsi="Arial" w:cs="Arial"/>
          <w:color w:val="000000"/>
          <w:sz w:val="22"/>
          <w:szCs w:val="22"/>
          <w:lang w:eastAsia="en-US"/>
        </w:rPr>
        <w:t>of</w:t>
      </w:r>
      <w:r w:rsidRPr="00CF1A55">
        <w:rPr>
          <w:rFonts w:ascii="Arial" w:eastAsiaTheme="minorHAnsi" w:hAnsi="Arial" w:cs="Arial"/>
          <w:color w:val="000000"/>
          <w:sz w:val="22"/>
          <w:szCs w:val="22"/>
          <w:lang w:eastAsia="en-US"/>
        </w:rPr>
        <w:t xml:space="preserve"> reports which are made</w:t>
      </w:r>
      <w:r w:rsidR="007B27C3">
        <w:rPr>
          <w:rFonts w:ascii="Arial" w:eastAsiaTheme="minorHAnsi" w:hAnsi="Arial" w:cs="Arial"/>
          <w:color w:val="000000"/>
          <w:sz w:val="22"/>
          <w:szCs w:val="22"/>
          <w:lang w:eastAsia="en-US"/>
        </w:rPr>
        <w:t xml:space="preserve"> without due respect to the significance / seriousness of the injury</w:t>
      </w:r>
      <w:r w:rsidRPr="00CF1A55">
        <w:rPr>
          <w:rFonts w:ascii="Arial" w:eastAsiaTheme="minorHAnsi" w:hAnsi="Arial" w:cs="Arial"/>
          <w:color w:val="000000"/>
          <w:sz w:val="22"/>
          <w:szCs w:val="22"/>
          <w:lang w:eastAsia="en-US"/>
        </w:rPr>
        <w:t xml:space="preserve">. While the ALRC proposal only requires more serious assaults to be provided, aged care providers </w:t>
      </w:r>
      <w:r>
        <w:rPr>
          <w:rFonts w:ascii="Arial" w:eastAsiaTheme="minorHAnsi" w:hAnsi="Arial" w:cs="Arial"/>
          <w:color w:val="000000"/>
          <w:sz w:val="22"/>
          <w:szCs w:val="22"/>
          <w:lang w:eastAsia="en-US"/>
        </w:rPr>
        <w:t xml:space="preserve">may </w:t>
      </w:r>
      <w:r w:rsidRPr="00CF1A55">
        <w:rPr>
          <w:rFonts w:ascii="Arial" w:eastAsiaTheme="minorHAnsi" w:hAnsi="Arial" w:cs="Arial"/>
          <w:color w:val="000000"/>
          <w:sz w:val="22"/>
          <w:szCs w:val="22"/>
          <w:lang w:eastAsia="en-US"/>
        </w:rPr>
        <w:t>report all inci</w:t>
      </w:r>
      <w:r>
        <w:rPr>
          <w:rFonts w:ascii="Arial" w:eastAsiaTheme="minorHAnsi" w:hAnsi="Arial" w:cs="Arial"/>
          <w:color w:val="000000"/>
          <w:sz w:val="22"/>
          <w:szCs w:val="22"/>
          <w:lang w:eastAsia="en-US"/>
        </w:rPr>
        <w:t xml:space="preserve">dents to reduce the risk of missing any that may meet the definition. </w:t>
      </w:r>
    </w:p>
    <w:p w:rsidR="00CF1A55" w:rsidRDefault="00CF1A55"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
    <w:p w:rsidR="007C6156" w:rsidRPr="007C6156" w:rsidRDefault="007C6156" w:rsidP="007C6156">
      <w:pPr>
        <w:keepNext/>
        <w:spacing w:before="240" w:after="60"/>
        <w:outlineLvl w:val="2"/>
        <w:rPr>
          <w:rFonts w:ascii="Arial" w:eastAsiaTheme="minorHAnsi" w:hAnsi="Arial" w:cs="Arial"/>
          <w:i/>
          <w:color w:val="000000"/>
          <w:sz w:val="22"/>
          <w:szCs w:val="22"/>
          <w:lang w:eastAsia="en-US"/>
        </w:rPr>
      </w:pPr>
      <w:r w:rsidRPr="007C6156">
        <w:rPr>
          <w:rFonts w:ascii="Arial" w:eastAsiaTheme="minorHAnsi" w:hAnsi="Arial" w:cs="Arial"/>
          <w:i/>
          <w:color w:val="000000"/>
          <w:sz w:val="22"/>
          <w:szCs w:val="22"/>
          <w:u w:val="single"/>
          <w:lang w:eastAsia="en-US"/>
        </w:rPr>
        <w:lastRenderedPageBreak/>
        <w:t>Proposal 11–3</w:t>
      </w:r>
      <w:r w:rsidRPr="007C6156">
        <w:rPr>
          <w:rFonts w:ascii="Arial" w:eastAsiaTheme="minorHAnsi" w:hAnsi="Arial" w:cs="Arial"/>
          <w:i/>
          <w:color w:val="000000"/>
          <w:sz w:val="22"/>
          <w:szCs w:val="22"/>
          <w:lang w:eastAsia="en-US"/>
        </w:rPr>
        <w:t xml:space="preserve"> The exemption to reporting provided by s 53 of the Accountability Principles 2014 (</w:t>
      </w:r>
      <w:proofErr w:type="spellStart"/>
      <w:r w:rsidRPr="007C6156">
        <w:rPr>
          <w:rFonts w:ascii="Arial" w:eastAsiaTheme="minorHAnsi" w:hAnsi="Arial" w:cs="Arial"/>
          <w:i/>
          <w:color w:val="000000"/>
          <w:sz w:val="22"/>
          <w:szCs w:val="22"/>
          <w:lang w:eastAsia="en-US"/>
        </w:rPr>
        <w:t>Cth</w:t>
      </w:r>
      <w:proofErr w:type="spellEnd"/>
      <w:r w:rsidRPr="007C6156">
        <w:rPr>
          <w:rFonts w:ascii="Arial" w:eastAsiaTheme="minorHAnsi" w:hAnsi="Arial" w:cs="Arial"/>
          <w:i/>
          <w:color w:val="000000"/>
          <w:sz w:val="22"/>
          <w:szCs w:val="22"/>
          <w:lang w:eastAsia="en-US"/>
        </w:rPr>
        <w:t>), regarding alleged or suspected assaults committed by a care recipient with a pre-diagnosed cognitive impairment on another care recipient, should be removed.</w:t>
      </w:r>
    </w:p>
    <w:p w:rsidR="007C6156" w:rsidRDefault="00093BDD"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w:t>
      </w:r>
      <w:r w:rsidR="008C0EBB">
        <w:rPr>
          <w:rFonts w:ascii="Arial" w:eastAsiaTheme="minorHAnsi" w:hAnsi="Arial" w:cs="Arial"/>
          <w:color w:val="000000"/>
          <w:sz w:val="22"/>
          <w:szCs w:val="22"/>
          <w:lang w:eastAsia="en-US"/>
        </w:rPr>
        <w:t>ecwacare</w:t>
      </w:r>
      <w:proofErr w:type="spellEnd"/>
      <w:proofErr w:type="gramEnd"/>
      <w:r w:rsidR="008C0EBB">
        <w:rPr>
          <w:rFonts w:ascii="Arial" w:eastAsiaTheme="minorHAnsi" w:hAnsi="Arial" w:cs="Arial"/>
          <w:color w:val="000000"/>
          <w:sz w:val="22"/>
          <w:szCs w:val="22"/>
          <w:lang w:eastAsia="en-US"/>
        </w:rPr>
        <w:t xml:space="preserve"> disagrees with this proposal and r</w:t>
      </w:r>
      <w:r w:rsidR="005569E7">
        <w:rPr>
          <w:rFonts w:ascii="Arial" w:eastAsiaTheme="minorHAnsi" w:hAnsi="Arial" w:cs="Arial"/>
          <w:color w:val="000000"/>
          <w:sz w:val="22"/>
          <w:szCs w:val="22"/>
          <w:lang w:eastAsia="en-US"/>
        </w:rPr>
        <w:t>equests that this proposal be reviewed with consideration of the clinical and cognitive condition of a care recipients in</w:t>
      </w:r>
      <w:r w:rsidR="008C0EBB">
        <w:rPr>
          <w:rFonts w:ascii="Arial" w:eastAsiaTheme="minorHAnsi" w:hAnsi="Arial" w:cs="Arial"/>
          <w:color w:val="000000"/>
          <w:sz w:val="22"/>
          <w:szCs w:val="22"/>
          <w:lang w:eastAsia="en-US"/>
        </w:rPr>
        <w:t xml:space="preserve"> the discretionary reporting o</w:t>
      </w:r>
      <w:r w:rsidR="005569E7">
        <w:rPr>
          <w:rFonts w:ascii="Arial" w:eastAsiaTheme="minorHAnsi" w:hAnsi="Arial" w:cs="Arial"/>
          <w:color w:val="000000"/>
          <w:sz w:val="22"/>
          <w:szCs w:val="22"/>
          <w:lang w:eastAsia="en-US"/>
        </w:rPr>
        <w:t xml:space="preserve">f incidents. </w:t>
      </w:r>
    </w:p>
    <w:p w:rsidR="008C0EBB" w:rsidRDefault="008C0EBB" w:rsidP="008C0EBB">
      <w:pPr>
        <w:widowControl w:val="0"/>
        <w:tabs>
          <w:tab w:val="left" w:pos="567"/>
          <w:tab w:val="left" w:pos="1134"/>
          <w:tab w:val="left" w:pos="1701"/>
          <w:tab w:val="left" w:pos="2268"/>
        </w:tabs>
        <w:autoSpaceDE w:val="0"/>
        <w:autoSpaceDN w:val="0"/>
        <w:spacing w:before="100" w:beforeAutospacing="1" w:after="100" w:afterAutospacing="1"/>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Where a resident does not have the capacity to determine intent</w:t>
      </w:r>
      <w:r w:rsidR="00093BDD">
        <w:rPr>
          <w:rFonts w:ascii="Arial" w:eastAsiaTheme="minorHAnsi" w:hAnsi="Arial" w:cs="Arial"/>
          <w:color w:val="000000"/>
          <w:sz w:val="22"/>
          <w:szCs w:val="22"/>
          <w:lang w:eastAsia="en-US"/>
        </w:rPr>
        <w:t>,</w:t>
      </w:r>
      <w:r>
        <w:rPr>
          <w:rFonts w:ascii="Arial" w:eastAsiaTheme="minorHAnsi" w:hAnsi="Arial" w:cs="Arial"/>
          <w:color w:val="000000"/>
          <w:sz w:val="22"/>
          <w:szCs w:val="22"/>
          <w:lang w:eastAsia="en-US"/>
        </w:rPr>
        <w:t xml:space="preserve"> then no specific action will be managed against that person. As such, internal management strategies would be expected to identify the causative actions, behavioural triggers, </w:t>
      </w:r>
      <w:r w:rsidR="00093BDD">
        <w:rPr>
          <w:rFonts w:ascii="Arial" w:eastAsiaTheme="minorHAnsi" w:hAnsi="Arial" w:cs="Arial"/>
          <w:color w:val="000000"/>
          <w:sz w:val="22"/>
          <w:szCs w:val="22"/>
          <w:lang w:eastAsia="en-US"/>
        </w:rPr>
        <w:t xml:space="preserve">and </w:t>
      </w:r>
      <w:r w:rsidR="007B27C3">
        <w:rPr>
          <w:rFonts w:ascii="Arial" w:eastAsiaTheme="minorHAnsi" w:hAnsi="Arial" w:cs="Arial"/>
          <w:color w:val="000000"/>
          <w:sz w:val="22"/>
          <w:szCs w:val="22"/>
          <w:lang w:eastAsia="en-US"/>
        </w:rPr>
        <w:t xml:space="preserve">to action </w:t>
      </w:r>
      <w:r w:rsidR="00093BDD">
        <w:rPr>
          <w:rFonts w:ascii="Arial" w:eastAsiaTheme="minorHAnsi" w:hAnsi="Arial" w:cs="Arial"/>
          <w:color w:val="000000"/>
          <w:sz w:val="22"/>
          <w:szCs w:val="22"/>
          <w:lang w:eastAsia="en-US"/>
        </w:rPr>
        <w:t>effective</w:t>
      </w:r>
      <w:r>
        <w:rPr>
          <w:rFonts w:ascii="Arial" w:eastAsiaTheme="minorHAnsi" w:hAnsi="Arial" w:cs="Arial"/>
          <w:color w:val="000000"/>
          <w:sz w:val="22"/>
          <w:szCs w:val="22"/>
          <w:lang w:eastAsia="en-US"/>
        </w:rPr>
        <w:t xml:space="preserve"> preventative and management strategies. </w:t>
      </w:r>
    </w:p>
    <w:p w:rsidR="008C0EBB" w:rsidRPr="007C6156" w:rsidRDefault="008C0EBB" w:rsidP="008C0EBB">
      <w:pPr>
        <w:autoSpaceDE w:val="0"/>
        <w:autoSpaceDN w:val="0"/>
        <w:adjustRightInd w:val="0"/>
        <w:rPr>
          <w:rFonts w:ascii="Arial" w:eastAsiaTheme="minorHAnsi" w:hAnsi="Arial" w:cs="Arial"/>
          <w:color w:val="000000"/>
          <w:sz w:val="22"/>
          <w:szCs w:val="22"/>
          <w:lang w:eastAsia="en-US"/>
        </w:rPr>
      </w:pPr>
      <w:r w:rsidRPr="007C6156">
        <w:rPr>
          <w:rFonts w:ascii="Arial" w:eastAsiaTheme="minorHAnsi" w:hAnsi="Arial" w:cs="Arial"/>
          <w:color w:val="000000"/>
          <w:sz w:val="22"/>
          <w:szCs w:val="22"/>
          <w:lang w:eastAsia="en-US"/>
        </w:rPr>
        <w:t xml:space="preserve">We support the need to ensure effective processes around the compulsory reporting of abuse and complaints handling. We forward, however, that such strategies should complement existing complaint mechanisms and work to strengthen the broader complaints architecture that underpins the aged care system. </w:t>
      </w:r>
    </w:p>
    <w:p w:rsidR="007C6156" w:rsidRPr="00FB01F6" w:rsidRDefault="007C6156" w:rsidP="00FB01F6">
      <w:pPr>
        <w:keepNext/>
        <w:spacing w:before="240" w:after="60"/>
        <w:jc w:val="both"/>
        <w:outlineLvl w:val="2"/>
        <w:rPr>
          <w:rFonts w:ascii="Arial" w:eastAsiaTheme="minorHAnsi" w:hAnsi="Arial" w:cs="Arial"/>
          <w:i/>
          <w:color w:val="000000"/>
          <w:sz w:val="22"/>
          <w:szCs w:val="22"/>
          <w:lang w:eastAsia="en-US"/>
        </w:rPr>
      </w:pPr>
      <w:r w:rsidRPr="00FB01F6">
        <w:rPr>
          <w:rFonts w:ascii="Arial" w:eastAsiaTheme="minorHAnsi" w:hAnsi="Arial" w:cs="Arial"/>
          <w:i/>
          <w:color w:val="000000"/>
          <w:sz w:val="22"/>
          <w:szCs w:val="22"/>
          <w:u w:val="single"/>
          <w:lang w:eastAsia="en-US"/>
        </w:rPr>
        <w:t>Proposal 11–</w:t>
      </w:r>
      <w:proofErr w:type="gramStart"/>
      <w:r w:rsidRPr="00FB01F6">
        <w:rPr>
          <w:rFonts w:ascii="Arial" w:eastAsiaTheme="minorHAnsi" w:hAnsi="Arial" w:cs="Arial"/>
          <w:i/>
          <w:color w:val="000000"/>
          <w:sz w:val="22"/>
          <w:szCs w:val="22"/>
          <w:u w:val="single"/>
          <w:lang w:eastAsia="en-US"/>
        </w:rPr>
        <w:t>4</w:t>
      </w:r>
      <w:r w:rsidRPr="00FB01F6">
        <w:rPr>
          <w:rFonts w:ascii="Arial" w:eastAsiaTheme="minorHAnsi" w:hAnsi="Arial" w:cs="Arial"/>
          <w:i/>
          <w:color w:val="000000"/>
          <w:sz w:val="22"/>
          <w:szCs w:val="22"/>
          <w:lang w:eastAsia="en-US"/>
        </w:rPr>
        <w:t xml:space="preserve"> </w:t>
      </w:r>
      <w:r w:rsidR="007B27C3" w:rsidRPr="00FB01F6">
        <w:rPr>
          <w:rFonts w:ascii="Arial" w:eastAsiaTheme="minorHAnsi" w:hAnsi="Arial" w:cs="Arial"/>
          <w:i/>
          <w:color w:val="000000"/>
          <w:sz w:val="22"/>
          <w:szCs w:val="22"/>
          <w:lang w:eastAsia="en-US"/>
        </w:rPr>
        <w:t xml:space="preserve"> </w:t>
      </w:r>
      <w:r w:rsidRPr="00FB01F6">
        <w:rPr>
          <w:rFonts w:ascii="Arial" w:eastAsiaTheme="minorHAnsi" w:hAnsi="Arial" w:cs="Arial"/>
          <w:i/>
          <w:color w:val="000000"/>
          <w:sz w:val="22"/>
          <w:szCs w:val="22"/>
          <w:lang w:eastAsia="en-US"/>
        </w:rPr>
        <w:t>There</w:t>
      </w:r>
      <w:proofErr w:type="gramEnd"/>
      <w:r w:rsidRPr="00FB01F6">
        <w:rPr>
          <w:rFonts w:ascii="Arial" w:eastAsiaTheme="minorHAnsi" w:hAnsi="Arial" w:cs="Arial"/>
          <w:i/>
          <w:color w:val="000000"/>
          <w:sz w:val="22"/>
          <w:szCs w:val="22"/>
          <w:lang w:eastAsia="en-US"/>
        </w:rPr>
        <w:t xml:space="preserve"> should be a national employment screening process for Australian Government funded aged care. The screening process should determine whether a clearance should be granted to work in aged care, based on an assessment of:</w:t>
      </w:r>
      <w:r w:rsidR="005569E7" w:rsidRPr="00FB01F6">
        <w:rPr>
          <w:rFonts w:ascii="Arial" w:eastAsiaTheme="minorHAnsi" w:hAnsi="Arial" w:cs="Arial"/>
          <w:i/>
          <w:color w:val="000000"/>
          <w:sz w:val="22"/>
          <w:szCs w:val="22"/>
          <w:lang w:eastAsia="en-US"/>
        </w:rPr>
        <w:t xml:space="preserve"> </w:t>
      </w:r>
      <w:r w:rsidRPr="00FB01F6">
        <w:rPr>
          <w:rFonts w:ascii="Arial" w:eastAsiaTheme="minorHAnsi" w:hAnsi="Arial" w:cs="Arial"/>
          <w:i/>
          <w:color w:val="000000"/>
          <w:sz w:val="22"/>
          <w:szCs w:val="22"/>
          <w:lang w:eastAsia="en-US"/>
        </w:rPr>
        <w:t xml:space="preserve">(a) a person’s national criminal </w:t>
      </w:r>
      <w:proofErr w:type="gramStart"/>
      <w:r w:rsidRPr="00FB01F6">
        <w:rPr>
          <w:rFonts w:ascii="Arial" w:eastAsiaTheme="minorHAnsi" w:hAnsi="Arial" w:cs="Arial"/>
          <w:i/>
          <w:color w:val="000000"/>
          <w:sz w:val="22"/>
          <w:szCs w:val="22"/>
          <w:lang w:eastAsia="en-US"/>
        </w:rPr>
        <w:t>history;</w:t>
      </w:r>
      <w:proofErr w:type="gramEnd"/>
      <w:r w:rsidRPr="00FB01F6">
        <w:rPr>
          <w:rFonts w:ascii="Arial" w:eastAsiaTheme="minorHAnsi" w:hAnsi="Arial" w:cs="Arial"/>
          <w:i/>
          <w:color w:val="000000"/>
          <w:sz w:val="22"/>
          <w:szCs w:val="22"/>
          <w:lang w:eastAsia="en-US"/>
        </w:rPr>
        <w:t xml:space="preserve">(b) relevant reportable incidents under the proposed </w:t>
      </w:r>
      <w:r w:rsidR="005569E7" w:rsidRPr="00FB01F6">
        <w:rPr>
          <w:rFonts w:ascii="Arial" w:eastAsiaTheme="minorHAnsi" w:hAnsi="Arial" w:cs="Arial"/>
          <w:i/>
          <w:color w:val="000000"/>
          <w:sz w:val="22"/>
          <w:szCs w:val="22"/>
          <w:lang w:eastAsia="en-US"/>
        </w:rPr>
        <w:t>r</w:t>
      </w:r>
      <w:r w:rsidRPr="00FB01F6">
        <w:rPr>
          <w:rFonts w:ascii="Arial" w:eastAsiaTheme="minorHAnsi" w:hAnsi="Arial" w:cs="Arial"/>
          <w:i/>
          <w:color w:val="000000"/>
          <w:sz w:val="22"/>
          <w:szCs w:val="22"/>
          <w:lang w:eastAsia="en-US"/>
        </w:rPr>
        <w:t>eportable incidents scheme; and</w:t>
      </w:r>
      <w:r w:rsidR="005569E7" w:rsidRPr="00FB01F6">
        <w:rPr>
          <w:rFonts w:ascii="Arial" w:eastAsiaTheme="minorHAnsi" w:hAnsi="Arial" w:cs="Arial"/>
          <w:i/>
          <w:color w:val="000000"/>
          <w:sz w:val="22"/>
          <w:szCs w:val="22"/>
          <w:lang w:eastAsia="en-US"/>
        </w:rPr>
        <w:t xml:space="preserve"> </w:t>
      </w:r>
      <w:r w:rsidRPr="00FB01F6">
        <w:rPr>
          <w:rFonts w:ascii="Arial" w:eastAsiaTheme="minorHAnsi" w:hAnsi="Arial" w:cs="Arial"/>
          <w:i/>
          <w:color w:val="000000"/>
          <w:sz w:val="22"/>
          <w:szCs w:val="22"/>
          <w:lang w:eastAsia="en-US"/>
        </w:rPr>
        <w:t>(c) relevant disciplinary proceedings or complaints.</w:t>
      </w:r>
    </w:p>
    <w:p w:rsidR="005569E7" w:rsidRPr="00FB01F6" w:rsidRDefault="00093BDD" w:rsidP="00FB01F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r w:rsidRPr="00FB01F6">
        <w:rPr>
          <w:rFonts w:ascii="Arial" w:eastAsiaTheme="minorHAnsi" w:hAnsi="Arial" w:cs="Arial"/>
          <w:color w:val="000000"/>
          <w:sz w:val="22"/>
          <w:szCs w:val="22"/>
          <w:lang w:eastAsia="en-US"/>
        </w:rPr>
        <w:t>m</w:t>
      </w:r>
      <w:r w:rsidR="005569E7" w:rsidRPr="00FB01F6">
        <w:rPr>
          <w:rFonts w:ascii="Arial" w:eastAsiaTheme="minorHAnsi" w:hAnsi="Arial" w:cs="Arial"/>
          <w:color w:val="000000"/>
          <w:sz w:val="22"/>
          <w:szCs w:val="22"/>
          <w:lang w:eastAsia="en-US"/>
        </w:rPr>
        <w:t>ecwacare</w:t>
      </w:r>
      <w:proofErr w:type="spellEnd"/>
      <w:r w:rsidR="005569E7" w:rsidRPr="00FB01F6">
        <w:rPr>
          <w:rFonts w:ascii="Arial" w:eastAsiaTheme="minorHAnsi" w:hAnsi="Arial" w:cs="Arial"/>
          <w:color w:val="000000"/>
          <w:sz w:val="22"/>
          <w:szCs w:val="22"/>
          <w:lang w:eastAsia="en-US"/>
        </w:rPr>
        <w:t xml:space="preserve"> accepts this proposal with extension to ensure any reportable incidents from the person’s prior employment in children’s and disability services are captured with potential for increased safeguarding of vulnerable care recipients and cost savings</w:t>
      </w:r>
      <w:r w:rsidR="005569E7" w:rsidRPr="00FB01F6">
        <w:rPr>
          <w:rStyle w:val="FootnoteReference"/>
          <w:rFonts w:ascii="Arial" w:eastAsiaTheme="minorHAnsi" w:hAnsi="Arial" w:cs="Arial"/>
          <w:color w:val="000000"/>
          <w:sz w:val="22"/>
          <w:szCs w:val="22"/>
          <w:lang w:eastAsia="en-US"/>
        </w:rPr>
        <w:footnoteReference w:id="4"/>
      </w:r>
      <w:r w:rsidR="005569E7" w:rsidRPr="00FB01F6">
        <w:rPr>
          <w:rFonts w:ascii="Arial" w:eastAsiaTheme="minorHAnsi" w:hAnsi="Arial" w:cs="Arial"/>
          <w:color w:val="000000"/>
          <w:sz w:val="22"/>
          <w:szCs w:val="22"/>
          <w:lang w:eastAsia="en-US"/>
        </w:rPr>
        <w:t xml:space="preserve">. </w:t>
      </w:r>
    </w:p>
    <w:p w:rsidR="007C6156" w:rsidRPr="00FB01F6" w:rsidRDefault="007C6156" w:rsidP="00FB01F6">
      <w:pPr>
        <w:keepNext/>
        <w:spacing w:before="240" w:after="60"/>
        <w:jc w:val="both"/>
        <w:outlineLvl w:val="2"/>
        <w:rPr>
          <w:rFonts w:ascii="Arial" w:eastAsiaTheme="minorHAnsi" w:hAnsi="Arial" w:cs="Arial"/>
          <w:i/>
          <w:color w:val="000000"/>
          <w:sz w:val="22"/>
          <w:szCs w:val="22"/>
          <w:lang w:eastAsia="en-US"/>
        </w:rPr>
      </w:pPr>
      <w:r w:rsidRPr="00FB01F6">
        <w:rPr>
          <w:rFonts w:ascii="Arial" w:eastAsiaTheme="minorHAnsi" w:hAnsi="Arial" w:cs="Arial"/>
          <w:i/>
          <w:color w:val="000000"/>
          <w:sz w:val="22"/>
          <w:szCs w:val="22"/>
          <w:u w:val="single"/>
          <w:lang w:eastAsia="en-US"/>
        </w:rPr>
        <w:t>Proposal 11–5</w:t>
      </w:r>
      <w:r w:rsidRPr="00FB01F6">
        <w:rPr>
          <w:rFonts w:ascii="Arial" w:eastAsiaTheme="minorHAnsi" w:hAnsi="Arial" w:cs="Arial"/>
          <w:i/>
          <w:color w:val="000000"/>
          <w:sz w:val="22"/>
          <w:szCs w:val="22"/>
          <w:lang w:eastAsia="en-US"/>
        </w:rPr>
        <w:t xml:space="preserve"> A national database should be established to record the outcome and status of employment clearances.</w:t>
      </w:r>
      <w:r w:rsidR="005569E7" w:rsidRPr="00FB01F6">
        <w:rPr>
          <w:rFonts w:ascii="Arial" w:eastAsiaTheme="minorHAnsi" w:hAnsi="Arial" w:cs="Arial"/>
          <w:i/>
          <w:color w:val="000000"/>
          <w:sz w:val="22"/>
          <w:szCs w:val="22"/>
          <w:lang w:eastAsia="en-US"/>
        </w:rPr>
        <w:t xml:space="preserve"> </w:t>
      </w:r>
    </w:p>
    <w:p w:rsidR="007C6156" w:rsidRPr="007C6156" w:rsidRDefault="00093BDD" w:rsidP="00FB01F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proofErr w:type="gramStart"/>
      <w:r w:rsidRPr="00FB01F6">
        <w:rPr>
          <w:rFonts w:ascii="Arial" w:eastAsiaTheme="minorHAnsi" w:hAnsi="Arial" w:cs="Arial"/>
          <w:color w:val="000000"/>
          <w:sz w:val="22"/>
          <w:szCs w:val="22"/>
          <w:lang w:eastAsia="en-US"/>
        </w:rPr>
        <w:t>m</w:t>
      </w:r>
      <w:r w:rsidR="005569E7" w:rsidRPr="00FB01F6">
        <w:rPr>
          <w:rFonts w:ascii="Arial" w:eastAsiaTheme="minorHAnsi" w:hAnsi="Arial" w:cs="Arial"/>
          <w:color w:val="000000"/>
          <w:sz w:val="22"/>
          <w:szCs w:val="22"/>
          <w:lang w:eastAsia="en-US"/>
        </w:rPr>
        <w:t>ecwacare</w:t>
      </w:r>
      <w:proofErr w:type="spellEnd"/>
      <w:proofErr w:type="gramEnd"/>
      <w:r w:rsidR="005569E7" w:rsidRPr="00FB01F6">
        <w:rPr>
          <w:rFonts w:ascii="Arial" w:eastAsiaTheme="minorHAnsi" w:hAnsi="Arial" w:cs="Arial"/>
          <w:color w:val="000000"/>
          <w:sz w:val="22"/>
          <w:szCs w:val="22"/>
          <w:lang w:eastAsia="en-US"/>
        </w:rPr>
        <w:t xml:space="preserve"> </w:t>
      </w:r>
      <w:r w:rsidR="007C6156" w:rsidRPr="00FB01F6">
        <w:rPr>
          <w:rFonts w:ascii="Arial" w:eastAsiaTheme="minorHAnsi" w:hAnsi="Arial" w:cs="Arial"/>
          <w:color w:val="000000"/>
          <w:sz w:val="22"/>
          <w:szCs w:val="22"/>
          <w:lang w:eastAsia="en-US"/>
        </w:rPr>
        <w:t>supports this proposal</w:t>
      </w:r>
      <w:r w:rsidR="005569E7" w:rsidRPr="00FB01F6">
        <w:rPr>
          <w:rFonts w:ascii="Arial" w:eastAsiaTheme="minorHAnsi" w:hAnsi="Arial" w:cs="Arial"/>
          <w:color w:val="000000"/>
          <w:sz w:val="22"/>
          <w:szCs w:val="22"/>
          <w:lang w:eastAsia="en-US"/>
        </w:rPr>
        <w:t xml:space="preserve">, however the management of this system and inherent issues related to privacy of employee information needs to be considered and managed. </w:t>
      </w:r>
    </w:p>
    <w:p w:rsidR="007C6156" w:rsidRPr="007C6156" w:rsidRDefault="007C6156" w:rsidP="007C6156">
      <w:pPr>
        <w:keepNext/>
        <w:spacing w:before="240" w:after="60"/>
        <w:outlineLvl w:val="2"/>
        <w:rPr>
          <w:rFonts w:ascii="Arial" w:eastAsiaTheme="minorHAnsi" w:hAnsi="Arial" w:cs="Arial"/>
          <w:i/>
          <w:color w:val="000000"/>
          <w:sz w:val="22"/>
          <w:szCs w:val="22"/>
          <w:lang w:eastAsia="en-US"/>
        </w:rPr>
      </w:pPr>
      <w:r w:rsidRPr="007C6156">
        <w:rPr>
          <w:rFonts w:ascii="Arial" w:eastAsiaTheme="minorHAnsi" w:hAnsi="Arial" w:cs="Arial"/>
          <w:i/>
          <w:color w:val="000000"/>
          <w:sz w:val="22"/>
          <w:szCs w:val="22"/>
          <w:u w:val="single"/>
          <w:lang w:eastAsia="en-US"/>
        </w:rPr>
        <w:t>Question 11–1</w:t>
      </w:r>
      <w:r w:rsidRPr="007C6156">
        <w:rPr>
          <w:rFonts w:ascii="Arial" w:eastAsiaTheme="minorHAnsi" w:hAnsi="Arial" w:cs="Arial"/>
          <w:i/>
          <w:color w:val="000000"/>
          <w:sz w:val="22"/>
          <w:szCs w:val="22"/>
          <w:lang w:eastAsia="en-US"/>
        </w:rPr>
        <w:t xml:space="preserve"> </w:t>
      </w:r>
      <w:proofErr w:type="gramStart"/>
      <w:r w:rsidRPr="007C6156">
        <w:rPr>
          <w:rFonts w:ascii="Arial" w:eastAsiaTheme="minorHAnsi" w:hAnsi="Arial" w:cs="Arial"/>
          <w:i/>
          <w:color w:val="000000"/>
          <w:sz w:val="22"/>
          <w:szCs w:val="22"/>
          <w:lang w:eastAsia="en-US"/>
        </w:rPr>
        <w:t>Where</w:t>
      </w:r>
      <w:proofErr w:type="gramEnd"/>
      <w:r w:rsidRPr="007C6156">
        <w:rPr>
          <w:rFonts w:ascii="Arial" w:eastAsiaTheme="minorHAnsi" w:hAnsi="Arial" w:cs="Arial"/>
          <w:i/>
          <w:color w:val="000000"/>
          <w:sz w:val="22"/>
          <w:szCs w:val="22"/>
          <w:lang w:eastAsia="en-US"/>
        </w:rPr>
        <w:t xml:space="preserve"> a person is the subject of an adverse finding in respect of a reportable incident, what sort of incident should automatically exclude the person from working in aged care?</w:t>
      </w:r>
    </w:p>
    <w:p w:rsidR="007C6156" w:rsidRPr="007C6156" w:rsidRDefault="00093BDD"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w:t>
      </w:r>
      <w:r w:rsidR="005569E7">
        <w:rPr>
          <w:rFonts w:ascii="Arial" w:eastAsiaTheme="minorHAnsi" w:hAnsi="Arial" w:cs="Arial"/>
          <w:color w:val="000000"/>
          <w:sz w:val="22"/>
          <w:szCs w:val="22"/>
          <w:lang w:eastAsia="en-US"/>
        </w:rPr>
        <w:t>ecwacare</w:t>
      </w:r>
      <w:proofErr w:type="spellEnd"/>
      <w:proofErr w:type="gramEnd"/>
      <w:r w:rsidR="005569E7">
        <w:rPr>
          <w:rFonts w:ascii="Arial" w:eastAsiaTheme="minorHAnsi" w:hAnsi="Arial" w:cs="Arial"/>
          <w:color w:val="000000"/>
          <w:sz w:val="22"/>
          <w:szCs w:val="22"/>
          <w:lang w:eastAsia="en-US"/>
        </w:rPr>
        <w:t xml:space="preserve"> contends that any a</w:t>
      </w:r>
      <w:r w:rsidR="007C6156" w:rsidRPr="007C6156">
        <w:rPr>
          <w:rFonts w:ascii="Arial" w:eastAsiaTheme="minorHAnsi" w:hAnsi="Arial" w:cs="Arial"/>
          <w:color w:val="000000"/>
          <w:sz w:val="22"/>
          <w:szCs w:val="22"/>
          <w:lang w:eastAsia="en-US"/>
        </w:rPr>
        <w:t>dverse finding</w:t>
      </w:r>
      <w:r w:rsidR="005569E7">
        <w:rPr>
          <w:rFonts w:ascii="Arial" w:eastAsiaTheme="minorHAnsi" w:hAnsi="Arial" w:cs="Arial"/>
          <w:color w:val="000000"/>
          <w:sz w:val="22"/>
          <w:szCs w:val="22"/>
          <w:lang w:eastAsia="en-US"/>
        </w:rPr>
        <w:t>(</w:t>
      </w:r>
      <w:r w:rsidR="007C6156" w:rsidRPr="007C6156">
        <w:rPr>
          <w:rFonts w:ascii="Arial" w:eastAsiaTheme="minorHAnsi" w:hAnsi="Arial" w:cs="Arial"/>
          <w:color w:val="000000"/>
          <w:sz w:val="22"/>
          <w:szCs w:val="22"/>
          <w:lang w:eastAsia="en-US"/>
        </w:rPr>
        <w:t>s</w:t>
      </w:r>
      <w:r w:rsidR="005569E7">
        <w:rPr>
          <w:rFonts w:ascii="Arial" w:eastAsiaTheme="minorHAnsi" w:hAnsi="Arial" w:cs="Arial"/>
          <w:color w:val="000000"/>
          <w:sz w:val="22"/>
          <w:szCs w:val="22"/>
          <w:lang w:eastAsia="en-US"/>
        </w:rPr>
        <w:t>)</w:t>
      </w:r>
      <w:r w:rsidR="007C6156" w:rsidRPr="007C6156">
        <w:rPr>
          <w:rFonts w:ascii="Arial" w:eastAsiaTheme="minorHAnsi" w:hAnsi="Arial" w:cs="Arial"/>
          <w:color w:val="000000"/>
          <w:sz w:val="22"/>
          <w:szCs w:val="22"/>
          <w:lang w:eastAsia="en-US"/>
        </w:rPr>
        <w:t xml:space="preserve"> in relation to allegations of physical assault, sexual misconduct or assault, theft and financial abuse</w:t>
      </w:r>
      <w:r w:rsidR="005569E7">
        <w:rPr>
          <w:rFonts w:ascii="Arial" w:eastAsiaTheme="minorHAnsi" w:hAnsi="Arial" w:cs="Arial"/>
          <w:color w:val="000000"/>
          <w:sz w:val="22"/>
          <w:szCs w:val="22"/>
          <w:lang w:eastAsia="en-US"/>
        </w:rPr>
        <w:t xml:space="preserve"> and/or fraud, and neglect </w:t>
      </w:r>
      <w:r w:rsidR="007C6156" w:rsidRPr="007C6156">
        <w:rPr>
          <w:rFonts w:ascii="Arial" w:eastAsiaTheme="minorHAnsi" w:hAnsi="Arial" w:cs="Arial"/>
          <w:color w:val="000000"/>
          <w:sz w:val="22"/>
          <w:szCs w:val="22"/>
          <w:lang w:eastAsia="en-US"/>
        </w:rPr>
        <w:t>should automatically exclude the person from working in aged care.</w:t>
      </w:r>
      <w:r w:rsidR="005569E7">
        <w:rPr>
          <w:rFonts w:ascii="Arial" w:eastAsiaTheme="minorHAnsi" w:hAnsi="Arial" w:cs="Arial"/>
          <w:color w:val="000000"/>
          <w:sz w:val="22"/>
          <w:szCs w:val="22"/>
          <w:lang w:eastAsia="en-US"/>
        </w:rPr>
        <w:t xml:space="preserve"> This needs to be extended to any regulatory body review and adverse finding with consideration of periods of exclusion. </w:t>
      </w:r>
    </w:p>
    <w:p w:rsidR="007C6156" w:rsidRPr="007C6156" w:rsidRDefault="007C6156" w:rsidP="007C6156">
      <w:pPr>
        <w:keepNext/>
        <w:spacing w:before="240" w:after="60"/>
        <w:outlineLvl w:val="2"/>
        <w:rPr>
          <w:rFonts w:ascii="Arial" w:eastAsiaTheme="minorHAnsi" w:hAnsi="Arial" w:cs="Arial"/>
          <w:i/>
          <w:color w:val="000000"/>
          <w:sz w:val="22"/>
          <w:szCs w:val="22"/>
          <w:lang w:eastAsia="en-US"/>
        </w:rPr>
      </w:pPr>
      <w:r w:rsidRPr="007C6156">
        <w:rPr>
          <w:rFonts w:ascii="Arial" w:eastAsiaTheme="minorHAnsi" w:hAnsi="Arial" w:cs="Arial"/>
          <w:i/>
          <w:color w:val="000000"/>
          <w:sz w:val="22"/>
          <w:szCs w:val="22"/>
          <w:u w:val="single"/>
          <w:lang w:eastAsia="en-US"/>
        </w:rPr>
        <w:t>Question 11–2</w:t>
      </w:r>
      <w:r w:rsidRPr="007C6156">
        <w:rPr>
          <w:rFonts w:ascii="Arial" w:eastAsiaTheme="minorHAnsi" w:hAnsi="Arial" w:cs="Arial"/>
          <w:i/>
          <w:color w:val="000000"/>
          <w:sz w:val="22"/>
          <w:szCs w:val="22"/>
          <w:lang w:eastAsia="en-US"/>
        </w:rPr>
        <w:t xml:space="preserve"> </w:t>
      </w:r>
      <w:proofErr w:type="gramStart"/>
      <w:r w:rsidRPr="007C6156">
        <w:rPr>
          <w:rFonts w:ascii="Arial" w:eastAsiaTheme="minorHAnsi" w:hAnsi="Arial" w:cs="Arial"/>
          <w:i/>
          <w:color w:val="000000"/>
          <w:sz w:val="22"/>
          <w:szCs w:val="22"/>
          <w:lang w:eastAsia="en-US"/>
        </w:rPr>
        <w:t>How</w:t>
      </w:r>
      <w:proofErr w:type="gramEnd"/>
      <w:r w:rsidRPr="007C6156">
        <w:rPr>
          <w:rFonts w:ascii="Arial" w:eastAsiaTheme="minorHAnsi" w:hAnsi="Arial" w:cs="Arial"/>
          <w:i/>
          <w:color w:val="000000"/>
          <w:sz w:val="22"/>
          <w:szCs w:val="22"/>
          <w:lang w:eastAsia="en-US"/>
        </w:rPr>
        <w:t xml:space="preserve"> long should an employment clearance remain valid?</w:t>
      </w:r>
    </w:p>
    <w:p w:rsidR="007C6156" w:rsidRDefault="005569E7"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mecwacare</w:t>
      </w:r>
      <w:proofErr w:type="spellEnd"/>
      <w:proofErr w:type="gramEnd"/>
      <w:r>
        <w:rPr>
          <w:rFonts w:ascii="Arial" w:eastAsiaTheme="minorHAnsi" w:hAnsi="Arial" w:cs="Arial"/>
          <w:color w:val="000000"/>
          <w:sz w:val="22"/>
          <w:szCs w:val="22"/>
          <w:lang w:eastAsia="en-US"/>
        </w:rPr>
        <w:t xml:space="preserve"> </w:t>
      </w:r>
      <w:r w:rsidR="007C6156" w:rsidRPr="007C6156">
        <w:rPr>
          <w:rFonts w:ascii="Arial" w:eastAsiaTheme="minorHAnsi" w:hAnsi="Arial" w:cs="Arial"/>
          <w:color w:val="000000"/>
          <w:sz w:val="22"/>
          <w:szCs w:val="22"/>
          <w:lang w:eastAsia="en-US"/>
        </w:rPr>
        <w:t>would support the clearance remaining current for a</w:t>
      </w:r>
      <w:r w:rsidR="001E4134">
        <w:rPr>
          <w:rFonts w:ascii="Arial" w:eastAsiaTheme="minorHAnsi" w:hAnsi="Arial" w:cs="Arial"/>
          <w:color w:val="000000"/>
          <w:sz w:val="22"/>
          <w:szCs w:val="22"/>
          <w:lang w:eastAsia="en-US"/>
        </w:rPr>
        <w:t xml:space="preserve"> period of three to</w:t>
      </w:r>
      <w:r w:rsidR="007C6156" w:rsidRPr="007C6156">
        <w:rPr>
          <w:rFonts w:ascii="Arial" w:eastAsiaTheme="minorHAnsi" w:hAnsi="Arial" w:cs="Arial"/>
          <w:color w:val="000000"/>
          <w:sz w:val="22"/>
          <w:szCs w:val="22"/>
          <w:lang w:eastAsia="en-US"/>
        </w:rPr>
        <w:t xml:space="preserve"> five-year</w:t>
      </w:r>
      <w:r w:rsidR="001E4134">
        <w:rPr>
          <w:rFonts w:ascii="Arial" w:eastAsiaTheme="minorHAnsi" w:hAnsi="Arial" w:cs="Arial"/>
          <w:color w:val="000000"/>
          <w:sz w:val="22"/>
          <w:szCs w:val="22"/>
          <w:lang w:eastAsia="en-US"/>
        </w:rPr>
        <w:t>s</w:t>
      </w:r>
      <w:r w:rsidR="007C6156" w:rsidRPr="007C6156">
        <w:rPr>
          <w:rFonts w:ascii="Arial" w:eastAsiaTheme="minorHAnsi" w:hAnsi="Arial" w:cs="Arial"/>
          <w:color w:val="000000"/>
          <w:sz w:val="22"/>
          <w:szCs w:val="22"/>
          <w:lang w:eastAsia="en-US"/>
        </w:rPr>
        <w:t>.</w:t>
      </w:r>
    </w:p>
    <w:p w:rsidR="001E4134" w:rsidRDefault="001E4134"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The management of this system needs consideration related to notification and removal of employee clearance issues. </w:t>
      </w:r>
    </w:p>
    <w:p w:rsidR="007C6156" w:rsidRPr="007C6156" w:rsidRDefault="007C6156" w:rsidP="007C6156">
      <w:pPr>
        <w:keepNext/>
        <w:spacing w:before="240" w:after="60"/>
        <w:outlineLvl w:val="2"/>
        <w:rPr>
          <w:rFonts w:ascii="Arial" w:eastAsiaTheme="minorHAnsi" w:hAnsi="Arial" w:cs="Arial"/>
          <w:i/>
          <w:color w:val="000000"/>
          <w:sz w:val="22"/>
          <w:szCs w:val="22"/>
          <w:lang w:eastAsia="en-US"/>
        </w:rPr>
      </w:pPr>
      <w:r w:rsidRPr="007C6156">
        <w:rPr>
          <w:rFonts w:ascii="Arial" w:eastAsiaTheme="minorHAnsi" w:hAnsi="Arial" w:cs="Arial"/>
          <w:i/>
          <w:color w:val="000000"/>
          <w:sz w:val="22"/>
          <w:szCs w:val="22"/>
          <w:u w:val="single"/>
          <w:lang w:eastAsia="en-US"/>
        </w:rPr>
        <w:t>Question 11–3</w:t>
      </w:r>
      <w:r w:rsidRPr="007C6156">
        <w:rPr>
          <w:rFonts w:ascii="Arial" w:eastAsiaTheme="minorHAnsi" w:hAnsi="Arial" w:cs="Arial"/>
          <w:i/>
          <w:color w:val="000000"/>
          <w:sz w:val="22"/>
          <w:szCs w:val="22"/>
          <w:lang w:eastAsia="en-US"/>
        </w:rPr>
        <w:t xml:space="preserve"> Are there further offences which should preclude a person from employment in aged care?</w:t>
      </w:r>
    </w:p>
    <w:p w:rsidR="007C6156" w:rsidRPr="007C6156" w:rsidRDefault="007C6156"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r w:rsidRPr="007C6156">
        <w:rPr>
          <w:rFonts w:ascii="Arial" w:eastAsiaTheme="minorHAnsi" w:hAnsi="Arial" w:cs="Arial"/>
          <w:color w:val="000000"/>
          <w:sz w:val="22"/>
          <w:szCs w:val="22"/>
          <w:lang w:eastAsia="en-US"/>
        </w:rPr>
        <w:t>Currently the Aged Care Act 1997 (</w:t>
      </w:r>
      <w:proofErr w:type="spellStart"/>
      <w:r w:rsidRPr="007C6156">
        <w:rPr>
          <w:rFonts w:ascii="Arial" w:eastAsiaTheme="minorHAnsi" w:hAnsi="Arial" w:cs="Arial"/>
          <w:color w:val="000000"/>
          <w:sz w:val="22"/>
          <w:szCs w:val="22"/>
          <w:lang w:eastAsia="en-US"/>
        </w:rPr>
        <w:t>Cth</w:t>
      </w:r>
      <w:proofErr w:type="spellEnd"/>
      <w:r w:rsidRPr="007C6156">
        <w:rPr>
          <w:rFonts w:ascii="Arial" w:eastAsiaTheme="minorHAnsi" w:hAnsi="Arial" w:cs="Arial"/>
          <w:color w:val="000000"/>
          <w:sz w:val="22"/>
          <w:szCs w:val="22"/>
          <w:lang w:eastAsia="en-US"/>
        </w:rPr>
        <w:t xml:space="preserve">) precludes non-executive staff from employment in aged care if they have been convicted of murder, sexual assault or other assault where the sentence included a term of imprisonment. </w:t>
      </w:r>
      <w:proofErr w:type="spellStart"/>
      <w:proofErr w:type="gramStart"/>
      <w:r w:rsidR="00FB01F6">
        <w:rPr>
          <w:rFonts w:ascii="Arial" w:eastAsiaTheme="minorHAnsi" w:hAnsi="Arial" w:cs="Arial"/>
          <w:color w:val="000000"/>
          <w:sz w:val="22"/>
          <w:szCs w:val="22"/>
          <w:lang w:eastAsia="en-US"/>
        </w:rPr>
        <w:t>m</w:t>
      </w:r>
      <w:r w:rsidR="001E4134">
        <w:rPr>
          <w:rFonts w:ascii="Arial" w:eastAsiaTheme="minorHAnsi" w:hAnsi="Arial" w:cs="Arial"/>
          <w:color w:val="000000"/>
          <w:sz w:val="22"/>
          <w:szCs w:val="22"/>
          <w:lang w:eastAsia="en-US"/>
        </w:rPr>
        <w:t>ecwacare</w:t>
      </w:r>
      <w:proofErr w:type="spellEnd"/>
      <w:proofErr w:type="gramEnd"/>
      <w:r w:rsidR="001E4134">
        <w:rPr>
          <w:rFonts w:ascii="Arial" w:eastAsiaTheme="minorHAnsi" w:hAnsi="Arial" w:cs="Arial"/>
          <w:color w:val="000000"/>
          <w:sz w:val="22"/>
          <w:szCs w:val="22"/>
          <w:lang w:eastAsia="en-US"/>
        </w:rPr>
        <w:t xml:space="preserve"> proposes that any </w:t>
      </w:r>
      <w:r w:rsidRPr="007C6156">
        <w:rPr>
          <w:rFonts w:ascii="Arial" w:eastAsiaTheme="minorHAnsi" w:hAnsi="Arial" w:cs="Arial"/>
          <w:color w:val="000000"/>
          <w:sz w:val="22"/>
          <w:szCs w:val="22"/>
          <w:lang w:eastAsia="en-US"/>
        </w:rPr>
        <w:t xml:space="preserve">convictions for physical assault </w:t>
      </w:r>
      <w:r w:rsidR="001E4134">
        <w:rPr>
          <w:rFonts w:ascii="Arial" w:eastAsiaTheme="minorHAnsi" w:hAnsi="Arial" w:cs="Arial"/>
          <w:color w:val="000000"/>
          <w:sz w:val="22"/>
          <w:szCs w:val="22"/>
          <w:lang w:eastAsia="en-US"/>
        </w:rPr>
        <w:t xml:space="preserve">/ crime against person </w:t>
      </w:r>
      <w:r w:rsidRPr="007C6156">
        <w:rPr>
          <w:rFonts w:ascii="Arial" w:eastAsiaTheme="minorHAnsi" w:hAnsi="Arial" w:cs="Arial"/>
          <w:color w:val="000000"/>
          <w:sz w:val="22"/>
          <w:szCs w:val="22"/>
          <w:lang w:eastAsia="en-US"/>
        </w:rPr>
        <w:t>and fraud should also prevent a person from working in the sector.</w:t>
      </w:r>
    </w:p>
    <w:p w:rsidR="007C6156" w:rsidRPr="007C6156" w:rsidRDefault="007C6156" w:rsidP="007C6156">
      <w:pPr>
        <w:keepNext/>
        <w:spacing w:before="240" w:after="60"/>
        <w:outlineLvl w:val="2"/>
        <w:rPr>
          <w:rFonts w:ascii="Arial" w:eastAsiaTheme="minorHAnsi" w:hAnsi="Arial" w:cs="Arial"/>
          <w:color w:val="000000"/>
          <w:sz w:val="22"/>
          <w:szCs w:val="22"/>
          <w:lang w:eastAsia="en-US"/>
        </w:rPr>
      </w:pPr>
      <w:r w:rsidRPr="007C6156">
        <w:rPr>
          <w:rFonts w:ascii="Arial" w:eastAsiaTheme="minorHAnsi" w:hAnsi="Arial" w:cs="Arial"/>
          <w:color w:val="000000"/>
          <w:sz w:val="22"/>
          <w:szCs w:val="22"/>
          <w:u w:val="single"/>
          <w:lang w:eastAsia="en-US"/>
        </w:rPr>
        <w:lastRenderedPageBreak/>
        <w:t>Proposal 11–</w:t>
      </w:r>
      <w:proofErr w:type="gramStart"/>
      <w:r w:rsidRPr="007C6156">
        <w:rPr>
          <w:rFonts w:ascii="Arial" w:eastAsiaTheme="minorHAnsi" w:hAnsi="Arial" w:cs="Arial"/>
          <w:color w:val="000000"/>
          <w:sz w:val="22"/>
          <w:szCs w:val="22"/>
          <w:u w:val="single"/>
          <w:lang w:eastAsia="en-US"/>
        </w:rPr>
        <w:t>6</w:t>
      </w:r>
      <w:r w:rsidRPr="007C6156">
        <w:rPr>
          <w:rFonts w:ascii="Arial" w:eastAsiaTheme="minorHAnsi" w:hAnsi="Arial" w:cs="Arial"/>
          <w:color w:val="000000"/>
          <w:sz w:val="22"/>
          <w:szCs w:val="22"/>
          <w:lang w:eastAsia="en-US"/>
        </w:rPr>
        <w:t xml:space="preserve"> </w:t>
      </w:r>
      <w:r w:rsidR="00FB01F6">
        <w:rPr>
          <w:rFonts w:ascii="Arial" w:eastAsiaTheme="minorHAnsi" w:hAnsi="Arial" w:cs="Arial"/>
          <w:color w:val="000000"/>
          <w:sz w:val="22"/>
          <w:szCs w:val="22"/>
          <w:lang w:eastAsia="en-US"/>
        </w:rPr>
        <w:t xml:space="preserve"> </w:t>
      </w:r>
      <w:r w:rsidRPr="007C6156">
        <w:rPr>
          <w:rFonts w:ascii="Arial" w:eastAsiaTheme="minorHAnsi" w:hAnsi="Arial" w:cs="Arial"/>
          <w:color w:val="000000"/>
          <w:sz w:val="22"/>
          <w:szCs w:val="22"/>
          <w:lang w:eastAsia="en-US"/>
        </w:rPr>
        <w:t>Unregistered</w:t>
      </w:r>
      <w:proofErr w:type="gramEnd"/>
      <w:r w:rsidRPr="007C6156">
        <w:rPr>
          <w:rFonts w:ascii="Arial" w:eastAsiaTheme="minorHAnsi" w:hAnsi="Arial" w:cs="Arial"/>
          <w:color w:val="000000"/>
          <w:sz w:val="22"/>
          <w:szCs w:val="22"/>
          <w:lang w:eastAsia="en-US"/>
        </w:rPr>
        <w:t xml:space="preserve"> aged care workers who provide direct care should be subject to the planned National Code of Conduct for Health Care Workers.</w:t>
      </w:r>
    </w:p>
    <w:p w:rsidR="007C6156" w:rsidRDefault="00CF1A55"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w:t>
      </w:r>
      <w:r w:rsidR="001E4134">
        <w:rPr>
          <w:rFonts w:ascii="Arial" w:eastAsiaTheme="minorHAnsi" w:hAnsi="Arial" w:cs="Arial"/>
          <w:color w:val="000000"/>
          <w:sz w:val="22"/>
          <w:szCs w:val="22"/>
          <w:lang w:eastAsia="en-US"/>
        </w:rPr>
        <w:t>ecwacare</w:t>
      </w:r>
      <w:proofErr w:type="spellEnd"/>
      <w:proofErr w:type="gramEnd"/>
      <w:r w:rsidR="001E4134">
        <w:rPr>
          <w:rFonts w:ascii="Arial" w:eastAsiaTheme="minorHAnsi" w:hAnsi="Arial" w:cs="Arial"/>
          <w:color w:val="000000"/>
          <w:sz w:val="22"/>
          <w:szCs w:val="22"/>
          <w:lang w:eastAsia="en-US"/>
        </w:rPr>
        <w:t xml:space="preserve"> </w:t>
      </w:r>
      <w:r w:rsidR="007C6156" w:rsidRPr="007C6156">
        <w:rPr>
          <w:rFonts w:ascii="Arial" w:eastAsiaTheme="minorHAnsi" w:hAnsi="Arial" w:cs="Arial"/>
          <w:color w:val="000000"/>
          <w:sz w:val="22"/>
          <w:szCs w:val="22"/>
          <w:lang w:eastAsia="en-US"/>
        </w:rPr>
        <w:t>supports this proposal.</w:t>
      </w:r>
    </w:p>
    <w:p w:rsidR="007C6156" w:rsidRPr="007C6156" w:rsidRDefault="001E4134" w:rsidP="007C6156">
      <w:pPr>
        <w:keepNext/>
        <w:spacing w:before="240" w:after="60"/>
        <w:outlineLvl w:val="2"/>
        <w:rPr>
          <w:rFonts w:ascii="Arial" w:eastAsiaTheme="minorHAnsi" w:hAnsi="Arial" w:cs="Arial"/>
          <w:color w:val="000000"/>
          <w:sz w:val="22"/>
          <w:szCs w:val="22"/>
          <w:lang w:eastAsia="en-US"/>
        </w:rPr>
      </w:pPr>
      <w:r>
        <w:rPr>
          <w:rFonts w:ascii="Arial" w:eastAsiaTheme="minorHAnsi" w:hAnsi="Arial" w:cs="Arial"/>
          <w:color w:val="000000"/>
          <w:sz w:val="22"/>
          <w:szCs w:val="22"/>
          <w:u w:val="single"/>
          <w:lang w:eastAsia="en-US"/>
        </w:rPr>
        <w:t>P</w:t>
      </w:r>
      <w:r w:rsidR="007C6156" w:rsidRPr="007C6156">
        <w:rPr>
          <w:rFonts w:ascii="Arial" w:eastAsiaTheme="minorHAnsi" w:hAnsi="Arial" w:cs="Arial"/>
          <w:color w:val="000000"/>
          <w:sz w:val="22"/>
          <w:szCs w:val="22"/>
          <w:u w:val="single"/>
          <w:lang w:eastAsia="en-US"/>
        </w:rPr>
        <w:t>roposal 11–7</w:t>
      </w:r>
      <w:r w:rsidR="007C6156" w:rsidRPr="007C6156">
        <w:rPr>
          <w:rFonts w:ascii="Arial" w:eastAsiaTheme="minorHAnsi" w:hAnsi="Arial" w:cs="Arial"/>
          <w:color w:val="000000"/>
          <w:sz w:val="22"/>
          <w:szCs w:val="22"/>
          <w:lang w:eastAsia="en-US"/>
        </w:rPr>
        <w:t xml:space="preserve"> The Aged Care Act 1997 (</w:t>
      </w:r>
      <w:proofErr w:type="spellStart"/>
      <w:r w:rsidR="007C6156" w:rsidRPr="007C6156">
        <w:rPr>
          <w:rFonts w:ascii="Arial" w:eastAsiaTheme="minorHAnsi" w:hAnsi="Arial" w:cs="Arial"/>
          <w:color w:val="000000"/>
          <w:sz w:val="22"/>
          <w:szCs w:val="22"/>
          <w:lang w:eastAsia="en-US"/>
        </w:rPr>
        <w:t>Cth</w:t>
      </w:r>
      <w:proofErr w:type="spellEnd"/>
      <w:r w:rsidR="007C6156" w:rsidRPr="007C6156">
        <w:rPr>
          <w:rFonts w:ascii="Arial" w:eastAsiaTheme="minorHAnsi" w:hAnsi="Arial" w:cs="Arial"/>
          <w:color w:val="000000"/>
          <w:sz w:val="22"/>
          <w:szCs w:val="22"/>
          <w:lang w:eastAsia="en-US"/>
        </w:rPr>
        <w:t>) should regulate the use of restrictive practices in residential aged care. The Act should provide that restrictive practices only be used:(a) when necessary to prevent physical harm;</w:t>
      </w:r>
      <w:r>
        <w:rPr>
          <w:rFonts w:ascii="Arial" w:eastAsiaTheme="minorHAnsi" w:hAnsi="Arial" w:cs="Arial"/>
          <w:color w:val="000000"/>
          <w:sz w:val="22"/>
          <w:szCs w:val="22"/>
          <w:lang w:eastAsia="en-US"/>
        </w:rPr>
        <w:t xml:space="preserve"> </w:t>
      </w:r>
      <w:r w:rsidR="007C6156" w:rsidRPr="007C6156">
        <w:rPr>
          <w:rFonts w:ascii="Arial" w:eastAsiaTheme="minorHAnsi" w:hAnsi="Arial" w:cs="Arial"/>
          <w:color w:val="000000"/>
          <w:sz w:val="22"/>
          <w:szCs w:val="22"/>
          <w:lang w:eastAsia="en-US"/>
        </w:rPr>
        <w:t>(b) to the extent necessary to prevent the harm;</w:t>
      </w:r>
      <w:r>
        <w:rPr>
          <w:rFonts w:ascii="Arial" w:eastAsiaTheme="minorHAnsi" w:hAnsi="Arial" w:cs="Arial"/>
          <w:color w:val="000000"/>
          <w:sz w:val="22"/>
          <w:szCs w:val="22"/>
          <w:lang w:eastAsia="en-US"/>
        </w:rPr>
        <w:t xml:space="preserve"> </w:t>
      </w:r>
      <w:r w:rsidR="007C6156" w:rsidRPr="007C6156">
        <w:rPr>
          <w:rFonts w:ascii="Arial" w:eastAsiaTheme="minorHAnsi" w:hAnsi="Arial" w:cs="Arial"/>
          <w:color w:val="000000"/>
          <w:sz w:val="22"/>
          <w:szCs w:val="22"/>
          <w:lang w:eastAsia="en-US"/>
        </w:rPr>
        <w:t>(c) with the approval of an independent decision maker, such as a senior clinician, with statutory authority to make this decision; and</w:t>
      </w:r>
      <w:r>
        <w:rPr>
          <w:rFonts w:ascii="Arial" w:eastAsiaTheme="minorHAnsi" w:hAnsi="Arial" w:cs="Arial"/>
          <w:color w:val="000000"/>
          <w:sz w:val="22"/>
          <w:szCs w:val="22"/>
          <w:lang w:eastAsia="en-US"/>
        </w:rPr>
        <w:t xml:space="preserve"> </w:t>
      </w:r>
      <w:r w:rsidR="007C6156" w:rsidRPr="007C6156">
        <w:rPr>
          <w:rFonts w:ascii="Arial" w:eastAsiaTheme="minorHAnsi" w:hAnsi="Arial" w:cs="Arial"/>
          <w:color w:val="000000"/>
          <w:sz w:val="22"/>
          <w:szCs w:val="22"/>
          <w:lang w:eastAsia="en-US"/>
        </w:rPr>
        <w:t>(d) as prescribed in a person’s behaviour management plan.</w:t>
      </w:r>
    </w:p>
    <w:p w:rsidR="001E4134" w:rsidRDefault="00CF1A55" w:rsidP="007C6156">
      <w:pPr>
        <w:widowControl w:val="0"/>
        <w:tabs>
          <w:tab w:val="left" w:pos="567"/>
          <w:tab w:val="left" w:pos="1134"/>
          <w:tab w:val="left" w:pos="1701"/>
          <w:tab w:val="left" w:pos="2268"/>
        </w:tabs>
        <w:autoSpaceDE w:val="0"/>
        <w:autoSpaceDN w:val="0"/>
        <w:spacing w:before="120" w:after="120"/>
        <w:jc w:val="both"/>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w:t>
      </w:r>
      <w:r w:rsidR="001E4134">
        <w:rPr>
          <w:rFonts w:ascii="Arial" w:eastAsiaTheme="minorHAnsi" w:hAnsi="Arial" w:cs="Arial"/>
          <w:color w:val="000000"/>
          <w:sz w:val="22"/>
          <w:szCs w:val="22"/>
          <w:lang w:eastAsia="en-US"/>
        </w:rPr>
        <w:t>ecwacare</w:t>
      </w:r>
      <w:proofErr w:type="spellEnd"/>
      <w:proofErr w:type="gramEnd"/>
      <w:r w:rsidR="001E4134">
        <w:rPr>
          <w:rFonts w:ascii="Arial" w:eastAsiaTheme="minorHAnsi" w:hAnsi="Arial" w:cs="Arial"/>
          <w:color w:val="000000"/>
          <w:sz w:val="22"/>
          <w:szCs w:val="22"/>
          <w:lang w:eastAsia="en-US"/>
        </w:rPr>
        <w:t xml:space="preserve"> does not support the referral to a senior external clinician with statutory authority to make restraint decisions. Aged care provider must have suitably skilled and qualified staff on site as part of compliance with the Aged care act 1988 accreditation principles. As such the home is required to have staff with sufficient skills and capacity to manage care recipient clinical needs and preferences. The definition of a prescriptive legislative requirement to regulate restrictive practices will not provide the immediate onsite advice and support for staff in the delivery of safe and competent care. R</w:t>
      </w:r>
      <w:r w:rsidR="001E4134" w:rsidRPr="007C6156">
        <w:rPr>
          <w:rFonts w:ascii="Arial" w:eastAsiaTheme="minorHAnsi" w:hAnsi="Arial" w:cs="Arial"/>
          <w:color w:val="000000"/>
          <w:sz w:val="22"/>
          <w:szCs w:val="22"/>
          <w:lang w:eastAsia="en-US"/>
        </w:rPr>
        <w:t xml:space="preserve">ecently released NDIS Quality and Safeguarding Framework </w:t>
      </w:r>
      <w:proofErr w:type="gramStart"/>
      <w:r w:rsidR="001E4134" w:rsidRPr="007C6156">
        <w:rPr>
          <w:rFonts w:ascii="Arial" w:eastAsiaTheme="minorHAnsi" w:hAnsi="Arial" w:cs="Arial"/>
          <w:color w:val="000000"/>
          <w:sz w:val="22"/>
          <w:szCs w:val="22"/>
          <w:lang w:eastAsia="en-US"/>
        </w:rPr>
        <w:t>contains</w:t>
      </w:r>
      <w:proofErr w:type="gramEnd"/>
      <w:r w:rsidR="001E4134" w:rsidRPr="007C6156">
        <w:rPr>
          <w:rFonts w:ascii="Arial" w:eastAsiaTheme="minorHAnsi" w:hAnsi="Arial" w:cs="Arial"/>
          <w:color w:val="000000"/>
          <w:sz w:val="22"/>
          <w:szCs w:val="22"/>
          <w:lang w:eastAsia="en-US"/>
        </w:rPr>
        <w:t xml:space="preserve"> the new role of Senior Practitioner.</w:t>
      </w:r>
      <w:r w:rsidR="001E4134" w:rsidRPr="00DF13C8">
        <w:rPr>
          <w:rFonts w:ascii="Arial" w:eastAsiaTheme="minorHAnsi" w:hAnsi="Arial" w:cs="Arial"/>
          <w:color w:val="000000"/>
          <w:sz w:val="22"/>
          <w:szCs w:val="22"/>
          <w:lang w:eastAsia="en-US"/>
        </w:rPr>
        <w:footnoteReference w:id="5"/>
      </w:r>
      <w:r w:rsidR="001E4134" w:rsidRPr="007C6156">
        <w:rPr>
          <w:rFonts w:ascii="Arial" w:eastAsiaTheme="minorHAnsi" w:hAnsi="Arial" w:cs="Arial"/>
          <w:color w:val="000000"/>
          <w:sz w:val="22"/>
          <w:szCs w:val="22"/>
          <w:lang w:eastAsia="en-US"/>
        </w:rPr>
        <w:t xml:space="preserve"> It would make sense for the ALRC to consider whether this role should be extende</w:t>
      </w:r>
      <w:r w:rsidR="001E4134">
        <w:rPr>
          <w:rFonts w:ascii="Arial" w:eastAsiaTheme="minorHAnsi" w:hAnsi="Arial" w:cs="Arial"/>
          <w:color w:val="000000"/>
          <w:sz w:val="22"/>
          <w:szCs w:val="22"/>
          <w:lang w:eastAsia="en-US"/>
        </w:rPr>
        <w:t xml:space="preserve">d to cover the aged-care sector for the provision of support and advice only. </w:t>
      </w:r>
    </w:p>
    <w:p w:rsidR="00093BDD" w:rsidRDefault="007C6156" w:rsidP="007C6156">
      <w:pPr>
        <w:widowControl w:val="0"/>
        <w:tabs>
          <w:tab w:val="left" w:pos="567"/>
          <w:tab w:val="left" w:pos="1134"/>
          <w:tab w:val="left" w:pos="1701"/>
          <w:tab w:val="left" w:pos="2268"/>
        </w:tabs>
        <w:autoSpaceDE w:val="0"/>
        <w:autoSpaceDN w:val="0"/>
        <w:spacing w:before="100" w:beforeAutospacing="1" w:after="100" w:afterAutospacing="1"/>
        <w:jc w:val="both"/>
        <w:rPr>
          <w:rFonts w:ascii="Arial" w:eastAsiaTheme="minorHAnsi" w:hAnsi="Arial" w:cs="Arial"/>
          <w:color w:val="000000"/>
          <w:sz w:val="22"/>
          <w:szCs w:val="22"/>
          <w:lang w:eastAsia="en-US"/>
        </w:rPr>
      </w:pPr>
      <w:r w:rsidRPr="007C6156">
        <w:rPr>
          <w:rFonts w:ascii="Arial" w:eastAsiaTheme="minorHAnsi" w:hAnsi="Arial" w:cs="Arial"/>
          <w:color w:val="000000"/>
          <w:sz w:val="22"/>
          <w:szCs w:val="22"/>
          <w:u w:val="single"/>
          <w:lang w:eastAsia="en-US"/>
        </w:rPr>
        <w:t>Proposals 11.10 and 11.11</w:t>
      </w:r>
      <w:r w:rsidRPr="007C6156">
        <w:rPr>
          <w:rFonts w:ascii="Arial" w:eastAsiaTheme="minorHAnsi" w:hAnsi="Arial" w:cs="Arial"/>
          <w:color w:val="000000"/>
          <w:sz w:val="22"/>
          <w:szCs w:val="22"/>
          <w:lang w:eastAsia="en-US"/>
        </w:rPr>
        <w:t xml:space="preserve"> – </w:t>
      </w:r>
    </w:p>
    <w:p w:rsidR="007C6156" w:rsidRPr="007C6156" w:rsidRDefault="00093BDD" w:rsidP="007C6156">
      <w:pPr>
        <w:widowControl w:val="0"/>
        <w:tabs>
          <w:tab w:val="left" w:pos="567"/>
          <w:tab w:val="left" w:pos="1134"/>
          <w:tab w:val="left" w:pos="1701"/>
          <w:tab w:val="left" w:pos="2268"/>
        </w:tabs>
        <w:autoSpaceDE w:val="0"/>
        <w:autoSpaceDN w:val="0"/>
        <w:spacing w:before="100" w:beforeAutospacing="1" w:after="100" w:afterAutospacing="1"/>
        <w:jc w:val="both"/>
        <w:rPr>
          <w:rFonts w:ascii="Arial" w:eastAsiaTheme="minorHAnsi" w:hAnsi="Arial" w:cs="Arial"/>
          <w:color w:val="000000"/>
          <w:sz w:val="22"/>
          <w:szCs w:val="22"/>
          <w:lang w:eastAsia="en-US"/>
        </w:rPr>
      </w:pPr>
      <w:proofErr w:type="spellStart"/>
      <w:proofErr w:type="gramStart"/>
      <w:r w:rsidRPr="00093BDD">
        <w:rPr>
          <w:rFonts w:ascii="Arial" w:eastAsiaTheme="minorHAnsi" w:hAnsi="Arial" w:cs="Arial"/>
          <w:color w:val="000000"/>
          <w:sz w:val="22"/>
          <w:szCs w:val="22"/>
          <w:lang w:eastAsia="en-US"/>
        </w:rPr>
        <w:t>mecwacare</w:t>
      </w:r>
      <w:proofErr w:type="spellEnd"/>
      <w:proofErr w:type="gramEnd"/>
      <w:r w:rsidRPr="00093BDD">
        <w:rPr>
          <w:rFonts w:ascii="Arial" w:eastAsiaTheme="minorHAnsi" w:hAnsi="Arial" w:cs="Arial"/>
          <w:color w:val="000000"/>
          <w:sz w:val="22"/>
          <w:szCs w:val="22"/>
          <w:lang w:eastAsia="en-US"/>
        </w:rPr>
        <w:t xml:space="preserve"> rejects these proposals as this would add significant administrative and cost burden to the industry with duplication of processes with the Australian Aged Care Quality Agency and cost of audit. </w:t>
      </w:r>
      <w:r w:rsidR="007C6156" w:rsidRPr="007C6156">
        <w:rPr>
          <w:rFonts w:ascii="Arial" w:eastAsiaTheme="minorHAnsi" w:hAnsi="Arial" w:cs="Arial"/>
          <w:color w:val="000000"/>
          <w:sz w:val="22"/>
          <w:szCs w:val="22"/>
          <w:lang w:eastAsia="en-US"/>
        </w:rPr>
        <w:t>In regard to D</w:t>
      </w:r>
      <w:r>
        <w:rPr>
          <w:rFonts w:ascii="Arial" w:eastAsiaTheme="minorHAnsi" w:hAnsi="Arial" w:cs="Arial"/>
          <w:color w:val="000000"/>
          <w:sz w:val="22"/>
          <w:szCs w:val="22"/>
          <w:lang w:eastAsia="en-US"/>
        </w:rPr>
        <w:t>isability Services in Victoria,</w:t>
      </w:r>
      <w:r w:rsidR="00CF1A55">
        <w:rPr>
          <w:rFonts w:ascii="Arial" w:eastAsiaTheme="minorHAnsi" w:hAnsi="Arial" w:cs="Arial"/>
          <w:color w:val="000000"/>
          <w:sz w:val="22"/>
          <w:szCs w:val="22"/>
          <w:lang w:eastAsia="en-US"/>
        </w:rPr>
        <w:t xml:space="preserve"> </w:t>
      </w:r>
      <w:r w:rsidR="007C6156" w:rsidRPr="007C6156">
        <w:rPr>
          <w:rFonts w:ascii="Arial" w:eastAsiaTheme="minorHAnsi" w:hAnsi="Arial" w:cs="Arial"/>
          <w:color w:val="000000"/>
          <w:sz w:val="22"/>
          <w:szCs w:val="22"/>
          <w:lang w:eastAsia="en-US"/>
        </w:rPr>
        <w:t xml:space="preserve">Community Visitors report to the Office of Public Advocate who fund and administer the program. </w:t>
      </w:r>
    </w:p>
    <w:p w:rsidR="007C6156" w:rsidRPr="007C6156" w:rsidRDefault="007C6156" w:rsidP="007C6156">
      <w:pPr>
        <w:autoSpaceDE w:val="0"/>
        <w:autoSpaceDN w:val="0"/>
        <w:adjustRightInd w:val="0"/>
        <w:rPr>
          <w:rFonts w:ascii="Arial" w:eastAsiaTheme="minorHAnsi" w:hAnsi="Arial" w:cs="Arial"/>
          <w:b/>
          <w:color w:val="000000"/>
          <w:sz w:val="22"/>
          <w:szCs w:val="22"/>
          <w:lang w:eastAsia="en-US"/>
        </w:rPr>
      </w:pPr>
      <w:r w:rsidRPr="007C6156">
        <w:rPr>
          <w:rFonts w:ascii="Arial" w:eastAsiaTheme="minorHAnsi" w:hAnsi="Arial" w:cs="Arial"/>
          <w:b/>
          <w:color w:val="000000"/>
          <w:sz w:val="22"/>
          <w:szCs w:val="22"/>
          <w:lang w:eastAsia="en-US"/>
        </w:rPr>
        <w:t xml:space="preserve">Conclusion </w:t>
      </w:r>
    </w:p>
    <w:p w:rsidR="00093BDD" w:rsidRDefault="00093BDD" w:rsidP="007C6156">
      <w:pPr>
        <w:autoSpaceDE w:val="0"/>
        <w:autoSpaceDN w:val="0"/>
        <w:adjustRightInd w:val="0"/>
        <w:rPr>
          <w:rFonts w:ascii="Arial" w:eastAsiaTheme="minorHAnsi" w:hAnsi="Arial" w:cs="Arial"/>
          <w:color w:val="000000"/>
          <w:sz w:val="22"/>
          <w:szCs w:val="22"/>
          <w:lang w:eastAsia="en-US"/>
        </w:rPr>
      </w:pPr>
    </w:p>
    <w:p w:rsidR="00093BDD" w:rsidRDefault="00CF1A55" w:rsidP="007C6156">
      <w:pPr>
        <w:autoSpaceDE w:val="0"/>
        <w:autoSpaceDN w:val="0"/>
        <w:adjustRightInd w:val="0"/>
        <w:rPr>
          <w:rFonts w:ascii="Arial" w:eastAsiaTheme="minorHAnsi" w:hAnsi="Arial" w:cs="Arial"/>
          <w:color w:val="000000"/>
          <w:sz w:val="22"/>
          <w:szCs w:val="22"/>
          <w:lang w:eastAsia="en-US"/>
        </w:rPr>
      </w:pPr>
      <w:proofErr w:type="spellStart"/>
      <w:proofErr w:type="gramStart"/>
      <w:r>
        <w:rPr>
          <w:rFonts w:ascii="Arial" w:eastAsiaTheme="minorHAnsi" w:hAnsi="Arial" w:cs="Arial"/>
          <w:color w:val="000000"/>
          <w:sz w:val="22"/>
          <w:szCs w:val="22"/>
          <w:lang w:eastAsia="en-US"/>
        </w:rPr>
        <w:t>m</w:t>
      </w:r>
      <w:r w:rsidR="00093BDD">
        <w:rPr>
          <w:rFonts w:ascii="Arial" w:eastAsiaTheme="minorHAnsi" w:hAnsi="Arial" w:cs="Arial"/>
          <w:color w:val="000000"/>
          <w:sz w:val="22"/>
          <w:szCs w:val="22"/>
          <w:lang w:eastAsia="en-US"/>
        </w:rPr>
        <w:t>ecwacare</w:t>
      </w:r>
      <w:proofErr w:type="spellEnd"/>
      <w:proofErr w:type="gramEnd"/>
      <w:r w:rsidR="00093BDD">
        <w:rPr>
          <w:rFonts w:ascii="Arial" w:eastAsiaTheme="minorHAnsi" w:hAnsi="Arial" w:cs="Arial"/>
          <w:color w:val="000000"/>
          <w:sz w:val="22"/>
          <w:szCs w:val="22"/>
          <w:lang w:eastAsia="en-US"/>
        </w:rPr>
        <w:t xml:space="preserve"> is committed to ensuring the wellbeing of all our care recipients and the broader community regarding elder abuse. </w:t>
      </w:r>
    </w:p>
    <w:p w:rsidR="00093BDD" w:rsidRDefault="00093BDD" w:rsidP="007C6156">
      <w:pPr>
        <w:autoSpaceDE w:val="0"/>
        <w:autoSpaceDN w:val="0"/>
        <w:adjustRightInd w:val="0"/>
        <w:rPr>
          <w:rFonts w:ascii="Arial" w:eastAsiaTheme="minorHAnsi" w:hAnsi="Arial" w:cs="Arial"/>
          <w:color w:val="000000"/>
          <w:sz w:val="22"/>
          <w:szCs w:val="22"/>
          <w:lang w:eastAsia="en-US"/>
        </w:rPr>
      </w:pPr>
    </w:p>
    <w:p w:rsidR="00093BDD" w:rsidRDefault="00093BDD" w:rsidP="007C6156">
      <w:pPr>
        <w:autoSpaceDE w:val="0"/>
        <w:autoSpaceDN w:val="0"/>
        <w:adjustRightInd w:val="0"/>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 xml:space="preserve">We thank the ALRC for the opportunity to review the proposals and initiatives top address elder abuse contained within the Discussion Paper. </w:t>
      </w:r>
    </w:p>
    <w:sectPr w:rsidR="00093BDD" w:rsidSect="00DF13C8">
      <w:headerReference w:type="default" r:id="rId11"/>
      <w:footerReference w:type="even" r:id="rId12"/>
      <w:footerReference w:type="default" r:id="rId13"/>
      <w:pgSz w:w="11905" w:h="16837" w:code="9"/>
      <w:pgMar w:top="1134" w:right="1134" w:bottom="1134" w:left="1134" w:header="567" w:footer="56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99" w:rsidRDefault="00307499">
      <w:r>
        <w:separator/>
      </w:r>
    </w:p>
  </w:endnote>
  <w:endnote w:type="continuationSeparator" w:id="0">
    <w:p w:rsidR="00307499" w:rsidRDefault="00307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DIN-Light">
    <w:altName w:val="DIN-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0E" w:rsidRDefault="00213C09">
    <w:pPr>
      <w:pStyle w:val="Footer"/>
      <w:framePr w:wrap="around" w:vAnchor="text" w:hAnchor="margin" w:xAlign="right" w:y="1"/>
      <w:rPr>
        <w:rStyle w:val="PageNumber"/>
      </w:rPr>
    </w:pPr>
    <w:r>
      <w:rPr>
        <w:rStyle w:val="PageNumber"/>
      </w:rPr>
      <w:fldChar w:fldCharType="begin"/>
    </w:r>
    <w:r w:rsidR="0077150E">
      <w:rPr>
        <w:rStyle w:val="PageNumber"/>
      </w:rPr>
      <w:instrText xml:space="preserve">PAGE  </w:instrText>
    </w:r>
    <w:r>
      <w:rPr>
        <w:rStyle w:val="PageNumber"/>
      </w:rPr>
      <w:fldChar w:fldCharType="separate"/>
    </w:r>
    <w:r w:rsidR="0077150E">
      <w:rPr>
        <w:rStyle w:val="PageNumber"/>
        <w:noProof/>
      </w:rPr>
      <w:t>2</w:t>
    </w:r>
    <w:r>
      <w:rPr>
        <w:rStyle w:val="PageNumber"/>
      </w:rPr>
      <w:fldChar w:fldCharType="end"/>
    </w:r>
  </w:p>
  <w:p w:rsidR="0077150E" w:rsidRDefault="007715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50E" w:rsidRPr="00175FAD" w:rsidRDefault="0077150E" w:rsidP="008437DB">
    <w:pPr>
      <w:pStyle w:val="Footer"/>
      <w:ind w:right="360"/>
      <w:jc w:val="both"/>
      <w:rPr>
        <w:rFonts w:ascii="Arial" w:hAnsi="Arial" w:cs="Arial"/>
        <w:sz w:val="16"/>
        <w:szCs w:val="16"/>
        <w:lang w:val="en-AU"/>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tblPr>
    <w:tblGrid>
      <w:gridCol w:w="8459"/>
      <w:gridCol w:w="1286"/>
    </w:tblGrid>
    <w:tr w:rsidR="0077150E" w:rsidRPr="00175FAD" w:rsidTr="00946A9B">
      <w:trPr>
        <w:trHeight w:val="597"/>
      </w:trPr>
      <w:tc>
        <w:tcPr>
          <w:tcW w:w="4340" w:type="pct"/>
          <w:tcMar>
            <w:top w:w="28" w:type="dxa"/>
            <w:left w:w="0" w:type="dxa"/>
            <w:right w:w="0" w:type="dxa"/>
          </w:tcMar>
        </w:tcPr>
        <w:p w:rsidR="00FB01F6" w:rsidRDefault="0077150E" w:rsidP="00FB01F6">
          <w:pPr>
            <w:tabs>
              <w:tab w:val="right" w:pos="9637"/>
            </w:tabs>
            <w:rPr>
              <w:rFonts w:ascii="Arial" w:hAnsi="Arial" w:cs="Arial"/>
              <w:sz w:val="16"/>
              <w:szCs w:val="16"/>
            </w:rPr>
          </w:pPr>
          <w:r w:rsidRPr="00175FAD">
            <w:rPr>
              <w:rFonts w:ascii="Arial" w:hAnsi="Arial" w:cs="Arial"/>
              <w:sz w:val="16"/>
              <w:szCs w:val="16"/>
            </w:rPr>
            <w:t>Document:</w:t>
          </w:r>
          <w:r>
            <w:rPr>
              <w:rFonts w:ascii="Arial" w:hAnsi="Arial" w:cs="Arial"/>
              <w:sz w:val="16"/>
              <w:szCs w:val="16"/>
            </w:rPr>
            <w:t xml:space="preserve"> </w:t>
          </w:r>
          <w:r w:rsidR="00FB01F6">
            <w:rPr>
              <w:rFonts w:ascii="Arial" w:hAnsi="Arial" w:cs="Arial"/>
              <w:sz w:val="16"/>
              <w:szCs w:val="16"/>
            </w:rPr>
            <w:t xml:space="preserve">Response to Elder Abuse </w:t>
          </w:r>
        </w:p>
        <w:p w:rsidR="0077150E" w:rsidRPr="00175FAD" w:rsidRDefault="0077150E" w:rsidP="00FB01F6">
          <w:pPr>
            <w:tabs>
              <w:tab w:val="right" w:pos="9637"/>
            </w:tabs>
            <w:rPr>
              <w:rFonts w:ascii="Arial" w:hAnsi="Arial" w:cs="Arial"/>
              <w:sz w:val="16"/>
              <w:szCs w:val="16"/>
            </w:rPr>
          </w:pPr>
          <w:r w:rsidRPr="00175FAD">
            <w:rPr>
              <w:rFonts w:ascii="Arial" w:hAnsi="Arial" w:cs="Arial"/>
              <w:sz w:val="16"/>
              <w:szCs w:val="16"/>
            </w:rPr>
            <w:t xml:space="preserve">Issue Date: </w:t>
          </w:r>
          <w:r w:rsidR="00FB01F6">
            <w:rPr>
              <w:rFonts w:ascii="Arial" w:hAnsi="Arial" w:cs="Arial"/>
              <w:sz w:val="16"/>
              <w:szCs w:val="16"/>
            </w:rPr>
            <w:t>Feb 2017</w:t>
          </w:r>
        </w:p>
      </w:tc>
      <w:tc>
        <w:tcPr>
          <w:tcW w:w="660" w:type="pct"/>
        </w:tcPr>
        <w:p w:rsidR="0077150E" w:rsidRPr="00175FAD" w:rsidRDefault="0077150E" w:rsidP="00175FAD">
          <w:pPr>
            <w:tabs>
              <w:tab w:val="right" w:pos="9637"/>
            </w:tabs>
            <w:jc w:val="right"/>
            <w:rPr>
              <w:rFonts w:ascii="Arial" w:hAnsi="Arial" w:cs="Arial"/>
              <w:sz w:val="16"/>
              <w:szCs w:val="16"/>
            </w:rPr>
          </w:pPr>
          <w:r w:rsidRPr="00175FAD">
            <w:rPr>
              <w:rFonts w:ascii="Arial" w:hAnsi="Arial" w:cs="Arial"/>
              <w:sz w:val="16"/>
              <w:szCs w:val="16"/>
            </w:rPr>
            <w:t xml:space="preserve">Page </w:t>
          </w:r>
          <w:r w:rsidR="00213C09" w:rsidRPr="00175FAD">
            <w:rPr>
              <w:rFonts w:ascii="Arial" w:hAnsi="Arial" w:cs="Arial"/>
              <w:sz w:val="16"/>
              <w:szCs w:val="16"/>
            </w:rPr>
            <w:fldChar w:fldCharType="begin"/>
          </w:r>
          <w:r w:rsidRPr="00175FAD">
            <w:rPr>
              <w:rFonts w:ascii="Arial" w:hAnsi="Arial" w:cs="Arial"/>
              <w:sz w:val="16"/>
              <w:szCs w:val="16"/>
            </w:rPr>
            <w:instrText xml:space="preserve"> PAGE </w:instrText>
          </w:r>
          <w:r w:rsidR="00213C09" w:rsidRPr="00175FAD">
            <w:rPr>
              <w:rFonts w:ascii="Arial" w:hAnsi="Arial" w:cs="Arial"/>
              <w:sz w:val="16"/>
              <w:szCs w:val="16"/>
            </w:rPr>
            <w:fldChar w:fldCharType="separate"/>
          </w:r>
          <w:r w:rsidR="001910FF">
            <w:rPr>
              <w:rFonts w:ascii="Arial" w:hAnsi="Arial" w:cs="Arial"/>
              <w:noProof/>
              <w:sz w:val="16"/>
              <w:szCs w:val="16"/>
            </w:rPr>
            <w:t>1</w:t>
          </w:r>
          <w:r w:rsidR="00213C09" w:rsidRPr="00175FAD">
            <w:rPr>
              <w:rFonts w:ascii="Arial" w:hAnsi="Arial" w:cs="Arial"/>
              <w:sz w:val="16"/>
              <w:szCs w:val="16"/>
            </w:rPr>
            <w:fldChar w:fldCharType="end"/>
          </w:r>
          <w:r w:rsidRPr="00175FAD">
            <w:rPr>
              <w:rFonts w:ascii="Arial" w:hAnsi="Arial" w:cs="Arial"/>
              <w:sz w:val="16"/>
              <w:szCs w:val="16"/>
            </w:rPr>
            <w:t xml:space="preserve"> of </w:t>
          </w:r>
          <w:r w:rsidR="00213C09" w:rsidRPr="00175FAD">
            <w:rPr>
              <w:rFonts w:ascii="Arial" w:hAnsi="Arial" w:cs="Arial"/>
              <w:sz w:val="16"/>
              <w:szCs w:val="16"/>
            </w:rPr>
            <w:fldChar w:fldCharType="begin"/>
          </w:r>
          <w:r w:rsidRPr="00175FAD">
            <w:rPr>
              <w:rFonts w:ascii="Arial" w:hAnsi="Arial" w:cs="Arial"/>
              <w:sz w:val="16"/>
              <w:szCs w:val="16"/>
            </w:rPr>
            <w:instrText xml:space="preserve"> NUMPAGES  </w:instrText>
          </w:r>
          <w:r w:rsidR="00213C09" w:rsidRPr="00175FAD">
            <w:rPr>
              <w:rFonts w:ascii="Arial" w:hAnsi="Arial" w:cs="Arial"/>
              <w:sz w:val="16"/>
              <w:szCs w:val="16"/>
            </w:rPr>
            <w:fldChar w:fldCharType="separate"/>
          </w:r>
          <w:r w:rsidR="001910FF">
            <w:rPr>
              <w:rFonts w:ascii="Arial" w:hAnsi="Arial" w:cs="Arial"/>
              <w:noProof/>
              <w:sz w:val="16"/>
              <w:szCs w:val="16"/>
            </w:rPr>
            <w:t>4</w:t>
          </w:r>
          <w:r w:rsidR="00213C09" w:rsidRPr="00175FAD">
            <w:rPr>
              <w:rFonts w:ascii="Arial" w:hAnsi="Arial" w:cs="Arial"/>
              <w:sz w:val="16"/>
              <w:szCs w:val="16"/>
            </w:rPr>
            <w:fldChar w:fldCharType="end"/>
          </w:r>
        </w:p>
      </w:tc>
    </w:tr>
  </w:tbl>
  <w:p w:rsidR="0077150E" w:rsidRPr="00175FAD" w:rsidRDefault="0077150E" w:rsidP="00175FAD">
    <w:pPr>
      <w:pStyle w:val="Footer"/>
      <w:ind w:right="360"/>
      <w:rPr>
        <w:rFonts w:ascii="Arial" w:hAnsi="Arial" w:cs="Arial"/>
        <w:sz w:val="2"/>
        <w:szCs w:val="2"/>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99" w:rsidRDefault="00307499">
      <w:r>
        <w:separator/>
      </w:r>
    </w:p>
  </w:footnote>
  <w:footnote w:type="continuationSeparator" w:id="0">
    <w:p w:rsidR="00307499" w:rsidRDefault="00307499">
      <w:r>
        <w:continuationSeparator/>
      </w:r>
    </w:p>
  </w:footnote>
  <w:footnote w:id="1">
    <w:p w:rsidR="007C6156" w:rsidRPr="003C2E0F" w:rsidRDefault="007C6156" w:rsidP="007C6156">
      <w:pPr>
        <w:pStyle w:val="FootnoteText"/>
        <w:rPr>
          <w:lang w:val="en-US"/>
        </w:rPr>
      </w:pPr>
      <w:r>
        <w:rPr>
          <w:rStyle w:val="FootnoteReference"/>
        </w:rPr>
        <w:footnoteRef/>
      </w:r>
      <w:r>
        <w:t xml:space="preserve"> </w:t>
      </w:r>
      <w:proofErr w:type="gramStart"/>
      <w:r>
        <w:t>ALRC.</w:t>
      </w:r>
      <w:proofErr w:type="gramEnd"/>
      <w:r>
        <w:t xml:space="preserve"> 2016. </w:t>
      </w:r>
      <w:r>
        <w:rPr>
          <w:i/>
          <w:iCs/>
        </w:rPr>
        <w:t xml:space="preserve">Elder Abuse: Discussion Paper. </w:t>
      </w:r>
      <w:proofErr w:type="gramStart"/>
      <w:r>
        <w:t>Page 32.</w:t>
      </w:r>
      <w:proofErr w:type="gramEnd"/>
      <w:r>
        <w:t xml:space="preserve">  </w:t>
      </w:r>
    </w:p>
  </w:footnote>
  <w:footnote w:id="2">
    <w:p w:rsidR="007C6156" w:rsidRPr="007C6156" w:rsidRDefault="007C6156">
      <w:pPr>
        <w:pStyle w:val="FootnoteText"/>
        <w:rPr>
          <w:lang w:val="en-US"/>
        </w:rPr>
      </w:pPr>
      <w:r>
        <w:rPr>
          <w:rStyle w:val="FootnoteReference"/>
        </w:rPr>
        <w:footnoteRef/>
      </w:r>
      <w:r>
        <w:t xml:space="preserve"> </w:t>
      </w:r>
      <w:proofErr w:type="gramStart"/>
      <w:r w:rsidRPr="007C6156">
        <w:rPr>
          <w:rFonts w:ascii="Arial" w:hAnsi="Arial" w:cs="Arial"/>
          <w:sz w:val="16"/>
          <w:szCs w:val="16"/>
        </w:rPr>
        <w:t>World Health Organisation.</w:t>
      </w:r>
      <w:proofErr w:type="gramEnd"/>
      <w:r w:rsidRPr="007C6156">
        <w:rPr>
          <w:rFonts w:ascii="Arial" w:hAnsi="Arial" w:cs="Arial"/>
          <w:sz w:val="16"/>
          <w:szCs w:val="16"/>
        </w:rPr>
        <w:t xml:space="preserve"> 2002. </w:t>
      </w:r>
      <w:r w:rsidRPr="007C6156">
        <w:rPr>
          <w:rFonts w:ascii="Arial" w:hAnsi="Arial" w:cs="Arial"/>
          <w:i/>
          <w:iCs/>
          <w:sz w:val="16"/>
          <w:szCs w:val="16"/>
        </w:rPr>
        <w:t xml:space="preserve">The Toronto Declaration on the Global Prevention of Elder Abuse. </w:t>
      </w:r>
      <w:r w:rsidRPr="007C6156">
        <w:rPr>
          <w:rFonts w:ascii="Arial" w:hAnsi="Arial" w:cs="Arial"/>
          <w:sz w:val="16"/>
          <w:szCs w:val="16"/>
        </w:rPr>
        <w:t>Available at: http://www.who.int/ageing/projects/elder_abuse/alc_toronto_declaration_en.pdf?ua=1</w:t>
      </w:r>
      <w:r>
        <w:t xml:space="preserve">  </w:t>
      </w:r>
    </w:p>
  </w:footnote>
  <w:footnote w:id="3">
    <w:p w:rsidR="007C6156" w:rsidRPr="007C6156" w:rsidRDefault="007C6156">
      <w:pPr>
        <w:pStyle w:val="FootnoteText"/>
        <w:rPr>
          <w:lang w:val="en-US"/>
        </w:rPr>
      </w:pPr>
      <w:r>
        <w:rPr>
          <w:rStyle w:val="FootnoteReference"/>
        </w:rPr>
        <w:footnoteRef/>
      </w:r>
      <w:r>
        <w:t xml:space="preserve"> </w:t>
      </w:r>
      <w:proofErr w:type="gramStart"/>
      <w:r>
        <w:t>ALRC.</w:t>
      </w:r>
      <w:proofErr w:type="gramEnd"/>
      <w:r>
        <w:t xml:space="preserve"> 2016. </w:t>
      </w:r>
      <w:r>
        <w:rPr>
          <w:i/>
          <w:iCs/>
        </w:rPr>
        <w:t>Elder Abuse: Discussion Paper.</w:t>
      </w:r>
    </w:p>
  </w:footnote>
  <w:footnote w:id="4">
    <w:p w:rsidR="005569E7" w:rsidRPr="005569E7" w:rsidRDefault="005569E7">
      <w:pPr>
        <w:pStyle w:val="FootnoteText"/>
        <w:rPr>
          <w:lang w:val="en-US"/>
        </w:rPr>
      </w:pPr>
      <w:r>
        <w:rPr>
          <w:rStyle w:val="FootnoteReference"/>
        </w:rPr>
        <w:footnoteRef/>
      </w:r>
      <w:r>
        <w:t xml:space="preserve"> ALRC, 2016, p. 233</w:t>
      </w:r>
    </w:p>
  </w:footnote>
  <w:footnote w:id="5">
    <w:p w:rsidR="001E4134" w:rsidRDefault="001E4134" w:rsidP="001E4134">
      <w:pPr>
        <w:pStyle w:val="FootnoteText"/>
      </w:pPr>
      <w:r>
        <w:rPr>
          <w:rStyle w:val="FootnoteReference"/>
        </w:rPr>
        <w:footnoteRef/>
      </w:r>
      <w:r>
        <w:t xml:space="preserve"> Australian Government Department of Social Services, December 2016, </w:t>
      </w:r>
      <w:r>
        <w:rPr>
          <w:i/>
        </w:rPr>
        <w:t>NDIS Quality and Safeguarding Framework</w:t>
      </w:r>
      <w:r>
        <w:t>, p. 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000"/>
    </w:tblPr>
    <w:tblGrid>
      <w:gridCol w:w="9853"/>
    </w:tblGrid>
    <w:tr w:rsidR="0077150E" w:rsidTr="008437DB">
      <w:trPr>
        <w:cantSplit/>
        <w:trHeight w:val="318"/>
      </w:trPr>
      <w:tc>
        <w:tcPr>
          <w:tcW w:w="5000" w:type="pct"/>
        </w:tcPr>
        <w:p w:rsidR="0077150E" w:rsidRPr="00C71EC7" w:rsidRDefault="0077150E" w:rsidP="00C54264">
          <w:pPr>
            <w:pStyle w:val="BodyTextIndent"/>
            <w:tabs>
              <w:tab w:val="left" w:pos="1005"/>
              <w:tab w:val="center" w:pos="4854"/>
            </w:tabs>
            <w:ind w:left="72"/>
            <w:jc w:val="center"/>
            <w:rPr>
              <w:rFonts w:ascii="Arial" w:hAnsi="Arial" w:cs="Arial"/>
              <w:b/>
              <w:bCs/>
              <w:sz w:val="24"/>
              <w:szCs w:val="24"/>
            </w:rPr>
          </w:pPr>
          <w:r w:rsidRPr="0050659A">
            <w:rPr>
              <w:noProof/>
            </w:rPr>
            <w:drawing>
              <wp:anchor distT="0" distB="0" distL="114300" distR="114300" simplePos="0" relativeHeight="251657216" behindDoc="1" locked="0" layoutInCell="1" allowOverlap="1">
                <wp:simplePos x="0" y="0"/>
                <wp:positionH relativeFrom="column">
                  <wp:posOffset>60960</wp:posOffset>
                </wp:positionH>
                <wp:positionV relativeFrom="paragraph">
                  <wp:posOffset>11430</wp:posOffset>
                </wp:positionV>
                <wp:extent cx="1328420" cy="161925"/>
                <wp:effectExtent l="19050" t="0" r="5080" b="0"/>
                <wp:wrapNone/>
                <wp:docPr id="1" name="Picture 2" descr="mecwacare_cmyk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wacare_cmyk_dark_blue.jpg"/>
                        <pic:cNvPicPr/>
                      </pic:nvPicPr>
                      <pic:blipFill>
                        <a:blip r:embed="rId1" cstate="print"/>
                        <a:stretch>
                          <a:fillRect/>
                        </a:stretch>
                      </pic:blipFill>
                      <pic:spPr>
                        <a:xfrm>
                          <a:off x="0" y="0"/>
                          <a:ext cx="1328420" cy="161925"/>
                        </a:xfrm>
                        <a:prstGeom prst="rect">
                          <a:avLst/>
                        </a:prstGeom>
                      </pic:spPr>
                    </pic:pic>
                  </a:graphicData>
                </a:graphic>
              </wp:anchor>
            </w:drawing>
          </w:r>
        </w:p>
      </w:tc>
    </w:tr>
  </w:tbl>
  <w:p w:rsidR="0077150E" w:rsidRPr="00E44049" w:rsidRDefault="0077150E">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979"/>
    <w:multiLevelType w:val="hybridMultilevel"/>
    <w:tmpl w:val="4EEAD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17636"/>
    <w:multiLevelType w:val="hybridMultilevel"/>
    <w:tmpl w:val="B450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B402E"/>
    <w:multiLevelType w:val="hybridMultilevel"/>
    <w:tmpl w:val="B7164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5D190A"/>
    <w:multiLevelType w:val="hybridMultilevel"/>
    <w:tmpl w:val="8E02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EE048B"/>
    <w:multiLevelType w:val="hybridMultilevel"/>
    <w:tmpl w:val="13B45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E7226"/>
    <w:multiLevelType w:val="hybridMultilevel"/>
    <w:tmpl w:val="C4D255A8"/>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1C64F4"/>
    <w:multiLevelType w:val="hybridMultilevel"/>
    <w:tmpl w:val="63401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2030CC"/>
    <w:multiLevelType w:val="hybridMultilevel"/>
    <w:tmpl w:val="7092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C76B70"/>
    <w:multiLevelType w:val="hybridMultilevel"/>
    <w:tmpl w:val="EF985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E556A1D"/>
    <w:multiLevelType w:val="hybridMultilevel"/>
    <w:tmpl w:val="4C34E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05207A"/>
    <w:multiLevelType w:val="hybridMultilevel"/>
    <w:tmpl w:val="21A28D2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39209F"/>
    <w:multiLevelType w:val="hybridMultilevel"/>
    <w:tmpl w:val="46DCD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551632"/>
    <w:multiLevelType w:val="hybridMultilevel"/>
    <w:tmpl w:val="5ED0C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5F1D13"/>
    <w:multiLevelType w:val="hybridMultilevel"/>
    <w:tmpl w:val="40743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4601B3"/>
    <w:multiLevelType w:val="hybridMultilevel"/>
    <w:tmpl w:val="BD14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D809C8"/>
    <w:multiLevelType w:val="hybridMultilevel"/>
    <w:tmpl w:val="DE7E14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D79F2"/>
    <w:multiLevelType w:val="hybridMultilevel"/>
    <w:tmpl w:val="3B76991A"/>
    <w:lvl w:ilvl="0" w:tplc="24B81EC2">
      <w:numFmt w:val="bullet"/>
      <w:lvlText w:val="−"/>
      <w:lvlJc w:val="left"/>
      <w:pPr>
        <w:ind w:left="1440" w:hanging="360"/>
      </w:pPr>
      <w:rPr>
        <w:rFonts w:ascii="SymbolMT" w:eastAsia="Times New Roman" w:hAnsi="SymbolMT" w:cs="SymbolM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D966F4C"/>
    <w:multiLevelType w:val="hybridMultilevel"/>
    <w:tmpl w:val="09A69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E1F7A98"/>
    <w:multiLevelType w:val="hybridMultilevel"/>
    <w:tmpl w:val="DC7C3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F56B2F"/>
    <w:multiLevelType w:val="hybridMultilevel"/>
    <w:tmpl w:val="91F2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CC2CA9"/>
    <w:multiLevelType w:val="hybridMultilevel"/>
    <w:tmpl w:val="D2E06DCA"/>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21">
    <w:nsid w:val="40110AC0"/>
    <w:multiLevelType w:val="hybridMultilevel"/>
    <w:tmpl w:val="77FE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2534B1"/>
    <w:multiLevelType w:val="hybridMultilevel"/>
    <w:tmpl w:val="3754E366"/>
    <w:lvl w:ilvl="0" w:tplc="24B81EC2">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E6556C"/>
    <w:multiLevelType w:val="hybridMultilevel"/>
    <w:tmpl w:val="B46626F6"/>
    <w:lvl w:ilvl="0" w:tplc="24B81EC2">
      <w:numFmt w:val="bullet"/>
      <w:lvlText w:val="−"/>
      <w:lvlJc w:val="left"/>
      <w:pPr>
        <w:ind w:left="780" w:hanging="360"/>
      </w:pPr>
      <w:rPr>
        <w:rFonts w:ascii="SymbolMT" w:eastAsia="Times New Roman" w:hAnsi="SymbolMT" w:cs="SymbolMT"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4F0B3004"/>
    <w:multiLevelType w:val="hybridMultilevel"/>
    <w:tmpl w:val="69F68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4C2752"/>
    <w:multiLevelType w:val="hybridMultilevel"/>
    <w:tmpl w:val="B0AC57B6"/>
    <w:lvl w:ilvl="0" w:tplc="0C090001">
      <w:start w:val="1"/>
      <w:numFmt w:val="bullet"/>
      <w:lvlText w:val=""/>
      <w:lvlJc w:val="left"/>
      <w:pPr>
        <w:tabs>
          <w:tab w:val="num" w:pos="1179"/>
        </w:tabs>
        <w:ind w:left="1179" w:hanging="360"/>
      </w:pPr>
      <w:rPr>
        <w:rFonts w:ascii="Symbol" w:hAnsi="Symbol" w:hint="default"/>
      </w:rPr>
    </w:lvl>
    <w:lvl w:ilvl="1" w:tplc="0C090001">
      <w:start w:val="1"/>
      <w:numFmt w:val="bullet"/>
      <w:lvlText w:val=""/>
      <w:lvlJc w:val="left"/>
      <w:pPr>
        <w:tabs>
          <w:tab w:val="num" w:pos="1899"/>
        </w:tabs>
        <w:ind w:left="1899" w:hanging="360"/>
      </w:pPr>
      <w:rPr>
        <w:rFonts w:ascii="Symbol" w:hAnsi="Symbol" w:hint="default"/>
      </w:rPr>
    </w:lvl>
    <w:lvl w:ilvl="2" w:tplc="0C090001">
      <w:start w:val="1"/>
      <w:numFmt w:val="bullet"/>
      <w:lvlText w:val=""/>
      <w:lvlJc w:val="left"/>
      <w:pPr>
        <w:tabs>
          <w:tab w:val="num" w:pos="2619"/>
        </w:tabs>
        <w:ind w:left="2619" w:hanging="360"/>
      </w:pPr>
      <w:rPr>
        <w:rFonts w:ascii="Symbol" w:hAnsi="Symbol" w:hint="default"/>
      </w:rPr>
    </w:lvl>
    <w:lvl w:ilvl="3" w:tplc="0C090001" w:tentative="1">
      <w:start w:val="1"/>
      <w:numFmt w:val="bullet"/>
      <w:lvlText w:val=""/>
      <w:lvlJc w:val="left"/>
      <w:pPr>
        <w:tabs>
          <w:tab w:val="num" w:pos="3339"/>
        </w:tabs>
        <w:ind w:left="3339" w:hanging="360"/>
      </w:pPr>
      <w:rPr>
        <w:rFonts w:ascii="Symbol" w:hAnsi="Symbol" w:hint="default"/>
      </w:rPr>
    </w:lvl>
    <w:lvl w:ilvl="4" w:tplc="0C090003" w:tentative="1">
      <w:start w:val="1"/>
      <w:numFmt w:val="bullet"/>
      <w:lvlText w:val="o"/>
      <w:lvlJc w:val="left"/>
      <w:pPr>
        <w:tabs>
          <w:tab w:val="num" w:pos="4059"/>
        </w:tabs>
        <w:ind w:left="4059" w:hanging="360"/>
      </w:pPr>
      <w:rPr>
        <w:rFonts w:ascii="Courier New" w:hAnsi="Courier New" w:cs="Courier New" w:hint="default"/>
      </w:rPr>
    </w:lvl>
    <w:lvl w:ilvl="5" w:tplc="0C090005" w:tentative="1">
      <w:start w:val="1"/>
      <w:numFmt w:val="bullet"/>
      <w:lvlText w:val=""/>
      <w:lvlJc w:val="left"/>
      <w:pPr>
        <w:tabs>
          <w:tab w:val="num" w:pos="4779"/>
        </w:tabs>
        <w:ind w:left="4779" w:hanging="360"/>
      </w:pPr>
      <w:rPr>
        <w:rFonts w:ascii="Wingdings" w:hAnsi="Wingdings" w:hint="default"/>
      </w:rPr>
    </w:lvl>
    <w:lvl w:ilvl="6" w:tplc="0C090001" w:tentative="1">
      <w:start w:val="1"/>
      <w:numFmt w:val="bullet"/>
      <w:lvlText w:val=""/>
      <w:lvlJc w:val="left"/>
      <w:pPr>
        <w:tabs>
          <w:tab w:val="num" w:pos="5499"/>
        </w:tabs>
        <w:ind w:left="5499" w:hanging="360"/>
      </w:pPr>
      <w:rPr>
        <w:rFonts w:ascii="Symbol" w:hAnsi="Symbol" w:hint="default"/>
      </w:rPr>
    </w:lvl>
    <w:lvl w:ilvl="7" w:tplc="0C090003" w:tentative="1">
      <w:start w:val="1"/>
      <w:numFmt w:val="bullet"/>
      <w:lvlText w:val="o"/>
      <w:lvlJc w:val="left"/>
      <w:pPr>
        <w:tabs>
          <w:tab w:val="num" w:pos="6219"/>
        </w:tabs>
        <w:ind w:left="6219" w:hanging="360"/>
      </w:pPr>
      <w:rPr>
        <w:rFonts w:ascii="Courier New" w:hAnsi="Courier New" w:cs="Courier New" w:hint="default"/>
      </w:rPr>
    </w:lvl>
    <w:lvl w:ilvl="8" w:tplc="0C090005" w:tentative="1">
      <w:start w:val="1"/>
      <w:numFmt w:val="bullet"/>
      <w:lvlText w:val=""/>
      <w:lvlJc w:val="left"/>
      <w:pPr>
        <w:tabs>
          <w:tab w:val="num" w:pos="6939"/>
        </w:tabs>
        <w:ind w:left="6939" w:hanging="360"/>
      </w:pPr>
      <w:rPr>
        <w:rFonts w:ascii="Wingdings" w:hAnsi="Wingdings" w:hint="default"/>
      </w:rPr>
    </w:lvl>
  </w:abstractNum>
  <w:abstractNum w:abstractNumId="26">
    <w:nsid w:val="5214052E"/>
    <w:multiLevelType w:val="hybridMultilevel"/>
    <w:tmpl w:val="D12AE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2DF0C7A"/>
    <w:multiLevelType w:val="hybridMultilevel"/>
    <w:tmpl w:val="B010F624"/>
    <w:lvl w:ilvl="0" w:tplc="24B81EC2">
      <w:numFmt w:val="bullet"/>
      <w:lvlText w:val="−"/>
      <w:lvlJc w:val="left"/>
      <w:pPr>
        <w:ind w:left="1440" w:hanging="360"/>
      </w:pPr>
      <w:rPr>
        <w:rFonts w:ascii="SymbolMT" w:eastAsia="Times New Roman" w:hAnsi="SymbolMT" w:cs="SymbolM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4CA0671"/>
    <w:multiLevelType w:val="hybridMultilevel"/>
    <w:tmpl w:val="AB36A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B72665"/>
    <w:multiLevelType w:val="hybridMultilevel"/>
    <w:tmpl w:val="6D4A52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59B41BCC"/>
    <w:multiLevelType w:val="hybridMultilevel"/>
    <w:tmpl w:val="75FCAB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B36029A"/>
    <w:multiLevelType w:val="hybridMultilevel"/>
    <w:tmpl w:val="EE528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5CC35C0A"/>
    <w:multiLevelType w:val="hybridMultilevel"/>
    <w:tmpl w:val="3600F962"/>
    <w:lvl w:ilvl="0" w:tplc="24B81EC2">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E093E07"/>
    <w:multiLevelType w:val="hybridMultilevel"/>
    <w:tmpl w:val="AA4A82D6"/>
    <w:lvl w:ilvl="0" w:tplc="24B81EC2">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A946DF"/>
    <w:multiLevelType w:val="hybridMultilevel"/>
    <w:tmpl w:val="F0F0E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BB693C"/>
    <w:multiLevelType w:val="hybridMultilevel"/>
    <w:tmpl w:val="35DC9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2549A3"/>
    <w:multiLevelType w:val="hybridMultilevel"/>
    <w:tmpl w:val="918A00D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nsid w:val="688F7DC5"/>
    <w:multiLevelType w:val="hybridMultilevel"/>
    <w:tmpl w:val="7E26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922A64"/>
    <w:multiLevelType w:val="hybridMultilevel"/>
    <w:tmpl w:val="DC86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846D9A"/>
    <w:multiLevelType w:val="hybridMultilevel"/>
    <w:tmpl w:val="F3E2B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78138C"/>
    <w:multiLevelType w:val="hybridMultilevel"/>
    <w:tmpl w:val="4CCCA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766B25"/>
    <w:multiLevelType w:val="hybridMultilevel"/>
    <w:tmpl w:val="7D989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D036DE"/>
    <w:multiLevelType w:val="hybridMultilevel"/>
    <w:tmpl w:val="53CC3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37"/>
  </w:num>
  <w:num w:numId="4">
    <w:abstractNumId w:val="30"/>
  </w:num>
  <w:num w:numId="5">
    <w:abstractNumId w:val="25"/>
  </w:num>
  <w:num w:numId="6">
    <w:abstractNumId w:val="0"/>
  </w:num>
  <w:num w:numId="7">
    <w:abstractNumId w:val="40"/>
  </w:num>
  <w:num w:numId="8">
    <w:abstractNumId w:val="27"/>
  </w:num>
  <w:num w:numId="9">
    <w:abstractNumId w:val="16"/>
  </w:num>
  <w:num w:numId="10">
    <w:abstractNumId w:val="10"/>
  </w:num>
  <w:num w:numId="11">
    <w:abstractNumId w:val="2"/>
  </w:num>
  <w:num w:numId="12">
    <w:abstractNumId w:val="26"/>
  </w:num>
  <w:num w:numId="13">
    <w:abstractNumId w:val="6"/>
  </w:num>
  <w:num w:numId="14">
    <w:abstractNumId w:val="11"/>
  </w:num>
  <w:num w:numId="15">
    <w:abstractNumId w:val="20"/>
  </w:num>
  <w:num w:numId="16">
    <w:abstractNumId w:val="5"/>
  </w:num>
  <w:num w:numId="17">
    <w:abstractNumId w:val="19"/>
  </w:num>
  <w:num w:numId="18">
    <w:abstractNumId w:val="34"/>
  </w:num>
  <w:num w:numId="19">
    <w:abstractNumId w:val="38"/>
  </w:num>
  <w:num w:numId="20">
    <w:abstractNumId w:val="18"/>
  </w:num>
  <w:num w:numId="21">
    <w:abstractNumId w:val="4"/>
  </w:num>
  <w:num w:numId="22">
    <w:abstractNumId w:val="24"/>
  </w:num>
  <w:num w:numId="23">
    <w:abstractNumId w:val="41"/>
  </w:num>
  <w:num w:numId="24">
    <w:abstractNumId w:val="9"/>
  </w:num>
  <w:num w:numId="25">
    <w:abstractNumId w:val="21"/>
  </w:num>
  <w:num w:numId="26">
    <w:abstractNumId w:val="7"/>
  </w:num>
  <w:num w:numId="27">
    <w:abstractNumId w:val="3"/>
  </w:num>
  <w:num w:numId="28">
    <w:abstractNumId w:val="13"/>
  </w:num>
  <w:num w:numId="29">
    <w:abstractNumId w:val="32"/>
  </w:num>
  <w:num w:numId="30">
    <w:abstractNumId w:val="33"/>
  </w:num>
  <w:num w:numId="31">
    <w:abstractNumId w:val="39"/>
  </w:num>
  <w:num w:numId="32">
    <w:abstractNumId w:val="12"/>
  </w:num>
  <w:num w:numId="33">
    <w:abstractNumId w:val="15"/>
  </w:num>
  <w:num w:numId="34">
    <w:abstractNumId w:val="28"/>
  </w:num>
  <w:num w:numId="35">
    <w:abstractNumId w:val="17"/>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4"/>
  </w:num>
  <w:num w:numId="40">
    <w:abstractNumId w:val="23"/>
  </w:num>
  <w:num w:numId="41">
    <w:abstractNumId w:val="22"/>
  </w:num>
  <w:num w:numId="42">
    <w:abstractNumId w:val="35"/>
  </w:num>
  <w:num w:numId="43">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B4370"/>
    <w:rsid w:val="000028AA"/>
    <w:rsid w:val="000147F1"/>
    <w:rsid w:val="000317CA"/>
    <w:rsid w:val="00035882"/>
    <w:rsid w:val="00054F82"/>
    <w:rsid w:val="00056DF4"/>
    <w:rsid w:val="000602A7"/>
    <w:rsid w:val="0006586A"/>
    <w:rsid w:val="00071EAD"/>
    <w:rsid w:val="00086F28"/>
    <w:rsid w:val="0009371E"/>
    <w:rsid w:val="00093BDD"/>
    <w:rsid w:val="000D4ED7"/>
    <w:rsid w:val="000E202A"/>
    <w:rsid w:val="000F5F1E"/>
    <w:rsid w:val="00114B05"/>
    <w:rsid w:val="00114BA5"/>
    <w:rsid w:val="00126C81"/>
    <w:rsid w:val="00130C1F"/>
    <w:rsid w:val="001517F4"/>
    <w:rsid w:val="001556BF"/>
    <w:rsid w:val="0017088A"/>
    <w:rsid w:val="00175FAD"/>
    <w:rsid w:val="00182836"/>
    <w:rsid w:val="001910FF"/>
    <w:rsid w:val="001A358B"/>
    <w:rsid w:val="001B2122"/>
    <w:rsid w:val="001C486C"/>
    <w:rsid w:val="001D1BC3"/>
    <w:rsid w:val="001D367D"/>
    <w:rsid w:val="001D5137"/>
    <w:rsid w:val="001E14D8"/>
    <w:rsid w:val="001E4134"/>
    <w:rsid w:val="001E597A"/>
    <w:rsid w:val="001F4829"/>
    <w:rsid w:val="00210E8C"/>
    <w:rsid w:val="00212824"/>
    <w:rsid w:val="00213C09"/>
    <w:rsid w:val="002263DB"/>
    <w:rsid w:val="002303B2"/>
    <w:rsid w:val="0023116B"/>
    <w:rsid w:val="002329F3"/>
    <w:rsid w:val="00245F92"/>
    <w:rsid w:val="0024748D"/>
    <w:rsid w:val="00251549"/>
    <w:rsid w:val="00262F9C"/>
    <w:rsid w:val="00276560"/>
    <w:rsid w:val="00286E7D"/>
    <w:rsid w:val="002871D5"/>
    <w:rsid w:val="00287BB7"/>
    <w:rsid w:val="00293177"/>
    <w:rsid w:val="002A29EA"/>
    <w:rsid w:val="002A46B6"/>
    <w:rsid w:val="002D1D27"/>
    <w:rsid w:val="002F5F47"/>
    <w:rsid w:val="00307499"/>
    <w:rsid w:val="00313A7C"/>
    <w:rsid w:val="0031585A"/>
    <w:rsid w:val="00316F1D"/>
    <w:rsid w:val="00321079"/>
    <w:rsid w:val="00323148"/>
    <w:rsid w:val="003273DD"/>
    <w:rsid w:val="00347CD7"/>
    <w:rsid w:val="0035359E"/>
    <w:rsid w:val="00354564"/>
    <w:rsid w:val="00366BDA"/>
    <w:rsid w:val="00376D08"/>
    <w:rsid w:val="00382DFB"/>
    <w:rsid w:val="00385DD4"/>
    <w:rsid w:val="00391FB3"/>
    <w:rsid w:val="00392E81"/>
    <w:rsid w:val="0039608D"/>
    <w:rsid w:val="003A44E8"/>
    <w:rsid w:val="003C5F92"/>
    <w:rsid w:val="003C6F6C"/>
    <w:rsid w:val="003C7125"/>
    <w:rsid w:val="003D0BD9"/>
    <w:rsid w:val="003E24B8"/>
    <w:rsid w:val="003F1AD1"/>
    <w:rsid w:val="0040540D"/>
    <w:rsid w:val="004060B3"/>
    <w:rsid w:val="00411474"/>
    <w:rsid w:val="00413FBF"/>
    <w:rsid w:val="00423176"/>
    <w:rsid w:val="00423E5B"/>
    <w:rsid w:val="00424C41"/>
    <w:rsid w:val="00432FEF"/>
    <w:rsid w:val="00444000"/>
    <w:rsid w:val="00446599"/>
    <w:rsid w:val="004552C1"/>
    <w:rsid w:val="0047092C"/>
    <w:rsid w:val="0047538E"/>
    <w:rsid w:val="00482BF1"/>
    <w:rsid w:val="00487E62"/>
    <w:rsid w:val="0049159A"/>
    <w:rsid w:val="0049594D"/>
    <w:rsid w:val="004B7742"/>
    <w:rsid w:val="004D1BDB"/>
    <w:rsid w:val="004D39C7"/>
    <w:rsid w:val="004D40BA"/>
    <w:rsid w:val="004D6788"/>
    <w:rsid w:val="004E1A34"/>
    <w:rsid w:val="004F007A"/>
    <w:rsid w:val="004F1E7A"/>
    <w:rsid w:val="004F6500"/>
    <w:rsid w:val="00502F76"/>
    <w:rsid w:val="005036CD"/>
    <w:rsid w:val="0050659A"/>
    <w:rsid w:val="005326C5"/>
    <w:rsid w:val="0053434E"/>
    <w:rsid w:val="00534945"/>
    <w:rsid w:val="005408C6"/>
    <w:rsid w:val="0054682A"/>
    <w:rsid w:val="00555AE4"/>
    <w:rsid w:val="005569E7"/>
    <w:rsid w:val="00577BDF"/>
    <w:rsid w:val="00591FD7"/>
    <w:rsid w:val="005A2CEC"/>
    <w:rsid w:val="005B3EFF"/>
    <w:rsid w:val="005B4E2E"/>
    <w:rsid w:val="005C0C1F"/>
    <w:rsid w:val="005C4780"/>
    <w:rsid w:val="005E5EA4"/>
    <w:rsid w:val="005F0232"/>
    <w:rsid w:val="0060017B"/>
    <w:rsid w:val="006048BA"/>
    <w:rsid w:val="00606F38"/>
    <w:rsid w:val="00623703"/>
    <w:rsid w:val="00641DB8"/>
    <w:rsid w:val="006865E3"/>
    <w:rsid w:val="006879A5"/>
    <w:rsid w:val="00690B4A"/>
    <w:rsid w:val="006948D0"/>
    <w:rsid w:val="006A5567"/>
    <w:rsid w:val="006C18EC"/>
    <w:rsid w:val="006D3664"/>
    <w:rsid w:val="006F0D85"/>
    <w:rsid w:val="006F3829"/>
    <w:rsid w:val="007008EB"/>
    <w:rsid w:val="007020A2"/>
    <w:rsid w:val="00705772"/>
    <w:rsid w:val="00715541"/>
    <w:rsid w:val="00724208"/>
    <w:rsid w:val="007333D2"/>
    <w:rsid w:val="007353F9"/>
    <w:rsid w:val="00737D3F"/>
    <w:rsid w:val="00744F2C"/>
    <w:rsid w:val="00746AAC"/>
    <w:rsid w:val="00753A02"/>
    <w:rsid w:val="00760FF2"/>
    <w:rsid w:val="007612B4"/>
    <w:rsid w:val="0077150E"/>
    <w:rsid w:val="0079618C"/>
    <w:rsid w:val="007A095D"/>
    <w:rsid w:val="007B27C3"/>
    <w:rsid w:val="007B3A2C"/>
    <w:rsid w:val="007B6ADB"/>
    <w:rsid w:val="007B7E45"/>
    <w:rsid w:val="007C5CDB"/>
    <w:rsid w:val="007C6156"/>
    <w:rsid w:val="007D4B31"/>
    <w:rsid w:val="007E3317"/>
    <w:rsid w:val="00806297"/>
    <w:rsid w:val="00812F5F"/>
    <w:rsid w:val="008208C5"/>
    <w:rsid w:val="00823774"/>
    <w:rsid w:val="008246F0"/>
    <w:rsid w:val="0082495B"/>
    <w:rsid w:val="00824D8E"/>
    <w:rsid w:val="00825363"/>
    <w:rsid w:val="008437DB"/>
    <w:rsid w:val="008462F7"/>
    <w:rsid w:val="00853453"/>
    <w:rsid w:val="008548E1"/>
    <w:rsid w:val="0086025E"/>
    <w:rsid w:val="00861FB1"/>
    <w:rsid w:val="008831CA"/>
    <w:rsid w:val="008B0287"/>
    <w:rsid w:val="008B4370"/>
    <w:rsid w:val="008C0EBB"/>
    <w:rsid w:val="008D0434"/>
    <w:rsid w:val="008F2126"/>
    <w:rsid w:val="008F3A85"/>
    <w:rsid w:val="009146F8"/>
    <w:rsid w:val="00934754"/>
    <w:rsid w:val="00940558"/>
    <w:rsid w:val="00941B1C"/>
    <w:rsid w:val="00946A9B"/>
    <w:rsid w:val="0095214A"/>
    <w:rsid w:val="00956BD4"/>
    <w:rsid w:val="00973BC4"/>
    <w:rsid w:val="009751CF"/>
    <w:rsid w:val="00977225"/>
    <w:rsid w:val="0098196E"/>
    <w:rsid w:val="009852D5"/>
    <w:rsid w:val="0098682C"/>
    <w:rsid w:val="00986877"/>
    <w:rsid w:val="00994A44"/>
    <w:rsid w:val="00996735"/>
    <w:rsid w:val="009A0C61"/>
    <w:rsid w:val="009B1B28"/>
    <w:rsid w:val="009C0E78"/>
    <w:rsid w:val="009C6B24"/>
    <w:rsid w:val="009D38F9"/>
    <w:rsid w:val="009E42C1"/>
    <w:rsid w:val="009E5F31"/>
    <w:rsid w:val="009F7F1E"/>
    <w:rsid w:val="00A24975"/>
    <w:rsid w:val="00A25C7F"/>
    <w:rsid w:val="00A31DE3"/>
    <w:rsid w:val="00A32E1C"/>
    <w:rsid w:val="00A336D2"/>
    <w:rsid w:val="00A3660F"/>
    <w:rsid w:val="00A36D08"/>
    <w:rsid w:val="00A40EFE"/>
    <w:rsid w:val="00A672B8"/>
    <w:rsid w:val="00A76512"/>
    <w:rsid w:val="00A85B9C"/>
    <w:rsid w:val="00A94C79"/>
    <w:rsid w:val="00A94CCB"/>
    <w:rsid w:val="00A95158"/>
    <w:rsid w:val="00AB4536"/>
    <w:rsid w:val="00AD1ADF"/>
    <w:rsid w:val="00AD2381"/>
    <w:rsid w:val="00AD2853"/>
    <w:rsid w:val="00AD67F3"/>
    <w:rsid w:val="00AE4CC1"/>
    <w:rsid w:val="00AF23CA"/>
    <w:rsid w:val="00B04D09"/>
    <w:rsid w:val="00B30632"/>
    <w:rsid w:val="00B47810"/>
    <w:rsid w:val="00B5188E"/>
    <w:rsid w:val="00B603FD"/>
    <w:rsid w:val="00B718C6"/>
    <w:rsid w:val="00B759F3"/>
    <w:rsid w:val="00B767C3"/>
    <w:rsid w:val="00B972DE"/>
    <w:rsid w:val="00BA5AB6"/>
    <w:rsid w:val="00BD09EB"/>
    <w:rsid w:val="00BD787A"/>
    <w:rsid w:val="00BF1ACF"/>
    <w:rsid w:val="00C3426B"/>
    <w:rsid w:val="00C37B4E"/>
    <w:rsid w:val="00C41844"/>
    <w:rsid w:val="00C42419"/>
    <w:rsid w:val="00C50B7D"/>
    <w:rsid w:val="00C51C85"/>
    <w:rsid w:val="00C54264"/>
    <w:rsid w:val="00C63895"/>
    <w:rsid w:val="00C6534E"/>
    <w:rsid w:val="00C716C6"/>
    <w:rsid w:val="00C71EC7"/>
    <w:rsid w:val="00C72B41"/>
    <w:rsid w:val="00C857C1"/>
    <w:rsid w:val="00C87CC3"/>
    <w:rsid w:val="00C92017"/>
    <w:rsid w:val="00CA4F93"/>
    <w:rsid w:val="00CD1B21"/>
    <w:rsid w:val="00CE11B7"/>
    <w:rsid w:val="00CE6418"/>
    <w:rsid w:val="00CF1A55"/>
    <w:rsid w:val="00D01F8A"/>
    <w:rsid w:val="00D03F17"/>
    <w:rsid w:val="00D064BF"/>
    <w:rsid w:val="00D1350A"/>
    <w:rsid w:val="00D20B6C"/>
    <w:rsid w:val="00D2100A"/>
    <w:rsid w:val="00D34EF1"/>
    <w:rsid w:val="00D42A52"/>
    <w:rsid w:val="00D43A35"/>
    <w:rsid w:val="00D4626F"/>
    <w:rsid w:val="00D47165"/>
    <w:rsid w:val="00D60460"/>
    <w:rsid w:val="00D70A46"/>
    <w:rsid w:val="00D90E7C"/>
    <w:rsid w:val="00DA178D"/>
    <w:rsid w:val="00DA2805"/>
    <w:rsid w:val="00DB0936"/>
    <w:rsid w:val="00DB72B0"/>
    <w:rsid w:val="00DC1A8B"/>
    <w:rsid w:val="00DD20FA"/>
    <w:rsid w:val="00DD5FA8"/>
    <w:rsid w:val="00DF0A8F"/>
    <w:rsid w:val="00DF13C8"/>
    <w:rsid w:val="00E05691"/>
    <w:rsid w:val="00E07D42"/>
    <w:rsid w:val="00E10382"/>
    <w:rsid w:val="00E235F4"/>
    <w:rsid w:val="00E26B06"/>
    <w:rsid w:val="00E326FF"/>
    <w:rsid w:val="00E44049"/>
    <w:rsid w:val="00E458AC"/>
    <w:rsid w:val="00E75204"/>
    <w:rsid w:val="00E8330E"/>
    <w:rsid w:val="00E90206"/>
    <w:rsid w:val="00E96720"/>
    <w:rsid w:val="00EA346E"/>
    <w:rsid w:val="00EB0E08"/>
    <w:rsid w:val="00EB2915"/>
    <w:rsid w:val="00EB5EE6"/>
    <w:rsid w:val="00EB687D"/>
    <w:rsid w:val="00EC6810"/>
    <w:rsid w:val="00EC7AD1"/>
    <w:rsid w:val="00ED0822"/>
    <w:rsid w:val="00ED6529"/>
    <w:rsid w:val="00EE1B72"/>
    <w:rsid w:val="00EE5206"/>
    <w:rsid w:val="00EF3DE0"/>
    <w:rsid w:val="00F015CF"/>
    <w:rsid w:val="00F103E4"/>
    <w:rsid w:val="00F11E5B"/>
    <w:rsid w:val="00F121B4"/>
    <w:rsid w:val="00F14C5B"/>
    <w:rsid w:val="00F17DE5"/>
    <w:rsid w:val="00F229B1"/>
    <w:rsid w:val="00F45694"/>
    <w:rsid w:val="00F55573"/>
    <w:rsid w:val="00F7033F"/>
    <w:rsid w:val="00F73C00"/>
    <w:rsid w:val="00F740F2"/>
    <w:rsid w:val="00F81A3F"/>
    <w:rsid w:val="00F856E4"/>
    <w:rsid w:val="00FB01F6"/>
    <w:rsid w:val="00FB3B01"/>
    <w:rsid w:val="00FB4BD8"/>
    <w:rsid w:val="00FB7AF0"/>
    <w:rsid w:val="00FC5646"/>
    <w:rsid w:val="00FC6245"/>
    <w:rsid w:val="00FD110F"/>
    <w:rsid w:val="00FD7310"/>
    <w:rsid w:val="00FF64D8"/>
    <w:rsid w:val="00FF76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3CA"/>
  </w:style>
  <w:style w:type="paragraph" w:styleId="Heading2">
    <w:name w:val="heading 2"/>
    <w:basedOn w:val="Normal"/>
    <w:next w:val="Normal"/>
    <w:link w:val="Heading2Char"/>
    <w:semiHidden/>
    <w:unhideWhenUsed/>
    <w:qFormat/>
    <w:rsid w:val="00DA17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C61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70"/>
    <w:pPr>
      <w:widowControl w:val="0"/>
      <w:tabs>
        <w:tab w:val="center" w:pos="4153"/>
        <w:tab w:val="right" w:pos="8306"/>
      </w:tabs>
    </w:pPr>
    <w:rPr>
      <w:snapToGrid w:val="0"/>
      <w:sz w:val="24"/>
      <w:lang w:val="en-US" w:eastAsia="en-US"/>
    </w:rPr>
  </w:style>
  <w:style w:type="character" w:styleId="PageNumber">
    <w:name w:val="page number"/>
    <w:basedOn w:val="DefaultParagraphFont"/>
    <w:rsid w:val="008B4370"/>
  </w:style>
  <w:style w:type="paragraph" w:styleId="BodyText2">
    <w:name w:val="Body Text 2"/>
    <w:basedOn w:val="Normal"/>
    <w:rsid w:val="008B4370"/>
    <w:pPr>
      <w:spacing w:after="120" w:line="480" w:lineRule="auto"/>
    </w:pPr>
  </w:style>
  <w:style w:type="paragraph" w:styleId="Header">
    <w:name w:val="header"/>
    <w:basedOn w:val="Normal"/>
    <w:rsid w:val="00C71EC7"/>
    <w:pPr>
      <w:tabs>
        <w:tab w:val="center" w:pos="4320"/>
        <w:tab w:val="right" w:pos="8640"/>
      </w:tabs>
    </w:pPr>
  </w:style>
  <w:style w:type="paragraph" w:styleId="BodyTextIndent">
    <w:name w:val="Body Text Indent"/>
    <w:basedOn w:val="Normal"/>
    <w:rsid w:val="00C71EC7"/>
    <w:pPr>
      <w:spacing w:after="120"/>
      <w:ind w:left="283"/>
    </w:pPr>
  </w:style>
  <w:style w:type="table" w:styleId="TableGrid">
    <w:name w:val="Table Grid"/>
    <w:basedOn w:val="TableNormal"/>
    <w:rsid w:val="009B1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6ADB"/>
    <w:pPr>
      <w:autoSpaceDE w:val="0"/>
      <w:autoSpaceDN w:val="0"/>
      <w:adjustRightInd w:val="0"/>
    </w:pPr>
    <w:rPr>
      <w:rFonts w:ascii="DIN-Light" w:eastAsia="Calibri" w:hAnsi="DIN-Light" w:cs="DIN-Light"/>
      <w:color w:val="000000"/>
      <w:sz w:val="24"/>
      <w:szCs w:val="24"/>
    </w:rPr>
  </w:style>
  <w:style w:type="table" w:customStyle="1" w:styleId="TableGrid1">
    <w:name w:val="Table Grid1"/>
    <w:basedOn w:val="TableNormal"/>
    <w:next w:val="TableGrid"/>
    <w:uiPriority w:val="59"/>
    <w:rsid w:val="00946A9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46A9B"/>
    <w:rPr>
      <w:rFonts w:ascii="Tahoma" w:hAnsi="Tahoma" w:cs="Tahoma"/>
      <w:sz w:val="16"/>
      <w:szCs w:val="16"/>
    </w:rPr>
  </w:style>
  <w:style w:type="character" w:customStyle="1" w:styleId="BalloonTextChar">
    <w:name w:val="Balloon Text Char"/>
    <w:basedOn w:val="DefaultParagraphFont"/>
    <w:link w:val="BalloonText"/>
    <w:rsid w:val="00946A9B"/>
    <w:rPr>
      <w:rFonts w:ascii="Tahoma" w:hAnsi="Tahoma" w:cs="Tahoma"/>
      <w:sz w:val="16"/>
      <w:szCs w:val="16"/>
    </w:rPr>
  </w:style>
  <w:style w:type="paragraph" w:styleId="NormalWeb">
    <w:name w:val="Normal (Web)"/>
    <w:basedOn w:val="Normal"/>
    <w:uiPriority w:val="99"/>
    <w:unhideWhenUsed/>
    <w:rsid w:val="00934754"/>
    <w:pPr>
      <w:spacing w:before="100" w:beforeAutospacing="1" w:after="150" w:line="270" w:lineRule="atLeast"/>
    </w:pPr>
    <w:rPr>
      <w:sz w:val="24"/>
      <w:szCs w:val="24"/>
    </w:rPr>
  </w:style>
  <w:style w:type="paragraph" w:styleId="EndnoteText">
    <w:name w:val="endnote text"/>
    <w:basedOn w:val="Normal"/>
    <w:link w:val="EndnoteTextChar"/>
    <w:rsid w:val="00934754"/>
  </w:style>
  <w:style w:type="character" w:customStyle="1" w:styleId="EndnoteTextChar">
    <w:name w:val="Endnote Text Char"/>
    <w:basedOn w:val="DefaultParagraphFont"/>
    <w:link w:val="EndnoteText"/>
    <w:rsid w:val="00934754"/>
  </w:style>
  <w:style w:type="character" w:styleId="EndnoteReference">
    <w:name w:val="endnote reference"/>
    <w:basedOn w:val="DefaultParagraphFont"/>
    <w:rsid w:val="00934754"/>
    <w:rPr>
      <w:vertAlign w:val="superscript"/>
    </w:rPr>
  </w:style>
  <w:style w:type="paragraph" w:styleId="Revision">
    <w:name w:val="Revision"/>
    <w:hidden/>
    <w:uiPriority w:val="99"/>
    <w:semiHidden/>
    <w:rsid w:val="00934754"/>
  </w:style>
  <w:style w:type="paragraph" w:styleId="ListParagraph">
    <w:name w:val="List Paragraph"/>
    <w:basedOn w:val="Normal"/>
    <w:uiPriority w:val="34"/>
    <w:qFormat/>
    <w:rsid w:val="00411474"/>
    <w:pPr>
      <w:ind w:left="720"/>
      <w:contextualSpacing/>
    </w:pPr>
  </w:style>
  <w:style w:type="paragraph" w:styleId="FootnoteText">
    <w:name w:val="footnote text"/>
    <w:basedOn w:val="Normal"/>
    <w:link w:val="FootnoteTextChar"/>
    <w:rsid w:val="0049594D"/>
  </w:style>
  <w:style w:type="character" w:customStyle="1" w:styleId="FootnoteTextChar">
    <w:name w:val="Footnote Text Char"/>
    <w:basedOn w:val="DefaultParagraphFont"/>
    <w:link w:val="FootnoteText"/>
    <w:rsid w:val="0049594D"/>
  </w:style>
  <w:style w:type="character" w:styleId="FootnoteReference">
    <w:name w:val="footnote reference"/>
    <w:basedOn w:val="DefaultParagraphFont"/>
    <w:rsid w:val="0049594D"/>
    <w:rPr>
      <w:vertAlign w:val="superscript"/>
    </w:rPr>
  </w:style>
  <w:style w:type="character" w:styleId="Hyperlink">
    <w:name w:val="Hyperlink"/>
    <w:basedOn w:val="DefaultParagraphFont"/>
    <w:rsid w:val="0049594D"/>
    <w:rPr>
      <w:color w:val="0000FF" w:themeColor="hyperlink"/>
      <w:u w:val="single"/>
    </w:rPr>
  </w:style>
  <w:style w:type="character" w:styleId="CommentReference">
    <w:name w:val="annotation reference"/>
    <w:basedOn w:val="DefaultParagraphFont"/>
    <w:rsid w:val="007B3A2C"/>
    <w:rPr>
      <w:sz w:val="16"/>
      <w:szCs w:val="16"/>
    </w:rPr>
  </w:style>
  <w:style w:type="paragraph" w:styleId="CommentText">
    <w:name w:val="annotation text"/>
    <w:basedOn w:val="Normal"/>
    <w:link w:val="CommentTextChar"/>
    <w:rsid w:val="007B3A2C"/>
  </w:style>
  <w:style w:type="character" w:customStyle="1" w:styleId="CommentTextChar">
    <w:name w:val="Comment Text Char"/>
    <w:basedOn w:val="DefaultParagraphFont"/>
    <w:link w:val="CommentText"/>
    <w:rsid w:val="007B3A2C"/>
  </w:style>
  <w:style w:type="paragraph" w:styleId="CommentSubject">
    <w:name w:val="annotation subject"/>
    <w:basedOn w:val="CommentText"/>
    <w:next w:val="CommentText"/>
    <w:link w:val="CommentSubjectChar"/>
    <w:rsid w:val="007B3A2C"/>
    <w:rPr>
      <w:b/>
      <w:bCs/>
    </w:rPr>
  </w:style>
  <w:style w:type="character" w:customStyle="1" w:styleId="CommentSubjectChar">
    <w:name w:val="Comment Subject Char"/>
    <w:basedOn w:val="CommentTextChar"/>
    <w:link w:val="CommentSubject"/>
    <w:rsid w:val="007B3A2C"/>
    <w:rPr>
      <w:b/>
      <w:bCs/>
    </w:rPr>
  </w:style>
  <w:style w:type="paragraph" w:styleId="BodyText">
    <w:name w:val="Body Text"/>
    <w:basedOn w:val="Normal"/>
    <w:link w:val="BodyTextChar"/>
    <w:rsid w:val="007B3A2C"/>
    <w:pPr>
      <w:spacing w:after="120"/>
    </w:pPr>
    <w:rPr>
      <w:sz w:val="24"/>
      <w:szCs w:val="24"/>
    </w:rPr>
  </w:style>
  <w:style w:type="character" w:customStyle="1" w:styleId="BodyTextChar">
    <w:name w:val="Body Text Char"/>
    <w:basedOn w:val="DefaultParagraphFont"/>
    <w:link w:val="BodyText"/>
    <w:rsid w:val="007B3A2C"/>
    <w:rPr>
      <w:sz w:val="24"/>
      <w:szCs w:val="24"/>
    </w:rPr>
  </w:style>
  <w:style w:type="paragraph" w:customStyle="1" w:styleId="DHbullet">
    <w:name w:val="DH bullet"/>
    <w:basedOn w:val="Normal"/>
    <w:rsid w:val="007B3A2C"/>
    <w:pPr>
      <w:tabs>
        <w:tab w:val="num" w:pos="287"/>
        <w:tab w:val="num" w:pos="360"/>
      </w:tabs>
      <w:spacing w:after="120" w:line="270" w:lineRule="exact"/>
      <w:ind w:left="289" w:hanging="289"/>
    </w:pPr>
    <w:rPr>
      <w:rFonts w:ascii="Arial" w:eastAsia="Times" w:hAnsi="Arial"/>
      <w:lang w:eastAsia="en-US"/>
    </w:rPr>
  </w:style>
  <w:style w:type="character" w:customStyle="1" w:styleId="DHheading2Char">
    <w:name w:val="DH heading 2 Char"/>
    <w:link w:val="DHheading2"/>
    <w:locked/>
    <w:rsid w:val="007B3A2C"/>
    <w:rPr>
      <w:rFonts w:ascii="Arial" w:hAnsi="Arial" w:cs="Arial"/>
      <w:b/>
      <w:bCs/>
      <w:sz w:val="28"/>
      <w:szCs w:val="24"/>
      <w:lang w:eastAsia="en-US"/>
    </w:rPr>
  </w:style>
  <w:style w:type="paragraph" w:customStyle="1" w:styleId="DHheading2">
    <w:name w:val="DH heading 2"/>
    <w:next w:val="Normal"/>
    <w:link w:val="DHheading2Char"/>
    <w:rsid w:val="007B3A2C"/>
    <w:pPr>
      <w:spacing w:before="240" w:after="90" w:line="320" w:lineRule="exact"/>
    </w:pPr>
    <w:rPr>
      <w:rFonts w:ascii="Arial" w:hAnsi="Arial" w:cs="Arial"/>
      <w:b/>
      <w:bCs/>
      <w:sz w:val="28"/>
      <w:szCs w:val="24"/>
      <w:lang w:eastAsia="en-US"/>
    </w:rPr>
  </w:style>
  <w:style w:type="paragraph" w:customStyle="1" w:styleId="Heading2A">
    <w:name w:val="Heading 2A"/>
    <w:basedOn w:val="Heading2"/>
    <w:link w:val="Heading2AChar"/>
    <w:qFormat/>
    <w:rsid w:val="00DA178D"/>
    <w:pPr>
      <w:keepLines w:val="0"/>
      <w:spacing w:before="120" w:after="120"/>
    </w:pPr>
    <w:rPr>
      <w:rFonts w:ascii="Arial" w:eastAsia="Times New Roman" w:hAnsi="Arial" w:cs="Times New Roman"/>
      <w:iCs/>
      <w:color w:val="548DD4"/>
      <w:sz w:val="22"/>
      <w:szCs w:val="22"/>
      <w:u w:val="single"/>
    </w:rPr>
  </w:style>
  <w:style w:type="character" w:customStyle="1" w:styleId="Heading2AChar">
    <w:name w:val="Heading 2A Char"/>
    <w:link w:val="Heading2A"/>
    <w:rsid w:val="00DA178D"/>
    <w:rPr>
      <w:rFonts w:ascii="Arial" w:hAnsi="Arial"/>
      <w:b/>
      <w:bCs/>
      <w:iCs/>
      <w:color w:val="548DD4"/>
      <w:sz w:val="22"/>
      <w:szCs w:val="22"/>
      <w:u w:val="single"/>
    </w:rPr>
  </w:style>
  <w:style w:type="character" w:customStyle="1" w:styleId="Heading2Char">
    <w:name w:val="Heading 2 Char"/>
    <w:basedOn w:val="DefaultParagraphFont"/>
    <w:link w:val="Heading2"/>
    <w:semiHidden/>
    <w:rsid w:val="00DA178D"/>
    <w:rPr>
      <w:rFonts w:asciiTheme="majorHAnsi" w:eastAsiaTheme="majorEastAsia" w:hAnsiTheme="majorHAnsi" w:cstheme="majorBidi"/>
      <w:b/>
      <w:bCs/>
      <w:color w:val="4F81BD" w:themeColor="accent1"/>
      <w:sz w:val="26"/>
      <w:szCs w:val="26"/>
    </w:rPr>
  </w:style>
  <w:style w:type="paragraph" w:customStyle="1" w:styleId="imprintuniqueid">
    <w:name w:val="imprintuniqueid"/>
    <w:basedOn w:val="Normal"/>
    <w:uiPriority w:val="99"/>
    <w:rsid w:val="00555AE4"/>
    <w:rPr>
      <w:rFonts w:eastAsiaTheme="minorHAnsi"/>
      <w:sz w:val="24"/>
      <w:szCs w:val="24"/>
    </w:rPr>
  </w:style>
  <w:style w:type="character" w:styleId="Strong">
    <w:name w:val="Strong"/>
    <w:basedOn w:val="DefaultParagraphFont"/>
    <w:uiPriority w:val="22"/>
    <w:qFormat/>
    <w:rsid w:val="00555AE4"/>
    <w:rPr>
      <w:b/>
      <w:bCs/>
    </w:rPr>
  </w:style>
  <w:style w:type="character" w:customStyle="1" w:styleId="Heading3Char">
    <w:name w:val="Heading 3 Char"/>
    <w:basedOn w:val="DefaultParagraphFont"/>
    <w:link w:val="Heading3"/>
    <w:semiHidden/>
    <w:rsid w:val="007C615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C61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3CA"/>
  </w:style>
  <w:style w:type="paragraph" w:styleId="Heading2">
    <w:name w:val="heading 2"/>
    <w:basedOn w:val="Normal"/>
    <w:next w:val="Normal"/>
    <w:link w:val="Heading2Char"/>
    <w:semiHidden/>
    <w:unhideWhenUsed/>
    <w:qFormat/>
    <w:rsid w:val="00DA17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C61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70"/>
    <w:pPr>
      <w:widowControl w:val="0"/>
      <w:tabs>
        <w:tab w:val="center" w:pos="4153"/>
        <w:tab w:val="right" w:pos="8306"/>
      </w:tabs>
    </w:pPr>
    <w:rPr>
      <w:snapToGrid w:val="0"/>
      <w:sz w:val="24"/>
      <w:lang w:val="en-US" w:eastAsia="en-US"/>
    </w:rPr>
  </w:style>
  <w:style w:type="character" w:styleId="PageNumber">
    <w:name w:val="page number"/>
    <w:basedOn w:val="DefaultParagraphFont"/>
    <w:rsid w:val="008B4370"/>
  </w:style>
  <w:style w:type="paragraph" w:styleId="BodyText2">
    <w:name w:val="Body Text 2"/>
    <w:basedOn w:val="Normal"/>
    <w:rsid w:val="008B4370"/>
    <w:pPr>
      <w:spacing w:after="120" w:line="480" w:lineRule="auto"/>
    </w:pPr>
  </w:style>
  <w:style w:type="paragraph" w:styleId="Header">
    <w:name w:val="header"/>
    <w:basedOn w:val="Normal"/>
    <w:rsid w:val="00C71EC7"/>
    <w:pPr>
      <w:tabs>
        <w:tab w:val="center" w:pos="4320"/>
        <w:tab w:val="right" w:pos="8640"/>
      </w:tabs>
    </w:pPr>
  </w:style>
  <w:style w:type="paragraph" w:styleId="BodyTextIndent">
    <w:name w:val="Body Text Indent"/>
    <w:basedOn w:val="Normal"/>
    <w:rsid w:val="00C71EC7"/>
    <w:pPr>
      <w:spacing w:after="120"/>
      <w:ind w:left="283"/>
    </w:pPr>
  </w:style>
  <w:style w:type="table" w:styleId="TableGrid">
    <w:name w:val="Table Grid"/>
    <w:basedOn w:val="TableNormal"/>
    <w:rsid w:val="009B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ADB"/>
    <w:pPr>
      <w:autoSpaceDE w:val="0"/>
      <w:autoSpaceDN w:val="0"/>
      <w:adjustRightInd w:val="0"/>
    </w:pPr>
    <w:rPr>
      <w:rFonts w:ascii="DIN-Light" w:eastAsia="Calibri" w:hAnsi="DIN-Light" w:cs="DIN-Light"/>
      <w:color w:val="000000"/>
      <w:sz w:val="24"/>
      <w:szCs w:val="24"/>
    </w:rPr>
  </w:style>
  <w:style w:type="table" w:customStyle="1" w:styleId="TableGrid1">
    <w:name w:val="Table Grid1"/>
    <w:basedOn w:val="TableNormal"/>
    <w:next w:val="TableGrid"/>
    <w:uiPriority w:val="59"/>
    <w:rsid w:val="00946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6A9B"/>
    <w:rPr>
      <w:rFonts w:ascii="Tahoma" w:hAnsi="Tahoma" w:cs="Tahoma"/>
      <w:sz w:val="16"/>
      <w:szCs w:val="16"/>
    </w:rPr>
  </w:style>
  <w:style w:type="character" w:customStyle="1" w:styleId="BalloonTextChar">
    <w:name w:val="Balloon Text Char"/>
    <w:basedOn w:val="DefaultParagraphFont"/>
    <w:link w:val="BalloonText"/>
    <w:rsid w:val="00946A9B"/>
    <w:rPr>
      <w:rFonts w:ascii="Tahoma" w:hAnsi="Tahoma" w:cs="Tahoma"/>
      <w:sz w:val="16"/>
      <w:szCs w:val="16"/>
    </w:rPr>
  </w:style>
  <w:style w:type="paragraph" w:styleId="NormalWeb">
    <w:name w:val="Normal (Web)"/>
    <w:basedOn w:val="Normal"/>
    <w:uiPriority w:val="99"/>
    <w:unhideWhenUsed/>
    <w:rsid w:val="00934754"/>
    <w:pPr>
      <w:spacing w:before="100" w:beforeAutospacing="1" w:after="150" w:line="270" w:lineRule="atLeast"/>
    </w:pPr>
    <w:rPr>
      <w:sz w:val="24"/>
      <w:szCs w:val="24"/>
    </w:rPr>
  </w:style>
  <w:style w:type="paragraph" w:styleId="EndnoteText">
    <w:name w:val="endnote text"/>
    <w:basedOn w:val="Normal"/>
    <w:link w:val="EndnoteTextChar"/>
    <w:rsid w:val="00934754"/>
  </w:style>
  <w:style w:type="character" w:customStyle="1" w:styleId="EndnoteTextChar">
    <w:name w:val="Endnote Text Char"/>
    <w:basedOn w:val="DefaultParagraphFont"/>
    <w:link w:val="EndnoteText"/>
    <w:rsid w:val="00934754"/>
  </w:style>
  <w:style w:type="character" w:styleId="EndnoteReference">
    <w:name w:val="endnote reference"/>
    <w:basedOn w:val="DefaultParagraphFont"/>
    <w:rsid w:val="00934754"/>
    <w:rPr>
      <w:vertAlign w:val="superscript"/>
    </w:rPr>
  </w:style>
  <w:style w:type="paragraph" w:styleId="Revision">
    <w:name w:val="Revision"/>
    <w:hidden/>
    <w:uiPriority w:val="99"/>
    <w:semiHidden/>
    <w:rsid w:val="00934754"/>
  </w:style>
  <w:style w:type="paragraph" w:styleId="ListParagraph">
    <w:name w:val="List Paragraph"/>
    <w:basedOn w:val="Normal"/>
    <w:uiPriority w:val="34"/>
    <w:qFormat/>
    <w:rsid w:val="00411474"/>
    <w:pPr>
      <w:ind w:left="720"/>
      <w:contextualSpacing/>
    </w:pPr>
  </w:style>
  <w:style w:type="paragraph" w:styleId="FootnoteText">
    <w:name w:val="footnote text"/>
    <w:basedOn w:val="Normal"/>
    <w:link w:val="FootnoteTextChar"/>
    <w:rsid w:val="0049594D"/>
  </w:style>
  <w:style w:type="character" w:customStyle="1" w:styleId="FootnoteTextChar">
    <w:name w:val="Footnote Text Char"/>
    <w:basedOn w:val="DefaultParagraphFont"/>
    <w:link w:val="FootnoteText"/>
    <w:rsid w:val="0049594D"/>
  </w:style>
  <w:style w:type="character" w:styleId="FootnoteReference">
    <w:name w:val="footnote reference"/>
    <w:basedOn w:val="DefaultParagraphFont"/>
    <w:rsid w:val="0049594D"/>
    <w:rPr>
      <w:vertAlign w:val="superscript"/>
    </w:rPr>
  </w:style>
  <w:style w:type="character" w:styleId="Hyperlink">
    <w:name w:val="Hyperlink"/>
    <w:basedOn w:val="DefaultParagraphFont"/>
    <w:rsid w:val="0049594D"/>
    <w:rPr>
      <w:color w:val="0000FF" w:themeColor="hyperlink"/>
      <w:u w:val="single"/>
    </w:rPr>
  </w:style>
  <w:style w:type="character" w:styleId="CommentReference">
    <w:name w:val="annotation reference"/>
    <w:basedOn w:val="DefaultParagraphFont"/>
    <w:rsid w:val="007B3A2C"/>
    <w:rPr>
      <w:sz w:val="16"/>
      <w:szCs w:val="16"/>
    </w:rPr>
  </w:style>
  <w:style w:type="paragraph" w:styleId="CommentText">
    <w:name w:val="annotation text"/>
    <w:basedOn w:val="Normal"/>
    <w:link w:val="CommentTextChar"/>
    <w:rsid w:val="007B3A2C"/>
  </w:style>
  <w:style w:type="character" w:customStyle="1" w:styleId="CommentTextChar">
    <w:name w:val="Comment Text Char"/>
    <w:basedOn w:val="DefaultParagraphFont"/>
    <w:link w:val="CommentText"/>
    <w:rsid w:val="007B3A2C"/>
  </w:style>
  <w:style w:type="paragraph" w:styleId="CommentSubject">
    <w:name w:val="annotation subject"/>
    <w:basedOn w:val="CommentText"/>
    <w:next w:val="CommentText"/>
    <w:link w:val="CommentSubjectChar"/>
    <w:rsid w:val="007B3A2C"/>
    <w:rPr>
      <w:b/>
      <w:bCs/>
    </w:rPr>
  </w:style>
  <w:style w:type="character" w:customStyle="1" w:styleId="CommentSubjectChar">
    <w:name w:val="Comment Subject Char"/>
    <w:basedOn w:val="CommentTextChar"/>
    <w:link w:val="CommentSubject"/>
    <w:rsid w:val="007B3A2C"/>
    <w:rPr>
      <w:b/>
      <w:bCs/>
    </w:rPr>
  </w:style>
  <w:style w:type="paragraph" w:styleId="BodyText">
    <w:name w:val="Body Text"/>
    <w:basedOn w:val="Normal"/>
    <w:link w:val="BodyTextChar"/>
    <w:rsid w:val="007B3A2C"/>
    <w:pPr>
      <w:spacing w:after="120"/>
    </w:pPr>
    <w:rPr>
      <w:sz w:val="24"/>
      <w:szCs w:val="24"/>
    </w:rPr>
  </w:style>
  <w:style w:type="character" w:customStyle="1" w:styleId="BodyTextChar">
    <w:name w:val="Body Text Char"/>
    <w:basedOn w:val="DefaultParagraphFont"/>
    <w:link w:val="BodyText"/>
    <w:rsid w:val="007B3A2C"/>
    <w:rPr>
      <w:sz w:val="24"/>
      <w:szCs w:val="24"/>
    </w:rPr>
  </w:style>
  <w:style w:type="paragraph" w:customStyle="1" w:styleId="DHbullet">
    <w:name w:val="DH bullet"/>
    <w:basedOn w:val="Normal"/>
    <w:rsid w:val="007B3A2C"/>
    <w:pPr>
      <w:tabs>
        <w:tab w:val="num" w:pos="287"/>
        <w:tab w:val="num" w:pos="360"/>
      </w:tabs>
      <w:spacing w:after="120" w:line="270" w:lineRule="exact"/>
      <w:ind w:left="289" w:hanging="289"/>
    </w:pPr>
    <w:rPr>
      <w:rFonts w:ascii="Arial" w:eastAsia="Times" w:hAnsi="Arial"/>
      <w:lang w:eastAsia="en-US"/>
    </w:rPr>
  </w:style>
  <w:style w:type="character" w:customStyle="1" w:styleId="DHheading2Char">
    <w:name w:val="DH heading 2 Char"/>
    <w:link w:val="DHheading2"/>
    <w:locked/>
    <w:rsid w:val="007B3A2C"/>
    <w:rPr>
      <w:rFonts w:ascii="Arial" w:hAnsi="Arial" w:cs="Arial"/>
      <w:b/>
      <w:bCs/>
      <w:sz w:val="28"/>
      <w:szCs w:val="24"/>
      <w:lang w:eastAsia="en-US"/>
    </w:rPr>
  </w:style>
  <w:style w:type="paragraph" w:customStyle="1" w:styleId="DHheading2">
    <w:name w:val="DH heading 2"/>
    <w:next w:val="Normal"/>
    <w:link w:val="DHheading2Char"/>
    <w:rsid w:val="007B3A2C"/>
    <w:pPr>
      <w:spacing w:before="240" w:after="90" w:line="320" w:lineRule="exact"/>
    </w:pPr>
    <w:rPr>
      <w:rFonts w:ascii="Arial" w:hAnsi="Arial" w:cs="Arial"/>
      <w:b/>
      <w:bCs/>
      <w:sz w:val="28"/>
      <w:szCs w:val="24"/>
      <w:lang w:eastAsia="en-US"/>
    </w:rPr>
  </w:style>
  <w:style w:type="paragraph" w:customStyle="1" w:styleId="Heading2A">
    <w:name w:val="Heading 2A"/>
    <w:basedOn w:val="Heading2"/>
    <w:link w:val="Heading2AChar"/>
    <w:qFormat/>
    <w:rsid w:val="00DA178D"/>
    <w:pPr>
      <w:keepLines w:val="0"/>
      <w:spacing w:before="120" w:after="120"/>
    </w:pPr>
    <w:rPr>
      <w:rFonts w:ascii="Arial" w:eastAsia="Times New Roman" w:hAnsi="Arial" w:cs="Times New Roman"/>
      <w:iCs/>
      <w:color w:val="548DD4"/>
      <w:sz w:val="22"/>
      <w:szCs w:val="22"/>
      <w:u w:val="single"/>
      <w:lang w:val="x-none" w:eastAsia="x-none"/>
    </w:rPr>
  </w:style>
  <w:style w:type="character" w:customStyle="1" w:styleId="Heading2AChar">
    <w:name w:val="Heading 2A Char"/>
    <w:link w:val="Heading2A"/>
    <w:rsid w:val="00DA178D"/>
    <w:rPr>
      <w:rFonts w:ascii="Arial" w:hAnsi="Arial"/>
      <w:b/>
      <w:bCs/>
      <w:iCs/>
      <w:color w:val="548DD4"/>
      <w:sz w:val="22"/>
      <w:szCs w:val="22"/>
      <w:u w:val="single"/>
      <w:lang w:val="x-none" w:eastAsia="x-none"/>
    </w:rPr>
  </w:style>
  <w:style w:type="character" w:customStyle="1" w:styleId="Heading2Char">
    <w:name w:val="Heading 2 Char"/>
    <w:basedOn w:val="DefaultParagraphFont"/>
    <w:link w:val="Heading2"/>
    <w:semiHidden/>
    <w:rsid w:val="00DA178D"/>
    <w:rPr>
      <w:rFonts w:asciiTheme="majorHAnsi" w:eastAsiaTheme="majorEastAsia" w:hAnsiTheme="majorHAnsi" w:cstheme="majorBidi"/>
      <w:b/>
      <w:bCs/>
      <w:color w:val="4F81BD" w:themeColor="accent1"/>
      <w:sz w:val="26"/>
      <w:szCs w:val="26"/>
    </w:rPr>
  </w:style>
  <w:style w:type="paragraph" w:customStyle="1" w:styleId="imprintuniqueid">
    <w:name w:val="imprintuniqueid"/>
    <w:basedOn w:val="Normal"/>
    <w:uiPriority w:val="99"/>
    <w:rsid w:val="00555AE4"/>
    <w:rPr>
      <w:rFonts w:eastAsiaTheme="minorHAnsi"/>
      <w:sz w:val="24"/>
      <w:szCs w:val="24"/>
    </w:rPr>
  </w:style>
  <w:style w:type="character" w:styleId="Strong">
    <w:name w:val="Strong"/>
    <w:basedOn w:val="DefaultParagraphFont"/>
    <w:uiPriority w:val="22"/>
    <w:qFormat/>
    <w:rsid w:val="00555AE4"/>
    <w:rPr>
      <w:b/>
      <w:bCs/>
    </w:rPr>
  </w:style>
  <w:style w:type="character" w:customStyle="1" w:styleId="Heading3Char">
    <w:name w:val="Heading 3 Char"/>
    <w:basedOn w:val="DefaultParagraphFont"/>
    <w:link w:val="Heading3"/>
    <w:semiHidden/>
    <w:rsid w:val="007C615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C6156"/>
    <w:rPr>
      <w:i/>
      <w:iCs/>
    </w:rPr>
  </w:style>
</w:styles>
</file>

<file path=word/webSettings.xml><?xml version="1.0" encoding="utf-8"?>
<w:webSettings xmlns:r="http://schemas.openxmlformats.org/officeDocument/2006/relationships" xmlns:w="http://schemas.openxmlformats.org/wordprocessingml/2006/main">
  <w:divs>
    <w:div w:id="83697793">
      <w:bodyDiv w:val="1"/>
      <w:marLeft w:val="0"/>
      <w:marRight w:val="0"/>
      <w:marTop w:val="0"/>
      <w:marBottom w:val="0"/>
      <w:divBdr>
        <w:top w:val="none" w:sz="0" w:space="0" w:color="auto"/>
        <w:left w:val="none" w:sz="0" w:space="0" w:color="auto"/>
        <w:bottom w:val="none" w:sz="0" w:space="0" w:color="auto"/>
        <w:right w:val="none" w:sz="0" w:space="0" w:color="auto"/>
      </w:divBdr>
    </w:div>
    <w:div w:id="395903930">
      <w:bodyDiv w:val="1"/>
      <w:marLeft w:val="0"/>
      <w:marRight w:val="0"/>
      <w:marTop w:val="0"/>
      <w:marBottom w:val="0"/>
      <w:divBdr>
        <w:top w:val="none" w:sz="0" w:space="0" w:color="auto"/>
        <w:left w:val="none" w:sz="0" w:space="0" w:color="auto"/>
        <w:bottom w:val="none" w:sz="0" w:space="0" w:color="auto"/>
        <w:right w:val="none" w:sz="0" w:space="0" w:color="auto"/>
      </w:divBdr>
    </w:div>
    <w:div w:id="1196504885">
      <w:bodyDiv w:val="1"/>
      <w:marLeft w:val="0"/>
      <w:marRight w:val="0"/>
      <w:marTop w:val="0"/>
      <w:marBottom w:val="0"/>
      <w:divBdr>
        <w:top w:val="none" w:sz="0" w:space="0" w:color="auto"/>
        <w:left w:val="none" w:sz="0" w:space="0" w:color="auto"/>
        <w:bottom w:val="none" w:sz="0" w:space="0" w:color="auto"/>
        <w:right w:val="none" w:sz="0" w:space="0" w:color="auto"/>
      </w:divBdr>
      <w:divsChild>
        <w:div w:id="1386105232">
          <w:marLeft w:val="0"/>
          <w:marRight w:val="0"/>
          <w:marTop w:val="0"/>
          <w:marBottom w:val="0"/>
          <w:divBdr>
            <w:top w:val="none" w:sz="0" w:space="0" w:color="auto"/>
            <w:left w:val="none" w:sz="0" w:space="0" w:color="auto"/>
            <w:bottom w:val="none" w:sz="0" w:space="0" w:color="auto"/>
            <w:right w:val="none" w:sz="0" w:space="0" w:color="auto"/>
          </w:divBdr>
          <w:divsChild>
            <w:div w:id="52461459">
              <w:marLeft w:val="0"/>
              <w:marRight w:val="0"/>
              <w:marTop w:val="0"/>
              <w:marBottom w:val="0"/>
              <w:divBdr>
                <w:top w:val="none" w:sz="0" w:space="0" w:color="auto"/>
                <w:left w:val="none" w:sz="0" w:space="0" w:color="auto"/>
                <w:bottom w:val="none" w:sz="0" w:space="0" w:color="auto"/>
                <w:right w:val="none" w:sz="0" w:space="0" w:color="auto"/>
              </w:divBdr>
              <w:divsChild>
                <w:div w:id="1085422726">
                  <w:marLeft w:val="-225"/>
                  <w:marRight w:val="-225"/>
                  <w:marTop w:val="0"/>
                  <w:marBottom w:val="0"/>
                  <w:divBdr>
                    <w:top w:val="none" w:sz="0" w:space="0" w:color="auto"/>
                    <w:left w:val="none" w:sz="0" w:space="0" w:color="auto"/>
                    <w:bottom w:val="none" w:sz="0" w:space="0" w:color="auto"/>
                    <w:right w:val="none" w:sz="0" w:space="0" w:color="auto"/>
                  </w:divBdr>
                  <w:divsChild>
                    <w:div w:id="1766657447">
                      <w:marLeft w:val="0"/>
                      <w:marRight w:val="0"/>
                      <w:marTop w:val="0"/>
                      <w:marBottom w:val="0"/>
                      <w:divBdr>
                        <w:top w:val="none" w:sz="0" w:space="0" w:color="auto"/>
                        <w:left w:val="none" w:sz="0" w:space="0" w:color="auto"/>
                        <w:bottom w:val="none" w:sz="0" w:space="0" w:color="auto"/>
                        <w:right w:val="none" w:sz="0" w:space="0" w:color="auto"/>
                      </w:divBdr>
                      <w:divsChild>
                        <w:div w:id="1593516284">
                          <w:marLeft w:val="0"/>
                          <w:marRight w:val="0"/>
                          <w:marTop w:val="0"/>
                          <w:marBottom w:val="300"/>
                          <w:divBdr>
                            <w:top w:val="none" w:sz="0" w:space="0" w:color="auto"/>
                            <w:left w:val="none" w:sz="0" w:space="0" w:color="auto"/>
                            <w:bottom w:val="none" w:sz="0" w:space="0" w:color="auto"/>
                            <w:right w:val="none" w:sz="0" w:space="0" w:color="auto"/>
                          </w:divBdr>
                          <w:divsChild>
                            <w:div w:id="7896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999832">
      <w:bodyDiv w:val="1"/>
      <w:marLeft w:val="0"/>
      <w:marRight w:val="0"/>
      <w:marTop w:val="0"/>
      <w:marBottom w:val="0"/>
      <w:divBdr>
        <w:top w:val="none" w:sz="0" w:space="0" w:color="auto"/>
        <w:left w:val="none" w:sz="0" w:space="0" w:color="auto"/>
        <w:bottom w:val="none" w:sz="0" w:space="0" w:color="auto"/>
        <w:right w:val="none" w:sz="0" w:space="0" w:color="auto"/>
      </w:divBdr>
    </w:div>
    <w:div w:id="1664427433">
      <w:bodyDiv w:val="1"/>
      <w:marLeft w:val="0"/>
      <w:marRight w:val="0"/>
      <w:marTop w:val="0"/>
      <w:marBottom w:val="0"/>
      <w:divBdr>
        <w:top w:val="none" w:sz="0" w:space="0" w:color="auto"/>
        <w:left w:val="none" w:sz="0" w:space="0" w:color="auto"/>
        <w:bottom w:val="none" w:sz="0" w:space="0" w:color="auto"/>
        <w:right w:val="none" w:sz="0" w:space="0" w:color="auto"/>
      </w:divBdr>
    </w:div>
    <w:div w:id="1852529329">
      <w:bodyDiv w:val="1"/>
      <w:marLeft w:val="0"/>
      <w:marRight w:val="0"/>
      <w:marTop w:val="0"/>
      <w:marBottom w:val="0"/>
      <w:divBdr>
        <w:top w:val="none" w:sz="0" w:space="0" w:color="auto"/>
        <w:left w:val="none" w:sz="0" w:space="0" w:color="auto"/>
        <w:bottom w:val="none" w:sz="0" w:space="0" w:color="auto"/>
        <w:right w:val="none" w:sz="0" w:space="0" w:color="auto"/>
      </w:divBdr>
    </w:div>
    <w:div w:id="2060081787">
      <w:bodyDiv w:val="1"/>
      <w:marLeft w:val="0"/>
      <w:marRight w:val="0"/>
      <w:marTop w:val="0"/>
      <w:marBottom w:val="0"/>
      <w:divBdr>
        <w:top w:val="none" w:sz="0" w:space="0" w:color="auto"/>
        <w:left w:val="none" w:sz="0" w:space="0" w:color="auto"/>
        <w:bottom w:val="none" w:sz="0" w:space="0" w:color="auto"/>
        <w:right w:val="none" w:sz="0" w:space="0" w:color="auto"/>
      </w:divBdr>
    </w:div>
    <w:div w:id="21385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2a1fbf6bc0642c0813e3ba1a506c8e6 xmlns="f1dfb9c9-8461-465c-8781-3e1592aecb86">
      <Terms xmlns="http://schemas.microsoft.com/office/infopath/2007/PartnerControls">
        <TermInfo xmlns="http://schemas.microsoft.com/office/infopath/2007/PartnerControls">
          <TermName xmlns="http://schemas.microsoft.com/office/infopath/2007/PartnerControls">Organisation Wide</TermName>
          <TermId xmlns="http://schemas.microsoft.com/office/infopath/2007/PartnerControls">98ed770a-1382-46a3-85f1-79b4d620e7db</TermId>
        </TermInfo>
      </Terms>
    </i2a1fbf6bc0642c0813e3ba1a506c8e6>
    <ne25d893069d47489b22769899881218 xmlns="f1dfb9c9-8461-465c-8781-3e1592aecb86">
      <Terms xmlns="http://schemas.microsoft.com/office/infopath/2007/PartnerControls">
        <TermInfo xmlns="http://schemas.microsoft.com/office/infopath/2007/PartnerControls">
          <TermName xmlns="http://schemas.microsoft.com/office/infopath/2007/PartnerControls">Management Systems</TermName>
          <TermId xmlns="http://schemas.microsoft.com/office/infopath/2007/PartnerControls">e77a3b1d-8bf4-4408-8464-408974d93ba9</TermId>
        </TermInfo>
      </Terms>
    </ne25d893069d47489b22769899881218>
    <TaxCatchAll xmlns="257fca26-4ff2-4a39-bd8e-cc292c551cff">
      <Value>83</Value>
      <Value>81</Value>
      <Value>2</Value>
      <Value>79</Value>
    </TaxCatchAll>
    <h97d03041e244c9e8a58f5b07d90f32b xmlns="f1dfb9c9-8461-465c-8781-3e1592aecb86">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58c656c4-f001-4404-87a0-677b23364676</TermId>
        </TermInfo>
        <TermInfo xmlns="http://schemas.microsoft.com/office/infopath/2007/PartnerControls">
          <TermName xmlns="http://schemas.microsoft.com/office/infopath/2007/PartnerControls">Forms</TermName>
          <TermId xmlns="http://schemas.microsoft.com/office/infopath/2007/PartnerControls">9077897e-d2e3-4f66-84ef-02b25707f262</TermId>
        </TermInfo>
      </Terms>
    </h97d03041e244c9e8a58f5b07d90f32b>
    <_x0077_vz7 xmlns="f1dfb9c9-8461-465c-8781-3e1592aecb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39F174B7A56442A38B1BCE125D3641" ma:contentTypeVersion="49" ma:contentTypeDescription="Create a new document." ma:contentTypeScope="" ma:versionID="27f8011b2c47ebe886fcb2d3d46af14b">
  <xsd:schema xmlns:xsd="http://www.w3.org/2001/XMLSchema" xmlns:xs="http://www.w3.org/2001/XMLSchema" xmlns:p="http://schemas.microsoft.com/office/2006/metadata/properties" xmlns:ns2="f1dfb9c9-8461-465c-8781-3e1592aecb86" xmlns:ns3="257fca26-4ff2-4a39-bd8e-cc292c551cff" targetNamespace="http://schemas.microsoft.com/office/2006/metadata/properties" ma:root="true" ma:fieldsID="96b5a3c60d61fb8b913d9b72697ce741" ns2:_="" ns3:_="">
    <xsd:import namespace="f1dfb9c9-8461-465c-8781-3e1592aecb86"/>
    <xsd:import namespace="257fca26-4ff2-4a39-bd8e-cc292c551cff"/>
    <xsd:element name="properties">
      <xsd:complexType>
        <xsd:sequence>
          <xsd:element name="documentManagement">
            <xsd:complexType>
              <xsd:all>
                <xsd:element ref="ns2:i2a1fbf6bc0642c0813e3ba1a506c8e6" minOccurs="0"/>
                <xsd:element ref="ns3:TaxCatchAll" minOccurs="0"/>
                <xsd:element ref="ns2:h97d03041e244c9e8a58f5b07d90f32b" minOccurs="0"/>
                <xsd:element ref="ns2:ne25d893069d47489b22769899881218" minOccurs="0"/>
                <xsd:element ref="ns2:_x0077_vz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b9c9-8461-465c-8781-3e1592aecb86" elementFormDefault="qualified">
    <xsd:import namespace="http://schemas.microsoft.com/office/2006/documentManagement/types"/>
    <xsd:import namespace="http://schemas.microsoft.com/office/infopath/2007/PartnerControls"/>
    <xsd:element name="i2a1fbf6bc0642c0813e3ba1a506c8e6" ma:index="9" nillable="true" ma:taxonomy="true" ma:internalName="i2a1fbf6bc0642c0813e3ba1a506c8e6" ma:taxonomyFieldName="Service_x0020_Area" ma:displayName="Service Area" ma:readOnly="false" ma:default="" ma:fieldId="{22a1fbf6-bc06-42c0-813e-3ba1a506c8e6}" ma:taxonomyMulti="true" ma:sspId="dfe227aa-5e49-4905-aff7-aa57a8e0be5a" ma:termSetId="b2fe83dc-de61-4498-968f-0274495c5f6f" ma:anchorId="00000000-0000-0000-0000-000000000000" ma:open="false" ma:isKeyword="false">
      <xsd:complexType>
        <xsd:sequence>
          <xsd:element ref="pc:Terms" minOccurs="0" maxOccurs="1"/>
        </xsd:sequence>
      </xsd:complexType>
    </xsd:element>
    <xsd:element name="h97d03041e244c9e8a58f5b07d90f32b" ma:index="12" nillable="true" ma:taxonomy="true" ma:internalName="h97d03041e244c9e8a58f5b07d90f32b" ma:taxonomyFieldName="Document_x0020_Type" ma:displayName="Document Use" ma:readOnly="false" ma:default="" ma:fieldId="{197d0304-1e24-4c9e-8a58-f5b07d90f32b}" ma:taxonomyMulti="true" ma:sspId="dfe227aa-5e49-4905-aff7-aa57a8e0be5a" ma:termSetId="078771e9-6e96-4ee5-9f77-14731a5e0b90" ma:anchorId="00000000-0000-0000-0000-000000000000" ma:open="true" ma:isKeyword="false">
      <xsd:complexType>
        <xsd:sequence>
          <xsd:element ref="pc:Terms" minOccurs="0" maxOccurs="1"/>
        </xsd:sequence>
      </xsd:complexType>
    </xsd:element>
    <xsd:element name="ne25d893069d47489b22769899881218" ma:index="14" nillable="true" ma:taxonomy="true" ma:internalName="ne25d893069d47489b22769899881218" ma:taxonomyFieldName="Topic" ma:displayName="What is the document about?" ma:readOnly="false" ma:default="" ma:fieldId="{7e25d893-069d-4748-9b22-769899881218}" ma:taxonomyMulti="true" ma:sspId="dfe227aa-5e49-4905-aff7-aa57a8e0be5a" ma:termSetId="bba7af53-7cce-4cb8-985e-c5c03efc4068" ma:anchorId="00000000-0000-0000-0000-000000000000" ma:open="true" ma:isKeyword="false">
      <xsd:complexType>
        <xsd:sequence>
          <xsd:element ref="pc:Terms" minOccurs="0" maxOccurs="1"/>
        </xsd:sequence>
      </xsd:complexType>
    </xsd:element>
    <xsd:element name="_x0077_vz7" ma:index="15" nillable="true" ma:displayName="Date and Time" ma:internalName="_x0077_vz7">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7fca26-4ff2-4a39-bd8e-cc292c551cf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1aa931-4b1d-4503-83b5-474e4b5aaa38}" ma:internalName="TaxCatchAll" ma:showField="CatchAllData" ma:web="257fca26-4ff2-4a39-bd8e-cc292c551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4C484-53A9-43A6-B99C-93E83DCB1107}">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257fca26-4ff2-4a39-bd8e-cc292c551cff"/>
    <ds:schemaRef ds:uri="http://www.w3.org/XML/1998/namespace"/>
    <ds:schemaRef ds:uri="f1dfb9c9-8461-465c-8781-3e1592aecb86"/>
    <ds:schemaRef ds:uri="http://purl.org/dc/dcmitype/"/>
  </ds:schemaRefs>
</ds:datastoreItem>
</file>

<file path=customXml/itemProps2.xml><?xml version="1.0" encoding="utf-8"?>
<ds:datastoreItem xmlns:ds="http://schemas.openxmlformats.org/officeDocument/2006/customXml" ds:itemID="{D2E181D1-6012-423F-A415-B9EB6F0B153D}">
  <ds:schemaRefs>
    <ds:schemaRef ds:uri="http://schemas.microsoft.com/sharepoint/v3/contenttype/forms"/>
  </ds:schemaRefs>
</ds:datastoreItem>
</file>

<file path=customXml/itemProps3.xml><?xml version="1.0" encoding="utf-8"?>
<ds:datastoreItem xmlns:ds="http://schemas.openxmlformats.org/officeDocument/2006/customXml" ds:itemID="{2B8119D3-352B-4D1A-BDFD-99BEA935C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b9c9-8461-465c-8781-3e1592aecb86"/>
    <ds:schemaRef ds:uri="257fca26-4ff2-4a39-bd8e-cc292c551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81784-BF8F-4C1B-B48E-15D0806F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1798</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Forms Document Report Template</vt:lpstr>
    </vt:vector>
  </TitlesOfParts>
  <Company>Mecwacare</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Document Report Template</dc:title>
  <dc:creator>Quality and Risk</dc:creator>
  <cp:keywords>form, document, report</cp:keywords>
  <cp:lastModifiedBy>marie-claire.muir</cp:lastModifiedBy>
  <cp:revision>2</cp:revision>
  <cp:lastPrinted>2017-02-21T00:16:00Z</cp:lastPrinted>
  <dcterms:created xsi:type="dcterms:W3CDTF">2017-03-03T05:07:00Z</dcterms:created>
  <dcterms:modified xsi:type="dcterms:W3CDTF">2017-03-03T05:07:00Z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0x010100CC39F174B7A56442A38B1BCE125D3641</vt:lpwstr>
  </property>
  <property fmtid="{D5CDD505-2E9C-101B-9397-08002B2CF9AE}" pid="3" name="Topic">
    <vt:lpwstr>83;#Management Systems|e77a3b1d-8bf4-4408-8464-408974d93ba9</vt:lpwstr>
  </property>
  <property fmtid="{D5CDD505-2E9C-101B-9397-08002B2CF9AE}" pid="4" name="Service Area">
    <vt:lpwstr>2;#Organisation Wide|98ed770a-1382-46a3-85f1-79b4d620e7db</vt:lpwstr>
  </property>
  <property fmtid="{D5CDD505-2E9C-101B-9397-08002B2CF9AE}" pid="5" name="Document Type">
    <vt:lpwstr>81;#Templates|58c656c4-f001-4404-87a0-677b23364676;#79;#Forms|9077897e-d2e3-4f66-84ef-02b25707f262</vt:lpwstr>
  </property>
</Properties>
</file>