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A3" w:rsidRPr="006946A3" w:rsidRDefault="006946A3" w:rsidP="006946A3">
      <w:pPr>
        <w:spacing w:before="120" w:after="120" w:line="25" w:lineRule="atLeast"/>
        <w:jc w:val="center"/>
        <w:rPr>
          <w:rFonts w:eastAsia="Times New Roman" w:cstheme="minorHAnsi"/>
          <w:b/>
          <w:color w:val="000000"/>
          <w:sz w:val="28"/>
          <w:szCs w:val="28"/>
          <w:lang w:eastAsia="en-AU"/>
        </w:rPr>
      </w:pPr>
      <w:r w:rsidRPr="006946A3">
        <w:rPr>
          <w:rFonts w:cstheme="minorHAnsi"/>
          <w:b/>
          <w:sz w:val="28"/>
          <w:szCs w:val="28"/>
        </w:rPr>
        <w:t xml:space="preserve">Reply to </w:t>
      </w:r>
      <w:r w:rsidRPr="006946A3">
        <w:rPr>
          <w:rFonts w:eastAsia="Times New Roman" w:cstheme="minorHAnsi"/>
          <w:b/>
          <w:color w:val="000000"/>
          <w:sz w:val="28"/>
          <w:szCs w:val="28"/>
          <w:lang w:eastAsia="en-AU"/>
        </w:rPr>
        <w:t>the Australian Law Reform Commission Discussion Paper 83 2016:</w:t>
      </w:r>
    </w:p>
    <w:p w:rsidR="006946A3" w:rsidRPr="006946A3" w:rsidRDefault="006946A3" w:rsidP="006946A3">
      <w:pPr>
        <w:shd w:val="clear" w:color="auto" w:fill="FFFFFF"/>
        <w:spacing w:after="100" w:afterAutospacing="1" w:line="240" w:lineRule="auto"/>
        <w:jc w:val="center"/>
        <w:rPr>
          <w:rFonts w:eastAsia="Times New Roman" w:cstheme="minorHAnsi"/>
          <w:b/>
          <w:color w:val="000000"/>
          <w:sz w:val="28"/>
          <w:szCs w:val="28"/>
          <w:lang w:eastAsia="en-AU"/>
        </w:rPr>
      </w:pPr>
      <w:r w:rsidRPr="006946A3">
        <w:rPr>
          <w:rFonts w:eastAsia="Times New Roman" w:cstheme="minorHAnsi"/>
          <w:b/>
          <w:color w:val="000000"/>
          <w:sz w:val="28"/>
          <w:szCs w:val="28"/>
          <w:lang w:eastAsia="en-AU"/>
        </w:rPr>
        <w:t>Protecting the Rights of Older Australians from Abuse</w:t>
      </w:r>
    </w:p>
    <w:p w:rsidR="006946A3" w:rsidRPr="006946A3" w:rsidRDefault="006946A3" w:rsidP="006946A3">
      <w:pPr>
        <w:shd w:val="clear" w:color="auto" w:fill="FFFFFF"/>
        <w:spacing w:after="0" w:line="240" w:lineRule="auto"/>
        <w:jc w:val="center"/>
        <w:rPr>
          <w:rFonts w:eastAsia="Times New Roman" w:cstheme="minorHAnsi"/>
          <w:b/>
          <w:color w:val="000000"/>
          <w:sz w:val="28"/>
          <w:szCs w:val="28"/>
          <w:lang w:eastAsia="en-AU"/>
        </w:rPr>
      </w:pPr>
      <w:proofErr w:type="gramStart"/>
      <w:r w:rsidRPr="006946A3">
        <w:rPr>
          <w:rFonts w:eastAsia="Times New Roman" w:cstheme="minorHAnsi"/>
          <w:b/>
          <w:color w:val="000000"/>
          <w:sz w:val="28"/>
          <w:szCs w:val="28"/>
          <w:lang w:eastAsia="en-AU"/>
        </w:rPr>
        <w:t>submission</w:t>
      </w:r>
      <w:proofErr w:type="gramEnd"/>
      <w:r w:rsidRPr="006946A3">
        <w:rPr>
          <w:rFonts w:eastAsia="Times New Roman" w:cstheme="minorHAnsi"/>
          <w:b/>
          <w:color w:val="000000"/>
          <w:sz w:val="28"/>
          <w:szCs w:val="28"/>
          <w:lang w:eastAsia="en-AU"/>
        </w:rPr>
        <w:t xml:space="preserve"> of: S Henderson</w:t>
      </w:r>
    </w:p>
    <w:p w:rsidR="006946A3" w:rsidRPr="006946A3" w:rsidRDefault="006946A3" w:rsidP="006946A3">
      <w:pPr>
        <w:shd w:val="clear" w:color="auto" w:fill="FFFFFF"/>
        <w:spacing w:after="0" w:line="240" w:lineRule="auto"/>
        <w:jc w:val="center"/>
        <w:rPr>
          <w:rFonts w:eastAsia="Times New Roman" w:cstheme="minorHAnsi"/>
          <w:color w:val="000000"/>
          <w:sz w:val="28"/>
          <w:szCs w:val="28"/>
          <w:lang w:eastAsia="en-AU"/>
        </w:rPr>
      </w:pPr>
      <w:r w:rsidRPr="006946A3">
        <w:rPr>
          <w:rFonts w:eastAsia="Times New Roman" w:cstheme="minorHAnsi"/>
          <w:color w:val="000000"/>
          <w:sz w:val="28"/>
          <w:szCs w:val="28"/>
          <w:lang w:eastAsia="en-AU"/>
        </w:rPr>
        <w:t>(</w:t>
      </w:r>
      <w:proofErr w:type="gramStart"/>
      <w:r w:rsidRPr="006946A3">
        <w:rPr>
          <w:rFonts w:eastAsia="Times New Roman" w:cstheme="minorHAnsi"/>
          <w:color w:val="000000"/>
          <w:sz w:val="28"/>
          <w:szCs w:val="28"/>
          <w:lang w:eastAsia="en-AU"/>
        </w:rPr>
        <w:t>daughter</w:t>
      </w:r>
      <w:proofErr w:type="gramEnd"/>
      <w:r w:rsidRPr="006946A3">
        <w:rPr>
          <w:rFonts w:eastAsia="Times New Roman" w:cstheme="minorHAnsi"/>
          <w:color w:val="000000"/>
          <w:sz w:val="28"/>
          <w:szCs w:val="28"/>
          <w:lang w:eastAsia="en-AU"/>
        </w:rPr>
        <w:t xml:space="preserve"> of a victim of “unreportable assault” in a dementia unit)</w:t>
      </w:r>
    </w:p>
    <w:p w:rsidR="006946A3" w:rsidRPr="006946A3" w:rsidRDefault="006946A3" w:rsidP="006946A3">
      <w:pPr>
        <w:spacing w:before="120" w:after="120" w:line="25" w:lineRule="atLeast"/>
        <w:jc w:val="center"/>
        <w:rPr>
          <w:rFonts w:cstheme="minorHAnsi"/>
          <w:sz w:val="28"/>
          <w:szCs w:val="28"/>
        </w:rPr>
      </w:pPr>
    </w:p>
    <w:p w:rsidR="009D4F30" w:rsidRPr="00F275ED" w:rsidRDefault="009D4F30" w:rsidP="004C0B80">
      <w:pPr>
        <w:spacing w:before="120" w:after="120" w:line="25" w:lineRule="atLeast"/>
      </w:pPr>
      <w:r w:rsidRPr="00F275ED">
        <w:t xml:space="preserve">I wish to reply to the </w:t>
      </w:r>
      <w:r w:rsidR="00644B19" w:rsidRPr="00E72CCE">
        <w:rPr>
          <w:i/>
        </w:rPr>
        <w:t xml:space="preserve">ALRC </w:t>
      </w:r>
      <w:r w:rsidRPr="00E72CCE">
        <w:rPr>
          <w:i/>
        </w:rPr>
        <w:t>Elder Abuse</w:t>
      </w:r>
      <w:r w:rsidRPr="00F700A8">
        <w:rPr>
          <w:i/>
        </w:rPr>
        <w:t xml:space="preserve"> </w:t>
      </w:r>
      <w:r w:rsidRPr="00E72CCE">
        <w:rPr>
          <w:i/>
        </w:rPr>
        <w:t>Discussion Paper</w:t>
      </w:r>
      <w:r w:rsidR="00AA464F" w:rsidRPr="00E72CCE">
        <w:rPr>
          <w:i/>
        </w:rPr>
        <w:t xml:space="preserve"> 83 2016</w:t>
      </w:r>
      <w:r w:rsidR="00A31F60">
        <w:t xml:space="preserve"> (</w:t>
      </w:r>
      <w:r w:rsidR="00884035">
        <w:t>D</w:t>
      </w:r>
      <w:r w:rsidR="00A31F60">
        <w:t xml:space="preserve">iscussion </w:t>
      </w:r>
      <w:r w:rsidR="00884035">
        <w:t>P</w:t>
      </w:r>
      <w:r w:rsidR="00A31F60">
        <w:t>aper),</w:t>
      </w:r>
      <w:r w:rsidR="00644B19" w:rsidRPr="00F275ED">
        <w:t xml:space="preserve"> specifically </w:t>
      </w:r>
      <w:r w:rsidR="00991090" w:rsidRPr="00F275ED">
        <w:t xml:space="preserve">in relation to </w:t>
      </w:r>
      <w:r w:rsidR="00086FFD">
        <w:t>p</w:t>
      </w:r>
      <w:r w:rsidR="00086FFD" w:rsidRPr="00F275ED">
        <w:t xml:space="preserve">roposals </w:t>
      </w:r>
      <w:r w:rsidR="00DE5EA1" w:rsidRPr="00F275ED">
        <w:t xml:space="preserve">and </w:t>
      </w:r>
      <w:r w:rsidR="00086FFD">
        <w:t>q</w:t>
      </w:r>
      <w:r w:rsidR="00086FFD" w:rsidRPr="00F275ED">
        <w:t xml:space="preserve">uestions </w:t>
      </w:r>
      <w:r w:rsidR="00DE5EA1" w:rsidRPr="00F275ED">
        <w:t>of part 11</w:t>
      </w:r>
      <w:r w:rsidR="00086FFD">
        <w:t xml:space="preserve"> (age</w:t>
      </w:r>
      <w:r w:rsidR="00DE5EA1" w:rsidRPr="00F275ED">
        <w:t xml:space="preserve">d </w:t>
      </w:r>
      <w:r w:rsidR="00086FFD">
        <w:t>c</w:t>
      </w:r>
      <w:r w:rsidR="00DE5EA1" w:rsidRPr="00F275ED">
        <w:t>are</w:t>
      </w:r>
      <w:r w:rsidR="00086FFD">
        <w:t>)</w:t>
      </w:r>
      <w:r w:rsidR="00DE5EA1" w:rsidRPr="00F275ED">
        <w:t xml:space="preserve">. </w:t>
      </w:r>
      <w:r w:rsidR="003270F0">
        <w:t xml:space="preserve">I refer to my previous </w:t>
      </w:r>
      <w:r w:rsidR="00086FFD">
        <w:t>submission (number</w:t>
      </w:r>
      <w:r w:rsidR="003270F0">
        <w:t xml:space="preserve"> 189</w:t>
      </w:r>
      <w:r w:rsidR="00086FFD">
        <w:t>)</w:t>
      </w:r>
      <w:r w:rsidR="003270F0">
        <w:t>.</w:t>
      </w:r>
    </w:p>
    <w:p w:rsidR="008F31C8" w:rsidRDefault="008F31C8" w:rsidP="008F31C8">
      <w:pPr>
        <w:spacing w:before="120" w:after="120" w:line="25" w:lineRule="atLeast"/>
      </w:pPr>
      <w:r w:rsidRPr="00F275ED">
        <w:t xml:space="preserve">I applaud the suggestion of </w:t>
      </w:r>
      <w:r w:rsidR="009F7C06">
        <w:t>p</w:t>
      </w:r>
      <w:r w:rsidRPr="00F275ED">
        <w:t>roposal 11-3</w:t>
      </w:r>
      <w:r>
        <w:t xml:space="preserve">, to expand the scope of the type of incidents required to be reported under the </w:t>
      </w:r>
      <w:r w:rsidR="00BE3AC8">
        <w:rPr>
          <w:i/>
        </w:rPr>
        <w:t>Aged Care Act</w:t>
      </w:r>
      <w:r>
        <w:t>, and establish a reportable incident scheme. My mother was the victim of assault previously defined as non-reportable, as the</w:t>
      </w:r>
      <w:r w:rsidR="002D40B7">
        <w:t xml:space="preserve"> assault</w:t>
      </w:r>
      <w:r>
        <w:t xml:space="preserve"> w</w:t>
      </w:r>
      <w:r w:rsidR="002D40B7">
        <w:t>as</w:t>
      </w:r>
      <w:r>
        <w:t xml:space="preserve"> committed by a resident with a cognitive impairment. In </w:t>
      </w:r>
      <w:r w:rsidR="009F7C06">
        <w:t>my experience, having my mother’s assault determined</w:t>
      </w:r>
      <w:r>
        <w:t xml:space="preserve"> as non-reportable reduced possible interventions, legal avenues, and my avenues of</w:t>
      </w:r>
      <w:r w:rsidR="00807614">
        <w:t xml:space="preserve"> redress. As a result, I could no</w:t>
      </w:r>
      <w:r>
        <w:t xml:space="preserve">t keep my mother safe. Proposal 11-3 would make important changes to address similar issues in the future. </w:t>
      </w:r>
    </w:p>
    <w:p w:rsidR="008F31C8" w:rsidRDefault="008F31C8" w:rsidP="008F31C8">
      <w:pPr>
        <w:spacing w:before="120" w:after="120" w:line="25" w:lineRule="atLeast"/>
      </w:pPr>
      <w:r w:rsidRPr="00F275ED">
        <w:t xml:space="preserve">However, </w:t>
      </w:r>
      <w:r>
        <w:t xml:space="preserve">it is my view that </w:t>
      </w:r>
      <w:r w:rsidRPr="00F275ED">
        <w:t xml:space="preserve">the proposed </w:t>
      </w:r>
      <w:r w:rsidR="009F7C06">
        <w:t xml:space="preserve">definition of ‘reportable incident’ </w:t>
      </w:r>
      <w:r w:rsidRPr="00F275ED">
        <w:t>in regard to the actions of</w:t>
      </w:r>
      <w:r w:rsidR="009F7C06">
        <w:t xml:space="preserve"> another resident on a person (p</w:t>
      </w:r>
      <w:r w:rsidR="00232F71">
        <w:t>roposal 11-2(b)</w:t>
      </w:r>
      <w:r w:rsidRPr="00F275ED">
        <w:t>) negates the former proposal</w:t>
      </w:r>
      <w:r>
        <w:t xml:space="preserve">. This is because it </w:t>
      </w:r>
      <w:r w:rsidR="009F7C06">
        <w:t>establishes a higher threshold for reporting</w:t>
      </w:r>
      <w:r w:rsidR="00232F71">
        <w:t xml:space="preserve"> </w:t>
      </w:r>
      <w:r w:rsidR="009F7C06">
        <w:t xml:space="preserve">resident-on-resident incidents than would apply if incidents were committed by carers, or </w:t>
      </w:r>
      <w:r w:rsidR="00232F71">
        <w:t xml:space="preserve">committed on other members of the </w:t>
      </w:r>
      <w:r w:rsidR="009F7C06">
        <w:t xml:space="preserve">community. In practice, </w:t>
      </w:r>
      <w:proofErr w:type="gramStart"/>
      <w:r w:rsidR="009F7C06">
        <w:t>this</w:t>
      </w:r>
      <w:proofErr w:type="gramEnd"/>
      <w:r w:rsidR="004848B2">
        <w:t xml:space="preserve"> not only</w:t>
      </w:r>
      <w:r w:rsidR="009F7C06">
        <w:t xml:space="preserve"> implies that</w:t>
      </w:r>
      <w:r w:rsidRPr="00F275ED">
        <w:t xml:space="preserve"> </w:t>
      </w:r>
      <w:r w:rsidR="009F7C06">
        <w:t>aged care residents are not worthy of the same protections as other people</w:t>
      </w:r>
      <w:r w:rsidR="004848B2">
        <w:t xml:space="preserve">, but </w:t>
      </w:r>
      <w:r w:rsidR="007021CD">
        <w:t>if implemented would actually deny them protection</w:t>
      </w:r>
      <w:r w:rsidR="009F7C06">
        <w:t>.</w:t>
      </w:r>
      <w:r w:rsidRPr="00F275ED">
        <w:t xml:space="preserve"> </w:t>
      </w:r>
      <w:r w:rsidR="00BD241C">
        <w:t>It is my view that p</w:t>
      </w:r>
      <w:r>
        <w:t xml:space="preserve">roposal 11-2(b) </w:t>
      </w:r>
      <w:r w:rsidR="009F7C06">
        <w:t>would</w:t>
      </w:r>
      <w:r w:rsidR="00232F71">
        <w:t xml:space="preserve"> act to </w:t>
      </w:r>
      <w:r>
        <w:t>replac</w:t>
      </w:r>
      <w:r w:rsidR="009F7C06">
        <w:t>e</w:t>
      </w:r>
      <w:r>
        <w:t xml:space="preserve"> </w:t>
      </w:r>
      <w:r w:rsidRPr="00B45A3D">
        <w:rPr>
          <w:i/>
        </w:rPr>
        <w:t>Accountability Principles 2014</w:t>
      </w:r>
      <w:r>
        <w:rPr>
          <w:i/>
        </w:rPr>
        <w:t>, part 7</w:t>
      </w:r>
      <w:r w:rsidR="009F7C06">
        <w:rPr>
          <w:i/>
        </w:rPr>
        <w:t>, section 53</w:t>
      </w:r>
      <w:r w:rsidR="009F7C06">
        <w:t>, which</w:t>
      </w:r>
      <w:r w:rsidR="00232F71">
        <w:t xml:space="preserve"> </w:t>
      </w:r>
      <w:r w:rsidR="009F7C06">
        <w:t>hide</w:t>
      </w:r>
      <w:r w:rsidR="002D40B7">
        <w:t>s</w:t>
      </w:r>
      <w:r w:rsidR="009F7C06">
        <w:t xml:space="preserve"> resident-on-resident abuse in aged care facilities</w:t>
      </w:r>
      <w:r w:rsidR="00BD241C">
        <w:t>.</w:t>
      </w:r>
    </w:p>
    <w:p w:rsidR="00403E7E" w:rsidRPr="00F275ED" w:rsidRDefault="003960C3" w:rsidP="004C0B80">
      <w:pPr>
        <w:spacing w:before="120" w:after="120" w:line="25" w:lineRule="atLeast"/>
      </w:pPr>
      <w:r>
        <w:t xml:space="preserve">In addition, there are two other </w:t>
      </w:r>
      <w:r w:rsidR="00944339">
        <w:t>legislative reforms</w:t>
      </w:r>
      <w:r w:rsidR="00403E7E" w:rsidRPr="00F275ED">
        <w:t xml:space="preserve"> that</w:t>
      </w:r>
      <w:r w:rsidR="00A31F60">
        <w:t xml:space="preserve"> I consider</w:t>
      </w:r>
      <w:r w:rsidR="00944339">
        <w:t xml:space="preserve"> </w:t>
      </w:r>
      <w:r w:rsidR="00403E7E" w:rsidRPr="00F275ED">
        <w:t xml:space="preserve">need to be implemented to </w:t>
      </w:r>
      <w:r w:rsidR="00B32E98" w:rsidRPr="00B32E98">
        <w:t>effectively</w:t>
      </w:r>
      <w:r w:rsidR="00B32E98">
        <w:t xml:space="preserve"> </w:t>
      </w:r>
      <w:r w:rsidR="00403E7E" w:rsidRPr="00F275ED">
        <w:t>address elder abuse:</w:t>
      </w:r>
    </w:p>
    <w:p w:rsidR="00403E7E" w:rsidRPr="00F275ED" w:rsidRDefault="003960C3" w:rsidP="004C0B80">
      <w:pPr>
        <w:pStyle w:val="ListParagraph"/>
        <w:numPr>
          <w:ilvl w:val="0"/>
          <w:numId w:val="4"/>
        </w:numPr>
        <w:spacing w:before="120" w:after="120" w:line="25" w:lineRule="atLeast"/>
      </w:pPr>
      <w:r>
        <w:t xml:space="preserve">making providers properly accountable for keeping residents safe, and providing clear and significant sanctions, including potential loss of accreditation, when they fail to do so; </w:t>
      </w:r>
      <w:r w:rsidR="00944339">
        <w:t>and</w:t>
      </w:r>
    </w:p>
    <w:p w:rsidR="00403E7E" w:rsidRPr="00F275ED" w:rsidRDefault="003960C3" w:rsidP="004C0B80">
      <w:pPr>
        <w:pStyle w:val="ListParagraph"/>
        <w:numPr>
          <w:ilvl w:val="0"/>
          <w:numId w:val="4"/>
        </w:numPr>
        <w:spacing w:before="120" w:after="120" w:line="25" w:lineRule="atLeast"/>
      </w:pPr>
      <w:proofErr w:type="gramStart"/>
      <w:r>
        <w:t>ensuring</w:t>
      </w:r>
      <w:proofErr w:type="gramEnd"/>
      <w:r>
        <w:t xml:space="preserve"> </w:t>
      </w:r>
      <w:r w:rsidR="005A3C12">
        <w:t>appropriate care</w:t>
      </w:r>
      <w:r>
        <w:t xml:space="preserve"> by requiring providers to employ </w:t>
      </w:r>
      <w:r w:rsidR="000A54FC" w:rsidRPr="00F275ED">
        <w:t>appropriate</w:t>
      </w:r>
      <w:r>
        <w:t>ly</w:t>
      </w:r>
      <w:r w:rsidR="000A54FC" w:rsidRPr="00F275ED">
        <w:t xml:space="preserve"> qualifi</w:t>
      </w:r>
      <w:r>
        <w:t>ed staff</w:t>
      </w:r>
      <w:r w:rsidR="00A31F60">
        <w:t xml:space="preserve"> (i.e. registered </w:t>
      </w:r>
      <w:r w:rsidR="002D40B7">
        <w:t xml:space="preserve">and enrolled </w:t>
      </w:r>
      <w:r w:rsidR="00A31F60">
        <w:t>nurses, rather than Personal Care Assistants (PCAs)</w:t>
      </w:r>
      <w:r>
        <w:t xml:space="preserve">, in reasonable numbers, for high needs environments. </w:t>
      </w:r>
      <w:r w:rsidR="000A54FC" w:rsidRPr="00F275ED">
        <w:t xml:space="preserve"> </w:t>
      </w:r>
    </w:p>
    <w:p w:rsidR="000A54FC" w:rsidRPr="00F275ED" w:rsidRDefault="00944339" w:rsidP="004C0B80">
      <w:pPr>
        <w:spacing w:before="120" w:after="120" w:line="25" w:lineRule="atLeast"/>
      </w:pPr>
      <w:r>
        <w:t>From my discussions with others in similar situation</w:t>
      </w:r>
      <w:r w:rsidR="008659B1">
        <w:t>s</w:t>
      </w:r>
      <w:r>
        <w:t>, I understand that t</w:t>
      </w:r>
      <w:r w:rsidR="00C1040D" w:rsidRPr="00F275ED">
        <w:t>he</w:t>
      </w:r>
      <w:r w:rsidR="000A54FC" w:rsidRPr="00F275ED">
        <w:t xml:space="preserve"> </w:t>
      </w:r>
      <w:r w:rsidR="00C1040D" w:rsidRPr="00F275ED">
        <w:t xml:space="preserve">abuse of my late </w:t>
      </w:r>
      <w:r w:rsidR="000A54FC" w:rsidRPr="00F275ED">
        <w:t>mother was typical of others in her situation</w:t>
      </w:r>
      <w:r w:rsidR="0035642F">
        <w:t xml:space="preserve"> as a resident of a high-care dementia unit</w:t>
      </w:r>
      <w:r>
        <w:t>. My family and I took g</w:t>
      </w:r>
      <w:r w:rsidR="000A54FC" w:rsidRPr="00F275ED">
        <w:t xml:space="preserve">reat care in choosing residential facilities – in regional NSW and then in Melbourne – that </w:t>
      </w:r>
      <w:r>
        <w:t xml:space="preserve">we thought </w:t>
      </w:r>
      <w:r w:rsidR="000A54FC" w:rsidRPr="00F275ED">
        <w:t>would provide the best possible social, medical, physical, nutritional and personal care</w:t>
      </w:r>
      <w:r>
        <w:t xml:space="preserve"> for my mother</w:t>
      </w:r>
      <w:r w:rsidR="000A54FC" w:rsidRPr="00F275ED">
        <w:t xml:space="preserve">, </w:t>
      </w:r>
      <w:r>
        <w:t xml:space="preserve">and where services were </w:t>
      </w:r>
      <w:r w:rsidR="000A54FC" w:rsidRPr="00F275ED">
        <w:t xml:space="preserve">administered by skilled and professional staff. In both cases, the approved providers down-graded all of these services, including replacing skilled and qualified nurses with </w:t>
      </w:r>
      <w:r w:rsidR="00935676">
        <w:t>PCAs</w:t>
      </w:r>
      <w:r w:rsidR="000A54FC" w:rsidRPr="00F275ED">
        <w:t>. In both places, my mother suffered injury, neglect and abuse as a direct</w:t>
      </w:r>
      <w:r w:rsidR="008659B1">
        <w:t xml:space="preserve"> and indirect</w:t>
      </w:r>
      <w:r w:rsidR="000A54FC" w:rsidRPr="00F275ED">
        <w:t xml:space="preserve"> result</w:t>
      </w:r>
      <w:r w:rsidR="00935676">
        <w:t xml:space="preserve"> of these changes</w:t>
      </w:r>
      <w:r w:rsidR="000A54FC" w:rsidRPr="00F275ED">
        <w:t xml:space="preserve">. </w:t>
      </w:r>
      <w:r w:rsidR="00823BC7">
        <w:t xml:space="preserve">This included neglect of her needs including </w:t>
      </w:r>
      <w:r w:rsidR="00B14ED5">
        <w:t>subsequent</w:t>
      </w:r>
      <w:r w:rsidR="00823BC7">
        <w:t xml:space="preserve"> injuries, and continued assault by another resident in my mother’s high care dementia unit. </w:t>
      </w:r>
    </w:p>
    <w:p w:rsidR="0040023E" w:rsidRPr="00F275ED" w:rsidRDefault="000A54FC">
      <w:pPr>
        <w:spacing w:before="120" w:after="120" w:line="25" w:lineRule="atLeast"/>
      </w:pPr>
      <w:r w:rsidRPr="00F275ED">
        <w:t>As her representative, I was never consulted</w:t>
      </w:r>
      <w:r w:rsidR="00823BC7">
        <w:t xml:space="preserve"> </w:t>
      </w:r>
      <w:r w:rsidRPr="00F275ED">
        <w:t>in regard to</w:t>
      </w:r>
      <w:r w:rsidR="00823BC7">
        <w:t>, or informed of,</w:t>
      </w:r>
      <w:r w:rsidRPr="00F275ED">
        <w:t xml:space="preserve"> any changes</w:t>
      </w:r>
      <w:r w:rsidR="00823BC7">
        <w:t xml:space="preserve"> to arrangements in the </w:t>
      </w:r>
      <w:r w:rsidR="00DB4AB7">
        <w:t>aged care facility</w:t>
      </w:r>
      <w:r w:rsidRPr="00F275ED">
        <w:t xml:space="preserve">. I was </w:t>
      </w:r>
      <w:r w:rsidR="00823BC7">
        <w:t xml:space="preserve">also rarely informed of instances such as injuries. It was </w:t>
      </w:r>
      <w:r w:rsidRPr="00F275ED">
        <w:t xml:space="preserve">the attitude of the facilities that my mother’s care was their domain, not mine. Often when she was injured, I was not advised. When she was assaulted, the approved provider made it very clear that my intervention was not appreciated, not necessary, and </w:t>
      </w:r>
      <w:r w:rsidR="00935676">
        <w:t xml:space="preserve">in their view, </w:t>
      </w:r>
      <w:r w:rsidRPr="00F275ED">
        <w:t>not appropriate</w:t>
      </w:r>
      <w:r w:rsidR="00935676">
        <w:t>. M</w:t>
      </w:r>
      <w:r w:rsidRPr="00F275ED">
        <w:t xml:space="preserve">y mother </w:t>
      </w:r>
      <w:r w:rsidRPr="00F275ED">
        <w:lastRenderedPageBreak/>
        <w:t>had become a commodity of the aged care system</w:t>
      </w:r>
      <w:r w:rsidR="00935676">
        <w:t>,</w:t>
      </w:r>
      <w:r w:rsidRPr="00F275ED">
        <w:t xml:space="preserve"> a non-person.</w:t>
      </w:r>
      <w:r w:rsidR="00D80ABF">
        <w:t xml:space="preserve"> This was enabled by federal legislation</w:t>
      </w:r>
      <w:r w:rsidR="009E005D">
        <w:t xml:space="preserve"> that did no</w:t>
      </w:r>
      <w:r w:rsidR="00A31F60">
        <w:t>t make the provider properly accountable for providing a safe environment, or adequately penalise them when they failed to do so</w:t>
      </w:r>
      <w:r w:rsidR="00D80ABF">
        <w:t>.</w:t>
      </w:r>
      <w:r w:rsidR="00935676">
        <w:t xml:space="preserve"> </w:t>
      </w:r>
    </w:p>
    <w:p w:rsidR="0034369F" w:rsidRPr="0034369F" w:rsidRDefault="0034369F" w:rsidP="004C0B80">
      <w:pPr>
        <w:spacing w:before="120" w:after="120" w:line="25" w:lineRule="atLeast"/>
      </w:pPr>
      <w:r w:rsidRPr="0034369F">
        <w:t>The specific issues of my mother’s assault are:</w:t>
      </w:r>
    </w:p>
    <w:p w:rsidR="0034369F" w:rsidRPr="0034369F" w:rsidRDefault="0034369F" w:rsidP="00A31F60">
      <w:pPr>
        <w:pStyle w:val="ListParagraph"/>
        <w:numPr>
          <w:ilvl w:val="0"/>
          <w:numId w:val="2"/>
        </w:numPr>
        <w:spacing w:before="120" w:after="120" w:line="25" w:lineRule="atLeast"/>
        <w:ind w:left="426"/>
      </w:pPr>
      <w:r w:rsidRPr="0034369F">
        <w:t>she was assaulted in an aged care facility, in a secure dementia unit</w:t>
      </w:r>
      <w:r w:rsidR="00A31F60">
        <w:t>, by another resident with dementia</w:t>
      </w:r>
      <w:r w:rsidRPr="0034369F">
        <w:t xml:space="preserve">; </w:t>
      </w:r>
    </w:p>
    <w:p w:rsidR="0034369F" w:rsidRDefault="0034369F" w:rsidP="00A31F60">
      <w:pPr>
        <w:pStyle w:val="ListParagraph"/>
        <w:numPr>
          <w:ilvl w:val="0"/>
          <w:numId w:val="2"/>
        </w:numPr>
        <w:spacing w:before="120" w:after="120" w:line="25" w:lineRule="atLeast"/>
        <w:ind w:left="426"/>
      </w:pPr>
      <w:r w:rsidRPr="0034369F">
        <w:t>others were assaulted by the same person;</w:t>
      </w:r>
    </w:p>
    <w:p w:rsidR="0034369F" w:rsidRPr="0034369F" w:rsidRDefault="0034369F" w:rsidP="00A31F60">
      <w:pPr>
        <w:pStyle w:val="ListParagraph"/>
        <w:numPr>
          <w:ilvl w:val="0"/>
          <w:numId w:val="2"/>
        </w:numPr>
        <w:spacing w:before="120" w:after="120" w:line="25" w:lineRule="atLeast"/>
        <w:ind w:left="426"/>
      </w:pPr>
      <w:r>
        <w:t>these assaults were classed as “non-reportable”</w:t>
      </w:r>
      <w:r w:rsidR="00A31F60">
        <w:t xml:space="preserve"> as the assailant had a cognitive impairment</w:t>
      </w:r>
      <w:r>
        <w:t>;</w:t>
      </w:r>
    </w:p>
    <w:p w:rsidR="0034369F" w:rsidRDefault="0034369F" w:rsidP="00A31F60">
      <w:pPr>
        <w:pStyle w:val="ListParagraph"/>
        <w:numPr>
          <w:ilvl w:val="0"/>
          <w:numId w:val="2"/>
        </w:numPr>
        <w:spacing w:before="120" w:after="120" w:line="25" w:lineRule="atLeast"/>
        <w:ind w:left="426"/>
      </w:pPr>
      <w:r w:rsidRPr="0034369F">
        <w:t xml:space="preserve">the approved provider did nothing </w:t>
      </w:r>
      <w:r w:rsidR="00A31F60">
        <w:t xml:space="preserve">of substance </w:t>
      </w:r>
      <w:r w:rsidRPr="0034369F">
        <w:t>to address or prevent the assaults;</w:t>
      </w:r>
    </w:p>
    <w:p w:rsidR="0034369F" w:rsidRPr="0034369F" w:rsidRDefault="0034369F" w:rsidP="00A31F60">
      <w:pPr>
        <w:pStyle w:val="ListParagraph"/>
        <w:numPr>
          <w:ilvl w:val="0"/>
          <w:numId w:val="2"/>
        </w:numPr>
        <w:spacing w:before="120" w:after="120" w:line="25" w:lineRule="atLeast"/>
        <w:ind w:left="426"/>
      </w:pPr>
      <w:r>
        <w:t>police were advised but said they could not act;</w:t>
      </w:r>
      <w:r w:rsidRPr="0034369F">
        <w:t xml:space="preserve"> </w:t>
      </w:r>
    </w:p>
    <w:p w:rsidR="0034369F" w:rsidRPr="0034369F" w:rsidRDefault="0034369F" w:rsidP="00EB24F2">
      <w:pPr>
        <w:pStyle w:val="ListParagraph"/>
        <w:numPr>
          <w:ilvl w:val="0"/>
          <w:numId w:val="2"/>
        </w:numPr>
        <w:spacing w:before="120" w:after="120" w:line="25" w:lineRule="atLeast"/>
        <w:ind w:left="426"/>
      </w:pPr>
      <w:r w:rsidRPr="0034369F">
        <w:t>the relevant government departments did not adequately respond to the assaults</w:t>
      </w:r>
      <w:r w:rsidR="00A31F60">
        <w:t xml:space="preserve"> or the</w:t>
      </w:r>
      <w:r w:rsidRPr="0034369F">
        <w:t xml:space="preserve"> provider’s inappropriate and inadequate responses; </w:t>
      </w:r>
    </w:p>
    <w:p w:rsidR="0034369F" w:rsidRPr="0034369F" w:rsidRDefault="0034369F" w:rsidP="00A31F60">
      <w:pPr>
        <w:pStyle w:val="ListParagraph"/>
        <w:numPr>
          <w:ilvl w:val="0"/>
          <w:numId w:val="2"/>
        </w:numPr>
        <w:spacing w:before="120" w:after="120" w:line="25" w:lineRule="atLeast"/>
        <w:ind w:left="426"/>
      </w:pPr>
      <w:r w:rsidRPr="0034369F">
        <w:t>the provider was reaccredited during the investigation of their lack of action of the assaults;</w:t>
      </w:r>
    </w:p>
    <w:p w:rsidR="0034369F" w:rsidRPr="0034369F" w:rsidRDefault="0034369F" w:rsidP="00A31F60">
      <w:pPr>
        <w:pStyle w:val="ListParagraph"/>
        <w:numPr>
          <w:ilvl w:val="0"/>
          <w:numId w:val="2"/>
        </w:numPr>
        <w:spacing w:before="120" w:after="120" w:line="25" w:lineRule="atLeast"/>
        <w:ind w:left="426"/>
      </w:pPr>
      <w:r w:rsidRPr="0034369F">
        <w:t xml:space="preserve">the systemic issues of the legislation – as opposed to </w:t>
      </w:r>
      <w:r w:rsidR="00884035">
        <w:t xml:space="preserve">those of </w:t>
      </w:r>
      <w:r w:rsidRPr="0034369F">
        <w:t xml:space="preserve">the aged care system – created a long, drawn-out process that enabled my mother’s continued neglect and abuse for </w:t>
      </w:r>
      <w:r>
        <w:t xml:space="preserve">five further </w:t>
      </w:r>
      <w:r w:rsidRPr="0034369F">
        <w:t>months</w:t>
      </w:r>
      <w:r w:rsidR="0046123C">
        <w:t xml:space="preserve"> </w:t>
      </w:r>
      <w:r w:rsidRPr="0034369F">
        <w:t>until her death</w:t>
      </w:r>
      <w:r w:rsidR="0046123C">
        <w:t xml:space="preserve">, despite two separate </w:t>
      </w:r>
      <w:r w:rsidR="0046123C" w:rsidRPr="00056185">
        <w:rPr>
          <w:i/>
        </w:rPr>
        <w:t>Notice</w:t>
      </w:r>
      <w:r w:rsidR="0046123C">
        <w:rPr>
          <w:i/>
        </w:rPr>
        <w:t>s</w:t>
      </w:r>
      <w:r w:rsidR="0046123C" w:rsidRPr="00056185">
        <w:rPr>
          <w:i/>
        </w:rPr>
        <w:t xml:space="preserve"> of Intention to Issue Directions</w:t>
      </w:r>
      <w:r w:rsidR="0046123C">
        <w:rPr>
          <w:i/>
        </w:rPr>
        <w:t xml:space="preserve"> </w:t>
      </w:r>
      <w:r w:rsidR="0046123C" w:rsidRPr="0046123C">
        <w:t>from the Health Department</w:t>
      </w:r>
      <w:r w:rsidRPr="0034369F">
        <w:t>;</w:t>
      </w:r>
    </w:p>
    <w:p w:rsidR="0034369F" w:rsidRPr="0034369F" w:rsidRDefault="0034369F" w:rsidP="00A31F60">
      <w:pPr>
        <w:pStyle w:val="ListParagraph"/>
        <w:numPr>
          <w:ilvl w:val="0"/>
          <w:numId w:val="2"/>
        </w:numPr>
        <w:spacing w:before="120" w:after="120" w:line="25" w:lineRule="atLeast"/>
        <w:ind w:left="426"/>
      </w:pPr>
      <w:r w:rsidRPr="0034369F">
        <w:t xml:space="preserve">the approved provider was not held accountable for lack of duty of care; </w:t>
      </w:r>
    </w:p>
    <w:p w:rsidR="0034369F" w:rsidRDefault="0034369F" w:rsidP="00A31F60">
      <w:pPr>
        <w:pStyle w:val="ListParagraph"/>
        <w:numPr>
          <w:ilvl w:val="0"/>
          <w:numId w:val="2"/>
        </w:numPr>
        <w:spacing w:before="120" w:after="120" w:line="25" w:lineRule="atLeast"/>
        <w:ind w:left="426"/>
      </w:pPr>
      <w:r w:rsidRPr="0034369F">
        <w:t>poor staffing</w:t>
      </w:r>
      <w:r w:rsidR="00F700A8">
        <w:t xml:space="preserve">, including in terms of </w:t>
      </w:r>
      <w:r w:rsidRPr="0034369F">
        <w:t>training and qualifications</w:t>
      </w:r>
      <w:r w:rsidR="00F700A8">
        <w:t xml:space="preserve">, and numbers, </w:t>
      </w:r>
      <w:r w:rsidRPr="0034369F">
        <w:t>resulted in continued neglect and injury</w:t>
      </w:r>
      <w:r w:rsidR="000975C2">
        <w:t xml:space="preserve"> (including during her final hours of life)</w:t>
      </w:r>
      <w:r w:rsidRPr="0034369F">
        <w:t>;</w:t>
      </w:r>
    </w:p>
    <w:p w:rsidR="0046123C" w:rsidRPr="0034369F" w:rsidRDefault="0046123C" w:rsidP="00A31F60">
      <w:pPr>
        <w:pStyle w:val="ListParagraph"/>
        <w:numPr>
          <w:ilvl w:val="0"/>
          <w:numId w:val="2"/>
        </w:numPr>
        <w:spacing w:before="120" w:after="120" w:line="25" w:lineRule="atLeast"/>
        <w:ind w:left="426"/>
      </w:pPr>
      <w:r>
        <w:t xml:space="preserve">my mother’s care plan was woefully inadequate and inaccurate, resulted in neglect and in physical injuries, and was the subject of a Health Department </w:t>
      </w:r>
      <w:r w:rsidRPr="00056185">
        <w:rPr>
          <w:i/>
        </w:rPr>
        <w:t>Notice of Intention to Issue Directions</w:t>
      </w:r>
      <w:r w:rsidRPr="0046123C">
        <w:t>;</w:t>
      </w:r>
      <w:r w:rsidR="00935676">
        <w:t xml:space="preserve"> and</w:t>
      </w:r>
    </w:p>
    <w:p w:rsidR="0034369F" w:rsidRPr="002107F7" w:rsidRDefault="0034369F" w:rsidP="00DC0DF3">
      <w:pPr>
        <w:pStyle w:val="ListParagraph"/>
        <w:numPr>
          <w:ilvl w:val="0"/>
          <w:numId w:val="2"/>
        </w:numPr>
        <w:spacing w:before="120" w:after="0" w:line="25" w:lineRule="atLeast"/>
        <w:ind w:left="426"/>
      </w:pPr>
      <w:proofErr w:type="gramStart"/>
      <w:r w:rsidRPr="0034369F">
        <w:t>others</w:t>
      </w:r>
      <w:proofErr w:type="gramEnd"/>
      <w:r w:rsidRPr="0034369F">
        <w:t xml:space="preserve">’ family members were threatened </w:t>
      </w:r>
      <w:r w:rsidR="0046123C">
        <w:t xml:space="preserve">and/ </w:t>
      </w:r>
      <w:r w:rsidRPr="0034369F">
        <w:t xml:space="preserve">or intimidated by the approved provider such that they did not report </w:t>
      </w:r>
      <w:r w:rsidR="00B02EBF">
        <w:t xml:space="preserve">or complain of </w:t>
      </w:r>
      <w:r w:rsidRPr="0034369F">
        <w:t>assaults.</w:t>
      </w:r>
    </w:p>
    <w:p w:rsidR="00DC0DF3" w:rsidRDefault="00DC0DF3" w:rsidP="0005199A">
      <w:pPr>
        <w:spacing w:after="120" w:line="25" w:lineRule="atLeast"/>
        <w:rPr>
          <w:sz w:val="28"/>
          <w:szCs w:val="28"/>
          <w:u w:val="single"/>
        </w:rPr>
      </w:pPr>
    </w:p>
    <w:p w:rsidR="006D6DE1" w:rsidRPr="00613D55" w:rsidRDefault="00613D55" w:rsidP="004C0B80">
      <w:pPr>
        <w:spacing w:before="120" w:after="120" w:line="25" w:lineRule="atLeast"/>
        <w:rPr>
          <w:color w:val="5B9BD5" w:themeColor="accent1"/>
          <w:sz w:val="28"/>
          <w:szCs w:val="28"/>
          <w:u w:val="single"/>
        </w:rPr>
      </w:pPr>
      <w:r w:rsidRPr="00613D55">
        <w:rPr>
          <w:sz w:val="28"/>
          <w:szCs w:val="28"/>
          <w:u w:val="single"/>
        </w:rPr>
        <w:t>Two Forms of Justice</w:t>
      </w:r>
    </w:p>
    <w:p w:rsidR="001520FE" w:rsidRDefault="00697E37" w:rsidP="004C0B80">
      <w:pPr>
        <w:spacing w:before="120" w:after="120" w:line="25" w:lineRule="atLeast"/>
      </w:pPr>
      <w:proofErr w:type="gramStart"/>
      <w:r>
        <w:t>Part</w:t>
      </w:r>
      <w:r w:rsidR="00DF0131" w:rsidRPr="006D6DE1">
        <w:t xml:space="preserve"> 11.94</w:t>
      </w:r>
      <w:r>
        <w:t xml:space="preserve"> </w:t>
      </w:r>
      <w:r w:rsidR="00D80ABF">
        <w:t xml:space="preserve">of the </w:t>
      </w:r>
      <w:r w:rsidR="00D80ABF" w:rsidRPr="00AF3101">
        <w:t>Discussion Paper</w:t>
      </w:r>
      <w:r w:rsidR="00D80ABF">
        <w:t xml:space="preserve"> </w:t>
      </w:r>
      <w:r>
        <w:t>states</w:t>
      </w:r>
      <w:r w:rsidR="00D2529D">
        <w:t xml:space="preserve"> that a higher threshold is required for </w:t>
      </w:r>
      <w:r w:rsidR="00E53A85">
        <w:t>resident on resident</w:t>
      </w:r>
      <w:bookmarkStart w:id="0" w:name="_GoBack"/>
      <w:bookmarkEnd w:id="0"/>
      <w:r w:rsidR="00D2529D">
        <w:t xml:space="preserve"> incidents to be reported.</w:t>
      </w:r>
      <w:proofErr w:type="gramEnd"/>
      <w:r w:rsidR="00D2529D">
        <w:t xml:space="preserve"> Whil</w:t>
      </w:r>
      <w:r w:rsidR="00FF75BA">
        <w:t>st</w:t>
      </w:r>
      <w:r w:rsidR="00D2529D">
        <w:t xml:space="preserve"> I understand the need to avoid criminalisation of </w:t>
      </w:r>
      <w:r w:rsidR="0026146C">
        <w:t>resident</w:t>
      </w:r>
      <w:r w:rsidR="00D2529D">
        <w:t xml:space="preserve">s with cognitive impairments who engage in violent behaviour, the impact of threshold differences is that  </w:t>
      </w:r>
      <w:r w:rsidR="00DF0131" w:rsidRPr="006D6DE1">
        <w:t xml:space="preserve"> a person in an aged care unit </w:t>
      </w:r>
      <w:r w:rsidR="00D2529D">
        <w:t xml:space="preserve">is </w:t>
      </w:r>
      <w:r w:rsidR="00DF0131" w:rsidRPr="006D6DE1">
        <w:t>not afforded the</w:t>
      </w:r>
      <w:r w:rsidR="00D2529D">
        <w:t xml:space="preserve"> same </w:t>
      </w:r>
      <w:r w:rsidR="00DF0131" w:rsidRPr="006D6DE1">
        <w:t xml:space="preserve">right to be safe from abuse as other </w:t>
      </w:r>
      <w:r w:rsidR="00D2529D">
        <w:t xml:space="preserve">members of the community. This undermines </w:t>
      </w:r>
      <w:r w:rsidR="00D2529D" w:rsidRPr="00B56DA9">
        <w:rPr>
          <w:u w:val="single"/>
        </w:rPr>
        <w:t>their</w:t>
      </w:r>
      <w:r w:rsidR="00E83260">
        <w:t xml:space="preserve"> rights</w:t>
      </w:r>
      <w:r w:rsidR="00D2529D">
        <w:t xml:space="preserve"> and </w:t>
      </w:r>
      <w:r w:rsidR="00D2529D" w:rsidRPr="00E72CCE">
        <w:rPr>
          <w:u w:val="single"/>
        </w:rPr>
        <w:t>their</w:t>
      </w:r>
      <w:r w:rsidR="00D2529D">
        <w:t xml:space="preserve"> safety</w:t>
      </w:r>
      <w:r w:rsidR="00E83260">
        <w:t>, and puts them at risk of abuse</w:t>
      </w:r>
      <w:r w:rsidR="00D2529D">
        <w:t xml:space="preserve">. </w:t>
      </w:r>
    </w:p>
    <w:p w:rsidR="0013089A" w:rsidRDefault="0013089A" w:rsidP="005E565E">
      <w:pPr>
        <w:spacing w:before="120" w:after="0" w:line="25" w:lineRule="atLeast"/>
      </w:pPr>
      <w:r>
        <w:t>This is contradictory to the introductory statements regarding “Intention”</w:t>
      </w:r>
      <w:r w:rsidR="00C04C7F">
        <w:t xml:space="preserve">, 1.48-1.56, </w:t>
      </w:r>
      <w:r w:rsidR="005E565E">
        <w:t>as well as</w:t>
      </w:r>
      <w:r w:rsidR="00C04C7F">
        <w:t xml:space="preserve"> to the consideration “that</w:t>
      </w:r>
      <w:r w:rsidR="00C04C7F" w:rsidRPr="00C04C7F">
        <w:t xml:space="preserve"> information relating to ‘minor’ incidents can assist in assessing risk</w:t>
      </w:r>
      <w:r w:rsidR="00C04C7F">
        <w:t>” (11.98).</w:t>
      </w:r>
    </w:p>
    <w:p w:rsidR="00F71336" w:rsidRPr="006D6DE1" w:rsidRDefault="005E565E" w:rsidP="00F71336">
      <w:pPr>
        <w:spacing w:after="120" w:line="25" w:lineRule="atLeast"/>
      </w:pPr>
      <w:r>
        <w:t xml:space="preserve">It is also contradictory to the opening statements of the “Terms of Reference” </w:t>
      </w:r>
      <w:r w:rsidR="003E3DC3">
        <w:t xml:space="preserve">of the Inquiry </w:t>
      </w:r>
      <w:r>
        <w:t xml:space="preserve">as stipulated by the Attorney-General </w:t>
      </w:r>
      <w:r w:rsidR="009266B0">
        <w:t xml:space="preserve">George </w:t>
      </w:r>
      <w:proofErr w:type="spellStart"/>
      <w:r w:rsidR="009266B0">
        <w:t>Brandis</w:t>
      </w:r>
      <w:proofErr w:type="spellEnd"/>
      <w:r w:rsidR="009266B0">
        <w:t xml:space="preserve"> </w:t>
      </w:r>
      <w:r>
        <w:t>in having regard to the rights of the elderly and legal responsibility for their safety.</w:t>
      </w:r>
    </w:p>
    <w:p w:rsidR="00DF0131" w:rsidRDefault="001520FE" w:rsidP="004C0B80">
      <w:pPr>
        <w:spacing w:before="120" w:after="120" w:line="25" w:lineRule="atLeast"/>
      </w:pPr>
      <w:r w:rsidRPr="006D6DE1">
        <w:t>It is obvious from sections 11</w:t>
      </w:r>
      <w:r w:rsidR="001B7F28" w:rsidRPr="006D6DE1">
        <w:t xml:space="preserve">.97 </w:t>
      </w:r>
      <w:r w:rsidR="008E3967" w:rsidRPr="006D6DE1">
        <w:t>–</w:t>
      </w:r>
      <w:r w:rsidRPr="006D6DE1">
        <w:t xml:space="preserve"> 11</w:t>
      </w:r>
      <w:r w:rsidR="008E3967" w:rsidRPr="006D6DE1">
        <w:t>.151</w:t>
      </w:r>
      <w:r w:rsidRPr="006D6DE1">
        <w:t xml:space="preserve"> of </w:t>
      </w:r>
      <w:r w:rsidRPr="00AF3101">
        <w:t>the Discussion Paper</w:t>
      </w:r>
      <w:r w:rsidRPr="006D6DE1">
        <w:t xml:space="preserve"> </w:t>
      </w:r>
      <w:r w:rsidR="001B7F28" w:rsidRPr="006D6DE1">
        <w:t>(with the notable exception of 11.114</w:t>
      </w:r>
      <w:r w:rsidR="00602D58" w:rsidRPr="006D6DE1">
        <w:t xml:space="preserve">, 11.115, </w:t>
      </w:r>
      <w:r w:rsidR="001B7F28" w:rsidRPr="006D6DE1">
        <w:t>11.116</w:t>
      </w:r>
      <w:r w:rsidR="00602D58" w:rsidRPr="006D6DE1">
        <w:t xml:space="preserve"> and 11.130</w:t>
      </w:r>
      <w:r w:rsidR="001B7F28" w:rsidRPr="006D6DE1">
        <w:t xml:space="preserve">) </w:t>
      </w:r>
      <w:r w:rsidRPr="006D6DE1">
        <w:t xml:space="preserve">that the ALRC is very aware of the need to address abuse of aged care residents by broadening the definition of abuse in this context. </w:t>
      </w:r>
      <w:r w:rsidR="00776E53" w:rsidRPr="006D6DE1">
        <w:t>T</w:t>
      </w:r>
      <w:r w:rsidR="001B7F28" w:rsidRPr="006D6DE1">
        <w:t xml:space="preserve">he ALRC </w:t>
      </w:r>
      <w:r w:rsidR="009E1C2D" w:rsidRPr="006D6DE1">
        <w:t>goes to great lengths to acknowledge the rights of the elderly and the many types of abuse that can occur, acknowledges psychological a</w:t>
      </w:r>
      <w:r w:rsidR="008E3967" w:rsidRPr="006D6DE1">
        <w:t>buse, acknowledges the need to expand on the definition of abuse</w:t>
      </w:r>
      <w:r w:rsidR="009E1C2D" w:rsidRPr="006D6DE1">
        <w:t xml:space="preserve">, </w:t>
      </w:r>
      <w:r w:rsidRPr="006D6DE1">
        <w:rPr>
          <w:u w:val="single"/>
        </w:rPr>
        <w:t>but</w:t>
      </w:r>
      <w:r w:rsidR="009E1C2D" w:rsidRPr="006D6DE1">
        <w:rPr>
          <w:u w:val="single"/>
        </w:rPr>
        <w:t xml:space="preserve"> then</w:t>
      </w:r>
      <w:r w:rsidR="009E1C2D" w:rsidRPr="006D6DE1">
        <w:t xml:space="preserve"> ignores such assault on these people </w:t>
      </w:r>
      <w:r w:rsidRPr="006D6DE1">
        <w:t>by</w:t>
      </w:r>
      <w:r w:rsidR="009E1C2D" w:rsidRPr="006D6DE1">
        <w:t xml:space="preserve"> propos</w:t>
      </w:r>
      <w:r w:rsidRPr="006D6DE1">
        <w:t>ing</w:t>
      </w:r>
      <w:r w:rsidR="009E1C2D" w:rsidRPr="006D6DE1">
        <w:t xml:space="preserve"> a higher threshold of injury to them</w:t>
      </w:r>
      <w:r w:rsidR="00C036A9" w:rsidRPr="006D6DE1">
        <w:t xml:space="preserve"> before assault on them is to be acknowledged</w:t>
      </w:r>
      <w:r w:rsidR="009E1C2D" w:rsidRPr="006D6DE1">
        <w:t xml:space="preserve">. </w:t>
      </w:r>
    </w:p>
    <w:p w:rsidR="006D6DE1" w:rsidRDefault="006D6DE1" w:rsidP="004C0B80">
      <w:pPr>
        <w:spacing w:before="120" w:after="120" w:line="25" w:lineRule="atLeast"/>
      </w:pPr>
      <w:r w:rsidRPr="006D6DE1">
        <w:t xml:space="preserve">The ALRC notes (11.107) that “People with Disability Australia (PWDA) argued that the exemption risked creating ‘two forms of justice’: </w:t>
      </w:r>
      <w:r w:rsidR="00FF75BA">
        <w:t>W</w:t>
      </w:r>
      <w:r w:rsidRPr="006D6DE1">
        <w:t xml:space="preserve">hile we acknowledge the issue of criminalisation of people with cognitive impairments, co-residents should have their assaults taken seriously and should be </w:t>
      </w:r>
      <w:r w:rsidRPr="006D6DE1">
        <w:lastRenderedPageBreak/>
        <w:t>given the opportunity to report to the police. Individuals should be supported to engage in the justice system, as violence is violence, and people with disability are entitled to a justice system response on an equal basis to others. There should not be two forms of justice: one for people without disability, and one for people with disability” (</w:t>
      </w:r>
      <w:r w:rsidRPr="00AF3101">
        <w:t>People with Disability Australia, Submission 167</w:t>
      </w:r>
      <w:r w:rsidRPr="006D6DE1">
        <w:t xml:space="preserve">) – </w:t>
      </w:r>
      <w:r w:rsidR="00514E53">
        <w:rPr>
          <w:u w:val="single"/>
        </w:rPr>
        <w:t>T</w:t>
      </w:r>
      <w:r w:rsidRPr="006D6DE1">
        <w:rPr>
          <w:u w:val="single"/>
        </w:rPr>
        <w:t>his is just as relevant an objection to Proposal 11-2(b)</w:t>
      </w:r>
      <w:r w:rsidRPr="006D6DE1">
        <w:t xml:space="preserve">. </w:t>
      </w:r>
    </w:p>
    <w:p w:rsidR="00613D55" w:rsidRPr="00613D55" w:rsidRDefault="00613D55" w:rsidP="004C0B80">
      <w:pPr>
        <w:spacing w:before="120" w:after="120" w:line="25" w:lineRule="atLeast"/>
      </w:pPr>
      <w:r w:rsidRPr="00613D55">
        <w:t xml:space="preserve">I </w:t>
      </w:r>
      <w:r w:rsidR="00232F71">
        <w:t xml:space="preserve">also </w:t>
      </w:r>
      <w:r w:rsidRPr="00613D55">
        <w:t xml:space="preserve">refer to the </w:t>
      </w:r>
      <w:r w:rsidRPr="00AF3101">
        <w:t>Department of Health (</w:t>
      </w:r>
      <w:proofErr w:type="spellStart"/>
      <w:r w:rsidRPr="00AF3101">
        <w:t>Cth</w:t>
      </w:r>
      <w:proofErr w:type="spellEnd"/>
      <w:r w:rsidRPr="00AF3101">
        <w:t>), Submission 113, p.3</w:t>
      </w:r>
      <w:r w:rsidRPr="00613D55">
        <w:rPr>
          <w:i/>
        </w:rPr>
        <w:t xml:space="preserve">, </w:t>
      </w:r>
      <w:r w:rsidRPr="00613D55">
        <w:t xml:space="preserve">which relates to current legislation: “Unreasonable use of force as defined in the Act is intended to capture assaults ranging from deliberate and violent physical attacks on residents to the use of unwarranted physical force on a resident. </w:t>
      </w:r>
      <w:r w:rsidRPr="00613D55">
        <w:rPr>
          <w:u w:val="single"/>
        </w:rPr>
        <w:t>This may include hitting, punching or kicking a resident regardless of whether this causes visible harm, such as bruising</w:t>
      </w:r>
      <w:r w:rsidRPr="00613D55">
        <w:t xml:space="preserve">” (my emphasis). This range is not covered by the proposed definition of an incident as per </w:t>
      </w:r>
      <w:r w:rsidR="00232F71">
        <w:t>11-2</w:t>
      </w:r>
      <w:r w:rsidRPr="00613D55">
        <w:t xml:space="preserve">(b), and as such the proposal actually restricts rather than broadens those incidents to be reported, and also leaves the decision of whether or not to define injury as serious to the provider. </w:t>
      </w:r>
    </w:p>
    <w:p w:rsidR="006D1891" w:rsidRDefault="00D2529D" w:rsidP="00DC0DF3">
      <w:pPr>
        <w:spacing w:before="120" w:after="0" w:line="25" w:lineRule="atLeast"/>
        <w:rPr>
          <w:sz w:val="28"/>
          <w:szCs w:val="28"/>
        </w:rPr>
      </w:pPr>
      <w:r>
        <w:t xml:space="preserve">I recommend that proposal </w:t>
      </w:r>
      <w:r w:rsidR="00613D55" w:rsidRPr="00613D55">
        <w:t>11</w:t>
      </w:r>
      <w:r w:rsidR="00232F71">
        <w:t>-</w:t>
      </w:r>
      <w:r w:rsidR="00613D55" w:rsidRPr="00613D55">
        <w:t>2 (b)</w:t>
      </w:r>
      <w:r>
        <w:t xml:space="preserve"> be amended to include </w:t>
      </w:r>
      <w:r w:rsidR="00613D55" w:rsidRPr="00613D55">
        <w:t>assault</w:t>
      </w:r>
      <w:r>
        <w:t xml:space="preserve">, as per </w:t>
      </w:r>
      <w:r w:rsidR="007E235D">
        <w:t>11-2(a)</w:t>
      </w:r>
      <w:r>
        <w:t xml:space="preserve">. This could also be </w:t>
      </w:r>
      <w:r w:rsidR="00613D55" w:rsidRPr="00613D55">
        <w:t xml:space="preserve">qualified as per the </w:t>
      </w:r>
      <w:r w:rsidR="00613D55" w:rsidRPr="00AF3101">
        <w:t>Department of Health</w:t>
      </w:r>
      <w:r w:rsidR="00613D55" w:rsidRPr="00613D55">
        <w:rPr>
          <w:i/>
        </w:rPr>
        <w:t xml:space="preserve"> </w:t>
      </w:r>
      <w:r w:rsidR="00613D55" w:rsidRPr="00613D55">
        <w:t xml:space="preserve">(above), </w:t>
      </w:r>
      <w:proofErr w:type="spellStart"/>
      <w:r w:rsidR="00613D55" w:rsidRPr="00613D55">
        <w:t>viz</w:t>
      </w:r>
      <w:proofErr w:type="spellEnd"/>
      <w:r w:rsidR="00613D55" w:rsidRPr="00613D55">
        <w:t xml:space="preserve">: “This may include hitting, punching or kicking a resident regardless of whether this causes visible harm, such as bruising”. </w:t>
      </w:r>
    </w:p>
    <w:p w:rsidR="00DC0DF3" w:rsidRDefault="00DC0DF3" w:rsidP="0005199A">
      <w:pPr>
        <w:spacing w:after="120" w:line="25" w:lineRule="atLeast"/>
        <w:rPr>
          <w:sz w:val="28"/>
          <w:szCs w:val="28"/>
          <w:u w:val="single"/>
        </w:rPr>
      </w:pPr>
    </w:p>
    <w:p w:rsidR="007408E5" w:rsidRPr="007408E5" w:rsidRDefault="007408E5" w:rsidP="004C0B80">
      <w:pPr>
        <w:spacing w:before="120" w:after="120" w:line="25" w:lineRule="atLeast"/>
        <w:rPr>
          <w:color w:val="5B9BD5" w:themeColor="accent1"/>
          <w:sz w:val="28"/>
          <w:szCs w:val="28"/>
          <w:u w:val="single"/>
        </w:rPr>
      </w:pPr>
      <w:r>
        <w:rPr>
          <w:sz w:val="28"/>
          <w:szCs w:val="28"/>
          <w:u w:val="single"/>
        </w:rPr>
        <w:t>Concealment of Abuse</w:t>
      </w:r>
    </w:p>
    <w:p w:rsidR="00C45194" w:rsidRDefault="00DC35C7" w:rsidP="004C0B80">
      <w:pPr>
        <w:spacing w:before="120" w:after="120" w:line="25" w:lineRule="atLeast"/>
      </w:pPr>
      <w:r>
        <w:t xml:space="preserve">Currently, the narrow definition of reportable assault conceals abuse which does not fit the definition. This is acknowledged in the </w:t>
      </w:r>
      <w:r w:rsidR="00152BEB">
        <w:t>D</w:t>
      </w:r>
      <w:r>
        <w:t xml:space="preserve">iscussion </w:t>
      </w:r>
      <w:r w:rsidR="00152BEB">
        <w:t>P</w:t>
      </w:r>
      <w:r>
        <w:t>aper, p</w:t>
      </w:r>
      <w:r w:rsidR="0066202B" w:rsidRPr="007408E5">
        <w:t>art 11.147</w:t>
      </w:r>
      <w:r>
        <w:t xml:space="preserve">, which states that </w:t>
      </w:r>
      <w:r w:rsidR="0066202B" w:rsidRPr="007408E5">
        <w:t xml:space="preserve">“(t)he narrow definition of the term ‘reportable assault’ effectively conceals incidents that may have serious </w:t>
      </w:r>
      <w:r w:rsidR="0066202B" w:rsidRPr="00E72CCE">
        <w:t>consequences</w:t>
      </w:r>
      <w:r w:rsidR="0066202B" w:rsidRPr="00350B5D">
        <w:t xml:space="preserve"> for the victim but, because they are not captured, are not required to be reported”</w:t>
      </w:r>
      <w:r w:rsidR="0066202B" w:rsidRPr="003960C3">
        <w:t xml:space="preserve">. This is </w:t>
      </w:r>
      <w:r w:rsidR="0066202B" w:rsidRPr="00E72CCE">
        <w:t>equally applicable</w:t>
      </w:r>
      <w:r w:rsidR="0066202B" w:rsidRPr="00350B5D">
        <w:t xml:space="preserve"> to the suggestion</w:t>
      </w:r>
      <w:r w:rsidR="0066202B" w:rsidRPr="007408E5">
        <w:t xml:space="preserve"> of the new </w:t>
      </w:r>
      <w:r w:rsidR="007E235D">
        <w:t>‘</w:t>
      </w:r>
      <w:r w:rsidR="0066202B" w:rsidRPr="007408E5">
        <w:t>reportable incident</w:t>
      </w:r>
      <w:r w:rsidR="007E235D">
        <w:t>’</w:t>
      </w:r>
      <w:r w:rsidR="0066202B" w:rsidRPr="007408E5">
        <w:t xml:space="preserve"> as defined in </w:t>
      </w:r>
      <w:r w:rsidR="007E235D">
        <w:t>p</w:t>
      </w:r>
      <w:r w:rsidR="0066202B" w:rsidRPr="007408E5">
        <w:t>roposal 11</w:t>
      </w:r>
      <w:r w:rsidR="00021B5D" w:rsidRPr="007408E5">
        <w:t>-2</w:t>
      </w:r>
      <w:r w:rsidR="0066202B" w:rsidRPr="007408E5">
        <w:t xml:space="preserve">(b). </w:t>
      </w:r>
      <w:r w:rsidR="00D11DAE">
        <w:t>Consequences will not be recognised if the incident itself has been deemed not serious</w:t>
      </w:r>
      <w:r w:rsidR="00C45194">
        <w:t xml:space="preserve"> e</w:t>
      </w:r>
      <w:r w:rsidR="00D2529D">
        <w:t>.</w:t>
      </w:r>
      <w:r w:rsidR="00C45194">
        <w:t>g. not sexual, not involving a weapon, not involving serious physical injury.</w:t>
      </w:r>
    </w:p>
    <w:p w:rsidR="00595E7B" w:rsidRDefault="00595E7B" w:rsidP="004C0B80">
      <w:pPr>
        <w:spacing w:before="120" w:after="120" w:line="25" w:lineRule="atLeast"/>
      </w:pPr>
      <w:r>
        <w:t>In addition, it would likely be difficult to determine when an incident formed part of a ‘pattern of abuse’</w:t>
      </w:r>
      <w:r w:rsidR="00DC35C7">
        <w:t xml:space="preserve"> and therefore otherwise satisfying 11-2(b)</w:t>
      </w:r>
      <w:r>
        <w:t xml:space="preserve">. This is because </w:t>
      </w:r>
      <w:r w:rsidRPr="004A3CED">
        <w:t xml:space="preserve">some assaults </w:t>
      </w:r>
      <w:r>
        <w:t xml:space="preserve">could </w:t>
      </w:r>
      <w:r w:rsidRPr="004A3CED">
        <w:t xml:space="preserve">go unreported (as per </w:t>
      </w:r>
      <w:r w:rsidR="00DC35C7">
        <w:t>p</w:t>
      </w:r>
      <w:r w:rsidRPr="004A3CED">
        <w:t>roposal 11-2</w:t>
      </w:r>
      <w:r w:rsidR="00E62D3A">
        <w:t>[</w:t>
      </w:r>
      <w:r w:rsidRPr="004A3CED">
        <w:t>b</w:t>
      </w:r>
      <w:r w:rsidR="00E62D3A">
        <w:t>]</w:t>
      </w:r>
      <w:r w:rsidR="00DC35C7">
        <w:t>)</w:t>
      </w:r>
      <w:r>
        <w:t xml:space="preserve">, making the pattern unobservable, at least to individuals with exposure to only some of it. </w:t>
      </w:r>
      <w:r w:rsidR="00DC35C7">
        <w:t>In my experience, t</w:t>
      </w:r>
      <w:r w:rsidRPr="004A3CED">
        <w:t xml:space="preserve">here was a pattern of abuse </w:t>
      </w:r>
      <w:r w:rsidR="00DC35C7">
        <w:t xml:space="preserve">for my </w:t>
      </w:r>
      <w:r w:rsidRPr="004A3CED">
        <w:t xml:space="preserve">mother’s assailant – pulling/ pushing/ throwing people out of bed and holding pillows over people’s faces – but this </w:t>
      </w:r>
      <w:r w:rsidR="00DC35C7">
        <w:t xml:space="preserve">was difficult to identify as an outsider, as instances where not reported. I had to rely on staff candour – and therefore on staff risking their </w:t>
      </w:r>
      <w:r w:rsidR="00152BEB">
        <w:t>job</w:t>
      </w:r>
      <w:r w:rsidR="00DC35C7">
        <w:t xml:space="preserve">s – to know about other instances. These issues would be continued under proposal </w:t>
      </w:r>
      <w:r w:rsidR="00B56DA9">
        <w:t xml:space="preserve">11-2(b) because individual instances may not </w:t>
      </w:r>
      <w:r w:rsidR="00DC35C7">
        <w:t>be deemed reportable in their own right</w:t>
      </w:r>
      <w:r w:rsidR="00B56DA9">
        <w:t xml:space="preserve"> (e.g. a pillow may not be deemed a ‘weapon’), </w:t>
      </w:r>
      <w:r w:rsidR="00DC35C7">
        <w:t xml:space="preserve">limiting the abilities of family members and staff, who may not be privy to all instances, to identify a pattern of behaviour. </w:t>
      </w:r>
    </w:p>
    <w:p w:rsidR="001C3A19" w:rsidRDefault="001C3A19" w:rsidP="004C0B80">
      <w:pPr>
        <w:spacing w:before="120" w:after="120" w:line="25" w:lineRule="atLeast"/>
      </w:pPr>
      <w:r w:rsidRPr="008B19AA">
        <w:t xml:space="preserve">As it stands, </w:t>
      </w:r>
      <w:r w:rsidR="00B56DA9">
        <w:t>p</w:t>
      </w:r>
      <w:r w:rsidRPr="008B19AA">
        <w:t xml:space="preserve">roposal 11-2(b) </w:t>
      </w:r>
      <w:r w:rsidR="00B56DA9">
        <w:t xml:space="preserve">could re-instate old barriers removed by proposal 11-3, and </w:t>
      </w:r>
      <w:r w:rsidR="00BD69D1">
        <w:t>in so doing</w:t>
      </w:r>
      <w:r w:rsidR="00491C27">
        <w:t xml:space="preserve"> </w:t>
      </w:r>
      <w:r w:rsidRPr="008B19AA">
        <w:t>ignore</w:t>
      </w:r>
      <w:r w:rsidR="00B56DA9">
        <w:t xml:space="preserve"> the impacts on victims, such as </w:t>
      </w:r>
      <w:r w:rsidRPr="008B19AA">
        <w:t>psychological injury</w:t>
      </w:r>
      <w:r w:rsidR="00B56DA9">
        <w:t>.</w:t>
      </w:r>
      <w:r w:rsidRPr="008B19AA">
        <w:t xml:space="preserve"> Psychological injury is not necessarily immediately apparent, and not necessarily apparent to the undertrained staff of aged care facilities</w:t>
      </w:r>
      <w:r w:rsidR="009C4B8E">
        <w:t>, especially since it includes worsening of symptoms already apparent as dementia</w:t>
      </w:r>
      <w:r w:rsidRPr="008B19AA">
        <w:t>.</w:t>
      </w:r>
      <w:r w:rsidR="00491C27">
        <w:t xml:space="preserve"> Further, in my experience, it is often underestimated, and therefore may not be considered a ‘serious injury’, despite having significant consequences for the individual. </w:t>
      </w:r>
      <w:r w:rsidRPr="008B19AA">
        <w:t xml:space="preserve"> </w:t>
      </w:r>
    </w:p>
    <w:p w:rsidR="00647152" w:rsidRDefault="00491C27" w:rsidP="004C0B80">
      <w:pPr>
        <w:spacing w:before="120" w:after="120" w:line="25" w:lineRule="atLeast"/>
      </w:pPr>
      <w:r>
        <w:t>To use my experience as an example, m</w:t>
      </w:r>
      <w:r w:rsidR="00647152">
        <w:t xml:space="preserve">y mother’s psychological injury was apparent to me (as a psychologist) but was denied by the executive manager and the approved provider, and my requests for a suitable specialist to be consulted were denied. </w:t>
      </w:r>
      <w:r w:rsidR="00B56DA9">
        <w:t>As the incidents affecting her were unreportable, I had limited avenues of redress. Proposal</w:t>
      </w:r>
      <w:r>
        <w:t xml:space="preserve"> 11-2</w:t>
      </w:r>
      <w:r w:rsidR="00B56DA9">
        <w:t>(b) would</w:t>
      </w:r>
      <w:r w:rsidR="00152BEB">
        <w:t xml:space="preserve"> </w:t>
      </w:r>
      <w:r w:rsidR="00B56DA9">
        <w:t>n</w:t>
      </w:r>
      <w:r w:rsidR="00152BEB">
        <w:t>o</w:t>
      </w:r>
      <w:r w:rsidR="00B56DA9">
        <w:t xml:space="preserve">t address this problem. </w:t>
      </w:r>
    </w:p>
    <w:p w:rsidR="00B56DA9" w:rsidRPr="008B19AA" w:rsidRDefault="00B56DA9" w:rsidP="004C0B80">
      <w:pPr>
        <w:spacing w:before="120" w:after="120" w:line="25" w:lineRule="atLeast"/>
      </w:pPr>
      <w:r>
        <w:t>In addition, proposal 11-</w:t>
      </w:r>
      <w:r w:rsidR="00491C27">
        <w:t>2</w:t>
      </w:r>
      <w:r>
        <w:t>(b) includes a number of potentially vague terms, which could be used to provide the discretion for facilities not to report incidents. For example:</w:t>
      </w:r>
    </w:p>
    <w:p w:rsidR="00B56DA9" w:rsidRDefault="0066202B" w:rsidP="00ED3F40">
      <w:pPr>
        <w:pStyle w:val="ListParagraph"/>
        <w:numPr>
          <w:ilvl w:val="0"/>
          <w:numId w:val="6"/>
        </w:numPr>
        <w:spacing w:before="120" w:after="120" w:line="25" w:lineRule="atLeast"/>
      </w:pPr>
      <w:r w:rsidRPr="007408E5">
        <w:lastRenderedPageBreak/>
        <w:t xml:space="preserve">What is a “serious incident”? </w:t>
      </w:r>
      <w:r w:rsidR="006D477C" w:rsidRPr="007408E5">
        <w:t xml:space="preserve">Serious in what way? Serious for whom? </w:t>
      </w:r>
    </w:p>
    <w:p w:rsidR="00B56DA9" w:rsidRDefault="007408E5" w:rsidP="00ED3F40">
      <w:pPr>
        <w:pStyle w:val="ListParagraph"/>
        <w:numPr>
          <w:ilvl w:val="0"/>
          <w:numId w:val="6"/>
        </w:numPr>
        <w:spacing w:before="120" w:after="120" w:line="25" w:lineRule="atLeast"/>
      </w:pPr>
      <w:r w:rsidRPr="007408E5">
        <w:t xml:space="preserve">Who decides that the incident has </w:t>
      </w:r>
      <w:r w:rsidRPr="00B56DA9">
        <w:rPr>
          <w:u w:val="single"/>
        </w:rPr>
        <w:t>caused</w:t>
      </w:r>
      <w:r w:rsidRPr="007408E5">
        <w:t xml:space="preserve"> the injury? </w:t>
      </w:r>
      <w:r w:rsidR="00491C27">
        <w:t>What if an injury, such as psychological distress, appears later?</w:t>
      </w:r>
    </w:p>
    <w:p w:rsidR="007A108F" w:rsidRDefault="007408E5" w:rsidP="00ED3F40">
      <w:pPr>
        <w:pStyle w:val="ListParagraph"/>
        <w:numPr>
          <w:ilvl w:val="0"/>
          <w:numId w:val="6"/>
        </w:numPr>
        <w:spacing w:before="120" w:after="120" w:line="25" w:lineRule="atLeast"/>
      </w:pPr>
      <w:r>
        <w:t>How is “sexual offence” defined, and by whom?</w:t>
      </w:r>
    </w:p>
    <w:p w:rsidR="00B56DA9" w:rsidRDefault="00B56DA9" w:rsidP="00ED3F40">
      <w:pPr>
        <w:pStyle w:val="ListParagraph"/>
        <w:numPr>
          <w:ilvl w:val="0"/>
          <w:numId w:val="6"/>
        </w:numPr>
        <w:spacing w:before="120" w:after="120" w:line="25" w:lineRule="atLeast"/>
      </w:pPr>
      <w:r>
        <w:t>What is a “pattern of abuse”?</w:t>
      </w:r>
      <w:r w:rsidR="00491C27">
        <w:t xml:space="preserve"> How </w:t>
      </w:r>
      <w:proofErr w:type="gramStart"/>
      <w:r w:rsidR="00491C27">
        <w:t>is a pattern</w:t>
      </w:r>
      <w:proofErr w:type="gramEnd"/>
      <w:r w:rsidR="00491C27">
        <w:t xml:space="preserve"> determined when individual instances are not in themselves reportable?</w:t>
      </w:r>
      <w:r>
        <w:t xml:space="preserve"> </w:t>
      </w:r>
    </w:p>
    <w:p w:rsidR="00122B3D" w:rsidRDefault="004A3CED" w:rsidP="00B56DA9">
      <w:pPr>
        <w:pStyle w:val="ListParagraph"/>
        <w:numPr>
          <w:ilvl w:val="0"/>
          <w:numId w:val="7"/>
        </w:numPr>
        <w:spacing w:before="120" w:after="120" w:line="25" w:lineRule="atLeast"/>
      </w:pPr>
      <w:r w:rsidRPr="004A3CED">
        <w:t xml:space="preserve">How is a “weapon” defined, and by whom? </w:t>
      </w:r>
      <w:r w:rsidR="00B56DA9">
        <w:t xml:space="preserve">Is a pillow a weapon? A spoon? </w:t>
      </w:r>
      <w:r w:rsidR="00491C27">
        <w:t>What if the pillow is used to attempt to suffocate someone?</w:t>
      </w:r>
    </w:p>
    <w:p w:rsidR="00837502" w:rsidRDefault="00350B5D" w:rsidP="004C0B80">
      <w:pPr>
        <w:spacing w:before="120" w:after="120" w:line="25" w:lineRule="atLeast"/>
      </w:pPr>
      <w:r>
        <w:t xml:space="preserve">Vague terms, and potential discretion, are problematic. </w:t>
      </w:r>
      <w:r w:rsidR="00B56DA9">
        <w:t xml:space="preserve">Providers have </w:t>
      </w:r>
      <w:r w:rsidR="00837502" w:rsidRPr="00837502">
        <w:t xml:space="preserve">a vested interest in not reporting assaults </w:t>
      </w:r>
      <w:r w:rsidR="00B56DA9">
        <w:t xml:space="preserve">as doing so can impact their business. </w:t>
      </w:r>
      <w:r w:rsidR="00837502" w:rsidRPr="00837502">
        <w:t>As</w:t>
      </w:r>
      <w:r w:rsidR="00B56DA9">
        <w:t> </w:t>
      </w:r>
      <w:r w:rsidR="00837502" w:rsidRPr="00837502">
        <w:t>long as the decisio</w:t>
      </w:r>
      <w:r w:rsidR="0045154E">
        <w:t>n to report is in the hands of p</w:t>
      </w:r>
      <w:r w:rsidR="00837502" w:rsidRPr="00837502">
        <w:t>roviders</w:t>
      </w:r>
      <w:r w:rsidR="00794088">
        <w:t xml:space="preserve"> –</w:t>
      </w:r>
      <w:r w:rsidR="00B56DA9">
        <w:t xml:space="preserve"> </w:t>
      </w:r>
      <w:r w:rsidR="00837502" w:rsidRPr="00837502">
        <w:t>by defining assault for some as anything less than assault for others</w:t>
      </w:r>
      <w:r w:rsidR="000D20F7">
        <w:t xml:space="preserve">, or by giving </w:t>
      </w:r>
      <w:r w:rsidR="00794088">
        <w:t xml:space="preserve">providers </w:t>
      </w:r>
      <w:r w:rsidR="000D20F7">
        <w:t>discretion in what constitutes a reportable incident</w:t>
      </w:r>
      <w:r w:rsidR="00837502" w:rsidRPr="00837502">
        <w:t xml:space="preserve"> – some assaults will continue to be unreported, and because they are unreported, </w:t>
      </w:r>
      <w:r w:rsidR="005E66C0">
        <w:t xml:space="preserve">will remain </w:t>
      </w:r>
      <w:r w:rsidR="00837502" w:rsidRPr="00837502">
        <w:t xml:space="preserve">invisible. </w:t>
      </w:r>
      <w:r w:rsidR="005E66C0">
        <w:t xml:space="preserve">This has impacts for the individuals involved, and for the ability </w:t>
      </w:r>
      <w:r>
        <w:t xml:space="preserve">of compliance agencies </w:t>
      </w:r>
      <w:r w:rsidR="005E66C0">
        <w:t xml:space="preserve">to monitor practices more broadly – if incidents are </w:t>
      </w:r>
      <w:r w:rsidR="00837502" w:rsidRPr="00837502">
        <w:t>unreported</w:t>
      </w:r>
      <w:r w:rsidR="005E66C0">
        <w:t xml:space="preserve">, then there is </w:t>
      </w:r>
      <w:r w:rsidR="00837502" w:rsidRPr="00837502">
        <w:t xml:space="preserve">nothing to monitor. </w:t>
      </w:r>
    </w:p>
    <w:p w:rsidR="00350B5D" w:rsidRDefault="002E5F92" w:rsidP="00350B5D">
      <w:pPr>
        <w:spacing w:before="120" w:after="120" w:line="25" w:lineRule="atLeast"/>
      </w:pPr>
      <w:r>
        <w:t>Whil</w:t>
      </w:r>
      <w:r w:rsidR="00152BEB">
        <w:t>st</w:t>
      </w:r>
      <w:r>
        <w:t xml:space="preserve"> </w:t>
      </w:r>
      <w:r w:rsidR="00794088">
        <w:t xml:space="preserve">I acknowledge </w:t>
      </w:r>
      <w:r w:rsidR="004E07A3">
        <w:t xml:space="preserve">that </w:t>
      </w:r>
      <w:r>
        <w:t xml:space="preserve">this higher threshold is an attempt to </w:t>
      </w:r>
      <w:r w:rsidR="00E10665">
        <w:t xml:space="preserve">screen minor incidents out, </w:t>
      </w:r>
      <w:r w:rsidR="00794088">
        <w:t xml:space="preserve">assaults are not minor incidents. Proposals </w:t>
      </w:r>
      <w:r w:rsidR="00B70806">
        <w:t>11-1 and 11-2</w:t>
      </w:r>
      <w:r w:rsidR="00794088">
        <w:t>(a)</w:t>
      </w:r>
      <w:r w:rsidR="00B70806">
        <w:t xml:space="preserve"> are about reporting abuse</w:t>
      </w:r>
      <w:r w:rsidR="00794088">
        <w:t xml:space="preserve"> (</w:t>
      </w:r>
      <w:r w:rsidR="00B70806">
        <w:t>including a</w:t>
      </w:r>
      <w:r w:rsidR="00241302">
        <w:t>ssaults</w:t>
      </w:r>
      <w:r w:rsidR="00794088">
        <w:t>). A</w:t>
      </w:r>
      <w:r w:rsidR="00350B5D">
        <w:t> </w:t>
      </w:r>
      <w:r w:rsidR="00794088">
        <w:t xml:space="preserve">higher threshold should not be set under 11.2(b). </w:t>
      </w:r>
      <w:r w:rsidR="00C6482F">
        <w:t xml:space="preserve">To set a higher threshold, based on who the assailant is, </w:t>
      </w:r>
      <w:r w:rsidR="00350B5D" w:rsidRPr="007430C3">
        <w:t>is not ‘ensuring safety and quality [and] protecting the vulnerable’ (11.2)</w:t>
      </w:r>
      <w:r w:rsidR="00350B5D">
        <w:t>, including my late mother whose assailant punched her in the face and attempted suffocation with a pillow – an assault which may still have been unreportable as per 11.2(b)</w:t>
      </w:r>
      <w:r w:rsidR="00835439">
        <w:t>, and most certainly would have been unreported by that particular facility and approved provider</w:t>
      </w:r>
      <w:r w:rsidR="00350B5D">
        <w:t xml:space="preserve">. </w:t>
      </w:r>
    </w:p>
    <w:p w:rsidR="00350B5D" w:rsidRDefault="00794088" w:rsidP="00350B5D">
      <w:pPr>
        <w:spacing w:before="120" w:after="120" w:line="25" w:lineRule="atLeast"/>
      </w:pPr>
      <w:r>
        <w:t xml:space="preserve">In my view, 11.2(b) also renders 11.1 relatively meaningless. This is because there is </w:t>
      </w:r>
      <w:r w:rsidR="00D77E92" w:rsidRPr="00D77E92">
        <w:t xml:space="preserve">no point in the Aged Care Complaints Commissioner overseeing </w:t>
      </w:r>
      <w:r w:rsidR="00F439F5">
        <w:t>provider</w:t>
      </w:r>
      <w:r w:rsidR="00D77E92" w:rsidRPr="00D77E92">
        <w:t>s</w:t>
      </w:r>
      <w:r w:rsidR="00F439F5">
        <w:t>’</w:t>
      </w:r>
      <w:r w:rsidR="00D77E92" w:rsidRPr="00D77E92">
        <w:t xml:space="preserve"> </w:t>
      </w:r>
      <w:r>
        <w:t xml:space="preserve">responses to </w:t>
      </w:r>
      <w:r w:rsidR="00D77E92" w:rsidRPr="00D77E92">
        <w:t>(reportable) incidents</w:t>
      </w:r>
      <w:r>
        <w:t xml:space="preserve"> if </w:t>
      </w:r>
      <w:r w:rsidR="00D77E92" w:rsidRPr="00D77E92">
        <w:t xml:space="preserve">providers </w:t>
      </w:r>
      <w:r>
        <w:t xml:space="preserve">have discretion in determining what is </w:t>
      </w:r>
      <w:r w:rsidR="00D77E92" w:rsidRPr="00D77E92">
        <w:t xml:space="preserve">serious </w:t>
      </w:r>
      <w:r>
        <w:t xml:space="preserve">and therefore reportable. </w:t>
      </w:r>
      <w:r w:rsidR="00350B5D">
        <w:t>Providers can simply ‘cherry pick’ instances they are satisfied that they can, or have, responded to. This could then undermine attempts at broader reforms. I</w:t>
      </w:r>
      <w:r>
        <w:t>f resident-on-resident assaul</w:t>
      </w:r>
      <w:r w:rsidR="00350B5D">
        <w:t xml:space="preserve">ts are occurring, this may </w:t>
      </w:r>
      <w:r>
        <w:t>be because appropria</w:t>
      </w:r>
      <w:r w:rsidR="00350B5D">
        <w:t>te strategies are not in place</w:t>
      </w:r>
      <w:r w:rsidR="007457AD">
        <w:t xml:space="preserve"> (as in my mother’s case)</w:t>
      </w:r>
      <w:r w:rsidR="00350B5D">
        <w:t xml:space="preserve">. Failure to see these instances means we cannot evaluate the causes and responses. </w:t>
      </w:r>
    </w:p>
    <w:p w:rsidR="006D1891" w:rsidRDefault="00C6482F" w:rsidP="00DC0DF3">
      <w:pPr>
        <w:spacing w:before="120" w:after="0" w:line="25" w:lineRule="atLeast"/>
      </w:pPr>
      <w:r>
        <w:t>In sum</w:t>
      </w:r>
      <w:r w:rsidR="007457AD">
        <w:t>mary</w:t>
      </w:r>
      <w:r>
        <w:t xml:space="preserve">, it is my contention that 11.2(b) is </w:t>
      </w:r>
      <w:r w:rsidR="00350B5D" w:rsidRPr="00D77E92">
        <w:t xml:space="preserve">effectively a substitute for </w:t>
      </w:r>
      <w:r w:rsidR="00350B5D" w:rsidRPr="00D77E92">
        <w:rPr>
          <w:i/>
        </w:rPr>
        <w:t xml:space="preserve">Section 63-1AA(3) </w:t>
      </w:r>
      <w:r w:rsidR="00350B5D">
        <w:t xml:space="preserve">and the accompanying </w:t>
      </w:r>
      <w:r w:rsidR="00350B5D" w:rsidRPr="00B44293">
        <w:rPr>
          <w:i/>
        </w:rPr>
        <w:t>Accountability Principles 2014</w:t>
      </w:r>
      <w:r w:rsidR="00350B5D">
        <w:rPr>
          <w:i/>
        </w:rPr>
        <w:t xml:space="preserve">, Part 7, section 53 </w:t>
      </w:r>
      <w:r w:rsidR="00350B5D" w:rsidRPr="00D77E92">
        <w:t xml:space="preserve">– giving approved providers the power to determine what is and what is not reportable, and </w:t>
      </w:r>
      <w:r>
        <w:t xml:space="preserve">thereby allowing </w:t>
      </w:r>
      <w:r w:rsidR="0041741E">
        <w:t>resident</w:t>
      </w:r>
      <w:r>
        <w:t>-on-</w:t>
      </w:r>
      <w:r w:rsidR="0041741E">
        <w:t>resident</w:t>
      </w:r>
      <w:r>
        <w:t xml:space="preserve"> assaults to go unchecked. </w:t>
      </w:r>
    </w:p>
    <w:p w:rsidR="00350B5D" w:rsidRDefault="00350B5D" w:rsidP="0005199A">
      <w:pPr>
        <w:spacing w:after="120" w:line="25" w:lineRule="atLeast"/>
      </w:pPr>
    </w:p>
    <w:p w:rsidR="008E5AC0" w:rsidRPr="00AF3101" w:rsidRDefault="00794088" w:rsidP="004C0B80">
      <w:pPr>
        <w:spacing w:before="120" w:after="120" w:line="25" w:lineRule="atLeast"/>
        <w:rPr>
          <w:color w:val="5B9BD5" w:themeColor="accent1"/>
          <w:sz w:val="28"/>
          <w:szCs w:val="28"/>
        </w:rPr>
      </w:pPr>
      <w:r w:rsidRPr="008B19AA" w:rsidDel="00794088">
        <w:t xml:space="preserve"> </w:t>
      </w:r>
      <w:r w:rsidR="008E5AC0">
        <w:rPr>
          <w:sz w:val="28"/>
          <w:szCs w:val="28"/>
          <w:u w:val="single"/>
        </w:rPr>
        <w:t>Conflict of Interest</w:t>
      </w:r>
    </w:p>
    <w:p w:rsidR="00DA2B1E" w:rsidRDefault="00DA2B1E" w:rsidP="004C0B80">
      <w:pPr>
        <w:spacing w:before="120" w:after="120" w:line="25" w:lineRule="atLeast"/>
      </w:pPr>
      <w:r>
        <w:t xml:space="preserve">In my view, the legislation is often drafted to assume that age care providers see </w:t>
      </w:r>
      <w:r w:rsidRPr="00E72CCE">
        <w:rPr>
          <w:i/>
        </w:rPr>
        <w:t>themselves</w:t>
      </w:r>
      <w:r>
        <w:t xml:space="preserve"> as having, and act as if they </w:t>
      </w:r>
      <w:proofErr w:type="gramStart"/>
      <w:r>
        <w:t>have,</w:t>
      </w:r>
      <w:proofErr w:type="gramEnd"/>
      <w:r>
        <w:t xml:space="preserve"> a duty of care to their residents. Further, legislation often assumes that providers will do the right thing. However, this ignores the inherent conflict of interest in their being businesses designed to make a profit, and thereby minimise bad publicity. </w:t>
      </w:r>
    </w:p>
    <w:p w:rsidR="00EE1AFC" w:rsidRDefault="00EE1AFC" w:rsidP="004C0B80">
      <w:pPr>
        <w:spacing w:before="120" w:after="120" w:line="25" w:lineRule="atLeast"/>
      </w:pPr>
      <w:r w:rsidRPr="00EE1AFC">
        <w:t xml:space="preserve">It has been my personal experience that an approved provider does not necessarily act in an ethical, professional, caring, or even legal manner. The </w:t>
      </w:r>
      <w:r w:rsidRPr="00EE1AFC">
        <w:rPr>
          <w:u w:val="single"/>
        </w:rPr>
        <w:t>assumption</w:t>
      </w:r>
      <w:r w:rsidRPr="00EE1AFC">
        <w:t xml:space="preserve"> that they will is naïve and potentially dangerous for individual residents of aged care facilities – the assaults on my own mother and others in her dementia unit are examples of the outcome of such an assumption. </w:t>
      </w:r>
    </w:p>
    <w:p w:rsidR="00EE1AFC" w:rsidRDefault="00EE1AFC" w:rsidP="004C0B80">
      <w:pPr>
        <w:spacing w:before="120" w:after="120" w:line="25" w:lineRule="atLeast"/>
      </w:pPr>
      <w:r>
        <w:t xml:space="preserve">I have read most of the submissions to the ALRC, and note that they include </w:t>
      </w:r>
      <w:proofErr w:type="gramStart"/>
      <w:r>
        <w:t>many other documentations</w:t>
      </w:r>
      <w:proofErr w:type="gramEnd"/>
      <w:r>
        <w:t xml:space="preserve"> of </w:t>
      </w:r>
      <w:r w:rsidR="00E32D88">
        <w:t>similar circumstances</w:t>
      </w:r>
      <w:r w:rsidR="007B757D">
        <w:t xml:space="preserve"> and incidents</w:t>
      </w:r>
      <w:r w:rsidR="00E32D88">
        <w:t xml:space="preserve">, and of inadequate responses and </w:t>
      </w:r>
      <w:r>
        <w:t xml:space="preserve">questionable conduct by approved providers. </w:t>
      </w:r>
    </w:p>
    <w:p w:rsidR="00B57335" w:rsidRDefault="00DA2B1E" w:rsidP="004C0B80">
      <w:pPr>
        <w:spacing w:before="120" w:after="120" w:line="25" w:lineRule="atLeast"/>
      </w:pPr>
      <w:r>
        <w:lastRenderedPageBreak/>
        <w:t>If a</w:t>
      </w:r>
      <w:r w:rsidR="00B57335">
        <w:t xml:space="preserve">pproved providers </w:t>
      </w:r>
      <w:r>
        <w:t xml:space="preserve">had </w:t>
      </w:r>
      <w:r w:rsidR="00B57335">
        <w:t>care and well-being of their elderly residents</w:t>
      </w:r>
      <w:r>
        <w:t xml:space="preserve"> as their priority,</w:t>
      </w:r>
      <w:r w:rsidR="00B57335">
        <w:t xml:space="preserve"> </w:t>
      </w:r>
      <w:r w:rsidR="00494055">
        <w:t>rather than their business interests</w:t>
      </w:r>
      <w:r>
        <w:t>,</w:t>
      </w:r>
      <w:r w:rsidR="00494055">
        <w:t xml:space="preserve"> </w:t>
      </w:r>
      <w:r>
        <w:t xml:space="preserve">then they would be </w:t>
      </w:r>
      <w:r w:rsidR="00A72901">
        <w:t xml:space="preserve">concerned about and </w:t>
      </w:r>
      <w:r w:rsidR="00B57335">
        <w:t xml:space="preserve">actively investigating incidents of abuse, championing transparency, employing appropriately trained and qualified staff, ensuring effective staffing ratios, conferring with family members, </w:t>
      </w:r>
      <w:r w:rsidR="00EF4CA4">
        <w:t xml:space="preserve">ensuring safety and comfort of residents, providing appropriate medical attention, </w:t>
      </w:r>
      <w:r w:rsidR="00B57335">
        <w:t xml:space="preserve">providing evidence-based activities and treatments, </w:t>
      </w:r>
      <w:r w:rsidR="00441B68">
        <w:t xml:space="preserve">providing nutritionally balanced meals, and through their combined representative associations be actively and conscientiously involved in </w:t>
      </w:r>
      <w:r>
        <w:t xml:space="preserve">improving their standards of care, including by </w:t>
      </w:r>
      <w:r w:rsidR="00441B68">
        <w:t>decreasing the incidence</w:t>
      </w:r>
      <w:r>
        <w:t>s</w:t>
      </w:r>
      <w:r w:rsidR="00441B68">
        <w:t xml:space="preserve"> of abuse</w:t>
      </w:r>
      <w:r w:rsidR="00A72901">
        <w:t xml:space="preserve"> in their facilities.</w:t>
      </w:r>
      <w:r w:rsidR="00441B68">
        <w:t xml:space="preserve"> </w:t>
      </w:r>
      <w:r>
        <w:t xml:space="preserve">They are not. Further, even if some do act in this way (and I have not heard of any this wholesome), legislation should not be drafted to assume this is the norm. </w:t>
      </w:r>
    </w:p>
    <w:p w:rsidR="00DA2B1E" w:rsidRPr="003960C3" w:rsidRDefault="00DA2B1E" w:rsidP="00DC0DF3">
      <w:pPr>
        <w:spacing w:before="120" w:after="0" w:line="25" w:lineRule="atLeast"/>
      </w:pPr>
      <w:r>
        <w:t xml:space="preserve">In reality, many facilities will put profit above care. As such, they will not report negative incidents in their facilities, unless forced to do so. There can be no discretion and no opportunities for creative interpretation. Legislation should be drafted to </w:t>
      </w:r>
      <w:r>
        <w:rPr>
          <w:i/>
        </w:rPr>
        <w:t xml:space="preserve">require </w:t>
      </w:r>
      <w:r>
        <w:t xml:space="preserve">reporting of anything which could satisfy the definition of assault, as used for other members of society, regardless of the perpetrator. It isn’t about </w:t>
      </w:r>
      <w:proofErr w:type="gramStart"/>
      <w:r>
        <w:t>blame,</w:t>
      </w:r>
      <w:proofErr w:type="gramEnd"/>
      <w:r>
        <w:t xml:space="preserve"> it’s about protecting the vulnerable. </w:t>
      </w:r>
    </w:p>
    <w:p w:rsidR="006D1891" w:rsidRDefault="006D1891" w:rsidP="0005199A">
      <w:pPr>
        <w:spacing w:after="120" w:line="25" w:lineRule="atLeast"/>
        <w:rPr>
          <w:sz w:val="28"/>
          <w:szCs w:val="28"/>
          <w:u w:val="single"/>
        </w:rPr>
      </w:pPr>
    </w:p>
    <w:p w:rsidR="00F34A23" w:rsidRDefault="00F34A23" w:rsidP="004C0B80">
      <w:pPr>
        <w:spacing w:before="120" w:after="120" w:line="25" w:lineRule="atLeast"/>
        <w:rPr>
          <w:sz w:val="28"/>
          <w:szCs w:val="28"/>
          <w:u w:val="single"/>
        </w:rPr>
      </w:pPr>
      <w:r>
        <w:rPr>
          <w:sz w:val="28"/>
          <w:szCs w:val="28"/>
          <w:u w:val="single"/>
        </w:rPr>
        <w:t>Accountability of Approved Providers</w:t>
      </w:r>
    </w:p>
    <w:p w:rsidR="00993973" w:rsidRDefault="00543A63" w:rsidP="004C0B80">
      <w:pPr>
        <w:spacing w:before="120" w:after="120" w:line="25" w:lineRule="atLeast"/>
      </w:pPr>
      <w:r>
        <w:t xml:space="preserve">The </w:t>
      </w:r>
      <w:r w:rsidR="00401E49">
        <w:t>D</w:t>
      </w:r>
      <w:r>
        <w:t xml:space="preserve">iscussion </w:t>
      </w:r>
      <w:r w:rsidR="00401E49">
        <w:t>P</w:t>
      </w:r>
      <w:r>
        <w:t>aper notes that “en</w:t>
      </w:r>
      <w:r w:rsidR="00212926" w:rsidRPr="00212926">
        <w:t>suring quality of care is perhaps the best safe</w:t>
      </w:r>
      <w:r w:rsidR="00212926">
        <w:t>guard against abuse and neglect</w:t>
      </w:r>
      <w:r w:rsidR="00212926" w:rsidRPr="00212926">
        <w:t>”</w:t>
      </w:r>
      <w:r w:rsidR="00212926">
        <w:rPr>
          <w:color w:val="00B050"/>
        </w:rPr>
        <w:t xml:space="preserve"> </w:t>
      </w:r>
      <w:r w:rsidR="00212926" w:rsidRPr="00212926">
        <w:t>(</w:t>
      </w:r>
      <w:r w:rsidR="00212926">
        <w:t>11.9).</w:t>
      </w:r>
      <w:r w:rsidR="00993973">
        <w:t xml:space="preserve"> However, </w:t>
      </w:r>
      <w:r w:rsidR="000E7374">
        <w:t xml:space="preserve">my </w:t>
      </w:r>
      <w:r w:rsidR="00993973">
        <w:t>view is</w:t>
      </w:r>
      <w:r w:rsidR="000E7374">
        <w:t xml:space="preserve"> </w:t>
      </w:r>
      <w:r w:rsidR="00993973">
        <w:t xml:space="preserve">that the quality of care framework is undermined by inconsistent and ineffective legislation. </w:t>
      </w:r>
    </w:p>
    <w:p w:rsidR="00137E00" w:rsidRDefault="00993973" w:rsidP="00F700A8">
      <w:pPr>
        <w:spacing w:before="120" w:after="120" w:line="25" w:lineRule="atLeast"/>
      </w:pPr>
      <w:r>
        <w:t xml:space="preserve">The </w:t>
      </w:r>
      <w:r w:rsidR="00401E49">
        <w:t>D</w:t>
      </w:r>
      <w:r>
        <w:t xml:space="preserve">iscussion </w:t>
      </w:r>
      <w:r w:rsidR="00401E49">
        <w:t>P</w:t>
      </w:r>
      <w:r>
        <w:t xml:space="preserve">aper notes the </w:t>
      </w:r>
      <w:r w:rsidR="008D6057" w:rsidRPr="008D6057">
        <w:rPr>
          <w:i/>
        </w:rPr>
        <w:t>P</w:t>
      </w:r>
      <w:r w:rsidRPr="008D6057">
        <w:rPr>
          <w:i/>
        </w:rPr>
        <w:t>rinciples</w:t>
      </w:r>
      <w:r>
        <w:t xml:space="preserve"> in the </w:t>
      </w:r>
      <w:r w:rsidR="00401E49" w:rsidRPr="008D6057">
        <w:rPr>
          <w:i/>
        </w:rPr>
        <w:t>A</w:t>
      </w:r>
      <w:r w:rsidRPr="008D6057">
        <w:rPr>
          <w:i/>
        </w:rPr>
        <w:t xml:space="preserve">ged </w:t>
      </w:r>
      <w:r w:rsidR="00401E49" w:rsidRPr="008D6057">
        <w:rPr>
          <w:i/>
        </w:rPr>
        <w:t>C</w:t>
      </w:r>
      <w:r w:rsidRPr="008D6057">
        <w:rPr>
          <w:i/>
        </w:rPr>
        <w:t xml:space="preserve">are </w:t>
      </w:r>
      <w:r w:rsidR="00401E49" w:rsidRPr="008D6057">
        <w:rPr>
          <w:i/>
        </w:rPr>
        <w:t>A</w:t>
      </w:r>
      <w:r w:rsidRPr="008D6057">
        <w:rPr>
          <w:i/>
        </w:rPr>
        <w:t>ct</w:t>
      </w:r>
      <w:r>
        <w:t xml:space="preserve"> (11.6),</w:t>
      </w:r>
      <w:r w:rsidR="00212926">
        <w:t xml:space="preserve"> </w:t>
      </w:r>
      <w:r>
        <w:t xml:space="preserve">and the various responsibilities of the </w:t>
      </w:r>
      <w:r w:rsidRPr="00993973">
        <w:t xml:space="preserve">Department of Health (11.11), the Australian Aged Care Quality Agency (11.12-11.15) and the Aged Care </w:t>
      </w:r>
      <w:r>
        <w:t>Complaints Commissioner (11.16)</w:t>
      </w:r>
      <w:r w:rsidR="00AB046E">
        <w:t xml:space="preserve">. </w:t>
      </w:r>
      <w:r>
        <w:t xml:space="preserve">However, </w:t>
      </w:r>
      <w:r w:rsidR="008A536E">
        <w:t>whil</w:t>
      </w:r>
      <w:r w:rsidR="00401E49">
        <w:t>st</w:t>
      </w:r>
      <w:r>
        <w:t xml:space="preserve"> this </w:t>
      </w:r>
      <w:r w:rsidR="009636E9">
        <w:t>regulatory</w:t>
      </w:r>
      <w:r w:rsidR="00212926">
        <w:t xml:space="preserve"> </w:t>
      </w:r>
      <w:r w:rsidR="009636E9">
        <w:t>framework</w:t>
      </w:r>
      <w:r w:rsidR="00212926">
        <w:t xml:space="preserve"> </w:t>
      </w:r>
      <w:r>
        <w:t>is rigorous o</w:t>
      </w:r>
      <w:r w:rsidR="00401E49">
        <w:t>r</w:t>
      </w:r>
      <w:r>
        <w:t xml:space="preserve"> </w:t>
      </w:r>
      <w:r w:rsidR="00FE2F87">
        <w:t>might be rigorous</w:t>
      </w:r>
      <w:r w:rsidR="00A12749">
        <w:t xml:space="preserve"> on paper</w:t>
      </w:r>
      <w:r w:rsidR="00FE2F87">
        <w:t xml:space="preserve">, </w:t>
      </w:r>
      <w:r w:rsidR="00137E00">
        <w:t>in practice it is</w:t>
      </w:r>
      <w:r w:rsidR="00212926">
        <w:t xml:space="preserve"> </w:t>
      </w:r>
      <w:r w:rsidR="00212926" w:rsidRPr="00A12749">
        <w:rPr>
          <w:u w:val="single"/>
        </w:rPr>
        <w:t>not enforced</w:t>
      </w:r>
      <w:r w:rsidR="00212926">
        <w:t xml:space="preserve"> and </w:t>
      </w:r>
      <w:r w:rsidR="00212926" w:rsidRPr="00A14F99">
        <w:rPr>
          <w:u w:val="single"/>
        </w:rPr>
        <w:t>not enforceable</w:t>
      </w:r>
      <w:r w:rsidR="00137E00">
        <w:t xml:space="preserve">. </w:t>
      </w:r>
    </w:p>
    <w:p w:rsidR="009559FE" w:rsidRDefault="009559FE" w:rsidP="004C0B80">
      <w:pPr>
        <w:spacing w:before="120" w:after="120" w:line="25" w:lineRule="atLeast"/>
      </w:pPr>
      <w:r>
        <w:t xml:space="preserve">There need to be legislated directives, not just aims, goals and objectives. </w:t>
      </w:r>
      <w:r w:rsidR="00903751">
        <w:t>The Discussion Paper recognises that “(a</w:t>
      </w:r>
      <w:proofErr w:type="gramStart"/>
      <w:r w:rsidR="00903751">
        <w:t>)</w:t>
      </w:r>
      <w:proofErr w:type="spellStart"/>
      <w:r w:rsidR="00903751" w:rsidRPr="00903751">
        <w:t>pproved</w:t>
      </w:r>
      <w:proofErr w:type="spellEnd"/>
      <w:proofErr w:type="gramEnd"/>
      <w:r w:rsidR="00903751" w:rsidRPr="00903751">
        <w:t xml:space="preserve"> providers owe a </w:t>
      </w:r>
      <w:r w:rsidR="00903751">
        <w:t>duty of care to care recipients” (11.138), but there are no proposals addressing the failure to do so.</w:t>
      </w:r>
      <w:r w:rsidR="00903751" w:rsidRPr="00903751">
        <w:t xml:space="preserve"> </w:t>
      </w:r>
      <w:r>
        <w:t xml:space="preserve">Duty of care </w:t>
      </w:r>
      <w:r w:rsidR="00903751">
        <w:t xml:space="preserve">violation </w:t>
      </w:r>
      <w:r w:rsidR="00422930">
        <w:t>needs to be addressed by legislation.</w:t>
      </w:r>
    </w:p>
    <w:p w:rsidR="00137E00" w:rsidRDefault="00137E00" w:rsidP="004C0B80">
      <w:pPr>
        <w:spacing w:before="120" w:after="120" w:line="25" w:lineRule="atLeast"/>
      </w:pPr>
      <w:r>
        <w:t xml:space="preserve">In 11.9, the </w:t>
      </w:r>
      <w:r w:rsidRPr="00AF3101">
        <w:t>Discussion Paper</w:t>
      </w:r>
      <w:r>
        <w:t xml:space="preserve"> recognises that there are</w:t>
      </w:r>
      <w:r w:rsidRPr="00137E00">
        <w:t xml:space="preserve"> </w:t>
      </w:r>
      <w:r>
        <w:t>“</w:t>
      </w:r>
      <w:r w:rsidRPr="00137E00">
        <w:rPr>
          <w:u w:val="single"/>
        </w:rPr>
        <w:t>significant concerns</w:t>
      </w:r>
      <w:r w:rsidRPr="00137E00">
        <w:t xml:space="preserve"> about systemic issues relating to the </w:t>
      </w:r>
      <w:r w:rsidRPr="00137E00">
        <w:rPr>
          <w:u w:val="single"/>
        </w:rPr>
        <w:t xml:space="preserve">quality of care in aged </w:t>
      </w:r>
      <w:proofErr w:type="gramStart"/>
      <w:r w:rsidRPr="00137E00">
        <w:rPr>
          <w:u w:val="single"/>
        </w:rPr>
        <w:t>care</w:t>
      </w:r>
      <w:r w:rsidRPr="00137E00">
        <w:t>,</w:t>
      </w:r>
      <w:proofErr w:type="gramEnd"/>
      <w:r w:rsidRPr="00137E00">
        <w:t xml:space="preserve"> and the </w:t>
      </w:r>
      <w:r w:rsidRPr="00137E00">
        <w:rPr>
          <w:u w:val="single"/>
        </w:rPr>
        <w:t>processes for monitoring quality</w:t>
      </w:r>
      <w:r>
        <w:t>” (my emphasis).</w:t>
      </w:r>
      <w:r w:rsidR="00C8711E">
        <w:t xml:space="preserve"> </w:t>
      </w:r>
      <w:r w:rsidR="00492B2C">
        <w:t xml:space="preserve"> However, </w:t>
      </w:r>
      <w:r w:rsidR="00852DF7">
        <w:t>concluding</w:t>
      </w:r>
      <w:r>
        <w:t xml:space="preserve"> that</w:t>
      </w:r>
      <w:r w:rsidRPr="00137E00">
        <w:t xml:space="preserve"> </w:t>
      </w:r>
      <w:r>
        <w:t>“</w:t>
      </w:r>
      <w:r w:rsidRPr="00137E00">
        <w:t xml:space="preserve">addressing such concerns requires considerations of a systemic character that are </w:t>
      </w:r>
      <w:r w:rsidR="00852DF7">
        <w:t>more suited to a broader review</w:t>
      </w:r>
      <w:r>
        <w:t xml:space="preserve">” </w:t>
      </w:r>
      <w:r w:rsidR="0026213A">
        <w:t xml:space="preserve">smacks of passing the buck, and </w:t>
      </w:r>
      <w:r w:rsidR="00852DF7">
        <w:t xml:space="preserve">is simply not good enough. </w:t>
      </w:r>
    </w:p>
    <w:p w:rsidR="009E5B1E" w:rsidRDefault="00852DF7" w:rsidP="00DC0DF3">
      <w:pPr>
        <w:spacing w:before="120" w:after="0" w:line="25" w:lineRule="atLeast"/>
      </w:pPr>
      <w:r>
        <w:t xml:space="preserve">Certainly, there are systemic problems within the aged care system, and these do need to be addressed. </w:t>
      </w:r>
      <w:r w:rsidR="009E5B1E">
        <w:t xml:space="preserve">However, </w:t>
      </w:r>
      <w:r w:rsidR="002F4511">
        <w:t xml:space="preserve">many of </w:t>
      </w:r>
      <w:r w:rsidR="009E5B1E">
        <w:t>t</w:t>
      </w:r>
      <w:r w:rsidR="002C2866">
        <w:t>he</w:t>
      </w:r>
      <w:r w:rsidR="009E5B1E">
        <w:t>se</w:t>
      </w:r>
      <w:r w:rsidR="002C2866">
        <w:t xml:space="preserve"> </w:t>
      </w:r>
      <w:r w:rsidR="002F4511">
        <w:t xml:space="preserve">are enabled by the current legislation, and </w:t>
      </w:r>
      <w:r w:rsidR="002C2866">
        <w:t>could – and should – be addressed by legislati</w:t>
      </w:r>
      <w:r w:rsidR="002F4511">
        <w:t>ve reform</w:t>
      </w:r>
      <w:r w:rsidR="000F6BB2">
        <w:t>,</w:t>
      </w:r>
      <w:r w:rsidR="002C2866">
        <w:t xml:space="preserve"> making aged care providers accountable for breaching</w:t>
      </w:r>
      <w:r w:rsidR="009E5B1E">
        <w:t xml:space="preserve"> of standards</w:t>
      </w:r>
      <w:r w:rsidR="002C2866">
        <w:t xml:space="preserve">. </w:t>
      </w:r>
    </w:p>
    <w:p w:rsidR="00C71C8B" w:rsidRDefault="002C2866" w:rsidP="00DC0DF3">
      <w:pPr>
        <w:spacing w:after="120" w:line="25" w:lineRule="atLeast"/>
      </w:pPr>
      <w:r>
        <w:t>T</w:t>
      </w:r>
      <w:r w:rsidR="00852DF7">
        <w:t>here are also systemic problems within the a</w:t>
      </w:r>
      <w:r w:rsidR="00C6212C">
        <w:t xml:space="preserve">ssociated legislation, and the </w:t>
      </w:r>
      <w:r w:rsidR="00852DF7">
        <w:t>L</w:t>
      </w:r>
      <w:r w:rsidR="00C6212C">
        <w:t xml:space="preserve">aw </w:t>
      </w:r>
      <w:r w:rsidR="00852DF7">
        <w:t>R</w:t>
      </w:r>
      <w:r w:rsidR="00C6212C">
        <w:t xml:space="preserve">eform </w:t>
      </w:r>
      <w:r w:rsidR="00852DF7">
        <w:t>C</w:t>
      </w:r>
      <w:r w:rsidR="00C6212C">
        <w:t>ommission</w:t>
      </w:r>
      <w:r w:rsidR="00852DF7">
        <w:t xml:space="preserve"> is the appropriate forum to address these. </w:t>
      </w:r>
      <w:r w:rsidR="000876E9">
        <w:t>The various pieces of legislation relating to rights, responsibilities, principles, sanctions, complaints, abuse, assaults</w:t>
      </w:r>
      <w:r w:rsidR="008B5898">
        <w:t>, accreditation</w:t>
      </w:r>
      <w:r w:rsidR="000876E9">
        <w:t xml:space="preserve"> </w:t>
      </w:r>
      <w:r w:rsidR="008B5898">
        <w:t>standards, duty of care</w:t>
      </w:r>
      <w:r w:rsidR="00FF0297">
        <w:t>, and “(t</w:t>
      </w:r>
      <w:proofErr w:type="gramStart"/>
      <w:r w:rsidR="00FF0297">
        <w:t>)he</w:t>
      </w:r>
      <w:proofErr w:type="gramEnd"/>
      <w:r w:rsidR="00FF0297">
        <w:t xml:space="preserve"> </w:t>
      </w:r>
      <w:r w:rsidR="00FF0297" w:rsidRPr="00FF0297">
        <w:t>task of ensuring that approved providers meet their responsibilities in relation to quality of care”</w:t>
      </w:r>
      <w:r w:rsidR="008B5898" w:rsidRPr="00FF0297">
        <w:t xml:space="preserve"> </w:t>
      </w:r>
      <w:r w:rsidR="00FF0297" w:rsidRPr="00FF0297">
        <w:t xml:space="preserve">(11.10) </w:t>
      </w:r>
      <w:r w:rsidR="00FF0297">
        <w:t xml:space="preserve">are spread over a number of different pieces of legislation, </w:t>
      </w:r>
      <w:r w:rsidR="000876E9">
        <w:t xml:space="preserve">do not match up, interfere with each other, and at times </w:t>
      </w:r>
      <w:r w:rsidR="008B5898">
        <w:t xml:space="preserve">contradict each other. </w:t>
      </w:r>
      <w:r w:rsidR="005D3082">
        <w:t xml:space="preserve">Together, they are </w:t>
      </w:r>
      <w:r w:rsidR="00205257">
        <w:t xml:space="preserve">confusing at best, and </w:t>
      </w:r>
      <w:r w:rsidR="005D3082">
        <w:t>in practice ineffectual</w:t>
      </w:r>
      <w:r w:rsidR="00205257">
        <w:t xml:space="preserve">. As a result, </w:t>
      </w:r>
      <w:r w:rsidR="005D3082">
        <w:t>approved providers</w:t>
      </w:r>
      <w:r w:rsidR="009A3EB8">
        <w:t xml:space="preserve"> are not accountable in terms of duty of care.</w:t>
      </w:r>
      <w:r w:rsidR="005D3082">
        <w:t xml:space="preserve"> </w:t>
      </w:r>
      <w:r w:rsidR="008B5898">
        <w:t xml:space="preserve">This is the biggest problem facing the matter of </w:t>
      </w:r>
      <w:r w:rsidR="00FF0297">
        <w:t>abuse in aged care</w:t>
      </w:r>
      <w:r w:rsidR="008B5898">
        <w:t xml:space="preserve">, and it can only be addressed by the Law Reform Commission. </w:t>
      </w:r>
    </w:p>
    <w:p w:rsidR="00852DF7" w:rsidRPr="00543A74" w:rsidRDefault="00C71C8B" w:rsidP="004C0B80">
      <w:pPr>
        <w:spacing w:before="120" w:after="120" w:line="25" w:lineRule="atLeast"/>
      </w:pPr>
      <w:r w:rsidRPr="00543A74">
        <w:t xml:space="preserve">There is a massive discrepancy between the ALRC’s attention to abuse of the elderly in the community and those in residential aged care. Residents of dementia units are the most vulnerable </w:t>
      </w:r>
      <w:r w:rsidRPr="00543A74">
        <w:lastRenderedPageBreak/>
        <w:t xml:space="preserve">– that’s a big part of why they are there. Just as carers, family members, POAs and others are the carers of the elderly in the community, so do the approved providers have this role in aged care facilities. Just as restrictions and accountability applies to carers of those in the community, so too is there need for restrictions and accountability measures </w:t>
      </w:r>
      <w:r w:rsidR="000F6BB2">
        <w:t xml:space="preserve">to be </w:t>
      </w:r>
      <w:r w:rsidRPr="00543A74">
        <w:t xml:space="preserve">put on approved providers, in order to protect </w:t>
      </w:r>
      <w:r w:rsidR="004202EC">
        <w:t xml:space="preserve">residents </w:t>
      </w:r>
      <w:r w:rsidRPr="00543A74">
        <w:t xml:space="preserve">against abuse.   </w:t>
      </w:r>
      <w:r w:rsidR="000363BE" w:rsidRPr="00543A74">
        <w:t xml:space="preserve"> </w:t>
      </w:r>
    </w:p>
    <w:p w:rsidR="00360D3B" w:rsidRDefault="00205257" w:rsidP="004C0B80">
      <w:pPr>
        <w:spacing w:before="120" w:after="120" w:line="25" w:lineRule="atLeast"/>
      </w:pPr>
      <w:r>
        <w:t xml:space="preserve">Changes such as </w:t>
      </w:r>
      <w:r w:rsidRPr="00CC36B6">
        <w:rPr>
          <w:u w:val="single"/>
        </w:rPr>
        <w:t>requiring facilities</w:t>
      </w:r>
      <w:r>
        <w:rPr>
          <w:i/>
        </w:rPr>
        <w:t xml:space="preserve"> </w:t>
      </w:r>
      <w:r>
        <w:t xml:space="preserve">to provide adequate care, and penalising them if they don’t, </w:t>
      </w:r>
      <w:r w:rsidR="00360D3B">
        <w:t xml:space="preserve">would only </w:t>
      </w:r>
      <w:r w:rsidR="005F7325">
        <w:t xml:space="preserve">negatively impact </w:t>
      </w:r>
      <w:r w:rsidR="00360D3B">
        <w:t>providers failing to provide quality of care, enabling abuse and breaching accreditation standards and the rights of residents.</w:t>
      </w:r>
      <w:r w:rsidR="00F26031">
        <w:t xml:space="preserve"> </w:t>
      </w:r>
      <w:r w:rsidR="00E946CC">
        <w:t>Reputable and compliant approved providers would surely welcome such legislative reform.</w:t>
      </w:r>
    </w:p>
    <w:p w:rsidR="00B97F42" w:rsidRPr="00B97F42" w:rsidRDefault="00B97F42" w:rsidP="00DC0DF3">
      <w:pPr>
        <w:spacing w:before="120" w:after="0" w:line="25" w:lineRule="atLeast"/>
      </w:pPr>
      <w:proofErr w:type="gramStart"/>
      <w:r w:rsidRPr="00B97F42">
        <w:rPr>
          <w:u w:val="single"/>
        </w:rPr>
        <w:t>This</w:t>
      </w:r>
      <w:r w:rsidRPr="00B97F42">
        <w:t xml:space="preserve"> would be ‘ensuring safety and quality [and] protecting the vulnerable’ (11.2).</w:t>
      </w:r>
      <w:proofErr w:type="gramEnd"/>
    </w:p>
    <w:p w:rsidR="00DC0DF3" w:rsidRDefault="00DC0DF3" w:rsidP="0005199A">
      <w:pPr>
        <w:spacing w:after="120" w:line="25" w:lineRule="atLeast"/>
        <w:rPr>
          <w:sz w:val="28"/>
          <w:szCs w:val="28"/>
          <w:u w:val="single"/>
        </w:rPr>
      </w:pPr>
    </w:p>
    <w:p w:rsidR="00D776B9" w:rsidRDefault="00F34A23" w:rsidP="004C0B80">
      <w:pPr>
        <w:spacing w:before="120" w:after="120" w:line="25" w:lineRule="atLeast"/>
        <w:rPr>
          <w:sz w:val="28"/>
          <w:szCs w:val="28"/>
          <w:u w:val="single"/>
        </w:rPr>
      </w:pPr>
      <w:r>
        <w:rPr>
          <w:sz w:val="28"/>
          <w:szCs w:val="28"/>
          <w:u w:val="single"/>
        </w:rPr>
        <w:t>Accreditation and Sanctions</w:t>
      </w:r>
    </w:p>
    <w:p w:rsidR="009E5725" w:rsidRDefault="009E5725" w:rsidP="004C0B80">
      <w:pPr>
        <w:spacing w:before="120" w:after="120" w:line="25" w:lineRule="atLeast"/>
      </w:pPr>
      <w:r>
        <w:t xml:space="preserve">Similar to the above discussion, it is my view that there are insufficient penalties for providers providing sub-standard care, including inadequate sanctions and limited risks to their accreditation. In </w:t>
      </w:r>
      <w:r w:rsidR="00660D0C">
        <w:t xml:space="preserve">my experience, even when </w:t>
      </w:r>
      <w:r>
        <w:t xml:space="preserve">providers </w:t>
      </w:r>
      <w:r w:rsidR="00660D0C">
        <w:t>a</w:t>
      </w:r>
      <w:r>
        <w:t xml:space="preserve">re </w:t>
      </w:r>
      <w:r w:rsidR="00660D0C">
        <w:t xml:space="preserve">being investigated for </w:t>
      </w:r>
      <w:r>
        <w:t>non-complian</w:t>
      </w:r>
      <w:r w:rsidR="00660D0C">
        <w:t>ce</w:t>
      </w:r>
      <w:r>
        <w:t xml:space="preserve">, the options for redress </w:t>
      </w:r>
      <w:r w:rsidR="00660D0C">
        <w:t>a</w:t>
      </w:r>
      <w:r>
        <w:t xml:space="preserve">re limited, and </w:t>
      </w:r>
      <w:r w:rsidR="00660D0C">
        <w:t>pr</w:t>
      </w:r>
      <w:r>
        <w:t>ovider</w:t>
      </w:r>
      <w:r w:rsidR="00660D0C">
        <w:t>s can be</w:t>
      </w:r>
      <w:r>
        <w:t xml:space="preserve"> reaccredited while issues </w:t>
      </w:r>
      <w:r w:rsidR="00660D0C">
        <w:t>a</w:t>
      </w:r>
      <w:r>
        <w:t xml:space="preserve">re outstanding. </w:t>
      </w:r>
    </w:p>
    <w:p w:rsidR="00D776B9" w:rsidRDefault="00205257" w:rsidP="004C0B80">
      <w:pPr>
        <w:spacing w:before="120" w:after="120" w:line="25" w:lineRule="atLeast"/>
        <w:rPr>
          <w:rFonts w:cstheme="minorHAnsi"/>
          <w:color w:val="222222"/>
          <w:shd w:val="clear" w:color="auto" w:fill="FFFFFF"/>
        </w:rPr>
      </w:pPr>
      <w:r>
        <w:t>P</w:t>
      </w:r>
      <w:r w:rsidR="00C546ED">
        <w:t xml:space="preserve">art 11.26 </w:t>
      </w:r>
      <w:r>
        <w:t xml:space="preserve">of the discussion paper </w:t>
      </w:r>
      <w:r w:rsidR="00C546ED">
        <w:t xml:space="preserve">refers to the proposed </w:t>
      </w:r>
      <w:r w:rsidR="00C546ED" w:rsidRPr="00C546ED">
        <w:rPr>
          <w:i/>
        </w:rPr>
        <w:t>Single Set of Aged Care Quality Standards</w:t>
      </w:r>
      <w:r w:rsidR="00C546ED">
        <w:t xml:space="preserve"> (</w:t>
      </w:r>
      <w:hyperlink r:id="rId7" w:history="1">
        <w:r w:rsidR="00C546ED" w:rsidRPr="00F80E7D">
          <w:rPr>
            <w:rStyle w:val="Hyperlink"/>
          </w:rPr>
          <w:t>www.agedcare.health.gov.au</w:t>
        </w:r>
      </w:hyperlink>
      <w:r w:rsidR="00C546ED">
        <w:t>) as “</w:t>
      </w:r>
      <w:r w:rsidR="00AD675A">
        <w:t>(</w:t>
      </w:r>
      <w:r w:rsidR="00C546ED">
        <w:t>f</w:t>
      </w:r>
      <w:proofErr w:type="gramStart"/>
      <w:r w:rsidR="00AD675A">
        <w:t>)</w:t>
      </w:r>
      <w:proofErr w:type="spellStart"/>
      <w:r w:rsidR="00C546ED" w:rsidRPr="00C546ED">
        <w:t>urther</w:t>
      </w:r>
      <w:proofErr w:type="spellEnd"/>
      <w:proofErr w:type="gramEnd"/>
      <w:r w:rsidR="00C546ED" w:rsidRPr="00C546ED">
        <w:t xml:space="preserve"> reform</w:t>
      </w:r>
      <w:r w:rsidR="00C546ED">
        <w:t xml:space="preserve">… </w:t>
      </w:r>
      <w:r w:rsidR="00C546ED" w:rsidRPr="00C546ED">
        <w:t>for quality a</w:t>
      </w:r>
      <w:r w:rsidR="00797B54">
        <w:t>ssurance processes in aged care</w:t>
      </w:r>
      <w:r w:rsidR="00C546ED">
        <w:t xml:space="preserve">” </w:t>
      </w:r>
      <w:r w:rsidR="00797B54">
        <w:t xml:space="preserve">and refers to this as in place of ALRC law reform. </w:t>
      </w:r>
      <w:r w:rsidR="00C546ED">
        <w:t xml:space="preserve">However, this is policy reform, not legislative reform. It does not address consequences for failure to meet standards, but rather </w:t>
      </w:r>
      <w:r w:rsidR="00C546ED" w:rsidRPr="00C546ED">
        <w:rPr>
          <w:rFonts w:cstheme="minorHAnsi"/>
        </w:rPr>
        <w:t>“</w:t>
      </w:r>
      <w:r w:rsidR="00C546ED" w:rsidRPr="00C546ED">
        <w:rPr>
          <w:rFonts w:cstheme="minorHAnsi"/>
          <w:color w:val="222222"/>
          <w:u w:val="single"/>
          <w:shd w:val="clear" w:color="auto" w:fill="FFFFFF"/>
        </w:rPr>
        <w:t>encourage(s)</w:t>
      </w:r>
      <w:r w:rsidR="00C546ED" w:rsidRPr="00C546ED">
        <w:rPr>
          <w:rFonts w:cstheme="minorHAnsi"/>
          <w:color w:val="222222"/>
          <w:shd w:val="clear" w:color="auto" w:fill="FFFFFF"/>
        </w:rPr>
        <w:t xml:space="preserve"> innovation, excellence and continuous improvement”</w:t>
      </w:r>
      <w:r w:rsidR="00C546ED">
        <w:rPr>
          <w:rFonts w:cstheme="minorHAnsi"/>
          <w:color w:val="222222"/>
          <w:shd w:val="clear" w:color="auto" w:fill="FFFFFF"/>
        </w:rPr>
        <w:t xml:space="preserve"> (my emphasis). </w:t>
      </w:r>
    </w:p>
    <w:p w:rsidR="00C546ED" w:rsidRDefault="00C546ED" w:rsidP="004C0B80">
      <w:pPr>
        <w:spacing w:before="120" w:after="120" w:line="25" w:lineRule="atLeast"/>
        <w:rPr>
          <w:rFonts w:cstheme="minorHAnsi"/>
          <w:color w:val="222222"/>
          <w:shd w:val="clear" w:color="auto" w:fill="FFFFFF"/>
        </w:rPr>
      </w:pPr>
      <w:r>
        <w:rPr>
          <w:rFonts w:cstheme="minorHAnsi"/>
          <w:color w:val="222222"/>
          <w:shd w:val="clear" w:color="auto" w:fill="FFFFFF"/>
        </w:rPr>
        <w:t>I reiterate my previous assertions:</w:t>
      </w:r>
    </w:p>
    <w:p w:rsidR="00C546ED" w:rsidRDefault="00C546ED" w:rsidP="004C0B80">
      <w:pPr>
        <w:pStyle w:val="ListParagraph"/>
        <w:numPr>
          <w:ilvl w:val="0"/>
          <w:numId w:val="5"/>
        </w:numPr>
        <w:spacing w:before="120" w:after="120" w:line="25" w:lineRule="atLeast"/>
      </w:pPr>
      <w:r>
        <w:t xml:space="preserve">“Because of the systematic nature of the complaints process, the relevant considerations detailed in the sanctions section of the </w:t>
      </w:r>
      <w:r w:rsidRPr="00696DE8">
        <w:rPr>
          <w:i/>
        </w:rPr>
        <w:t>Act</w:t>
      </w:r>
      <w:r>
        <w:t xml:space="preserve"> are </w:t>
      </w:r>
      <w:r w:rsidR="00AD675A">
        <w:t>not applied.</w:t>
      </w:r>
      <w:r>
        <w:t>”</w:t>
      </w:r>
      <w:r w:rsidR="00AD675A">
        <w:t xml:space="preserve"> </w:t>
      </w:r>
      <w:r w:rsidR="00AD675A" w:rsidRPr="00730EAE">
        <w:t>(Submission 189, p.</w:t>
      </w:r>
      <w:r w:rsidR="00AD675A">
        <w:t>18</w:t>
      </w:r>
      <w:r w:rsidR="00AD675A" w:rsidRPr="00730EAE">
        <w:t>)</w:t>
      </w:r>
    </w:p>
    <w:p w:rsidR="00AD675A" w:rsidRDefault="00AD675A" w:rsidP="004C0B80">
      <w:pPr>
        <w:pStyle w:val="ListParagraph"/>
        <w:numPr>
          <w:ilvl w:val="0"/>
          <w:numId w:val="5"/>
        </w:numPr>
        <w:spacing w:before="120" w:after="120" w:line="25" w:lineRule="atLeast"/>
      </w:pPr>
      <w:r>
        <w:t>“T</w:t>
      </w:r>
      <w:r w:rsidRPr="00696DE8">
        <w:rPr>
          <w:rFonts w:cs="Arial"/>
          <w:color w:val="222222"/>
          <w:shd w:val="clear" w:color="auto" w:fill="FFFFFF"/>
        </w:rPr>
        <w:t>he legislation provides a bureaucratic process of increasing degrees of action, (</w:t>
      </w:r>
      <w:r w:rsidRPr="00696DE8">
        <w:rPr>
          <w:rFonts w:cs="Arial"/>
          <w:i/>
          <w:color w:val="222222"/>
          <w:shd w:val="clear" w:color="auto" w:fill="FFFFFF"/>
        </w:rPr>
        <w:t>Part 2, section 7</w:t>
      </w:r>
      <w:r w:rsidRPr="00696DE8">
        <w:rPr>
          <w:rFonts w:cs="Arial"/>
          <w:color w:val="222222"/>
          <w:shd w:val="clear" w:color="auto" w:fill="FFFFFF"/>
        </w:rPr>
        <w:t xml:space="preserve">). This effectively treats the breaching of responsibilities/ </w:t>
      </w:r>
      <w:r w:rsidRPr="00696DE8">
        <w:rPr>
          <w:rFonts w:cs="Arial"/>
          <w:i/>
          <w:color w:val="222222"/>
          <w:shd w:val="clear" w:color="auto" w:fill="FFFFFF"/>
        </w:rPr>
        <w:t>Standards</w:t>
      </w:r>
      <w:r w:rsidRPr="00696DE8">
        <w:rPr>
          <w:rFonts w:cs="Arial"/>
          <w:color w:val="222222"/>
          <w:shd w:val="clear" w:color="auto" w:fill="FFFFFF"/>
        </w:rPr>
        <w:t xml:space="preserve"> – including </w:t>
      </w:r>
      <w:r w:rsidRPr="00696DE8">
        <w:rPr>
          <w:rFonts w:cs="Arial"/>
          <w:i/>
          <w:color w:val="222222"/>
          <w:shd w:val="clear" w:color="auto" w:fill="FFFFFF"/>
        </w:rPr>
        <w:t>Standard 4.4</w:t>
      </w:r>
      <w:r w:rsidRPr="00696DE8">
        <w:rPr>
          <w:rFonts w:cs="Arial"/>
          <w:color w:val="222222"/>
          <w:shd w:val="clear" w:color="auto" w:fill="FFFFFF"/>
        </w:rPr>
        <w:t xml:space="preserve"> – as an unfortunate minor misdemeanour, involving voluntary action of the provider, providing encouragement for the facility/ provider to comply, providing education and support to the provider, and giving the provider opportunity and time (precious to an assaulted and unsafe dementia patient) to address the violation of responsibility.</w:t>
      </w:r>
      <w:r>
        <w:t xml:space="preserve">” </w:t>
      </w:r>
      <w:r w:rsidRPr="00730EAE">
        <w:t>(Submission 189, p.</w:t>
      </w:r>
      <w:r>
        <w:t>19</w:t>
      </w:r>
      <w:r w:rsidRPr="00730EAE">
        <w:t>)</w:t>
      </w:r>
    </w:p>
    <w:p w:rsidR="00AD675A" w:rsidRDefault="00AD675A" w:rsidP="004C0B80">
      <w:pPr>
        <w:pStyle w:val="ListParagraph"/>
        <w:numPr>
          <w:ilvl w:val="0"/>
          <w:numId w:val="5"/>
        </w:numPr>
        <w:spacing w:before="120" w:after="120" w:line="25" w:lineRule="atLeast"/>
      </w:pPr>
      <w:r>
        <w:t xml:space="preserve">“As soon as it is determined that an assault has occurred, it should bypass the level of the </w:t>
      </w:r>
      <w:r w:rsidRPr="00696DE8">
        <w:rPr>
          <w:i/>
        </w:rPr>
        <w:t>Aged Care Complaints Commissioner</w:t>
      </w:r>
      <w:r>
        <w:t xml:space="preserve"> and the processes of education, support and voluntary compliance, and be with the Department of Health, with immediate regulation and enforcement of appropriate action if necessary.  Assessment as to risk to safety of any individual should be immediate, and non-compliance considered as per </w:t>
      </w:r>
      <w:r w:rsidRPr="00696DE8">
        <w:rPr>
          <w:i/>
        </w:rPr>
        <w:t>section 65-2</w:t>
      </w:r>
      <w:r>
        <w:t xml:space="preserve"> of the </w:t>
      </w:r>
      <w:r w:rsidRPr="00696DE8">
        <w:rPr>
          <w:i/>
        </w:rPr>
        <w:t>Act.</w:t>
      </w:r>
      <w:r>
        <w:t xml:space="preserve">” </w:t>
      </w:r>
      <w:r w:rsidRPr="00730EAE">
        <w:t>(Submission 189, p.</w:t>
      </w:r>
      <w:r>
        <w:t>18</w:t>
      </w:r>
      <w:r w:rsidRPr="00730EAE">
        <w:t>)</w:t>
      </w:r>
    </w:p>
    <w:p w:rsidR="00AD675A" w:rsidRDefault="00AD675A" w:rsidP="004C0B80">
      <w:pPr>
        <w:pStyle w:val="ListParagraph"/>
        <w:numPr>
          <w:ilvl w:val="0"/>
          <w:numId w:val="5"/>
        </w:numPr>
        <w:spacing w:before="120" w:after="120" w:line="25" w:lineRule="atLeast"/>
      </w:pPr>
      <w:r>
        <w:t>“I</w:t>
      </w:r>
      <w:r w:rsidRPr="00730EAE">
        <w:t>t should not be possible for a provider to be reaccredited during the process of investigation, regulation or monitoring, as these ar</w:t>
      </w:r>
      <w:r>
        <w:t>e in relation to non-compliance.”</w:t>
      </w:r>
      <w:r w:rsidRPr="00730EAE">
        <w:t xml:space="preserve"> (Submission 189, p.18) </w:t>
      </w:r>
    </w:p>
    <w:p w:rsidR="00696DE8" w:rsidRDefault="00696DE8" w:rsidP="004C0B80">
      <w:pPr>
        <w:spacing w:before="120" w:after="120" w:line="25" w:lineRule="atLeast"/>
      </w:pPr>
      <w:r w:rsidRPr="00696DE8">
        <w:t xml:space="preserve">The Department of Health does </w:t>
      </w:r>
      <w:r w:rsidR="00BB3275">
        <w:t>monitor compliance</w:t>
      </w:r>
      <w:r w:rsidR="00401E49">
        <w:t>;</w:t>
      </w:r>
      <w:r w:rsidR="00BB3275">
        <w:t xml:space="preserve"> h</w:t>
      </w:r>
      <w:r w:rsidRPr="00696DE8">
        <w:t xml:space="preserve">owever, when it comes to taking action and imposing standards, points 1 and 2 (above) apply. Nothing useful happens. </w:t>
      </w:r>
    </w:p>
    <w:p w:rsidR="007B5EE1" w:rsidRDefault="00696DE8" w:rsidP="004C0B80">
      <w:pPr>
        <w:spacing w:before="120" w:after="120" w:line="25" w:lineRule="atLeast"/>
      </w:pPr>
      <w:r>
        <w:t xml:space="preserve">In reference to 11.14, </w:t>
      </w:r>
      <w:proofErr w:type="spellStart"/>
      <w:r>
        <w:t>viz</w:t>
      </w:r>
      <w:proofErr w:type="spellEnd"/>
      <w:r>
        <w:t>: “</w:t>
      </w:r>
      <w:r w:rsidRPr="00696DE8">
        <w:t>Where the Quality Agency identifies a serious risk to care recipients, the service provider and Department are notified immediately</w:t>
      </w:r>
      <w:r>
        <w:t xml:space="preserve">” – I again note that the Quality Agency has failed to identify such situations, and that providers have been reaccredited </w:t>
      </w:r>
      <w:r w:rsidR="000D16EF">
        <w:t>during the investigative process of the Department of Health, and whilst residents have been at risk of further assault</w:t>
      </w:r>
      <w:r w:rsidR="007B5EE1">
        <w:t>.</w:t>
      </w:r>
    </w:p>
    <w:p w:rsidR="0005199A" w:rsidRDefault="000F71DC" w:rsidP="0005199A">
      <w:pPr>
        <w:spacing w:before="120" w:after="0" w:line="25" w:lineRule="atLeast"/>
      </w:pPr>
      <w:r>
        <w:lastRenderedPageBreak/>
        <w:t>T</w:t>
      </w:r>
      <w:r w:rsidR="00056185">
        <w:t>he facility</w:t>
      </w:r>
      <w:r>
        <w:t xml:space="preserve"> my mother was in </w:t>
      </w:r>
      <w:r w:rsidR="00056185">
        <w:t xml:space="preserve">was </w:t>
      </w:r>
      <w:r w:rsidR="002E4D79">
        <w:t xml:space="preserve">both </w:t>
      </w:r>
      <w:r w:rsidR="00056185">
        <w:t xml:space="preserve">audited (visited) and reaccredited </w:t>
      </w:r>
      <w:r w:rsidR="002E4D79">
        <w:t xml:space="preserve">by the Agency </w:t>
      </w:r>
      <w:r>
        <w:t xml:space="preserve">following my mother’s assault, and </w:t>
      </w:r>
      <w:r w:rsidR="00056185">
        <w:t>whil</w:t>
      </w:r>
      <w:r>
        <w:t>e</w:t>
      </w:r>
      <w:r w:rsidR="00056185">
        <w:t xml:space="preserve"> there were inadequate measures in place to protect my mother</w:t>
      </w:r>
      <w:r>
        <w:t xml:space="preserve"> from future harm. These inadequate measures were </w:t>
      </w:r>
      <w:r w:rsidR="00056185">
        <w:t xml:space="preserve">subsequently the subject of </w:t>
      </w:r>
      <w:r w:rsidR="00056185" w:rsidRPr="00056185">
        <w:t xml:space="preserve">a </w:t>
      </w:r>
      <w:r w:rsidR="00056185" w:rsidRPr="00056185">
        <w:rPr>
          <w:i/>
        </w:rPr>
        <w:t>Notice of Intention to Issue Directions</w:t>
      </w:r>
      <w:r w:rsidR="002E4D79">
        <w:t xml:space="preserve"> from the Health Department because they had not been improved on and my mother continued to be at risk </w:t>
      </w:r>
      <w:r w:rsidR="002E4D79" w:rsidRPr="002E4D79">
        <w:rPr>
          <w:u w:val="single"/>
        </w:rPr>
        <w:t>three months later</w:t>
      </w:r>
      <w:r w:rsidR="00CC36B6" w:rsidRPr="00CC36B6">
        <w:t xml:space="preserve"> – after reaccreditation</w:t>
      </w:r>
      <w:r w:rsidR="002E4D79">
        <w:t>.</w:t>
      </w:r>
      <w:r w:rsidR="00056185">
        <w:t xml:space="preserve"> </w:t>
      </w:r>
      <w:r w:rsidR="003A19EC">
        <w:t xml:space="preserve">Agency personnel were actually in the building doing their inspection at the same time I was </w:t>
      </w:r>
      <w:r w:rsidR="001225C1">
        <w:t xml:space="preserve">there </w:t>
      </w:r>
      <w:r w:rsidR="003A19EC">
        <w:t>in a mediation meeting</w:t>
      </w:r>
      <w:r w:rsidR="00BA1015">
        <w:t xml:space="preserve"> (known to the </w:t>
      </w:r>
      <w:r w:rsidR="00447646">
        <w:t>Health Department)</w:t>
      </w:r>
      <w:r w:rsidR="003A19EC">
        <w:t xml:space="preserve">, trying to ensure something more than a ribbon </w:t>
      </w:r>
      <w:proofErr w:type="spellStart"/>
      <w:r w:rsidR="003A19EC">
        <w:t>blu</w:t>
      </w:r>
      <w:proofErr w:type="spellEnd"/>
      <w:r w:rsidR="003A19EC">
        <w:t xml:space="preserve">-tacked across her doorway was implemented to keep </w:t>
      </w:r>
      <w:r w:rsidR="001225C1">
        <w:t>my mother</w:t>
      </w:r>
      <w:r w:rsidR="003A19EC">
        <w:t xml:space="preserve"> safe.</w:t>
      </w:r>
      <w:r w:rsidR="00150605">
        <w:t xml:space="preserve"> Several assaults had occurred in the dementia unit on that site, at least two had been reported, at least one was still under investigation as not adequately responded to, the assailant was still not being adequately managed</w:t>
      </w:r>
      <w:r w:rsidR="00AA4A6F">
        <w:t>, and yet</w:t>
      </w:r>
      <w:r w:rsidR="00150605">
        <w:t xml:space="preserve"> </w:t>
      </w:r>
      <w:r w:rsidR="00AA4A6F">
        <w:t>t</w:t>
      </w:r>
      <w:r w:rsidR="00150605" w:rsidRPr="00150605">
        <w:t>he Agency did not recognise any risk.</w:t>
      </w:r>
    </w:p>
    <w:p w:rsidR="00696DE8" w:rsidRPr="00696DE8" w:rsidRDefault="000F71DC" w:rsidP="0005199A">
      <w:pPr>
        <w:spacing w:after="120" w:line="25" w:lineRule="atLeast"/>
      </w:pPr>
      <w:r>
        <w:t xml:space="preserve">The framework isn’t </w:t>
      </w:r>
      <w:r w:rsidR="000D16EF">
        <w:t>working</w:t>
      </w:r>
      <w:r w:rsidR="002E4D79">
        <w:t xml:space="preserve"> in practice</w:t>
      </w:r>
      <w:r w:rsidR="000D16EF">
        <w:t>.</w:t>
      </w:r>
    </w:p>
    <w:p w:rsidR="00417C5B" w:rsidRPr="00417C5B" w:rsidRDefault="00B858A9" w:rsidP="004C0B80">
      <w:pPr>
        <w:spacing w:before="120" w:after="120" w:line="25" w:lineRule="atLeast"/>
      </w:pPr>
      <w:r>
        <w:t xml:space="preserve">In reference to parts 11.84-11.90 of the </w:t>
      </w:r>
      <w:r w:rsidRPr="00AF3101">
        <w:t>Discussion Paper</w:t>
      </w:r>
      <w:r w:rsidR="000F71DC">
        <w:t xml:space="preserve">, standards should </w:t>
      </w:r>
      <w:r>
        <w:t xml:space="preserve">not </w:t>
      </w:r>
      <w:r w:rsidRPr="00B858A9">
        <w:rPr>
          <w:u w:val="single"/>
        </w:rPr>
        <w:t>replace</w:t>
      </w:r>
      <w:r>
        <w:t xml:space="preserve"> legislative reform to address non-compliance. </w:t>
      </w:r>
      <w:r w:rsidR="000F71DC">
        <w:t>Further, a</w:t>
      </w:r>
      <w:r w:rsidR="00417C5B" w:rsidRPr="00417C5B">
        <w:t xml:space="preserve"> “</w:t>
      </w:r>
      <w:r w:rsidR="00417C5B" w:rsidRPr="00417C5B">
        <w:rPr>
          <w:u w:val="single"/>
        </w:rPr>
        <w:t>voluntary</w:t>
      </w:r>
      <w:r w:rsidR="00417C5B" w:rsidRPr="00417C5B">
        <w:t xml:space="preserve"> </w:t>
      </w:r>
      <w:r w:rsidR="00417C5B" w:rsidRPr="00417C5B">
        <w:rPr>
          <w:i/>
        </w:rPr>
        <w:t>National Aged Care Quality Indicator Program</w:t>
      </w:r>
      <w:r w:rsidR="00417C5B" w:rsidRPr="00417C5B">
        <w:t>” (11.26</w:t>
      </w:r>
      <w:r w:rsidR="002138AA">
        <w:t>; my emphasis</w:t>
      </w:r>
      <w:r w:rsidR="00417C5B" w:rsidRPr="00417C5B">
        <w:t xml:space="preserve">) does not in any way </w:t>
      </w:r>
      <w:r w:rsidR="00417C5B">
        <w:t>equate with</w:t>
      </w:r>
      <w:r w:rsidR="00417C5B" w:rsidRPr="00417C5B">
        <w:t xml:space="preserve"> legislation.</w:t>
      </w:r>
    </w:p>
    <w:p w:rsidR="0085288F" w:rsidRDefault="00B858A9" w:rsidP="004C0B80">
      <w:pPr>
        <w:spacing w:before="120" w:after="120" w:line="25" w:lineRule="atLeast"/>
      </w:pPr>
      <w:r>
        <w:t xml:space="preserve">It is very clear from the Submissions </w:t>
      </w:r>
      <w:r w:rsidR="000F71DC">
        <w:t xml:space="preserve">made to the ALRC </w:t>
      </w:r>
      <w:r>
        <w:t>that the lack of legislative requirements for compliance and th</w:t>
      </w:r>
      <w:r w:rsidR="000F71DC">
        <w:t xml:space="preserve">e lack </w:t>
      </w:r>
      <w:r w:rsidR="00CC36B6">
        <w:t xml:space="preserve">of </w:t>
      </w:r>
      <w:r>
        <w:t xml:space="preserve">consequences (sanctions) </w:t>
      </w:r>
      <w:r w:rsidR="00543FD9">
        <w:t>are</w:t>
      </w:r>
      <w:r>
        <w:t xml:space="preserve"> major contributor</w:t>
      </w:r>
      <w:r w:rsidR="00543FD9">
        <w:t>s</w:t>
      </w:r>
      <w:r>
        <w:t xml:space="preserve"> to abuse of the elderly in aged care residential facilities. </w:t>
      </w:r>
      <w:r w:rsidR="0085288F">
        <w:t xml:space="preserve">Encouraging businesses to comply </w:t>
      </w:r>
      <w:r w:rsidR="003C6E18">
        <w:t xml:space="preserve">does not equate with and </w:t>
      </w:r>
      <w:r w:rsidR="0085288F">
        <w:t xml:space="preserve">has no place in </w:t>
      </w:r>
      <w:r w:rsidR="006C1AF5">
        <w:t xml:space="preserve">replacing direct and clear </w:t>
      </w:r>
      <w:r w:rsidR="0085288F">
        <w:t>legislation addressing abuse of the elderly.</w:t>
      </w:r>
      <w:r w:rsidR="00D9680A">
        <w:t xml:space="preserve"> Providers who do not comply with quality standards should not be able to be approved</w:t>
      </w:r>
      <w:r w:rsidR="000F71DC">
        <w:t xml:space="preserve"> and accredited</w:t>
      </w:r>
      <w:r w:rsidR="00D9680A">
        <w:t>. Providers who breach the rights of residents in aged care facilities should not be in business.</w:t>
      </w:r>
      <w:r w:rsidR="00F073E9">
        <w:t xml:space="preserve"> </w:t>
      </w:r>
    </w:p>
    <w:p w:rsidR="00F073E9" w:rsidRDefault="000F71DC" w:rsidP="00DC0DF3">
      <w:pPr>
        <w:spacing w:before="120" w:after="0" w:line="25" w:lineRule="atLeast"/>
      </w:pPr>
      <w:r>
        <w:t>T</w:t>
      </w:r>
      <w:r w:rsidR="00F073E9">
        <w:t xml:space="preserve">o </w:t>
      </w:r>
      <w:r w:rsidR="00624928">
        <w:t>genuine</w:t>
      </w:r>
      <w:r w:rsidR="00F073E9">
        <w:t>ly address abuse of the elderly, it is imperative that the “toothless tiger” (11.86) and the “gap</w:t>
      </w:r>
      <w:r w:rsidR="00D80760">
        <w:t>s</w:t>
      </w:r>
      <w:r w:rsidR="00F073E9">
        <w:t xml:space="preserve">” (11.82 and 11.83) be addressed by the ALRC. </w:t>
      </w:r>
      <w:r w:rsidR="007949B3">
        <w:t xml:space="preserve">To fail to do so is to </w:t>
      </w:r>
      <w:r w:rsidR="00897E3E">
        <w:t>highlight</w:t>
      </w:r>
      <w:r w:rsidR="007949B3">
        <w:t xml:space="preserve"> </w:t>
      </w:r>
      <w:r w:rsidR="00D222D7">
        <w:t xml:space="preserve">this Inquiry as </w:t>
      </w:r>
      <w:r w:rsidR="007949B3">
        <w:t>yet another “toothless tiger”.</w:t>
      </w:r>
    </w:p>
    <w:p w:rsidR="006D1891" w:rsidRDefault="006D1891" w:rsidP="0005199A">
      <w:pPr>
        <w:spacing w:after="120" w:line="25" w:lineRule="atLeast"/>
        <w:rPr>
          <w:sz w:val="28"/>
          <w:szCs w:val="28"/>
          <w:u w:val="single"/>
        </w:rPr>
      </w:pPr>
    </w:p>
    <w:p w:rsidR="00F34A23" w:rsidRPr="00DE10B8" w:rsidRDefault="00DE10B8" w:rsidP="004C0B80">
      <w:pPr>
        <w:spacing w:before="120" w:after="120" w:line="25" w:lineRule="atLeast"/>
        <w:rPr>
          <w:sz w:val="28"/>
          <w:szCs w:val="28"/>
          <w:u w:val="single"/>
        </w:rPr>
      </w:pPr>
      <w:r>
        <w:rPr>
          <w:sz w:val="28"/>
          <w:szCs w:val="28"/>
          <w:u w:val="single"/>
        </w:rPr>
        <w:t>Ina</w:t>
      </w:r>
      <w:r w:rsidR="00F34A23" w:rsidRPr="00DE10B8">
        <w:rPr>
          <w:sz w:val="28"/>
          <w:szCs w:val="28"/>
          <w:u w:val="single"/>
        </w:rPr>
        <w:t>ppropriate Staffing</w:t>
      </w:r>
      <w:r>
        <w:rPr>
          <w:sz w:val="28"/>
          <w:szCs w:val="28"/>
          <w:u w:val="single"/>
        </w:rPr>
        <w:t xml:space="preserve">: PCAs in High-Care </w:t>
      </w:r>
    </w:p>
    <w:p w:rsidR="00212BA9" w:rsidRDefault="00212BA9" w:rsidP="00212BA9">
      <w:pPr>
        <w:spacing w:after="0" w:line="25" w:lineRule="atLeast"/>
      </w:pPr>
      <w:r>
        <w:t xml:space="preserve">The lack of appropriately trained staff contributed to my mother’s neglect and abuse. I have noted similar issues in relation to staffing, </w:t>
      </w:r>
      <w:r w:rsidRPr="00AB046E">
        <w:t xml:space="preserve">qualifications, </w:t>
      </w:r>
      <w:proofErr w:type="gramStart"/>
      <w:r w:rsidRPr="00AB046E">
        <w:t>skill</w:t>
      </w:r>
      <w:proofErr w:type="gramEnd"/>
      <w:r w:rsidRPr="00AB046E">
        <w:t xml:space="preserve"> mix and staff-patient ratios</w:t>
      </w:r>
      <w:r>
        <w:t xml:space="preserve">, in other submissions. </w:t>
      </w:r>
    </w:p>
    <w:p w:rsidR="00212BA9" w:rsidRDefault="00212BA9" w:rsidP="00212BA9">
      <w:pPr>
        <w:spacing w:after="0" w:line="25" w:lineRule="atLeast"/>
      </w:pPr>
      <w:r>
        <w:t xml:space="preserve">It is my understanding that the ALRC contention that these issues are going to be dealt with by the </w:t>
      </w:r>
      <w:r w:rsidRPr="00DE10B8">
        <w:t>Aged Care Legislated Review</w:t>
      </w:r>
      <w:r>
        <w:t xml:space="preserve"> is not shared by the </w:t>
      </w:r>
      <w:r w:rsidRPr="00DE10B8">
        <w:t>Aged Care Legislated Review</w:t>
      </w:r>
      <w:r>
        <w:t xml:space="preserve"> – at least as at 08/02/2017 </w:t>
      </w:r>
      <w:r w:rsidR="006D5901">
        <w:t>(</w:t>
      </w:r>
      <w:r w:rsidR="006D5901">
        <w:rPr>
          <w:rFonts w:ascii="Calibri" w:hAnsi="Calibri" w:cs="Calibri"/>
          <w:color w:val="000000"/>
          <w:shd w:val="clear" w:color="auto" w:fill="FFFFFF"/>
        </w:rPr>
        <w:t xml:space="preserve">Aged Care Legislated Review Consumer Workshop, Melbourne) </w:t>
      </w:r>
      <w:r>
        <w:t xml:space="preserve">– in which case this vitally important issue is in danger of being overlooked. </w:t>
      </w:r>
    </w:p>
    <w:p w:rsidR="00212BA9" w:rsidRDefault="00212BA9" w:rsidP="00212BA9">
      <w:pPr>
        <w:spacing w:before="120" w:after="0" w:line="25" w:lineRule="atLeast"/>
      </w:pPr>
      <w:r>
        <w:t xml:space="preserve">Should this situation have changed such that the Review will be the body responsible for aged care staffing issues, then I would ask the ALRC to refer relevant submissions to the </w:t>
      </w:r>
      <w:r w:rsidRPr="00DE10B8">
        <w:t>Aged Care Legislated Review</w:t>
      </w:r>
      <w:r>
        <w:t xml:space="preserve"> to ensure these submissions are available to inform discussions of staffing. Further, g</w:t>
      </w:r>
      <w:r w:rsidRPr="00DE10B8">
        <w:t xml:space="preserve">iven that these staffing issues are so much a part of elder </w:t>
      </w:r>
      <w:proofErr w:type="gramStart"/>
      <w:r w:rsidRPr="00DE10B8">
        <w:t>abuse,</w:t>
      </w:r>
      <w:proofErr w:type="gramEnd"/>
      <w:r w:rsidRPr="00DE10B8">
        <w:t xml:space="preserve"> would it </w:t>
      </w:r>
      <w:r w:rsidR="00D222D7">
        <w:t>not be appropriate</w:t>
      </w:r>
      <w:r>
        <w:t xml:space="preserve"> for the </w:t>
      </w:r>
      <w:r w:rsidRPr="00DE10B8">
        <w:t>ALRC to make recommendations to the Aged Care Legislated Review?</w:t>
      </w:r>
    </w:p>
    <w:p w:rsidR="00212BA9" w:rsidRPr="00DE10B8" w:rsidRDefault="00212BA9" w:rsidP="00212BA9">
      <w:pPr>
        <w:spacing w:after="120" w:line="25" w:lineRule="atLeast"/>
      </w:pPr>
      <w:r>
        <w:t>Should this not be the case, and staffing issues not be addressed by the Review, then staffing concerns within aged care facilities need to be recognised, considered and addressed by the ALRC in terms of contribution to abuse of the elderly within residential aged care facil</w:t>
      </w:r>
      <w:r w:rsidR="00051673">
        <w:t>i</w:t>
      </w:r>
      <w:r>
        <w:t>ties.</w:t>
      </w:r>
    </w:p>
    <w:p w:rsidR="00280B3C" w:rsidRDefault="00212BA9" w:rsidP="00375E56">
      <w:pPr>
        <w:spacing w:before="120" w:after="0" w:line="25" w:lineRule="atLeast"/>
      </w:pPr>
      <w:r w:rsidRPr="00DE10B8">
        <w:t xml:space="preserve"> </w:t>
      </w:r>
      <w:r w:rsidR="00280B3C" w:rsidRPr="00DE10B8">
        <w:t>“The task of ensuring that approved providers meet their responsibilities in relation to quality of care is shared by the Department of Health, the Australian Aged Care Quality Agency …, and the Aged Care Complaints Commissioner”</w:t>
      </w:r>
      <w:r w:rsidR="00280B3C">
        <w:t xml:space="preserve"> </w:t>
      </w:r>
      <w:r w:rsidR="00280B3C" w:rsidRPr="00DE10B8">
        <w:t>(11.10).</w:t>
      </w:r>
    </w:p>
    <w:p w:rsidR="00DF2B51" w:rsidRDefault="00187187" w:rsidP="0086774E">
      <w:pPr>
        <w:spacing w:after="120" w:line="25" w:lineRule="atLeast"/>
      </w:pPr>
      <w:r>
        <w:t xml:space="preserve">In my view, </w:t>
      </w:r>
      <w:r w:rsidR="00AE58FF" w:rsidRPr="00DE10B8">
        <w:t xml:space="preserve">under-trained </w:t>
      </w:r>
      <w:proofErr w:type="gramStart"/>
      <w:r>
        <w:t xml:space="preserve">staff, such as </w:t>
      </w:r>
      <w:r w:rsidR="00AE58FF" w:rsidRPr="00DE10B8">
        <w:t>PCAs</w:t>
      </w:r>
      <w:r>
        <w:t>,</w:t>
      </w:r>
      <w:r w:rsidR="00AE58FF" w:rsidRPr="00DE10B8">
        <w:t xml:space="preserve"> hav</w:t>
      </w:r>
      <w:r>
        <w:t>e</w:t>
      </w:r>
      <w:proofErr w:type="gramEnd"/>
      <w:r w:rsidR="00AE58FF" w:rsidRPr="00DE10B8">
        <w:t xml:space="preserve"> no place </w:t>
      </w:r>
      <w:r>
        <w:t xml:space="preserve">working as carers </w:t>
      </w:r>
      <w:r w:rsidR="00AE58FF" w:rsidRPr="00DE10B8">
        <w:t xml:space="preserve">in high-care facilities. </w:t>
      </w:r>
      <w:r w:rsidR="002D7A7C" w:rsidRPr="00DE10B8">
        <w:t xml:space="preserve">Family members arrange placement in high-care dementia units for the precise reason that the dementia sufferer </w:t>
      </w:r>
      <w:r w:rsidR="002D7A7C" w:rsidRPr="00DE10B8">
        <w:rPr>
          <w:u w:val="single"/>
        </w:rPr>
        <w:t>is</w:t>
      </w:r>
      <w:r w:rsidR="002D7A7C" w:rsidRPr="00DE10B8">
        <w:t xml:space="preserve"> high-care, and as such beyond the family’s expertise</w:t>
      </w:r>
      <w:r>
        <w:t xml:space="preserve"> to care for</w:t>
      </w:r>
      <w:r w:rsidR="002D7A7C" w:rsidRPr="00DE10B8">
        <w:t xml:space="preserve">. The reasonable </w:t>
      </w:r>
      <w:r w:rsidR="002D7A7C" w:rsidRPr="00DE10B8">
        <w:lastRenderedPageBreak/>
        <w:t xml:space="preserve">expectation is that </w:t>
      </w:r>
      <w:proofErr w:type="gramStart"/>
      <w:r w:rsidR="002D7A7C" w:rsidRPr="00DE10B8">
        <w:t>staff in such units have</w:t>
      </w:r>
      <w:proofErr w:type="gramEnd"/>
      <w:r w:rsidR="002D7A7C" w:rsidRPr="00DE10B8">
        <w:t xml:space="preserve"> the skills to administer</w:t>
      </w:r>
      <w:r>
        <w:t xml:space="preserve"> required </w:t>
      </w:r>
      <w:r w:rsidR="002D7A7C" w:rsidRPr="00DE10B8">
        <w:t xml:space="preserve">care. </w:t>
      </w:r>
      <w:r w:rsidR="00DF2B51" w:rsidRPr="00DE10B8">
        <w:t xml:space="preserve">Not to </w:t>
      </w:r>
      <w:r>
        <w:t xml:space="preserve">provide such </w:t>
      </w:r>
      <w:r w:rsidR="00DF2B51" w:rsidRPr="00DE10B8">
        <w:t xml:space="preserve">care constitutes neglect. </w:t>
      </w:r>
      <w:r>
        <w:t>However, t</w:t>
      </w:r>
      <w:r w:rsidR="00DF2B51" w:rsidRPr="00DE10B8">
        <w:t>h</w:t>
      </w:r>
      <w:r>
        <w:t>e appropriate</w:t>
      </w:r>
      <w:r w:rsidR="00DF2B51" w:rsidRPr="00DE10B8">
        <w:t xml:space="preserve"> level of care cannot be given </w:t>
      </w:r>
      <w:r w:rsidR="00DE10B8" w:rsidRPr="00DE10B8">
        <w:t xml:space="preserve">by PCAs. </w:t>
      </w:r>
    </w:p>
    <w:p w:rsidR="00187187" w:rsidRPr="00DE10B8" w:rsidRDefault="00187187" w:rsidP="00187187">
      <w:pPr>
        <w:spacing w:before="120" w:after="120" w:line="25" w:lineRule="atLeast"/>
      </w:pPr>
      <w:r w:rsidRPr="00DE10B8">
        <w:t xml:space="preserve">PCAs should not </w:t>
      </w:r>
      <w:r>
        <w:t xml:space="preserve">replace </w:t>
      </w:r>
      <w:r w:rsidRPr="00DE10B8">
        <w:t>specifically trained and highly qualified staff</w:t>
      </w:r>
      <w:r>
        <w:t>, such as registered nurses, who are</w:t>
      </w:r>
      <w:r w:rsidRPr="00DE10B8">
        <w:t xml:space="preserve"> capable of administering </w:t>
      </w:r>
      <w:r>
        <w:t xml:space="preserve">the </w:t>
      </w:r>
      <w:r w:rsidRPr="00DE10B8">
        <w:t>high level of care</w:t>
      </w:r>
      <w:r>
        <w:t xml:space="preserve"> a dementia sufferer requires</w:t>
      </w:r>
      <w:r w:rsidRPr="00DE10B8">
        <w:t>. There are many examples</w:t>
      </w:r>
      <w:r>
        <w:t xml:space="preserve">, </w:t>
      </w:r>
      <w:r w:rsidRPr="004C26E7">
        <w:t>including in submissions made to ALRC</w:t>
      </w:r>
      <w:r>
        <w:t>,</w:t>
      </w:r>
      <w:r w:rsidRPr="00DE10B8">
        <w:t xml:space="preserve"> of </w:t>
      </w:r>
      <w:r w:rsidR="0079326D">
        <w:t xml:space="preserve">PCAs’ </w:t>
      </w:r>
      <w:r w:rsidRPr="00DE10B8">
        <w:t>lack of expertise directly</w:t>
      </w:r>
      <w:r w:rsidR="0079326D">
        <w:t xml:space="preserve"> and indirectly</w:t>
      </w:r>
      <w:r w:rsidRPr="00DE10B8">
        <w:t xml:space="preserve"> resulting in abuse and neglect. It is </w:t>
      </w:r>
      <w:r w:rsidR="0079326D">
        <w:t xml:space="preserve">also </w:t>
      </w:r>
      <w:r w:rsidRPr="00DE10B8">
        <w:t xml:space="preserve">questionable whether PCAs have any more expertise than the family members who recognise their own inadequate skills and so seek high-care placement for their elders: PCAs are only personal care assistants. There is a place for them, but not in high-care needs situations. Just as only specifically trained and qualified teachers, child-care workers, lawyers and surgeons are able to practise in their fields, so should there only be qualified nurses in dementia units. </w:t>
      </w:r>
      <w:r w:rsidR="0079326D">
        <w:t>However, as a result of the use of PCAs, to the expense of nurses, p</w:t>
      </w:r>
      <w:r w:rsidRPr="00DE10B8">
        <w:t xml:space="preserve">roperly qualified </w:t>
      </w:r>
      <w:proofErr w:type="gramStart"/>
      <w:r w:rsidRPr="00DE10B8">
        <w:t>staff are</w:t>
      </w:r>
      <w:proofErr w:type="gramEnd"/>
      <w:r w:rsidRPr="00DE10B8">
        <w:t xml:space="preserve"> no longer </w:t>
      </w:r>
      <w:r w:rsidR="0079326D">
        <w:t xml:space="preserve">in facilities in </w:t>
      </w:r>
      <w:r w:rsidRPr="00DE10B8">
        <w:t xml:space="preserve">any number that renders them effective in their work. Lay people should not occupy positions of the highly skilled: It is dangerous, it is enabling abuse, and as such this in and of itself constitutes neglect of the elderly. </w:t>
      </w:r>
      <w:r w:rsidR="0079326D">
        <w:t xml:space="preserve">Proposals are needed to address these systemic </w:t>
      </w:r>
      <w:r w:rsidRPr="00DE10B8">
        <w:t>issues recognised in 11.9</w:t>
      </w:r>
      <w:r w:rsidR="003264A2">
        <w:t xml:space="preserve"> of the Discussion P</w:t>
      </w:r>
      <w:r w:rsidR="0079326D">
        <w:t>aper</w:t>
      </w:r>
      <w:r w:rsidRPr="00DE10B8">
        <w:t>.</w:t>
      </w:r>
    </w:p>
    <w:p w:rsidR="00A92090" w:rsidRPr="00DE10B8" w:rsidRDefault="002D7A7C" w:rsidP="004C0B80">
      <w:pPr>
        <w:spacing w:before="120" w:after="120" w:line="25" w:lineRule="atLeast"/>
      </w:pPr>
      <w:r w:rsidRPr="00DE10B8">
        <w:t xml:space="preserve">That approved providers can accept residents as high-care but then not provide high care </w:t>
      </w:r>
      <w:r w:rsidR="00B21CD9" w:rsidRPr="00DE10B8">
        <w:t xml:space="preserve">surely </w:t>
      </w:r>
      <w:r w:rsidR="00A92090" w:rsidRPr="00DE10B8">
        <w:t>constitutes failure</w:t>
      </w:r>
      <w:r w:rsidR="00B21CD9" w:rsidRPr="00DE10B8">
        <w:t xml:space="preserve"> to provide appropriate quality of care</w:t>
      </w:r>
      <w:r w:rsidRPr="00DE10B8">
        <w:t xml:space="preserve">. </w:t>
      </w:r>
      <w:r w:rsidR="00B21CD9" w:rsidRPr="00DE10B8">
        <w:t xml:space="preserve">To accept people with high-care needs without having the means or the intention of being able to provide such care is </w:t>
      </w:r>
      <w:r w:rsidR="00951A80" w:rsidRPr="00DE10B8">
        <w:t xml:space="preserve">not ethical, is </w:t>
      </w:r>
      <w:r w:rsidR="00B21CD9" w:rsidRPr="00DE10B8">
        <w:t>preconceived, and should not be legal.</w:t>
      </w:r>
    </w:p>
    <w:p w:rsidR="00EE045D" w:rsidRPr="00DE10B8" w:rsidRDefault="00EE045D" w:rsidP="00DC0DF3">
      <w:pPr>
        <w:spacing w:before="120" w:after="0" w:line="25" w:lineRule="atLeast"/>
      </w:pPr>
      <w:r w:rsidRPr="00DE10B8">
        <w:t>In the case of my late mother, her high-care status was initially downgraded to low care (</w:t>
      </w:r>
      <w:r w:rsidR="008A7DB3" w:rsidRPr="00DE10B8">
        <w:t xml:space="preserve">resulting in </w:t>
      </w:r>
      <w:r w:rsidRPr="00DE10B8">
        <w:t>neglect) because the only appropriate placement was in a facility that designated its dementia unit as “low-care, dementia specific”</w:t>
      </w:r>
      <w:r w:rsidR="00AB046E">
        <w:t xml:space="preserve">. I was told that if I didn’t agree to this down-grading, that my mother wouldn’t be able to be accepted into the facility. Her new status as low care then </w:t>
      </w:r>
      <w:r w:rsidRPr="00DE10B8">
        <w:t>necessitated the payment of a bond to the approved provider</w:t>
      </w:r>
      <w:r w:rsidR="00AB046E">
        <w:t>. This constitutes</w:t>
      </w:r>
      <w:r w:rsidRPr="00DE10B8">
        <w:t xml:space="preserve"> financial abuse.</w:t>
      </w:r>
    </w:p>
    <w:p w:rsidR="00280B3C" w:rsidRDefault="00280B3C" w:rsidP="004C0B80">
      <w:pPr>
        <w:spacing w:before="120" w:after="120" w:line="25" w:lineRule="atLeast"/>
        <w:rPr>
          <w:sz w:val="28"/>
          <w:szCs w:val="28"/>
          <w:u w:val="single"/>
        </w:rPr>
      </w:pPr>
    </w:p>
    <w:p w:rsidR="0005199A" w:rsidRDefault="0005199A" w:rsidP="004C0B80">
      <w:pPr>
        <w:spacing w:before="120" w:after="120" w:line="25" w:lineRule="atLeast"/>
      </w:pPr>
    </w:p>
    <w:p w:rsidR="00280B3C" w:rsidRDefault="00280B3C" w:rsidP="004C0B80">
      <w:pPr>
        <w:spacing w:before="120" w:after="120" w:line="25" w:lineRule="atLeast"/>
      </w:pPr>
      <w:r>
        <w:t>In sum</w:t>
      </w:r>
      <w:r w:rsidR="00401E49">
        <w:t>mary</w:t>
      </w:r>
      <w:r>
        <w:t>, whil</w:t>
      </w:r>
      <w:r w:rsidR="00401E49">
        <w:t>st</w:t>
      </w:r>
      <w:r>
        <w:t xml:space="preserve"> I support many of the recommendations of the ALRC</w:t>
      </w:r>
      <w:r w:rsidR="0071360E">
        <w:t xml:space="preserve"> Discussion Paper</w:t>
      </w:r>
      <w:r>
        <w:t xml:space="preserve">, including principally 11.3, it is my view that the changes proposed under proposal 11.2(b) undermine other outcomes. </w:t>
      </w:r>
    </w:p>
    <w:p w:rsidR="002A2AA2" w:rsidRDefault="00280B3C" w:rsidP="004C0B80">
      <w:pPr>
        <w:spacing w:before="120" w:after="120" w:line="25" w:lineRule="atLeast"/>
      </w:pPr>
      <w:r>
        <w:t>Defining harm by reference to the perpetrator ignores the impact on the victim. Further, o</w:t>
      </w:r>
      <w:r w:rsidR="000B005B">
        <w:t xml:space="preserve">bscurity of syntax in legislation invites different interpretations, which then create loopholes. </w:t>
      </w:r>
      <w:r w:rsidR="002A2AA2">
        <w:t xml:space="preserve">These are precisely the type of loopholes that enabled the actual assault on my mother, </w:t>
      </w:r>
      <w:r w:rsidR="0045154E">
        <w:t>the failure of the approved p</w:t>
      </w:r>
      <w:r w:rsidR="002A2AA2">
        <w:t>rovider to address the consequences of the assault</w:t>
      </w:r>
      <w:r>
        <w:t xml:space="preserve">, improve her safety going forward, or manage the </w:t>
      </w:r>
      <w:r w:rsidR="002A2AA2">
        <w:t>assailant’s behaviour</w:t>
      </w:r>
      <w:r w:rsidR="001D7962">
        <w:t xml:space="preserve">, as well as the failure of government bodies to take any </w:t>
      </w:r>
      <w:r w:rsidR="00900F5E">
        <w:t>significant</w:t>
      </w:r>
      <w:r w:rsidR="001D7962">
        <w:t xml:space="preserve"> action</w:t>
      </w:r>
      <w:r w:rsidR="002A2AA2">
        <w:t xml:space="preserve">. </w:t>
      </w:r>
      <w:r>
        <w:t xml:space="preserve">I recommend 11.2(b) be amended to require providers to report ‘assault’ as defined for any other member of society, regardless of the perpetrator. As outlined previously, this is not about </w:t>
      </w:r>
      <w:proofErr w:type="gramStart"/>
      <w:r>
        <w:t>blame,</w:t>
      </w:r>
      <w:proofErr w:type="gramEnd"/>
      <w:r>
        <w:t xml:space="preserve"> it’s about keeping victims safe. </w:t>
      </w:r>
    </w:p>
    <w:p w:rsidR="00280B3C" w:rsidRDefault="00280B3C" w:rsidP="004C0B80">
      <w:pPr>
        <w:spacing w:before="120" w:after="120" w:line="25" w:lineRule="atLeast"/>
      </w:pPr>
      <w:r>
        <w:t>In addition, it is my contention that for significant reform to be realised, providers need to be:</w:t>
      </w:r>
    </w:p>
    <w:p w:rsidR="00280B3C" w:rsidRDefault="00280B3C" w:rsidP="00E72CCE">
      <w:pPr>
        <w:pStyle w:val="ListParagraph"/>
        <w:numPr>
          <w:ilvl w:val="0"/>
          <w:numId w:val="9"/>
        </w:numPr>
        <w:spacing w:before="120" w:after="120" w:line="25" w:lineRule="atLeast"/>
      </w:pPr>
      <w:r>
        <w:t xml:space="preserve">able to be held to account under legislation, and able to be sanctioned or de-accredited when they fail to provide a safe environment; and </w:t>
      </w:r>
    </w:p>
    <w:p w:rsidR="00280B3C" w:rsidRDefault="00280B3C" w:rsidP="00E72CCE">
      <w:pPr>
        <w:pStyle w:val="ListParagraph"/>
        <w:numPr>
          <w:ilvl w:val="0"/>
          <w:numId w:val="9"/>
        </w:numPr>
        <w:spacing w:before="120" w:after="120" w:line="25" w:lineRule="atLeast"/>
      </w:pPr>
      <w:proofErr w:type="gramStart"/>
      <w:r>
        <w:t>required</w:t>
      </w:r>
      <w:proofErr w:type="gramEnd"/>
      <w:r>
        <w:t xml:space="preserve"> to employ appropriately trained staff (i.e. nurses) in high needs environments. </w:t>
      </w:r>
    </w:p>
    <w:p w:rsidR="00280B3C" w:rsidRDefault="00280B3C" w:rsidP="004C0B80">
      <w:pPr>
        <w:spacing w:before="120" w:after="120" w:line="25" w:lineRule="atLeast"/>
      </w:pPr>
      <w:r>
        <w:t>I would like to direct the ALRC’s attention to the former, and request that my and other</w:t>
      </w:r>
      <w:r w:rsidR="00212BA9">
        <w:t>s’</w:t>
      </w:r>
      <w:r w:rsidR="00A87658">
        <w:t xml:space="preserve"> </w:t>
      </w:r>
      <w:r>
        <w:t xml:space="preserve">submissions be </w:t>
      </w:r>
      <w:r w:rsidR="004C26E7">
        <w:t xml:space="preserve">addressed </w:t>
      </w:r>
      <w:r>
        <w:t>for the latter</w:t>
      </w:r>
      <w:r w:rsidR="004C26E7">
        <w:t xml:space="preserve">, either by the ALRC </w:t>
      </w:r>
      <w:r w:rsidR="00A87658">
        <w:t xml:space="preserve">in this Inquiry </w:t>
      </w:r>
      <w:r w:rsidR="004C26E7">
        <w:t xml:space="preserve">or passed on to the </w:t>
      </w:r>
      <w:r w:rsidR="004C26E7" w:rsidRPr="00DE10B8">
        <w:t>Aged Care Legislated Review</w:t>
      </w:r>
      <w:r w:rsidR="00956FA1">
        <w:t xml:space="preserve"> with recommendations</w:t>
      </w:r>
      <w:r w:rsidR="00A87658">
        <w:t>, as is applicable</w:t>
      </w:r>
      <w:r>
        <w:t xml:space="preserve">. </w:t>
      </w:r>
    </w:p>
    <w:p w:rsidR="004C0E7E" w:rsidRDefault="007E1101" w:rsidP="007E1101">
      <w:pPr>
        <w:spacing w:before="120" w:after="120" w:line="25" w:lineRule="atLeast"/>
      </w:pPr>
      <w:r>
        <w:t>S</w:t>
      </w:r>
      <w:r w:rsidR="004C0E7E">
        <w:t xml:space="preserve"> Henderson</w:t>
      </w:r>
    </w:p>
    <w:sectPr w:rsidR="004C0E7E" w:rsidSect="00240A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BF5" w:rsidRDefault="00AA2BF5" w:rsidP="00824838">
      <w:pPr>
        <w:spacing w:after="0" w:line="240" w:lineRule="auto"/>
      </w:pPr>
      <w:r>
        <w:separator/>
      </w:r>
    </w:p>
  </w:endnote>
  <w:endnote w:type="continuationSeparator" w:id="0">
    <w:p w:rsidR="00AA2BF5" w:rsidRDefault="00AA2BF5" w:rsidP="00824838">
      <w:pPr>
        <w:spacing w:after="0" w:line="240" w:lineRule="auto"/>
      </w:pPr>
      <w:r>
        <w:continuationSeparator/>
      </w:r>
    </w:p>
  </w:endnote>
  <w:endnote w:type="continuationNotice" w:id="1">
    <w:p w:rsidR="00AA2BF5" w:rsidRDefault="00AA2BF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6E" w:rsidRDefault="00DE2D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6E" w:rsidRDefault="00DE2D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6E" w:rsidRDefault="00DE2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BF5" w:rsidRDefault="00AA2BF5" w:rsidP="00824838">
      <w:pPr>
        <w:spacing w:after="0" w:line="240" w:lineRule="auto"/>
      </w:pPr>
      <w:r>
        <w:separator/>
      </w:r>
    </w:p>
  </w:footnote>
  <w:footnote w:type="continuationSeparator" w:id="0">
    <w:p w:rsidR="00AA2BF5" w:rsidRDefault="00AA2BF5" w:rsidP="00824838">
      <w:pPr>
        <w:spacing w:after="0" w:line="240" w:lineRule="auto"/>
      </w:pPr>
      <w:r>
        <w:continuationSeparator/>
      </w:r>
    </w:p>
  </w:footnote>
  <w:footnote w:type="continuationNotice" w:id="1">
    <w:p w:rsidR="00AA2BF5" w:rsidRDefault="00AA2BF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6E" w:rsidRDefault="00DE2D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DE2D6E" w:rsidRDefault="00DE2D6E" w:rsidP="00DE2D6E">
        <w:pPr>
          <w:pStyle w:val="Header"/>
        </w:pPr>
        <w:r>
          <w:t xml:space="preserve">275. </w:t>
        </w:r>
        <w:r>
          <w:rPr>
            <w:rFonts w:eastAsia="Times New Roman"/>
          </w:rPr>
          <w:t>S Henderson</w:t>
        </w:r>
      </w:p>
      <w:p w:rsidR="00DC35C7" w:rsidRDefault="00DC35C7">
        <w:pPr>
          <w:pStyle w:val="Header"/>
          <w:jc w:val="right"/>
        </w:pPr>
        <w:r>
          <w:t xml:space="preserve">Page </w:t>
        </w:r>
        <w:r w:rsidR="00AC0F2B">
          <w:rPr>
            <w:b/>
            <w:bCs/>
            <w:sz w:val="24"/>
            <w:szCs w:val="24"/>
          </w:rPr>
          <w:fldChar w:fldCharType="begin"/>
        </w:r>
        <w:r>
          <w:rPr>
            <w:b/>
            <w:bCs/>
          </w:rPr>
          <w:instrText xml:space="preserve"> PAGE </w:instrText>
        </w:r>
        <w:r w:rsidR="00AC0F2B">
          <w:rPr>
            <w:b/>
            <w:bCs/>
            <w:sz w:val="24"/>
            <w:szCs w:val="24"/>
          </w:rPr>
          <w:fldChar w:fldCharType="separate"/>
        </w:r>
        <w:r w:rsidR="007E1101">
          <w:rPr>
            <w:b/>
            <w:bCs/>
            <w:noProof/>
          </w:rPr>
          <w:t>1</w:t>
        </w:r>
        <w:r w:rsidR="00AC0F2B">
          <w:rPr>
            <w:b/>
            <w:bCs/>
            <w:sz w:val="24"/>
            <w:szCs w:val="24"/>
          </w:rPr>
          <w:fldChar w:fldCharType="end"/>
        </w:r>
        <w:r>
          <w:t xml:space="preserve"> of </w:t>
        </w:r>
        <w:r w:rsidR="00AC0F2B">
          <w:rPr>
            <w:b/>
            <w:bCs/>
            <w:sz w:val="24"/>
            <w:szCs w:val="24"/>
          </w:rPr>
          <w:fldChar w:fldCharType="begin"/>
        </w:r>
        <w:r>
          <w:rPr>
            <w:b/>
            <w:bCs/>
          </w:rPr>
          <w:instrText xml:space="preserve"> NUMPAGES  </w:instrText>
        </w:r>
        <w:r w:rsidR="00AC0F2B">
          <w:rPr>
            <w:b/>
            <w:bCs/>
            <w:sz w:val="24"/>
            <w:szCs w:val="24"/>
          </w:rPr>
          <w:fldChar w:fldCharType="separate"/>
        </w:r>
        <w:r w:rsidR="007E1101">
          <w:rPr>
            <w:b/>
            <w:bCs/>
            <w:noProof/>
          </w:rPr>
          <w:t>8</w:t>
        </w:r>
        <w:r w:rsidR="00AC0F2B">
          <w:rPr>
            <w:b/>
            <w:bCs/>
            <w:sz w:val="24"/>
            <w:szCs w:val="24"/>
          </w:rPr>
          <w:fldChar w:fldCharType="end"/>
        </w:r>
      </w:p>
    </w:sdtContent>
  </w:sdt>
  <w:p w:rsidR="00DC35C7" w:rsidRDefault="00DC35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6E" w:rsidRDefault="00DE2D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9ED"/>
    <w:multiLevelType w:val="hybridMultilevel"/>
    <w:tmpl w:val="CAE43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4C42E0"/>
    <w:multiLevelType w:val="hybridMultilevel"/>
    <w:tmpl w:val="B4B41574"/>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
    <w:nsid w:val="0E1A2CAE"/>
    <w:multiLevelType w:val="hybridMultilevel"/>
    <w:tmpl w:val="CAE43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3974CB"/>
    <w:multiLevelType w:val="hybridMultilevel"/>
    <w:tmpl w:val="CA327A3A"/>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4">
    <w:nsid w:val="1B071D25"/>
    <w:multiLevelType w:val="hybridMultilevel"/>
    <w:tmpl w:val="26142D58"/>
    <w:lvl w:ilvl="0" w:tplc="8A763F8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192645E"/>
    <w:multiLevelType w:val="hybridMultilevel"/>
    <w:tmpl w:val="47CCE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D236DC"/>
    <w:multiLevelType w:val="hybridMultilevel"/>
    <w:tmpl w:val="AD0A0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6CF1ADB"/>
    <w:multiLevelType w:val="hybridMultilevel"/>
    <w:tmpl w:val="F4C4C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4024288"/>
    <w:multiLevelType w:val="hybridMultilevel"/>
    <w:tmpl w:val="47C2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385D98"/>
    <w:rsid w:val="00011A24"/>
    <w:rsid w:val="000210F3"/>
    <w:rsid w:val="00021B5D"/>
    <w:rsid w:val="00027FD6"/>
    <w:rsid w:val="00030921"/>
    <w:rsid w:val="000344C6"/>
    <w:rsid w:val="000363BE"/>
    <w:rsid w:val="00041733"/>
    <w:rsid w:val="00045813"/>
    <w:rsid w:val="00051673"/>
    <w:rsid w:val="0005199A"/>
    <w:rsid w:val="00056185"/>
    <w:rsid w:val="000608B5"/>
    <w:rsid w:val="000646DB"/>
    <w:rsid w:val="00081ED2"/>
    <w:rsid w:val="00086FFD"/>
    <w:rsid w:val="000876E9"/>
    <w:rsid w:val="00090EF2"/>
    <w:rsid w:val="000936B0"/>
    <w:rsid w:val="000975C2"/>
    <w:rsid w:val="000A1D7F"/>
    <w:rsid w:val="000A54FC"/>
    <w:rsid w:val="000B005B"/>
    <w:rsid w:val="000B1261"/>
    <w:rsid w:val="000D16EF"/>
    <w:rsid w:val="000D20F7"/>
    <w:rsid w:val="000D2272"/>
    <w:rsid w:val="000E2994"/>
    <w:rsid w:val="000E7374"/>
    <w:rsid w:val="000F69C5"/>
    <w:rsid w:val="000F6A43"/>
    <w:rsid w:val="000F6BB2"/>
    <w:rsid w:val="000F71DC"/>
    <w:rsid w:val="0010160A"/>
    <w:rsid w:val="00105AEC"/>
    <w:rsid w:val="001214A3"/>
    <w:rsid w:val="001225C1"/>
    <w:rsid w:val="00122B3D"/>
    <w:rsid w:val="0013089A"/>
    <w:rsid w:val="00137E00"/>
    <w:rsid w:val="00141217"/>
    <w:rsid w:val="00144769"/>
    <w:rsid w:val="00145D98"/>
    <w:rsid w:val="001466E6"/>
    <w:rsid w:val="00150605"/>
    <w:rsid w:val="001520FE"/>
    <w:rsid w:val="00152AC2"/>
    <w:rsid w:val="00152BEB"/>
    <w:rsid w:val="001730C0"/>
    <w:rsid w:val="00180F28"/>
    <w:rsid w:val="00182054"/>
    <w:rsid w:val="00185088"/>
    <w:rsid w:val="00187187"/>
    <w:rsid w:val="00194A3D"/>
    <w:rsid w:val="001977B3"/>
    <w:rsid w:val="001A24AA"/>
    <w:rsid w:val="001A6FA7"/>
    <w:rsid w:val="001B7F28"/>
    <w:rsid w:val="001C3A19"/>
    <w:rsid w:val="001C3A21"/>
    <w:rsid w:val="001C68C7"/>
    <w:rsid w:val="001D1462"/>
    <w:rsid w:val="001D7962"/>
    <w:rsid w:val="001E7420"/>
    <w:rsid w:val="001F0A67"/>
    <w:rsid w:val="00205257"/>
    <w:rsid w:val="002107F7"/>
    <w:rsid w:val="002116D9"/>
    <w:rsid w:val="00212926"/>
    <w:rsid w:val="00212BA9"/>
    <w:rsid w:val="002138AA"/>
    <w:rsid w:val="00232F71"/>
    <w:rsid w:val="00234A45"/>
    <w:rsid w:val="00240AE5"/>
    <w:rsid w:val="00241302"/>
    <w:rsid w:val="002413B6"/>
    <w:rsid w:val="002531E0"/>
    <w:rsid w:val="0026146C"/>
    <w:rsid w:val="002615F1"/>
    <w:rsid w:val="0026213A"/>
    <w:rsid w:val="0027667F"/>
    <w:rsid w:val="002779B2"/>
    <w:rsid w:val="00280B3C"/>
    <w:rsid w:val="00283737"/>
    <w:rsid w:val="0028795A"/>
    <w:rsid w:val="0029777C"/>
    <w:rsid w:val="002A2AA2"/>
    <w:rsid w:val="002A699A"/>
    <w:rsid w:val="002C2866"/>
    <w:rsid w:val="002D40B7"/>
    <w:rsid w:val="002D6924"/>
    <w:rsid w:val="002D7A7C"/>
    <w:rsid w:val="002E4D79"/>
    <w:rsid w:val="002E5F92"/>
    <w:rsid w:val="002E7D2E"/>
    <w:rsid w:val="002F048C"/>
    <w:rsid w:val="002F0DD7"/>
    <w:rsid w:val="002F3EBB"/>
    <w:rsid w:val="002F433A"/>
    <w:rsid w:val="002F4511"/>
    <w:rsid w:val="002F6706"/>
    <w:rsid w:val="003208FE"/>
    <w:rsid w:val="003264A2"/>
    <w:rsid w:val="00326FCF"/>
    <w:rsid w:val="003270F0"/>
    <w:rsid w:val="003338B0"/>
    <w:rsid w:val="0034039B"/>
    <w:rsid w:val="0034369F"/>
    <w:rsid w:val="00350B5D"/>
    <w:rsid w:val="00354348"/>
    <w:rsid w:val="0035642F"/>
    <w:rsid w:val="00360462"/>
    <w:rsid w:val="00360D3B"/>
    <w:rsid w:val="00362AD6"/>
    <w:rsid w:val="00372595"/>
    <w:rsid w:val="003728B8"/>
    <w:rsid w:val="003756C2"/>
    <w:rsid w:val="00375E56"/>
    <w:rsid w:val="00376C06"/>
    <w:rsid w:val="0038086D"/>
    <w:rsid w:val="00384AB1"/>
    <w:rsid w:val="00385D98"/>
    <w:rsid w:val="003903FB"/>
    <w:rsid w:val="003960C3"/>
    <w:rsid w:val="00396D18"/>
    <w:rsid w:val="003A19EC"/>
    <w:rsid w:val="003A5E4E"/>
    <w:rsid w:val="003B1478"/>
    <w:rsid w:val="003B262F"/>
    <w:rsid w:val="003C1BA9"/>
    <w:rsid w:val="003C4190"/>
    <w:rsid w:val="003C4AE5"/>
    <w:rsid w:val="003C6E18"/>
    <w:rsid w:val="003D0B06"/>
    <w:rsid w:val="003D367C"/>
    <w:rsid w:val="003E3DC3"/>
    <w:rsid w:val="003E7CC4"/>
    <w:rsid w:val="003F6DCD"/>
    <w:rsid w:val="003F7541"/>
    <w:rsid w:val="0040023E"/>
    <w:rsid w:val="00400E12"/>
    <w:rsid w:val="00401E49"/>
    <w:rsid w:val="00403E7E"/>
    <w:rsid w:val="0041121D"/>
    <w:rsid w:val="0041741E"/>
    <w:rsid w:val="00417C5B"/>
    <w:rsid w:val="004202EC"/>
    <w:rsid w:val="00422930"/>
    <w:rsid w:val="004264D6"/>
    <w:rsid w:val="00437AB4"/>
    <w:rsid w:val="00440146"/>
    <w:rsid w:val="004409C1"/>
    <w:rsid w:val="00441B68"/>
    <w:rsid w:val="004473EF"/>
    <w:rsid w:val="00447646"/>
    <w:rsid w:val="0045154E"/>
    <w:rsid w:val="00451EAF"/>
    <w:rsid w:val="00457BBC"/>
    <w:rsid w:val="0046123C"/>
    <w:rsid w:val="004848B2"/>
    <w:rsid w:val="00485BFE"/>
    <w:rsid w:val="00487FD0"/>
    <w:rsid w:val="00491C27"/>
    <w:rsid w:val="00492B2C"/>
    <w:rsid w:val="00494055"/>
    <w:rsid w:val="0049577C"/>
    <w:rsid w:val="004A0059"/>
    <w:rsid w:val="004A3CED"/>
    <w:rsid w:val="004B52B4"/>
    <w:rsid w:val="004C0B80"/>
    <w:rsid w:val="004C0E7E"/>
    <w:rsid w:val="004C26E7"/>
    <w:rsid w:val="004E07A3"/>
    <w:rsid w:val="004E14D6"/>
    <w:rsid w:val="004F1E71"/>
    <w:rsid w:val="004F1FB7"/>
    <w:rsid w:val="004F7B43"/>
    <w:rsid w:val="00510DDA"/>
    <w:rsid w:val="00512C54"/>
    <w:rsid w:val="00514E53"/>
    <w:rsid w:val="00520AF4"/>
    <w:rsid w:val="00531290"/>
    <w:rsid w:val="00533D23"/>
    <w:rsid w:val="00543A63"/>
    <w:rsid w:val="00543A74"/>
    <w:rsid w:val="00543FD9"/>
    <w:rsid w:val="00554BC5"/>
    <w:rsid w:val="00566E51"/>
    <w:rsid w:val="00570CE1"/>
    <w:rsid w:val="00572DCF"/>
    <w:rsid w:val="00580437"/>
    <w:rsid w:val="00595E7B"/>
    <w:rsid w:val="005A22E5"/>
    <w:rsid w:val="005A3C12"/>
    <w:rsid w:val="005A742C"/>
    <w:rsid w:val="005B3B22"/>
    <w:rsid w:val="005C0380"/>
    <w:rsid w:val="005C0F5E"/>
    <w:rsid w:val="005C3881"/>
    <w:rsid w:val="005C5AD7"/>
    <w:rsid w:val="005C63D6"/>
    <w:rsid w:val="005C643D"/>
    <w:rsid w:val="005C7C5B"/>
    <w:rsid w:val="005D3082"/>
    <w:rsid w:val="005D3288"/>
    <w:rsid w:val="005D3506"/>
    <w:rsid w:val="005E3470"/>
    <w:rsid w:val="005E565E"/>
    <w:rsid w:val="005E66C0"/>
    <w:rsid w:val="005F7325"/>
    <w:rsid w:val="00602D58"/>
    <w:rsid w:val="0061224F"/>
    <w:rsid w:val="0061251E"/>
    <w:rsid w:val="00612C66"/>
    <w:rsid w:val="00613D55"/>
    <w:rsid w:val="00620F88"/>
    <w:rsid w:val="0062474A"/>
    <w:rsid w:val="00624928"/>
    <w:rsid w:val="006313C9"/>
    <w:rsid w:val="00634BE4"/>
    <w:rsid w:val="00644B19"/>
    <w:rsid w:val="00647152"/>
    <w:rsid w:val="00647B7A"/>
    <w:rsid w:val="006545F2"/>
    <w:rsid w:val="00654DED"/>
    <w:rsid w:val="00660D0C"/>
    <w:rsid w:val="0066202B"/>
    <w:rsid w:val="00662F4C"/>
    <w:rsid w:val="0066448F"/>
    <w:rsid w:val="00671242"/>
    <w:rsid w:val="00691B1B"/>
    <w:rsid w:val="006946A3"/>
    <w:rsid w:val="00696DE8"/>
    <w:rsid w:val="00697E37"/>
    <w:rsid w:val="006A5619"/>
    <w:rsid w:val="006C1AF5"/>
    <w:rsid w:val="006C5BE4"/>
    <w:rsid w:val="006D1891"/>
    <w:rsid w:val="006D477C"/>
    <w:rsid w:val="006D5901"/>
    <w:rsid w:val="006D6DE1"/>
    <w:rsid w:val="006E409B"/>
    <w:rsid w:val="006F3F9C"/>
    <w:rsid w:val="006F63B9"/>
    <w:rsid w:val="007021CD"/>
    <w:rsid w:val="00702EF8"/>
    <w:rsid w:val="00703FC2"/>
    <w:rsid w:val="00706F46"/>
    <w:rsid w:val="007130CD"/>
    <w:rsid w:val="0071360E"/>
    <w:rsid w:val="00727A26"/>
    <w:rsid w:val="00730EAE"/>
    <w:rsid w:val="00734CCC"/>
    <w:rsid w:val="00735D13"/>
    <w:rsid w:val="00737B5C"/>
    <w:rsid w:val="00737D52"/>
    <w:rsid w:val="007408E5"/>
    <w:rsid w:val="007430C3"/>
    <w:rsid w:val="007457AD"/>
    <w:rsid w:val="007616CB"/>
    <w:rsid w:val="00776E53"/>
    <w:rsid w:val="007919B2"/>
    <w:rsid w:val="0079326D"/>
    <w:rsid w:val="00794088"/>
    <w:rsid w:val="007949B3"/>
    <w:rsid w:val="00795D64"/>
    <w:rsid w:val="0079715C"/>
    <w:rsid w:val="00797B54"/>
    <w:rsid w:val="007A108F"/>
    <w:rsid w:val="007A10ED"/>
    <w:rsid w:val="007A2191"/>
    <w:rsid w:val="007B5EE1"/>
    <w:rsid w:val="007B757D"/>
    <w:rsid w:val="007C569A"/>
    <w:rsid w:val="007D4421"/>
    <w:rsid w:val="007E1101"/>
    <w:rsid w:val="007E235D"/>
    <w:rsid w:val="007E37C1"/>
    <w:rsid w:val="007E393F"/>
    <w:rsid w:val="007E424D"/>
    <w:rsid w:val="007F11E4"/>
    <w:rsid w:val="007F16D7"/>
    <w:rsid w:val="00807614"/>
    <w:rsid w:val="00823BC7"/>
    <w:rsid w:val="00824838"/>
    <w:rsid w:val="00824E60"/>
    <w:rsid w:val="00827503"/>
    <w:rsid w:val="00832622"/>
    <w:rsid w:val="00835439"/>
    <w:rsid w:val="00837502"/>
    <w:rsid w:val="00845AD2"/>
    <w:rsid w:val="008464B0"/>
    <w:rsid w:val="0085288F"/>
    <w:rsid w:val="00852DF7"/>
    <w:rsid w:val="00855523"/>
    <w:rsid w:val="00857AF9"/>
    <w:rsid w:val="008659B1"/>
    <w:rsid w:val="0086774E"/>
    <w:rsid w:val="0087150C"/>
    <w:rsid w:val="0087537A"/>
    <w:rsid w:val="00883733"/>
    <w:rsid w:val="00884035"/>
    <w:rsid w:val="00884662"/>
    <w:rsid w:val="00884E7F"/>
    <w:rsid w:val="00890618"/>
    <w:rsid w:val="008912E7"/>
    <w:rsid w:val="00897E3E"/>
    <w:rsid w:val="008A458C"/>
    <w:rsid w:val="008A536E"/>
    <w:rsid w:val="008A7DB3"/>
    <w:rsid w:val="008B19AA"/>
    <w:rsid w:val="008B5898"/>
    <w:rsid w:val="008B5C7A"/>
    <w:rsid w:val="008C1C1B"/>
    <w:rsid w:val="008D1192"/>
    <w:rsid w:val="008D2DAE"/>
    <w:rsid w:val="008D6057"/>
    <w:rsid w:val="008D66A4"/>
    <w:rsid w:val="008D7C71"/>
    <w:rsid w:val="008E2093"/>
    <w:rsid w:val="008E3967"/>
    <w:rsid w:val="008E5AC0"/>
    <w:rsid w:val="008E69DF"/>
    <w:rsid w:val="008E7E1C"/>
    <w:rsid w:val="008F31C8"/>
    <w:rsid w:val="008F5EDA"/>
    <w:rsid w:val="00900F5E"/>
    <w:rsid w:val="00903751"/>
    <w:rsid w:val="00904875"/>
    <w:rsid w:val="00917C3F"/>
    <w:rsid w:val="00923371"/>
    <w:rsid w:val="009266B0"/>
    <w:rsid w:val="00926B1A"/>
    <w:rsid w:val="0093198F"/>
    <w:rsid w:val="00935676"/>
    <w:rsid w:val="00936567"/>
    <w:rsid w:val="009433E4"/>
    <w:rsid w:val="00944339"/>
    <w:rsid w:val="00947C1B"/>
    <w:rsid w:val="00951A80"/>
    <w:rsid w:val="009525BC"/>
    <w:rsid w:val="009559FE"/>
    <w:rsid w:val="00956FA1"/>
    <w:rsid w:val="00957E49"/>
    <w:rsid w:val="009636E9"/>
    <w:rsid w:val="00967110"/>
    <w:rsid w:val="00984989"/>
    <w:rsid w:val="00987DA9"/>
    <w:rsid w:val="0099046A"/>
    <w:rsid w:val="00991090"/>
    <w:rsid w:val="009934B6"/>
    <w:rsid w:val="00993973"/>
    <w:rsid w:val="009A3A62"/>
    <w:rsid w:val="009A3B31"/>
    <w:rsid w:val="009A3EB8"/>
    <w:rsid w:val="009A7676"/>
    <w:rsid w:val="009B6A4C"/>
    <w:rsid w:val="009C4B8E"/>
    <w:rsid w:val="009C6C77"/>
    <w:rsid w:val="009D4F30"/>
    <w:rsid w:val="009E005D"/>
    <w:rsid w:val="009E1C2D"/>
    <w:rsid w:val="009E5725"/>
    <w:rsid w:val="009E5B1E"/>
    <w:rsid w:val="009F23B4"/>
    <w:rsid w:val="009F7C06"/>
    <w:rsid w:val="00A02AD5"/>
    <w:rsid w:val="00A05AEB"/>
    <w:rsid w:val="00A07F92"/>
    <w:rsid w:val="00A11229"/>
    <w:rsid w:val="00A12749"/>
    <w:rsid w:val="00A14F99"/>
    <w:rsid w:val="00A20C9F"/>
    <w:rsid w:val="00A226DE"/>
    <w:rsid w:val="00A23632"/>
    <w:rsid w:val="00A31F60"/>
    <w:rsid w:val="00A32195"/>
    <w:rsid w:val="00A33182"/>
    <w:rsid w:val="00A40D82"/>
    <w:rsid w:val="00A43C98"/>
    <w:rsid w:val="00A56C67"/>
    <w:rsid w:val="00A655AF"/>
    <w:rsid w:val="00A72901"/>
    <w:rsid w:val="00A74903"/>
    <w:rsid w:val="00A822C3"/>
    <w:rsid w:val="00A86C3D"/>
    <w:rsid w:val="00A87658"/>
    <w:rsid w:val="00A87D3B"/>
    <w:rsid w:val="00A92090"/>
    <w:rsid w:val="00AA0156"/>
    <w:rsid w:val="00AA2BF5"/>
    <w:rsid w:val="00AA464F"/>
    <w:rsid w:val="00AA4A6F"/>
    <w:rsid w:val="00AB046E"/>
    <w:rsid w:val="00AB0DEA"/>
    <w:rsid w:val="00AB255E"/>
    <w:rsid w:val="00AC0F2B"/>
    <w:rsid w:val="00AC56A3"/>
    <w:rsid w:val="00AC6E67"/>
    <w:rsid w:val="00AD0F2F"/>
    <w:rsid w:val="00AD675A"/>
    <w:rsid w:val="00AE0D6C"/>
    <w:rsid w:val="00AE58FF"/>
    <w:rsid w:val="00AF3101"/>
    <w:rsid w:val="00B01A0C"/>
    <w:rsid w:val="00B02EBF"/>
    <w:rsid w:val="00B04290"/>
    <w:rsid w:val="00B14ED5"/>
    <w:rsid w:val="00B21CD9"/>
    <w:rsid w:val="00B32E98"/>
    <w:rsid w:val="00B377D1"/>
    <w:rsid w:val="00B45BD3"/>
    <w:rsid w:val="00B45BF3"/>
    <w:rsid w:val="00B468A7"/>
    <w:rsid w:val="00B56DA9"/>
    <w:rsid w:val="00B57335"/>
    <w:rsid w:val="00B61FEE"/>
    <w:rsid w:val="00B66DAC"/>
    <w:rsid w:val="00B70806"/>
    <w:rsid w:val="00B70BEC"/>
    <w:rsid w:val="00B812D6"/>
    <w:rsid w:val="00B81AE5"/>
    <w:rsid w:val="00B829CD"/>
    <w:rsid w:val="00B858A9"/>
    <w:rsid w:val="00B909BE"/>
    <w:rsid w:val="00B973D4"/>
    <w:rsid w:val="00B97F42"/>
    <w:rsid w:val="00BA1015"/>
    <w:rsid w:val="00BA4FCD"/>
    <w:rsid w:val="00BA7113"/>
    <w:rsid w:val="00BA7FC2"/>
    <w:rsid w:val="00BB3275"/>
    <w:rsid w:val="00BB5412"/>
    <w:rsid w:val="00BD241C"/>
    <w:rsid w:val="00BD6342"/>
    <w:rsid w:val="00BD69D1"/>
    <w:rsid w:val="00BE2922"/>
    <w:rsid w:val="00BE3AC8"/>
    <w:rsid w:val="00BF03AB"/>
    <w:rsid w:val="00C036A9"/>
    <w:rsid w:val="00C04C7F"/>
    <w:rsid w:val="00C06CA9"/>
    <w:rsid w:val="00C1040D"/>
    <w:rsid w:val="00C45194"/>
    <w:rsid w:val="00C47213"/>
    <w:rsid w:val="00C53A54"/>
    <w:rsid w:val="00C546ED"/>
    <w:rsid w:val="00C57343"/>
    <w:rsid w:val="00C57E02"/>
    <w:rsid w:val="00C62078"/>
    <w:rsid w:val="00C6212C"/>
    <w:rsid w:val="00C6482F"/>
    <w:rsid w:val="00C71C8B"/>
    <w:rsid w:val="00C758CD"/>
    <w:rsid w:val="00C76D41"/>
    <w:rsid w:val="00C81EFF"/>
    <w:rsid w:val="00C8711E"/>
    <w:rsid w:val="00C932BD"/>
    <w:rsid w:val="00CA2007"/>
    <w:rsid w:val="00CA2BFA"/>
    <w:rsid w:val="00CA5016"/>
    <w:rsid w:val="00CB4F97"/>
    <w:rsid w:val="00CB5865"/>
    <w:rsid w:val="00CC36B6"/>
    <w:rsid w:val="00CC434B"/>
    <w:rsid w:val="00CC5ADD"/>
    <w:rsid w:val="00CD01B3"/>
    <w:rsid w:val="00CD2B73"/>
    <w:rsid w:val="00CD773E"/>
    <w:rsid w:val="00CE73CA"/>
    <w:rsid w:val="00CF4DE4"/>
    <w:rsid w:val="00CF7767"/>
    <w:rsid w:val="00D11DAE"/>
    <w:rsid w:val="00D11F8C"/>
    <w:rsid w:val="00D170B5"/>
    <w:rsid w:val="00D20C58"/>
    <w:rsid w:val="00D222D7"/>
    <w:rsid w:val="00D2529D"/>
    <w:rsid w:val="00D328CC"/>
    <w:rsid w:val="00D34B21"/>
    <w:rsid w:val="00D47C27"/>
    <w:rsid w:val="00D50D2B"/>
    <w:rsid w:val="00D653D6"/>
    <w:rsid w:val="00D776B9"/>
    <w:rsid w:val="00D77E92"/>
    <w:rsid w:val="00D80760"/>
    <w:rsid w:val="00D80ABF"/>
    <w:rsid w:val="00D81FBA"/>
    <w:rsid w:val="00D95F08"/>
    <w:rsid w:val="00D9680A"/>
    <w:rsid w:val="00DA2B1E"/>
    <w:rsid w:val="00DA3251"/>
    <w:rsid w:val="00DB4AB7"/>
    <w:rsid w:val="00DC0DF3"/>
    <w:rsid w:val="00DC35C7"/>
    <w:rsid w:val="00DC6F57"/>
    <w:rsid w:val="00DE10B8"/>
    <w:rsid w:val="00DE2D6E"/>
    <w:rsid w:val="00DE31DA"/>
    <w:rsid w:val="00DE5EA1"/>
    <w:rsid w:val="00DF0131"/>
    <w:rsid w:val="00DF2986"/>
    <w:rsid w:val="00DF2B51"/>
    <w:rsid w:val="00DF476A"/>
    <w:rsid w:val="00DF7376"/>
    <w:rsid w:val="00E07F95"/>
    <w:rsid w:val="00E10522"/>
    <w:rsid w:val="00E10665"/>
    <w:rsid w:val="00E1231D"/>
    <w:rsid w:val="00E20DCE"/>
    <w:rsid w:val="00E309AF"/>
    <w:rsid w:val="00E32D88"/>
    <w:rsid w:val="00E35E5D"/>
    <w:rsid w:val="00E5306C"/>
    <w:rsid w:val="00E53A85"/>
    <w:rsid w:val="00E62D3A"/>
    <w:rsid w:val="00E70521"/>
    <w:rsid w:val="00E72CCE"/>
    <w:rsid w:val="00E83260"/>
    <w:rsid w:val="00E85936"/>
    <w:rsid w:val="00E946CC"/>
    <w:rsid w:val="00EA25F3"/>
    <w:rsid w:val="00EB24F2"/>
    <w:rsid w:val="00EB69C6"/>
    <w:rsid w:val="00EC2FB4"/>
    <w:rsid w:val="00EC4C04"/>
    <w:rsid w:val="00ED1CF5"/>
    <w:rsid w:val="00ED3F40"/>
    <w:rsid w:val="00EE045D"/>
    <w:rsid w:val="00EE1AFC"/>
    <w:rsid w:val="00EE5832"/>
    <w:rsid w:val="00EE6866"/>
    <w:rsid w:val="00EF0F53"/>
    <w:rsid w:val="00EF4CA4"/>
    <w:rsid w:val="00EF68CC"/>
    <w:rsid w:val="00F0452A"/>
    <w:rsid w:val="00F062C1"/>
    <w:rsid w:val="00F07201"/>
    <w:rsid w:val="00F073E9"/>
    <w:rsid w:val="00F26031"/>
    <w:rsid w:val="00F275ED"/>
    <w:rsid w:val="00F346C1"/>
    <w:rsid w:val="00F34A23"/>
    <w:rsid w:val="00F3785E"/>
    <w:rsid w:val="00F439F5"/>
    <w:rsid w:val="00F62F93"/>
    <w:rsid w:val="00F700A8"/>
    <w:rsid w:val="00F70B62"/>
    <w:rsid w:val="00F71336"/>
    <w:rsid w:val="00F72AD6"/>
    <w:rsid w:val="00F82C82"/>
    <w:rsid w:val="00F84FA6"/>
    <w:rsid w:val="00F868A8"/>
    <w:rsid w:val="00F874B8"/>
    <w:rsid w:val="00F92897"/>
    <w:rsid w:val="00FB2FDB"/>
    <w:rsid w:val="00FE0EE0"/>
    <w:rsid w:val="00FE2F87"/>
    <w:rsid w:val="00FE4544"/>
    <w:rsid w:val="00FE62B8"/>
    <w:rsid w:val="00FF0297"/>
    <w:rsid w:val="00FF3409"/>
    <w:rsid w:val="00FF40CB"/>
    <w:rsid w:val="00FF4779"/>
    <w:rsid w:val="00FF75BA"/>
    <w:rsid w:val="00FF7E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866"/>
  </w:style>
  <w:style w:type="character" w:styleId="Hyperlink">
    <w:name w:val="Hyperlink"/>
    <w:basedOn w:val="DefaultParagraphFont"/>
    <w:uiPriority w:val="99"/>
    <w:unhideWhenUsed/>
    <w:rsid w:val="00EE6866"/>
    <w:rPr>
      <w:color w:val="0000FF"/>
      <w:u w:val="single"/>
    </w:rPr>
  </w:style>
  <w:style w:type="paragraph" w:styleId="ListParagraph">
    <w:name w:val="List Paragraph"/>
    <w:basedOn w:val="Normal"/>
    <w:uiPriority w:val="34"/>
    <w:qFormat/>
    <w:rsid w:val="00FF7EC8"/>
    <w:pPr>
      <w:ind w:left="720"/>
      <w:contextualSpacing/>
    </w:pPr>
  </w:style>
  <w:style w:type="paragraph" w:styleId="BalloonText">
    <w:name w:val="Balloon Text"/>
    <w:basedOn w:val="Normal"/>
    <w:link w:val="BalloonTextChar"/>
    <w:uiPriority w:val="99"/>
    <w:semiHidden/>
    <w:unhideWhenUsed/>
    <w:rsid w:val="00CD2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73"/>
    <w:rPr>
      <w:rFonts w:ascii="Segoe UI" w:hAnsi="Segoe UI" w:cs="Segoe UI"/>
      <w:sz w:val="18"/>
      <w:szCs w:val="18"/>
    </w:rPr>
  </w:style>
  <w:style w:type="paragraph" w:styleId="Header">
    <w:name w:val="header"/>
    <w:basedOn w:val="Normal"/>
    <w:link w:val="HeaderChar"/>
    <w:uiPriority w:val="99"/>
    <w:unhideWhenUsed/>
    <w:rsid w:val="00824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838"/>
  </w:style>
  <w:style w:type="paragraph" w:styleId="Footer">
    <w:name w:val="footer"/>
    <w:basedOn w:val="Normal"/>
    <w:link w:val="FooterChar"/>
    <w:uiPriority w:val="99"/>
    <w:unhideWhenUsed/>
    <w:rsid w:val="00824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838"/>
  </w:style>
  <w:style w:type="character" w:styleId="CommentReference">
    <w:name w:val="annotation reference"/>
    <w:basedOn w:val="DefaultParagraphFont"/>
    <w:uiPriority w:val="99"/>
    <w:semiHidden/>
    <w:unhideWhenUsed/>
    <w:rsid w:val="00935676"/>
    <w:rPr>
      <w:sz w:val="16"/>
      <w:szCs w:val="16"/>
    </w:rPr>
  </w:style>
  <w:style w:type="paragraph" w:styleId="CommentText">
    <w:name w:val="annotation text"/>
    <w:basedOn w:val="Normal"/>
    <w:link w:val="CommentTextChar"/>
    <w:uiPriority w:val="99"/>
    <w:semiHidden/>
    <w:unhideWhenUsed/>
    <w:rsid w:val="00935676"/>
    <w:pPr>
      <w:spacing w:line="240" w:lineRule="auto"/>
    </w:pPr>
    <w:rPr>
      <w:sz w:val="20"/>
      <w:szCs w:val="20"/>
    </w:rPr>
  </w:style>
  <w:style w:type="character" w:customStyle="1" w:styleId="CommentTextChar">
    <w:name w:val="Comment Text Char"/>
    <w:basedOn w:val="DefaultParagraphFont"/>
    <w:link w:val="CommentText"/>
    <w:uiPriority w:val="99"/>
    <w:semiHidden/>
    <w:rsid w:val="00935676"/>
    <w:rPr>
      <w:sz w:val="20"/>
      <w:szCs w:val="20"/>
    </w:rPr>
  </w:style>
  <w:style w:type="paragraph" w:styleId="CommentSubject">
    <w:name w:val="annotation subject"/>
    <w:basedOn w:val="CommentText"/>
    <w:next w:val="CommentText"/>
    <w:link w:val="CommentSubjectChar"/>
    <w:uiPriority w:val="99"/>
    <w:semiHidden/>
    <w:unhideWhenUsed/>
    <w:rsid w:val="00935676"/>
    <w:rPr>
      <w:b/>
      <w:bCs/>
    </w:rPr>
  </w:style>
  <w:style w:type="character" w:customStyle="1" w:styleId="CommentSubjectChar">
    <w:name w:val="Comment Subject Char"/>
    <w:basedOn w:val="CommentTextChar"/>
    <w:link w:val="CommentSubject"/>
    <w:uiPriority w:val="99"/>
    <w:semiHidden/>
    <w:rsid w:val="00935676"/>
    <w:rPr>
      <w:b/>
      <w:bCs/>
      <w:sz w:val="20"/>
      <w:szCs w:val="20"/>
    </w:rPr>
  </w:style>
  <w:style w:type="paragraph" w:styleId="Revision">
    <w:name w:val="Revision"/>
    <w:hidden/>
    <w:uiPriority w:val="99"/>
    <w:semiHidden/>
    <w:rsid w:val="00E72CCE"/>
    <w:pPr>
      <w:spacing w:after="0" w:line="240" w:lineRule="auto"/>
    </w:pPr>
  </w:style>
</w:styles>
</file>

<file path=word/webSettings.xml><?xml version="1.0" encoding="utf-8"?>
<w:webSettings xmlns:r="http://schemas.openxmlformats.org/officeDocument/2006/relationships" xmlns:w="http://schemas.openxmlformats.org/wordprocessingml/2006/main">
  <w:divs>
    <w:div w:id="2044598886">
      <w:bodyDiv w:val="1"/>
      <w:marLeft w:val="0"/>
      <w:marRight w:val="0"/>
      <w:marTop w:val="0"/>
      <w:marBottom w:val="0"/>
      <w:divBdr>
        <w:top w:val="none" w:sz="0" w:space="0" w:color="auto"/>
        <w:left w:val="none" w:sz="0" w:space="0" w:color="auto"/>
        <w:bottom w:val="none" w:sz="0" w:space="0" w:color="auto"/>
        <w:right w:val="none" w:sz="0" w:space="0" w:color="auto"/>
      </w:divBdr>
      <w:divsChild>
        <w:div w:id="2010592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4910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0204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edcare.health.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4632</Words>
  <Characters>26408</Characters>
  <Application>Microsoft Office Word</Application>
  <DocSecurity>0</DocSecurity>
  <Lines>220</Lines>
  <Paragraphs>61</Paragraphs>
  <ScaleCrop>false</ScaleCrop>
  <LinksUpToDate>false</LinksUpToDate>
  <CharactersWithSpaces>30979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2017-03-01T06:27:00Z</dcterms:created>
  <dcterms:modified xsi:type="dcterms:W3CDTF">2017-03-01T06:27:00Z</dcterms:modified>
</cp:coreProperties>
</file>