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7D" w:rsidRPr="001F6E7B" w:rsidRDefault="00171E74" w:rsidP="00C41272">
      <w:pPr>
        <w:tabs>
          <w:tab w:val="center" w:pos="4819"/>
        </w:tabs>
        <w:ind w:left="720" w:right="708"/>
        <w:jc w:val="both"/>
        <w:rPr>
          <w:rFonts w:ascii="Arial" w:hAnsi="Arial" w:cs="Arial"/>
          <w:sz w:val="22"/>
          <w:szCs w:val="22"/>
        </w:rPr>
      </w:pPr>
      <w:r w:rsidRPr="001F6E7B">
        <w:rPr>
          <w:rFonts w:ascii="Arial" w:hAnsi="Arial" w:cs="Arial"/>
          <w:sz w:val="22"/>
          <w:szCs w:val="22"/>
        </w:rPr>
        <w:t>The Executive Director</w:t>
      </w:r>
    </w:p>
    <w:p w:rsidR="00171E74" w:rsidRPr="001F6E7B" w:rsidRDefault="00171E74" w:rsidP="00C41272">
      <w:pPr>
        <w:tabs>
          <w:tab w:val="center" w:pos="4819"/>
        </w:tabs>
        <w:ind w:left="720" w:right="708"/>
        <w:jc w:val="both"/>
        <w:rPr>
          <w:rFonts w:ascii="Arial" w:hAnsi="Arial" w:cs="Arial"/>
          <w:sz w:val="22"/>
          <w:szCs w:val="22"/>
        </w:rPr>
      </w:pPr>
      <w:r w:rsidRPr="001F6E7B">
        <w:rPr>
          <w:rFonts w:ascii="Arial" w:hAnsi="Arial" w:cs="Arial"/>
          <w:sz w:val="22"/>
          <w:szCs w:val="22"/>
        </w:rPr>
        <w:t>Australian Law Reform Commission</w:t>
      </w:r>
    </w:p>
    <w:p w:rsidR="00171E74" w:rsidRPr="001F6E7B" w:rsidRDefault="00171E74" w:rsidP="00C41272">
      <w:pPr>
        <w:tabs>
          <w:tab w:val="center" w:pos="4819"/>
        </w:tabs>
        <w:ind w:left="720" w:right="708"/>
        <w:jc w:val="both"/>
        <w:rPr>
          <w:rFonts w:ascii="Arial" w:hAnsi="Arial" w:cs="Arial"/>
          <w:sz w:val="22"/>
          <w:szCs w:val="22"/>
        </w:rPr>
      </w:pPr>
      <w:r w:rsidRPr="001F6E7B">
        <w:rPr>
          <w:rFonts w:ascii="Arial" w:hAnsi="Arial" w:cs="Arial"/>
          <w:sz w:val="22"/>
          <w:szCs w:val="22"/>
        </w:rPr>
        <w:t>GPO Box 3078</w:t>
      </w:r>
    </w:p>
    <w:p w:rsidR="00171E74" w:rsidRPr="001F6E7B" w:rsidRDefault="00171E74" w:rsidP="00C41272">
      <w:pPr>
        <w:tabs>
          <w:tab w:val="center" w:pos="4819"/>
        </w:tabs>
        <w:ind w:left="720" w:right="708"/>
        <w:jc w:val="both"/>
        <w:rPr>
          <w:rFonts w:ascii="Arial" w:hAnsi="Arial" w:cs="Arial"/>
          <w:sz w:val="22"/>
          <w:szCs w:val="22"/>
        </w:rPr>
      </w:pPr>
      <w:r w:rsidRPr="001F6E7B">
        <w:rPr>
          <w:rFonts w:ascii="Arial" w:hAnsi="Arial" w:cs="Arial"/>
          <w:sz w:val="22"/>
          <w:szCs w:val="22"/>
        </w:rPr>
        <w:t>SYDNEY  NSW  2001</w:t>
      </w:r>
    </w:p>
    <w:p w:rsidR="00D9797D" w:rsidRPr="001F6E7B" w:rsidRDefault="00D9797D" w:rsidP="00C41272">
      <w:pPr>
        <w:tabs>
          <w:tab w:val="center" w:pos="4819"/>
        </w:tabs>
        <w:ind w:left="720" w:right="708"/>
        <w:jc w:val="both"/>
        <w:rPr>
          <w:rFonts w:ascii="Arial" w:hAnsi="Arial" w:cs="Arial"/>
          <w:sz w:val="22"/>
          <w:szCs w:val="22"/>
        </w:rPr>
      </w:pPr>
    </w:p>
    <w:p w:rsidR="005A1EC5" w:rsidRPr="001F6E7B" w:rsidRDefault="005A1EC5" w:rsidP="00C41272">
      <w:pPr>
        <w:tabs>
          <w:tab w:val="center" w:pos="4819"/>
        </w:tabs>
        <w:ind w:left="720" w:right="708"/>
        <w:jc w:val="both"/>
        <w:rPr>
          <w:rFonts w:ascii="Arial" w:hAnsi="Arial" w:cs="Arial"/>
          <w:sz w:val="22"/>
          <w:szCs w:val="22"/>
        </w:rPr>
      </w:pPr>
    </w:p>
    <w:p w:rsidR="00D9797D" w:rsidRPr="001F6E7B" w:rsidRDefault="00171E74" w:rsidP="00C41272">
      <w:pPr>
        <w:tabs>
          <w:tab w:val="center" w:pos="4819"/>
        </w:tabs>
        <w:ind w:left="720" w:right="708"/>
        <w:jc w:val="both"/>
        <w:rPr>
          <w:rFonts w:ascii="Arial" w:hAnsi="Arial" w:cs="Arial"/>
          <w:sz w:val="22"/>
          <w:szCs w:val="22"/>
        </w:rPr>
      </w:pPr>
      <w:r w:rsidRPr="001F6E7B">
        <w:rPr>
          <w:rFonts w:ascii="Arial" w:hAnsi="Arial" w:cs="Arial"/>
          <w:sz w:val="22"/>
          <w:szCs w:val="22"/>
        </w:rPr>
        <w:t>27</w:t>
      </w:r>
      <w:r w:rsidR="00D9797D" w:rsidRPr="001F6E7B">
        <w:rPr>
          <w:rFonts w:ascii="Arial" w:hAnsi="Arial" w:cs="Arial"/>
          <w:sz w:val="22"/>
          <w:szCs w:val="22"/>
        </w:rPr>
        <w:t xml:space="preserve"> February 2017</w:t>
      </w:r>
    </w:p>
    <w:p w:rsidR="00D9797D" w:rsidRPr="001F6E7B" w:rsidRDefault="00D9797D" w:rsidP="00C41272">
      <w:pPr>
        <w:tabs>
          <w:tab w:val="center" w:pos="4819"/>
        </w:tabs>
        <w:ind w:left="720" w:right="708"/>
        <w:jc w:val="both"/>
        <w:rPr>
          <w:rFonts w:ascii="Arial" w:hAnsi="Arial" w:cs="Arial"/>
          <w:sz w:val="22"/>
          <w:szCs w:val="22"/>
        </w:rPr>
      </w:pPr>
    </w:p>
    <w:p w:rsidR="00FD2356" w:rsidRPr="001F6E7B" w:rsidRDefault="00FD2356" w:rsidP="00C41272">
      <w:pPr>
        <w:tabs>
          <w:tab w:val="center" w:pos="4819"/>
        </w:tabs>
        <w:ind w:left="720" w:right="708"/>
        <w:jc w:val="both"/>
        <w:rPr>
          <w:rFonts w:ascii="Arial" w:hAnsi="Arial" w:cs="Arial"/>
          <w:sz w:val="22"/>
          <w:szCs w:val="22"/>
        </w:rPr>
      </w:pPr>
    </w:p>
    <w:p w:rsidR="00FD2356" w:rsidRPr="001F6E7B" w:rsidRDefault="00FD2356" w:rsidP="00C41272">
      <w:pPr>
        <w:tabs>
          <w:tab w:val="center" w:pos="4819"/>
        </w:tabs>
        <w:ind w:left="720" w:right="708"/>
        <w:jc w:val="both"/>
        <w:rPr>
          <w:rFonts w:ascii="Arial" w:hAnsi="Arial" w:cs="Arial"/>
          <w:b/>
          <w:sz w:val="22"/>
          <w:szCs w:val="22"/>
        </w:rPr>
      </w:pPr>
      <w:r w:rsidRPr="001F6E7B">
        <w:rPr>
          <w:rFonts w:ascii="Arial" w:hAnsi="Arial" w:cs="Arial"/>
          <w:b/>
          <w:sz w:val="22"/>
          <w:szCs w:val="22"/>
        </w:rPr>
        <w:t xml:space="preserve">By Email: </w:t>
      </w:r>
      <w:hyperlink r:id="rId8" w:history="1">
        <w:r w:rsidR="00171E74" w:rsidRPr="001F6E7B">
          <w:rPr>
            <w:rStyle w:val="Hyperlink"/>
            <w:rFonts w:ascii="Arial" w:hAnsi="Arial" w:cs="Arial"/>
            <w:b/>
            <w:sz w:val="22"/>
            <w:szCs w:val="22"/>
          </w:rPr>
          <w:t>elder_abuse@alrc.gov.au</w:t>
        </w:r>
      </w:hyperlink>
      <w:r w:rsidR="00171E74" w:rsidRPr="001F6E7B">
        <w:rPr>
          <w:rFonts w:ascii="Arial" w:hAnsi="Arial" w:cs="Arial"/>
          <w:b/>
          <w:sz w:val="22"/>
          <w:szCs w:val="22"/>
        </w:rPr>
        <w:t xml:space="preserve"> </w:t>
      </w:r>
      <w:r w:rsidRPr="001F6E7B">
        <w:rPr>
          <w:rFonts w:ascii="Arial" w:hAnsi="Arial" w:cs="Arial"/>
          <w:b/>
          <w:sz w:val="22"/>
          <w:szCs w:val="22"/>
        </w:rPr>
        <w:t xml:space="preserve"> </w:t>
      </w:r>
    </w:p>
    <w:p w:rsidR="00FD2356" w:rsidRPr="001F6E7B" w:rsidRDefault="00FD2356" w:rsidP="00C41272">
      <w:pPr>
        <w:tabs>
          <w:tab w:val="center" w:pos="4819"/>
        </w:tabs>
        <w:ind w:left="720" w:right="708"/>
        <w:jc w:val="both"/>
        <w:rPr>
          <w:rFonts w:ascii="Arial" w:hAnsi="Arial" w:cs="Arial"/>
          <w:sz w:val="22"/>
          <w:szCs w:val="22"/>
        </w:rPr>
      </w:pPr>
    </w:p>
    <w:p w:rsidR="00D9797D" w:rsidRPr="001F6E7B" w:rsidRDefault="00D9797D" w:rsidP="00C41272">
      <w:pPr>
        <w:tabs>
          <w:tab w:val="center" w:pos="4819"/>
        </w:tabs>
        <w:ind w:left="720" w:right="708"/>
        <w:jc w:val="both"/>
        <w:rPr>
          <w:rFonts w:ascii="Arial" w:hAnsi="Arial" w:cs="Arial"/>
          <w:sz w:val="22"/>
          <w:szCs w:val="22"/>
        </w:rPr>
      </w:pPr>
    </w:p>
    <w:p w:rsidR="00A17105" w:rsidRPr="001F6E7B" w:rsidRDefault="00171E74" w:rsidP="00C41272">
      <w:pPr>
        <w:tabs>
          <w:tab w:val="center" w:pos="4819"/>
        </w:tabs>
        <w:ind w:left="720" w:right="708"/>
        <w:jc w:val="both"/>
        <w:rPr>
          <w:rFonts w:ascii="Arial" w:hAnsi="Arial" w:cs="Arial"/>
          <w:b/>
          <w:sz w:val="22"/>
          <w:szCs w:val="22"/>
        </w:rPr>
      </w:pPr>
      <w:r w:rsidRPr="001F6E7B">
        <w:rPr>
          <w:rFonts w:ascii="Arial" w:hAnsi="Arial" w:cs="Arial"/>
          <w:b/>
          <w:sz w:val="22"/>
          <w:szCs w:val="22"/>
        </w:rPr>
        <w:t>Discussion Paper 83 (DP 83) – Elder Abuse</w:t>
      </w:r>
    </w:p>
    <w:p w:rsidR="00DC3A3F" w:rsidRPr="001F6E7B" w:rsidRDefault="00DC3A3F" w:rsidP="00C41272">
      <w:pPr>
        <w:tabs>
          <w:tab w:val="center" w:pos="4819"/>
        </w:tabs>
        <w:ind w:left="720" w:right="708"/>
        <w:jc w:val="both"/>
        <w:rPr>
          <w:rFonts w:ascii="Arial" w:hAnsi="Arial" w:cs="Arial"/>
          <w:sz w:val="22"/>
          <w:szCs w:val="22"/>
        </w:rPr>
      </w:pPr>
    </w:p>
    <w:p w:rsidR="00D9797D" w:rsidRPr="001F6E7B" w:rsidRDefault="00D9797D" w:rsidP="00C41272">
      <w:pPr>
        <w:pStyle w:val="LDStandardBodyText"/>
        <w:numPr>
          <w:ilvl w:val="0"/>
          <w:numId w:val="3"/>
        </w:numPr>
        <w:ind w:left="1560" w:right="708" w:hanging="851"/>
        <w:rPr>
          <w:rFonts w:cs="Arial"/>
          <w:b/>
          <w:szCs w:val="22"/>
        </w:rPr>
      </w:pPr>
      <w:r w:rsidRPr="001F6E7B">
        <w:rPr>
          <w:rFonts w:cs="Arial"/>
          <w:b/>
          <w:szCs w:val="22"/>
        </w:rPr>
        <w:t>Background</w:t>
      </w:r>
    </w:p>
    <w:p w:rsidR="00D9797D" w:rsidRPr="001F6E7B" w:rsidRDefault="004C3795"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Hamilton Blackstone Lawyers</w:t>
      </w:r>
      <w:r w:rsidR="00D9797D" w:rsidRPr="001F6E7B">
        <w:rPr>
          <w:rFonts w:ascii="Arial" w:hAnsi="Arial" w:cs="Arial"/>
          <w:sz w:val="22"/>
          <w:szCs w:val="22"/>
        </w:rPr>
        <w:t xml:space="preserve"> refer</w:t>
      </w:r>
      <w:r>
        <w:rPr>
          <w:rFonts w:ascii="Arial" w:hAnsi="Arial" w:cs="Arial"/>
          <w:sz w:val="22"/>
          <w:szCs w:val="22"/>
        </w:rPr>
        <w:t>s</w:t>
      </w:r>
      <w:r w:rsidR="00D9797D" w:rsidRPr="001F6E7B">
        <w:rPr>
          <w:rFonts w:ascii="Arial" w:hAnsi="Arial" w:cs="Arial"/>
          <w:sz w:val="22"/>
          <w:szCs w:val="22"/>
        </w:rPr>
        <w:t xml:space="preserve"> to </w:t>
      </w:r>
      <w:r w:rsidR="00105A49" w:rsidRPr="001F6E7B">
        <w:rPr>
          <w:rFonts w:ascii="Arial" w:hAnsi="Arial" w:cs="Arial"/>
          <w:sz w:val="22"/>
          <w:szCs w:val="22"/>
        </w:rPr>
        <w:t>the Australian Law Reform Commission (</w:t>
      </w:r>
      <w:r w:rsidR="00105A49" w:rsidRPr="001F6E7B">
        <w:rPr>
          <w:rFonts w:ascii="Arial" w:hAnsi="Arial" w:cs="Arial"/>
          <w:b/>
          <w:sz w:val="22"/>
          <w:szCs w:val="22"/>
        </w:rPr>
        <w:t>ALRC</w:t>
      </w:r>
      <w:r w:rsidR="00105A49" w:rsidRPr="001F6E7B">
        <w:rPr>
          <w:rFonts w:ascii="Arial" w:hAnsi="Arial" w:cs="Arial"/>
          <w:sz w:val="22"/>
          <w:szCs w:val="22"/>
        </w:rPr>
        <w:t xml:space="preserve">) </w:t>
      </w:r>
      <w:r w:rsidR="00105A49" w:rsidRPr="004C3795">
        <w:rPr>
          <w:rFonts w:ascii="Arial" w:hAnsi="Arial" w:cs="Arial"/>
          <w:i/>
          <w:sz w:val="22"/>
          <w:szCs w:val="22"/>
        </w:rPr>
        <w:t>Discussion Paper 83 – Elder Abuse</w:t>
      </w:r>
      <w:r w:rsidR="00105A49" w:rsidRPr="001F6E7B">
        <w:rPr>
          <w:rFonts w:ascii="Arial" w:hAnsi="Arial" w:cs="Arial"/>
          <w:sz w:val="22"/>
          <w:szCs w:val="22"/>
        </w:rPr>
        <w:t xml:space="preserve"> (</w:t>
      </w:r>
      <w:r w:rsidR="00105A49" w:rsidRPr="001F6E7B">
        <w:rPr>
          <w:rFonts w:ascii="Arial" w:hAnsi="Arial" w:cs="Arial"/>
          <w:b/>
          <w:sz w:val="22"/>
          <w:szCs w:val="22"/>
        </w:rPr>
        <w:t>DP 83</w:t>
      </w:r>
      <w:r w:rsidR="00105A49" w:rsidRPr="001F6E7B">
        <w:rPr>
          <w:rFonts w:ascii="Arial" w:hAnsi="Arial" w:cs="Arial"/>
          <w:sz w:val="22"/>
          <w:szCs w:val="22"/>
        </w:rPr>
        <w:t>)</w:t>
      </w:r>
      <w:r w:rsidR="00D9797D" w:rsidRPr="001F6E7B">
        <w:rPr>
          <w:rFonts w:ascii="Arial" w:hAnsi="Arial" w:cs="Arial"/>
          <w:sz w:val="22"/>
          <w:szCs w:val="22"/>
        </w:rPr>
        <w:t>.</w:t>
      </w:r>
      <w:r w:rsidR="00105A49" w:rsidRPr="001F6E7B">
        <w:rPr>
          <w:rFonts w:ascii="Arial" w:hAnsi="Arial" w:cs="Arial"/>
          <w:sz w:val="22"/>
          <w:szCs w:val="22"/>
        </w:rPr>
        <w:t xml:space="preserve"> </w:t>
      </w:r>
      <w:r>
        <w:rPr>
          <w:rFonts w:ascii="Arial" w:hAnsi="Arial" w:cs="Arial"/>
          <w:sz w:val="22"/>
          <w:szCs w:val="22"/>
        </w:rPr>
        <w:t>We</w:t>
      </w:r>
      <w:r w:rsidR="00105A49" w:rsidRPr="001F6E7B">
        <w:rPr>
          <w:rFonts w:ascii="Arial" w:hAnsi="Arial" w:cs="Arial"/>
          <w:sz w:val="22"/>
          <w:szCs w:val="22"/>
        </w:rPr>
        <w:t xml:space="preserve"> welcome the opportunity to contribute to this important area of law and public policy</w:t>
      </w:r>
      <w:r w:rsidR="00DC2317">
        <w:rPr>
          <w:rFonts w:ascii="Arial" w:hAnsi="Arial" w:cs="Arial"/>
          <w:sz w:val="22"/>
          <w:szCs w:val="22"/>
        </w:rPr>
        <w:t xml:space="preserve">, and thank the ALRC for the </w:t>
      </w:r>
      <w:r w:rsidR="00E06406">
        <w:rPr>
          <w:rFonts w:ascii="Arial" w:hAnsi="Arial" w:cs="Arial"/>
          <w:sz w:val="22"/>
          <w:szCs w:val="22"/>
        </w:rPr>
        <w:t xml:space="preserve">crucial </w:t>
      </w:r>
      <w:r w:rsidR="00DC2317">
        <w:rPr>
          <w:rFonts w:ascii="Arial" w:hAnsi="Arial" w:cs="Arial"/>
          <w:sz w:val="22"/>
          <w:szCs w:val="22"/>
        </w:rPr>
        <w:t>work it has performed to date in this area</w:t>
      </w:r>
      <w:r w:rsidR="0014586C" w:rsidRPr="001F6E7B">
        <w:rPr>
          <w:rFonts w:ascii="Arial" w:hAnsi="Arial" w:cs="Arial"/>
          <w:sz w:val="22"/>
          <w:szCs w:val="22"/>
        </w:rPr>
        <w:t>.</w:t>
      </w:r>
    </w:p>
    <w:p w:rsidR="00D9797D" w:rsidRPr="001F6E7B" w:rsidRDefault="00D9797D" w:rsidP="00C41272">
      <w:pPr>
        <w:pStyle w:val="ListParagraph"/>
        <w:tabs>
          <w:tab w:val="center" w:pos="4819"/>
        </w:tabs>
        <w:ind w:left="1560" w:right="708"/>
        <w:jc w:val="both"/>
        <w:rPr>
          <w:rFonts w:ascii="Arial" w:hAnsi="Arial" w:cs="Arial"/>
          <w:sz w:val="22"/>
          <w:szCs w:val="22"/>
        </w:rPr>
      </w:pPr>
    </w:p>
    <w:p w:rsidR="00AD0544" w:rsidRPr="001F6E7B" w:rsidRDefault="00AD0544" w:rsidP="00C41272">
      <w:pPr>
        <w:pStyle w:val="LDStandardBodyText"/>
        <w:numPr>
          <w:ilvl w:val="0"/>
          <w:numId w:val="3"/>
        </w:numPr>
        <w:ind w:left="1560" w:right="708" w:hanging="851"/>
        <w:rPr>
          <w:rFonts w:cs="Arial"/>
          <w:b/>
          <w:szCs w:val="22"/>
        </w:rPr>
      </w:pPr>
      <w:r w:rsidRPr="001F6E7B">
        <w:rPr>
          <w:rFonts w:cs="Arial"/>
          <w:b/>
          <w:szCs w:val="22"/>
        </w:rPr>
        <w:t>Submission</w:t>
      </w:r>
    </w:p>
    <w:p w:rsidR="00AD0544" w:rsidRPr="001F6E7B" w:rsidRDefault="00AD0544" w:rsidP="00C41272">
      <w:pPr>
        <w:pStyle w:val="ListParagraph"/>
        <w:numPr>
          <w:ilvl w:val="0"/>
          <w:numId w:val="2"/>
        </w:numPr>
        <w:tabs>
          <w:tab w:val="center" w:pos="4819"/>
        </w:tabs>
        <w:ind w:right="708"/>
        <w:jc w:val="both"/>
        <w:rPr>
          <w:rFonts w:ascii="Arial" w:hAnsi="Arial" w:cs="Arial"/>
          <w:bCs/>
          <w:vanish/>
          <w:sz w:val="22"/>
          <w:szCs w:val="22"/>
        </w:rPr>
      </w:pPr>
    </w:p>
    <w:p w:rsidR="00AD0544" w:rsidRPr="001F6E7B" w:rsidRDefault="00633A82" w:rsidP="00C41272">
      <w:pPr>
        <w:pStyle w:val="ListParagraph"/>
        <w:numPr>
          <w:ilvl w:val="1"/>
          <w:numId w:val="2"/>
        </w:numPr>
        <w:tabs>
          <w:tab w:val="center" w:pos="4819"/>
        </w:tabs>
        <w:ind w:left="1560" w:right="708" w:hanging="851"/>
        <w:jc w:val="both"/>
        <w:rPr>
          <w:rFonts w:ascii="Arial" w:hAnsi="Arial" w:cs="Arial"/>
          <w:bCs/>
          <w:sz w:val="22"/>
          <w:szCs w:val="22"/>
        </w:rPr>
      </w:pPr>
      <w:r>
        <w:rPr>
          <w:rFonts w:ascii="Arial" w:hAnsi="Arial" w:cs="Arial"/>
          <w:bCs/>
          <w:sz w:val="22"/>
          <w:szCs w:val="22"/>
        </w:rPr>
        <w:t>This</w:t>
      </w:r>
      <w:r w:rsidR="00AD0544" w:rsidRPr="001F6E7B">
        <w:rPr>
          <w:rFonts w:ascii="Arial" w:hAnsi="Arial" w:cs="Arial"/>
          <w:bCs/>
          <w:sz w:val="22"/>
          <w:szCs w:val="22"/>
        </w:rPr>
        <w:t xml:space="preserve"> submission will focus on the following aspects of DP 83, and proposals in respect thereof:</w:t>
      </w:r>
    </w:p>
    <w:p w:rsidR="00AD0544" w:rsidRPr="001F6E7B" w:rsidRDefault="00AD0544" w:rsidP="00C41272">
      <w:pPr>
        <w:pStyle w:val="ListParagraph"/>
        <w:tabs>
          <w:tab w:val="center" w:pos="4819"/>
        </w:tabs>
        <w:ind w:left="1560" w:right="708"/>
        <w:jc w:val="both"/>
        <w:rPr>
          <w:rFonts w:ascii="Arial" w:hAnsi="Arial" w:cs="Arial"/>
          <w:bCs/>
          <w:sz w:val="22"/>
          <w:szCs w:val="22"/>
        </w:rPr>
      </w:pPr>
    </w:p>
    <w:p w:rsidR="00A07844" w:rsidRPr="001F6E7B" w:rsidRDefault="00A07844" w:rsidP="00C41272">
      <w:pPr>
        <w:pStyle w:val="LDStandardBodyText"/>
        <w:numPr>
          <w:ilvl w:val="0"/>
          <w:numId w:val="4"/>
        </w:numPr>
        <w:ind w:left="2127" w:right="708" w:hanging="567"/>
        <w:rPr>
          <w:rFonts w:cs="Arial"/>
          <w:bCs/>
          <w:szCs w:val="22"/>
        </w:rPr>
      </w:pPr>
      <w:r w:rsidRPr="001F6E7B">
        <w:rPr>
          <w:rFonts w:cs="Arial"/>
          <w:bCs/>
          <w:szCs w:val="22"/>
        </w:rPr>
        <w:t xml:space="preserve">The definition of </w:t>
      </w:r>
      <w:r w:rsidRPr="001F6E7B">
        <w:rPr>
          <w:rFonts w:cs="Arial"/>
          <w:szCs w:val="22"/>
        </w:rPr>
        <w:t>"elder abuse".</w:t>
      </w:r>
    </w:p>
    <w:p w:rsidR="00AD0544" w:rsidRPr="001F6E7B" w:rsidRDefault="00AD0544" w:rsidP="00C41272">
      <w:pPr>
        <w:pStyle w:val="LDStandardBodyText"/>
        <w:numPr>
          <w:ilvl w:val="0"/>
          <w:numId w:val="4"/>
        </w:numPr>
        <w:ind w:left="2127" w:right="708" w:hanging="567"/>
        <w:rPr>
          <w:rFonts w:cs="Arial"/>
          <w:bCs/>
          <w:szCs w:val="22"/>
        </w:rPr>
      </w:pPr>
      <w:r w:rsidRPr="001F6E7B">
        <w:rPr>
          <w:rFonts w:cs="Arial"/>
          <w:bCs/>
          <w:szCs w:val="22"/>
        </w:rPr>
        <w:t>Enduring Powers of Attorney and Enduring Guardianships</w:t>
      </w:r>
      <w:r w:rsidR="00697475" w:rsidRPr="001F6E7B">
        <w:rPr>
          <w:rFonts w:cs="Arial"/>
          <w:bCs/>
          <w:szCs w:val="22"/>
        </w:rPr>
        <w:t>.</w:t>
      </w:r>
    </w:p>
    <w:p w:rsidR="00AD0544" w:rsidRPr="001F6E7B" w:rsidRDefault="00AD0544" w:rsidP="00C41272">
      <w:pPr>
        <w:pStyle w:val="LDStandardBodyText"/>
        <w:numPr>
          <w:ilvl w:val="0"/>
          <w:numId w:val="4"/>
        </w:numPr>
        <w:ind w:left="2127" w:right="708" w:hanging="567"/>
        <w:rPr>
          <w:rFonts w:cs="Arial"/>
          <w:bCs/>
          <w:szCs w:val="22"/>
        </w:rPr>
      </w:pPr>
      <w:r w:rsidRPr="001F6E7B">
        <w:rPr>
          <w:rFonts w:cs="Arial"/>
          <w:bCs/>
          <w:szCs w:val="22"/>
        </w:rPr>
        <w:t>Wills</w:t>
      </w:r>
      <w:r w:rsidR="00697475" w:rsidRPr="001F6E7B">
        <w:rPr>
          <w:rFonts w:cs="Arial"/>
          <w:bCs/>
          <w:szCs w:val="22"/>
        </w:rPr>
        <w:t>.</w:t>
      </w:r>
    </w:p>
    <w:p w:rsidR="00AD0544" w:rsidRPr="001F6E7B" w:rsidRDefault="00AD0544" w:rsidP="00C41272">
      <w:pPr>
        <w:pStyle w:val="LDStandardBodyText"/>
        <w:numPr>
          <w:ilvl w:val="0"/>
          <w:numId w:val="4"/>
        </w:numPr>
        <w:ind w:left="2127" w:right="708" w:hanging="567"/>
        <w:rPr>
          <w:rFonts w:cs="Arial"/>
          <w:bCs/>
          <w:szCs w:val="22"/>
        </w:rPr>
      </w:pPr>
      <w:r w:rsidRPr="001F6E7B">
        <w:rPr>
          <w:rFonts w:cs="Arial"/>
          <w:bCs/>
          <w:szCs w:val="22"/>
        </w:rPr>
        <w:t>Superannuation.</w:t>
      </w:r>
    </w:p>
    <w:p w:rsidR="00B36CBF" w:rsidRPr="001F6E7B" w:rsidRDefault="00AD0544" w:rsidP="00C41272">
      <w:pPr>
        <w:pStyle w:val="LDStandardBodyText"/>
        <w:numPr>
          <w:ilvl w:val="0"/>
          <w:numId w:val="3"/>
        </w:numPr>
        <w:ind w:left="1560" w:right="708" w:hanging="851"/>
        <w:rPr>
          <w:rFonts w:cs="Arial"/>
          <w:b/>
          <w:szCs w:val="22"/>
        </w:rPr>
      </w:pPr>
      <w:r w:rsidRPr="001F6E7B">
        <w:rPr>
          <w:rFonts w:cs="Arial"/>
          <w:b/>
          <w:szCs w:val="22"/>
        </w:rPr>
        <w:t>About Hamilton Blackstone Lawyers</w:t>
      </w:r>
    </w:p>
    <w:p w:rsidR="00B36CBF" w:rsidRPr="001F6E7B" w:rsidRDefault="00B36CBF" w:rsidP="00C41272">
      <w:pPr>
        <w:pStyle w:val="ListParagraph"/>
        <w:numPr>
          <w:ilvl w:val="0"/>
          <w:numId w:val="2"/>
        </w:numPr>
        <w:tabs>
          <w:tab w:val="center" w:pos="4819"/>
        </w:tabs>
        <w:ind w:right="708"/>
        <w:jc w:val="both"/>
        <w:rPr>
          <w:rFonts w:ascii="Arial" w:hAnsi="Arial" w:cs="Arial"/>
          <w:vanish/>
          <w:sz w:val="22"/>
          <w:szCs w:val="22"/>
        </w:rPr>
      </w:pPr>
    </w:p>
    <w:p w:rsidR="00AD0544" w:rsidRPr="001F6E7B" w:rsidRDefault="00AD0544"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bCs/>
          <w:sz w:val="22"/>
          <w:szCs w:val="22"/>
        </w:rPr>
        <w:t>Hamilton Blackstone Lawyers is a leading provider of estate planning, elder law, estate administration and related advice and services. The firm is based in Sydney, but with a national presence: our clients are based in both regional and metropolitan NSW, and in other states and territories including Victoria, Queensland, and the ACT. Hamilton Blackstone Lawyers is a strong, national, and respected brand</w:t>
      </w:r>
      <w:r w:rsidR="00B36CBF" w:rsidRPr="001F6E7B">
        <w:rPr>
          <w:rFonts w:ascii="Arial" w:hAnsi="Arial" w:cs="Arial"/>
          <w:i/>
          <w:sz w:val="22"/>
          <w:szCs w:val="22"/>
        </w:rPr>
        <w:t>.</w:t>
      </w:r>
    </w:p>
    <w:p w:rsidR="00AD0544" w:rsidRPr="001F6E7B" w:rsidRDefault="00AD0544" w:rsidP="00C41272">
      <w:pPr>
        <w:pStyle w:val="ListParagraph"/>
        <w:tabs>
          <w:tab w:val="center" w:pos="4819"/>
        </w:tabs>
        <w:ind w:left="1560" w:right="708"/>
        <w:jc w:val="both"/>
        <w:rPr>
          <w:rFonts w:ascii="Arial" w:hAnsi="Arial" w:cs="Arial"/>
          <w:sz w:val="22"/>
          <w:szCs w:val="22"/>
        </w:rPr>
      </w:pPr>
    </w:p>
    <w:p w:rsidR="00DC2317" w:rsidRDefault="00AD0544"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The firm’s Managing Director, Cristean Yazbeck, is a senior lawyer with over 10 years’ experience in the industry. Cristean is an expert in estate planning and financial services law and compliance, having worked with, and delivered timely and commercially-centric solutions to, some of the country's leading financial services providers.</w:t>
      </w:r>
    </w:p>
    <w:p w:rsidR="00DC2317" w:rsidRPr="00DC2317" w:rsidRDefault="00DC2317" w:rsidP="00DC2317">
      <w:pPr>
        <w:pStyle w:val="ListParagraph"/>
        <w:rPr>
          <w:rFonts w:ascii="Arial" w:hAnsi="Arial" w:cs="Arial"/>
          <w:sz w:val="22"/>
          <w:szCs w:val="22"/>
        </w:rPr>
      </w:pPr>
    </w:p>
    <w:p w:rsidR="00AD0544" w:rsidRPr="001F6E7B" w:rsidRDefault="00AD0544"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Cristean is a respected industry advocate, having close ties with APRA, ASIC, the Financial Planning Association (FPA) and the Financial Services Counsel (FSC).</w:t>
      </w:r>
    </w:p>
    <w:p w:rsidR="00B36CBF" w:rsidRDefault="00B36CBF" w:rsidP="00C41272">
      <w:pPr>
        <w:pStyle w:val="ListParagraph"/>
        <w:tabs>
          <w:tab w:val="center" w:pos="4819"/>
        </w:tabs>
        <w:ind w:left="1560" w:right="708"/>
        <w:jc w:val="both"/>
        <w:rPr>
          <w:rFonts w:ascii="Arial" w:hAnsi="Arial" w:cs="Arial"/>
          <w:sz w:val="22"/>
          <w:szCs w:val="22"/>
        </w:rPr>
      </w:pPr>
    </w:p>
    <w:p w:rsidR="00DC2317" w:rsidRPr="001F6E7B" w:rsidRDefault="00DC2317" w:rsidP="00C41272">
      <w:pPr>
        <w:pStyle w:val="ListParagraph"/>
        <w:tabs>
          <w:tab w:val="center" w:pos="4819"/>
        </w:tabs>
        <w:ind w:left="1560" w:right="708"/>
        <w:jc w:val="both"/>
        <w:rPr>
          <w:rFonts w:ascii="Arial" w:hAnsi="Arial" w:cs="Arial"/>
          <w:sz w:val="22"/>
          <w:szCs w:val="22"/>
        </w:rPr>
      </w:pPr>
    </w:p>
    <w:p w:rsidR="00697475" w:rsidRPr="001F6E7B" w:rsidRDefault="00D92EFB" w:rsidP="00C41272">
      <w:pPr>
        <w:pStyle w:val="LDStandardBodyText"/>
        <w:numPr>
          <w:ilvl w:val="0"/>
          <w:numId w:val="3"/>
        </w:numPr>
        <w:ind w:left="1560" w:right="708" w:hanging="851"/>
        <w:rPr>
          <w:rFonts w:cs="Arial"/>
          <w:b/>
          <w:szCs w:val="22"/>
        </w:rPr>
      </w:pPr>
      <w:r w:rsidRPr="001F6E7B">
        <w:rPr>
          <w:rFonts w:cs="Arial"/>
          <w:b/>
          <w:szCs w:val="22"/>
        </w:rPr>
        <w:lastRenderedPageBreak/>
        <w:t>Definition of "elder abuse"</w:t>
      </w:r>
    </w:p>
    <w:p w:rsidR="00697475" w:rsidRPr="001F6E7B" w:rsidRDefault="00697475" w:rsidP="00C41272">
      <w:pPr>
        <w:pStyle w:val="ListParagraph"/>
        <w:numPr>
          <w:ilvl w:val="0"/>
          <w:numId w:val="2"/>
        </w:numPr>
        <w:tabs>
          <w:tab w:val="center" w:pos="4819"/>
        </w:tabs>
        <w:ind w:right="708"/>
        <w:jc w:val="both"/>
        <w:rPr>
          <w:rFonts w:ascii="Arial" w:hAnsi="Arial" w:cs="Arial"/>
          <w:bCs/>
          <w:vanish/>
          <w:sz w:val="22"/>
          <w:szCs w:val="22"/>
        </w:rPr>
      </w:pPr>
    </w:p>
    <w:p w:rsidR="002D59A3" w:rsidRDefault="002D59A3" w:rsidP="002D59A3">
      <w:pPr>
        <w:pStyle w:val="ListParagraph"/>
        <w:tabs>
          <w:tab w:val="center" w:pos="4819"/>
        </w:tabs>
        <w:ind w:left="1560" w:right="708"/>
        <w:jc w:val="both"/>
        <w:rPr>
          <w:rFonts w:ascii="Arial" w:hAnsi="Arial" w:cs="Arial"/>
          <w:b/>
          <w:i/>
          <w:sz w:val="22"/>
          <w:szCs w:val="22"/>
        </w:rPr>
      </w:pPr>
      <w:r>
        <w:rPr>
          <w:rFonts w:ascii="Arial" w:hAnsi="Arial" w:cs="Arial"/>
          <w:b/>
          <w:i/>
          <w:sz w:val="22"/>
          <w:szCs w:val="22"/>
        </w:rPr>
        <w:t>Scope</w:t>
      </w:r>
    </w:p>
    <w:p w:rsidR="002D59A3" w:rsidRPr="002D59A3" w:rsidRDefault="002D59A3" w:rsidP="002D59A3">
      <w:pPr>
        <w:pStyle w:val="ListParagraph"/>
        <w:tabs>
          <w:tab w:val="center" w:pos="4819"/>
        </w:tabs>
        <w:ind w:left="1560" w:right="708"/>
        <w:jc w:val="both"/>
        <w:rPr>
          <w:rFonts w:ascii="Arial" w:hAnsi="Arial" w:cs="Arial"/>
          <w:sz w:val="22"/>
          <w:szCs w:val="22"/>
        </w:rPr>
      </w:pPr>
    </w:p>
    <w:p w:rsidR="009E0FA7" w:rsidRDefault="00697475"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bCs/>
          <w:sz w:val="22"/>
          <w:szCs w:val="22"/>
        </w:rPr>
        <w:t>Hamilton Blackstone Lawyers</w:t>
      </w:r>
      <w:r w:rsidR="008037BB" w:rsidRPr="001F6E7B">
        <w:rPr>
          <w:rFonts w:ascii="Arial" w:hAnsi="Arial" w:cs="Arial"/>
          <w:bCs/>
          <w:sz w:val="22"/>
          <w:szCs w:val="22"/>
        </w:rPr>
        <w:t xml:space="preserve"> s</w:t>
      </w:r>
      <w:r w:rsidRPr="001F6E7B">
        <w:rPr>
          <w:rFonts w:ascii="Arial" w:hAnsi="Arial" w:cs="Arial"/>
          <w:sz w:val="22"/>
          <w:szCs w:val="22"/>
        </w:rPr>
        <w:t xml:space="preserve">upports </w:t>
      </w:r>
      <w:r w:rsidR="00986198" w:rsidRPr="001F6E7B">
        <w:rPr>
          <w:rFonts w:ascii="Arial" w:hAnsi="Arial" w:cs="Arial"/>
          <w:sz w:val="22"/>
          <w:szCs w:val="22"/>
        </w:rPr>
        <w:t xml:space="preserve">a broad-ranging definition of what constitutes or what may form the elements of what </w:t>
      </w:r>
      <w:r w:rsidR="009E0FA7">
        <w:rPr>
          <w:rFonts w:ascii="Arial" w:hAnsi="Arial" w:cs="Arial"/>
          <w:sz w:val="22"/>
          <w:szCs w:val="22"/>
        </w:rPr>
        <w:t>DP 83 refers</w:t>
      </w:r>
      <w:r w:rsidR="00986198" w:rsidRPr="001F6E7B">
        <w:rPr>
          <w:rFonts w:ascii="Arial" w:hAnsi="Arial" w:cs="Arial"/>
          <w:sz w:val="22"/>
          <w:szCs w:val="22"/>
        </w:rPr>
        <w:t xml:space="preserve"> to as </w:t>
      </w:r>
      <w:r w:rsidR="00676F07" w:rsidRPr="001F6E7B">
        <w:rPr>
          <w:rFonts w:ascii="Arial" w:hAnsi="Arial" w:cs="Arial"/>
          <w:sz w:val="22"/>
          <w:szCs w:val="22"/>
        </w:rPr>
        <w:t>"elder abuse"</w:t>
      </w:r>
      <w:r w:rsidR="00986198" w:rsidRPr="001F6E7B">
        <w:rPr>
          <w:rFonts w:ascii="Arial" w:hAnsi="Arial" w:cs="Arial"/>
          <w:sz w:val="22"/>
          <w:szCs w:val="22"/>
        </w:rPr>
        <w:t>. In this regard, we are broadly satisfied with the World Health Organisation (WHO) definition of elder abuse as referen</w:t>
      </w:r>
      <w:r w:rsidR="009E0FA7">
        <w:rPr>
          <w:rFonts w:ascii="Arial" w:hAnsi="Arial" w:cs="Arial"/>
          <w:sz w:val="22"/>
          <w:szCs w:val="22"/>
        </w:rPr>
        <w:t>ced in paragraph 1.11 of DP 83.</w:t>
      </w:r>
    </w:p>
    <w:p w:rsidR="009E0FA7" w:rsidRDefault="009E0FA7" w:rsidP="009E0FA7">
      <w:pPr>
        <w:pStyle w:val="ListParagraph"/>
        <w:tabs>
          <w:tab w:val="center" w:pos="4819"/>
        </w:tabs>
        <w:ind w:left="1560" w:right="708"/>
        <w:jc w:val="both"/>
        <w:rPr>
          <w:rFonts w:ascii="Arial" w:hAnsi="Arial" w:cs="Arial"/>
          <w:sz w:val="22"/>
          <w:szCs w:val="22"/>
        </w:rPr>
      </w:pPr>
    </w:p>
    <w:p w:rsidR="00676F07" w:rsidRPr="001F6E7B" w:rsidRDefault="00986198"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The only caution we would express </w:t>
      </w:r>
      <w:r w:rsidR="00676F07" w:rsidRPr="001F6E7B">
        <w:rPr>
          <w:rFonts w:ascii="Arial" w:hAnsi="Arial" w:cs="Arial"/>
          <w:sz w:val="22"/>
          <w:szCs w:val="22"/>
        </w:rPr>
        <w:t>is to</w:t>
      </w:r>
      <w:r w:rsidRPr="001F6E7B">
        <w:rPr>
          <w:rFonts w:ascii="Arial" w:hAnsi="Arial" w:cs="Arial"/>
          <w:sz w:val="22"/>
          <w:szCs w:val="22"/>
        </w:rPr>
        <w:t xml:space="preserve"> ensure that the elements of a definition of </w:t>
      </w:r>
      <w:r w:rsidR="00676F07" w:rsidRPr="001F6E7B">
        <w:rPr>
          <w:rFonts w:ascii="Arial" w:hAnsi="Arial" w:cs="Arial"/>
          <w:sz w:val="22"/>
          <w:szCs w:val="22"/>
        </w:rPr>
        <w:t>"</w:t>
      </w:r>
      <w:r w:rsidRPr="001F6E7B">
        <w:rPr>
          <w:rFonts w:ascii="Arial" w:hAnsi="Arial" w:cs="Arial"/>
          <w:sz w:val="22"/>
          <w:szCs w:val="22"/>
        </w:rPr>
        <w:t>elder abuse</w:t>
      </w:r>
      <w:r w:rsidR="00676F07" w:rsidRPr="001F6E7B">
        <w:rPr>
          <w:rFonts w:ascii="Arial" w:hAnsi="Arial" w:cs="Arial"/>
          <w:sz w:val="22"/>
          <w:szCs w:val="22"/>
        </w:rPr>
        <w:t>"</w:t>
      </w:r>
      <w:r w:rsidRPr="001F6E7B">
        <w:rPr>
          <w:rFonts w:ascii="Arial" w:hAnsi="Arial" w:cs="Arial"/>
          <w:sz w:val="22"/>
          <w:szCs w:val="22"/>
        </w:rPr>
        <w:t xml:space="preserve"> are not subject to overly or inadvertently restrictive parameters, which could operate to limit the definition’s effectiveness. Elder abuse by its very nature is personal, fact-specific, and subjective, and we are concerned that any attempts to </w:t>
      </w:r>
      <w:r w:rsidR="00633A82">
        <w:rPr>
          <w:rFonts w:ascii="Arial" w:hAnsi="Arial" w:cs="Arial"/>
          <w:sz w:val="22"/>
          <w:szCs w:val="22"/>
        </w:rPr>
        <w:t xml:space="preserve">expressly </w:t>
      </w:r>
      <w:r w:rsidRPr="001F6E7B">
        <w:rPr>
          <w:rFonts w:ascii="Arial" w:hAnsi="Arial" w:cs="Arial"/>
          <w:sz w:val="22"/>
          <w:szCs w:val="22"/>
        </w:rPr>
        <w:t xml:space="preserve">define the core elements of a definition of </w:t>
      </w:r>
      <w:r w:rsidR="009E0FA7">
        <w:rPr>
          <w:rFonts w:ascii="Arial" w:hAnsi="Arial" w:cs="Arial"/>
          <w:sz w:val="22"/>
          <w:szCs w:val="22"/>
        </w:rPr>
        <w:t>"</w:t>
      </w:r>
      <w:r w:rsidRPr="001F6E7B">
        <w:rPr>
          <w:rFonts w:ascii="Arial" w:hAnsi="Arial" w:cs="Arial"/>
          <w:sz w:val="22"/>
          <w:szCs w:val="22"/>
        </w:rPr>
        <w:t>elder abuse</w:t>
      </w:r>
      <w:r w:rsidR="009E0FA7">
        <w:rPr>
          <w:rFonts w:ascii="Arial" w:hAnsi="Arial" w:cs="Arial"/>
          <w:sz w:val="22"/>
          <w:szCs w:val="22"/>
        </w:rPr>
        <w:t>"</w:t>
      </w:r>
      <w:r w:rsidRPr="001F6E7B">
        <w:rPr>
          <w:rFonts w:ascii="Arial" w:hAnsi="Arial" w:cs="Arial"/>
          <w:sz w:val="22"/>
          <w:szCs w:val="22"/>
        </w:rPr>
        <w:t xml:space="preserve"> (for example, </w:t>
      </w:r>
      <w:r w:rsidR="009E0FA7">
        <w:rPr>
          <w:rFonts w:ascii="Arial" w:hAnsi="Arial" w:cs="Arial"/>
          <w:i/>
          <w:sz w:val="22"/>
          <w:szCs w:val="22"/>
        </w:rPr>
        <w:t>harm</w:t>
      </w:r>
      <w:r w:rsidR="00633A82">
        <w:rPr>
          <w:rFonts w:ascii="Arial" w:hAnsi="Arial" w:cs="Arial"/>
          <w:sz w:val="22"/>
          <w:szCs w:val="22"/>
        </w:rPr>
        <w:t xml:space="preserve">, </w:t>
      </w:r>
      <w:r w:rsidR="00633A82">
        <w:rPr>
          <w:rFonts w:ascii="Arial" w:hAnsi="Arial" w:cs="Arial"/>
          <w:i/>
          <w:sz w:val="22"/>
          <w:szCs w:val="22"/>
        </w:rPr>
        <w:t>trust</w:t>
      </w:r>
      <w:r w:rsidR="00633A82">
        <w:rPr>
          <w:rFonts w:ascii="Arial" w:hAnsi="Arial" w:cs="Arial"/>
          <w:sz w:val="22"/>
          <w:szCs w:val="22"/>
        </w:rPr>
        <w:t>,</w:t>
      </w:r>
      <w:r w:rsidR="009E0FA7">
        <w:rPr>
          <w:rFonts w:ascii="Arial" w:hAnsi="Arial" w:cs="Arial"/>
          <w:i/>
          <w:sz w:val="22"/>
          <w:szCs w:val="22"/>
        </w:rPr>
        <w:t xml:space="preserve"> </w:t>
      </w:r>
      <w:r w:rsidR="009E0FA7">
        <w:rPr>
          <w:rFonts w:ascii="Arial" w:hAnsi="Arial" w:cs="Arial"/>
          <w:sz w:val="22"/>
          <w:szCs w:val="22"/>
        </w:rPr>
        <w:t>or</w:t>
      </w:r>
      <w:r w:rsidR="00676F07" w:rsidRPr="001F6E7B">
        <w:rPr>
          <w:rFonts w:ascii="Arial" w:hAnsi="Arial" w:cs="Arial"/>
          <w:i/>
          <w:sz w:val="22"/>
          <w:szCs w:val="22"/>
        </w:rPr>
        <w:t xml:space="preserve"> older person</w:t>
      </w:r>
      <w:r w:rsidR="00676F07" w:rsidRPr="001F6E7B">
        <w:rPr>
          <w:rFonts w:ascii="Arial" w:hAnsi="Arial" w:cs="Arial"/>
          <w:sz w:val="22"/>
          <w:szCs w:val="22"/>
        </w:rPr>
        <w:t xml:space="preserve">) will potentially derogate from the definition’s primary purpose, which in our view should be to ensure that as many instances of what reasonable Australians would consider as constituting "elder abuse" </w:t>
      </w:r>
      <w:r w:rsidR="00633A82">
        <w:rPr>
          <w:rFonts w:ascii="Arial" w:hAnsi="Arial" w:cs="Arial"/>
          <w:sz w:val="22"/>
          <w:szCs w:val="22"/>
        </w:rPr>
        <w:t xml:space="preserve">as possible </w:t>
      </w:r>
      <w:r w:rsidR="00676F07" w:rsidRPr="001F6E7B">
        <w:rPr>
          <w:rFonts w:ascii="Arial" w:hAnsi="Arial" w:cs="Arial"/>
          <w:sz w:val="22"/>
          <w:szCs w:val="22"/>
        </w:rPr>
        <w:t>are captured, without recourse to technical parameters.</w:t>
      </w:r>
    </w:p>
    <w:p w:rsidR="008037BB" w:rsidRPr="001F6E7B" w:rsidRDefault="008037BB" w:rsidP="00C41272">
      <w:pPr>
        <w:pStyle w:val="ListParagraph"/>
        <w:tabs>
          <w:tab w:val="center" w:pos="4819"/>
        </w:tabs>
        <w:ind w:left="1560" w:right="708"/>
        <w:jc w:val="both"/>
        <w:rPr>
          <w:rFonts w:ascii="Arial" w:hAnsi="Arial" w:cs="Arial"/>
          <w:sz w:val="22"/>
          <w:szCs w:val="22"/>
        </w:rPr>
      </w:pPr>
    </w:p>
    <w:p w:rsidR="009E0FA7" w:rsidRDefault="00676F07"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In this regard, we are keen to ensure that the definition of or application to "</w:t>
      </w:r>
      <w:r w:rsidRPr="009E0FA7">
        <w:rPr>
          <w:rFonts w:ascii="Arial" w:hAnsi="Arial" w:cs="Arial"/>
          <w:i/>
          <w:sz w:val="22"/>
          <w:szCs w:val="22"/>
        </w:rPr>
        <w:t>older person</w:t>
      </w:r>
      <w:r w:rsidRPr="001F6E7B">
        <w:rPr>
          <w:rFonts w:ascii="Arial" w:hAnsi="Arial" w:cs="Arial"/>
          <w:sz w:val="22"/>
          <w:szCs w:val="22"/>
        </w:rPr>
        <w:t xml:space="preserve">" does not restrict any person </w:t>
      </w:r>
      <w:r w:rsidR="00067720" w:rsidRPr="001F6E7B">
        <w:rPr>
          <w:rFonts w:ascii="Arial" w:hAnsi="Arial" w:cs="Arial"/>
          <w:sz w:val="22"/>
          <w:szCs w:val="22"/>
        </w:rPr>
        <w:t>based on</w:t>
      </w:r>
      <w:r w:rsidRPr="001F6E7B">
        <w:rPr>
          <w:rFonts w:ascii="Arial" w:hAnsi="Arial" w:cs="Arial"/>
          <w:sz w:val="22"/>
          <w:szCs w:val="22"/>
        </w:rPr>
        <w:t xml:space="preserve"> age. Our experience suggests that "elder abuse" is not limited t</w:t>
      </w:r>
      <w:r w:rsidR="00633A82">
        <w:rPr>
          <w:rFonts w:ascii="Arial" w:hAnsi="Arial" w:cs="Arial"/>
          <w:sz w:val="22"/>
          <w:szCs w:val="22"/>
        </w:rPr>
        <w:t xml:space="preserve">o persons over a particular age </w:t>
      </w:r>
      <w:r w:rsidRPr="001F6E7B">
        <w:rPr>
          <w:rFonts w:ascii="Arial" w:hAnsi="Arial" w:cs="Arial"/>
          <w:sz w:val="22"/>
          <w:szCs w:val="22"/>
        </w:rPr>
        <w:t xml:space="preserve">group. Rather, "elder abuse" is a factor of the person’s circumstances, which include age, mental capacity, physical capacity, health, and financial situation. By way of instructive example, we have acted on a matter in which our client, being a mother in her mid-40s and having lost physical capacity, was subject to acts by her 20-year old son which would meet the WHO definition of "elder abuse" (specifically, the acts in question constituted elder </w:t>
      </w:r>
      <w:r w:rsidRPr="001F6E7B">
        <w:rPr>
          <w:rFonts w:ascii="Arial" w:hAnsi="Arial" w:cs="Arial"/>
          <w:i/>
          <w:sz w:val="22"/>
          <w:szCs w:val="22"/>
        </w:rPr>
        <w:t xml:space="preserve">financial </w:t>
      </w:r>
      <w:r w:rsidRPr="001F6E7B">
        <w:rPr>
          <w:rFonts w:ascii="Arial" w:hAnsi="Arial" w:cs="Arial"/>
          <w:sz w:val="22"/>
          <w:szCs w:val="22"/>
        </w:rPr>
        <w:t xml:space="preserve">abuse, being the misuse of a valid power of attorney by the principal’s son). </w:t>
      </w:r>
    </w:p>
    <w:p w:rsidR="009E0FA7" w:rsidRPr="009E0FA7" w:rsidRDefault="009E0FA7" w:rsidP="009E0FA7">
      <w:pPr>
        <w:pStyle w:val="ListParagraph"/>
        <w:rPr>
          <w:rFonts w:ascii="Arial" w:hAnsi="Arial" w:cs="Arial"/>
          <w:sz w:val="22"/>
          <w:szCs w:val="22"/>
        </w:rPr>
      </w:pPr>
    </w:p>
    <w:p w:rsidR="00B93C94" w:rsidRDefault="00676F07"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We strongly recommend that no aspect of any definition or application for the purposes of the proposals contemplated by DP 83 and </w:t>
      </w:r>
      <w:r w:rsidR="009E0FA7">
        <w:rPr>
          <w:rFonts w:ascii="Arial" w:hAnsi="Arial" w:cs="Arial"/>
          <w:sz w:val="22"/>
          <w:szCs w:val="22"/>
        </w:rPr>
        <w:t>reforms</w:t>
      </w:r>
      <w:r w:rsidRPr="001F6E7B">
        <w:rPr>
          <w:rFonts w:ascii="Arial" w:hAnsi="Arial" w:cs="Arial"/>
          <w:sz w:val="22"/>
          <w:szCs w:val="22"/>
        </w:rPr>
        <w:t xml:space="preserve"> thereafter operates </w:t>
      </w:r>
      <w:r w:rsidR="00633A82">
        <w:rPr>
          <w:rFonts w:ascii="Arial" w:hAnsi="Arial" w:cs="Arial"/>
          <w:sz w:val="22"/>
          <w:szCs w:val="22"/>
        </w:rPr>
        <w:t>on the basis of</w:t>
      </w:r>
      <w:r w:rsidRPr="001F6E7B">
        <w:rPr>
          <w:rFonts w:ascii="Arial" w:hAnsi="Arial" w:cs="Arial"/>
          <w:sz w:val="22"/>
          <w:szCs w:val="22"/>
        </w:rPr>
        <w:t xml:space="preserve"> a person’s age: rather, the focus should be on the othe</w:t>
      </w:r>
      <w:r w:rsidR="008037BB" w:rsidRPr="001F6E7B">
        <w:rPr>
          <w:rFonts w:ascii="Arial" w:hAnsi="Arial" w:cs="Arial"/>
          <w:sz w:val="22"/>
          <w:szCs w:val="22"/>
        </w:rPr>
        <w:t>r</w:t>
      </w:r>
      <w:r w:rsidRPr="001F6E7B">
        <w:rPr>
          <w:rFonts w:ascii="Arial" w:hAnsi="Arial" w:cs="Arial"/>
          <w:sz w:val="22"/>
          <w:szCs w:val="22"/>
        </w:rPr>
        <w:t xml:space="preserve"> </w:t>
      </w:r>
      <w:r w:rsidR="009E0FA7">
        <w:rPr>
          <w:rFonts w:ascii="Arial" w:hAnsi="Arial" w:cs="Arial"/>
          <w:sz w:val="22"/>
          <w:szCs w:val="22"/>
        </w:rPr>
        <w:t xml:space="preserve">operative </w:t>
      </w:r>
      <w:r w:rsidRPr="001F6E7B">
        <w:rPr>
          <w:rFonts w:ascii="Arial" w:hAnsi="Arial" w:cs="Arial"/>
          <w:sz w:val="22"/>
          <w:szCs w:val="22"/>
        </w:rPr>
        <w:t xml:space="preserve">elements of the WHO definition of "elder abuse", </w:t>
      </w:r>
      <w:r w:rsidR="008037BB" w:rsidRPr="001F6E7B">
        <w:rPr>
          <w:rFonts w:ascii="Arial" w:hAnsi="Arial" w:cs="Arial"/>
          <w:sz w:val="22"/>
          <w:szCs w:val="22"/>
        </w:rPr>
        <w:t xml:space="preserve">being </w:t>
      </w:r>
      <w:r w:rsidR="008037BB" w:rsidRPr="009E0FA7">
        <w:rPr>
          <w:rFonts w:ascii="Arial" w:hAnsi="Arial" w:cs="Arial"/>
          <w:i/>
          <w:sz w:val="22"/>
          <w:szCs w:val="22"/>
        </w:rPr>
        <w:t>acts</w:t>
      </w:r>
      <w:r w:rsidR="008037BB" w:rsidRPr="001F6E7B">
        <w:rPr>
          <w:rFonts w:ascii="Arial" w:hAnsi="Arial" w:cs="Arial"/>
          <w:sz w:val="22"/>
          <w:szCs w:val="22"/>
        </w:rPr>
        <w:t xml:space="preserve"> occurring within a </w:t>
      </w:r>
      <w:r w:rsidR="008037BB" w:rsidRPr="009E0FA7">
        <w:rPr>
          <w:rFonts w:ascii="Arial" w:hAnsi="Arial" w:cs="Arial"/>
          <w:i/>
          <w:sz w:val="22"/>
          <w:szCs w:val="22"/>
        </w:rPr>
        <w:t>relationship</w:t>
      </w:r>
      <w:r w:rsidR="008037BB" w:rsidRPr="001F6E7B">
        <w:rPr>
          <w:rFonts w:ascii="Arial" w:hAnsi="Arial" w:cs="Arial"/>
          <w:sz w:val="22"/>
          <w:szCs w:val="22"/>
        </w:rPr>
        <w:t xml:space="preserve"> in which there is an </w:t>
      </w:r>
      <w:r w:rsidR="008037BB" w:rsidRPr="009E0FA7">
        <w:rPr>
          <w:rFonts w:ascii="Arial" w:hAnsi="Arial" w:cs="Arial"/>
          <w:i/>
          <w:sz w:val="22"/>
          <w:szCs w:val="22"/>
        </w:rPr>
        <w:t>expectation of trust</w:t>
      </w:r>
      <w:r w:rsidR="008037BB" w:rsidRPr="001F6E7B">
        <w:rPr>
          <w:rFonts w:ascii="Arial" w:hAnsi="Arial" w:cs="Arial"/>
          <w:sz w:val="22"/>
          <w:szCs w:val="22"/>
        </w:rPr>
        <w:t xml:space="preserve">. This might suggest that the </w:t>
      </w:r>
      <w:r w:rsidR="009E0FA7">
        <w:rPr>
          <w:rFonts w:ascii="Arial" w:hAnsi="Arial" w:cs="Arial"/>
          <w:sz w:val="22"/>
          <w:szCs w:val="22"/>
        </w:rPr>
        <w:t>term</w:t>
      </w:r>
      <w:r w:rsidR="008037BB" w:rsidRPr="001F6E7B">
        <w:rPr>
          <w:rFonts w:ascii="Arial" w:hAnsi="Arial" w:cs="Arial"/>
          <w:sz w:val="22"/>
          <w:szCs w:val="22"/>
        </w:rPr>
        <w:t xml:space="preserve"> "elder abuse" is of itself incorrect or improper, as the application will extend beyond persons who would normally be considered as "elders". However, for the purposes of reform in this area, we consider the reference to "elder abuse" to be useful in highlighting the need for reform and in enc</w:t>
      </w:r>
      <w:r w:rsidR="009E0FA7">
        <w:rPr>
          <w:rFonts w:ascii="Arial" w:hAnsi="Arial" w:cs="Arial"/>
          <w:sz w:val="22"/>
          <w:szCs w:val="22"/>
        </w:rPr>
        <w:t>ouraging an understanding of the issues at hand, as the term "elder abuse" will more likely resonate with Australians</w:t>
      </w:r>
      <w:r w:rsidR="008037BB" w:rsidRPr="001F6E7B">
        <w:rPr>
          <w:rFonts w:ascii="Arial" w:hAnsi="Arial" w:cs="Arial"/>
          <w:sz w:val="22"/>
          <w:szCs w:val="22"/>
        </w:rPr>
        <w:t>. Any other categorisation (for example, "relationship abuse") is unlikely to engender the same urgency which we consider is req</w:t>
      </w:r>
      <w:r w:rsidR="00B93C94">
        <w:rPr>
          <w:rFonts w:ascii="Arial" w:hAnsi="Arial" w:cs="Arial"/>
          <w:sz w:val="22"/>
          <w:szCs w:val="22"/>
        </w:rPr>
        <w:t>uired to address "elder abuse".</w:t>
      </w:r>
    </w:p>
    <w:p w:rsidR="00B93C94" w:rsidRPr="00B93C94" w:rsidRDefault="00B93C94" w:rsidP="00B93C94">
      <w:pPr>
        <w:pStyle w:val="ListParagraph"/>
        <w:rPr>
          <w:rFonts w:ascii="Arial" w:hAnsi="Arial" w:cs="Arial"/>
          <w:sz w:val="22"/>
          <w:szCs w:val="22"/>
        </w:rPr>
      </w:pPr>
    </w:p>
    <w:p w:rsidR="008037BB" w:rsidRPr="001F6E7B" w:rsidRDefault="008037B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Furthermore, </w:t>
      </w:r>
      <w:r w:rsidR="009E0FA7">
        <w:rPr>
          <w:rFonts w:ascii="Arial" w:hAnsi="Arial" w:cs="Arial"/>
          <w:sz w:val="22"/>
          <w:szCs w:val="22"/>
        </w:rPr>
        <w:t xml:space="preserve">and in any event, </w:t>
      </w:r>
      <w:r w:rsidRPr="001F6E7B">
        <w:rPr>
          <w:rFonts w:ascii="Arial" w:hAnsi="Arial" w:cs="Arial"/>
          <w:sz w:val="22"/>
          <w:szCs w:val="22"/>
        </w:rPr>
        <w:t xml:space="preserve">the evidence overwhelmingly supports the proposition that what might be considered as "elder abuse" does in fact impact those who are objectively considered to meet any definition of "elder" more </w:t>
      </w:r>
      <w:r w:rsidR="009E0FA7">
        <w:rPr>
          <w:rFonts w:ascii="Arial" w:hAnsi="Arial" w:cs="Arial"/>
          <w:sz w:val="22"/>
          <w:szCs w:val="22"/>
        </w:rPr>
        <w:t>so than</w:t>
      </w:r>
      <w:r w:rsidRPr="001F6E7B">
        <w:rPr>
          <w:rFonts w:ascii="Arial" w:hAnsi="Arial" w:cs="Arial"/>
          <w:sz w:val="22"/>
          <w:szCs w:val="22"/>
        </w:rPr>
        <w:t xml:space="preserve"> </w:t>
      </w:r>
      <w:r w:rsidRPr="009E0FA7">
        <w:rPr>
          <w:rFonts w:ascii="Arial" w:hAnsi="Arial" w:cs="Arial"/>
          <w:i/>
          <w:sz w:val="22"/>
          <w:szCs w:val="22"/>
        </w:rPr>
        <w:t>non</w:t>
      </w:r>
      <w:r w:rsidRPr="001F6E7B">
        <w:rPr>
          <w:rFonts w:ascii="Arial" w:hAnsi="Arial" w:cs="Arial"/>
          <w:sz w:val="22"/>
          <w:szCs w:val="22"/>
        </w:rPr>
        <w:t>-elders (however defined).</w:t>
      </w:r>
    </w:p>
    <w:p w:rsidR="008037BB" w:rsidRDefault="008037BB" w:rsidP="00C41272">
      <w:pPr>
        <w:pStyle w:val="ListParagraph"/>
        <w:tabs>
          <w:tab w:val="center" w:pos="4819"/>
        </w:tabs>
        <w:ind w:left="1560" w:right="708"/>
        <w:jc w:val="both"/>
        <w:rPr>
          <w:rFonts w:ascii="Arial" w:hAnsi="Arial" w:cs="Arial"/>
          <w:sz w:val="22"/>
          <w:szCs w:val="22"/>
        </w:rPr>
      </w:pPr>
    </w:p>
    <w:p w:rsidR="002D59A3" w:rsidRDefault="002D59A3" w:rsidP="00C41272">
      <w:pPr>
        <w:pStyle w:val="ListParagraph"/>
        <w:tabs>
          <w:tab w:val="center" w:pos="4819"/>
        </w:tabs>
        <w:ind w:left="1560" w:right="708"/>
        <w:jc w:val="both"/>
        <w:rPr>
          <w:rFonts w:ascii="Arial" w:hAnsi="Arial" w:cs="Arial"/>
          <w:b/>
          <w:i/>
          <w:sz w:val="22"/>
          <w:szCs w:val="22"/>
        </w:rPr>
      </w:pPr>
      <w:r>
        <w:rPr>
          <w:rFonts w:ascii="Arial" w:hAnsi="Arial" w:cs="Arial"/>
          <w:b/>
          <w:i/>
          <w:sz w:val="22"/>
          <w:szCs w:val="22"/>
        </w:rPr>
        <w:t>Financial Abuse</w:t>
      </w:r>
    </w:p>
    <w:p w:rsidR="002D59A3" w:rsidRPr="002D59A3" w:rsidRDefault="002D59A3" w:rsidP="00C41272">
      <w:pPr>
        <w:pStyle w:val="ListParagraph"/>
        <w:tabs>
          <w:tab w:val="center" w:pos="4819"/>
        </w:tabs>
        <w:ind w:left="1560" w:right="708"/>
        <w:jc w:val="both"/>
        <w:rPr>
          <w:rFonts w:ascii="Arial" w:hAnsi="Arial" w:cs="Arial"/>
          <w:sz w:val="22"/>
          <w:szCs w:val="22"/>
        </w:rPr>
      </w:pPr>
    </w:p>
    <w:p w:rsidR="00671E50" w:rsidRDefault="008037B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Hamilton Blackstone Lawyers </w:t>
      </w:r>
      <w:r w:rsidR="00671E50">
        <w:rPr>
          <w:rFonts w:ascii="Arial" w:hAnsi="Arial" w:cs="Arial"/>
          <w:sz w:val="22"/>
          <w:szCs w:val="22"/>
        </w:rPr>
        <w:t xml:space="preserve">further </w:t>
      </w:r>
      <w:r w:rsidRPr="001F6E7B">
        <w:rPr>
          <w:rFonts w:ascii="Arial" w:hAnsi="Arial" w:cs="Arial"/>
          <w:sz w:val="22"/>
          <w:szCs w:val="22"/>
        </w:rPr>
        <w:t>s</w:t>
      </w:r>
      <w:r w:rsidR="00697475" w:rsidRPr="001F6E7B">
        <w:rPr>
          <w:rFonts w:ascii="Arial" w:hAnsi="Arial" w:cs="Arial"/>
          <w:sz w:val="22"/>
          <w:szCs w:val="22"/>
        </w:rPr>
        <w:t>upports the proposition expressed in DP 83 that the leading category of elder abuse</w:t>
      </w:r>
      <w:r w:rsidR="00633A82">
        <w:rPr>
          <w:rFonts w:ascii="Arial" w:hAnsi="Arial" w:cs="Arial"/>
          <w:sz w:val="22"/>
          <w:szCs w:val="22"/>
        </w:rPr>
        <w:t xml:space="preserve"> in Australia</w:t>
      </w:r>
      <w:r w:rsidR="00697475" w:rsidRPr="001F6E7B">
        <w:rPr>
          <w:rFonts w:ascii="Arial" w:hAnsi="Arial" w:cs="Arial"/>
          <w:sz w:val="22"/>
          <w:szCs w:val="22"/>
        </w:rPr>
        <w:t xml:space="preserve"> is </w:t>
      </w:r>
      <w:r w:rsidR="00697475" w:rsidRPr="001F6E7B">
        <w:rPr>
          <w:rFonts w:ascii="Arial" w:hAnsi="Arial" w:cs="Arial"/>
          <w:i/>
          <w:sz w:val="22"/>
          <w:szCs w:val="22"/>
        </w:rPr>
        <w:t xml:space="preserve">financial </w:t>
      </w:r>
      <w:r w:rsidR="00697475" w:rsidRPr="001F6E7B">
        <w:rPr>
          <w:rFonts w:ascii="Arial" w:hAnsi="Arial" w:cs="Arial"/>
          <w:sz w:val="22"/>
          <w:szCs w:val="22"/>
        </w:rPr>
        <w:t xml:space="preserve">abuse, and welcomes the ALRC’s focus on addressing elder financial abuse. In our experience, not only this </w:t>
      </w:r>
      <w:r w:rsidR="00697475" w:rsidRPr="001F6E7B">
        <w:rPr>
          <w:rFonts w:ascii="Arial" w:hAnsi="Arial" w:cs="Arial"/>
          <w:sz w:val="22"/>
          <w:szCs w:val="22"/>
        </w:rPr>
        <w:lastRenderedPageBreak/>
        <w:t xml:space="preserve">is the leading form of elder abuse in respect of matters pertaining to the estate planning arrangements of elder Australians, but we further express the proposition that </w:t>
      </w:r>
      <w:r w:rsidR="00342196" w:rsidRPr="001F6E7B">
        <w:rPr>
          <w:rFonts w:ascii="Arial" w:hAnsi="Arial" w:cs="Arial"/>
          <w:sz w:val="22"/>
          <w:szCs w:val="22"/>
        </w:rPr>
        <w:t>three (3)</w:t>
      </w:r>
      <w:r w:rsidR="00697475" w:rsidRPr="001F6E7B">
        <w:rPr>
          <w:rFonts w:ascii="Arial" w:hAnsi="Arial" w:cs="Arial"/>
          <w:sz w:val="22"/>
          <w:szCs w:val="22"/>
        </w:rPr>
        <w:t xml:space="preserve"> of the </w:t>
      </w:r>
      <w:r w:rsidR="00342196" w:rsidRPr="001F6E7B">
        <w:rPr>
          <w:rFonts w:ascii="Arial" w:hAnsi="Arial" w:cs="Arial"/>
          <w:sz w:val="22"/>
          <w:szCs w:val="22"/>
        </w:rPr>
        <w:t>four (4)</w:t>
      </w:r>
      <w:r w:rsidR="00697475" w:rsidRPr="001F6E7B">
        <w:rPr>
          <w:rFonts w:ascii="Arial" w:hAnsi="Arial" w:cs="Arial"/>
          <w:sz w:val="22"/>
          <w:szCs w:val="22"/>
        </w:rPr>
        <w:t xml:space="preserve"> categories of elder abuse referenced in DP 83 (namely</w:t>
      </w:r>
      <w:r w:rsidR="00697475" w:rsidRPr="001F6E7B">
        <w:rPr>
          <w:rFonts w:ascii="Arial" w:hAnsi="Arial" w:cs="Arial"/>
          <w:i/>
          <w:sz w:val="22"/>
          <w:szCs w:val="22"/>
        </w:rPr>
        <w:t>, psychological/emotional abuse, physical abuse</w:t>
      </w:r>
      <w:r w:rsidR="00342196" w:rsidRPr="001F6E7B">
        <w:rPr>
          <w:rFonts w:ascii="Arial" w:hAnsi="Arial" w:cs="Arial"/>
          <w:i/>
          <w:sz w:val="22"/>
          <w:szCs w:val="22"/>
        </w:rPr>
        <w:t xml:space="preserve">, </w:t>
      </w:r>
      <w:r w:rsidR="00342196" w:rsidRPr="001F6E7B">
        <w:rPr>
          <w:rFonts w:ascii="Arial" w:hAnsi="Arial" w:cs="Arial"/>
          <w:sz w:val="22"/>
          <w:szCs w:val="22"/>
        </w:rPr>
        <w:t>and</w:t>
      </w:r>
      <w:r w:rsidR="00342196" w:rsidRPr="001F6E7B">
        <w:rPr>
          <w:rFonts w:ascii="Arial" w:hAnsi="Arial" w:cs="Arial"/>
          <w:i/>
          <w:sz w:val="22"/>
          <w:szCs w:val="22"/>
        </w:rPr>
        <w:t xml:space="preserve"> neglect</w:t>
      </w:r>
      <w:r w:rsidR="00342196" w:rsidRPr="001F6E7B">
        <w:rPr>
          <w:rFonts w:ascii="Arial" w:hAnsi="Arial" w:cs="Arial"/>
          <w:sz w:val="22"/>
          <w:szCs w:val="22"/>
        </w:rPr>
        <w:t xml:space="preserve">) are motivated by financial needs and/or imperatives, and thus it can be further expressed that </w:t>
      </w:r>
      <w:r w:rsidR="00342196" w:rsidRPr="00671E50">
        <w:rPr>
          <w:rFonts w:ascii="Arial" w:hAnsi="Arial" w:cs="Arial"/>
          <w:i/>
          <w:sz w:val="22"/>
          <w:szCs w:val="22"/>
        </w:rPr>
        <w:t xml:space="preserve">financial </w:t>
      </w:r>
      <w:r w:rsidR="00342196" w:rsidRPr="001F6E7B">
        <w:rPr>
          <w:rFonts w:ascii="Arial" w:hAnsi="Arial" w:cs="Arial"/>
          <w:sz w:val="22"/>
          <w:szCs w:val="22"/>
        </w:rPr>
        <w:t xml:space="preserve">abuse </w:t>
      </w:r>
      <w:r w:rsidR="00633A82">
        <w:rPr>
          <w:rFonts w:ascii="Arial" w:hAnsi="Arial" w:cs="Arial"/>
          <w:sz w:val="22"/>
          <w:szCs w:val="22"/>
        </w:rPr>
        <w:t>is a catalyst for</w:t>
      </w:r>
      <w:r w:rsidR="00342196" w:rsidRPr="001F6E7B">
        <w:rPr>
          <w:rFonts w:ascii="Arial" w:hAnsi="Arial" w:cs="Arial"/>
          <w:sz w:val="22"/>
          <w:szCs w:val="22"/>
        </w:rPr>
        <w:t xml:space="preserve"> psychological/emotional abuse, physical abuse, and neglect. This has certainly been our experience in this space. For completeness, we have no </w:t>
      </w:r>
      <w:r w:rsidR="00633A82">
        <w:rPr>
          <w:rFonts w:ascii="Arial" w:hAnsi="Arial" w:cs="Arial"/>
          <w:sz w:val="22"/>
          <w:szCs w:val="22"/>
        </w:rPr>
        <w:t xml:space="preserve">evidentiary </w:t>
      </w:r>
      <w:r w:rsidR="00342196" w:rsidRPr="001F6E7B">
        <w:rPr>
          <w:rFonts w:ascii="Arial" w:hAnsi="Arial" w:cs="Arial"/>
          <w:sz w:val="22"/>
          <w:szCs w:val="22"/>
        </w:rPr>
        <w:t xml:space="preserve">basis to express a proposition that </w:t>
      </w:r>
      <w:r w:rsidR="00342196" w:rsidRPr="001F6E7B">
        <w:rPr>
          <w:rFonts w:ascii="Arial" w:hAnsi="Arial" w:cs="Arial"/>
          <w:i/>
          <w:sz w:val="22"/>
          <w:szCs w:val="22"/>
        </w:rPr>
        <w:t>sexual</w:t>
      </w:r>
      <w:r w:rsidR="00342196" w:rsidRPr="001F6E7B">
        <w:rPr>
          <w:rFonts w:ascii="Arial" w:hAnsi="Arial" w:cs="Arial"/>
          <w:sz w:val="22"/>
          <w:szCs w:val="22"/>
        </w:rPr>
        <w:t xml:space="preserve"> abuse of elder Australian</w:t>
      </w:r>
      <w:r w:rsidR="00671E50">
        <w:rPr>
          <w:rFonts w:ascii="Arial" w:hAnsi="Arial" w:cs="Arial"/>
          <w:sz w:val="22"/>
          <w:szCs w:val="22"/>
        </w:rPr>
        <w:t>s</w:t>
      </w:r>
      <w:r w:rsidR="00342196" w:rsidRPr="001F6E7B">
        <w:rPr>
          <w:rFonts w:ascii="Arial" w:hAnsi="Arial" w:cs="Arial"/>
          <w:sz w:val="22"/>
          <w:szCs w:val="22"/>
        </w:rPr>
        <w:t xml:space="preserve"> is motivated by </w:t>
      </w:r>
      <w:r w:rsidR="00342196" w:rsidRPr="001F6E7B">
        <w:rPr>
          <w:rFonts w:ascii="Arial" w:hAnsi="Arial" w:cs="Arial"/>
          <w:i/>
          <w:sz w:val="22"/>
          <w:szCs w:val="22"/>
        </w:rPr>
        <w:t xml:space="preserve">financial </w:t>
      </w:r>
      <w:r w:rsidR="00671E50">
        <w:rPr>
          <w:rFonts w:ascii="Arial" w:hAnsi="Arial" w:cs="Arial"/>
          <w:sz w:val="22"/>
          <w:szCs w:val="22"/>
        </w:rPr>
        <w:t>imperatives.</w:t>
      </w:r>
    </w:p>
    <w:p w:rsidR="00671E50" w:rsidRPr="00671E50" w:rsidRDefault="00671E50" w:rsidP="00671E50">
      <w:pPr>
        <w:pStyle w:val="ListParagraph"/>
        <w:rPr>
          <w:rFonts w:ascii="Arial" w:hAnsi="Arial" w:cs="Arial"/>
          <w:sz w:val="22"/>
          <w:szCs w:val="22"/>
        </w:rPr>
      </w:pPr>
    </w:p>
    <w:p w:rsidR="00697475" w:rsidRDefault="00342196"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Accordingly, we consider that the focus of reform (at least in the first instance) should be on </w:t>
      </w:r>
      <w:r w:rsidRPr="00671E50">
        <w:rPr>
          <w:rFonts w:ascii="Arial" w:hAnsi="Arial" w:cs="Arial"/>
          <w:i/>
          <w:sz w:val="22"/>
          <w:szCs w:val="22"/>
        </w:rPr>
        <w:t>elder financial abuse</w:t>
      </w:r>
      <w:r w:rsidRPr="001F6E7B">
        <w:rPr>
          <w:rFonts w:ascii="Arial" w:hAnsi="Arial" w:cs="Arial"/>
          <w:sz w:val="22"/>
          <w:szCs w:val="22"/>
        </w:rPr>
        <w:t>. Consequently, this submission will focus on elder financial abuse.</w:t>
      </w:r>
    </w:p>
    <w:p w:rsidR="002D59A3" w:rsidRPr="002D59A3" w:rsidRDefault="002D59A3" w:rsidP="002D59A3">
      <w:pPr>
        <w:pStyle w:val="ListParagraph"/>
        <w:rPr>
          <w:rFonts w:ascii="Arial" w:hAnsi="Arial" w:cs="Arial"/>
          <w:sz w:val="22"/>
          <w:szCs w:val="22"/>
        </w:rPr>
      </w:pPr>
    </w:p>
    <w:p w:rsidR="002D59A3" w:rsidRPr="002D59A3" w:rsidRDefault="002D59A3" w:rsidP="002D59A3">
      <w:pPr>
        <w:pStyle w:val="ListParagraph"/>
        <w:tabs>
          <w:tab w:val="center" w:pos="4819"/>
        </w:tabs>
        <w:ind w:left="1560" w:right="708"/>
        <w:jc w:val="both"/>
        <w:rPr>
          <w:rFonts w:ascii="Arial" w:hAnsi="Arial" w:cs="Arial"/>
          <w:b/>
          <w:i/>
          <w:sz w:val="22"/>
          <w:szCs w:val="22"/>
        </w:rPr>
      </w:pPr>
      <w:r>
        <w:rPr>
          <w:rFonts w:ascii="Arial" w:hAnsi="Arial" w:cs="Arial"/>
          <w:b/>
          <w:i/>
          <w:sz w:val="22"/>
          <w:szCs w:val="22"/>
        </w:rPr>
        <w:t>Intention</w:t>
      </w:r>
    </w:p>
    <w:p w:rsidR="008037BB" w:rsidRPr="001F6E7B" w:rsidRDefault="008037BB" w:rsidP="00C41272">
      <w:pPr>
        <w:pStyle w:val="ListParagraph"/>
        <w:ind w:right="708"/>
        <w:rPr>
          <w:rFonts w:ascii="Arial" w:hAnsi="Arial" w:cs="Arial"/>
          <w:sz w:val="22"/>
          <w:szCs w:val="22"/>
        </w:rPr>
      </w:pPr>
    </w:p>
    <w:p w:rsidR="008037BB" w:rsidRPr="001F6E7B" w:rsidRDefault="008037B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A critical threshold issue on which we wish to </w:t>
      </w:r>
      <w:r w:rsidR="00633A82">
        <w:rPr>
          <w:rFonts w:ascii="Arial" w:hAnsi="Arial" w:cs="Arial"/>
          <w:sz w:val="22"/>
          <w:szCs w:val="22"/>
        </w:rPr>
        <w:t>comment</w:t>
      </w:r>
      <w:r w:rsidRPr="001F6E7B">
        <w:rPr>
          <w:rFonts w:ascii="Arial" w:hAnsi="Arial" w:cs="Arial"/>
          <w:sz w:val="22"/>
          <w:szCs w:val="22"/>
        </w:rPr>
        <w:t xml:space="preserve">, is the question of whether any definition of "elder abuse", and courses of action available to or on behalf of affected persons, should be subject to an element of </w:t>
      </w:r>
      <w:r w:rsidRPr="001F6E7B">
        <w:rPr>
          <w:rFonts w:ascii="Arial" w:hAnsi="Arial" w:cs="Arial"/>
          <w:i/>
          <w:sz w:val="22"/>
          <w:szCs w:val="22"/>
        </w:rPr>
        <w:t>intention</w:t>
      </w:r>
      <w:r w:rsidRPr="001F6E7B">
        <w:rPr>
          <w:rFonts w:ascii="Arial" w:hAnsi="Arial" w:cs="Arial"/>
          <w:sz w:val="22"/>
          <w:szCs w:val="22"/>
        </w:rPr>
        <w:t xml:space="preserve">. In other words, must there be an </w:t>
      </w:r>
      <w:r w:rsidRPr="001F6E7B">
        <w:rPr>
          <w:rFonts w:ascii="Arial" w:hAnsi="Arial" w:cs="Arial"/>
          <w:i/>
          <w:sz w:val="22"/>
          <w:szCs w:val="22"/>
        </w:rPr>
        <w:t>intention</w:t>
      </w:r>
      <w:r w:rsidRPr="001F6E7B">
        <w:rPr>
          <w:rFonts w:ascii="Arial" w:hAnsi="Arial" w:cs="Arial"/>
          <w:sz w:val="22"/>
          <w:szCs w:val="22"/>
        </w:rPr>
        <w:t xml:space="preserve"> to cause harm (or whatever might be the requisite element), or is the mere fact that a person has suffered harm (which is </w:t>
      </w:r>
      <w:r w:rsidR="00671E50">
        <w:rPr>
          <w:rFonts w:ascii="Arial" w:hAnsi="Arial" w:cs="Arial"/>
          <w:sz w:val="22"/>
          <w:szCs w:val="22"/>
        </w:rPr>
        <w:t xml:space="preserve">potentially </w:t>
      </w:r>
      <w:r w:rsidRPr="001F6E7B">
        <w:rPr>
          <w:rFonts w:ascii="Arial" w:hAnsi="Arial" w:cs="Arial"/>
          <w:sz w:val="22"/>
          <w:szCs w:val="22"/>
        </w:rPr>
        <w:t>a subjective concept) sufficient for the application of "elder abuse"?</w:t>
      </w:r>
    </w:p>
    <w:p w:rsidR="008037BB" w:rsidRPr="001F6E7B" w:rsidRDefault="008037BB" w:rsidP="00C41272">
      <w:pPr>
        <w:pStyle w:val="ListParagraph"/>
        <w:ind w:right="708"/>
        <w:rPr>
          <w:rFonts w:ascii="Arial" w:hAnsi="Arial" w:cs="Arial"/>
          <w:sz w:val="22"/>
          <w:szCs w:val="22"/>
        </w:rPr>
      </w:pPr>
    </w:p>
    <w:p w:rsidR="00C02F22" w:rsidRPr="001F6E7B" w:rsidRDefault="008037B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Hamilton Blackstone Lawyers’ view is that </w:t>
      </w:r>
      <w:r w:rsidR="00987CA2" w:rsidRPr="001F6E7B">
        <w:rPr>
          <w:rFonts w:ascii="Arial" w:hAnsi="Arial" w:cs="Arial"/>
          <w:sz w:val="22"/>
          <w:szCs w:val="22"/>
        </w:rPr>
        <w:t xml:space="preserve">any application of "elder abuse" should be subject to the requisite element of </w:t>
      </w:r>
      <w:r w:rsidR="00987CA2" w:rsidRPr="001F6E7B">
        <w:rPr>
          <w:rFonts w:ascii="Arial" w:hAnsi="Arial" w:cs="Arial"/>
          <w:i/>
          <w:sz w:val="22"/>
          <w:szCs w:val="22"/>
        </w:rPr>
        <w:t>intention</w:t>
      </w:r>
      <w:r w:rsidR="00987CA2" w:rsidRPr="001F6E7B">
        <w:rPr>
          <w:rFonts w:ascii="Arial" w:hAnsi="Arial" w:cs="Arial"/>
          <w:sz w:val="22"/>
          <w:szCs w:val="22"/>
        </w:rPr>
        <w:t xml:space="preserve">. In other words, the person must have </w:t>
      </w:r>
      <w:r w:rsidR="00987CA2" w:rsidRPr="001F6E7B">
        <w:rPr>
          <w:rFonts w:ascii="Arial" w:hAnsi="Arial" w:cs="Arial"/>
          <w:i/>
          <w:sz w:val="22"/>
          <w:szCs w:val="22"/>
        </w:rPr>
        <w:t>intended</w:t>
      </w:r>
      <w:r w:rsidR="00987CA2" w:rsidRPr="001F6E7B">
        <w:rPr>
          <w:rFonts w:ascii="Arial" w:hAnsi="Arial" w:cs="Arial"/>
          <w:sz w:val="22"/>
          <w:szCs w:val="22"/>
        </w:rPr>
        <w:t xml:space="preserve"> to cause harm (or whatever might be the requisite element) to the person with whom they have the requi</w:t>
      </w:r>
      <w:r w:rsidR="00C02F22" w:rsidRPr="001F6E7B">
        <w:rPr>
          <w:rFonts w:ascii="Arial" w:hAnsi="Arial" w:cs="Arial"/>
          <w:sz w:val="22"/>
          <w:szCs w:val="22"/>
        </w:rPr>
        <w:t xml:space="preserve">site relationship. We agree with </w:t>
      </w:r>
      <w:r w:rsidR="00671E50">
        <w:rPr>
          <w:rFonts w:ascii="Arial" w:hAnsi="Arial" w:cs="Arial"/>
          <w:sz w:val="22"/>
          <w:szCs w:val="22"/>
        </w:rPr>
        <w:t xml:space="preserve">the </w:t>
      </w:r>
      <w:r w:rsidR="00C02F22" w:rsidRPr="001F6E7B">
        <w:rPr>
          <w:rFonts w:ascii="Arial" w:hAnsi="Arial" w:cs="Arial"/>
          <w:sz w:val="22"/>
          <w:szCs w:val="22"/>
        </w:rPr>
        <w:t xml:space="preserve">ALRC that the WHO definition of "elder abuse" itself does not address the question of </w:t>
      </w:r>
      <w:r w:rsidR="00C02F22" w:rsidRPr="001F6E7B">
        <w:rPr>
          <w:rFonts w:ascii="Arial" w:hAnsi="Arial" w:cs="Arial"/>
          <w:i/>
          <w:sz w:val="22"/>
          <w:szCs w:val="22"/>
        </w:rPr>
        <w:t>intention</w:t>
      </w:r>
      <w:r w:rsidR="00C02F22" w:rsidRPr="001F6E7B">
        <w:rPr>
          <w:rFonts w:ascii="Arial" w:hAnsi="Arial" w:cs="Arial"/>
          <w:sz w:val="22"/>
          <w:szCs w:val="22"/>
        </w:rPr>
        <w:t xml:space="preserve">. </w:t>
      </w:r>
      <w:r w:rsidR="00671E50">
        <w:rPr>
          <w:rFonts w:ascii="Arial" w:hAnsi="Arial" w:cs="Arial"/>
          <w:sz w:val="22"/>
          <w:szCs w:val="22"/>
        </w:rPr>
        <w:t>However, i</w:t>
      </w:r>
      <w:r w:rsidR="00C02F22" w:rsidRPr="001F6E7B">
        <w:rPr>
          <w:rFonts w:ascii="Arial" w:hAnsi="Arial" w:cs="Arial"/>
          <w:sz w:val="22"/>
          <w:szCs w:val="22"/>
        </w:rPr>
        <w:t>ndividual acts in which the alleged perpetrator did not intend to cause harm should not be captured. We do not agree with any proposition that the focus of re</w:t>
      </w:r>
      <w:r w:rsidR="00671E50">
        <w:rPr>
          <w:rFonts w:ascii="Arial" w:hAnsi="Arial" w:cs="Arial"/>
          <w:sz w:val="22"/>
          <w:szCs w:val="22"/>
        </w:rPr>
        <w:t>form should be on the effects on</w:t>
      </w:r>
      <w:r w:rsidR="00C02F22" w:rsidRPr="001F6E7B">
        <w:rPr>
          <w:rFonts w:ascii="Arial" w:hAnsi="Arial" w:cs="Arial"/>
          <w:sz w:val="22"/>
          <w:szCs w:val="22"/>
        </w:rPr>
        <w:t xml:space="preserve"> the affected person, </w:t>
      </w:r>
      <w:r w:rsidR="00633A82">
        <w:rPr>
          <w:rFonts w:ascii="Arial" w:hAnsi="Arial" w:cs="Arial"/>
          <w:sz w:val="22"/>
          <w:szCs w:val="22"/>
        </w:rPr>
        <w:t>at the expense of</w:t>
      </w:r>
      <w:r w:rsidR="00C02F22" w:rsidRPr="001F6E7B">
        <w:rPr>
          <w:rFonts w:ascii="Arial" w:hAnsi="Arial" w:cs="Arial"/>
          <w:sz w:val="22"/>
          <w:szCs w:val="22"/>
        </w:rPr>
        <w:t xml:space="preserve"> the intentions of the perpetrator.</w:t>
      </w:r>
    </w:p>
    <w:p w:rsidR="00C02F22" w:rsidRPr="001F6E7B" w:rsidRDefault="00C02F22" w:rsidP="00C41272">
      <w:pPr>
        <w:tabs>
          <w:tab w:val="center" w:pos="4819"/>
        </w:tabs>
        <w:ind w:right="708"/>
        <w:jc w:val="both"/>
        <w:rPr>
          <w:rFonts w:ascii="Arial" w:hAnsi="Arial" w:cs="Arial"/>
          <w:sz w:val="22"/>
          <w:szCs w:val="22"/>
        </w:rPr>
      </w:pPr>
    </w:p>
    <w:p w:rsidR="00C02F22" w:rsidRPr="001F6E7B" w:rsidRDefault="00067720"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If</w:t>
      </w:r>
      <w:r w:rsidR="00C02F22" w:rsidRPr="001F6E7B">
        <w:rPr>
          <w:rFonts w:ascii="Arial" w:hAnsi="Arial" w:cs="Arial"/>
          <w:sz w:val="22"/>
          <w:szCs w:val="22"/>
        </w:rPr>
        <w:t xml:space="preserve">, for example, criminal proceedings are brought against an alleged perpetrator, the element of </w:t>
      </w:r>
      <w:r w:rsidR="00C02F22" w:rsidRPr="001F6E7B">
        <w:rPr>
          <w:rFonts w:ascii="Arial" w:hAnsi="Arial" w:cs="Arial"/>
          <w:i/>
          <w:sz w:val="22"/>
          <w:szCs w:val="22"/>
        </w:rPr>
        <w:t>intention</w:t>
      </w:r>
      <w:r w:rsidR="00C02F22" w:rsidRPr="001F6E7B">
        <w:rPr>
          <w:rFonts w:ascii="Arial" w:hAnsi="Arial" w:cs="Arial"/>
          <w:sz w:val="22"/>
          <w:szCs w:val="22"/>
        </w:rPr>
        <w:t xml:space="preserve"> would need to be established in any event. Further, and indeed, the reference to elder "abuse" of itself suggests that an element of </w:t>
      </w:r>
      <w:r w:rsidR="00C02F22" w:rsidRPr="001F6E7B">
        <w:rPr>
          <w:rFonts w:ascii="Arial" w:hAnsi="Arial" w:cs="Arial"/>
          <w:i/>
          <w:sz w:val="22"/>
          <w:szCs w:val="22"/>
        </w:rPr>
        <w:t>intent</w:t>
      </w:r>
      <w:r w:rsidR="00C02F22" w:rsidRPr="001F6E7B">
        <w:rPr>
          <w:rFonts w:ascii="Arial" w:hAnsi="Arial" w:cs="Arial"/>
          <w:sz w:val="22"/>
          <w:szCs w:val="22"/>
        </w:rPr>
        <w:t xml:space="preserve"> is present.</w:t>
      </w:r>
    </w:p>
    <w:p w:rsidR="00C02F22" w:rsidRPr="001F6E7B" w:rsidRDefault="00C02F22" w:rsidP="00C41272">
      <w:pPr>
        <w:pStyle w:val="ListParagraph"/>
        <w:tabs>
          <w:tab w:val="center" w:pos="4819"/>
        </w:tabs>
        <w:ind w:left="1560" w:right="708"/>
        <w:jc w:val="both"/>
        <w:rPr>
          <w:rFonts w:ascii="Arial" w:hAnsi="Arial" w:cs="Arial"/>
          <w:sz w:val="22"/>
          <w:szCs w:val="22"/>
        </w:rPr>
      </w:pPr>
    </w:p>
    <w:p w:rsidR="00B93C94" w:rsidRDefault="00C02F22"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Proponents of the view that the definition or application of "elder abuse" should not be subject to a requisite element of </w:t>
      </w:r>
      <w:r w:rsidRPr="001F6E7B">
        <w:rPr>
          <w:rFonts w:ascii="Arial" w:hAnsi="Arial" w:cs="Arial"/>
          <w:i/>
          <w:sz w:val="22"/>
          <w:szCs w:val="22"/>
        </w:rPr>
        <w:t>intention</w:t>
      </w:r>
      <w:r w:rsidRPr="001F6E7B">
        <w:rPr>
          <w:rFonts w:ascii="Arial" w:hAnsi="Arial" w:cs="Arial"/>
          <w:sz w:val="22"/>
          <w:szCs w:val="22"/>
        </w:rPr>
        <w:t xml:space="preserve">, will likely express the position (not unreasonably) that it will usually be difficult for the alleged victim (whether because of age, </w:t>
      </w:r>
      <w:r w:rsidR="00D92EFB" w:rsidRPr="001F6E7B">
        <w:rPr>
          <w:rFonts w:ascii="Arial" w:hAnsi="Arial" w:cs="Arial"/>
          <w:sz w:val="22"/>
          <w:szCs w:val="22"/>
        </w:rPr>
        <w:t xml:space="preserve">physical or mental incapacity, to name a few) </w:t>
      </w:r>
      <w:r w:rsidRPr="001F6E7B">
        <w:rPr>
          <w:rFonts w:ascii="Arial" w:hAnsi="Arial" w:cs="Arial"/>
          <w:sz w:val="22"/>
          <w:szCs w:val="22"/>
        </w:rPr>
        <w:t>to establish that the allege</w:t>
      </w:r>
      <w:r w:rsidR="00D92EFB" w:rsidRPr="001F6E7B">
        <w:rPr>
          <w:rFonts w:ascii="Arial" w:hAnsi="Arial" w:cs="Arial"/>
          <w:sz w:val="22"/>
          <w:szCs w:val="22"/>
        </w:rPr>
        <w:t>d</w:t>
      </w:r>
      <w:r w:rsidRPr="001F6E7B">
        <w:rPr>
          <w:rFonts w:ascii="Arial" w:hAnsi="Arial" w:cs="Arial"/>
          <w:sz w:val="22"/>
          <w:szCs w:val="22"/>
        </w:rPr>
        <w:t xml:space="preserve"> perpetrator </w:t>
      </w:r>
      <w:r w:rsidRPr="001F6E7B">
        <w:rPr>
          <w:rFonts w:ascii="Arial" w:hAnsi="Arial" w:cs="Arial"/>
          <w:i/>
          <w:sz w:val="22"/>
          <w:szCs w:val="22"/>
        </w:rPr>
        <w:t>intended</w:t>
      </w:r>
      <w:r w:rsidRPr="001F6E7B">
        <w:rPr>
          <w:rFonts w:ascii="Arial" w:hAnsi="Arial" w:cs="Arial"/>
          <w:sz w:val="22"/>
          <w:szCs w:val="22"/>
        </w:rPr>
        <w:t xml:space="preserve"> to cause the harm in question</w:t>
      </w:r>
      <w:r w:rsidR="00D92EFB" w:rsidRPr="001F6E7B">
        <w:rPr>
          <w:rFonts w:ascii="Arial" w:hAnsi="Arial" w:cs="Arial"/>
          <w:sz w:val="22"/>
          <w:szCs w:val="22"/>
        </w:rPr>
        <w:t xml:space="preserve">, and therefore the focus should be </w:t>
      </w:r>
      <w:r w:rsidR="00671E50">
        <w:rPr>
          <w:rFonts w:ascii="Arial" w:hAnsi="Arial" w:cs="Arial"/>
          <w:sz w:val="22"/>
          <w:szCs w:val="22"/>
        </w:rPr>
        <w:t xml:space="preserve">on </w:t>
      </w:r>
      <w:r w:rsidR="00D92EFB" w:rsidRPr="001F6E7B">
        <w:rPr>
          <w:rFonts w:ascii="Arial" w:hAnsi="Arial" w:cs="Arial"/>
          <w:sz w:val="22"/>
          <w:szCs w:val="22"/>
        </w:rPr>
        <w:t xml:space="preserve">whether the alleged victim </w:t>
      </w:r>
      <w:r w:rsidR="00D92EFB" w:rsidRPr="00671E50">
        <w:rPr>
          <w:rFonts w:ascii="Arial" w:hAnsi="Arial" w:cs="Arial"/>
          <w:i/>
          <w:sz w:val="22"/>
          <w:szCs w:val="22"/>
        </w:rPr>
        <w:t>in fact</w:t>
      </w:r>
      <w:r w:rsidR="00D92EFB" w:rsidRPr="001F6E7B">
        <w:rPr>
          <w:rFonts w:ascii="Arial" w:hAnsi="Arial" w:cs="Arial"/>
          <w:sz w:val="22"/>
          <w:szCs w:val="22"/>
        </w:rPr>
        <w:t xml:space="preserve"> suffered harm by the alleged perpetrator’s actions. Whilst we are sympathetic to this position, we consider that it is wholly improper to cause "elder abuse" to be enlivened merely by reference to the alleged victim’s subjective assessment of whether harm (or the relevant requisite element) has occurred.</w:t>
      </w:r>
    </w:p>
    <w:p w:rsidR="00B93C94" w:rsidRPr="00B93C94" w:rsidRDefault="00B93C94" w:rsidP="00B93C94">
      <w:pPr>
        <w:pStyle w:val="ListParagraph"/>
        <w:rPr>
          <w:rFonts w:ascii="Arial" w:hAnsi="Arial" w:cs="Arial"/>
          <w:sz w:val="22"/>
          <w:szCs w:val="22"/>
        </w:rPr>
      </w:pPr>
    </w:p>
    <w:p w:rsidR="00171E74" w:rsidRDefault="006815E3"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We further consider that any future proposal</w:t>
      </w:r>
      <w:r w:rsidR="002D59A3">
        <w:rPr>
          <w:rFonts w:ascii="Arial" w:hAnsi="Arial" w:cs="Arial"/>
          <w:sz w:val="22"/>
          <w:szCs w:val="22"/>
        </w:rPr>
        <w:t>s or reforms in this regard run</w:t>
      </w:r>
      <w:r w:rsidRPr="001F6E7B">
        <w:rPr>
          <w:rFonts w:ascii="Arial" w:hAnsi="Arial" w:cs="Arial"/>
          <w:sz w:val="22"/>
          <w:szCs w:val="22"/>
        </w:rPr>
        <w:t xml:space="preserve"> the risk of disincentivising persons to act in such trusted capacities (for example, attorney under a power of attorney, or executor/executrix under </w:t>
      </w:r>
      <w:r w:rsidR="0049588A" w:rsidRPr="001F6E7B">
        <w:rPr>
          <w:rFonts w:ascii="Arial" w:hAnsi="Arial" w:cs="Arial"/>
          <w:sz w:val="22"/>
          <w:szCs w:val="22"/>
        </w:rPr>
        <w:t>a will), which will prove both</w:t>
      </w:r>
      <w:r w:rsidRPr="001F6E7B">
        <w:rPr>
          <w:rFonts w:ascii="Arial" w:hAnsi="Arial" w:cs="Arial"/>
          <w:sz w:val="22"/>
          <w:szCs w:val="22"/>
        </w:rPr>
        <w:t xml:space="preserve"> </w:t>
      </w:r>
      <w:r w:rsidRPr="001F6E7B">
        <w:rPr>
          <w:rFonts w:ascii="Arial" w:hAnsi="Arial" w:cs="Arial"/>
          <w:sz w:val="22"/>
          <w:szCs w:val="22"/>
        </w:rPr>
        <w:lastRenderedPageBreak/>
        <w:t>counterintuitive and counterproductive, particularly when the focus should be on encouraging the development of such trusted relationships (see further below).</w:t>
      </w:r>
    </w:p>
    <w:p w:rsidR="002D59A3" w:rsidRDefault="002D59A3" w:rsidP="00C41272">
      <w:pPr>
        <w:pStyle w:val="ListParagraph"/>
        <w:tabs>
          <w:tab w:val="center" w:pos="4819"/>
        </w:tabs>
        <w:ind w:left="1560" w:right="708"/>
        <w:jc w:val="both"/>
        <w:rPr>
          <w:rFonts w:ascii="Arial" w:hAnsi="Arial" w:cs="Arial"/>
          <w:b/>
          <w:i/>
          <w:sz w:val="22"/>
          <w:szCs w:val="22"/>
        </w:rPr>
      </w:pPr>
      <w:r>
        <w:rPr>
          <w:rFonts w:ascii="Arial" w:hAnsi="Arial" w:cs="Arial"/>
          <w:b/>
          <w:i/>
          <w:sz w:val="22"/>
          <w:szCs w:val="22"/>
        </w:rPr>
        <w:t>Trust</w:t>
      </w:r>
    </w:p>
    <w:p w:rsidR="002D59A3" w:rsidRPr="002D59A3" w:rsidRDefault="002D59A3" w:rsidP="00C41272">
      <w:pPr>
        <w:pStyle w:val="ListParagraph"/>
        <w:tabs>
          <w:tab w:val="center" w:pos="4819"/>
        </w:tabs>
        <w:ind w:left="1560" w:right="708"/>
        <w:jc w:val="both"/>
        <w:rPr>
          <w:rFonts w:ascii="Arial" w:hAnsi="Arial" w:cs="Arial"/>
          <w:sz w:val="22"/>
          <w:szCs w:val="22"/>
        </w:rPr>
      </w:pPr>
    </w:p>
    <w:p w:rsidR="006815E3" w:rsidRPr="001F6E7B" w:rsidRDefault="006815E3"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We note the references to the element of "trust" in the WHO definition of "elder abuse". We agree with the proposition that the requisite element should be an </w:t>
      </w:r>
      <w:r w:rsidRPr="001F6E7B">
        <w:rPr>
          <w:rFonts w:ascii="Arial" w:hAnsi="Arial" w:cs="Arial"/>
          <w:i/>
          <w:sz w:val="22"/>
          <w:szCs w:val="22"/>
        </w:rPr>
        <w:t>expectation</w:t>
      </w:r>
      <w:r w:rsidRPr="001F6E7B">
        <w:rPr>
          <w:rFonts w:ascii="Arial" w:hAnsi="Arial" w:cs="Arial"/>
          <w:sz w:val="22"/>
          <w:szCs w:val="22"/>
        </w:rPr>
        <w:t xml:space="preserve"> of trust. This means that a formal relationship does not need to exist. It further means that an </w:t>
      </w:r>
      <w:r w:rsidRPr="001F6E7B">
        <w:rPr>
          <w:rFonts w:ascii="Arial" w:hAnsi="Arial" w:cs="Arial"/>
          <w:i/>
          <w:sz w:val="22"/>
          <w:szCs w:val="22"/>
        </w:rPr>
        <w:t xml:space="preserve">expectation </w:t>
      </w:r>
      <w:r w:rsidRPr="001F6E7B">
        <w:rPr>
          <w:rFonts w:ascii="Arial" w:hAnsi="Arial" w:cs="Arial"/>
          <w:sz w:val="22"/>
          <w:szCs w:val="22"/>
        </w:rPr>
        <w:t xml:space="preserve">of trust can arise in a wider range of cases. Addressing some of the examples raised in DP 83, an </w:t>
      </w:r>
      <w:r w:rsidRPr="001F6E7B">
        <w:rPr>
          <w:rFonts w:ascii="Arial" w:hAnsi="Arial" w:cs="Arial"/>
          <w:i/>
          <w:sz w:val="22"/>
          <w:szCs w:val="22"/>
        </w:rPr>
        <w:t>expectation</w:t>
      </w:r>
      <w:r w:rsidRPr="001F6E7B">
        <w:rPr>
          <w:rFonts w:ascii="Arial" w:hAnsi="Arial" w:cs="Arial"/>
          <w:sz w:val="22"/>
          <w:szCs w:val="22"/>
        </w:rPr>
        <w:t xml:space="preserve"> of trust means:</w:t>
      </w:r>
    </w:p>
    <w:p w:rsidR="006815E3" w:rsidRPr="001F6E7B" w:rsidRDefault="006815E3" w:rsidP="00C41272">
      <w:pPr>
        <w:pStyle w:val="ListParagraph"/>
        <w:ind w:right="708"/>
        <w:rPr>
          <w:rFonts w:ascii="Arial" w:hAnsi="Arial" w:cs="Arial"/>
          <w:sz w:val="22"/>
          <w:szCs w:val="22"/>
        </w:rPr>
      </w:pPr>
    </w:p>
    <w:p w:rsidR="006815E3" w:rsidRPr="001F6E7B" w:rsidRDefault="003E1772" w:rsidP="00C41272">
      <w:pPr>
        <w:pStyle w:val="LDStandardBodyText"/>
        <w:numPr>
          <w:ilvl w:val="0"/>
          <w:numId w:val="5"/>
        </w:numPr>
        <w:ind w:left="2127" w:right="708" w:hanging="567"/>
        <w:rPr>
          <w:rFonts w:cs="Arial"/>
          <w:szCs w:val="22"/>
        </w:rPr>
      </w:pPr>
      <w:r w:rsidRPr="001F6E7B">
        <w:rPr>
          <w:rFonts w:cs="Arial"/>
          <w:szCs w:val="22"/>
        </w:rPr>
        <w:t>Conduct by "strangers" (such as telemarketers) would and should be captured.</w:t>
      </w:r>
    </w:p>
    <w:p w:rsidR="006815E3" w:rsidRPr="001F6E7B" w:rsidRDefault="003E1772" w:rsidP="00C41272">
      <w:pPr>
        <w:pStyle w:val="LDStandardBodyText"/>
        <w:numPr>
          <w:ilvl w:val="0"/>
          <w:numId w:val="5"/>
        </w:numPr>
        <w:ind w:left="2127" w:right="708" w:hanging="567"/>
        <w:rPr>
          <w:rFonts w:cs="Arial"/>
          <w:szCs w:val="22"/>
        </w:rPr>
      </w:pPr>
      <w:r w:rsidRPr="001F6E7B">
        <w:rPr>
          <w:rFonts w:cs="Arial"/>
          <w:szCs w:val="22"/>
        </w:rPr>
        <w:t>It is irrelevant whether a relationship has been created through payment of or for services.</w:t>
      </w:r>
    </w:p>
    <w:p w:rsidR="003E1772" w:rsidRPr="001F6E7B" w:rsidRDefault="003E1772" w:rsidP="00C41272">
      <w:pPr>
        <w:pStyle w:val="LDStandardBodyText"/>
        <w:numPr>
          <w:ilvl w:val="0"/>
          <w:numId w:val="5"/>
        </w:numPr>
        <w:ind w:left="2127" w:right="708" w:hanging="567"/>
        <w:rPr>
          <w:rFonts w:cs="Arial"/>
          <w:szCs w:val="22"/>
        </w:rPr>
      </w:pPr>
      <w:r w:rsidRPr="001F6E7B">
        <w:rPr>
          <w:rFonts w:cs="Arial"/>
          <w:szCs w:val="22"/>
        </w:rPr>
        <w:t>All relationships, whether formal or informal, should be captured.</w:t>
      </w:r>
    </w:p>
    <w:p w:rsidR="003E1772" w:rsidRPr="001F6E7B" w:rsidRDefault="003E1772"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We further express the proposition that concerns which have been expressed in DP 83 about the potential scope of an </w:t>
      </w:r>
      <w:r w:rsidRPr="001F6E7B">
        <w:rPr>
          <w:rFonts w:ascii="Arial" w:hAnsi="Arial" w:cs="Arial"/>
          <w:i/>
          <w:sz w:val="22"/>
          <w:szCs w:val="22"/>
        </w:rPr>
        <w:t xml:space="preserve">expectation </w:t>
      </w:r>
      <w:r w:rsidRPr="001F6E7B">
        <w:rPr>
          <w:rFonts w:ascii="Arial" w:hAnsi="Arial" w:cs="Arial"/>
          <w:sz w:val="22"/>
          <w:szCs w:val="22"/>
        </w:rPr>
        <w:t xml:space="preserve">of trust can be adequately addressed by subjecting "elder abuse" to the requisite element of </w:t>
      </w:r>
      <w:r w:rsidRPr="001F6E7B">
        <w:rPr>
          <w:rFonts w:ascii="Arial" w:hAnsi="Arial" w:cs="Arial"/>
          <w:i/>
          <w:sz w:val="22"/>
          <w:szCs w:val="22"/>
        </w:rPr>
        <w:t>intention</w:t>
      </w:r>
      <w:r w:rsidRPr="001F6E7B">
        <w:rPr>
          <w:rFonts w:ascii="Arial" w:hAnsi="Arial" w:cs="Arial"/>
          <w:sz w:val="22"/>
          <w:szCs w:val="22"/>
        </w:rPr>
        <w:t xml:space="preserve"> as discussed above.</w:t>
      </w:r>
    </w:p>
    <w:p w:rsidR="003E1772" w:rsidRPr="001F6E7B" w:rsidRDefault="003E1772" w:rsidP="00C41272">
      <w:pPr>
        <w:pStyle w:val="ListParagraph"/>
        <w:tabs>
          <w:tab w:val="center" w:pos="4819"/>
        </w:tabs>
        <w:ind w:left="1560" w:right="708"/>
        <w:jc w:val="both"/>
        <w:rPr>
          <w:rFonts w:ascii="Arial" w:hAnsi="Arial" w:cs="Arial"/>
          <w:sz w:val="22"/>
          <w:szCs w:val="22"/>
        </w:rPr>
      </w:pPr>
    </w:p>
    <w:p w:rsidR="003E1772" w:rsidRPr="001F6E7B" w:rsidRDefault="003E1772"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b/>
          <w:sz w:val="22"/>
          <w:szCs w:val="22"/>
        </w:rPr>
        <w:t>We consider that an act within a relationship in which there is an expectation of trust, in which the alleged perpetrator intended to, and did, cause harm to the person in question, provides a useful barometer for discussion and consideration of proposals and</w:t>
      </w:r>
      <w:r w:rsidR="002D59A3">
        <w:rPr>
          <w:rFonts w:ascii="Arial" w:hAnsi="Arial" w:cs="Arial"/>
          <w:b/>
          <w:sz w:val="22"/>
          <w:szCs w:val="22"/>
        </w:rPr>
        <w:t xml:space="preserve"> reforms to address</w:t>
      </w:r>
      <w:r w:rsidRPr="001F6E7B">
        <w:rPr>
          <w:rFonts w:ascii="Arial" w:hAnsi="Arial" w:cs="Arial"/>
          <w:b/>
          <w:sz w:val="22"/>
          <w:szCs w:val="22"/>
        </w:rPr>
        <w:t xml:space="preserve"> "elder abuse".</w:t>
      </w:r>
    </w:p>
    <w:p w:rsidR="003E1772" w:rsidRPr="001F6E7B" w:rsidRDefault="003E1772" w:rsidP="00C41272">
      <w:pPr>
        <w:pStyle w:val="ListParagraph"/>
        <w:tabs>
          <w:tab w:val="center" w:pos="4819"/>
        </w:tabs>
        <w:ind w:left="1560" w:right="708"/>
        <w:jc w:val="both"/>
        <w:rPr>
          <w:rFonts w:ascii="Arial" w:hAnsi="Arial" w:cs="Arial"/>
          <w:sz w:val="22"/>
          <w:szCs w:val="22"/>
        </w:rPr>
      </w:pPr>
    </w:p>
    <w:p w:rsidR="003E1772" w:rsidRPr="001F6E7B" w:rsidRDefault="003E1772"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We further support the proposition that </w:t>
      </w:r>
      <w:r w:rsidR="000C0B7E" w:rsidRPr="001F6E7B">
        <w:rPr>
          <w:rFonts w:ascii="Arial" w:hAnsi="Arial" w:cs="Arial"/>
          <w:sz w:val="22"/>
          <w:szCs w:val="22"/>
        </w:rPr>
        <w:t xml:space="preserve">additional work should be undertaken to understand and conceptualise "elder abuse" for Aboriginal and Torres Strait Islanders, and indeed all Australian indigenous communities. </w:t>
      </w:r>
    </w:p>
    <w:p w:rsidR="003E1772" w:rsidRPr="001F6E7B" w:rsidRDefault="003E1772" w:rsidP="00C41272">
      <w:pPr>
        <w:pStyle w:val="ListParagraph"/>
        <w:ind w:right="708"/>
        <w:rPr>
          <w:rFonts w:ascii="Arial" w:hAnsi="Arial" w:cs="Arial"/>
          <w:sz w:val="22"/>
          <w:szCs w:val="22"/>
        </w:rPr>
      </w:pPr>
    </w:p>
    <w:p w:rsidR="00A07844" w:rsidRPr="001F6E7B" w:rsidRDefault="00A07844" w:rsidP="00C41272">
      <w:pPr>
        <w:pStyle w:val="LDStandardBodyText"/>
        <w:numPr>
          <w:ilvl w:val="0"/>
          <w:numId w:val="3"/>
        </w:numPr>
        <w:ind w:left="1560" w:right="708" w:hanging="851"/>
        <w:rPr>
          <w:rFonts w:cs="Arial"/>
          <w:b/>
          <w:szCs w:val="22"/>
        </w:rPr>
      </w:pPr>
      <w:r w:rsidRPr="001F6E7B">
        <w:rPr>
          <w:rFonts w:cs="Arial"/>
          <w:b/>
          <w:szCs w:val="22"/>
        </w:rPr>
        <w:t>Enduring Powers of Attorney and Enduring Guardianships</w:t>
      </w:r>
    </w:p>
    <w:p w:rsidR="00A07844" w:rsidRPr="001F6E7B" w:rsidRDefault="00A07844" w:rsidP="00C41272">
      <w:pPr>
        <w:pStyle w:val="ListParagraph"/>
        <w:numPr>
          <w:ilvl w:val="0"/>
          <w:numId w:val="2"/>
        </w:numPr>
        <w:tabs>
          <w:tab w:val="center" w:pos="4819"/>
        </w:tabs>
        <w:ind w:right="708"/>
        <w:jc w:val="both"/>
        <w:rPr>
          <w:rFonts w:ascii="Arial" w:hAnsi="Arial" w:cs="Arial"/>
          <w:vanish/>
          <w:sz w:val="22"/>
          <w:szCs w:val="22"/>
        </w:rPr>
      </w:pPr>
    </w:p>
    <w:p w:rsidR="005B6766" w:rsidRPr="005B6766" w:rsidRDefault="00A07844" w:rsidP="005B6766">
      <w:pPr>
        <w:pStyle w:val="ListParagraph"/>
        <w:numPr>
          <w:ilvl w:val="1"/>
          <w:numId w:val="2"/>
        </w:numPr>
        <w:tabs>
          <w:tab w:val="center" w:pos="4819"/>
        </w:tabs>
        <w:ind w:left="1560" w:right="708" w:hanging="851"/>
        <w:jc w:val="both"/>
        <w:rPr>
          <w:rFonts w:ascii="Arial" w:hAnsi="Arial" w:cs="Arial"/>
          <w:b/>
          <w:sz w:val="22"/>
          <w:szCs w:val="22"/>
        </w:rPr>
      </w:pPr>
      <w:r w:rsidRPr="005B6766">
        <w:rPr>
          <w:rFonts w:ascii="Arial" w:hAnsi="Arial" w:cs="Arial"/>
          <w:sz w:val="22"/>
          <w:szCs w:val="22"/>
        </w:rPr>
        <w:t>This submission will respond to the following proposals:</w:t>
      </w:r>
    </w:p>
    <w:p w:rsidR="005B6766" w:rsidRDefault="005B6766" w:rsidP="005B6766">
      <w:pPr>
        <w:pStyle w:val="ListParagraph"/>
        <w:tabs>
          <w:tab w:val="center" w:pos="4819"/>
        </w:tabs>
        <w:ind w:left="1560" w:right="708"/>
        <w:jc w:val="both"/>
        <w:rPr>
          <w:rFonts w:ascii="Arial" w:hAnsi="Arial" w:cs="Arial"/>
          <w:sz w:val="22"/>
          <w:szCs w:val="22"/>
        </w:rPr>
      </w:pPr>
    </w:p>
    <w:p w:rsidR="005B6766" w:rsidRPr="005B6766" w:rsidRDefault="005B6766" w:rsidP="005B6766">
      <w:pPr>
        <w:pStyle w:val="ListParagraph"/>
        <w:tabs>
          <w:tab w:val="center" w:pos="4819"/>
        </w:tabs>
        <w:ind w:left="1560" w:right="708"/>
        <w:jc w:val="both"/>
        <w:rPr>
          <w:rFonts w:ascii="Arial" w:eastAsiaTheme="minorEastAsia" w:hAnsi="Arial" w:cs="Arial"/>
          <w:i/>
          <w:sz w:val="22"/>
          <w:szCs w:val="22"/>
        </w:rPr>
      </w:pPr>
      <w:r w:rsidRPr="005B6766">
        <w:rPr>
          <w:rFonts w:ascii="Arial" w:eastAsiaTheme="minorEastAsia" w:hAnsi="Arial" w:cs="Arial"/>
          <w:b/>
          <w:bCs/>
          <w:i/>
          <w:sz w:val="22"/>
          <w:szCs w:val="22"/>
        </w:rPr>
        <w:t xml:space="preserve">Proposal 5–1 </w:t>
      </w:r>
      <w:r w:rsidRPr="005B6766">
        <w:rPr>
          <w:rFonts w:ascii="Arial" w:eastAsiaTheme="minorEastAsia" w:hAnsi="Arial" w:cs="Arial"/>
          <w:i/>
          <w:sz w:val="22"/>
          <w:szCs w:val="22"/>
        </w:rPr>
        <w:t>A national online register of enduring documents, and court and tribunal orders for the appointment of guardians and financial administrators, should be established.</w:t>
      </w:r>
    </w:p>
    <w:p w:rsidR="005B6766" w:rsidRPr="005B6766" w:rsidRDefault="005B6766" w:rsidP="005B6766">
      <w:pPr>
        <w:pStyle w:val="ListParagraph"/>
        <w:tabs>
          <w:tab w:val="center" w:pos="4819"/>
        </w:tabs>
        <w:ind w:left="1560" w:right="708"/>
        <w:jc w:val="both"/>
        <w:rPr>
          <w:rFonts w:ascii="Arial" w:eastAsiaTheme="minorEastAsia" w:hAnsi="Arial" w:cs="Arial"/>
          <w:b/>
          <w:bCs/>
          <w:i/>
          <w:sz w:val="22"/>
          <w:szCs w:val="22"/>
        </w:rPr>
      </w:pPr>
    </w:p>
    <w:p w:rsidR="005B6766" w:rsidRPr="005B6766" w:rsidRDefault="005B6766" w:rsidP="005B6766">
      <w:pPr>
        <w:pStyle w:val="ListParagraph"/>
        <w:tabs>
          <w:tab w:val="center" w:pos="4819"/>
        </w:tabs>
        <w:ind w:left="1560" w:right="708"/>
        <w:jc w:val="both"/>
        <w:rPr>
          <w:rFonts w:ascii="Arial" w:eastAsiaTheme="minorEastAsia" w:hAnsi="Arial" w:cs="Arial"/>
          <w:i/>
          <w:sz w:val="22"/>
          <w:szCs w:val="22"/>
        </w:rPr>
      </w:pPr>
      <w:r w:rsidRPr="005B6766">
        <w:rPr>
          <w:rFonts w:ascii="Arial" w:eastAsiaTheme="minorEastAsia" w:hAnsi="Arial" w:cs="Arial"/>
          <w:b/>
          <w:bCs/>
          <w:i/>
          <w:sz w:val="22"/>
          <w:szCs w:val="22"/>
        </w:rPr>
        <w:t xml:space="preserve">Proposal 5–2 </w:t>
      </w:r>
      <w:r w:rsidRPr="005B6766">
        <w:rPr>
          <w:rFonts w:ascii="Arial" w:eastAsiaTheme="minorEastAsia" w:hAnsi="Arial" w:cs="Arial"/>
          <w:i/>
          <w:sz w:val="22"/>
          <w:szCs w:val="22"/>
        </w:rPr>
        <w:t>The making or revocation of an enduring document should not be valid until registered. The making and registering of a subsequent enduring document should automatically revoke the previous document of the same type.</w:t>
      </w:r>
    </w:p>
    <w:p w:rsidR="00A07844" w:rsidRDefault="00A07844" w:rsidP="00C41272">
      <w:pPr>
        <w:tabs>
          <w:tab w:val="left" w:pos="983"/>
        </w:tabs>
        <w:ind w:right="708"/>
        <w:rPr>
          <w:rFonts w:ascii="Arial" w:hAnsi="Arial" w:cs="Arial"/>
          <w:sz w:val="22"/>
          <w:szCs w:val="22"/>
        </w:rPr>
      </w:pPr>
    </w:p>
    <w:p w:rsidR="00BB732E" w:rsidRPr="001F6E7B" w:rsidRDefault="00A07844" w:rsidP="00C41272">
      <w:pPr>
        <w:pStyle w:val="ListParagraph"/>
        <w:numPr>
          <w:ilvl w:val="1"/>
          <w:numId w:val="2"/>
        </w:numPr>
        <w:tabs>
          <w:tab w:val="center" w:pos="4819"/>
        </w:tabs>
        <w:ind w:left="1560" w:right="708" w:hanging="851"/>
        <w:jc w:val="both"/>
        <w:rPr>
          <w:rFonts w:ascii="Arial" w:hAnsi="Arial" w:cs="Arial"/>
          <w:sz w:val="22"/>
          <w:szCs w:val="22"/>
        </w:rPr>
      </w:pPr>
      <w:r w:rsidRPr="005B6766">
        <w:rPr>
          <w:rFonts w:ascii="Arial" w:hAnsi="Arial" w:cs="Arial"/>
          <w:sz w:val="22"/>
          <w:szCs w:val="22"/>
        </w:rPr>
        <w:t>We do not</w:t>
      </w:r>
      <w:r w:rsidRPr="001F6E7B">
        <w:rPr>
          <w:rFonts w:ascii="Arial" w:hAnsi="Arial" w:cs="Arial"/>
          <w:sz w:val="22"/>
          <w:szCs w:val="22"/>
        </w:rPr>
        <w:t xml:space="preserve"> agree with the proposals, for the following reasons.</w:t>
      </w:r>
    </w:p>
    <w:p w:rsidR="00BB732E" w:rsidRPr="001F6E7B" w:rsidRDefault="00BB732E" w:rsidP="00C41272">
      <w:pPr>
        <w:pStyle w:val="ListParagraph"/>
        <w:tabs>
          <w:tab w:val="center" w:pos="4819"/>
        </w:tabs>
        <w:ind w:left="1560" w:right="708"/>
        <w:jc w:val="both"/>
        <w:rPr>
          <w:rFonts w:ascii="Arial" w:hAnsi="Arial" w:cs="Arial"/>
          <w:sz w:val="22"/>
          <w:szCs w:val="22"/>
        </w:rPr>
      </w:pPr>
    </w:p>
    <w:p w:rsidR="00BB732E" w:rsidRPr="001F6E7B" w:rsidRDefault="005B6766"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W</w:t>
      </w:r>
      <w:r w:rsidR="00B93C94">
        <w:rPr>
          <w:rFonts w:ascii="Arial" w:hAnsi="Arial" w:cs="Arial"/>
          <w:sz w:val="22"/>
          <w:szCs w:val="22"/>
        </w:rPr>
        <w:t>e consider that the policy basi</w:t>
      </w:r>
      <w:r w:rsidR="00A07844" w:rsidRPr="001F6E7B">
        <w:rPr>
          <w:rFonts w:ascii="Arial" w:hAnsi="Arial" w:cs="Arial"/>
          <w:sz w:val="22"/>
          <w:szCs w:val="22"/>
        </w:rPr>
        <w:t>s for the proposal</w:t>
      </w:r>
      <w:r w:rsidR="00B93C94">
        <w:rPr>
          <w:rFonts w:ascii="Arial" w:hAnsi="Arial" w:cs="Arial"/>
          <w:sz w:val="22"/>
          <w:szCs w:val="22"/>
        </w:rPr>
        <w:t>s is</w:t>
      </w:r>
      <w:r w:rsidR="00A07844" w:rsidRPr="001F6E7B">
        <w:rPr>
          <w:rFonts w:ascii="Arial" w:hAnsi="Arial" w:cs="Arial"/>
          <w:sz w:val="22"/>
          <w:szCs w:val="22"/>
        </w:rPr>
        <w:t xml:space="preserve"> incorrect; specifically, that a register will reduce the incidence of elder financial abuse. </w:t>
      </w:r>
      <w:r w:rsidR="00BB732E" w:rsidRPr="001F6E7B">
        <w:rPr>
          <w:rFonts w:ascii="Arial" w:hAnsi="Arial" w:cs="Arial"/>
          <w:sz w:val="22"/>
          <w:szCs w:val="22"/>
        </w:rPr>
        <w:t xml:space="preserve">We note the ALRC’s reference to the </w:t>
      </w:r>
      <w:r w:rsidR="00B93C94">
        <w:rPr>
          <w:rFonts w:ascii="Arial" w:eastAsiaTheme="minorEastAsia" w:hAnsi="Arial" w:cs="Arial"/>
          <w:sz w:val="22"/>
          <w:szCs w:val="22"/>
        </w:rPr>
        <w:t>2016 R</w:t>
      </w:r>
      <w:r w:rsidR="00BB732E" w:rsidRPr="001F6E7B">
        <w:rPr>
          <w:rFonts w:ascii="Arial" w:eastAsiaTheme="minorEastAsia" w:hAnsi="Arial" w:cs="Arial"/>
          <w:sz w:val="22"/>
          <w:szCs w:val="22"/>
        </w:rPr>
        <w:t xml:space="preserve">eport on </w:t>
      </w:r>
      <w:r w:rsidR="00BB732E" w:rsidRPr="001F6E7B">
        <w:rPr>
          <w:rFonts w:ascii="Arial" w:eastAsiaTheme="minorEastAsia" w:hAnsi="Arial" w:cs="Arial"/>
          <w:i/>
          <w:iCs/>
          <w:sz w:val="22"/>
          <w:szCs w:val="22"/>
        </w:rPr>
        <w:t xml:space="preserve">Elder Abuse in New South Wales, </w:t>
      </w:r>
      <w:r w:rsidR="00BB732E" w:rsidRPr="001F6E7B">
        <w:rPr>
          <w:rFonts w:ascii="Arial" w:eastAsiaTheme="minorEastAsia" w:hAnsi="Arial" w:cs="Arial"/>
          <w:sz w:val="22"/>
          <w:szCs w:val="22"/>
        </w:rPr>
        <w:t>the Legislative Council, General Purpose Standing Committee No. 2 (NSW Parliamentary Committee), in which it was noted that:</w:t>
      </w:r>
    </w:p>
    <w:p w:rsidR="00BB732E" w:rsidRPr="001F6E7B" w:rsidRDefault="00BB732E" w:rsidP="00C41272">
      <w:pPr>
        <w:pStyle w:val="ListParagraph"/>
        <w:ind w:right="708"/>
        <w:rPr>
          <w:rFonts w:ascii="Arial" w:eastAsiaTheme="minorEastAsia" w:hAnsi="Arial" w:cs="Arial"/>
          <w:sz w:val="22"/>
          <w:szCs w:val="22"/>
        </w:rPr>
      </w:pPr>
    </w:p>
    <w:p w:rsidR="00A07844" w:rsidRPr="001F6E7B" w:rsidRDefault="00BB732E" w:rsidP="00C41272">
      <w:pPr>
        <w:pStyle w:val="ListParagraph"/>
        <w:tabs>
          <w:tab w:val="center" w:pos="4819"/>
        </w:tabs>
        <w:ind w:left="1560" w:right="708"/>
        <w:jc w:val="both"/>
        <w:rPr>
          <w:rFonts w:ascii="Arial" w:hAnsi="Arial" w:cs="Arial"/>
          <w:sz w:val="22"/>
          <w:szCs w:val="22"/>
        </w:rPr>
      </w:pPr>
      <w:r w:rsidRPr="001F6E7B">
        <w:rPr>
          <w:rFonts w:ascii="Arial" w:eastAsiaTheme="minorEastAsia" w:hAnsi="Arial" w:cs="Arial"/>
          <w:i/>
          <w:sz w:val="22"/>
          <w:szCs w:val="22"/>
        </w:rPr>
        <w:t xml:space="preserve">It is perplexing that such powerful documents are not registered anywhere; that there is no formal record of those that have been activated and those revoked. A register </w:t>
      </w:r>
      <w:r w:rsidRPr="001F6E7B">
        <w:rPr>
          <w:rFonts w:ascii="Arial" w:eastAsiaTheme="minorEastAsia" w:hAnsi="Arial" w:cs="Arial"/>
          <w:i/>
          <w:sz w:val="22"/>
          <w:szCs w:val="22"/>
        </w:rPr>
        <w:lastRenderedPageBreak/>
        <w:t>would rightly enable solicitors, banks and others to check the authenticity of an instrument or to track one down and would also send the signal that these are documents to be taken seriously. It thus seems clear that mandatory registration would deliver greater safeguards against financial abuse</w:t>
      </w:r>
      <w:r w:rsidRPr="001F6E7B">
        <w:rPr>
          <w:rFonts w:ascii="Arial" w:eastAsiaTheme="minorEastAsia" w:hAnsi="Arial" w:cs="Arial"/>
          <w:sz w:val="22"/>
          <w:szCs w:val="22"/>
        </w:rPr>
        <w:t>.</w:t>
      </w:r>
    </w:p>
    <w:p w:rsidR="00A07844" w:rsidRPr="001F6E7B" w:rsidRDefault="00A07844" w:rsidP="00C41272">
      <w:pPr>
        <w:pStyle w:val="ListParagraph"/>
        <w:tabs>
          <w:tab w:val="center" w:pos="4819"/>
        </w:tabs>
        <w:ind w:left="1560" w:right="708"/>
        <w:jc w:val="both"/>
        <w:rPr>
          <w:rFonts w:ascii="Arial" w:hAnsi="Arial" w:cs="Arial"/>
          <w:sz w:val="22"/>
          <w:szCs w:val="22"/>
        </w:rPr>
      </w:pPr>
    </w:p>
    <w:p w:rsidR="00A07844" w:rsidRPr="001F6E7B" w:rsidRDefault="00BB732E"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Further, p</w:t>
      </w:r>
      <w:r w:rsidR="00A07844" w:rsidRPr="001F6E7B">
        <w:rPr>
          <w:rFonts w:ascii="Arial" w:hAnsi="Arial" w:cs="Arial"/>
          <w:sz w:val="22"/>
          <w:szCs w:val="22"/>
        </w:rPr>
        <w:t>aragraph 5.2 of DP 83 provides that:</w:t>
      </w:r>
    </w:p>
    <w:p w:rsidR="00A07844" w:rsidRPr="001F6E7B" w:rsidRDefault="00A07844" w:rsidP="00C41272">
      <w:pPr>
        <w:pStyle w:val="ListParagraph"/>
        <w:tabs>
          <w:tab w:val="center" w:pos="4819"/>
        </w:tabs>
        <w:ind w:left="1560" w:right="708"/>
        <w:jc w:val="both"/>
        <w:rPr>
          <w:rFonts w:ascii="Arial" w:hAnsi="Arial" w:cs="Arial"/>
          <w:sz w:val="22"/>
          <w:szCs w:val="22"/>
        </w:rPr>
      </w:pPr>
    </w:p>
    <w:p w:rsidR="00A07844" w:rsidRPr="001F6E7B" w:rsidRDefault="00A07844" w:rsidP="00C41272">
      <w:pPr>
        <w:pStyle w:val="ListParagraph"/>
        <w:tabs>
          <w:tab w:val="center" w:pos="4819"/>
        </w:tabs>
        <w:ind w:left="1560" w:right="708"/>
        <w:jc w:val="both"/>
        <w:rPr>
          <w:rFonts w:ascii="Arial" w:hAnsi="Arial" w:cs="Arial"/>
          <w:sz w:val="22"/>
          <w:szCs w:val="22"/>
        </w:rPr>
      </w:pPr>
      <w:r w:rsidRPr="001F6E7B">
        <w:rPr>
          <w:rFonts w:ascii="Arial" w:hAnsi="Arial" w:cs="Arial"/>
          <w:i/>
          <w:sz w:val="22"/>
          <w:szCs w:val="22"/>
        </w:rPr>
        <w:t>enduring documents may facilitate abuse by the very person appointed by the older person to protect them. Evidence suggests that financial abuse is the most common form of elder abuse and that, in a significant minority of cases, the financial abuse is facilitated through misuse of a power of attorney. Enduring documents are more commonly abused than non-enduring powers of attorney because a principal (the donor of the power) with diminished decision-making ability may not be able to effectively monitor the activities of their attorney and take action before significant loss is incurred</w:t>
      </w:r>
      <w:r w:rsidRPr="001F6E7B">
        <w:rPr>
          <w:rFonts w:ascii="Arial" w:hAnsi="Arial" w:cs="Arial"/>
          <w:sz w:val="22"/>
          <w:szCs w:val="22"/>
        </w:rPr>
        <w:t>.</w:t>
      </w:r>
    </w:p>
    <w:p w:rsidR="00A07844" w:rsidRPr="001F6E7B" w:rsidRDefault="00A07844" w:rsidP="00C41272">
      <w:pPr>
        <w:pStyle w:val="ListParagraph"/>
        <w:tabs>
          <w:tab w:val="center" w:pos="4819"/>
        </w:tabs>
        <w:ind w:left="1560" w:right="708"/>
        <w:jc w:val="both"/>
        <w:rPr>
          <w:rFonts w:ascii="Arial" w:hAnsi="Arial" w:cs="Arial"/>
          <w:sz w:val="22"/>
          <w:szCs w:val="22"/>
        </w:rPr>
      </w:pPr>
    </w:p>
    <w:p w:rsidR="008334C6" w:rsidRPr="001F6E7B" w:rsidRDefault="00A07844"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The proposals have been made </w:t>
      </w:r>
      <w:r w:rsidRPr="001F6E7B">
        <w:rPr>
          <w:rFonts w:ascii="Arial" w:hAnsi="Arial" w:cs="Arial"/>
          <w:i/>
          <w:sz w:val="22"/>
          <w:szCs w:val="22"/>
        </w:rPr>
        <w:t>[i]n order to address the abuse of older persons</w:t>
      </w:r>
      <w:r w:rsidRPr="001F6E7B">
        <w:rPr>
          <w:rFonts w:ascii="Arial" w:hAnsi="Arial" w:cs="Arial"/>
          <w:sz w:val="22"/>
          <w:szCs w:val="22"/>
        </w:rPr>
        <w:t xml:space="preserve"> (paragraph 5.3).</w:t>
      </w:r>
      <w:r w:rsidR="008334C6" w:rsidRPr="001F6E7B">
        <w:rPr>
          <w:rFonts w:ascii="Arial" w:hAnsi="Arial" w:cs="Arial"/>
          <w:sz w:val="22"/>
          <w:szCs w:val="22"/>
        </w:rPr>
        <w:t xml:space="preserve"> Fu</w:t>
      </w:r>
      <w:r w:rsidR="00A70D90" w:rsidRPr="001F6E7B">
        <w:rPr>
          <w:rFonts w:ascii="Arial" w:hAnsi="Arial" w:cs="Arial"/>
          <w:sz w:val="22"/>
          <w:szCs w:val="22"/>
        </w:rPr>
        <w:t>r</w:t>
      </w:r>
      <w:r w:rsidR="008334C6" w:rsidRPr="001F6E7B">
        <w:rPr>
          <w:rFonts w:ascii="Arial" w:hAnsi="Arial" w:cs="Arial"/>
          <w:sz w:val="22"/>
          <w:szCs w:val="22"/>
        </w:rPr>
        <w:t>ther, the ALRC asserts that (paragraph 5.29):</w:t>
      </w:r>
    </w:p>
    <w:p w:rsidR="008334C6" w:rsidRPr="001F6E7B" w:rsidRDefault="008334C6" w:rsidP="00C41272">
      <w:pPr>
        <w:pStyle w:val="ListParagraph"/>
        <w:tabs>
          <w:tab w:val="center" w:pos="4819"/>
        </w:tabs>
        <w:ind w:left="1560" w:right="708"/>
        <w:jc w:val="both"/>
        <w:rPr>
          <w:rFonts w:ascii="Arial" w:hAnsi="Arial" w:cs="Arial"/>
          <w:sz w:val="22"/>
          <w:szCs w:val="22"/>
        </w:rPr>
      </w:pPr>
    </w:p>
    <w:p w:rsidR="008334C6" w:rsidRPr="001F6E7B" w:rsidRDefault="008334C6" w:rsidP="00C41272">
      <w:pPr>
        <w:pStyle w:val="ListParagraph"/>
        <w:tabs>
          <w:tab w:val="center" w:pos="4819"/>
        </w:tabs>
        <w:ind w:left="1560" w:right="708"/>
        <w:jc w:val="both"/>
        <w:rPr>
          <w:rFonts w:ascii="Arial" w:hAnsi="Arial" w:cs="Arial"/>
          <w:i/>
          <w:sz w:val="22"/>
          <w:szCs w:val="22"/>
        </w:rPr>
      </w:pPr>
      <w:r w:rsidRPr="001F6E7B">
        <w:rPr>
          <w:rFonts w:ascii="Arial" w:eastAsiaTheme="minorEastAsia" w:hAnsi="Arial" w:cs="Arial"/>
          <w:i/>
          <w:sz w:val="22"/>
          <w:szCs w:val="22"/>
        </w:rPr>
        <w:t>Registration would assist in ensuring that enduring documents are operative only in circumstances genuinely authorised by an older person, upholding choice and control.</w:t>
      </w:r>
    </w:p>
    <w:p w:rsidR="00BB732E" w:rsidRPr="001F6E7B" w:rsidRDefault="00BB732E" w:rsidP="00C41272">
      <w:pPr>
        <w:pStyle w:val="ListParagraph"/>
        <w:tabs>
          <w:tab w:val="center" w:pos="4819"/>
        </w:tabs>
        <w:ind w:left="1560" w:right="708"/>
        <w:jc w:val="both"/>
        <w:rPr>
          <w:rFonts w:ascii="Arial" w:hAnsi="Arial" w:cs="Arial"/>
          <w:sz w:val="22"/>
          <w:szCs w:val="22"/>
        </w:rPr>
      </w:pPr>
    </w:p>
    <w:p w:rsidR="00284124" w:rsidRPr="001F6E7B" w:rsidRDefault="00284124"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sz w:val="22"/>
          <w:szCs w:val="22"/>
        </w:rPr>
        <w:t xml:space="preserve">It was further noted </w:t>
      </w:r>
      <w:r w:rsidR="00B93C94" w:rsidRPr="001F6E7B">
        <w:rPr>
          <w:rFonts w:ascii="Arial" w:eastAsiaTheme="minorEastAsia" w:hAnsi="Arial" w:cs="Arial"/>
          <w:sz w:val="22"/>
          <w:szCs w:val="22"/>
        </w:rPr>
        <w:t xml:space="preserve">(paragraph 5.30) </w:t>
      </w:r>
      <w:r w:rsidRPr="001F6E7B">
        <w:rPr>
          <w:rFonts w:ascii="Arial" w:eastAsiaTheme="minorEastAsia" w:hAnsi="Arial" w:cs="Arial"/>
          <w:sz w:val="22"/>
          <w:szCs w:val="22"/>
        </w:rPr>
        <w:t>that registration:</w:t>
      </w:r>
    </w:p>
    <w:p w:rsidR="00284124" w:rsidRPr="001F6E7B" w:rsidRDefault="00284124" w:rsidP="00C41272">
      <w:pPr>
        <w:pStyle w:val="ListParagraph"/>
        <w:tabs>
          <w:tab w:val="center" w:pos="4819"/>
        </w:tabs>
        <w:ind w:left="1560" w:right="708"/>
        <w:jc w:val="both"/>
        <w:rPr>
          <w:rFonts w:ascii="Arial" w:eastAsiaTheme="minorEastAsia" w:hAnsi="Arial" w:cs="Arial"/>
          <w:sz w:val="22"/>
          <w:szCs w:val="22"/>
        </w:rPr>
      </w:pPr>
    </w:p>
    <w:p w:rsidR="00284124" w:rsidRDefault="00284124" w:rsidP="00C41272">
      <w:pPr>
        <w:pStyle w:val="ListParagraph"/>
        <w:tabs>
          <w:tab w:val="center" w:pos="4819"/>
        </w:tabs>
        <w:ind w:left="1560" w:right="708"/>
        <w:jc w:val="both"/>
        <w:rPr>
          <w:rFonts w:ascii="Arial" w:eastAsiaTheme="minorEastAsia" w:hAnsi="Arial" w:cs="Arial"/>
          <w:i/>
          <w:sz w:val="22"/>
          <w:szCs w:val="22"/>
        </w:rPr>
      </w:pPr>
      <w:r w:rsidRPr="001F6E7B">
        <w:rPr>
          <w:rFonts w:ascii="Arial" w:eastAsiaTheme="minorEastAsia" w:hAnsi="Arial" w:cs="Arial"/>
          <w:i/>
          <w:sz w:val="22"/>
          <w:szCs w:val="22"/>
        </w:rPr>
        <w:t>will help minimise the extent to which these documents are misused, forged or amended without consent or knowledge of the older person and their families.</w:t>
      </w:r>
    </w:p>
    <w:p w:rsidR="00B93C94" w:rsidRPr="00B93C94" w:rsidRDefault="00B93C94" w:rsidP="00C41272">
      <w:pPr>
        <w:pStyle w:val="ListParagraph"/>
        <w:tabs>
          <w:tab w:val="center" w:pos="4819"/>
        </w:tabs>
        <w:ind w:left="1560" w:right="708"/>
        <w:jc w:val="both"/>
        <w:rPr>
          <w:rFonts w:ascii="Arial" w:eastAsiaTheme="minorEastAsia" w:hAnsi="Arial" w:cs="Arial"/>
          <w:sz w:val="22"/>
          <w:szCs w:val="22"/>
        </w:rPr>
      </w:pPr>
    </w:p>
    <w:p w:rsidR="008334C6" w:rsidRPr="001F6E7B" w:rsidRDefault="008334C6"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hAnsi="Arial" w:cs="Arial"/>
          <w:sz w:val="22"/>
          <w:szCs w:val="22"/>
        </w:rPr>
        <w:t xml:space="preserve">In our view and in our experience, there </w:t>
      </w:r>
      <w:r w:rsidRPr="001F6E7B">
        <w:rPr>
          <w:rFonts w:ascii="Arial" w:eastAsiaTheme="minorEastAsia" w:hAnsi="Arial" w:cs="Arial"/>
          <w:color w:val="000000"/>
          <w:sz w:val="22"/>
          <w:szCs w:val="22"/>
        </w:rPr>
        <w:t>is little to no evid</w:t>
      </w:r>
      <w:r w:rsidR="00284124" w:rsidRPr="001F6E7B">
        <w:rPr>
          <w:rFonts w:ascii="Arial" w:eastAsiaTheme="minorEastAsia" w:hAnsi="Arial" w:cs="Arial"/>
          <w:color w:val="000000"/>
          <w:sz w:val="22"/>
          <w:szCs w:val="22"/>
        </w:rPr>
        <w:t>ence that these</w:t>
      </w:r>
      <w:r w:rsidRPr="001F6E7B">
        <w:rPr>
          <w:rFonts w:ascii="Arial" w:eastAsiaTheme="minorEastAsia" w:hAnsi="Arial" w:cs="Arial"/>
          <w:color w:val="000000"/>
          <w:sz w:val="22"/>
          <w:szCs w:val="22"/>
        </w:rPr>
        <w:t xml:space="preserve"> will be the case.</w:t>
      </w:r>
    </w:p>
    <w:p w:rsidR="008334C6" w:rsidRPr="001F6E7B" w:rsidRDefault="008334C6" w:rsidP="00C41272">
      <w:pPr>
        <w:pStyle w:val="ListParagraph"/>
        <w:tabs>
          <w:tab w:val="center" w:pos="4819"/>
        </w:tabs>
        <w:ind w:left="1560" w:right="708"/>
        <w:jc w:val="both"/>
        <w:rPr>
          <w:rFonts w:ascii="Arial" w:eastAsiaTheme="minorEastAsia" w:hAnsi="Arial" w:cs="Arial"/>
          <w:sz w:val="22"/>
          <w:szCs w:val="22"/>
        </w:rPr>
      </w:pPr>
    </w:p>
    <w:p w:rsidR="008334C6" w:rsidRPr="001F6E7B" w:rsidRDefault="008334C6"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color w:val="000000"/>
          <w:sz w:val="22"/>
          <w:szCs w:val="22"/>
        </w:rPr>
        <w:t xml:space="preserve">It appears from the above that the policy basis for the proposals is a combination of </w:t>
      </w:r>
      <w:r w:rsidR="00633A82">
        <w:rPr>
          <w:rFonts w:ascii="Arial" w:eastAsiaTheme="minorEastAsia" w:hAnsi="Arial" w:cs="Arial"/>
          <w:color w:val="000000"/>
          <w:sz w:val="22"/>
          <w:szCs w:val="22"/>
        </w:rPr>
        <w:t xml:space="preserve">one or more of </w:t>
      </w:r>
      <w:r w:rsidRPr="001F6E7B">
        <w:rPr>
          <w:rFonts w:ascii="Arial" w:eastAsiaTheme="minorEastAsia" w:hAnsi="Arial" w:cs="Arial"/>
          <w:color w:val="000000"/>
          <w:sz w:val="22"/>
          <w:szCs w:val="22"/>
        </w:rPr>
        <w:t>the following:</w:t>
      </w:r>
    </w:p>
    <w:p w:rsidR="00284124" w:rsidRPr="001F6E7B" w:rsidRDefault="00284124" w:rsidP="00C41272">
      <w:pPr>
        <w:tabs>
          <w:tab w:val="center" w:pos="4819"/>
        </w:tabs>
        <w:ind w:right="708"/>
        <w:jc w:val="both"/>
        <w:rPr>
          <w:rFonts w:ascii="Arial" w:eastAsiaTheme="minorEastAsia" w:hAnsi="Arial" w:cs="Arial"/>
          <w:sz w:val="22"/>
          <w:szCs w:val="22"/>
        </w:rPr>
      </w:pPr>
    </w:p>
    <w:p w:rsidR="008334C6" w:rsidRPr="001F6E7B" w:rsidRDefault="008334C6" w:rsidP="00C41272">
      <w:pPr>
        <w:pStyle w:val="LDStandardBodyText"/>
        <w:numPr>
          <w:ilvl w:val="0"/>
          <w:numId w:val="6"/>
        </w:numPr>
        <w:ind w:left="2127" w:right="708" w:hanging="567"/>
        <w:rPr>
          <w:rFonts w:eastAsiaTheme="minorEastAsia" w:cs="Arial"/>
          <w:szCs w:val="22"/>
        </w:rPr>
      </w:pPr>
      <w:r w:rsidRPr="001F6E7B">
        <w:rPr>
          <w:rFonts w:eastAsiaTheme="minorEastAsia" w:cs="Arial"/>
          <w:szCs w:val="22"/>
        </w:rPr>
        <w:t>That registration will reduce the incidence of unauthorised conduct, such as forgery, unauthorised amendments to existing enduring documents, or the commission of unconscionable conduct or undue influence in the granting of authorities the subject of the enduring documents.</w:t>
      </w:r>
    </w:p>
    <w:p w:rsidR="008334C6" w:rsidRPr="001F6E7B" w:rsidRDefault="008334C6" w:rsidP="00C41272">
      <w:pPr>
        <w:pStyle w:val="LDStandardBodyText"/>
        <w:numPr>
          <w:ilvl w:val="0"/>
          <w:numId w:val="6"/>
        </w:numPr>
        <w:ind w:left="2127" w:right="708" w:hanging="567"/>
        <w:rPr>
          <w:rFonts w:eastAsiaTheme="minorEastAsia" w:cs="Arial"/>
          <w:szCs w:val="22"/>
        </w:rPr>
      </w:pPr>
      <w:r w:rsidRPr="001F6E7B">
        <w:rPr>
          <w:rFonts w:eastAsiaTheme="minorEastAsia" w:cs="Arial"/>
          <w:szCs w:val="22"/>
        </w:rPr>
        <w:t>That registration will reduce the incidence of misuse of otherwise valid enduring documents.</w:t>
      </w:r>
    </w:p>
    <w:p w:rsidR="008334C6" w:rsidRPr="001F6E7B" w:rsidRDefault="008334C6" w:rsidP="00C41272">
      <w:pPr>
        <w:pStyle w:val="LDStandardBodyText"/>
        <w:numPr>
          <w:ilvl w:val="0"/>
          <w:numId w:val="6"/>
        </w:numPr>
        <w:ind w:left="2127" w:right="708" w:hanging="567"/>
        <w:rPr>
          <w:rFonts w:eastAsiaTheme="minorEastAsia" w:cs="Arial"/>
          <w:szCs w:val="22"/>
        </w:rPr>
      </w:pPr>
      <w:r w:rsidRPr="001F6E7B">
        <w:rPr>
          <w:rFonts w:eastAsiaTheme="minorEastAsia" w:cs="Arial"/>
          <w:szCs w:val="22"/>
        </w:rPr>
        <w:t>That registration will allow the activities of authorised persons to be better monitored.</w:t>
      </w:r>
    </w:p>
    <w:p w:rsidR="008334C6" w:rsidRPr="001F6E7B" w:rsidRDefault="008334C6" w:rsidP="00C41272">
      <w:pPr>
        <w:pStyle w:val="LDStandardBodyText"/>
        <w:numPr>
          <w:ilvl w:val="0"/>
          <w:numId w:val="6"/>
        </w:numPr>
        <w:ind w:left="2127" w:right="708" w:hanging="567"/>
        <w:rPr>
          <w:rFonts w:eastAsiaTheme="minorEastAsia" w:cs="Arial"/>
          <w:szCs w:val="22"/>
        </w:rPr>
      </w:pPr>
      <w:r w:rsidRPr="001F6E7B">
        <w:rPr>
          <w:rFonts w:eastAsiaTheme="minorEastAsia" w:cs="Arial"/>
          <w:szCs w:val="22"/>
        </w:rPr>
        <w:t>That registration will allow action to be taken against perpetrators of elder financial abuse</w:t>
      </w:r>
      <w:r w:rsidR="00B93C94">
        <w:rPr>
          <w:rFonts w:eastAsiaTheme="minorEastAsia" w:cs="Arial"/>
          <w:szCs w:val="22"/>
        </w:rPr>
        <w:t>.</w:t>
      </w:r>
    </w:p>
    <w:p w:rsidR="008334C6" w:rsidRPr="001F6E7B" w:rsidRDefault="008334C6" w:rsidP="00C41272">
      <w:pPr>
        <w:pStyle w:val="ListParagraph"/>
        <w:numPr>
          <w:ilvl w:val="1"/>
          <w:numId w:val="2"/>
        </w:numPr>
        <w:tabs>
          <w:tab w:val="center" w:pos="4819"/>
        </w:tabs>
        <w:ind w:left="1560" w:right="708" w:hanging="851"/>
        <w:jc w:val="both"/>
        <w:rPr>
          <w:rFonts w:ascii="Arial" w:eastAsiaTheme="minorEastAsia" w:hAnsi="Arial" w:cs="Arial"/>
          <w:color w:val="000000"/>
          <w:sz w:val="22"/>
          <w:szCs w:val="22"/>
        </w:rPr>
      </w:pPr>
      <w:r w:rsidRPr="001F6E7B">
        <w:rPr>
          <w:rFonts w:ascii="Arial" w:eastAsiaTheme="minorEastAsia" w:hAnsi="Arial" w:cs="Arial"/>
          <w:color w:val="000000"/>
          <w:sz w:val="22"/>
          <w:szCs w:val="22"/>
        </w:rPr>
        <w:t xml:space="preserve">Interestingly, the ALRC notes </w:t>
      </w:r>
      <w:r w:rsidR="00B93C94" w:rsidRPr="001F6E7B">
        <w:rPr>
          <w:rFonts w:ascii="Arial" w:eastAsiaTheme="minorEastAsia" w:hAnsi="Arial" w:cs="Arial"/>
          <w:color w:val="000000"/>
          <w:sz w:val="22"/>
          <w:szCs w:val="22"/>
        </w:rPr>
        <w:t>(paragraph 5.2, referenced above)</w:t>
      </w:r>
      <w:r w:rsidR="00B93C94">
        <w:rPr>
          <w:rFonts w:ascii="Arial" w:eastAsiaTheme="minorEastAsia" w:hAnsi="Arial" w:cs="Arial"/>
          <w:color w:val="000000"/>
          <w:sz w:val="22"/>
          <w:szCs w:val="22"/>
        </w:rPr>
        <w:t xml:space="preserve"> </w:t>
      </w:r>
      <w:r w:rsidRPr="001F6E7B">
        <w:rPr>
          <w:rFonts w:ascii="Arial" w:eastAsiaTheme="minorEastAsia" w:hAnsi="Arial" w:cs="Arial"/>
          <w:color w:val="000000"/>
          <w:sz w:val="22"/>
          <w:szCs w:val="22"/>
        </w:rPr>
        <w:t>that</w:t>
      </w:r>
      <w:r w:rsidR="00B93C94">
        <w:rPr>
          <w:rFonts w:ascii="Arial" w:eastAsiaTheme="minorEastAsia" w:hAnsi="Arial" w:cs="Arial"/>
          <w:color w:val="000000"/>
          <w:sz w:val="22"/>
          <w:szCs w:val="22"/>
        </w:rPr>
        <w:t>:</w:t>
      </w:r>
    </w:p>
    <w:p w:rsidR="008334C6" w:rsidRPr="001F6E7B" w:rsidRDefault="008334C6" w:rsidP="00C41272">
      <w:pPr>
        <w:pStyle w:val="ListParagraph"/>
        <w:tabs>
          <w:tab w:val="center" w:pos="4819"/>
        </w:tabs>
        <w:ind w:left="1560" w:right="708"/>
        <w:jc w:val="both"/>
        <w:rPr>
          <w:rFonts w:ascii="Arial" w:eastAsiaTheme="minorEastAsia" w:hAnsi="Arial" w:cs="Arial"/>
          <w:color w:val="000000"/>
          <w:sz w:val="22"/>
          <w:szCs w:val="22"/>
        </w:rPr>
      </w:pPr>
    </w:p>
    <w:p w:rsidR="008334C6" w:rsidRPr="001F6E7B" w:rsidRDefault="008334C6" w:rsidP="00C41272">
      <w:pPr>
        <w:pStyle w:val="ListParagraph"/>
        <w:tabs>
          <w:tab w:val="center" w:pos="4819"/>
        </w:tabs>
        <w:ind w:left="1560" w:right="708"/>
        <w:jc w:val="both"/>
        <w:rPr>
          <w:rFonts w:ascii="Arial" w:hAnsi="Arial" w:cs="Arial"/>
          <w:sz w:val="22"/>
          <w:szCs w:val="22"/>
        </w:rPr>
      </w:pPr>
      <w:r w:rsidRPr="001F6E7B">
        <w:rPr>
          <w:rFonts w:ascii="Arial" w:hAnsi="Arial" w:cs="Arial"/>
          <w:i/>
          <w:sz w:val="22"/>
          <w:szCs w:val="22"/>
        </w:rPr>
        <w:t xml:space="preserve">in a </w:t>
      </w:r>
      <w:r w:rsidRPr="00B93C94">
        <w:rPr>
          <w:rFonts w:ascii="Arial" w:hAnsi="Arial" w:cs="Arial"/>
          <w:b/>
          <w:i/>
          <w:sz w:val="22"/>
          <w:szCs w:val="22"/>
        </w:rPr>
        <w:t>significant minority of cases</w:t>
      </w:r>
      <w:r w:rsidRPr="001F6E7B">
        <w:rPr>
          <w:rFonts w:ascii="Arial" w:hAnsi="Arial" w:cs="Arial"/>
          <w:i/>
          <w:sz w:val="22"/>
          <w:szCs w:val="22"/>
        </w:rPr>
        <w:t>, the financial abuse is facilitated through misuse of a power of attorney</w:t>
      </w:r>
      <w:r w:rsidRPr="001F6E7B">
        <w:rPr>
          <w:rFonts w:ascii="Arial" w:hAnsi="Arial" w:cs="Arial"/>
          <w:sz w:val="22"/>
          <w:szCs w:val="22"/>
        </w:rPr>
        <w:t>.</w:t>
      </w:r>
      <w:r w:rsidR="00B93C94">
        <w:rPr>
          <w:rFonts w:ascii="Arial" w:hAnsi="Arial" w:cs="Arial"/>
          <w:sz w:val="22"/>
          <w:szCs w:val="22"/>
        </w:rPr>
        <w:t xml:space="preserve"> (emphasis added)</w:t>
      </w:r>
    </w:p>
    <w:p w:rsidR="008334C6" w:rsidRPr="001F6E7B" w:rsidRDefault="008334C6" w:rsidP="00C41272">
      <w:pPr>
        <w:pStyle w:val="ListParagraph"/>
        <w:tabs>
          <w:tab w:val="center" w:pos="4819"/>
        </w:tabs>
        <w:ind w:left="1560" w:right="708"/>
        <w:jc w:val="both"/>
        <w:rPr>
          <w:rFonts w:ascii="Arial" w:eastAsiaTheme="minorEastAsia" w:hAnsi="Arial" w:cs="Arial"/>
          <w:color w:val="000000"/>
          <w:sz w:val="22"/>
          <w:szCs w:val="22"/>
        </w:rPr>
      </w:pPr>
    </w:p>
    <w:p w:rsidR="008334C6" w:rsidRPr="001F6E7B" w:rsidRDefault="008334C6"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color w:val="000000"/>
          <w:sz w:val="22"/>
          <w:szCs w:val="22"/>
        </w:rPr>
        <w:t xml:space="preserve">In our view and experience, however, this is the most common form of elder financial abuse </w:t>
      </w:r>
      <w:r w:rsidR="00067720">
        <w:rPr>
          <w:rFonts w:ascii="Arial" w:eastAsiaTheme="minorEastAsia" w:hAnsi="Arial" w:cs="Arial"/>
          <w:color w:val="000000"/>
          <w:sz w:val="22"/>
          <w:szCs w:val="22"/>
        </w:rPr>
        <w:t xml:space="preserve">when it comes </w:t>
      </w:r>
      <w:r w:rsidRPr="001F6E7B">
        <w:rPr>
          <w:rFonts w:ascii="Arial" w:eastAsiaTheme="minorEastAsia" w:hAnsi="Arial" w:cs="Arial"/>
          <w:color w:val="000000"/>
          <w:sz w:val="22"/>
          <w:szCs w:val="22"/>
        </w:rPr>
        <w:t xml:space="preserve">to powers of attorney (in particular enduring powers of attorney). That is, we consider the pertinent issue to be the misuse of validly executed enduring documents, rather than forgery or unauthorised amendments of existing documents or unconscionable conduct and undue influence in the granting of authorities. </w:t>
      </w:r>
      <w:r w:rsidRPr="001F6E7B">
        <w:rPr>
          <w:rFonts w:ascii="Arial" w:eastAsiaTheme="minorEastAsia" w:hAnsi="Arial" w:cs="Arial"/>
          <w:b/>
          <w:color w:val="000000"/>
          <w:sz w:val="22"/>
          <w:szCs w:val="22"/>
        </w:rPr>
        <w:t>Our experience indicates that the significant majority of cases involving what would be accepted as constituting elder financial abuse (whether by virtue of the WHO definition of "elder abuse" or otherwise)</w:t>
      </w:r>
      <w:r w:rsidR="00BC205D" w:rsidRPr="001F6E7B">
        <w:rPr>
          <w:rFonts w:ascii="Arial" w:eastAsiaTheme="minorEastAsia" w:hAnsi="Arial" w:cs="Arial"/>
          <w:b/>
          <w:color w:val="000000"/>
          <w:sz w:val="22"/>
          <w:szCs w:val="22"/>
        </w:rPr>
        <w:t>, arises from the misuse of authority validly granted by the principal, whereby the authorised person "abuses" powers validly granted to them for their own use and benefit. Most commonly, this occurs by way of misappropriation of the principal’s funds</w:t>
      </w:r>
      <w:r w:rsidR="00BC205D" w:rsidRPr="001F6E7B">
        <w:rPr>
          <w:rFonts w:ascii="Arial" w:eastAsiaTheme="minorEastAsia" w:hAnsi="Arial" w:cs="Arial"/>
          <w:color w:val="000000"/>
          <w:sz w:val="22"/>
          <w:szCs w:val="22"/>
        </w:rPr>
        <w:t>.</w:t>
      </w:r>
    </w:p>
    <w:p w:rsidR="008334C6" w:rsidRPr="001F6E7B" w:rsidRDefault="008334C6" w:rsidP="00C41272">
      <w:pPr>
        <w:pStyle w:val="ListParagraph"/>
        <w:tabs>
          <w:tab w:val="center" w:pos="4819"/>
        </w:tabs>
        <w:ind w:left="1560" w:right="708"/>
        <w:jc w:val="both"/>
        <w:rPr>
          <w:rFonts w:ascii="Arial" w:eastAsiaTheme="minorEastAsia" w:hAnsi="Arial" w:cs="Arial"/>
          <w:sz w:val="22"/>
          <w:szCs w:val="22"/>
        </w:rPr>
      </w:pPr>
    </w:p>
    <w:p w:rsidR="00BC205D" w:rsidRPr="001F6E7B" w:rsidRDefault="00BC205D"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sz w:val="22"/>
          <w:szCs w:val="22"/>
        </w:rPr>
        <w:t xml:space="preserve">Indeed, it is inherently difficult to forge an enduring power of attorney or some other form of unauthorised grant of authority to deal with a person’s financial matters. In New South Wales, for example (as is </w:t>
      </w:r>
      <w:r w:rsidR="00B93C94">
        <w:rPr>
          <w:rFonts w:ascii="Arial" w:eastAsiaTheme="minorEastAsia" w:hAnsi="Arial" w:cs="Arial"/>
          <w:sz w:val="22"/>
          <w:szCs w:val="22"/>
        </w:rPr>
        <w:t>similarly</w:t>
      </w:r>
      <w:r w:rsidRPr="001F6E7B">
        <w:rPr>
          <w:rFonts w:ascii="Arial" w:eastAsiaTheme="minorEastAsia" w:hAnsi="Arial" w:cs="Arial"/>
          <w:sz w:val="22"/>
          <w:szCs w:val="22"/>
        </w:rPr>
        <w:t xml:space="preserve"> the case in other states and territories), the execution by a principal of an enduring power of attorney must be done in the presence of a </w:t>
      </w:r>
      <w:r w:rsidRPr="001F6E7B">
        <w:rPr>
          <w:rFonts w:ascii="Arial" w:eastAsiaTheme="minorEastAsia" w:hAnsi="Arial" w:cs="Arial"/>
          <w:color w:val="000000"/>
          <w:sz w:val="22"/>
          <w:szCs w:val="22"/>
        </w:rPr>
        <w:t xml:space="preserve">"prescribed witness" (see section 19 of the </w:t>
      </w:r>
      <w:r w:rsidRPr="001F6E7B">
        <w:rPr>
          <w:rFonts w:ascii="Arial" w:eastAsiaTheme="minorEastAsia" w:hAnsi="Arial" w:cs="Arial"/>
          <w:i/>
          <w:color w:val="000000"/>
          <w:sz w:val="22"/>
          <w:szCs w:val="22"/>
        </w:rPr>
        <w:t xml:space="preserve">Powers of Attorney Act 2003 </w:t>
      </w:r>
      <w:r w:rsidRPr="001F6E7B">
        <w:rPr>
          <w:rFonts w:ascii="Arial" w:eastAsiaTheme="minorEastAsia" w:hAnsi="Arial" w:cs="Arial"/>
          <w:color w:val="000000"/>
          <w:sz w:val="22"/>
          <w:szCs w:val="22"/>
        </w:rPr>
        <w:t>(NSW)), which is defined to mean one of the following:</w:t>
      </w:r>
    </w:p>
    <w:p w:rsidR="00BC205D" w:rsidRPr="001F6E7B" w:rsidRDefault="00BC205D" w:rsidP="00C41272">
      <w:pPr>
        <w:pStyle w:val="ListParagraph"/>
        <w:ind w:right="708"/>
        <w:rPr>
          <w:rFonts w:ascii="Arial" w:eastAsiaTheme="minorEastAsia" w:hAnsi="Arial" w:cs="Arial"/>
          <w:color w:val="000000"/>
          <w:sz w:val="22"/>
          <w:szCs w:val="22"/>
        </w:rPr>
      </w:pPr>
    </w:p>
    <w:p w:rsidR="00BC205D" w:rsidRPr="001F6E7B" w:rsidRDefault="00BC205D" w:rsidP="00C41272">
      <w:pPr>
        <w:pStyle w:val="LDStandardBodyText"/>
        <w:numPr>
          <w:ilvl w:val="0"/>
          <w:numId w:val="7"/>
        </w:numPr>
        <w:ind w:left="2127" w:right="708" w:hanging="567"/>
        <w:rPr>
          <w:rFonts w:eastAsiaTheme="minorEastAsia" w:cs="Arial"/>
          <w:szCs w:val="22"/>
        </w:rPr>
      </w:pPr>
      <w:r w:rsidRPr="001F6E7B">
        <w:rPr>
          <w:rFonts w:eastAsiaTheme="minorEastAsia" w:cs="Arial"/>
          <w:szCs w:val="22"/>
        </w:rPr>
        <w:t>a registrar of the Local Court;</w:t>
      </w:r>
    </w:p>
    <w:p w:rsidR="00BC205D" w:rsidRPr="001F6E7B" w:rsidRDefault="00BC205D" w:rsidP="00C41272">
      <w:pPr>
        <w:pStyle w:val="LDStandardBodyText"/>
        <w:numPr>
          <w:ilvl w:val="0"/>
          <w:numId w:val="7"/>
        </w:numPr>
        <w:ind w:left="2127" w:right="708" w:hanging="567"/>
        <w:rPr>
          <w:rFonts w:eastAsiaTheme="minorEastAsia" w:cs="Arial"/>
          <w:szCs w:val="22"/>
        </w:rPr>
      </w:pPr>
      <w:r w:rsidRPr="001F6E7B">
        <w:rPr>
          <w:rFonts w:eastAsiaTheme="minorEastAsia" w:cs="Arial"/>
          <w:szCs w:val="22"/>
        </w:rPr>
        <w:t>a barrister or solicitor of a court of any State or Territory of the Commonwealth;</w:t>
      </w:r>
    </w:p>
    <w:p w:rsidR="00BC205D" w:rsidRPr="001F6E7B" w:rsidRDefault="00BC205D" w:rsidP="00C41272">
      <w:pPr>
        <w:pStyle w:val="LDStandardBodyText"/>
        <w:numPr>
          <w:ilvl w:val="0"/>
          <w:numId w:val="7"/>
        </w:numPr>
        <w:ind w:left="2127" w:right="708" w:hanging="567"/>
        <w:rPr>
          <w:rFonts w:eastAsiaTheme="minorEastAsia" w:cs="Arial"/>
          <w:szCs w:val="22"/>
        </w:rPr>
      </w:pPr>
      <w:r w:rsidRPr="001F6E7B">
        <w:rPr>
          <w:rFonts w:eastAsiaTheme="minorEastAsia" w:cs="Arial"/>
          <w:szCs w:val="22"/>
        </w:rPr>
        <w:t>a licensee under the </w:t>
      </w:r>
      <w:r w:rsidRPr="001F6E7B">
        <w:rPr>
          <w:rFonts w:eastAsiaTheme="minorEastAsia" w:cs="Arial"/>
          <w:i/>
          <w:szCs w:val="22"/>
        </w:rPr>
        <w:t>Conveyancers Licensing </w:t>
      </w:r>
      <w:hyperlink r:id="rId9" w:history="1">
        <w:r w:rsidRPr="001F6E7B">
          <w:rPr>
            <w:rFonts w:eastAsiaTheme="minorEastAsia" w:cs="Arial"/>
            <w:i/>
            <w:szCs w:val="22"/>
          </w:rPr>
          <w:t>Act 2003</w:t>
        </w:r>
      </w:hyperlink>
      <w:r w:rsidRPr="001F6E7B">
        <w:rPr>
          <w:rFonts w:eastAsiaTheme="minorEastAsia" w:cs="Arial"/>
          <w:szCs w:val="22"/>
        </w:rPr>
        <w:t>, or an employee of the NSW Trustee and Guardian or a trustee company within the meaning of the </w:t>
      </w:r>
      <w:r w:rsidRPr="001F6E7B">
        <w:rPr>
          <w:rFonts w:eastAsiaTheme="minorEastAsia" w:cs="Arial"/>
          <w:i/>
          <w:szCs w:val="22"/>
        </w:rPr>
        <w:t>Trustee Companies Act </w:t>
      </w:r>
      <w:hyperlink r:id="rId10" w:history="1">
        <w:r w:rsidRPr="001F6E7B">
          <w:rPr>
            <w:rFonts w:eastAsiaTheme="minorEastAsia" w:cs="Arial"/>
            <w:i/>
            <w:szCs w:val="22"/>
          </w:rPr>
          <w:t>1964</w:t>
        </w:r>
      </w:hyperlink>
      <w:r w:rsidRPr="001F6E7B">
        <w:rPr>
          <w:rFonts w:eastAsiaTheme="minorEastAsia" w:cs="Arial"/>
          <w:szCs w:val="22"/>
        </w:rPr>
        <w:t>, who has successfully completed a course of study approved by the Minister, by order published in the Gazette;</w:t>
      </w:r>
    </w:p>
    <w:p w:rsidR="00BC205D" w:rsidRPr="001F6E7B" w:rsidRDefault="00BC205D" w:rsidP="00C41272">
      <w:pPr>
        <w:pStyle w:val="LDStandardBodyText"/>
        <w:numPr>
          <w:ilvl w:val="0"/>
          <w:numId w:val="7"/>
        </w:numPr>
        <w:ind w:left="2127" w:right="708" w:hanging="567"/>
        <w:rPr>
          <w:rFonts w:eastAsiaTheme="minorEastAsia" w:cs="Arial"/>
          <w:szCs w:val="22"/>
        </w:rPr>
      </w:pPr>
      <w:r w:rsidRPr="001F6E7B">
        <w:rPr>
          <w:rFonts w:eastAsiaTheme="minorEastAsia" w:cs="Arial"/>
          <w:szCs w:val="22"/>
        </w:rPr>
        <w:t>a legal practitioner duly qualified in a country other than Australia, instructed and employed independently of any legal practitioner appointed as an </w:t>
      </w:r>
      <w:hyperlink r:id="rId11" w:anchor="attorney" w:history="1">
        <w:r w:rsidRPr="001F6E7B">
          <w:rPr>
            <w:rFonts w:eastAsiaTheme="minorEastAsia" w:cs="Arial"/>
            <w:szCs w:val="22"/>
          </w:rPr>
          <w:t>attorney</w:t>
        </w:r>
      </w:hyperlink>
      <w:r w:rsidRPr="001F6E7B">
        <w:rPr>
          <w:rFonts w:eastAsiaTheme="minorEastAsia" w:cs="Arial"/>
          <w:szCs w:val="22"/>
        </w:rPr>
        <w:t> under the </w:t>
      </w:r>
      <w:hyperlink r:id="rId12" w:anchor="instrument" w:history="1">
        <w:r w:rsidRPr="001F6E7B">
          <w:rPr>
            <w:rFonts w:eastAsiaTheme="minorEastAsia" w:cs="Arial"/>
            <w:szCs w:val="22"/>
          </w:rPr>
          <w:t>instrument</w:t>
        </w:r>
      </w:hyperlink>
      <w:r w:rsidRPr="001F6E7B">
        <w:rPr>
          <w:rFonts w:eastAsiaTheme="minorEastAsia" w:cs="Arial"/>
          <w:szCs w:val="22"/>
        </w:rPr>
        <w:t>;</w:t>
      </w:r>
    </w:p>
    <w:p w:rsidR="00BC205D" w:rsidRPr="001F6E7B" w:rsidRDefault="00BC205D" w:rsidP="00C41272">
      <w:pPr>
        <w:pStyle w:val="LDStandardBodyText"/>
        <w:numPr>
          <w:ilvl w:val="0"/>
          <w:numId w:val="7"/>
        </w:numPr>
        <w:ind w:left="2127" w:right="708" w:hanging="567"/>
        <w:rPr>
          <w:rFonts w:eastAsiaTheme="minorEastAsia" w:cs="Arial"/>
          <w:szCs w:val="22"/>
        </w:rPr>
      </w:pPr>
      <w:r w:rsidRPr="001F6E7B">
        <w:rPr>
          <w:rFonts w:eastAsiaTheme="minorEastAsia" w:cs="Arial"/>
          <w:szCs w:val="22"/>
        </w:rPr>
        <w:t>any other person (or person belonging to a class of persons) prescribed by the regulations for the purposes of the legislation (of which there are currently none).</w:t>
      </w:r>
    </w:p>
    <w:p w:rsidR="00BC205D" w:rsidRPr="001F6E7B" w:rsidRDefault="00BC205D"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color w:val="000000"/>
          <w:sz w:val="22"/>
          <w:szCs w:val="22"/>
        </w:rPr>
        <w:t xml:space="preserve">Section 19 of the </w:t>
      </w:r>
      <w:r w:rsidRPr="001F6E7B">
        <w:rPr>
          <w:rFonts w:ascii="Arial" w:eastAsiaTheme="minorEastAsia" w:hAnsi="Arial" w:cs="Arial"/>
          <w:i/>
          <w:color w:val="000000"/>
          <w:sz w:val="22"/>
          <w:szCs w:val="22"/>
        </w:rPr>
        <w:t xml:space="preserve">Powers of Attorney Act 2003 </w:t>
      </w:r>
      <w:r w:rsidRPr="001F6E7B">
        <w:rPr>
          <w:rFonts w:ascii="Arial" w:eastAsiaTheme="minorEastAsia" w:hAnsi="Arial" w:cs="Arial"/>
          <w:color w:val="000000"/>
          <w:sz w:val="22"/>
          <w:szCs w:val="22"/>
        </w:rPr>
        <w:t>(NSW) prescribes that the "prescribed witness" needs to certify that, with regard to enduring powers of attorney:</w:t>
      </w:r>
    </w:p>
    <w:p w:rsidR="00BC205D" w:rsidRPr="001F6E7B" w:rsidRDefault="00BC205D" w:rsidP="00C41272">
      <w:pPr>
        <w:pStyle w:val="ListParagraph"/>
        <w:tabs>
          <w:tab w:val="center" w:pos="4819"/>
        </w:tabs>
        <w:ind w:left="1560" w:right="708"/>
        <w:jc w:val="both"/>
        <w:rPr>
          <w:rFonts w:ascii="Arial" w:eastAsiaTheme="minorEastAsia" w:hAnsi="Arial" w:cs="Arial"/>
          <w:color w:val="000000"/>
          <w:sz w:val="22"/>
          <w:szCs w:val="22"/>
        </w:rPr>
      </w:pPr>
    </w:p>
    <w:p w:rsidR="00BC205D" w:rsidRPr="001F6E7B" w:rsidRDefault="00BC205D" w:rsidP="00C41272">
      <w:pPr>
        <w:pStyle w:val="LDStandardBodyText"/>
        <w:numPr>
          <w:ilvl w:val="0"/>
          <w:numId w:val="8"/>
        </w:numPr>
        <w:ind w:left="2127" w:right="708" w:hanging="567"/>
        <w:rPr>
          <w:rFonts w:eastAsiaTheme="minorEastAsia" w:cs="Arial"/>
          <w:szCs w:val="22"/>
        </w:rPr>
      </w:pPr>
      <w:r w:rsidRPr="001F6E7B">
        <w:rPr>
          <w:rFonts w:eastAsiaTheme="minorEastAsia" w:cs="Arial"/>
          <w:szCs w:val="22"/>
        </w:rPr>
        <w:t>they explained the effect of the </w:t>
      </w:r>
      <w:hyperlink r:id="rId13" w:anchor="instrument" w:history="1">
        <w:r w:rsidRPr="001F6E7B">
          <w:rPr>
            <w:rFonts w:eastAsiaTheme="minorEastAsia" w:cs="Arial"/>
            <w:szCs w:val="22"/>
          </w:rPr>
          <w:t>instrument</w:t>
        </w:r>
      </w:hyperlink>
      <w:r w:rsidRPr="001F6E7B">
        <w:rPr>
          <w:rFonts w:eastAsiaTheme="minorEastAsia" w:cs="Arial"/>
          <w:szCs w:val="22"/>
        </w:rPr>
        <w:t> to the </w:t>
      </w:r>
      <w:hyperlink r:id="rId14" w:anchor="principal" w:history="1">
        <w:r w:rsidRPr="001F6E7B">
          <w:rPr>
            <w:rFonts w:eastAsiaTheme="minorEastAsia" w:cs="Arial"/>
            <w:szCs w:val="22"/>
          </w:rPr>
          <w:t>principal</w:t>
        </w:r>
      </w:hyperlink>
      <w:r w:rsidRPr="001F6E7B">
        <w:rPr>
          <w:rFonts w:eastAsiaTheme="minorEastAsia" w:cs="Arial"/>
          <w:szCs w:val="22"/>
        </w:rPr>
        <w:t xml:space="preserve"> before it was signed; </w:t>
      </w:r>
    </w:p>
    <w:p w:rsidR="00BC205D" w:rsidRPr="001F6E7B" w:rsidRDefault="00BC205D" w:rsidP="00C41272">
      <w:pPr>
        <w:pStyle w:val="LDStandardBodyText"/>
        <w:numPr>
          <w:ilvl w:val="0"/>
          <w:numId w:val="8"/>
        </w:numPr>
        <w:ind w:left="2127" w:right="708" w:hanging="567"/>
        <w:rPr>
          <w:rFonts w:eastAsiaTheme="minorEastAsia" w:cs="Arial"/>
          <w:szCs w:val="22"/>
        </w:rPr>
      </w:pPr>
      <w:r w:rsidRPr="001F6E7B">
        <w:rPr>
          <w:rFonts w:eastAsiaTheme="minorEastAsia" w:cs="Arial"/>
          <w:szCs w:val="22"/>
        </w:rPr>
        <w:t>the </w:t>
      </w:r>
      <w:hyperlink r:id="rId15" w:anchor="principal" w:history="1">
        <w:r w:rsidRPr="001F6E7B">
          <w:rPr>
            <w:rFonts w:eastAsiaTheme="minorEastAsia" w:cs="Arial"/>
            <w:szCs w:val="22"/>
          </w:rPr>
          <w:t>principal</w:t>
        </w:r>
      </w:hyperlink>
      <w:r w:rsidRPr="001F6E7B">
        <w:rPr>
          <w:rFonts w:eastAsiaTheme="minorEastAsia" w:cs="Arial"/>
          <w:szCs w:val="22"/>
        </w:rPr>
        <w:t> appeared to understand the effect of the power of </w:t>
      </w:r>
      <w:hyperlink r:id="rId16" w:anchor="attorney" w:history="1">
        <w:r w:rsidRPr="001F6E7B">
          <w:rPr>
            <w:rFonts w:eastAsiaTheme="minorEastAsia" w:cs="Arial"/>
            <w:szCs w:val="22"/>
          </w:rPr>
          <w:t>attorney</w:t>
        </w:r>
      </w:hyperlink>
      <w:r w:rsidRPr="001F6E7B">
        <w:rPr>
          <w:rFonts w:eastAsiaTheme="minorEastAsia" w:cs="Arial"/>
          <w:szCs w:val="22"/>
        </w:rPr>
        <w:t>;</w:t>
      </w:r>
    </w:p>
    <w:p w:rsidR="00BC205D" w:rsidRPr="001F6E7B" w:rsidRDefault="00BC205D" w:rsidP="00C41272">
      <w:pPr>
        <w:pStyle w:val="LDStandardBodyText"/>
        <w:numPr>
          <w:ilvl w:val="0"/>
          <w:numId w:val="8"/>
        </w:numPr>
        <w:ind w:left="2127" w:right="708" w:hanging="567"/>
        <w:rPr>
          <w:rFonts w:eastAsiaTheme="minorEastAsia" w:cs="Arial"/>
          <w:szCs w:val="22"/>
        </w:rPr>
      </w:pPr>
      <w:r w:rsidRPr="001F6E7B">
        <w:rPr>
          <w:rFonts w:eastAsiaTheme="minorEastAsia" w:cs="Arial"/>
          <w:szCs w:val="22"/>
        </w:rPr>
        <w:t>the person is a </w:t>
      </w:r>
      <w:hyperlink r:id="rId17" w:anchor="prescribed_witness" w:history="1">
        <w:r w:rsidRPr="001F6E7B">
          <w:rPr>
            <w:rFonts w:eastAsiaTheme="minorEastAsia" w:cs="Arial"/>
            <w:szCs w:val="22"/>
          </w:rPr>
          <w:t>prescribed witness</w:t>
        </w:r>
      </w:hyperlink>
      <w:r w:rsidRPr="001F6E7B">
        <w:rPr>
          <w:rFonts w:eastAsiaTheme="minorEastAsia" w:cs="Arial"/>
          <w:szCs w:val="22"/>
        </w:rPr>
        <w:t>;</w:t>
      </w:r>
    </w:p>
    <w:p w:rsidR="00BC205D" w:rsidRPr="001F6E7B" w:rsidRDefault="00BC205D" w:rsidP="00C41272">
      <w:pPr>
        <w:pStyle w:val="LDStandardBodyText"/>
        <w:numPr>
          <w:ilvl w:val="0"/>
          <w:numId w:val="8"/>
        </w:numPr>
        <w:ind w:left="2127" w:right="708" w:hanging="567"/>
        <w:rPr>
          <w:rFonts w:eastAsiaTheme="minorEastAsia" w:cs="Arial"/>
          <w:szCs w:val="22"/>
        </w:rPr>
      </w:pPr>
      <w:r w:rsidRPr="001F6E7B">
        <w:rPr>
          <w:rFonts w:eastAsiaTheme="minorEastAsia" w:cs="Arial"/>
          <w:szCs w:val="22"/>
        </w:rPr>
        <w:t>the person is not an </w:t>
      </w:r>
      <w:hyperlink r:id="rId18" w:anchor="attorney" w:history="1">
        <w:r w:rsidRPr="001F6E7B">
          <w:rPr>
            <w:rFonts w:eastAsiaTheme="minorEastAsia" w:cs="Arial"/>
            <w:szCs w:val="22"/>
          </w:rPr>
          <w:t>attorney</w:t>
        </w:r>
      </w:hyperlink>
      <w:r w:rsidRPr="001F6E7B">
        <w:rPr>
          <w:rFonts w:eastAsiaTheme="minorEastAsia" w:cs="Arial"/>
          <w:szCs w:val="22"/>
        </w:rPr>
        <w:t> under the power of </w:t>
      </w:r>
      <w:hyperlink r:id="rId19" w:anchor="attorney" w:history="1">
        <w:r w:rsidRPr="001F6E7B">
          <w:rPr>
            <w:rFonts w:eastAsiaTheme="minorEastAsia" w:cs="Arial"/>
            <w:szCs w:val="22"/>
          </w:rPr>
          <w:t>attorney</w:t>
        </w:r>
      </w:hyperlink>
      <w:r w:rsidRPr="001F6E7B">
        <w:rPr>
          <w:rFonts w:eastAsiaTheme="minorEastAsia" w:cs="Arial"/>
          <w:szCs w:val="22"/>
        </w:rPr>
        <w:t>; and</w:t>
      </w:r>
    </w:p>
    <w:p w:rsidR="00BC205D" w:rsidRPr="001F6E7B" w:rsidRDefault="00BC205D" w:rsidP="00C41272">
      <w:pPr>
        <w:pStyle w:val="LDStandardBodyText"/>
        <w:numPr>
          <w:ilvl w:val="0"/>
          <w:numId w:val="8"/>
        </w:numPr>
        <w:ind w:left="2127" w:right="708" w:hanging="567"/>
        <w:rPr>
          <w:rFonts w:eastAsiaTheme="minorEastAsia" w:cs="Arial"/>
          <w:szCs w:val="22"/>
        </w:rPr>
      </w:pPr>
      <w:r w:rsidRPr="001F6E7B">
        <w:rPr>
          <w:rFonts w:eastAsiaTheme="minorEastAsia" w:cs="Arial"/>
          <w:szCs w:val="22"/>
        </w:rPr>
        <w:t>the person witnessed the signing of the power of </w:t>
      </w:r>
      <w:hyperlink r:id="rId20" w:anchor="attorney" w:history="1">
        <w:r w:rsidRPr="001F6E7B">
          <w:rPr>
            <w:rFonts w:eastAsiaTheme="minorEastAsia" w:cs="Arial"/>
            <w:szCs w:val="22"/>
          </w:rPr>
          <w:t>attorney</w:t>
        </w:r>
      </w:hyperlink>
      <w:r w:rsidRPr="001F6E7B">
        <w:rPr>
          <w:rFonts w:eastAsiaTheme="minorEastAsia" w:cs="Arial"/>
          <w:szCs w:val="22"/>
        </w:rPr>
        <w:t> by the </w:t>
      </w:r>
      <w:hyperlink r:id="rId21" w:anchor="principal" w:history="1">
        <w:r w:rsidRPr="001F6E7B">
          <w:rPr>
            <w:rFonts w:eastAsiaTheme="minorEastAsia" w:cs="Arial"/>
            <w:szCs w:val="22"/>
          </w:rPr>
          <w:t>principal</w:t>
        </w:r>
      </w:hyperlink>
      <w:r w:rsidRPr="001F6E7B">
        <w:rPr>
          <w:rFonts w:eastAsiaTheme="minorEastAsia" w:cs="Arial"/>
          <w:szCs w:val="22"/>
        </w:rPr>
        <w:t>.</w:t>
      </w:r>
    </w:p>
    <w:p w:rsidR="008334C6" w:rsidRPr="001F6E7B" w:rsidRDefault="006308BB"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color w:val="000000"/>
          <w:sz w:val="22"/>
          <w:szCs w:val="22"/>
        </w:rPr>
        <w:t>It must be the case, therefore, that any forged or otherwise unauthorised enduring power of attorney, require</w:t>
      </w:r>
      <w:r w:rsidR="00B93C94">
        <w:rPr>
          <w:rFonts w:ascii="Arial" w:eastAsiaTheme="minorEastAsia" w:hAnsi="Arial" w:cs="Arial"/>
          <w:color w:val="000000"/>
          <w:sz w:val="22"/>
          <w:szCs w:val="22"/>
        </w:rPr>
        <w:t>s</w:t>
      </w:r>
      <w:r w:rsidRPr="001F6E7B">
        <w:rPr>
          <w:rFonts w:ascii="Arial" w:eastAsiaTheme="minorEastAsia" w:hAnsi="Arial" w:cs="Arial"/>
          <w:color w:val="000000"/>
          <w:sz w:val="22"/>
          <w:szCs w:val="22"/>
        </w:rPr>
        <w:t xml:space="preserve"> the participation </w:t>
      </w:r>
      <w:r w:rsidR="00B93C94">
        <w:rPr>
          <w:rFonts w:ascii="Arial" w:eastAsiaTheme="minorEastAsia" w:hAnsi="Arial" w:cs="Arial"/>
          <w:color w:val="000000"/>
          <w:sz w:val="22"/>
          <w:szCs w:val="22"/>
        </w:rPr>
        <w:t xml:space="preserve">(directly or indirectly) </w:t>
      </w:r>
      <w:r w:rsidRPr="001F6E7B">
        <w:rPr>
          <w:rFonts w:ascii="Arial" w:eastAsiaTheme="minorEastAsia" w:hAnsi="Arial" w:cs="Arial"/>
          <w:color w:val="000000"/>
          <w:sz w:val="22"/>
          <w:szCs w:val="22"/>
        </w:rPr>
        <w:t xml:space="preserve">by the "prescribed </w:t>
      </w:r>
      <w:r w:rsidRPr="001F6E7B">
        <w:rPr>
          <w:rFonts w:ascii="Arial" w:eastAsiaTheme="minorEastAsia" w:hAnsi="Arial" w:cs="Arial"/>
          <w:color w:val="000000"/>
          <w:sz w:val="22"/>
          <w:szCs w:val="22"/>
        </w:rPr>
        <w:lastRenderedPageBreak/>
        <w:t>witness" in that forgery or unauthorised conduct (unless of course the perpetrator forged the "prescribed witness" certification as well)</w:t>
      </w:r>
      <w:r w:rsidR="008334C6" w:rsidRPr="001F6E7B">
        <w:rPr>
          <w:rFonts w:ascii="Arial" w:eastAsiaTheme="minorEastAsia" w:hAnsi="Arial" w:cs="Arial"/>
          <w:color w:val="000000"/>
          <w:sz w:val="22"/>
          <w:szCs w:val="22"/>
        </w:rPr>
        <w:t>.</w:t>
      </w:r>
      <w:r w:rsidRPr="001F6E7B">
        <w:rPr>
          <w:rFonts w:ascii="Arial" w:eastAsiaTheme="minorEastAsia" w:hAnsi="Arial" w:cs="Arial"/>
          <w:color w:val="000000"/>
          <w:sz w:val="22"/>
          <w:szCs w:val="22"/>
        </w:rPr>
        <w:t xml:space="preserve"> </w:t>
      </w:r>
      <w:r w:rsidR="00B93C94">
        <w:rPr>
          <w:rFonts w:ascii="Arial" w:eastAsiaTheme="minorEastAsia" w:hAnsi="Arial" w:cs="Arial"/>
          <w:color w:val="000000"/>
          <w:sz w:val="22"/>
          <w:szCs w:val="22"/>
        </w:rPr>
        <w:t>The point to be emphasised, however</w:t>
      </w:r>
      <w:r w:rsidRPr="001F6E7B">
        <w:rPr>
          <w:rFonts w:ascii="Arial" w:eastAsiaTheme="minorEastAsia" w:hAnsi="Arial" w:cs="Arial"/>
          <w:color w:val="000000"/>
          <w:sz w:val="22"/>
          <w:szCs w:val="22"/>
        </w:rPr>
        <w:t xml:space="preserve">, </w:t>
      </w:r>
      <w:r w:rsidR="00B93C94">
        <w:rPr>
          <w:rFonts w:ascii="Arial" w:eastAsiaTheme="minorEastAsia" w:hAnsi="Arial" w:cs="Arial"/>
          <w:color w:val="000000"/>
          <w:sz w:val="22"/>
          <w:szCs w:val="22"/>
        </w:rPr>
        <w:t xml:space="preserve">is that </w:t>
      </w:r>
      <w:r w:rsidRPr="001F6E7B">
        <w:rPr>
          <w:rFonts w:ascii="Arial" w:eastAsiaTheme="minorEastAsia" w:hAnsi="Arial" w:cs="Arial"/>
          <w:color w:val="000000"/>
          <w:sz w:val="22"/>
          <w:szCs w:val="22"/>
        </w:rPr>
        <w:t>the existing legislation provides a mechanism to enable choice and control to be upheld (noting these were the areas of concern identified by the ALRC), as the "prescribed witness"</w:t>
      </w:r>
      <w:r w:rsidRPr="001F6E7B">
        <w:rPr>
          <w:rFonts w:ascii="Arial" w:eastAsiaTheme="minorEastAsia" w:hAnsi="Arial" w:cs="Arial"/>
          <w:sz w:val="22"/>
          <w:szCs w:val="22"/>
        </w:rPr>
        <w:t xml:space="preserve"> is required to actively ensure that the principal understands the effect of the document in question and must witness the principal’s execution of the document.</w:t>
      </w:r>
    </w:p>
    <w:p w:rsidR="00284124" w:rsidRPr="001F6E7B" w:rsidRDefault="00284124" w:rsidP="00C41272">
      <w:pPr>
        <w:tabs>
          <w:tab w:val="center" w:pos="4819"/>
        </w:tabs>
        <w:ind w:left="709" w:right="708"/>
        <w:jc w:val="both"/>
        <w:rPr>
          <w:rFonts w:ascii="Arial" w:eastAsiaTheme="minorEastAsia" w:hAnsi="Arial" w:cs="Arial"/>
          <w:sz w:val="22"/>
          <w:szCs w:val="22"/>
        </w:rPr>
      </w:pPr>
    </w:p>
    <w:p w:rsidR="00284124" w:rsidRPr="001F6E7B" w:rsidRDefault="00284124"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sz w:val="22"/>
          <w:szCs w:val="22"/>
        </w:rPr>
        <w:t xml:space="preserve">We consider that reforms in this space would be better served through </w:t>
      </w:r>
      <w:r w:rsidRPr="001F6E7B">
        <w:rPr>
          <w:rFonts w:ascii="Arial" w:eastAsiaTheme="minorEastAsia" w:hAnsi="Arial" w:cs="Arial"/>
          <w:b/>
          <w:sz w:val="22"/>
          <w:szCs w:val="22"/>
        </w:rPr>
        <w:t>education, advocacy and awareness</w:t>
      </w:r>
      <w:r w:rsidRPr="001F6E7B">
        <w:rPr>
          <w:rFonts w:ascii="Arial" w:eastAsiaTheme="minorEastAsia" w:hAnsi="Arial" w:cs="Arial"/>
          <w:sz w:val="22"/>
          <w:szCs w:val="22"/>
        </w:rPr>
        <w:t xml:space="preserve"> on the importance of proper estate planning and the preparation of enduring documents. Unfortunately, and again as our experience suggests, many Australians do not understand:</w:t>
      </w:r>
    </w:p>
    <w:p w:rsidR="00284124" w:rsidRPr="001F6E7B" w:rsidRDefault="00284124" w:rsidP="00C41272">
      <w:pPr>
        <w:pStyle w:val="ListParagraph"/>
        <w:ind w:right="708"/>
        <w:rPr>
          <w:rFonts w:ascii="Arial" w:eastAsiaTheme="minorEastAsia" w:hAnsi="Arial" w:cs="Arial"/>
          <w:sz w:val="22"/>
          <w:szCs w:val="22"/>
        </w:rPr>
      </w:pPr>
    </w:p>
    <w:p w:rsidR="00284124" w:rsidRPr="001F6E7B" w:rsidRDefault="00284124" w:rsidP="00C41272">
      <w:pPr>
        <w:pStyle w:val="LDStandardBodyText"/>
        <w:numPr>
          <w:ilvl w:val="0"/>
          <w:numId w:val="9"/>
        </w:numPr>
        <w:ind w:left="2127" w:right="708" w:hanging="567"/>
        <w:rPr>
          <w:rFonts w:eastAsiaTheme="minorEastAsia" w:cs="Arial"/>
          <w:szCs w:val="22"/>
        </w:rPr>
      </w:pPr>
      <w:r w:rsidRPr="001F6E7B">
        <w:rPr>
          <w:rFonts w:eastAsiaTheme="minorEastAsia" w:cs="Arial"/>
          <w:szCs w:val="22"/>
        </w:rPr>
        <w:t xml:space="preserve">What </w:t>
      </w:r>
      <w:r w:rsidR="00837851">
        <w:rPr>
          <w:rFonts w:eastAsiaTheme="minorEastAsia" w:cs="Arial"/>
          <w:szCs w:val="22"/>
        </w:rPr>
        <w:t>is a power of attorney</w:t>
      </w:r>
      <w:r w:rsidRPr="001F6E7B">
        <w:rPr>
          <w:rFonts w:eastAsiaTheme="minorEastAsia" w:cs="Arial"/>
          <w:szCs w:val="22"/>
        </w:rPr>
        <w:t>.</w:t>
      </w:r>
    </w:p>
    <w:p w:rsidR="00284124" w:rsidRPr="001F6E7B" w:rsidRDefault="00284124" w:rsidP="00C41272">
      <w:pPr>
        <w:pStyle w:val="LDStandardBodyText"/>
        <w:numPr>
          <w:ilvl w:val="0"/>
          <w:numId w:val="9"/>
        </w:numPr>
        <w:ind w:left="2127" w:right="708" w:hanging="567"/>
        <w:rPr>
          <w:rFonts w:eastAsiaTheme="minorEastAsia" w:cs="Arial"/>
          <w:szCs w:val="22"/>
        </w:rPr>
      </w:pPr>
      <w:r w:rsidRPr="001F6E7B">
        <w:rPr>
          <w:rFonts w:eastAsiaTheme="minorEastAsia" w:cs="Arial"/>
          <w:szCs w:val="22"/>
        </w:rPr>
        <w:t>The difference between a general and an enduring power of attorney.</w:t>
      </w:r>
    </w:p>
    <w:p w:rsidR="00284124" w:rsidRPr="001F6E7B" w:rsidRDefault="00284124" w:rsidP="00C41272">
      <w:pPr>
        <w:pStyle w:val="LDStandardBodyText"/>
        <w:numPr>
          <w:ilvl w:val="0"/>
          <w:numId w:val="9"/>
        </w:numPr>
        <w:ind w:left="2127" w:right="708" w:hanging="567"/>
        <w:rPr>
          <w:rFonts w:eastAsiaTheme="minorEastAsia" w:cs="Arial"/>
          <w:szCs w:val="22"/>
        </w:rPr>
      </w:pPr>
      <w:r w:rsidRPr="001F6E7B">
        <w:rPr>
          <w:rFonts w:eastAsiaTheme="minorEastAsia" w:cs="Arial"/>
          <w:szCs w:val="22"/>
        </w:rPr>
        <w:t>The difference between a power of attorney and an enduring guardian.</w:t>
      </w:r>
    </w:p>
    <w:p w:rsidR="00284124" w:rsidRPr="001F6E7B" w:rsidRDefault="00284124" w:rsidP="00C41272">
      <w:pPr>
        <w:pStyle w:val="LDStandardBodyText"/>
        <w:numPr>
          <w:ilvl w:val="0"/>
          <w:numId w:val="9"/>
        </w:numPr>
        <w:ind w:left="2127" w:right="708" w:hanging="567"/>
        <w:rPr>
          <w:rFonts w:eastAsiaTheme="minorEastAsia" w:cs="Arial"/>
          <w:szCs w:val="22"/>
        </w:rPr>
      </w:pPr>
      <w:r w:rsidRPr="001F6E7B">
        <w:rPr>
          <w:rFonts w:eastAsiaTheme="minorEastAsia" w:cs="Arial"/>
          <w:szCs w:val="22"/>
        </w:rPr>
        <w:t>That enduring documents can be subject to restrictions and limitations on authority, and do not need to apply to a principal’s entire financial or health &amp; lifestyle affairs (as the case may be)</w:t>
      </w:r>
      <w:r w:rsidR="00AB6D4E" w:rsidRPr="001F6E7B">
        <w:rPr>
          <w:rFonts w:eastAsiaTheme="minorEastAsia" w:cs="Arial"/>
          <w:szCs w:val="22"/>
        </w:rPr>
        <w:t>.</w:t>
      </w:r>
    </w:p>
    <w:p w:rsidR="00AB6D4E" w:rsidRPr="001F6E7B" w:rsidRDefault="00AB6D4E" w:rsidP="00C41272">
      <w:pPr>
        <w:pStyle w:val="LDStandardBodyText"/>
        <w:numPr>
          <w:ilvl w:val="0"/>
          <w:numId w:val="9"/>
        </w:numPr>
        <w:ind w:left="2127" w:right="708" w:hanging="567"/>
        <w:rPr>
          <w:rFonts w:eastAsiaTheme="minorEastAsia" w:cs="Arial"/>
          <w:szCs w:val="22"/>
        </w:rPr>
      </w:pPr>
      <w:r w:rsidRPr="001F6E7B">
        <w:rPr>
          <w:rFonts w:eastAsiaTheme="minorEastAsia" w:cs="Arial"/>
          <w:szCs w:val="22"/>
        </w:rPr>
        <w:t>That enduring documents can be revoked at any time (subject to legal capacity)</w:t>
      </w:r>
      <w:r w:rsidR="001140C0" w:rsidRPr="001F6E7B">
        <w:rPr>
          <w:rFonts w:eastAsiaTheme="minorEastAsia" w:cs="Arial"/>
          <w:szCs w:val="22"/>
        </w:rPr>
        <w:t>.</w:t>
      </w:r>
    </w:p>
    <w:p w:rsidR="001140C0" w:rsidRPr="001F6E7B" w:rsidRDefault="001140C0" w:rsidP="00C41272">
      <w:pPr>
        <w:pStyle w:val="ListParagraph"/>
        <w:numPr>
          <w:ilvl w:val="1"/>
          <w:numId w:val="2"/>
        </w:numPr>
        <w:tabs>
          <w:tab w:val="center" w:pos="4819"/>
        </w:tabs>
        <w:ind w:left="1560" w:right="708" w:hanging="851"/>
        <w:jc w:val="both"/>
        <w:rPr>
          <w:rFonts w:ascii="Arial" w:eastAsiaTheme="minorEastAsia" w:hAnsi="Arial" w:cs="Arial"/>
          <w:sz w:val="22"/>
          <w:szCs w:val="22"/>
        </w:rPr>
      </w:pPr>
      <w:r w:rsidRPr="001F6E7B">
        <w:rPr>
          <w:rFonts w:ascii="Arial" w:eastAsiaTheme="minorEastAsia" w:hAnsi="Arial" w:cs="Arial"/>
          <w:sz w:val="22"/>
          <w:szCs w:val="22"/>
        </w:rPr>
        <w:t>Our view is that the incidence of elder financial abuse can be more effectively mitigated through a series of education, advocacy and awareness sessions for Australians which highlight their rights and obligation</w:t>
      </w:r>
      <w:r w:rsidR="003E138E">
        <w:rPr>
          <w:rFonts w:ascii="Arial" w:eastAsiaTheme="minorEastAsia" w:hAnsi="Arial" w:cs="Arial"/>
          <w:sz w:val="22"/>
          <w:szCs w:val="22"/>
        </w:rPr>
        <w:t>s</w:t>
      </w:r>
      <w:r w:rsidRPr="001F6E7B">
        <w:rPr>
          <w:rFonts w:ascii="Arial" w:eastAsiaTheme="minorEastAsia" w:hAnsi="Arial" w:cs="Arial"/>
          <w:sz w:val="22"/>
          <w:szCs w:val="22"/>
        </w:rPr>
        <w:t xml:space="preserve"> with regard to enduring documents, and the importance of ensuring that a person’s estate planning arrangements are properly documented with the assistance of legal specialists with expertise in these areas. In this regard, Australians should be discouraged from purchasing "off the shelf" kits or using online sources (all of which are readily available), without the benefit of proper engagement and consultation with specialists.</w:t>
      </w:r>
      <w:r w:rsidR="003E138E">
        <w:rPr>
          <w:rFonts w:ascii="Arial" w:eastAsiaTheme="minorEastAsia" w:hAnsi="Arial" w:cs="Arial"/>
          <w:sz w:val="22"/>
          <w:szCs w:val="22"/>
        </w:rPr>
        <w:t xml:space="preserve"> Further insights in this regard are provided in Part 6 of the submission below.</w:t>
      </w:r>
    </w:p>
    <w:p w:rsidR="001140C0" w:rsidRPr="001F6E7B" w:rsidRDefault="001140C0" w:rsidP="00C41272">
      <w:pPr>
        <w:pStyle w:val="ListParagraph"/>
        <w:tabs>
          <w:tab w:val="center" w:pos="4819"/>
        </w:tabs>
        <w:ind w:left="1560" w:right="708"/>
        <w:jc w:val="both"/>
        <w:rPr>
          <w:rFonts w:ascii="Arial" w:eastAsiaTheme="minorEastAsia" w:hAnsi="Arial" w:cs="Arial"/>
          <w:sz w:val="22"/>
          <w:szCs w:val="22"/>
        </w:rPr>
      </w:pPr>
    </w:p>
    <w:p w:rsidR="00391C43" w:rsidRPr="00391C43" w:rsidRDefault="001140C0" w:rsidP="00391C43">
      <w:pPr>
        <w:pStyle w:val="ListParagraph"/>
        <w:numPr>
          <w:ilvl w:val="1"/>
          <w:numId w:val="2"/>
        </w:numPr>
        <w:tabs>
          <w:tab w:val="center" w:pos="4819"/>
        </w:tabs>
        <w:ind w:left="1560" w:right="708" w:hanging="851"/>
        <w:jc w:val="both"/>
        <w:rPr>
          <w:rFonts w:ascii="Arial" w:eastAsiaTheme="minorEastAsia" w:hAnsi="Arial" w:cs="Arial"/>
          <w:sz w:val="22"/>
          <w:szCs w:val="22"/>
        </w:rPr>
      </w:pPr>
      <w:r w:rsidRPr="00391C43">
        <w:rPr>
          <w:rFonts w:ascii="Arial" w:eastAsiaTheme="minorEastAsia" w:hAnsi="Arial" w:cs="Arial"/>
          <w:sz w:val="22"/>
          <w:szCs w:val="22"/>
        </w:rPr>
        <w:t xml:space="preserve">We take this opportunity to </w:t>
      </w:r>
      <w:r w:rsidR="003E138E" w:rsidRPr="00391C43">
        <w:rPr>
          <w:rFonts w:ascii="Arial" w:eastAsiaTheme="minorEastAsia" w:hAnsi="Arial" w:cs="Arial"/>
          <w:sz w:val="22"/>
          <w:szCs w:val="22"/>
        </w:rPr>
        <w:t xml:space="preserve">also </w:t>
      </w:r>
      <w:r w:rsidRPr="00391C43">
        <w:rPr>
          <w:rFonts w:ascii="Arial" w:eastAsiaTheme="minorEastAsia" w:hAnsi="Arial" w:cs="Arial"/>
          <w:sz w:val="22"/>
          <w:szCs w:val="22"/>
        </w:rPr>
        <w:t>address the fol</w:t>
      </w:r>
      <w:r w:rsidR="00391C43" w:rsidRPr="00391C43">
        <w:rPr>
          <w:rFonts w:ascii="Arial" w:eastAsiaTheme="minorEastAsia" w:hAnsi="Arial" w:cs="Arial"/>
          <w:sz w:val="22"/>
          <w:szCs w:val="22"/>
        </w:rPr>
        <w:t>lowing further related proposal</w:t>
      </w:r>
      <w:r w:rsidRPr="00391C43">
        <w:rPr>
          <w:rFonts w:ascii="Arial" w:eastAsiaTheme="minorEastAsia" w:hAnsi="Arial" w:cs="Arial"/>
          <w:sz w:val="22"/>
          <w:szCs w:val="22"/>
        </w:rPr>
        <w:t xml:space="preserve"> in DP 83:</w:t>
      </w:r>
    </w:p>
    <w:p w:rsidR="00391C43" w:rsidRDefault="00391C43" w:rsidP="00391C43">
      <w:pPr>
        <w:pStyle w:val="ListParagraph"/>
        <w:rPr>
          <w:rFonts w:ascii="Arial" w:eastAsiaTheme="minorEastAsia" w:hAnsi="Arial" w:cs="Arial"/>
          <w:b/>
          <w:bCs/>
          <w:sz w:val="22"/>
          <w:szCs w:val="22"/>
        </w:rPr>
      </w:pPr>
    </w:p>
    <w:p w:rsidR="00391C43" w:rsidRPr="00391C43" w:rsidRDefault="00391C43" w:rsidP="00391C43">
      <w:pPr>
        <w:pStyle w:val="ListParagraph"/>
        <w:tabs>
          <w:tab w:val="center" w:pos="4819"/>
        </w:tabs>
        <w:ind w:left="1560" w:right="708"/>
        <w:jc w:val="both"/>
        <w:rPr>
          <w:rFonts w:ascii="Arial" w:eastAsiaTheme="minorEastAsia" w:hAnsi="Arial" w:cs="Arial"/>
          <w:i/>
          <w:sz w:val="22"/>
          <w:szCs w:val="22"/>
        </w:rPr>
      </w:pPr>
      <w:r w:rsidRPr="00391C43">
        <w:rPr>
          <w:rFonts w:ascii="Arial" w:eastAsiaTheme="minorEastAsia" w:hAnsi="Arial" w:cs="Arial"/>
          <w:b/>
          <w:bCs/>
          <w:i/>
          <w:sz w:val="22"/>
          <w:szCs w:val="22"/>
        </w:rPr>
        <w:t xml:space="preserve">Proposal 5–4 </w:t>
      </w:r>
      <w:r w:rsidRPr="00391C43">
        <w:rPr>
          <w:rFonts w:ascii="Arial" w:eastAsiaTheme="minorEastAsia" w:hAnsi="Arial" w:cs="Arial"/>
          <w:i/>
          <w:sz w:val="22"/>
          <w:szCs w:val="22"/>
        </w:rPr>
        <w:t>Enduring documents should be witnessed by two independent witnesses, one of whom must be either a:</w:t>
      </w:r>
    </w:p>
    <w:p w:rsidR="00391C43" w:rsidRPr="00391C43" w:rsidRDefault="00391C43" w:rsidP="00391C43">
      <w:pPr>
        <w:pStyle w:val="ListParagraph"/>
        <w:tabs>
          <w:tab w:val="center" w:pos="4819"/>
        </w:tabs>
        <w:ind w:left="1560" w:right="708"/>
        <w:jc w:val="both"/>
        <w:rPr>
          <w:rFonts w:ascii="Arial" w:eastAsiaTheme="minorEastAsia" w:hAnsi="Arial" w:cs="Arial"/>
          <w:i/>
          <w:sz w:val="22"/>
          <w:szCs w:val="22"/>
        </w:rPr>
      </w:pPr>
    </w:p>
    <w:p w:rsidR="00391C43" w:rsidRDefault="00391C43" w:rsidP="00391C43">
      <w:pPr>
        <w:pStyle w:val="ListParagraph"/>
        <w:numPr>
          <w:ilvl w:val="0"/>
          <w:numId w:val="12"/>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legal practitioner;</w:t>
      </w:r>
    </w:p>
    <w:p w:rsidR="00E413BF" w:rsidRPr="00391C43" w:rsidRDefault="00E413BF" w:rsidP="00E413BF">
      <w:pPr>
        <w:pStyle w:val="ListParagraph"/>
        <w:tabs>
          <w:tab w:val="center" w:pos="4819"/>
        </w:tabs>
        <w:ind w:left="1920" w:right="708"/>
        <w:jc w:val="both"/>
        <w:rPr>
          <w:rFonts w:ascii="Arial" w:eastAsiaTheme="minorEastAsia" w:hAnsi="Arial" w:cs="Arial"/>
          <w:i/>
          <w:sz w:val="22"/>
          <w:szCs w:val="22"/>
        </w:rPr>
      </w:pPr>
    </w:p>
    <w:p w:rsidR="00391C43" w:rsidRDefault="00391C43" w:rsidP="00391C43">
      <w:pPr>
        <w:pStyle w:val="ListParagraph"/>
        <w:numPr>
          <w:ilvl w:val="0"/>
          <w:numId w:val="12"/>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medical practitioner;</w:t>
      </w:r>
    </w:p>
    <w:p w:rsidR="00E413BF" w:rsidRPr="00E413BF" w:rsidRDefault="00E413BF" w:rsidP="00E413BF">
      <w:pPr>
        <w:tabs>
          <w:tab w:val="center" w:pos="4819"/>
        </w:tabs>
        <w:ind w:right="708"/>
        <w:jc w:val="both"/>
        <w:rPr>
          <w:rFonts w:ascii="Arial" w:eastAsiaTheme="minorEastAsia" w:hAnsi="Arial" w:cs="Arial"/>
          <w:i/>
          <w:sz w:val="22"/>
          <w:szCs w:val="22"/>
        </w:rPr>
      </w:pPr>
    </w:p>
    <w:p w:rsidR="00391C43" w:rsidRDefault="00391C43" w:rsidP="00391C43">
      <w:pPr>
        <w:pStyle w:val="ListParagraph"/>
        <w:numPr>
          <w:ilvl w:val="0"/>
          <w:numId w:val="12"/>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justice of the peace;</w:t>
      </w:r>
    </w:p>
    <w:p w:rsidR="00E413BF" w:rsidRPr="00E413BF" w:rsidRDefault="00E413BF" w:rsidP="00E413BF">
      <w:pPr>
        <w:tabs>
          <w:tab w:val="center" w:pos="4819"/>
        </w:tabs>
        <w:ind w:right="708"/>
        <w:jc w:val="both"/>
        <w:rPr>
          <w:rFonts w:ascii="Arial" w:eastAsiaTheme="minorEastAsia" w:hAnsi="Arial" w:cs="Arial"/>
          <w:i/>
          <w:sz w:val="22"/>
          <w:szCs w:val="22"/>
        </w:rPr>
      </w:pPr>
    </w:p>
    <w:p w:rsidR="00391C43" w:rsidRDefault="00391C43" w:rsidP="00391C43">
      <w:pPr>
        <w:pStyle w:val="ListParagraph"/>
        <w:numPr>
          <w:ilvl w:val="0"/>
          <w:numId w:val="12"/>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registrar of the Local/Magistrates Court; or</w:t>
      </w:r>
    </w:p>
    <w:p w:rsidR="00E413BF" w:rsidRPr="00E413BF" w:rsidRDefault="00E413BF" w:rsidP="00E413BF">
      <w:pPr>
        <w:tabs>
          <w:tab w:val="center" w:pos="4819"/>
        </w:tabs>
        <w:ind w:right="708"/>
        <w:jc w:val="both"/>
        <w:rPr>
          <w:rFonts w:ascii="Arial" w:eastAsiaTheme="minorEastAsia" w:hAnsi="Arial" w:cs="Arial"/>
          <w:i/>
          <w:sz w:val="22"/>
          <w:szCs w:val="22"/>
        </w:rPr>
      </w:pPr>
    </w:p>
    <w:p w:rsidR="00391C43" w:rsidRPr="00391C43" w:rsidRDefault="00391C43" w:rsidP="00391C43">
      <w:pPr>
        <w:pStyle w:val="ListParagraph"/>
        <w:numPr>
          <w:ilvl w:val="0"/>
          <w:numId w:val="12"/>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police officer holding the rank of sergeant or above.</w:t>
      </w:r>
    </w:p>
    <w:p w:rsidR="00391C43" w:rsidRPr="00391C43" w:rsidRDefault="00391C43" w:rsidP="00391C43">
      <w:pPr>
        <w:tabs>
          <w:tab w:val="center" w:pos="4819"/>
        </w:tabs>
        <w:ind w:left="1560" w:right="708"/>
        <w:jc w:val="both"/>
        <w:rPr>
          <w:rFonts w:ascii="Arial" w:eastAsiaTheme="minorEastAsia" w:hAnsi="Arial" w:cs="Arial"/>
          <w:i/>
          <w:sz w:val="22"/>
          <w:szCs w:val="22"/>
        </w:rPr>
      </w:pPr>
    </w:p>
    <w:p w:rsidR="00391C43" w:rsidRPr="00391C43" w:rsidRDefault="00391C43" w:rsidP="00391C43">
      <w:pPr>
        <w:tabs>
          <w:tab w:val="center" w:pos="4819"/>
        </w:tabs>
        <w:ind w:left="1560" w:right="708"/>
        <w:jc w:val="both"/>
        <w:rPr>
          <w:rFonts w:ascii="Arial" w:eastAsiaTheme="minorEastAsia" w:hAnsi="Arial" w:cs="Arial"/>
          <w:i/>
          <w:sz w:val="22"/>
          <w:szCs w:val="22"/>
        </w:rPr>
      </w:pPr>
      <w:r w:rsidRPr="00391C43">
        <w:rPr>
          <w:rFonts w:ascii="Arial" w:eastAsiaTheme="minorEastAsia" w:hAnsi="Arial" w:cs="Arial"/>
          <w:i/>
          <w:sz w:val="22"/>
          <w:szCs w:val="22"/>
        </w:rPr>
        <w:lastRenderedPageBreak/>
        <w:t>Each witness should certify that:</w:t>
      </w:r>
    </w:p>
    <w:p w:rsidR="00391C43" w:rsidRPr="00391C43" w:rsidRDefault="00391C43" w:rsidP="00391C43">
      <w:pPr>
        <w:tabs>
          <w:tab w:val="center" w:pos="4819"/>
        </w:tabs>
        <w:ind w:left="1560" w:right="708"/>
        <w:jc w:val="both"/>
        <w:rPr>
          <w:rFonts w:ascii="Arial" w:eastAsiaTheme="minorEastAsia" w:hAnsi="Arial" w:cs="Arial"/>
          <w:i/>
          <w:sz w:val="22"/>
          <w:szCs w:val="22"/>
        </w:rPr>
      </w:pPr>
    </w:p>
    <w:p w:rsidR="00391C43" w:rsidRDefault="00391C43" w:rsidP="00391C43">
      <w:pPr>
        <w:pStyle w:val="ListParagraph"/>
        <w:numPr>
          <w:ilvl w:val="0"/>
          <w:numId w:val="13"/>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the principal appeared to freely and voluntarily sign in their presence;</w:t>
      </w:r>
    </w:p>
    <w:p w:rsidR="00E413BF" w:rsidRPr="00391C43" w:rsidRDefault="00E413BF" w:rsidP="00E413BF">
      <w:pPr>
        <w:pStyle w:val="ListParagraph"/>
        <w:tabs>
          <w:tab w:val="center" w:pos="4819"/>
        </w:tabs>
        <w:ind w:left="1920" w:right="708"/>
        <w:jc w:val="both"/>
        <w:rPr>
          <w:rFonts w:ascii="Arial" w:eastAsiaTheme="minorEastAsia" w:hAnsi="Arial" w:cs="Arial"/>
          <w:i/>
          <w:sz w:val="22"/>
          <w:szCs w:val="22"/>
        </w:rPr>
      </w:pPr>
    </w:p>
    <w:p w:rsidR="00391C43" w:rsidRDefault="00391C43" w:rsidP="00391C43">
      <w:pPr>
        <w:pStyle w:val="ListParagraph"/>
        <w:numPr>
          <w:ilvl w:val="0"/>
          <w:numId w:val="13"/>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the principal appeared to understand the nature of the document; and</w:t>
      </w:r>
    </w:p>
    <w:p w:rsidR="00E413BF" w:rsidRPr="00E413BF" w:rsidRDefault="00E413BF" w:rsidP="00E413BF">
      <w:pPr>
        <w:tabs>
          <w:tab w:val="center" w:pos="4819"/>
        </w:tabs>
        <w:ind w:right="708"/>
        <w:jc w:val="both"/>
        <w:rPr>
          <w:rFonts w:ascii="Arial" w:eastAsiaTheme="minorEastAsia" w:hAnsi="Arial" w:cs="Arial"/>
          <w:i/>
          <w:sz w:val="22"/>
          <w:szCs w:val="22"/>
        </w:rPr>
      </w:pPr>
    </w:p>
    <w:p w:rsidR="00391C43" w:rsidRPr="00391C43" w:rsidRDefault="00391C43" w:rsidP="00391C43">
      <w:pPr>
        <w:pStyle w:val="ListParagraph"/>
        <w:numPr>
          <w:ilvl w:val="0"/>
          <w:numId w:val="13"/>
        </w:numPr>
        <w:tabs>
          <w:tab w:val="center" w:pos="4819"/>
        </w:tabs>
        <w:ind w:right="708"/>
        <w:jc w:val="both"/>
        <w:rPr>
          <w:rFonts w:ascii="Arial" w:eastAsiaTheme="minorEastAsia" w:hAnsi="Arial" w:cs="Arial"/>
          <w:i/>
          <w:sz w:val="22"/>
          <w:szCs w:val="22"/>
        </w:rPr>
      </w:pPr>
      <w:r w:rsidRPr="00391C43">
        <w:rPr>
          <w:rFonts w:ascii="Arial" w:eastAsiaTheme="minorEastAsia" w:hAnsi="Arial" w:cs="Arial"/>
          <w:i/>
          <w:sz w:val="22"/>
          <w:szCs w:val="22"/>
        </w:rPr>
        <w:t>the enduring attorney or enduring guardian appeared to freely and voluntarily sign in their presence.</w:t>
      </w:r>
    </w:p>
    <w:p w:rsidR="00391C43" w:rsidRDefault="00391C43" w:rsidP="00391C43">
      <w:pPr>
        <w:tabs>
          <w:tab w:val="center" w:pos="4819"/>
        </w:tabs>
        <w:ind w:left="1560" w:right="708"/>
        <w:jc w:val="both"/>
        <w:rPr>
          <w:rFonts w:ascii="Arial" w:eastAsiaTheme="minorEastAsia" w:hAnsi="Arial" w:cs="Arial"/>
          <w:sz w:val="22"/>
          <w:szCs w:val="22"/>
        </w:rPr>
      </w:pPr>
    </w:p>
    <w:p w:rsidR="00032566" w:rsidRPr="00032566" w:rsidRDefault="00032566" w:rsidP="00391C43">
      <w:pPr>
        <w:pStyle w:val="ListParagraph"/>
        <w:numPr>
          <w:ilvl w:val="1"/>
          <w:numId w:val="2"/>
        </w:numPr>
        <w:tabs>
          <w:tab w:val="center" w:pos="4819"/>
        </w:tabs>
        <w:ind w:left="1560" w:right="708" w:hanging="851"/>
        <w:jc w:val="both"/>
        <w:rPr>
          <w:rFonts w:ascii="Arial" w:eastAsiaTheme="minorEastAsia" w:hAnsi="Arial" w:cs="Arial"/>
          <w:sz w:val="22"/>
          <w:szCs w:val="22"/>
        </w:rPr>
      </w:pPr>
      <w:r>
        <w:rPr>
          <w:rFonts w:ascii="Arial" w:eastAsiaTheme="minorEastAsia" w:hAnsi="Arial" w:cs="Arial"/>
          <w:color w:val="000000"/>
          <w:sz w:val="22"/>
          <w:szCs w:val="22"/>
        </w:rPr>
        <w:t>We do not consider this proposal</w:t>
      </w:r>
      <w:r w:rsidRPr="00032566">
        <w:rPr>
          <w:rFonts w:ascii="Arial" w:eastAsiaTheme="minorEastAsia" w:hAnsi="Arial" w:cs="Arial"/>
          <w:color w:val="000000"/>
          <w:sz w:val="22"/>
          <w:szCs w:val="22"/>
        </w:rPr>
        <w:t xml:space="preserve"> </w:t>
      </w:r>
      <w:r>
        <w:rPr>
          <w:rFonts w:ascii="Arial" w:eastAsiaTheme="minorEastAsia" w:hAnsi="Arial" w:cs="Arial"/>
          <w:color w:val="000000"/>
          <w:sz w:val="22"/>
          <w:szCs w:val="22"/>
        </w:rPr>
        <w:t>will assist in mitigating the incidence of "elder abuse"</w:t>
      </w:r>
      <w:r w:rsidRPr="00032566">
        <w:rPr>
          <w:rFonts w:ascii="Arial" w:eastAsiaTheme="minorEastAsia" w:hAnsi="Arial" w:cs="Arial"/>
          <w:color w:val="000000"/>
          <w:sz w:val="22"/>
          <w:szCs w:val="22"/>
        </w:rPr>
        <w:t>.</w:t>
      </w:r>
      <w:r>
        <w:rPr>
          <w:rFonts w:ascii="Arial" w:eastAsiaTheme="minorEastAsia" w:hAnsi="Arial" w:cs="Arial"/>
          <w:color w:val="000000"/>
          <w:sz w:val="22"/>
          <w:szCs w:val="22"/>
        </w:rPr>
        <w:t xml:space="preserve"> In fact, we consider that, when combined with the additional costs to be incurred by principals in needing to arrange registration of enduring documents (an issue identified in DP 83),</w:t>
      </w:r>
      <w:r w:rsidRPr="00032566">
        <w:rPr>
          <w:rFonts w:ascii="Arial" w:eastAsiaTheme="minorEastAsia" w:hAnsi="Arial" w:cs="Arial"/>
          <w:color w:val="000000"/>
          <w:sz w:val="22"/>
          <w:szCs w:val="22"/>
        </w:rPr>
        <w:t xml:space="preserve"> </w:t>
      </w:r>
      <w:r>
        <w:rPr>
          <w:rFonts w:ascii="Arial" w:eastAsiaTheme="minorEastAsia" w:hAnsi="Arial" w:cs="Arial"/>
          <w:color w:val="000000"/>
          <w:sz w:val="22"/>
          <w:szCs w:val="22"/>
        </w:rPr>
        <w:t>the proposals will provide counterintuitive and counterproductive, as they will discourage rather than encourage entry into such enduring documents. The proposals add a further layer of administrative complexity which will likely compromise the intention of the reforms, which ultimately should be to encourage Australians to engage in, and take control over, their estate planning affairs.</w:t>
      </w:r>
    </w:p>
    <w:p w:rsidR="00032566" w:rsidRPr="00032566" w:rsidRDefault="00032566" w:rsidP="00032566">
      <w:pPr>
        <w:pStyle w:val="ListParagraph"/>
        <w:tabs>
          <w:tab w:val="center" w:pos="4819"/>
        </w:tabs>
        <w:ind w:left="1560" w:right="708"/>
        <w:jc w:val="both"/>
        <w:rPr>
          <w:rFonts w:ascii="Arial" w:eastAsiaTheme="minorEastAsia" w:hAnsi="Arial" w:cs="Arial"/>
          <w:sz w:val="22"/>
          <w:szCs w:val="22"/>
        </w:rPr>
      </w:pPr>
    </w:p>
    <w:p w:rsidR="00391C43" w:rsidRPr="00E413BF" w:rsidRDefault="00032566" w:rsidP="00391C43">
      <w:pPr>
        <w:pStyle w:val="ListParagraph"/>
        <w:numPr>
          <w:ilvl w:val="1"/>
          <w:numId w:val="2"/>
        </w:numPr>
        <w:tabs>
          <w:tab w:val="center" w:pos="4819"/>
        </w:tabs>
        <w:ind w:left="1560" w:right="708" w:hanging="851"/>
        <w:jc w:val="both"/>
        <w:rPr>
          <w:rFonts w:ascii="Arial" w:eastAsiaTheme="minorEastAsia" w:hAnsi="Arial" w:cs="Arial"/>
          <w:sz w:val="22"/>
          <w:szCs w:val="22"/>
        </w:rPr>
      </w:pPr>
      <w:r>
        <w:rPr>
          <w:rFonts w:ascii="Arial" w:eastAsiaTheme="minorEastAsia" w:hAnsi="Arial" w:cs="Arial"/>
          <w:color w:val="000000"/>
          <w:sz w:val="22"/>
          <w:szCs w:val="22"/>
        </w:rPr>
        <w:t>A</w:t>
      </w:r>
      <w:r w:rsidRPr="00032566">
        <w:rPr>
          <w:rFonts w:ascii="Arial" w:eastAsiaTheme="minorEastAsia" w:hAnsi="Arial" w:cs="Arial"/>
          <w:color w:val="000000"/>
          <w:sz w:val="22"/>
          <w:szCs w:val="22"/>
        </w:rPr>
        <w:t xml:space="preserve"> "prescribed witness" </w:t>
      </w:r>
      <w:r>
        <w:rPr>
          <w:rFonts w:ascii="Arial" w:eastAsiaTheme="minorEastAsia" w:hAnsi="Arial" w:cs="Arial"/>
          <w:color w:val="000000"/>
          <w:sz w:val="22"/>
          <w:szCs w:val="22"/>
        </w:rPr>
        <w:t xml:space="preserve">is already required in New South Wales </w:t>
      </w:r>
      <w:r w:rsidR="00E413BF">
        <w:rPr>
          <w:rFonts w:ascii="Arial" w:eastAsiaTheme="minorEastAsia" w:hAnsi="Arial" w:cs="Arial"/>
          <w:color w:val="000000"/>
          <w:sz w:val="22"/>
          <w:szCs w:val="22"/>
        </w:rPr>
        <w:t xml:space="preserve">for enduring powers of attorney </w:t>
      </w:r>
      <w:r>
        <w:rPr>
          <w:rFonts w:ascii="Arial" w:eastAsiaTheme="minorEastAsia" w:hAnsi="Arial" w:cs="Arial"/>
          <w:color w:val="000000"/>
          <w:sz w:val="22"/>
          <w:szCs w:val="22"/>
        </w:rPr>
        <w:t xml:space="preserve">as outlined above, and </w:t>
      </w:r>
      <w:r w:rsidR="00E413BF">
        <w:rPr>
          <w:rFonts w:ascii="Arial" w:eastAsiaTheme="minorEastAsia" w:hAnsi="Arial" w:cs="Arial"/>
          <w:color w:val="000000"/>
          <w:sz w:val="22"/>
          <w:szCs w:val="22"/>
        </w:rPr>
        <w:t>that witness is</w:t>
      </w:r>
      <w:r>
        <w:rPr>
          <w:rFonts w:ascii="Arial" w:eastAsiaTheme="minorEastAsia" w:hAnsi="Arial" w:cs="Arial"/>
          <w:color w:val="000000"/>
          <w:sz w:val="22"/>
          <w:szCs w:val="22"/>
        </w:rPr>
        <w:t xml:space="preserve"> subject to prescriptive witnessing and execution obligations. </w:t>
      </w:r>
      <w:r w:rsidRPr="00032566">
        <w:rPr>
          <w:rFonts w:ascii="Arial" w:eastAsiaTheme="minorEastAsia" w:hAnsi="Arial" w:cs="Arial"/>
          <w:color w:val="000000"/>
          <w:sz w:val="22"/>
          <w:szCs w:val="22"/>
        </w:rPr>
        <w:t xml:space="preserve">Adding a second witness </w:t>
      </w:r>
      <w:r w:rsidR="00E413BF">
        <w:rPr>
          <w:rFonts w:ascii="Arial" w:eastAsiaTheme="minorEastAsia" w:hAnsi="Arial" w:cs="Arial"/>
          <w:color w:val="000000"/>
          <w:sz w:val="22"/>
          <w:szCs w:val="22"/>
        </w:rPr>
        <w:t>will</w:t>
      </w:r>
      <w:r w:rsidRPr="00032566">
        <w:rPr>
          <w:rFonts w:ascii="Arial" w:eastAsiaTheme="minorEastAsia" w:hAnsi="Arial" w:cs="Arial"/>
          <w:color w:val="000000"/>
          <w:sz w:val="22"/>
          <w:szCs w:val="22"/>
        </w:rPr>
        <w:t xml:space="preserve"> not alter the </w:t>
      </w:r>
      <w:r w:rsidR="00E413BF">
        <w:rPr>
          <w:rFonts w:ascii="Arial" w:eastAsiaTheme="minorEastAsia" w:hAnsi="Arial" w:cs="Arial"/>
          <w:color w:val="000000"/>
          <w:sz w:val="22"/>
          <w:szCs w:val="22"/>
        </w:rPr>
        <w:t xml:space="preserve">legal </w:t>
      </w:r>
      <w:r w:rsidRPr="00032566">
        <w:rPr>
          <w:rFonts w:ascii="Arial" w:eastAsiaTheme="minorEastAsia" w:hAnsi="Arial" w:cs="Arial"/>
          <w:color w:val="000000"/>
          <w:sz w:val="22"/>
          <w:szCs w:val="22"/>
        </w:rPr>
        <w:t>effect of the document</w:t>
      </w:r>
      <w:r w:rsidR="00E413BF">
        <w:rPr>
          <w:rFonts w:ascii="Arial" w:eastAsiaTheme="minorEastAsia" w:hAnsi="Arial" w:cs="Arial"/>
          <w:color w:val="000000"/>
          <w:sz w:val="22"/>
          <w:szCs w:val="22"/>
        </w:rPr>
        <w:t xml:space="preserve"> or reduce the incidence of misuse of valid powers and authorities</w:t>
      </w:r>
      <w:r w:rsidRPr="00032566">
        <w:rPr>
          <w:rFonts w:ascii="Arial" w:eastAsiaTheme="minorEastAsia" w:hAnsi="Arial" w:cs="Arial"/>
          <w:color w:val="000000"/>
          <w:sz w:val="22"/>
          <w:szCs w:val="22"/>
        </w:rPr>
        <w:t xml:space="preserve">. </w:t>
      </w:r>
      <w:r w:rsidR="00E413BF">
        <w:rPr>
          <w:rFonts w:ascii="Arial" w:eastAsiaTheme="minorEastAsia" w:hAnsi="Arial" w:cs="Arial"/>
          <w:color w:val="000000"/>
          <w:sz w:val="22"/>
          <w:szCs w:val="22"/>
        </w:rPr>
        <w:t>The proposal that one of the witnesses might be a medical practitioner appears unnecessary because a person cannot execute an enduring document in any event without legal capacity in the first place</w:t>
      </w:r>
      <w:r w:rsidRPr="00032566">
        <w:rPr>
          <w:rFonts w:ascii="Arial" w:eastAsiaTheme="minorEastAsia" w:hAnsi="Arial" w:cs="Arial"/>
          <w:color w:val="000000"/>
          <w:sz w:val="22"/>
          <w:szCs w:val="22"/>
        </w:rPr>
        <w:t>.</w:t>
      </w:r>
    </w:p>
    <w:p w:rsidR="00391C43" w:rsidRPr="00391C43" w:rsidRDefault="00391C43" w:rsidP="00391C43">
      <w:pPr>
        <w:pStyle w:val="ListParagraph"/>
        <w:tabs>
          <w:tab w:val="center" w:pos="4819"/>
        </w:tabs>
        <w:ind w:left="1560" w:right="708"/>
        <w:jc w:val="both"/>
        <w:rPr>
          <w:rFonts w:ascii="Arial" w:eastAsiaTheme="minorEastAsia" w:hAnsi="Arial" w:cs="Arial"/>
          <w:sz w:val="22"/>
          <w:szCs w:val="22"/>
        </w:rPr>
      </w:pPr>
    </w:p>
    <w:p w:rsidR="00B501B3" w:rsidRPr="00391C43" w:rsidRDefault="00B501B3" w:rsidP="00C41272">
      <w:pPr>
        <w:pStyle w:val="LDStandardBodyText"/>
        <w:numPr>
          <w:ilvl w:val="0"/>
          <w:numId w:val="3"/>
        </w:numPr>
        <w:ind w:left="1560" w:right="708" w:hanging="851"/>
        <w:rPr>
          <w:rFonts w:cs="Arial"/>
          <w:b/>
          <w:szCs w:val="22"/>
        </w:rPr>
      </w:pPr>
      <w:r w:rsidRPr="00391C43">
        <w:rPr>
          <w:rFonts w:cs="Arial"/>
          <w:b/>
          <w:szCs w:val="22"/>
        </w:rPr>
        <w:t>Wills</w:t>
      </w:r>
    </w:p>
    <w:p w:rsidR="00B501B3" w:rsidRPr="001F6E7B" w:rsidRDefault="00B501B3" w:rsidP="00C41272">
      <w:pPr>
        <w:pStyle w:val="ListParagraph"/>
        <w:numPr>
          <w:ilvl w:val="0"/>
          <w:numId w:val="2"/>
        </w:numPr>
        <w:tabs>
          <w:tab w:val="center" w:pos="4819"/>
        </w:tabs>
        <w:ind w:right="708"/>
        <w:jc w:val="both"/>
        <w:rPr>
          <w:rFonts w:ascii="Arial" w:hAnsi="Arial" w:cs="Arial"/>
          <w:vanish/>
          <w:sz w:val="22"/>
          <w:szCs w:val="22"/>
        </w:rPr>
      </w:pPr>
    </w:p>
    <w:p w:rsidR="00E413BF" w:rsidRPr="00E413BF" w:rsidRDefault="00B501B3" w:rsidP="00E413BF">
      <w:pPr>
        <w:pStyle w:val="ListParagraph"/>
        <w:numPr>
          <w:ilvl w:val="1"/>
          <w:numId w:val="2"/>
        </w:numPr>
        <w:tabs>
          <w:tab w:val="center" w:pos="4819"/>
        </w:tabs>
        <w:ind w:left="1560" w:right="708" w:hanging="851"/>
        <w:jc w:val="both"/>
        <w:rPr>
          <w:rFonts w:ascii="Arial" w:hAnsi="Arial" w:cs="Arial"/>
          <w:b/>
          <w:sz w:val="22"/>
          <w:szCs w:val="22"/>
        </w:rPr>
      </w:pPr>
      <w:r w:rsidRPr="00E413BF">
        <w:rPr>
          <w:rFonts w:ascii="Arial" w:hAnsi="Arial" w:cs="Arial"/>
          <w:sz w:val="22"/>
          <w:szCs w:val="22"/>
        </w:rPr>
        <w:t>This submission will re</w:t>
      </w:r>
      <w:r w:rsidR="00631901">
        <w:rPr>
          <w:rFonts w:ascii="Arial" w:hAnsi="Arial" w:cs="Arial"/>
          <w:sz w:val="22"/>
          <w:szCs w:val="22"/>
        </w:rPr>
        <w:t>spond to the following proposal</w:t>
      </w:r>
      <w:r w:rsidRPr="00E413BF">
        <w:rPr>
          <w:rFonts w:ascii="Arial" w:hAnsi="Arial" w:cs="Arial"/>
          <w:sz w:val="22"/>
          <w:szCs w:val="22"/>
        </w:rPr>
        <w:t>:</w:t>
      </w:r>
    </w:p>
    <w:p w:rsidR="00E413BF" w:rsidRPr="00E413BF" w:rsidRDefault="00E413BF" w:rsidP="00E413BF">
      <w:pPr>
        <w:pStyle w:val="ListParagraph"/>
        <w:tabs>
          <w:tab w:val="center" w:pos="4819"/>
        </w:tabs>
        <w:ind w:left="1560" w:right="708"/>
        <w:jc w:val="both"/>
        <w:rPr>
          <w:rFonts w:ascii="Arial" w:hAnsi="Arial" w:cs="Arial"/>
          <w:sz w:val="22"/>
          <w:szCs w:val="22"/>
        </w:rPr>
      </w:pPr>
    </w:p>
    <w:p w:rsidR="00E413BF" w:rsidRPr="00E413BF" w:rsidRDefault="00E413BF" w:rsidP="00E413BF">
      <w:pPr>
        <w:pStyle w:val="ListParagraph"/>
        <w:tabs>
          <w:tab w:val="center" w:pos="4819"/>
        </w:tabs>
        <w:ind w:left="1560" w:right="708"/>
        <w:jc w:val="both"/>
        <w:rPr>
          <w:rFonts w:ascii="Arial" w:eastAsiaTheme="minorEastAsia" w:hAnsi="Arial" w:cs="Arial"/>
          <w:i/>
          <w:sz w:val="22"/>
          <w:szCs w:val="22"/>
        </w:rPr>
      </w:pPr>
      <w:r w:rsidRPr="00E413BF">
        <w:rPr>
          <w:rFonts w:ascii="Arial" w:eastAsiaTheme="minorEastAsia" w:hAnsi="Arial" w:cs="Arial"/>
          <w:b/>
          <w:bCs/>
          <w:i/>
          <w:sz w:val="22"/>
          <w:szCs w:val="22"/>
        </w:rPr>
        <w:t xml:space="preserve">Proposal 9–1 </w:t>
      </w:r>
      <w:r w:rsidRPr="00E413BF">
        <w:rPr>
          <w:rFonts w:ascii="Arial" w:eastAsiaTheme="minorEastAsia" w:hAnsi="Arial" w:cs="Arial"/>
          <w:i/>
          <w:sz w:val="22"/>
          <w:szCs w:val="22"/>
        </w:rPr>
        <w:t>The Law Council of Australia, together with state and territory law societies, should review the guidelines for legal practitioners in relation to the preparation and execution of wills and other advance planning documents to ensure they cover matters such as:</w:t>
      </w:r>
    </w:p>
    <w:p w:rsidR="00E413BF" w:rsidRPr="00E413BF" w:rsidRDefault="00E413BF" w:rsidP="00E413BF">
      <w:pPr>
        <w:pStyle w:val="ListParagraph"/>
        <w:tabs>
          <w:tab w:val="center" w:pos="4819"/>
        </w:tabs>
        <w:ind w:left="1560" w:right="708"/>
        <w:jc w:val="both"/>
        <w:rPr>
          <w:rFonts w:ascii="Arial" w:eastAsiaTheme="minorEastAsia" w:hAnsi="Arial" w:cs="Arial"/>
          <w:i/>
          <w:sz w:val="22"/>
          <w:szCs w:val="22"/>
        </w:rPr>
      </w:pPr>
    </w:p>
    <w:p w:rsidR="00E413BF" w:rsidRDefault="00E413BF" w:rsidP="00E413BF">
      <w:pPr>
        <w:pStyle w:val="ListParagraph"/>
        <w:numPr>
          <w:ilvl w:val="0"/>
          <w:numId w:val="14"/>
        </w:numPr>
        <w:tabs>
          <w:tab w:val="center" w:pos="4819"/>
        </w:tabs>
        <w:ind w:right="708"/>
        <w:jc w:val="both"/>
        <w:rPr>
          <w:rFonts w:ascii="Arial" w:eastAsiaTheme="minorEastAsia" w:hAnsi="Arial" w:cs="Arial"/>
          <w:i/>
          <w:sz w:val="22"/>
          <w:szCs w:val="22"/>
        </w:rPr>
      </w:pPr>
      <w:r w:rsidRPr="00E413BF">
        <w:rPr>
          <w:rFonts w:ascii="Arial" w:eastAsiaTheme="minorEastAsia" w:hAnsi="Arial" w:cs="Arial"/>
          <w:i/>
          <w:sz w:val="22"/>
          <w:szCs w:val="22"/>
        </w:rPr>
        <w:t>common risk factors associated with undue influence;</w:t>
      </w:r>
    </w:p>
    <w:p w:rsidR="00E413BF" w:rsidRPr="00E413BF" w:rsidRDefault="00E413BF" w:rsidP="00E413BF">
      <w:pPr>
        <w:pStyle w:val="ListParagraph"/>
        <w:tabs>
          <w:tab w:val="center" w:pos="4819"/>
        </w:tabs>
        <w:ind w:left="1920" w:right="708"/>
        <w:jc w:val="both"/>
        <w:rPr>
          <w:rFonts w:ascii="Arial" w:eastAsiaTheme="minorEastAsia" w:hAnsi="Arial" w:cs="Arial"/>
          <w:i/>
          <w:sz w:val="22"/>
          <w:szCs w:val="22"/>
        </w:rPr>
      </w:pPr>
    </w:p>
    <w:p w:rsidR="00E413BF" w:rsidRPr="00E413BF" w:rsidRDefault="00E413BF" w:rsidP="00E413BF">
      <w:pPr>
        <w:pStyle w:val="ListParagraph"/>
        <w:numPr>
          <w:ilvl w:val="0"/>
          <w:numId w:val="14"/>
        </w:numPr>
        <w:tabs>
          <w:tab w:val="center" w:pos="4819"/>
        </w:tabs>
        <w:ind w:right="708"/>
        <w:jc w:val="both"/>
        <w:rPr>
          <w:rFonts w:ascii="Arial" w:hAnsi="Arial" w:cs="Arial"/>
          <w:i/>
          <w:sz w:val="22"/>
          <w:szCs w:val="22"/>
        </w:rPr>
      </w:pPr>
      <w:r w:rsidRPr="00E413BF">
        <w:rPr>
          <w:rFonts w:ascii="Arial" w:eastAsiaTheme="minorEastAsia" w:hAnsi="Arial" w:cs="Arial"/>
          <w:i/>
          <w:sz w:val="22"/>
          <w:szCs w:val="22"/>
        </w:rPr>
        <w:t>the importance of taking detailed instructions from the person alone;</w:t>
      </w:r>
    </w:p>
    <w:p w:rsidR="00E413BF" w:rsidRPr="00E413BF" w:rsidRDefault="00E413BF" w:rsidP="00E413BF">
      <w:pPr>
        <w:tabs>
          <w:tab w:val="center" w:pos="4819"/>
        </w:tabs>
        <w:ind w:right="708"/>
        <w:jc w:val="both"/>
        <w:rPr>
          <w:rFonts w:ascii="Arial" w:hAnsi="Arial" w:cs="Arial"/>
          <w:i/>
          <w:sz w:val="22"/>
          <w:szCs w:val="22"/>
        </w:rPr>
      </w:pPr>
    </w:p>
    <w:p w:rsidR="00E413BF" w:rsidRPr="00E413BF" w:rsidRDefault="00E413BF" w:rsidP="00E413BF">
      <w:pPr>
        <w:pStyle w:val="ListParagraph"/>
        <w:numPr>
          <w:ilvl w:val="0"/>
          <w:numId w:val="14"/>
        </w:numPr>
        <w:tabs>
          <w:tab w:val="center" w:pos="4819"/>
        </w:tabs>
        <w:ind w:right="708"/>
        <w:jc w:val="both"/>
        <w:rPr>
          <w:rFonts w:ascii="Arial" w:hAnsi="Arial" w:cs="Arial"/>
          <w:i/>
          <w:sz w:val="22"/>
          <w:szCs w:val="22"/>
        </w:rPr>
      </w:pPr>
      <w:r w:rsidRPr="00E413BF">
        <w:rPr>
          <w:rFonts w:ascii="Arial" w:eastAsiaTheme="minorEastAsia" w:hAnsi="Arial" w:cs="Arial"/>
          <w:i/>
          <w:sz w:val="22"/>
          <w:szCs w:val="22"/>
        </w:rPr>
        <w:t>the importance of ensuring that the person understands the nature of the document and knows and approves of its contents, particularly in circumstances where an unrelated person benefits; and</w:t>
      </w:r>
    </w:p>
    <w:p w:rsidR="00E413BF" w:rsidRPr="00E413BF" w:rsidRDefault="00E413BF" w:rsidP="00E413BF">
      <w:pPr>
        <w:tabs>
          <w:tab w:val="center" w:pos="4819"/>
        </w:tabs>
        <w:ind w:right="708"/>
        <w:jc w:val="both"/>
        <w:rPr>
          <w:rFonts w:ascii="Arial" w:hAnsi="Arial" w:cs="Arial"/>
          <w:i/>
          <w:sz w:val="22"/>
          <w:szCs w:val="22"/>
        </w:rPr>
      </w:pPr>
    </w:p>
    <w:p w:rsidR="00B501B3" w:rsidRPr="00E413BF" w:rsidRDefault="00E413BF" w:rsidP="00E413BF">
      <w:pPr>
        <w:pStyle w:val="ListParagraph"/>
        <w:numPr>
          <w:ilvl w:val="0"/>
          <w:numId w:val="14"/>
        </w:numPr>
        <w:tabs>
          <w:tab w:val="center" w:pos="4819"/>
        </w:tabs>
        <w:ind w:right="708"/>
        <w:jc w:val="both"/>
        <w:rPr>
          <w:rFonts w:ascii="Arial" w:hAnsi="Arial" w:cs="Arial"/>
          <w:i/>
          <w:sz w:val="22"/>
          <w:szCs w:val="22"/>
        </w:rPr>
      </w:pPr>
      <w:r w:rsidRPr="00E413BF">
        <w:rPr>
          <w:rFonts w:ascii="Arial" w:eastAsiaTheme="minorEastAsia" w:hAnsi="Arial" w:cs="Arial"/>
          <w:i/>
          <w:sz w:val="22"/>
          <w:szCs w:val="22"/>
        </w:rPr>
        <w:t>the need to keep detailed file notes and make inquiries regarding previous wills and advance planning documents.</w:t>
      </w:r>
    </w:p>
    <w:p w:rsidR="000C0B7E" w:rsidRPr="00E413BF" w:rsidRDefault="000C0B7E" w:rsidP="00C41272">
      <w:pPr>
        <w:pStyle w:val="ListParagraph"/>
        <w:ind w:right="708"/>
        <w:rPr>
          <w:rFonts w:ascii="Arial" w:hAnsi="Arial" w:cs="Arial"/>
          <w:sz w:val="22"/>
          <w:szCs w:val="22"/>
        </w:rPr>
      </w:pPr>
    </w:p>
    <w:p w:rsidR="00E413BF" w:rsidRDefault="00B501B3" w:rsidP="00C41272">
      <w:pPr>
        <w:pStyle w:val="ListParagraph"/>
        <w:numPr>
          <w:ilvl w:val="1"/>
          <w:numId w:val="2"/>
        </w:numPr>
        <w:tabs>
          <w:tab w:val="center" w:pos="4819"/>
        </w:tabs>
        <w:ind w:left="1560" w:right="708" w:hanging="851"/>
        <w:jc w:val="both"/>
        <w:rPr>
          <w:rFonts w:ascii="Arial" w:hAnsi="Arial" w:cs="Arial"/>
          <w:sz w:val="22"/>
          <w:szCs w:val="22"/>
        </w:rPr>
      </w:pPr>
      <w:r w:rsidRPr="00E413BF">
        <w:rPr>
          <w:rFonts w:ascii="Arial" w:hAnsi="Arial" w:cs="Arial"/>
          <w:sz w:val="22"/>
          <w:szCs w:val="22"/>
        </w:rPr>
        <w:t>Legal practitioners who</w:t>
      </w:r>
      <w:r w:rsidRPr="001F6E7B">
        <w:rPr>
          <w:rFonts w:ascii="Arial" w:hAnsi="Arial" w:cs="Arial"/>
          <w:sz w:val="22"/>
          <w:szCs w:val="22"/>
        </w:rPr>
        <w:t xml:space="preserve"> specialise in estate planning and related areas are already well-versed </w:t>
      </w:r>
      <w:r w:rsidR="00E413BF">
        <w:rPr>
          <w:rFonts w:ascii="Arial" w:hAnsi="Arial" w:cs="Arial"/>
          <w:sz w:val="22"/>
          <w:szCs w:val="22"/>
        </w:rPr>
        <w:t xml:space="preserve">(or should be well-versed) </w:t>
      </w:r>
      <w:r w:rsidRPr="001F6E7B">
        <w:rPr>
          <w:rFonts w:ascii="Arial" w:hAnsi="Arial" w:cs="Arial"/>
          <w:sz w:val="22"/>
          <w:szCs w:val="22"/>
        </w:rPr>
        <w:t xml:space="preserve">with these matters. </w:t>
      </w:r>
      <w:r w:rsidR="00E413BF">
        <w:rPr>
          <w:rFonts w:ascii="Arial" w:hAnsi="Arial" w:cs="Arial"/>
          <w:sz w:val="22"/>
          <w:szCs w:val="22"/>
        </w:rPr>
        <w:t xml:space="preserve">There is a plethora of guidance available to practitioners on these aspects. These are basic matters for estate planning practitioners. </w:t>
      </w:r>
      <w:r w:rsidRPr="001F6E7B">
        <w:rPr>
          <w:rFonts w:ascii="Arial" w:hAnsi="Arial" w:cs="Arial"/>
          <w:sz w:val="22"/>
          <w:szCs w:val="22"/>
        </w:rPr>
        <w:t xml:space="preserve">We do not consider that the proposal </w:t>
      </w:r>
      <w:r w:rsidR="00E413BF">
        <w:rPr>
          <w:rFonts w:ascii="Arial" w:hAnsi="Arial" w:cs="Arial"/>
          <w:sz w:val="22"/>
          <w:szCs w:val="22"/>
        </w:rPr>
        <w:t xml:space="preserve">of itself </w:t>
      </w:r>
      <w:r w:rsidRPr="001F6E7B">
        <w:rPr>
          <w:rFonts w:ascii="Arial" w:hAnsi="Arial" w:cs="Arial"/>
          <w:sz w:val="22"/>
          <w:szCs w:val="22"/>
        </w:rPr>
        <w:t xml:space="preserve">adds any probative value to the reforms and on </w:t>
      </w:r>
      <w:r w:rsidR="00E413BF">
        <w:rPr>
          <w:rFonts w:ascii="Arial" w:hAnsi="Arial" w:cs="Arial"/>
          <w:sz w:val="22"/>
          <w:szCs w:val="22"/>
        </w:rPr>
        <w:t>addressing</w:t>
      </w:r>
      <w:r w:rsidRPr="001F6E7B">
        <w:rPr>
          <w:rFonts w:ascii="Arial" w:hAnsi="Arial" w:cs="Arial"/>
          <w:sz w:val="22"/>
          <w:szCs w:val="22"/>
        </w:rPr>
        <w:t xml:space="preserve"> "elder abuse".</w:t>
      </w:r>
    </w:p>
    <w:p w:rsidR="00E413BF" w:rsidRDefault="00E413BF" w:rsidP="00E413BF">
      <w:pPr>
        <w:pStyle w:val="ListParagraph"/>
        <w:tabs>
          <w:tab w:val="center" w:pos="4819"/>
        </w:tabs>
        <w:ind w:left="1560" w:right="708"/>
        <w:jc w:val="both"/>
        <w:rPr>
          <w:rFonts w:ascii="Arial" w:hAnsi="Arial" w:cs="Arial"/>
          <w:sz w:val="22"/>
          <w:szCs w:val="22"/>
        </w:rPr>
      </w:pPr>
    </w:p>
    <w:p w:rsidR="000C0B7E" w:rsidRPr="001F6E7B" w:rsidRDefault="00631901"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In addition to the above matters, and by way of instructive example</w:t>
      </w:r>
      <w:r w:rsidR="00E413BF">
        <w:rPr>
          <w:rFonts w:ascii="Arial" w:hAnsi="Arial" w:cs="Arial"/>
          <w:sz w:val="22"/>
          <w:szCs w:val="22"/>
        </w:rPr>
        <w:t xml:space="preserve">, </w:t>
      </w:r>
      <w:r w:rsidR="00B501B3" w:rsidRPr="001F6E7B">
        <w:rPr>
          <w:rFonts w:ascii="Arial" w:hAnsi="Arial" w:cs="Arial"/>
          <w:sz w:val="22"/>
          <w:szCs w:val="22"/>
        </w:rPr>
        <w:t xml:space="preserve">the Law Society of New South Wales has prepared guidance to legal practitioners regarding mental capacity. Titled </w:t>
      </w:r>
      <w:r w:rsidR="00B501B3" w:rsidRPr="001F6E7B">
        <w:rPr>
          <w:rFonts w:ascii="Arial" w:hAnsi="Arial" w:cs="Arial"/>
          <w:i/>
          <w:sz w:val="22"/>
          <w:szCs w:val="22"/>
        </w:rPr>
        <w:t>When a Client’s Mental Capacity is in Doubt: A Practical Guide for Solicitors</w:t>
      </w:r>
      <w:r w:rsidR="00B501B3" w:rsidRPr="001F6E7B">
        <w:rPr>
          <w:rFonts w:ascii="Arial" w:hAnsi="Arial" w:cs="Arial"/>
          <w:sz w:val="22"/>
          <w:szCs w:val="22"/>
        </w:rPr>
        <w:t xml:space="preserve">, the publication provides guidance to legal practitioners on what to do when there are concerns about the client’s mental capacity, including potential indicators that a client’s mental capacity is in doubt, and what steps the practitioner should take. It </w:t>
      </w:r>
      <w:r>
        <w:rPr>
          <w:rFonts w:ascii="Arial" w:hAnsi="Arial" w:cs="Arial"/>
          <w:sz w:val="22"/>
          <w:szCs w:val="22"/>
        </w:rPr>
        <w:t>also</w:t>
      </w:r>
      <w:r w:rsidR="00B501B3" w:rsidRPr="001F6E7B">
        <w:rPr>
          <w:rFonts w:ascii="Arial" w:hAnsi="Arial" w:cs="Arial"/>
          <w:sz w:val="22"/>
          <w:szCs w:val="22"/>
        </w:rPr>
        <w:t xml:space="preserve"> contains a </w:t>
      </w:r>
      <w:r w:rsidR="00B501B3" w:rsidRPr="001F6E7B">
        <w:rPr>
          <w:rFonts w:ascii="Arial" w:hAnsi="Arial" w:cs="Arial"/>
          <w:i/>
          <w:sz w:val="22"/>
          <w:szCs w:val="22"/>
        </w:rPr>
        <w:t xml:space="preserve">capacity worksheet </w:t>
      </w:r>
      <w:r w:rsidR="00B501B3" w:rsidRPr="001F6E7B">
        <w:rPr>
          <w:rFonts w:ascii="Arial" w:hAnsi="Arial" w:cs="Arial"/>
          <w:sz w:val="22"/>
          <w:szCs w:val="22"/>
        </w:rPr>
        <w:t>to encourage practitioners to detect key behavioural indicators, including in relation to matters such as potential undue influence</w:t>
      </w:r>
      <w:r w:rsidR="001F6E7B">
        <w:rPr>
          <w:rFonts w:ascii="Arial" w:hAnsi="Arial" w:cs="Arial"/>
          <w:sz w:val="22"/>
          <w:szCs w:val="22"/>
        </w:rPr>
        <w:t>.</w:t>
      </w:r>
      <w:r w:rsidR="00B501B3" w:rsidRPr="001F6E7B">
        <w:rPr>
          <w:rFonts w:ascii="Arial" w:hAnsi="Arial" w:cs="Arial"/>
          <w:sz w:val="22"/>
          <w:szCs w:val="22"/>
        </w:rPr>
        <w:t xml:space="preserve"> The guide is available via the following link:</w:t>
      </w:r>
    </w:p>
    <w:p w:rsidR="00B501B3" w:rsidRPr="001F6E7B" w:rsidRDefault="00B501B3" w:rsidP="00C41272">
      <w:pPr>
        <w:pStyle w:val="ListParagraph"/>
        <w:tabs>
          <w:tab w:val="center" w:pos="4819"/>
        </w:tabs>
        <w:ind w:left="1560" w:right="708"/>
        <w:jc w:val="both"/>
        <w:rPr>
          <w:rFonts w:ascii="Arial" w:hAnsi="Arial" w:cs="Arial"/>
          <w:sz w:val="22"/>
          <w:szCs w:val="22"/>
        </w:rPr>
      </w:pPr>
    </w:p>
    <w:p w:rsidR="00B501B3" w:rsidRPr="001F6E7B" w:rsidRDefault="007557DC" w:rsidP="00C41272">
      <w:pPr>
        <w:pStyle w:val="ListParagraph"/>
        <w:tabs>
          <w:tab w:val="center" w:pos="4819"/>
        </w:tabs>
        <w:ind w:left="1560" w:right="708"/>
        <w:jc w:val="both"/>
        <w:rPr>
          <w:rFonts w:ascii="Arial" w:hAnsi="Arial" w:cs="Arial"/>
          <w:sz w:val="22"/>
          <w:szCs w:val="22"/>
        </w:rPr>
      </w:pPr>
      <w:hyperlink r:id="rId22" w:history="1">
        <w:r w:rsidR="00B501B3" w:rsidRPr="001F6E7B">
          <w:rPr>
            <w:rStyle w:val="Hyperlink"/>
            <w:rFonts w:ascii="Arial" w:hAnsi="Arial" w:cs="Arial"/>
            <w:sz w:val="22"/>
            <w:szCs w:val="22"/>
          </w:rPr>
          <w:t>https://www.lawsociety.com.au/cs/groups/public/documents/internetcontent/1191977.pdf</w:t>
        </w:r>
      </w:hyperlink>
    </w:p>
    <w:p w:rsidR="00B501B3" w:rsidRPr="001F6E7B" w:rsidRDefault="00B501B3" w:rsidP="00C41272">
      <w:pPr>
        <w:pStyle w:val="ListParagraph"/>
        <w:tabs>
          <w:tab w:val="center" w:pos="4819"/>
        </w:tabs>
        <w:ind w:left="1560" w:right="708"/>
        <w:jc w:val="both"/>
        <w:rPr>
          <w:rFonts w:ascii="Arial" w:hAnsi="Arial" w:cs="Arial"/>
          <w:sz w:val="22"/>
          <w:szCs w:val="22"/>
        </w:rPr>
      </w:pPr>
    </w:p>
    <w:p w:rsidR="00A55925" w:rsidRDefault="00B501B3"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In our view, </w:t>
      </w:r>
      <w:r w:rsidR="00E413BF">
        <w:rPr>
          <w:rFonts w:ascii="Arial" w:hAnsi="Arial" w:cs="Arial"/>
          <w:sz w:val="22"/>
          <w:szCs w:val="22"/>
        </w:rPr>
        <w:t xml:space="preserve">the fact that such basic matters have needed to be identified </w:t>
      </w:r>
      <w:r w:rsidR="00A55925">
        <w:rPr>
          <w:rFonts w:ascii="Arial" w:hAnsi="Arial" w:cs="Arial"/>
          <w:sz w:val="22"/>
          <w:szCs w:val="22"/>
        </w:rPr>
        <w:t>under</w:t>
      </w:r>
      <w:r w:rsidR="00E413BF">
        <w:rPr>
          <w:rFonts w:ascii="Arial" w:hAnsi="Arial" w:cs="Arial"/>
          <w:sz w:val="22"/>
          <w:szCs w:val="22"/>
        </w:rPr>
        <w:t xml:space="preserve"> a specific proposal, unequivocally</w:t>
      </w:r>
      <w:r w:rsidRPr="001F6E7B">
        <w:rPr>
          <w:rFonts w:ascii="Arial" w:hAnsi="Arial" w:cs="Arial"/>
          <w:sz w:val="22"/>
          <w:szCs w:val="22"/>
        </w:rPr>
        <w:t xml:space="preserve"> highlight</w:t>
      </w:r>
      <w:r w:rsidR="00E413BF">
        <w:rPr>
          <w:rFonts w:ascii="Arial" w:hAnsi="Arial" w:cs="Arial"/>
          <w:sz w:val="22"/>
          <w:szCs w:val="22"/>
        </w:rPr>
        <w:t>s</w:t>
      </w:r>
      <w:r w:rsidRPr="001F6E7B">
        <w:rPr>
          <w:rFonts w:ascii="Arial" w:hAnsi="Arial" w:cs="Arial"/>
          <w:sz w:val="22"/>
          <w:szCs w:val="22"/>
        </w:rPr>
        <w:t xml:space="preserve"> the unfortunate </w:t>
      </w:r>
      <w:r w:rsidR="00A55925">
        <w:rPr>
          <w:rFonts w:ascii="Arial" w:hAnsi="Arial" w:cs="Arial"/>
          <w:sz w:val="22"/>
          <w:szCs w:val="22"/>
        </w:rPr>
        <w:t>reality</w:t>
      </w:r>
      <w:r w:rsidRPr="001F6E7B">
        <w:rPr>
          <w:rFonts w:ascii="Arial" w:hAnsi="Arial" w:cs="Arial"/>
          <w:sz w:val="22"/>
          <w:szCs w:val="22"/>
        </w:rPr>
        <w:t xml:space="preserve"> that estate planning documentation is often not prepared by estate planning specialists: specifically, documentation is prepared by solicitors with little to no expertise in this space, or by individuals themselves using inadequate templates such as "Will Kits" which can be pur</w:t>
      </w:r>
      <w:r w:rsidR="00A55925">
        <w:rPr>
          <w:rFonts w:ascii="Arial" w:hAnsi="Arial" w:cs="Arial"/>
          <w:sz w:val="22"/>
          <w:szCs w:val="22"/>
        </w:rPr>
        <w:t>chased from local post offices.</w:t>
      </w:r>
    </w:p>
    <w:p w:rsidR="00A55925" w:rsidRDefault="00A55925" w:rsidP="00A55925">
      <w:pPr>
        <w:pStyle w:val="ListParagraph"/>
        <w:tabs>
          <w:tab w:val="center" w:pos="4819"/>
        </w:tabs>
        <w:ind w:left="1560" w:right="708"/>
        <w:jc w:val="both"/>
        <w:rPr>
          <w:rFonts w:ascii="Arial" w:hAnsi="Arial" w:cs="Arial"/>
          <w:sz w:val="22"/>
          <w:szCs w:val="22"/>
        </w:rPr>
      </w:pPr>
    </w:p>
    <w:p w:rsidR="00B501B3" w:rsidRPr="001F6E7B" w:rsidRDefault="00B501B3"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By way of general observation, the </w:t>
      </w:r>
      <w:r w:rsidR="00A55925">
        <w:rPr>
          <w:rFonts w:ascii="Arial" w:hAnsi="Arial" w:cs="Arial"/>
          <w:sz w:val="22"/>
          <w:szCs w:val="22"/>
        </w:rPr>
        <w:t>proposal</w:t>
      </w:r>
      <w:r w:rsidRPr="001F6E7B">
        <w:rPr>
          <w:rFonts w:ascii="Arial" w:hAnsi="Arial" w:cs="Arial"/>
          <w:sz w:val="22"/>
          <w:szCs w:val="22"/>
        </w:rPr>
        <w:t xml:space="preserve"> </w:t>
      </w:r>
      <w:r w:rsidR="00A55925">
        <w:rPr>
          <w:rFonts w:ascii="Arial" w:hAnsi="Arial" w:cs="Arial"/>
          <w:sz w:val="22"/>
          <w:szCs w:val="22"/>
        </w:rPr>
        <w:t xml:space="preserve">reflects the reality of </w:t>
      </w:r>
      <w:r w:rsidRPr="001F6E7B">
        <w:rPr>
          <w:rFonts w:ascii="Arial" w:hAnsi="Arial" w:cs="Arial"/>
          <w:sz w:val="22"/>
          <w:szCs w:val="22"/>
        </w:rPr>
        <w:t xml:space="preserve">what </w:t>
      </w:r>
      <w:r w:rsidR="00631901">
        <w:rPr>
          <w:rFonts w:ascii="Arial" w:hAnsi="Arial" w:cs="Arial"/>
          <w:sz w:val="22"/>
          <w:szCs w:val="22"/>
        </w:rPr>
        <w:t>Hamilton Blackstone Lawyers has</w:t>
      </w:r>
      <w:r w:rsidRPr="001F6E7B">
        <w:rPr>
          <w:rFonts w:ascii="Arial" w:hAnsi="Arial" w:cs="Arial"/>
          <w:sz w:val="22"/>
          <w:szCs w:val="22"/>
        </w:rPr>
        <w:t xml:space="preserve"> term</w:t>
      </w:r>
      <w:r w:rsidR="00A55925">
        <w:rPr>
          <w:rFonts w:ascii="Arial" w:hAnsi="Arial" w:cs="Arial"/>
          <w:sz w:val="22"/>
          <w:szCs w:val="22"/>
        </w:rPr>
        <w:t>ed</w:t>
      </w:r>
      <w:r w:rsidRPr="001F6E7B">
        <w:rPr>
          <w:rFonts w:ascii="Arial" w:hAnsi="Arial" w:cs="Arial"/>
          <w:sz w:val="22"/>
          <w:szCs w:val="22"/>
        </w:rPr>
        <w:t xml:space="preserve"> the "commoditisation" of estate planning, where documents are sold "off the shelf" as </w:t>
      </w:r>
      <w:r w:rsidR="00631901">
        <w:rPr>
          <w:rFonts w:ascii="Arial" w:hAnsi="Arial" w:cs="Arial"/>
          <w:sz w:val="22"/>
          <w:szCs w:val="22"/>
        </w:rPr>
        <w:t>"</w:t>
      </w:r>
      <w:r w:rsidRPr="001F6E7B">
        <w:rPr>
          <w:rFonts w:ascii="Arial" w:hAnsi="Arial" w:cs="Arial"/>
          <w:sz w:val="22"/>
          <w:szCs w:val="22"/>
        </w:rPr>
        <w:t>products</w:t>
      </w:r>
      <w:r w:rsidR="00631901">
        <w:rPr>
          <w:rFonts w:ascii="Arial" w:hAnsi="Arial" w:cs="Arial"/>
          <w:sz w:val="22"/>
          <w:szCs w:val="22"/>
        </w:rPr>
        <w:t>"</w:t>
      </w:r>
      <w:r w:rsidRPr="001F6E7B">
        <w:rPr>
          <w:rFonts w:ascii="Arial" w:hAnsi="Arial" w:cs="Arial"/>
          <w:sz w:val="22"/>
          <w:szCs w:val="22"/>
        </w:rPr>
        <w:t xml:space="preserve"> or prepared b</w:t>
      </w:r>
      <w:r w:rsidR="00A55925">
        <w:rPr>
          <w:rFonts w:ascii="Arial" w:hAnsi="Arial" w:cs="Arial"/>
          <w:sz w:val="22"/>
          <w:szCs w:val="22"/>
        </w:rPr>
        <w:t>y</w:t>
      </w:r>
      <w:r w:rsidRPr="001F6E7B">
        <w:rPr>
          <w:rFonts w:ascii="Arial" w:hAnsi="Arial" w:cs="Arial"/>
          <w:sz w:val="22"/>
          <w:szCs w:val="22"/>
        </w:rPr>
        <w:t xml:space="preserve"> solicitors with inadequate expertise, meaning "templates" are usually produced with little to no regard to a </w:t>
      </w:r>
      <w:r w:rsidR="00E149AE">
        <w:rPr>
          <w:rFonts w:ascii="Arial" w:hAnsi="Arial" w:cs="Arial"/>
          <w:sz w:val="22"/>
          <w:szCs w:val="22"/>
        </w:rPr>
        <w:t xml:space="preserve">client’s specific circumstances: </w:t>
      </w:r>
      <w:r w:rsidR="001F6E7B" w:rsidRPr="001F6E7B">
        <w:rPr>
          <w:rFonts w:ascii="Arial" w:hAnsi="Arial" w:cs="Arial"/>
          <w:sz w:val="22"/>
          <w:szCs w:val="22"/>
        </w:rPr>
        <w:t>DIY and generic versions are available online for less than a few hundred dollars, all at the click of a few buttons on an "instruction sheet" and the provision of credit card details. Those with little to no expertise in estate planning promote "wills and estates" services in a variety of forms, with the end product being a "one size fits all" template which falls well short of being the definitive representation of one’s personal, business and financial circumstances and intentions. Wills are not prepared with the empathy and attention to detail that one should come to expect when reflecting on what should happen with their affairs when they pass away.</w:t>
      </w:r>
    </w:p>
    <w:p w:rsidR="001F6E7B" w:rsidRPr="001F6E7B" w:rsidRDefault="001F6E7B" w:rsidP="00C41272">
      <w:pPr>
        <w:pStyle w:val="ListParagraph"/>
        <w:tabs>
          <w:tab w:val="center" w:pos="4819"/>
        </w:tabs>
        <w:ind w:left="1560" w:right="708"/>
        <w:jc w:val="both"/>
        <w:rPr>
          <w:rFonts w:ascii="Arial" w:hAnsi="Arial" w:cs="Arial"/>
          <w:sz w:val="22"/>
          <w:szCs w:val="22"/>
        </w:rPr>
      </w:pPr>
    </w:p>
    <w:p w:rsidR="001F6E7B" w:rsidRPr="001F6E7B" w:rsidRDefault="00E149AE"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In support of </w:t>
      </w:r>
      <w:r w:rsidR="001F6E7B" w:rsidRPr="001F6E7B">
        <w:rPr>
          <w:rFonts w:ascii="Arial" w:hAnsi="Arial" w:cs="Arial"/>
          <w:sz w:val="22"/>
          <w:szCs w:val="22"/>
        </w:rPr>
        <w:t>the above, we note with interest the opening paragraph of a leading Supreme Court of Western Australia decision involving a disputed estate due to a poorly drafted will (</w:t>
      </w:r>
      <w:r w:rsidR="001F6E7B" w:rsidRPr="001F6E7B">
        <w:rPr>
          <w:rFonts w:ascii="Arial" w:hAnsi="Arial" w:cs="Arial"/>
          <w:i/>
          <w:sz w:val="22"/>
          <w:szCs w:val="22"/>
        </w:rPr>
        <w:t>Gray v Gray</w:t>
      </w:r>
      <w:r w:rsidR="001F6E7B" w:rsidRPr="001F6E7B">
        <w:rPr>
          <w:rFonts w:ascii="Arial" w:hAnsi="Arial" w:cs="Arial"/>
          <w:sz w:val="22"/>
          <w:szCs w:val="22"/>
        </w:rPr>
        <w:t xml:space="preserve"> [2013] WASC 387):</w:t>
      </w:r>
    </w:p>
    <w:p w:rsidR="001F6E7B" w:rsidRPr="001F6E7B" w:rsidRDefault="001F6E7B" w:rsidP="00C41272">
      <w:pPr>
        <w:pStyle w:val="ListParagraph"/>
        <w:ind w:right="708"/>
        <w:rPr>
          <w:rFonts w:ascii="Arial" w:hAnsi="Arial" w:cs="Arial"/>
          <w:sz w:val="22"/>
          <w:szCs w:val="22"/>
        </w:rPr>
      </w:pPr>
    </w:p>
    <w:p w:rsidR="001F6E7B" w:rsidRPr="001F6E7B" w:rsidRDefault="001F6E7B" w:rsidP="00C41272">
      <w:pPr>
        <w:pStyle w:val="ListParagraph"/>
        <w:tabs>
          <w:tab w:val="center" w:pos="4819"/>
        </w:tabs>
        <w:ind w:left="1560" w:right="708"/>
        <w:jc w:val="both"/>
        <w:rPr>
          <w:rFonts w:ascii="Arial" w:hAnsi="Arial" w:cs="Arial"/>
          <w:sz w:val="22"/>
          <w:szCs w:val="22"/>
        </w:rPr>
      </w:pPr>
      <w:r w:rsidRPr="001F6E7B">
        <w:rPr>
          <w:rFonts w:ascii="Arial" w:hAnsi="Arial" w:cs="Arial"/>
          <w:bCs/>
          <w:i/>
          <w:iCs/>
          <w:color w:val="000000"/>
          <w:sz w:val="22"/>
          <w:szCs w:val="22"/>
        </w:rPr>
        <w:t>Home made wills are a curse. Occasionally where the assets of a testator are limited and where the beneficiaries are not in dispute no difficulties may arise in the administration of an estate. Flaws in the will can be glossed over and the interests of all parties can be reconciled. But where, as here, the estate of the deceased is substantial, the will is opaque and there is no agreement among the beneficiaries, the inevitable result is an expensive legal battle which is unlikely to satisfy everyone. All of this could have been avoided if the testator had consulted a lawyer and signed off on a will which reflected his wishes. There is no question but that engaging the services of a properly qualified and experienced lawyer to draft a will is money well spent</w:t>
      </w:r>
      <w:r w:rsidRPr="001F6E7B">
        <w:rPr>
          <w:rFonts w:ascii="Arial" w:hAnsi="Arial" w:cs="Arial"/>
          <w:bCs/>
          <w:iCs/>
          <w:color w:val="000000"/>
          <w:sz w:val="22"/>
          <w:szCs w:val="22"/>
        </w:rPr>
        <w:t>.</w:t>
      </w:r>
    </w:p>
    <w:p w:rsidR="001F6E7B" w:rsidRPr="001F6E7B" w:rsidRDefault="001F6E7B" w:rsidP="00C41272">
      <w:pPr>
        <w:pStyle w:val="ListParagraph"/>
        <w:ind w:right="708"/>
        <w:rPr>
          <w:rFonts w:ascii="Arial" w:hAnsi="Arial" w:cs="Arial"/>
          <w:sz w:val="22"/>
          <w:szCs w:val="22"/>
        </w:rPr>
      </w:pPr>
    </w:p>
    <w:p w:rsidR="001F6E7B" w:rsidRPr="001F6E7B" w:rsidRDefault="001F6E7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 xml:space="preserve">In our view, reforms which focus on </w:t>
      </w:r>
      <w:r w:rsidRPr="001F6E7B">
        <w:rPr>
          <w:rFonts w:ascii="Arial" w:eastAsiaTheme="minorEastAsia" w:hAnsi="Arial" w:cs="Arial"/>
          <w:b/>
          <w:sz w:val="22"/>
          <w:szCs w:val="22"/>
        </w:rPr>
        <w:t>education, advocacy and awareness</w:t>
      </w:r>
      <w:r w:rsidRPr="001F6E7B">
        <w:rPr>
          <w:rFonts w:ascii="Arial" w:eastAsiaTheme="minorEastAsia" w:hAnsi="Arial" w:cs="Arial"/>
          <w:sz w:val="22"/>
          <w:szCs w:val="22"/>
        </w:rPr>
        <w:t xml:space="preserve"> on the importance of proper estate planning and the preparation of enduring documents, will</w:t>
      </w:r>
      <w:r w:rsidRPr="001F6E7B">
        <w:rPr>
          <w:rFonts w:ascii="Arial" w:hAnsi="Arial" w:cs="Arial"/>
          <w:sz w:val="22"/>
          <w:szCs w:val="22"/>
        </w:rPr>
        <w:t xml:space="preserve"> </w:t>
      </w:r>
      <w:r w:rsidRPr="001F6E7B">
        <w:rPr>
          <w:rFonts w:ascii="Arial" w:hAnsi="Arial" w:cs="Arial"/>
          <w:sz w:val="22"/>
          <w:szCs w:val="22"/>
        </w:rPr>
        <w:lastRenderedPageBreak/>
        <w:t>achieve far greater outcomes. The t</w:t>
      </w:r>
      <w:r w:rsidR="00631901">
        <w:rPr>
          <w:rFonts w:ascii="Arial" w:hAnsi="Arial" w:cs="Arial"/>
          <w:sz w:val="22"/>
          <w:szCs w:val="22"/>
        </w:rPr>
        <w:t>iming</w:t>
      </w:r>
      <w:r w:rsidRPr="001F6E7B">
        <w:rPr>
          <w:rFonts w:ascii="Arial" w:hAnsi="Arial" w:cs="Arial"/>
          <w:sz w:val="22"/>
          <w:szCs w:val="22"/>
        </w:rPr>
        <w:t xml:space="preserve"> for proper education, advocacy and awareness is no more </w:t>
      </w:r>
      <w:r w:rsidR="00631901">
        <w:rPr>
          <w:rFonts w:ascii="Arial" w:hAnsi="Arial" w:cs="Arial"/>
          <w:sz w:val="22"/>
          <w:szCs w:val="22"/>
        </w:rPr>
        <w:t xml:space="preserve">pertinent </w:t>
      </w:r>
      <w:r w:rsidRPr="001F6E7B">
        <w:rPr>
          <w:rFonts w:ascii="Arial" w:hAnsi="Arial" w:cs="Arial"/>
          <w:sz w:val="22"/>
          <w:szCs w:val="22"/>
        </w:rPr>
        <w:t>than it is today. As fa</w:t>
      </w:r>
      <w:r w:rsidR="00E149AE">
        <w:rPr>
          <w:rFonts w:ascii="Arial" w:hAnsi="Arial" w:cs="Arial"/>
          <w:sz w:val="22"/>
          <w:szCs w:val="22"/>
        </w:rPr>
        <w:t>mily dynamics change, a proper w</w:t>
      </w:r>
      <w:r w:rsidRPr="001F6E7B">
        <w:rPr>
          <w:rFonts w:ascii="Arial" w:hAnsi="Arial" w:cs="Arial"/>
          <w:sz w:val="22"/>
          <w:szCs w:val="22"/>
        </w:rPr>
        <w:t xml:space="preserve">ill becomes even more critical. Breakdowns in family relationships </w:t>
      </w:r>
      <w:r w:rsidR="00E149AE">
        <w:rPr>
          <w:rFonts w:ascii="Arial" w:hAnsi="Arial" w:cs="Arial"/>
          <w:sz w:val="22"/>
          <w:szCs w:val="22"/>
        </w:rPr>
        <w:t xml:space="preserve">now </w:t>
      </w:r>
      <w:r w:rsidRPr="001F6E7B">
        <w:rPr>
          <w:rFonts w:ascii="Arial" w:hAnsi="Arial" w:cs="Arial"/>
          <w:sz w:val="22"/>
          <w:szCs w:val="22"/>
        </w:rPr>
        <w:t>occur</w:t>
      </w:r>
      <w:r w:rsidR="00E149AE">
        <w:rPr>
          <w:rFonts w:ascii="Arial" w:hAnsi="Arial" w:cs="Arial"/>
          <w:sz w:val="22"/>
          <w:szCs w:val="22"/>
        </w:rPr>
        <w:t xml:space="preserve"> at a far greater rate than at any time in Australian history</w:t>
      </w:r>
      <w:r w:rsidRPr="001F6E7B">
        <w:rPr>
          <w:rFonts w:ascii="Arial" w:hAnsi="Arial" w:cs="Arial"/>
          <w:sz w:val="22"/>
          <w:szCs w:val="22"/>
        </w:rPr>
        <w:t>. Blended family arrangements are now common. Grandparents and relatives are now more likely than ever to have the full-time care of children, and more people are raising children who aren’t biologically related to them. With the growth in superannuation balances and increasing property values, estates</w:t>
      </w:r>
      <w:r w:rsidR="00E149AE">
        <w:rPr>
          <w:rFonts w:ascii="Arial" w:hAnsi="Arial" w:cs="Arial"/>
          <w:sz w:val="22"/>
          <w:szCs w:val="22"/>
        </w:rPr>
        <w:t xml:space="preserve"> are becoming larger and larger, which means t</w:t>
      </w:r>
      <w:r w:rsidRPr="001F6E7B">
        <w:rPr>
          <w:rFonts w:ascii="Arial" w:hAnsi="Arial" w:cs="Arial"/>
          <w:sz w:val="22"/>
          <w:szCs w:val="22"/>
        </w:rPr>
        <w:t>ax and social security become even more relevant post-death.</w:t>
      </w:r>
    </w:p>
    <w:p w:rsidR="001F6E7B" w:rsidRPr="001F6E7B" w:rsidRDefault="001F6E7B" w:rsidP="00C41272">
      <w:pPr>
        <w:ind w:left="720" w:right="708"/>
        <w:jc w:val="both"/>
        <w:rPr>
          <w:rFonts w:ascii="Arial" w:hAnsi="Arial" w:cs="Arial"/>
          <w:sz w:val="22"/>
          <w:szCs w:val="22"/>
        </w:rPr>
      </w:pPr>
    </w:p>
    <w:p w:rsidR="001F6E7B" w:rsidRPr="001F6E7B" w:rsidRDefault="00E149AE"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The statistics indicate </w:t>
      </w:r>
      <w:r w:rsidR="001F6E7B" w:rsidRPr="001F6E7B">
        <w:rPr>
          <w:rFonts w:ascii="Arial" w:hAnsi="Arial" w:cs="Arial"/>
          <w:sz w:val="22"/>
          <w:szCs w:val="22"/>
        </w:rPr>
        <w:t>that people are living longer</w:t>
      </w:r>
      <w:r>
        <w:rPr>
          <w:rFonts w:ascii="Arial" w:hAnsi="Arial" w:cs="Arial"/>
          <w:sz w:val="22"/>
          <w:szCs w:val="22"/>
        </w:rPr>
        <w:t>, too</w:t>
      </w:r>
      <w:r w:rsidR="001F6E7B" w:rsidRPr="001F6E7B">
        <w:rPr>
          <w:rFonts w:ascii="Arial" w:hAnsi="Arial" w:cs="Arial"/>
          <w:sz w:val="22"/>
          <w:szCs w:val="22"/>
        </w:rPr>
        <w:t>. With advances in modern medicine, this trend will only continue. Add to this the intricacies of aged care and the prevalence of mental illnesses such as dementia and Alzheimer’s disease, and it becomes clearly apparent that proper estate planning with an expert is critical if Australians want to give themselves and their loved ones the peace of mind they deserve.</w:t>
      </w:r>
    </w:p>
    <w:p w:rsidR="001F6E7B" w:rsidRPr="001F6E7B" w:rsidRDefault="001F6E7B" w:rsidP="00C41272">
      <w:pPr>
        <w:pStyle w:val="ListParagraph"/>
        <w:ind w:right="708"/>
        <w:rPr>
          <w:rFonts w:ascii="Arial" w:hAnsi="Arial" w:cs="Arial"/>
          <w:sz w:val="22"/>
          <w:szCs w:val="22"/>
        </w:rPr>
      </w:pPr>
    </w:p>
    <w:p w:rsidR="001F6E7B" w:rsidRPr="001F6E7B" w:rsidRDefault="001F6E7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This becomes especially important for Australian women</w:t>
      </w:r>
      <w:r w:rsidR="00631901">
        <w:rPr>
          <w:rFonts w:ascii="Arial" w:hAnsi="Arial" w:cs="Arial"/>
          <w:sz w:val="22"/>
          <w:szCs w:val="22"/>
        </w:rPr>
        <w:t>, in particular elderly women</w:t>
      </w:r>
      <w:r w:rsidRPr="001F6E7B">
        <w:rPr>
          <w:rFonts w:ascii="Arial" w:hAnsi="Arial" w:cs="Arial"/>
          <w:sz w:val="22"/>
          <w:szCs w:val="22"/>
        </w:rPr>
        <w:t>. Studies show that around half of adult Australians don’t have a Will. Women comprise the significant majority of this statistic. For those who do have estate planning documents in place, many are found to be inadequate: either because they were prepared years ago and haven’t been updated to accommodate changing circumstances, or because they were poorly drafted to begin with.</w:t>
      </w:r>
    </w:p>
    <w:p w:rsidR="001F6E7B" w:rsidRPr="001F6E7B" w:rsidRDefault="001F6E7B" w:rsidP="00C41272">
      <w:pPr>
        <w:pStyle w:val="ListParagraph"/>
        <w:ind w:right="708"/>
        <w:rPr>
          <w:rFonts w:ascii="Arial" w:hAnsi="Arial" w:cs="Arial"/>
          <w:sz w:val="22"/>
          <w:szCs w:val="22"/>
        </w:rPr>
      </w:pPr>
    </w:p>
    <w:p w:rsidR="001F6E7B" w:rsidRPr="001F6E7B" w:rsidRDefault="00E149AE"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Unfortunately</w:t>
      </w:r>
      <w:r w:rsidR="001F6E7B" w:rsidRPr="001F6E7B">
        <w:rPr>
          <w:rFonts w:ascii="Arial" w:hAnsi="Arial" w:cs="Arial"/>
          <w:sz w:val="22"/>
          <w:szCs w:val="22"/>
        </w:rPr>
        <w:t>, women are disadvantaged when it comes to many of the key social and financial indicators which particularly impact their estate planning, which means that proper estate planning becomes particularly critical. The statistics tell us that women endure a disproportionate share of the financial burden of their families, whether because of increased life expectancy, care of elderly relatives, and/or care and custody of children. However, women are also disproportionately subject to financial abuse, domestic violence, and divorce can be financially crippling to them when they also have to manage the financial burden of children and the elderly.</w:t>
      </w:r>
    </w:p>
    <w:p w:rsidR="001F6E7B" w:rsidRPr="001F6E7B" w:rsidRDefault="001F6E7B" w:rsidP="00C41272">
      <w:pPr>
        <w:pStyle w:val="ListParagraph"/>
        <w:ind w:right="708"/>
        <w:rPr>
          <w:rFonts w:ascii="Arial" w:hAnsi="Arial" w:cs="Arial"/>
          <w:sz w:val="22"/>
          <w:szCs w:val="22"/>
        </w:rPr>
      </w:pPr>
    </w:p>
    <w:p w:rsidR="001F6E7B" w:rsidRPr="001F6E7B" w:rsidRDefault="001F6E7B" w:rsidP="00C41272">
      <w:pPr>
        <w:pStyle w:val="ListParagraph"/>
        <w:numPr>
          <w:ilvl w:val="1"/>
          <w:numId w:val="2"/>
        </w:numPr>
        <w:tabs>
          <w:tab w:val="center" w:pos="4819"/>
        </w:tabs>
        <w:ind w:left="1560" w:right="708" w:hanging="851"/>
        <w:jc w:val="both"/>
        <w:rPr>
          <w:rFonts w:ascii="Arial" w:hAnsi="Arial" w:cs="Arial"/>
          <w:sz w:val="22"/>
          <w:szCs w:val="22"/>
        </w:rPr>
      </w:pPr>
      <w:r w:rsidRPr="001F6E7B">
        <w:rPr>
          <w:rFonts w:ascii="Arial" w:hAnsi="Arial" w:cs="Arial"/>
          <w:sz w:val="22"/>
          <w:szCs w:val="22"/>
        </w:rPr>
        <w:t>We strongly encourage the ongoing development of education, advocacy and awareness programs, led by the Law Societies in each state and territory, to highlight the importance of proper estate planning in consultation with specialists in these critical areas.</w:t>
      </w:r>
    </w:p>
    <w:p w:rsidR="001F6E7B" w:rsidRPr="001F6E7B" w:rsidRDefault="001F6E7B" w:rsidP="00C41272">
      <w:pPr>
        <w:pStyle w:val="ListParagraph"/>
        <w:ind w:right="708"/>
        <w:rPr>
          <w:rFonts w:ascii="Arial" w:hAnsi="Arial" w:cs="Arial"/>
          <w:sz w:val="22"/>
          <w:szCs w:val="22"/>
        </w:rPr>
      </w:pPr>
    </w:p>
    <w:p w:rsidR="001F6E7B" w:rsidRPr="00E149AE" w:rsidRDefault="001F6E7B" w:rsidP="00C41272">
      <w:pPr>
        <w:pStyle w:val="LDStandardBodyText"/>
        <w:numPr>
          <w:ilvl w:val="0"/>
          <w:numId w:val="3"/>
        </w:numPr>
        <w:ind w:left="1560" w:right="708" w:hanging="851"/>
        <w:rPr>
          <w:rFonts w:cs="Arial"/>
          <w:b/>
          <w:szCs w:val="22"/>
        </w:rPr>
      </w:pPr>
      <w:r w:rsidRPr="00E149AE">
        <w:rPr>
          <w:rFonts w:cs="Arial"/>
          <w:b/>
          <w:szCs w:val="22"/>
        </w:rPr>
        <w:t>Superannuation</w:t>
      </w:r>
    </w:p>
    <w:p w:rsidR="001F6E7B" w:rsidRPr="00E149AE" w:rsidRDefault="001F6E7B" w:rsidP="00C41272">
      <w:pPr>
        <w:pStyle w:val="ListParagraph"/>
        <w:numPr>
          <w:ilvl w:val="0"/>
          <w:numId w:val="2"/>
        </w:numPr>
        <w:tabs>
          <w:tab w:val="center" w:pos="4819"/>
        </w:tabs>
        <w:ind w:right="708"/>
        <w:jc w:val="both"/>
        <w:rPr>
          <w:rFonts w:ascii="Arial" w:hAnsi="Arial" w:cs="Arial"/>
          <w:vanish/>
          <w:sz w:val="22"/>
          <w:szCs w:val="22"/>
        </w:rPr>
      </w:pPr>
    </w:p>
    <w:p w:rsidR="00E149AE" w:rsidRPr="00E149AE" w:rsidRDefault="001F6E7B" w:rsidP="00E149AE">
      <w:pPr>
        <w:pStyle w:val="ListParagraph"/>
        <w:numPr>
          <w:ilvl w:val="1"/>
          <w:numId w:val="2"/>
        </w:numPr>
        <w:tabs>
          <w:tab w:val="center" w:pos="4819"/>
        </w:tabs>
        <w:ind w:left="1560" w:right="708" w:hanging="851"/>
        <w:jc w:val="both"/>
        <w:rPr>
          <w:rFonts w:ascii="Arial" w:hAnsi="Arial" w:cs="Arial"/>
          <w:b/>
          <w:sz w:val="22"/>
          <w:szCs w:val="22"/>
        </w:rPr>
      </w:pPr>
      <w:r w:rsidRPr="00E149AE">
        <w:rPr>
          <w:rFonts w:ascii="Arial" w:hAnsi="Arial" w:cs="Arial"/>
          <w:sz w:val="22"/>
          <w:szCs w:val="22"/>
        </w:rPr>
        <w:t>This submission will re</w:t>
      </w:r>
      <w:r w:rsidR="00E149AE" w:rsidRPr="00E149AE">
        <w:rPr>
          <w:rFonts w:ascii="Arial" w:hAnsi="Arial" w:cs="Arial"/>
          <w:sz w:val="22"/>
          <w:szCs w:val="22"/>
        </w:rPr>
        <w:t>spond to the following proposal</w:t>
      </w:r>
      <w:r w:rsidRPr="00E149AE">
        <w:rPr>
          <w:rFonts w:ascii="Arial" w:hAnsi="Arial" w:cs="Arial"/>
          <w:sz w:val="22"/>
          <w:szCs w:val="22"/>
        </w:rPr>
        <w:t>:</w:t>
      </w:r>
    </w:p>
    <w:p w:rsidR="00E149AE" w:rsidRPr="00E149AE" w:rsidRDefault="00E149AE" w:rsidP="00E149AE">
      <w:pPr>
        <w:pStyle w:val="ListParagraph"/>
        <w:tabs>
          <w:tab w:val="center" w:pos="4819"/>
        </w:tabs>
        <w:ind w:left="1560" w:right="708"/>
        <w:jc w:val="both"/>
        <w:rPr>
          <w:rFonts w:ascii="Arial" w:hAnsi="Arial" w:cs="Arial"/>
          <w:sz w:val="22"/>
          <w:szCs w:val="22"/>
        </w:rPr>
      </w:pPr>
    </w:p>
    <w:p w:rsidR="00E149AE" w:rsidRPr="00AC2EFA" w:rsidRDefault="00E149AE" w:rsidP="00E149AE">
      <w:pPr>
        <w:pStyle w:val="ListParagraph"/>
        <w:tabs>
          <w:tab w:val="center" w:pos="4819"/>
        </w:tabs>
        <w:ind w:left="1560" w:right="708"/>
        <w:jc w:val="both"/>
        <w:rPr>
          <w:rFonts w:ascii="Arial" w:hAnsi="Arial" w:cs="Arial"/>
          <w:b/>
          <w:i/>
          <w:sz w:val="22"/>
          <w:szCs w:val="22"/>
        </w:rPr>
      </w:pPr>
      <w:r w:rsidRPr="00AC2EFA">
        <w:rPr>
          <w:rFonts w:ascii="Arial" w:eastAsiaTheme="minorEastAsia" w:hAnsi="Arial" w:cs="Arial"/>
          <w:b/>
          <w:bCs/>
          <w:i/>
          <w:sz w:val="22"/>
          <w:szCs w:val="22"/>
        </w:rPr>
        <w:t xml:space="preserve">Proposal 9–2 </w:t>
      </w:r>
      <w:r w:rsidRPr="00AC2EFA">
        <w:rPr>
          <w:rFonts w:ascii="Arial" w:eastAsiaTheme="minorEastAsia" w:hAnsi="Arial" w:cs="Arial"/>
          <w:i/>
          <w:sz w:val="22"/>
          <w:szCs w:val="22"/>
        </w:rPr>
        <w:t xml:space="preserve">The witnessing requirements for binding death benefit nominations in the </w:t>
      </w:r>
      <w:r w:rsidRPr="00AC2EFA">
        <w:rPr>
          <w:rFonts w:ascii="Arial" w:eastAsiaTheme="minorEastAsia" w:hAnsi="Arial" w:cs="Arial"/>
          <w:i/>
          <w:iCs/>
          <w:sz w:val="22"/>
          <w:szCs w:val="22"/>
        </w:rPr>
        <w:t xml:space="preserve">Superannuation Industry (Supervision) Act 1993 </w:t>
      </w:r>
      <w:r w:rsidRPr="00AC2EFA">
        <w:rPr>
          <w:rFonts w:ascii="Arial" w:eastAsiaTheme="minorEastAsia" w:hAnsi="Arial" w:cs="Arial"/>
          <w:i/>
          <w:sz w:val="22"/>
          <w:szCs w:val="22"/>
        </w:rPr>
        <w:t xml:space="preserve">(Cth) and </w:t>
      </w:r>
      <w:r w:rsidRPr="00AC2EFA">
        <w:rPr>
          <w:rFonts w:ascii="Arial" w:eastAsiaTheme="minorEastAsia" w:hAnsi="Arial" w:cs="Arial"/>
          <w:i/>
          <w:iCs/>
          <w:sz w:val="22"/>
          <w:szCs w:val="22"/>
        </w:rPr>
        <w:t xml:space="preserve">Superannuation Industry (Supervision) Regulations 1994 </w:t>
      </w:r>
      <w:r w:rsidRPr="00AC2EFA">
        <w:rPr>
          <w:rFonts w:ascii="Arial" w:eastAsiaTheme="minorEastAsia" w:hAnsi="Arial" w:cs="Arial"/>
          <w:i/>
          <w:sz w:val="22"/>
          <w:szCs w:val="22"/>
        </w:rPr>
        <w:t>(Cth) should be equivalent to those for wills.</w:t>
      </w:r>
    </w:p>
    <w:p w:rsidR="001F6E7B" w:rsidRPr="00E149AE" w:rsidRDefault="001F6E7B" w:rsidP="00C41272">
      <w:pPr>
        <w:tabs>
          <w:tab w:val="left" w:pos="983"/>
        </w:tabs>
        <w:ind w:right="708"/>
        <w:rPr>
          <w:rFonts w:ascii="Arial" w:hAnsi="Arial" w:cs="Arial"/>
          <w:sz w:val="22"/>
          <w:szCs w:val="22"/>
        </w:rPr>
      </w:pPr>
    </w:p>
    <w:p w:rsidR="00E149AE" w:rsidRPr="00E149AE" w:rsidRDefault="00E149AE" w:rsidP="00E149AE">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We urge caution on any proposals which compromise the ability for persons to complete </w:t>
      </w:r>
      <w:r w:rsidRPr="00E149AE">
        <w:rPr>
          <w:rFonts w:ascii="Arial" w:eastAsiaTheme="minorEastAsia" w:hAnsi="Arial" w:cs="Arial"/>
          <w:sz w:val="22"/>
          <w:szCs w:val="22"/>
        </w:rPr>
        <w:t>binding death benefit nominations</w:t>
      </w:r>
      <w:r>
        <w:rPr>
          <w:rFonts w:ascii="Arial" w:eastAsiaTheme="minorEastAsia" w:hAnsi="Arial" w:cs="Arial"/>
          <w:sz w:val="22"/>
          <w:szCs w:val="22"/>
        </w:rPr>
        <w:t xml:space="preserve"> with the assistance of, and in the presence of, their financial adviser.</w:t>
      </w:r>
    </w:p>
    <w:p w:rsidR="00E149AE" w:rsidRPr="00E149AE" w:rsidRDefault="00E149AE" w:rsidP="00E149AE">
      <w:pPr>
        <w:pStyle w:val="ListParagraph"/>
        <w:tabs>
          <w:tab w:val="center" w:pos="4819"/>
        </w:tabs>
        <w:ind w:left="1560" w:right="708"/>
        <w:jc w:val="both"/>
        <w:rPr>
          <w:rFonts w:ascii="Arial" w:hAnsi="Arial" w:cs="Arial"/>
          <w:sz w:val="22"/>
          <w:szCs w:val="22"/>
        </w:rPr>
      </w:pPr>
    </w:p>
    <w:p w:rsidR="000C0B7E" w:rsidRPr="00E149AE" w:rsidRDefault="00E149AE" w:rsidP="00E149AE">
      <w:pPr>
        <w:pStyle w:val="ListParagraph"/>
        <w:numPr>
          <w:ilvl w:val="1"/>
          <w:numId w:val="2"/>
        </w:numPr>
        <w:tabs>
          <w:tab w:val="center" w:pos="4819"/>
        </w:tabs>
        <w:ind w:left="1560" w:right="708" w:hanging="851"/>
        <w:jc w:val="both"/>
        <w:rPr>
          <w:rFonts w:ascii="Arial" w:hAnsi="Arial" w:cs="Arial"/>
          <w:sz w:val="22"/>
          <w:szCs w:val="22"/>
        </w:rPr>
      </w:pPr>
      <w:r>
        <w:rPr>
          <w:rFonts w:ascii="Arial" w:eastAsiaTheme="minorEastAsia" w:hAnsi="Arial" w:cs="Arial"/>
          <w:sz w:val="22"/>
          <w:szCs w:val="22"/>
        </w:rPr>
        <w:t xml:space="preserve">Hamilton Blackstone Lawyers observes that in a large proportion of cases where a person has a relationship with a financial adviser, </w:t>
      </w:r>
      <w:r w:rsidRPr="00E149AE">
        <w:rPr>
          <w:rFonts w:ascii="Arial" w:eastAsiaTheme="minorEastAsia" w:hAnsi="Arial" w:cs="Arial"/>
          <w:sz w:val="22"/>
          <w:szCs w:val="22"/>
        </w:rPr>
        <w:t>binding death benefit nominations</w:t>
      </w:r>
      <w:r>
        <w:rPr>
          <w:rFonts w:ascii="Arial" w:eastAsiaTheme="minorEastAsia" w:hAnsi="Arial" w:cs="Arial"/>
          <w:sz w:val="22"/>
          <w:szCs w:val="22"/>
        </w:rPr>
        <w:t xml:space="preserve"> </w:t>
      </w:r>
      <w:r>
        <w:rPr>
          <w:rFonts w:ascii="Arial" w:eastAsiaTheme="minorEastAsia" w:hAnsi="Arial" w:cs="Arial"/>
          <w:sz w:val="22"/>
          <w:szCs w:val="22"/>
        </w:rPr>
        <w:lastRenderedPageBreak/>
        <w:t xml:space="preserve">are completed following the provision of advice by that adviser. Furthermore, advisers generally assist in the completion and execution of </w:t>
      </w:r>
      <w:r w:rsidRPr="00E149AE">
        <w:rPr>
          <w:rFonts w:ascii="Arial" w:eastAsiaTheme="minorEastAsia" w:hAnsi="Arial" w:cs="Arial"/>
          <w:sz w:val="22"/>
          <w:szCs w:val="22"/>
        </w:rPr>
        <w:t>binding death benefit nominations</w:t>
      </w:r>
      <w:r>
        <w:rPr>
          <w:rFonts w:ascii="Arial" w:eastAsiaTheme="minorEastAsia" w:hAnsi="Arial" w:cs="Arial"/>
          <w:sz w:val="22"/>
          <w:szCs w:val="22"/>
        </w:rPr>
        <w:t xml:space="preserve">. It is critical that this continues to be the case. Financial advisers play a crucial role in the preparation of </w:t>
      </w:r>
      <w:r w:rsidRPr="00E149AE">
        <w:rPr>
          <w:rFonts w:ascii="Arial" w:eastAsiaTheme="minorEastAsia" w:hAnsi="Arial" w:cs="Arial"/>
          <w:sz w:val="22"/>
          <w:szCs w:val="22"/>
        </w:rPr>
        <w:t>binding death benefit nominations</w:t>
      </w:r>
      <w:r>
        <w:rPr>
          <w:rFonts w:ascii="Arial" w:eastAsiaTheme="minorEastAsia" w:hAnsi="Arial" w:cs="Arial"/>
          <w:sz w:val="22"/>
          <w:szCs w:val="22"/>
        </w:rPr>
        <w:t>, especially given that these documents are critical elements of a person’s financial and estate plan. We express concern that the proposal will diminish the important role that a financial adviser plays in the estate planning process. At a time when reforms should be designed to encourage Australians to obtain quality financial advice, we consider the proposal to be potentially counterintuitive and counterproductive.</w:t>
      </w:r>
    </w:p>
    <w:p w:rsidR="00E149AE" w:rsidRPr="00E149AE" w:rsidRDefault="00E149AE" w:rsidP="00E149AE">
      <w:pPr>
        <w:pStyle w:val="ListParagraph"/>
        <w:rPr>
          <w:rFonts w:ascii="Arial" w:hAnsi="Arial" w:cs="Arial"/>
          <w:sz w:val="22"/>
          <w:szCs w:val="22"/>
        </w:rPr>
      </w:pPr>
    </w:p>
    <w:p w:rsidR="00E149AE" w:rsidRPr="00E149AE" w:rsidRDefault="00E149AE" w:rsidP="00E149AE">
      <w:pPr>
        <w:pStyle w:val="ListParagraph"/>
        <w:numPr>
          <w:ilvl w:val="1"/>
          <w:numId w:val="2"/>
        </w:numPr>
        <w:tabs>
          <w:tab w:val="center" w:pos="4819"/>
        </w:tabs>
        <w:ind w:left="1560" w:right="708" w:hanging="851"/>
        <w:jc w:val="both"/>
        <w:rPr>
          <w:rFonts w:ascii="Arial" w:hAnsi="Arial" w:cs="Arial"/>
          <w:sz w:val="22"/>
          <w:szCs w:val="22"/>
        </w:rPr>
      </w:pPr>
      <w:r w:rsidRPr="00E149AE">
        <w:rPr>
          <w:rFonts w:ascii="Arial" w:hAnsi="Arial" w:cs="Arial"/>
          <w:sz w:val="22"/>
          <w:szCs w:val="22"/>
        </w:rPr>
        <w:t>For completeness, we will also address the following proposal:</w:t>
      </w:r>
    </w:p>
    <w:p w:rsidR="00E149AE" w:rsidRPr="00E149AE" w:rsidRDefault="00E149AE" w:rsidP="00E149AE">
      <w:pPr>
        <w:pStyle w:val="ListParagraph"/>
        <w:rPr>
          <w:rFonts w:ascii="Arial" w:eastAsiaTheme="minorEastAsia" w:hAnsi="Arial" w:cs="Arial"/>
          <w:b/>
          <w:bCs/>
          <w:sz w:val="22"/>
          <w:szCs w:val="22"/>
        </w:rPr>
      </w:pPr>
    </w:p>
    <w:p w:rsidR="00E149AE" w:rsidRPr="00E149AE" w:rsidRDefault="00E149AE" w:rsidP="00E149AE">
      <w:pPr>
        <w:pStyle w:val="ListParagraph"/>
        <w:tabs>
          <w:tab w:val="center" w:pos="4819"/>
        </w:tabs>
        <w:ind w:left="1560" w:right="708"/>
        <w:jc w:val="both"/>
        <w:rPr>
          <w:rFonts w:ascii="Arial" w:hAnsi="Arial" w:cs="Arial"/>
          <w:i/>
          <w:sz w:val="22"/>
          <w:szCs w:val="22"/>
        </w:rPr>
      </w:pPr>
      <w:r w:rsidRPr="00E149AE">
        <w:rPr>
          <w:rFonts w:ascii="Arial" w:eastAsiaTheme="minorEastAsia" w:hAnsi="Arial" w:cs="Arial"/>
          <w:b/>
          <w:bCs/>
          <w:i/>
          <w:sz w:val="22"/>
          <w:szCs w:val="22"/>
        </w:rPr>
        <w:t xml:space="preserve">Proposal 9–3 </w:t>
      </w:r>
      <w:r w:rsidRPr="00E149AE">
        <w:rPr>
          <w:rFonts w:ascii="Arial" w:eastAsiaTheme="minorEastAsia" w:hAnsi="Arial" w:cs="Arial"/>
          <w:i/>
          <w:sz w:val="22"/>
          <w:szCs w:val="22"/>
        </w:rPr>
        <w:t xml:space="preserve">The </w:t>
      </w:r>
      <w:r w:rsidRPr="00E149AE">
        <w:rPr>
          <w:rFonts w:ascii="Arial" w:eastAsiaTheme="minorEastAsia" w:hAnsi="Arial" w:cs="Arial"/>
          <w:i/>
          <w:iCs/>
          <w:sz w:val="22"/>
          <w:szCs w:val="22"/>
        </w:rPr>
        <w:t xml:space="preserve">Superannuation Industry (Supervision) Act 1993 </w:t>
      </w:r>
      <w:r w:rsidRPr="00E149AE">
        <w:rPr>
          <w:rFonts w:ascii="Arial" w:eastAsiaTheme="minorEastAsia" w:hAnsi="Arial" w:cs="Arial"/>
          <w:i/>
          <w:sz w:val="22"/>
          <w:szCs w:val="22"/>
        </w:rPr>
        <w:t xml:space="preserve">(Cth) and </w:t>
      </w:r>
      <w:r w:rsidRPr="00E149AE">
        <w:rPr>
          <w:rFonts w:ascii="Arial" w:eastAsiaTheme="minorEastAsia" w:hAnsi="Arial" w:cs="Arial"/>
          <w:i/>
          <w:iCs/>
          <w:sz w:val="22"/>
          <w:szCs w:val="22"/>
        </w:rPr>
        <w:t xml:space="preserve">Superannuation Industry (Supervision) Regulations 1994 </w:t>
      </w:r>
      <w:r w:rsidRPr="00E149AE">
        <w:rPr>
          <w:rFonts w:ascii="Arial" w:eastAsiaTheme="minorEastAsia" w:hAnsi="Arial" w:cs="Arial"/>
          <w:i/>
          <w:sz w:val="22"/>
          <w:szCs w:val="22"/>
        </w:rPr>
        <w:t>(Cth) should make it clear that a person appointed under an enduring power of attorney cannot make a binding death benefit nomination on behalf of a member.</w:t>
      </w:r>
    </w:p>
    <w:p w:rsidR="000C0B7E" w:rsidRPr="00E149AE" w:rsidRDefault="000C0B7E" w:rsidP="00C41272">
      <w:pPr>
        <w:pStyle w:val="ListParagraph"/>
        <w:ind w:right="708"/>
        <w:rPr>
          <w:rFonts w:ascii="Arial" w:hAnsi="Arial" w:cs="Arial"/>
          <w:sz w:val="22"/>
          <w:szCs w:val="22"/>
        </w:rPr>
      </w:pPr>
    </w:p>
    <w:p w:rsidR="000C0B7E" w:rsidRPr="00E149AE" w:rsidRDefault="00E149AE" w:rsidP="00E149AE">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We agree in full with the proposal, and strongly encourage the position that a person </w:t>
      </w:r>
      <w:r w:rsidRPr="00E149AE">
        <w:rPr>
          <w:rFonts w:ascii="Arial" w:eastAsiaTheme="minorEastAsia" w:hAnsi="Arial" w:cs="Arial"/>
          <w:sz w:val="22"/>
          <w:szCs w:val="22"/>
        </w:rPr>
        <w:t>appointed under</w:t>
      </w:r>
      <w:r>
        <w:rPr>
          <w:rFonts w:ascii="Arial" w:eastAsiaTheme="minorEastAsia" w:hAnsi="Arial" w:cs="Arial"/>
          <w:sz w:val="22"/>
          <w:szCs w:val="22"/>
        </w:rPr>
        <w:t xml:space="preserve"> an enduring power of attorney should </w:t>
      </w:r>
      <w:r w:rsidRPr="00E149AE">
        <w:rPr>
          <w:rFonts w:ascii="Arial" w:eastAsiaTheme="minorEastAsia" w:hAnsi="Arial" w:cs="Arial"/>
          <w:b/>
          <w:sz w:val="22"/>
          <w:szCs w:val="22"/>
        </w:rPr>
        <w:t>not</w:t>
      </w:r>
      <w:r>
        <w:rPr>
          <w:rFonts w:ascii="Arial" w:eastAsiaTheme="minorEastAsia" w:hAnsi="Arial" w:cs="Arial"/>
          <w:sz w:val="22"/>
          <w:szCs w:val="22"/>
        </w:rPr>
        <w:t xml:space="preserve"> be able to</w:t>
      </w:r>
      <w:r w:rsidRPr="00E149AE">
        <w:rPr>
          <w:rFonts w:ascii="Arial" w:eastAsiaTheme="minorEastAsia" w:hAnsi="Arial" w:cs="Arial"/>
          <w:sz w:val="22"/>
          <w:szCs w:val="22"/>
        </w:rPr>
        <w:t xml:space="preserve"> make a binding death benefit nom</w:t>
      </w:r>
      <w:bookmarkStart w:id="0" w:name="_GoBack"/>
      <w:bookmarkEnd w:id="0"/>
      <w:r w:rsidRPr="00E149AE">
        <w:rPr>
          <w:rFonts w:ascii="Arial" w:eastAsiaTheme="minorEastAsia" w:hAnsi="Arial" w:cs="Arial"/>
          <w:sz w:val="22"/>
          <w:szCs w:val="22"/>
        </w:rPr>
        <w:t>ination on behalf of a member</w:t>
      </w:r>
      <w:r>
        <w:rPr>
          <w:rFonts w:ascii="Arial" w:eastAsiaTheme="minorEastAsia" w:hAnsi="Arial" w:cs="Arial"/>
          <w:sz w:val="22"/>
          <w:szCs w:val="22"/>
        </w:rPr>
        <w:t xml:space="preserve">. We agree with the ALRC’s position that a binding death benefit nomination is "will-like" in nature. For further completeness, we express the view that, in any event, the </w:t>
      </w:r>
      <w:r w:rsidRPr="00E149AE">
        <w:rPr>
          <w:rFonts w:ascii="Arial" w:eastAsiaTheme="minorEastAsia" w:hAnsi="Arial" w:cs="Arial"/>
          <w:i/>
          <w:iCs/>
          <w:sz w:val="22"/>
          <w:szCs w:val="22"/>
        </w:rPr>
        <w:t xml:space="preserve">Superannuation Industry (Supervision) Act 1993 </w:t>
      </w:r>
      <w:r w:rsidRPr="00E149AE">
        <w:rPr>
          <w:rFonts w:ascii="Arial" w:eastAsiaTheme="minorEastAsia" w:hAnsi="Arial" w:cs="Arial"/>
          <w:i/>
          <w:sz w:val="22"/>
          <w:szCs w:val="22"/>
        </w:rPr>
        <w:t xml:space="preserve">(Cth) </w:t>
      </w:r>
      <w:r>
        <w:rPr>
          <w:rFonts w:ascii="Arial" w:eastAsiaTheme="minorEastAsia" w:hAnsi="Arial" w:cs="Arial"/>
          <w:sz w:val="22"/>
          <w:szCs w:val="22"/>
        </w:rPr>
        <w:t>and the</w:t>
      </w:r>
      <w:r w:rsidRPr="00E149AE">
        <w:rPr>
          <w:rFonts w:ascii="Arial" w:eastAsiaTheme="minorEastAsia" w:hAnsi="Arial" w:cs="Arial"/>
          <w:i/>
          <w:sz w:val="22"/>
          <w:szCs w:val="22"/>
        </w:rPr>
        <w:t xml:space="preserve"> </w:t>
      </w:r>
      <w:r w:rsidRPr="00E149AE">
        <w:rPr>
          <w:rFonts w:ascii="Arial" w:eastAsiaTheme="minorEastAsia" w:hAnsi="Arial" w:cs="Arial"/>
          <w:i/>
          <w:iCs/>
          <w:sz w:val="22"/>
          <w:szCs w:val="22"/>
        </w:rPr>
        <w:t xml:space="preserve">Superannuation Industry (Supervision) Regulations 1994 </w:t>
      </w:r>
      <w:r w:rsidRPr="00E149AE">
        <w:rPr>
          <w:rFonts w:ascii="Arial" w:eastAsiaTheme="minorEastAsia" w:hAnsi="Arial" w:cs="Arial"/>
          <w:i/>
          <w:sz w:val="22"/>
          <w:szCs w:val="22"/>
        </w:rPr>
        <w:t>(Cth)</w:t>
      </w:r>
      <w:r>
        <w:rPr>
          <w:rFonts w:ascii="Arial" w:eastAsiaTheme="minorEastAsia" w:hAnsi="Arial" w:cs="Arial"/>
          <w:sz w:val="22"/>
          <w:szCs w:val="22"/>
        </w:rPr>
        <w:t xml:space="preserve"> already do not permit attorneys to make binding death nominations on behalf of the principal, however we welcome the opportunity for further clarity to be provided on this aspect.</w:t>
      </w:r>
    </w:p>
    <w:p w:rsidR="000C0B7E" w:rsidRPr="001F6E7B" w:rsidRDefault="000C0B7E" w:rsidP="00C41272">
      <w:pPr>
        <w:pStyle w:val="ListParagraph"/>
        <w:ind w:right="708"/>
        <w:rPr>
          <w:rFonts w:ascii="Arial" w:hAnsi="Arial" w:cs="Arial"/>
          <w:sz w:val="22"/>
          <w:szCs w:val="22"/>
        </w:rPr>
      </w:pPr>
    </w:p>
    <w:p w:rsidR="00E149AE" w:rsidRPr="00E149AE" w:rsidRDefault="00E149AE" w:rsidP="00E149AE">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We note the following comments in DP 83 regarding binding death benefit nominations (paragraph 9.52) and the issue of whether </w:t>
      </w:r>
      <w:r>
        <w:rPr>
          <w:rFonts w:ascii="Arial" w:eastAsiaTheme="minorEastAsia" w:hAnsi="Arial" w:cs="Arial"/>
          <w:sz w:val="22"/>
          <w:szCs w:val="22"/>
        </w:rPr>
        <w:t>attorneys should be permitted to make binding death nominations on behalf of the principal:</w:t>
      </w:r>
    </w:p>
    <w:p w:rsidR="00E149AE" w:rsidRPr="00E149AE" w:rsidRDefault="00E149AE" w:rsidP="00E149AE">
      <w:pPr>
        <w:pStyle w:val="ListParagraph"/>
        <w:rPr>
          <w:rFonts w:ascii="Arial" w:eastAsiaTheme="minorEastAsia" w:hAnsi="Arial" w:cs="Arial"/>
          <w:sz w:val="22"/>
          <w:szCs w:val="22"/>
        </w:rPr>
      </w:pPr>
    </w:p>
    <w:p w:rsidR="00E149AE" w:rsidRPr="00E149AE" w:rsidRDefault="00E149AE" w:rsidP="00E149AE">
      <w:pPr>
        <w:pStyle w:val="ListParagraph"/>
        <w:tabs>
          <w:tab w:val="center" w:pos="4819"/>
        </w:tabs>
        <w:ind w:left="1560" w:right="708"/>
        <w:jc w:val="both"/>
        <w:rPr>
          <w:rFonts w:ascii="Arial" w:hAnsi="Arial" w:cs="Arial"/>
          <w:i/>
          <w:sz w:val="22"/>
          <w:szCs w:val="22"/>
        </w:rPr>
      </w:pPr>
      <w:r w:rsidRPr="00E149AE">
        <w:rPr>
          <w:rFonts w:ascii="Arial" w:eastAsiaTheme="minorEastAsia" w:hAnsi="Arial" w:cs="Arial"/>
          <w:i/>
          <w:sz w:val="22"/>
          <w:szCs w:val="22"/>
        </w:rPr>
        <w:t>Another challenge is that a binding death benefit nomination does not have the flexibility to take into account a change in circumstances. A member may make a binding death benefit nomination in favour of their spouse and then subsequently lose legal capacity. The marriage may thereafter break down, but the death benefit nomination will remain in place notwithstanding the change in circumstances.</w:t>
      </w:r>
    </w:p>
    <w:p w:rsidR="000C0B7E" w:rsidRPr="00E149AE" w:rsidRDefault="000C0B7E" w:rsidP="00C41272">
      <w:pPr>
        <w:pStyle w:val="ListParagraph"/>
        <w:ind w:right="708"/>
        <w:rPr>
          <w:rFonts w:ascii="Arial" w:hAnsi="Arial" w:cs="Arial"/>
          <w:sz w:val="22"/>
          <w:szCs w:val="22"/>
        </w:rPr>
      </w:pPr>
    </w:p>
    <w:p w:rsidR="008B0EC1" w:rsidRDefault="00E149AE"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We wish to highlight </w:t>
      </w:r>
      <w:r w:rsidR="00631901">
        <w:rPr>
          <w:rFonts w:ascii="Arial" w:hAnsi="Arial" w:cs="Arial"/>
          <w:sz w:val="22"/>
          <w:szCs w:val="22"/>
        </w:rPr>
        <w:t xml:space="preserve">for the ALRC’s benefit </w:t>
      </w:r>
      <w:r>
        <w:rPr>
          <w:rFonts w:ascii="Arial" w:hAnsi="Arial" w:cs="Arial"/>
          <w:sz w:val="22"/>
          <w:szCs w:val="22"/>
        </w:rPr>
        <w:t xml:space="preserve">that many superannuation funds </w:t>
      </w:r>
      <w:r w:rsidR="00631901">
        <w:rPr>
          <w:rFonts w:ascii="Arial" w:hAnsi="Arial" w:cs="Arial"/>
          <w:sz w:val="22"/>
          <w:szCs w:val="22"/>
        </w:rPr>
        <w:t xml:space="preserve">now </w:t>
      </w:r>
      <w:r>
        <w:rPr>
          <w:rFonts w:ascii="Arial" w:hAnsi="Arial" w:cs="Arial"/>
          <w:sz w:val="22"/>
          <w:szCs w:val="22"/>
        </w:rPr>
        <w:t xml:space="preserve">offer what is referred to in the industry as </w:t>
      </w:r>
      <w:r w:rsidRPr="00E149AE">
        <w:rPr>
          <w:rFonts w:ascii="Arial" w:hAnsi="Arial" w:cs="Arial"/>
          <w:i/>
          <w:sz w:val="22"/>
          <w:szCs w:val="22"/>
        </w:rPr>
        <w:softHyphen/>
        <w:t>non-lapsing death benefit nominations</w:t>
      </w:r>
      <w:r>
        <w:rPr>
          <w:rFonts w:ascii="Arial" w:hAnsi="Arial" w:cs="Arial"/>
          <w:sz w:val="22"/>
          <w:szCs w:val="22"/>
        </w:rPr>
        <w:t xml:space="preserve">. These are functionally similar to binding death benefit nominations, however the nominations do not lapse after three (3) years, and the nominations offer flexibility in that the trustee of the superannuation fund can exercise its discretion to withdraw its consent to the nomination if the member’s circumstances have changed, including </w:t>
      </w:r>
      <w:r w:rsidR="00631901">
        <w:rPr>
          <w:rFonts w:ascii="Arial" w:hAnsi="Arial" w:cs="Arial"/>
          <w:sz w:val="22"/>
          <w:szCs w:val="22"/>
        </w:rPr>
        <w:t xml:space="preserve">because of </w:t>
      </w:r>
      <w:r>
        <w:rPr>
          <w:rFonts w:ascii="Arial" w:hAnsi="Arial" w:cs="Arial"/>
          <w:sz w:val="22"/>
          <w:szCs w:val="22"/>
        </w:rPr>
        <w:t>the example provided ab</w:t>
      </w:r>
      <w:r w:rsidR="008B0EC1">
        <w:rPr>
          <w:rFonts w:ascii="Arial" w:hAnsi="Arial" w:cs="Arial"/>
          <w:sz w:val="22"/>
          <w:szCs w:val="22"/>
        </w:rPr>
        <w:t>ove.</w:t>
      </w:r>
    </w:p>
    <w:p w:rsidR="008B0EC1" w:rsidRDefault="008B0EC1" w:rsidP="008B0EC1">
      <w:pPr>
        <w:pStyle w:val="ListParagraph"/>
        <w:tabs>
          <w:tab w:val="center" w:pos="4819"/>
        </w:tabs>
        <w:ind w:left="1560" w:right="708"/>
        <w:jc w:val="both"/>
        <w:rPr>
          <w:rFonts w:ascii="Arial" w:hAnsi="Arial" w:cs="Arial"/>
          <w:sz w:val="22"/>
          <w:szCs w:val="22"/>
        </w:rPr>
      </w:pPr>
    </w:p>
    <w:p w:rsidR="008B0EC1" w:rsidRPr="008B0EC1" w:rsidRDefault="008B0EC1" w:rsidP="008B0EC1">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Non-lapsing death benefit nominations have been designed to address the valid issues </w:t>
      </w:r>
      <w:r w:rsidRPr="008B0EC1">
        <w:rPr>
          <w:rFonts w:ascii="Arial" w:hAnsi="Arial" w:cs="Arial"/>
          <w:sz w:val="22"/>
          <w:szCs w:val="22"/>
        </w:rPr>
        <w:t>raised by the ALRC in paragraphs 9.50 and 9.51, being:</w:t>
      </w:r>
    </w:p>
    <w:p w:rsidR="008B0EC1" w:rsidRPr="008B0EC1" w:rsidRDefault="008B0EC1" w:rsidP="008B0EC1">
      <w:pPr>
        <w:pStyle w:val="ListParagraph"/>
        <w:rPr>
          <w:rFonts w:ascii="Arial" w:eastAsiaTheme="minorEastAsia" w:hAnsi="Arial" w:cs="Arial"/>
          <w:sz w:val="22"/>
          <w:szCs w:val="22"/>
        </w:rPr>
      </w:pPr>
    </w:p>
    <w:p w:rsidR="008B0EC1" w:rsidRPr="008B0EC1" w:rsidRDefault="008B0EC1" w:rsidP="008B0EC1">
      <w:pPr>
        <w:pStyle w:val="ListParagraph"/>
        <w:tabs>
          <w:tab w:val="center" w:pos="4819"/>
        </w:tabs>
        <w:ind w:left="1560" w:right="708"/>
        <w:jc w:val="both"/>
        <w:rPr>
          <w:rFonts w:ascii="Arial" w:eastAsiaTheme="minorEastAsia" w:hAnsi="Arial" w:cs="Arial"/>
          <w:i/>
          <w:sz w:val="22"/>
          <w:szCs w:val="22"/>
        </w:rPr>
      </w:pPr>
      <w:r w:rsidRPr="008B0EC1">
        <w:rPr>
          <w:rFonts w:ascii="Arial" w:eastAsiaTheme="minorEastAsia" w:hAnsi="Arial" w:cs="Arial"/>
          <w:i/>
          <w:sz w:val="22"/>
          <w:szCs w:val="22"/>
        </w:rPr>
        <w:t>The ALRC acknowledges that the proposal to prohibit an attorney, acting under an enduring power, from making a binding death nomination does raise policy challenges in the context of the three-year limit on nominations.</w:t>
      </w:r>
    </w:p>
    <w:p w:rsidR="008B0EC1" w:rsidRPr="008B0EC1" w:rsidRDefault="008B0EC1" w:rsidP="008B0EC1">
      <w:pPr>
        <w:pStyle w:val="ListParagraph"/>
        <w:tabs>
          <w:tab w:val="center" w:pos="4819"/>
        </w:tabs>
        <w:ind w:left="1560" w:right="708"/>
        <w:jc w:val="both"/>
        <w:rPr>
          <w:rFonts w:ascii="Arial" w:eastAsiaTheme="minorEastAsia" w:hAnsi="Arial" w:cs="Arial"/>
          <w:i/>
          <w:sz w:val="22"/>
          <w:szCs w:val="22"/>
        </w:rPr>
      </w:pPr>
    </w:p>
    <w:p w:rsidR="008B0EC1" w:rsidRPr="008B0EC1" w:rsidRDefault="008B0EC1" w:rsidP="008B0EC1">
      <w:pPr>
        <w:pStyle w:val="ListParagraph"/>
        <w:tabs>
          <w:tab w:val="center" w:pos="4819"/>
        </w:tabs>
        <w:ind w:left="1560" w:right="708"/>
        <w:jc w:val="both"/>
        <w:rPr>
          <w:rFonts w:ascii="Arial" w:eastAsiaTheme="minorEastAsia" w:hAnsi="Arial" w:cs="Arial"/>
          <w:i/>
          <w:sz w:val="22"/>
          <w:szCs w:val="22"/>
        </w:rPr>
      </w:pPr>
      <w:r w:rsidRPr="008B0EC1">
        <w:rPr>
          <w:rFonts w:ascii="Arial" w:eastAsiaTheme="minorEastAsia" w:hAnsi="Arial" w:cs="Arial"/>
          <w:i/>
          <w:sz w:val="22"/>
          <w:szCs w:val="22"/>
        </w:rPr>
        <w:lastRenderedPageBreak/>
        <w:t>For example, a member may make a binding death nomination and then subsequently lose legal capacity. If the attorney does not have the power to renew the binding death nomination when it lapses after three years, on death, the principal’s superannuation funds may be distributed:</w:t>
      </w:r>
    </w:p>
    <w:p w:rsidR="008B0EC1" w:rsidRPr="008B0EC1" w:rsidRDefault="008B0EC1" w:rsidP="008B0EC1">
      <w:pPr>
        <w:pStyle w:val="ListParagraph"/>
        <w:tabs>
          <w:tab w:val="center" w:pos="4819"/>
        </w:tabs>
        <w:ind w:left="1560" w:right="708"/>
        <w:jc w:val="both"/>
        <w:rPr>
          <w:rFonts w:ascii="Arial" w:eastAsiaTheme="minorEastAsia" w:hAnsi="Arial" w:cs="Arial"/>
          <w:i/>
          <w:sz w:val="22"/>
          <w:szCs w:val="22"/>
        </w:rPr>
      </w:pPr>
    </w:p>
    <w:p w:rsidR="008B0EC1" w:rsidRDefault="008B0EC1" w:rsidP="008B0EC1">
      <w:pPr>
        <w:pStyle w:val="ListParagraph"/>
        <w:numPr>
          <w:ilvl w:val="0"/>
          <w:numId w:val="15"/>
        </w:numPr>
        <w:tabs>
          <w:tab w:val="center" w:pos="4819"/>
        </w:tabs>
        <w:ind w:right="708"/>
        <w:jc w:val="both"/>
        <w:rPr>
          <w:rFonts w:ascii="Arial" w:eastAsiaTheme="minorEastAsia" w:hAnsi="Arial" w:cs="Arial"/>
          <w:i/>
          <w:sz w:val="22"/>
          <w:szCs w:val="22"/>
        </w:rPr>
      </w:pPr>
      <w:r w:rsidRPr="008B0EC1">
        <w:rPr>
          <w:rFonts w:ascii="Arial" w:eastAsiaTheme="minorEastAsia" w:hAnsi="Arial" w:cs="Arial"/>
          <w:i/>
          <w:sz w:val="22"/>
          <w:szCs w:val="22"/>
        </w:rPr>
        <w:t>in a way that the member had not intended;</w:t>
      </w:r>
    </w:p>
    <w:p w:rsidR="008B0EC1" w:rsidRPr="008B0EC1" w:rsidRDefault="008B0EC1" w:rsidP="008B0EC1">
      <w:pPr>
        <w:pStyle w:val="ListParagraph"/>
        <w:tabs>
          <w:tab w:val="center" w:pos="4819"/>
        </w:tabs>
        <w:ind w:left="2280" w:right="708"/>
        <w:jc w:val="both"/>
        <w:rPr>
          <w:rFonts w:ascii="Arial" w:eastAsiaTheme="minorEastAsia" w:hAnsi="Arial" w:cs="Arial"/>
          <w:i/>
          <w:sz w:val="22"/>
          <w:szCs w:val="22"/>
        </w:rPr>
      </w:pPr>
    </w:p>
    <w:p w:rsidR="008B0EC1" w:rsidRDefault="008B0EC1" w:rsidP="008B0EC1">
      <w:pPr>
        <w:pStyle w:val="ListParagraph"/>
        <w:numPr>
          <w:ilvl w:val="0"/>
          <w:numId w:val="15"/>
        </w:numPr>
        <w:tabs>
          <w:tab w:val="center" w:pos="4819"/>
        </w:tabs>
        <w:ind w:right="708"/>
        <w:jc w:val="both"/>
        <w:rPr>
          <w:rFonts w:ascii="Arial" w:eastAsiaTheme="minorEastAsia" w:hAnsi="Arial" w:cs="Arial"/>
          <w:i/>
          <w:sz w:val="22"/>
          <w:szCs w:val="22"/>
        </w:rPr>
      </w:pPr>
      <w:r w:rsidRPr="008B0EC1">
        <w:rPr>
          <w:rFonts w:ascii="Arial" w:eastAsiaTheme="minorEastAsia" w:hAnsi="Arial" w:cs="Arial"/>
          <w:i/>
          <w:sz w:val="22"/>
          <w:szCs w:val="22"/>
        </w:rPr>
        <w:t>in a manner less ideal for tax purposes when compared with the lapsed binding death nomination; or</w:t>
      </w:r>
    </w:p>
    <w:p w:rsidR="008B0EC1" w:rsidRPr="008B0EC1" w:rsidRDefault="008B0EC1" w:rsidP="008B0EC1">
      <w:pPr>
        <w:tabs>
          <w:tab w:val="center" w:pos="4819"/>
        </w:tabs>
        <w:ind w:right="708"/>
        <w:jc w:val="both"/>
        <w:rPr>
          <w:rFonts w:ascii="Arial" w:eastAsiaTheme="minorEastAsia" w:hAnsi="Arial" w:cs="Arial"/>
          <w:i/>
          <w:sz w:val="22"/>
          <w:szCs w:val="22"/>
        </w:rPr>
      </w:pPr>
    </w:p>
    <w:p w:rsidR="008B0EC1" w:rsidRPr="008B0EC1" w:rsidRDefault="008B0EC1" w:rsidP="008B0EC1">
      <w:pPr>
        <w:pStyle w:val="ListParagraph"/>
        <w:numPr>
          <w:ilvl w:val="0"/>
          <w:numId w:val="15"/>
        </w:numPr>
        <w:tabs>
          <w:tab w:val="center" w:pos="4819"/>
        </w:tabs>
        <w:ind w:right="708"/>
        <w:jc w:val="both"/>
        <w:rPr>
          <w:rFonts w:ascii="Arial" w:eastAsiaTheme="minorEastAsia" w:hAnsi="Arial" w:cs="Arial"/>
          <w:i/>
          <w:sz w:val="22"/>
          <w:szCs w:val="22"/>
        </w:rPr>
      </w:pPr>
      <w:r w:rsidRPr="008B0EC1">
        <w:rPr>
          <w:rFonts w:ascii="Arial" w:eastAsiaTheme="minorEastAsia" w:hAnsi="Arial" w:cs="Arial"/>
          <w:i/>
          <w:sz w:val="22"/>
          <w:szCs w:val="22"/>
        </w:rPr>
        <w:t>in a manner that results in the funds forming part of the estate of the member which may be subject to certain creditors’ claims.</w:t>
      </w:r>
    </w:p>
    <w:p w:rsidR="008B0EC1" w:rsidRPr="008B0EC1" w:rsidRDefault="008B0EC1" w:rsidP="008B0EC1">
      <w:pPr>
        <w:pStyle w:val="ListParagraph"/>
        <w:rPr>
          <w:rFonts w:ascii="Arial" w:hAnsi="Arial" w:cs="Arial"/>
          <w:i/>
          <w:sz w:val="22"/>
          <w:szCs w:val="22"/>
        </w:rPr>
      </w:pPr>
    </w:p>
    <w:p w:rsidR="00E149AE" w:rsidRDefault="00E149AE" w:rsidP="00C41272">
      <w:pPr>
        <w:pStyle w:val="ListParagraph"/>
        <w:numPr>
          <w:ilvl w:val="1"/>
          <w:numId w:val="2"/>
        </w:numPr>
        <w:tabs>
          <w:tab w:val="center" w:pos="4819"/>
        </w:tabs>
        <w:ind w:left="1560" w:right="708" w:hanging="851"/>
        <w:jc w:val="both"/>
        <w:rPr>
          <w:rFonts w:ascii="Arial" w:hAnsi="Arial" w:cs="Arial"/>
          <w:sz w:val="22"/>
          <w:szCs w:val="22"/>
        </w:rPr>
      </w:pPr>
      <w:r>
        <w:rPr>
          <w:rFonts w:ascii="Arial" w:hAnsi="Arial" w:cs="Arial"/>
          <w:sz w:val="22"/>
          <w:szCs w:val="22"/>
        </w:rPr>
        <w:t xml:space="preserve">We consider the availability of non-lapsing death benefit nominations assists the ALRC in </w:t>
      </w:r>
      <w:r w:rsidR="008B0EC1">
        <w:rPr>
          <w:rFonts w:ascii="Arial" w:hAnsi="Arial" w:cs="Arial"/>
          <w:sz w:val="22"/>
          <w:szCs w:val="22"/>
        </w:rPr>
        <w:t xml:space="preserve">effecting a proposal which prohibits an attorney to </w:t>
      </w:r>
      <w:r w:rsidR="008B0EC1">
        <w:rPr>
          <w:rFonts w:ascii="Arial" w:eastAsiaTheme="minorEastAsia" w:hAnsi="Arial" w:cs="Arial"/>
          <w:sz w:val="22"/>
          <w:szCs w:val="22"/>
        </w:rPr>
        <w:t xml:space="preserve">make binding death nominations on behalf of the principal, because not only are more and more superannuation funds offering this form of nomination, but the nomination also allows the trustee to take into account the loss of the member’s mental capacity and thus exercise its discretion appropriately if the member’s circumstances have changed </w:t>
      </w:r>
      <w:r w:rsidR="00631901">
        <w:rPr>
          <w:rFonts w:ascii="Arial" w:eastAsiaTheme="minorEastAsia" w:hAnsi="Arial" w:cs="Arial"/>
          <w:sz w:val="22"/>
          <w:szCs w:val="22"/>
        </w:rPr>
        <w:t>(especially when</w:t>
      </w:r>
      <w:r w:rsidR="008B0EC1">
        <w:rPr>
          <w:rFonts w:ascii="Arial" w:eastAsiaTheme="minorEastAsia" w:hAnsi="Arial" w:cs="Arial"/>
          <w:sz w:val="22"/>
          <w:szCs w:val="22"/>
        </w:rPr>
        <w:t xml:space="preserve"> they would otherwise not have been able to revoke a binding nomination</w:t>
      </w:r>
      <w:r w:rsidR="00631901">
        <w:rPr>
          <w:rFonts w:ascii="Arial" w:eastAsiaTheme="minorEastAsia" w:hAnsi="Arial" w:cs="Arial"/>
          <w:sz w:val="22"/>
          <w:szCs w:val="22"/>
        </w:rPr>
        <w:t>)</w:t>
      </w:r>
      <w:r w:rsidR="008B0EC1">
        <w:rPr>
          <w:rFonts w:ascii="Arial" w:eastAsiaTheme="minorEastAsia" w:hAnsi="Arial" w:cs="Arial"/>
          <w:sz w:val="22"/>
          <w:szCs w:val="22"/>
        </w:rPr>
        <w:t>.</w:t>
      </w:r>
    </w:p>
    <w:p w:rsidR="00E149AE" w:rsidRPr="00216422" w:rsidRDefault="00E149AE" w:rsidP="00216422">
      <w:pPr>
        <w:tabs>
          <w:tab w:val="center" w:pos="4819"/>
        </w:tabs>
        <w:ind w:left="709" w:right="708"/>
        <w:jc w:val="both"/>
        <w:rPr>
          <w:rFonts w:ascii="Arial" w:hAnsi="Arial" w:cs="Arial"/>
          <w:sz w:val="22"/>
          <w:szCs w:val="22"/>
        </w:rPr>
      </w:pPr>
    </w:p>
    <w:p w:rsidR="00216422" w:rsidRPr="00E149AE" w:rsidRDefault="00216422" w:rsidP="00216422">
      <w:pPr>
        <w:pStyle w:val="LDStandardBodyText"/>
        <w:numPr>
          <w:ilvl w:val="0"/>
          <w:numId w:val="3"/>
        </w:numPr>
        <w:ind w:left="1560" w:right="708" w:hanging="851"/>
        <w:rPr>
          <w:rFonts w:cs="Arial"/>
          <w:b/>
          <w:szCs w:val="22"/>
        </w:rPr>
      </w:pPr>
      <w:r>
        <w:rPr>
          <w:rFonts w:cs="Arial"/>
          <w:b/>
          <w:szCs w:val="22"/>
        </w:rPr>
        <w:t>Final Remarks</w:t>
      </w:r>
    </w:p>
    <w:p w:rsidR="00216422" w:rsidRPr="00E149AE" w:rsidRDefault="00216422" w:rsidP="00216422">
      <w:pPr>
        <w:pStyle w:val="ListParagraph"/>
        <w:numPr>
          <w:ilvl w:val="0"/>
          <w:numId w:val="2"/>
        </w:numPr>
        <w:tabs>
          <w:tab w:val="center" w:pos="4819"/>
        </w:tabs>
        <w:ind w:right="708"/>
        <w:jc w:val="both"/>
        <w:rPr>
          <w:rFonts w:ascii="Arial" w:hAnsi="Arial" w:cs="Arial"/>
          <w:vanish/>
          <w:sz w:val="22"/>
          <w:szCs w:val="22"/>
        </w:rPr>
      </w:pPr>
    </w:p>
    <w:p w:rsidR="00216422" w:rsidRPr="00216422" w:rsidRDefault="00167D18" w:rsidP="00216422">
      <w:pPr>
        <w:pStyle w:val="ListParagraph"/>
        <w:numPr>
          <w:ilvl w:val="1"/>
          <w:numId w:val="2"/>
        </w:numPr>
        <w:tabs>
          <w:tab w:val="center" w:pos="4819"/>
        </w:tabs>
        <w:ind w:left="1560" w:right="708" w:hanging="851"/>
        <w:jc w:val="both"/>
        <w:rPr>
          <w:rFonts w:ascii="Arial" w:hAnsi="Arial" w:cs="Arial"/>
          <w:b/>
          <w:sz w:val="22"/>
          <w:szCs w:val="22"/>
        </w:rPr>
      </w:pPr>
      <w:r w:rsidRPr="00216422">
        <w:rPr>
          <w:rFonts w:ascii="Arial" w:hAnsi="Arial" w:cs="Arial"/>
          <w:sz w:val="22"/>
          <w:szCs w:val="22"/>
        </w:rPr>
        <w:t>We</w:t>
      </w:r>
      <w:r w:rsidR="00863FA0" w:rsidRPr="00216422">
        <w:rPr>
          <w:rFonts w:ascii="Arial" w:hAnsi="Arial" w:cs="Arial"/>
          <w:sz w:val="22"/>
          <w:szCs w:val="22"/>
        </w:rPr>
        <w:t xml:space="preserve"> </w:t>
      </w:r>
      <w:r w:rsidR="00216422">
        <w:rPr>
          <w:rFonts w:ascii="Arial" w:hAnsi="Arial" w:cs="Arial"/>
          <w:sz w:val="22"/>
          <w:szCs w:val="22"/>
        </w:rPr>
        <w:t xml:space="preserve">thank the ALRC for the opportunity to contribute to this important area of law and public policy, and </w:t>
      </w:r>
      <w:r w:rsidR="00863FA0" w:rsidRPr="00216422">
        <w:rPr>
          <w:rFonts w:ascii="Arial" w:hAnsi="Arial" w:cs="Arial"/>
          <w:sz w:val="22"/>
          <w:szCs w:val="22"/>
        </w:rPr>
        <w:t xml:space="preserve">welcome the opportunity to discuss this </w:t>
      </w:r>
      <w:r w:rsidR="002A1E32" w:rsidRPr="00216422">
        <w:rPr>
          <w:rFonts w:ascii="Arial" w:hAnsi="Arial" w:cs="Arial"/>
          <w:sz w:val="22"/>
          <w:szCs w:val="22"/>
        </w:rPr>
        <w:t>submission</w:t>
      </w:r>
      <w:r w:rsidR="00216422">
        <w:rPr>
          <w:rFonts w:ascii="Arial" w:hAnsi="Arial" w:cs="Arial"/>
          <w:sz w:val="22"/>
          <w:szCs w:val="22"/>
        </w:rPr>
        <w:t xml:space="preserve"> </w:t>
      </w:r>
      <w:r w:rsidR="00067F09">
        <w:rPr>
          <w:rFonts w:ascii="Arial" w:hAnsi="Arial" w:cs="Arial"/>
          <w:sz w:val="22"/>
          <w:szCs w:val="22"/>
        </w:rPr>
        <w:t>or to otherwise assist the ALRC further</w:t>
      </w:r>
      <w:r w:rsidR="00216422">
        <w:rPr>
          <w:rFonts w:ascii="Arial" w:hAnsi="Arial" w:cs="Arial"/>
          <w:sz w:val="22"/>
          <w:szCs w:val="22"/>
        </w:rPr>
        <w:t>.</w:t>
      </w:r>
    </w:p>
    <w:p w:rsidR="00216422" w:rsidRPr="00216422" w:rsidRDefault="00216422" w:rsidP="00216422">
      <w:pPr>
        <w:pStyle w:val="ListParagraph"/>
        <w:tabs>
          <w:tab w:val="center" w:pos="4819"/>
        </w:tabs>
        <w:ind w:left="1560" w:right="708"/>
        <w:jc w:val="both"/>
        <w:rPr>
          <w:rFonts w:ascii="Arial" w:hAnsi="Arial" w:cs="Arial"/>
          <w:b/>
          <w:sz w:val="22"/>
          <w:szCs w:val="22"/>
        </w:rPr>
      </w:pPr>
    </w:p>
    <w:p w:rsidR="00FD2356" w:rsidRPr="00216422" w:rsidRDefault="00863FA0" w:rsidP="00216422">
      <w:pPr>
        <w:pStyle w:val="ListParagraph"/>
        <w:numPr>
          <w:ilvl w:val="1"/>
          <w:numId w:val="2"/>
        </w:numPr>
        <w:tabs>
          <w:tab w:val="center" w:pos="4819"/>
        </w:tabs>
        <w:ind w:left="1560" w:right="708" w:hanging="851"/>
        <w:jc w:val="both"/>
        <w:rPr>
          <w:rFonts w:ascii="Arial" w:hAnsi="Arial" w:cs="Arial"/>
          <w:b/>
          <w:sz w:val="22"/>
          <w:szCs w:val="22"/>
        </w:rPr>
      </w:pPr>
      <w:r w:rsidRPr="00216422">
        <w:rPr>
          <w:rFonts w:ascii="Arial" w:hAnsi="Arial" w:cs="Arial"/>
          <w:sz w:val="22"/>
          <w:szCs w:val="22"/>
        </w:rPr>
        <w:t xml:space="preserve">Please contact </w:t>
      </w:r>
      <w:r w:rsidR="00167D18" w:rsidRPr="00216422">
        <w:rPr>
          <w:rFonts w:ascii="Arial" w:hAnsi="Arial" w:cs="Arial"/>
          <w:sz w:val="22"/>
          <w:szCs w:val="22"/>
        </w:rPr>
        <w:t>the Managing Director, Cristean Yazbeck,</w:t>
      </w:r>
      <w:r w:rsidRPr="00216422">
        <w:rPr>
          <w:rFonts w:ascii="Arial" w:hAnsi="Arial" w:cs="Arial"/>
          <w:sz w:val="22"/>
          <w:szCs w:val="22"/>
        </w:rPr>
        <w:t xml:space="preserve"> on (02) 9089 8865 </w:t>
      </w:r>
      <w:r w:rsidR="009D0ACC" w:rsidRPr="00216422">
        <w:rPr>
          <w:rFonts w:ascii="Arial" w:hAnsi="Arial" w:cs="Arial"/>
          <w:sz w:val="22"/>
          <w:szCs w:val="22"/>
        </w:rPr>
        <w:t xml:space="preserve">if you </w:t>
      </w:r>
      <w:r w:rsidR="00167D18" w:rsidRPr="00216422">
        <w:rPr>
          <w:rFonts w:ascii="Arial" w:hAnsi="Arial" w:cs="Arial"/>
          <w:sz w:val="22"/>
          <w:szCs w:val="22"/>
        </w:rPr>
        <w:t>wish to disc</w:t>
      </w:r>
      <w:r w:rsidR="00216422">
        <w:rPr>
          <w:rFonts w:ascii="Arial" w:hAnsi="Arial" w:cs="Arial"/>
          <w:sz w:val="22"/>
          <w:szCs w:val="22"/>
        </w:rPr>
        <w:t>uss or clarify any aspect of this</w:t>
      </w:r>
      <w:r w:rsidR="00167D18" w:rsidRPr="00216422">
        <w:rPr>
          <w:rFonts w:ascii="Arial" w:hAnsi="Arial" w:cs="Arial"/>
          <w:sz w:val="22"/>
          <w:szCs w:val="22"/>
        </w:rPr>
        <w:t xml:space="preserve"> submission further</w:t>
      </w:r>
      <w:r w:rsidRPr="00216422">
        <w:rPr>
          <w:rFonts w:ascii="Arial" w:hAnsi="Arial" w:cs="Arial"/>
          <w:sz w:val="22"/>
          <w:szCs w:val="22"/>
        </w:rPr>
        <w:t>.</w:t>
      </w:r>
    </w:p>
    <w:p w:rsidR="00171E74" w:rsidRPr="001F6E7B" w:rsidRDefault="00171E74" w:rsidP="00C41272">
      <w:pPr>
        <w:pStyle w:val="NormalWeb"/>
        <w:spacing w:before="0" w:beforeAutospacing="0" w:after="0" w:afterAutospacing="0"/>
        <w:ind w:left="720" w:right="708"/>
        <w:jc w:val="both"/>
        <w:rPr>
          <w:rFonts w:ascii="Arial" w:hAnsi="Arial" w:cs="Arial"/>
          <w:sz w:val="22"/>
          <w:szCs w:val="22"/>
        </w:rPr>
      </w:pPr>
    </w:p>
    <w:p w:rsidR="00171E74" w:rsidRPr="001F6E7B" w:rsidRDefault="00171E74" w:rsidP="00C41272">
      <w:pPr>
        <w:pStyle w:val="NormalWeb"/>
        <w:spacing w:before="0" w:beforeAutospacing="0" w:after="0" w:afterAutospacing="0"/>
        <w:ind w:left="720" w:right="708"/>
        <w:jc w:val="both"/>
        <w:rPr>
          <w:rFonts w:ascii="Arial" w:hAnsi="Arial" w:cs="Arial"/>
          <w:sz w:val="22"/>
          <w:szCs w:val="22"/>
        </w:rPr>
      </w:pPr>
    </w:p>
    <w:p w:rsidR="00DC3A3F" w:rsidRPr="001F6E7B" w:rsidRDefault="00DC3A3F" w:rsidP="00C41272">
      <w:pPr>
        <w:pStyle w:val="NormalWeb"/>
        <w:spacing w:before="0" w:beforeAutospacing="0" w:after="0" w:afterAutospacing="0"/>
        <w:ind w:left="720" w:right="708"/>
        <w:jc w:val="both"/>
        <w:rPr>
          <w:rFonts w:ascii="Arial" w:hAnsi="Arial" w:cs="Arial"/>
          <w:sz w:val="22"/>
          <w:szCs w:val="22"/>
        </w:rPr>
      </w:pPr>
      <w:r w:rsidRPr="001F6E7B">
        <w:rPr>
          <w:rFonts w:ascii="Arial" w:hAnsi="Arial" w:cs="Arial"/>
          <w:sz w:val="22"/>
          <w:szCs w:val="22"/>
        </w:rPr>
        <w:t>Yours sincerely</w:t>
      </w:r>
    </w:p>
    <w:p w:rsidR="00DC3A3F" w:rsidRPr="001F6E7B" w:rsidRDefault="00DC3A3F" w:rsidP="00C41272">
      <w:pPr>
        <w:pStyle w:val="NormalWeb"/>
        <w:spacing w:before="0" w:beforeAutospacing="0" w:after="0" w:afterAutospacing="0"/>
        <w:ind w:left="720" w:right="708" w:hanging="630"/>
        <w:jc w:val="both"/>
        <w:rPr>
          <w:rFonts w:ascii="Arial" w:hAnsi="Arial" w:cs="Arial"/>
          <w:b/>
          <w:sz w:val="22"/>
          <w:szCs w:val="22"/>
        </w:rPr>
      </w:pPr>
      <w:r w:rsidRPr="001F6E7B">
        <w:rPr>
          <w:rFonts w:ascii="Arial" w:hAnsi="Arial" w:cs="Arial"/>
          <w:b/>
          <w:sz w:val="22"/>
          <w:szCs w:val="22"/>
        </w:rPr>
        <w:tab/>
        <w:t>Hamilton Blackstone Lawyers</w:t>
      </w:r>
    </w:p>
    <w:p w:rsidR="006A2E03" w:rsidRPr="001F6E7B" w:rsidRDefault="006A2E03" w:rsidP="00C41272">
      <w:pPr>
        <w:pStyle w:val="NormalWeb"/>
        <w:spacing w:before="0" w:beforeAutospacing="0" w:after="0" w:afterAutospacing="0"/>
        <w:ind w:left="993" w:right="708"/>
        <w:jc w:val="both"/>
        <w:rPr>
          <w:rFonts w:ascii="Arial" w:hAnsi="Arial" w:cs="Arial"/>
          <w:b/>
          <w:sz w:val="22"/>
          <w:szCs w:val="22"/>
        </w:rPr>
      </w:pPr>
    </w:p>
    <w:p w:rsidR="006A2E03" w:rsidRPr="001F6E7B" w:rsidRDefault="006A2E03" w:rsidP="00C41272">
      <w:pPr>
        <w:pStyle w:val="NormalWeb"/>
        <w:spacing w:before="0" w:beforeAutospacing="0" w:after="0" w:afterAutospacing="0"/>
        <w:ind w:left="720" w:right="708" w:hanging="630"/>
        <w:jc w:val="both"/>
        <w:rPr>
          <w:rFonts w:ascii="Arial" w:hAnsi="Arial" w:cs="Arial"/>
          <w:b/>
          <w:sz w:val="22"/>
          <w:szCs w:val="22"/>
        </w:rPr>
      </w:pPr>
    </w:p>
    <w:p w:rsidR="006A2E03" w:rsidRPr="001F6E7B" w:rsidRDefault="006A2E03" w:rsidP="00C41272">
      <w:pPr>
        <w:pStyle w:val="NormalWeb"/>
        <w:spacing w:before="0" w:beforeAutospacing="0" w:after="0" w:afterAutospacing="0"/>
        <w:ind w:left="720" w:right="708" w:hanging="630"/>
        <w:jc w:val="both"/>
        <w:rPr>
          <w:rFonts w:ascii="Arial" w:hAnsi="Arial" w:cs="Arial"/>
          <w:b/>
          <w:sz w:val="22"/>
          <w:szCs w:val="22"/>
        </w:rPr>
      </w:pPr>
    </w:p>
    <w:p w:rsidR="006A2E03" w:rsidRPr="001F6E7B" w:rsidRDefault="006A2E03" w:rsidP="00C41272">
      <w:pPr>
        <w:pStyle w:val="NormalWeb"/>
        <w:spacing w:before="0" w:beforeAutospacing="0" w:after="0" w:afterAutospacing="0"/>
        <w:ind w:left="720" w:right="708" w:hanging="630"/>
        <w:jc w:val="both"/>
        <w:rPr>
          <w:rFonts w:ascii="Arial" w:hAnsi="Arial" w:cs="Arial"/>
          <w:b/>
          <w:sz w:val="22"/>
          <w:szCs w:val="22"/>
        </w:rPr>
      </w:pPr>
    </w:p>
    <w:p w:rsidR="00DC3A3F" w:rsidRPr="001F6E7B" w:rsidRDefault="00DC3A3F" w:rsidP="00C41272">
      <w:pPr>
        <w:pStyle w:val="NormalWeb"/>
        <w:spacing w:before="0" w:beforeAutospacing="0" w:after="0" w:afterAutospacing="0"/>
        <w:ind w:left="720" w:right="708"/>
        <w:jc w:val="both"/>
        <w:rPr>
          <w:rFonts w:ascii="Arial" w:hAnsi="Arial" w:cs="Arial"/>
          <w:sz w:val="22"/>
          <w:szCs w:val="22"/>
        </w:rPr>
      </w:pPr>
      <w:r w:rsidRPr="001F6E7B">
        <w:rPr>
          <w:rFonts w:ascii="Arial" w:hAnsi="Arial" w:cs="Arial"/>
          <w:sz w:val="22"/>
          <w:szCs w:val="22"/>
        </w:rPr>
        <w:t>Cristean Yazbeck</w:t>
      </w:r>
    </w:p>
    <w:p w:rsidR="00DC3A3F" w:rsidRPr="001F6E7B" w:rsidRDefault="00DC3A3F" w:rsidP="00C41272">
      <w:pPr>
        <w:pStyle w:val="NormalWeb"/>
        <w:spacing w:before="0" w:beforeAutospacing="0" w:after="0" w:afterAutospacing="0"/>
        <w:ind w:left="720" w:right="708"/>
        <w:jc w:val="both"/>
        <w:rPr>
          <w:rFonts w:ascii="Arial" w:hAnsi="Arial" w:cs="Arial"/>
          <w:b/>
          <w:sz w:val="22"/>
          <w:szCs w:val="22"/>
        </w:rPr>
      </w:pPr>
      <w:r w:rsidRPr="001F6E7B">
        <w:rPr>
          <w:rFonts w:ascii="Arial" w:hAnsi="Arial" w:cs="Arial"/>
          <w:b/>
          <w:sz w:val="22"/>
          <w:szCs w:val="22"/>
        </w:rPr>
        <w:t>Managing Director</w:t>
      </w:r>
    </w:p>
    <w:sectPr w:rsidR="00DC3A3F" w:rsidRPr="001F6E7B" w:rsidSect="000C4F71">
      <w:headerReference w:type="default" r:id="rId23"/>
      <w:footerReference w:type="default" r:id="rId24"/>
      <w:pgSz w:w="11906" w:h="16838"/>
      <w:pgMar w:top="2166" w:right="424" w:bottom="8" w:left="851" w:header="60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F8" w:rsidRDefault="00C079F8" w:rsidP="00C93AAC">
      <w:r>
        <w:separator/>
      </w:r>
    </w:p>
  </w:endnote>
  <w:endnote w:type="continuationSeparator" w:id="0">
    <w:p w:rsidR="00C079F8" w:rsidRDefault="00C079F8" w:rsidP="00C9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25" w:rsidRDefault="00A55925" w:rsidP="00002BD6">
    <w:pPr>
      <w:pStyle w:val="Header"/>
      <w:tabs>
        <w:tab w:val="clear" w:pos="4513"/>
        <w:tab w:val="clear" w:pos="9026"/>
        <w:tab w:val="center" w:pos="4820"/>
        <w:tab w:val="right" w:pos="10632"/>
      </w:tabs>
      <w:ind w:left="142" w:right="-284"/>
      <w:jc w:val="center"/>
      <w:rPr>
        <w:rFonts w:ascii="Arial" w:hAnsi="Arial" w:cs="Arial"/>
        <w:b/>
        <w:color w:val="30803E"/>
        <w:sz w:val="18"/>
        <w:szCs w:val="18"/>
      </w:rPr>
    </w:pPr>
  </w:p>
  <w:p w:rsidR="00A55925" w:rsidRDefault="00A55925" w:rsidP="00002BD6">
    <w:pPr>
      <w:pStyle w:val="Header"/>
      <w:tabs>
        <w:tab w:val="clear" w:pos="4513"/>
        <w:tab w:val="clear" w:pos="9026"/>
        <w:tab w:val="center" w:pos="4820"/>
        <w:tab w:val="right" w:pos="10632"/>
      </w:tabs>
      <w:ind w:left="142" w:right="-284"/>
      <w:jc w:val="center"/>
      <w:rPr>
        <w:rFonts w:ascii="Arial" w:hAnsi="Arial" w:cs="Arial"/>
        <w:b/>
        <w:color w:val="30803E"/>
        <w:sz w:val="18"/>
        <w:szCs w:val="18"/>
      </w:rPr>
    </w:pPr>
  </w:p>
  <w:p w:rsidR="00A55925" w:rsidRPr="00AF37B7" w:rsidRDefault="00A55925" w:rsidP="00002BD6">
    <w:pPr>
      <w:pStyle w:val="Header"/>
      <w:tabs>
        <w:tab w:val="clear" w:pos="4513"/>
        <w:tab w:val="clear" w:pos="9026"/>
        <w:tab w:val="center" w:pos="4820"/>
        <w:tab w:val="right" w:pos="10632"/>
      </w:tabs>
      <w:ind w:left="142" w:right="-284"/>
      <w:jc w:val="center"/>
      <w:rPr>
        <w:rFonts w:ascii="Arial" w:hAnsi="Arial" w:cs="Arial"/>
        <w:b/>
        <w:color w:val="30803E"/>
        <w:sz w:val="16"/>
        <w:szCs w:val="16"/>
      </w:rPr>
    </w:pPr>
    <w:r w:rsidRPr="00AF37B7">
      <w:rPr>
        <w:rFonts w:ascii="Arial" w:hAnsi="Arial" w:cs="Arial"/>
        <w:b/>
        <w:color w:val="30803E"/>
        <w:sz w:val="18"/>
        <w:szCs w:val="18"/>
      </w:rPr>
      <w:t>Hamilton Blackstone Lawyer</w:t>
    </w:r>
    <w:r w:rsidRPr="007629C9">
      <w:rPr>
        <w:rFonts w:ascii="Arial" w:hAnsi="Arial" w:cs="Arial"/>
        <w:b/>
        <w:color w:val="30803E"/>
        <w:sz w:val="18"/>
        <w:szCs w:val="18"/>
      </w:rPr>
      <w:t>s Pty Ltd</w:t>
    </w:r>
    <w:r>
      <w:rPr>
        <w:rFonts w:ascii="Arial" w:hAnsi="Arial" w:cs="Arial"/>
        <w:b/>
        <w:color w:val="30803E"/>
        <w:sz w:val="16"/>
        <w:szCs w:val="16"/>
      </w:rPr>
      <w:t xml:space="preserve"> </w:t>
    </w:r>
    <w:r w:rsidRPr="007629C9">
      <w:rPr>
        <w:rFonts w:ascii="Arial" w:hAnsi="Arial" w:cs="Arial"/>
        <w:b/>
        <w:color w:val="30803E"/>
        <w:sz w:val="18"/>
        <w:szCs w:val="18"/>
      </w:rPr>
      <w:t>|</w:t>
    </w:r>
    <w:r>
      <w:rPr>
        <w:rFonts w:ascii="Arial" w:hAnsi="Arial" w:cs="Arial"/>
        <w:color w:val="30803E"/>
        <w:sz w:val="16"/>
        <w:szCs w:val="16"/>
      </w:rPr>
      <w:t xml:space="preserve"> </w:t>
    </w:r>
    <w:r w:rsidRPr="007629C9">
      <w:rPr>
        <w:rFonts w:ascii="Arial" w:hAnsi="Arial" w:cs="Arial"/>
        <w:b/>
        <w:color w:val="30803E"/>
        <w:sz w:val="16"/>
        <w:szCs w:val="16"/>
      </w:rPr>
      <w:t>ABN 42 164 428 782</w:t>
    </w:r>
    <w:r>
      <w:rPr>
        <w:rFonts w:ascii="Arial" w:hAnsi="Arial" w:cs="Arial"/>
        <w:color w:val="30803E"/>
        <w:sz w:val="16"/>
        <w:szCs w:val="16"/>
      </w:rPr>
      <w:t xml:space="preserve"> </w:t>
    </w:r>
    <w:r w:rsidRPr="007629C9">
      <w:rPr>
        <w:rFonts w:ascii="Arial" w:hAnsi="Arial" w:cs="Arial"/>
        <w:b/>
        <w:color w:val="30803E"/>
        <w:sz w:val="18"/>
        <w:szCs w:val="18"/>
      </w:rPr>
      <w:t>|</w:t>
    </w:r>
    <w:r>
      <w:rPr>
        <w:rFonts w:ascii="Arial" w:hAnsi="Arial" w:cs="Arial"/>
        <w:b/>
        <w:color w:val="30803E"/>
        <w:sz w:val="16"/>
        <w:szCs w:val="16"/>
      </w:rPr>
      <w:t xml:space="preserve"> </w:t>
    </w:r>
    <w:r w:rsidRPr="00AF37B7">
      <w:rPr>
        <w:rFonts w:ascii="Arial" w:hAnsi="Arial" w:cs="Arial"/>
        <w:color w:val="30803E"/>
        <w:sz w:val="16"/>
        <w:szCs w:val="16"/>
      </w:rPr>
      <w:t>Level 26, 44 Market St, Sydney, NSW, 2000</w:t>
    </w:r>
  </w:p>
  <w:p w:rsidR="00A55925" w:rsidRDefault="00A55925" w:rsidP="00002BD6">
    <w:pPr>
      <w:pStyle w:val="Header"/>
      <w:tabs>
        <w:tab w:val="clear" w:pos="4513"/>
        <w:tab w:val="center" w:pos="4820"/>
        <w:tab w:val="left" w:pos="7950"/>
        <w:tab w:val="right" w:pos="10632"/>
        <w:tab w:val="right" w:pos="11017"/>
      </w:tabs>
      <w:ind w:left="142" w:right="-284"/>
      <w:jc w:val="center"/>
      <w:rPr>
        <w:rFonts w:ascii="Arial" w:hAnsi="Arial" w:cs="Arial"/>
        <w:b/>
        <w:color w:val="30803E"/>
        <w:spacing w:val="20"/>
        <w:sz w:val="16"/>
        <w:szCs w:val="16"/>
      </w:rPr>
    </w:pPr>
    <w:r>
      <w:rPr>
        <w:rFonts w:ascii="Arial" w:hAnsi="Arial" w:cs="Arial"/>
        <w:color w:val="30803E"/>
        <w:sz w:val="16"/>
        <w:szCs w:val="16"/>
      </w:rPr>
      <w:t>P: +61 2 9089 886</w:t>
    </w:r>
    <w:r w:rsidRPr="00AF37B7">
      <w:rPr>
        <w:rFonts w:ascii="Arial" w:hAnsi="Arial" w:cs="Arial"/>
        <w:color w:val="30803E"/>
        <w:sz w:val="16"/>
        <w:szCs w:val="16"/>
      </w:rPr>
      <w:t>5</w:t>
    </w:r>
    <w:r>
      <w:rPr>
        <w:rFonts w:ascii="Arial" w:hAnsi="Arial" w:cs="Arial"/>
        <w:color w:val="30803E"/>
        <w:sz w:val="16"/>
        <w:szCs w:val="16"/>
      </w:rPr>
      <w:t xml:space="preserve"> </w:t>
    </w:r>
    <w:r w:rsidRPr="007629C9">
      <w:rPr>
        <w:rFonts w:ascii="Arial" w:hAnsi="Arial" w:cs="Arial"/>
        <w:b/>
        <w:color w:val="30803E"/>
        <w:sz w:val="18"/>
        <w:szCs w:val="18"/>
      </w:rPr>
      <w:t>|</w:t>
    </w:r>
    <w:r>
      <w:rPr>
        <w:rFonts w:ascii="Arial" w:hAnsi="Arial" w:cs="Arial"/>
        <w:b/>
        <w:color w:val="30803E"/>
        <w:sz w:val="18"/>
        <w:szCs w:val="18"/>
      </w:rPr>
      <w:t xml:space="preserve"> </w:t>
    </w:r>
    <w:r w:rsidRPr="00AF37B7">
      <w:rPr>
        <w:rFonts w:ascii="Arial" w:hAnsi="Arial" w:cs="Arial"/>
        <w:color w:val="30803E"/>
        <w:sz w:val="16"/>
        <w:szCs w:val="16"/>
      </w:rPr>
      <w:t>E</w:t>
    </w:r>
    <w:r w:rsidRPr="00505139">
      <w:rPr>
        <w:rFonts w:ascii="Arial" w:hAnsi="Arial" w:cs="Arial"/>
        <w:color w:val="30803E"/>
        <w:sz w:val="16"/>
        <w:szCs w:val="16"/>
      </w:rPr>
      <w:t xml:space="preserve">: </w:t>
    </w:r>
    <w:hyperlink r:id="rId1" w:history="1">
      <w:r w:rsidRPr="00505139">
        <w:rPr>
          <w:rStyle w:val="Hyperlink"/>
          <w:rFonts w:ascii="Arial" w:hAnsi="Arial" w:cs="Arial"/>
          <w:color w:val="30803E"/>
          <w:sz w:val="16"/>
          <w:szCs w:val="16"/>
        </w:rPr>
        <w:t>enquiries@hamiltonblackstone.com</w:t>
      </w:r>
    </w:hyperlink>
    <w:r>
      <w:t xml:space="preserve"> </w:t>
    </w:r>
    <w:r w:rsidRPr="007629C9">
      <w:rPr>
        <w:rFonts w:ascii="Arial" w:hAnsi="Arial" w:cs="Arial"/>
        <w:b/>
        <w:color w:val="30803E"/>
        <w:sz w:val="18"/>
        <w:szCs w:val="18"/>
      </w:rPr>
      <w:t>|</w:t>
    </w:r>
    <w:r>
      <w:rPr>
        <w:rFonts w:ascii="Arial" w:hAnsi="Arial" w:cs="Arial"/>
        <w:b/>
        <w:color w:val="30803E"/>
        <w:sz w:val="18"/>
        <w:szCs w:val="18"/>
      </w:rPr>
      <w:t xml:space="preserve"> </w:t>
    </w:r>
    <w:r w:rsidRPr="00EC3F2E">
      <w:rPr>
        <w:rFonts w:ascii="Arial" w:hAnsi="Arial" w:cs="Arial"/>
        <w:b/>
        <w:color w:val="30803E"/>
        <w:spacing w:val="20"/>
        <w:sz w:val="16"/>
        <w:szCs w:val="16"/>
      </w:rPr>
      <w:t>www.hamiltonblackstone.com</w:t>
    </w:r>
  </w:p>
  <w:p w:rsidR="00A55925" w:rsidRDefault="00A55925" w:rsidP="00B17CB8">
    <w:pPr>
      <w:pStyle w:val="Header"/>
      <w:tabs>
        <w:tab w:val="clear" w:pos="4513"/>
        <w:tab w:val="clear" w:pos="9026"/>
        <w:tab w:val="left" w:pos="9722"/>
      </w:tabs>
      <w:spacing w:after="360"/>
      <w:ind w:left="142" w:right="-284"/>
      <w:rPr>
        <w:rFonts w:ascii="Arial" w:hAnsi="Arial" w:cs="Arial"/>
        <w:color w:val="30803E"/>
        <w:sz w:val="16"/>
        <w:szCs w:val="16"/>
      </w:rPr>
    </w:pPr>
    <w:r>
      <w:rPr>
        <w:rFonts w:ascii="Arial" w:hAnsi="Arial" w:cs="Arial"/>
        <w:color w:val="30803E"/>
        <w:sz w:val="16"/>
        <w:szCs w:val="16"/>
      </w:rPr>
      <w:tab/>
    </w:r>
    <w:r w:rsidR="007557DC" w:rsidRPr="00B17CB8">
      <w:rPr>
        <w:rFonts w:ascii="Arial" w:hAnsi="Arial" w:cs="Arial"/>
        <w:color w:val="30803E"/>
        <w:sz w:val="16"/>
        <w:szCs w:val="16"/>
      </w:rPr>
      <w:fldChar w:fldCharType="begin"/>
    </w:r>
    <w:r w:rsidRPr="00B17CB8">
      <w:rPr>
        <w:rFonts w:ascii="Arial" w:hAnsi="Arial" w:cs="Arial"/>
        <w:color w:val="30803E"/>
        <w:sz w:val="16"/>
        <w:szCs w:val="16"/>
      </w:rPr>
      <w:instrText xml:space="preserve"> PAGE   \* MERGEFORMAT </w:instrText>
    </w:r>
    <w:r w:rsidR="007557DC" w:rsidRPr="00B17CB8">
      <w:rPr>
        <w:rFonts w:ascii="Arial" w:hAnsi="Arial" w:cs="Arial"/>
        <w:color w:val="30803E"/>
        <w:sz w:val="16"/>
        <w:szCs w:val="16"/>
      </w:rPr>
      <w:fldChar w:fldCharType="separate"/>
    </w:r>
    <w:r w:rsidR="00C45D66">
      <w:rPr>
        <w:rFonts w:ascii="Arial" w:hAnsi="Arial" w:cs="Arial"/>
        <w:noProof/>
        <w:color w:val="30803E"/>
        <w:sz w:val="16"/>
        <w:szCs w:val="16"/>
      </w:rPr>
      <w:t>12</w:t>
    </w:r>
    <w:r w:rsidR="007557DC" w:rsidRPr="00B17CB8">
      <w:rPr>
        <w:rFonts w:ascii="Arial" w:hAnsi="Arial" w:cs="Arial"/>
        <w:noProof/>
        <w:color w:val="30803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F8" w:rsidRDefault="00C079F8" w:rsidP="00C93AAC">
      <w:r>
        <w:separator/>
      </w:r>
    </w:p>
  </w:footnote>
  <w:footnote w:type="continuationSeparator" w:id="0">
    <w:p w:rsidR="00C079F8" w:rsidRDefault="00C079F8" w:rsidP="00C93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25" w:rsidRDefault="00A55925" w:rsidP="00002BD6">
    <w:pPr>
      <w:pStyle w:val="Header"/>
      <w:tabs>
        <w:tab w:val="clear" w:pos="4513"/>
        <w:tab w:val="clear" w:pos="9026"/>
        <w:tab w:val="left" w:pos="709"/>
      </w:tabs>
      <w:spacing w:before="120"/>
      <w:ind w:right="371"/>
      <w:jc w:val="both"/>
    </w:pPr>
    <w:r>
      <w:rPr>
        <w:rFonts w:ascii="Arial" w:hAnsi="Arial" w:cs="Arial"/>
        <w:b/>
        <w:noProof/>
        <w:lang w:eastAsia="en-AU"/>
      </w:rPr>
      <w:drawing>
        <wp:anchor distT="0" distB="0" distL="114300" distR="114300" simplePos="0" relativeHeight="251657216" behindDoc="1" locked="0" layoutInCell="1" allowOverlap="1">
          <wp:simplePos x="0" y="0"/>
          <wp:positionH relativeFrom="column">
            <wp:posOffset>4408805</wp:posOffset>
          </wp:positionH>
          <wp:positionV relativeFrom="paragraph">
            <wp:posOffset>-95885</wp:posOffset>
          </wp:positionV>
          <wp:extent cx="2173605" cy="914400"/>
          <wp:effectExtent l="19050" t="0" r="0" b="0"/>
          <wp:wrapNone/>
          <wp:docPr id="8" name="Picture 8" descr="H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L Logo"/>
                  <pic:cNvPicPr>
                    <a:picLocks noChangeAspect="1" noChangeArrowheads="1"/>
                  </pic:cNvPicPr>
                </pic:nvPicPr>
                <pic:blipFill>
                  <a:blip r:embed="rId1"/>
                  <a:srcRect/>
                  <a:stretch>
                    <a:fillRect/>
                  </a:stretch>
                </pic:blipFill>
                <pic:spPr bwMode="auto">
                  <a:xfrm>
                    <a:off x="0" y="0"/>
                    <a:ext cx="2173605" cy="914400"/>
                  </a:xfrm>
                  <a:prstGeom prst="rect">
                    <a:avLst/>
                  </a:prstGeom>
                  <a:noFill/>
                </pic:spPr>
              </pic:pic>
            </a:graphicData>
          </a:graphic>
        </wp:anchor>
      </w:drawing>
    </w:r>
    <w:r w:rsidR="007557DC" w:rsidRPr="007557DC">
      <w:rPr>
        <w:rFonts w:ascii="Arial" w:hAnsi="Arial" w:cs="Arial"/>
        <w:b/>
        <w:noProof/>
        <w:lang w:eastAsia="en-AU"/>
      </w:rPr>
      <w:pict>
        <v:rect id="Rectangle 3" o:spid="_x0000_s4097" style="position:absolute;left:0;text-align:left;margin-left:-52.15pt;margin-top:-41.55pt;width:41.9pt;height:9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" fillcolor="#30803e" strokecolor="white"/>
      </w:pict>
    </w:r>
  </w:p>
  <w:p w:rsidR="00A55925" w:rsidRPr="00DB4BB7" w:rsidRDefault="00A55925" w:rsidP="00376AF1">
    <w:pPr>
      <w:pStyle w:val="Header"/>
      <w:tabs>
        <w:tab w:val="clear" w:pos="9026"/>
        <w:tab w:val="left" w:pos="709"/>
        <w:tab w:val="right" w:pos="10632"/>
      </w:tabs>
      <w:spacing w:before="120"/>
      <w:ind w:left="-567" w:right="-170"/>
      <w:jc w:val="both"/>
      <w:rPr>
        <w:rFonts w:ascii="Arial" w:hAnsi="Arial" w:cs="Arial"/>
        <w:b/>
        <w:color w:val="808080"/>
      </w:rPr>
    </w:pP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32"/>
    <w:multiLevelType w:val="hybridMultilevel"/>
    <w:tmpl w:val="A28E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B02687"/>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nsid w:val="15AA5123"/>
    <w:multiLevelType w:val="hybridMultilevel"/>
    <w:tmpl w:val="F71A5304"/>
    <w:lvl w:ilvl="0" w:tplc="CA26CF5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
    <w:nsid w:val="18E11DC2"/>
    <w:multiLevelType w:val="hybridMultilevel"/>
    <w:tmpl w:val="7AB60EE6"/>
    <w:lvl w:ilvl="0" w:tplc="DD98B23E">
      <w:start w:val="1"/>
      <w:numFmt w:val="decimal"/>
      <w:lvlText w:val="%1"/>
      <w:lvlJc w:val="left"/>
      <w:pPr>
        <w:ind w:left="1073" w:hanging="71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D47183"/>
    <w:multiLevelType w:val="hybridMultilevel"/>
    <w:tmpl w:val="2AE86936"/>
    <w:lvl w:ilvl="0" w:tplc="AED26106">
      <w:start w:val="1"/>
      <w:numFmt w:val="decimal"/>
      <w:lvlText w:val="%1."/>
      <w:lvlJc w:val="left"/>
      <w:pPr>
        <w:ind w:left="1440" w:hanging="360"/>
      </w:pPr>
      <w:rPr>
        <w:b/>
        <w:color w:val="008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01459A"/>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nsid w:val="22140C57"/>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
    <w:nsid w:val="2761006E"/>
    <w:multiLevelType w:val="hybridMultilevel"/>
    <w:tmpl w:val="239449A6"/>
    <w:lvl w:ilvl="0" w:tplc="B358C13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nsid w:val="37284328"/>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nsid w:val="5A715E98"/>
    <w:multiLevelType w:val="hybridMultilevel"/>
    <w:tmpl w:val="B968784E"/>
    <w:lvl w:ilvl="0" w:tplc="189A2812">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0">
    <w:nsid w:val="70F65A78"/>
    <w:multiLevelType w:val="hybridMultilevel"/>
    <w:tmpl w:val="B098679A"/>
    <w:lvl w:ilvl="0" w:tplc="D30890A2">
      <w:start w:val="1"/>
      <w:numFmt w:val="upperLetter"/>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5C0692"/>
    <w:multiLevelType w:val="hybridMultilevel"/>
    <w:tmpl w:val="63449016"/>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2">
    <w:nsid w:val="736948DB"/>
    <w:multiLevelType w:val="multilevel"/>
    <w:tmpl w:val="EC1CB3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3E62163"/>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4">
    <w:nsid w:val="74DB33B1"/>
    <w:multiLevelType w:val="hybridMultilevel"/>
    <w:tmpl w:val="AAEA79F4"/>
    <w:lvl w:ilvl="0" w:tplc="3F786BF8">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num w:numId="1">
    <w:abstractNumId w:val="10"/>
  </w:num>
  <w:num w:numId="2">
    <w:abstractNumId w:val="12"/>
  </w:num>
  <w:num w:numId="3">
    <w:abstractNumId w:val="3"/>
  </w:num>
  <w:num w:numId="4">
    <w:abstractNumId w:val="14"/>
  </w:num>
  <w:num w:numId="5">
    <w:abstractNumId w:val="8"/>
  </w:num>
  <w:num w:numId="6">
    <w:abstractNumId w:val="1"/>
  </w:num>
  <w:num w:numId="7">
    <w:abstractNumId w:val="13"/>
  </w:num>
  <w:num w:numId="8">
    <w:abstractNumId w:val="5"/>
  </w:num>
  <w:num w:numId="9">
    <w:abstractNumId w:val="6"/>
  </w:num>
  <w:num w:numId="10">
    <w:abstractNumId w:val="0"/>
  </w:num>
  <w:num w:numId="11">
    <w:abstractNumId w:val="4"/>
  </w:num>
  <w:num w:numId="12">
    <w:abstractNumId w:val="2"/>
  </w:num>
  <w:num w:numId="13">
    <w:abstractNumId w:val="9"/>
  </w:num>
  <w:num w:numId="14">
    <w:abstractNumId w:val="7"/>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C60164"/>
    <w:rsid w:val="00002BD6"/>
    <w:rsid w:val="00006789"/>
    <w:rsid w:val="000067A4"/>
    <w:rsid w:val="00007ACD"/>
    <w:rsid w:val="0001070B"/>
    <w:rsid w:val="000169A2"/>
    <w:rsid w:val="000251CC"/>
    <w:rsid w:val="00025A2E"/>
    <w:rsid w:val="00025E78"/>
    <w:rsid w:val="00032566"/>
    <w:rsid w:val="00043E3C"/>
    <w:rsid w:val="000446A2"/>
    <w:rsid w:val="00045355"/>
    <w:rsid w:val="00060BB7"/>
    <w:rsid w:val="00063FE1"/>
    <w:rsid w:val="00065535"/>
    <w:rsid w:val="00067720"/>
    <w:rsid w:val="00067F09"/>
    <w:rsid w:val="00076D78"/>
    <w:rsid w:val="000815CA"/>
    <w:rsid w:val="000A0931"/>
    <w:rsid w:val="000C0B7E"/>
    <w:rsid w:val="000C15DD"/>
    <w:rsid w:val="000C4F71"/>
    <w:rsid w:val="000D0A0A"/>
    <w:rsid w:val="00102721"/>
    <w:rsid w:val="00105A49"/>
    <w:rsid w:val="00111C44"/>
    <w:rsid w:val="001140C0"/>
    <w:rsid w:val="001222DD"/>
    <w:rsid w:val="00135C19"/>
    <w:rsid w:val="00141885"/>
    <w:rsid w:val="0014586C"/>
    <w:rsid w:val="00167D18"/>
    <w:rsid w:val="00171E74"/>
    <w:rsid w:val="00190CE3"/>
    <w:rsid w:val="00197CB2"/>
    <w:rsid w:val="001B30DF"/>
    <w:rsid w:val="001D3F8D"/>
    <w:rsid w:val="001E2D73"/>
    <w:rsid w:val="001E734B"/>
    <w:rsid w:val="001F6E7B"/>
    <w:rsid w:val="002026C5"/>
    <w:rsid w:val="00205B4E"/>
    <w:rsid w:val="002128D9"/>
    <w:rsid w:val="00216422"/>
    <w:rsid w:val="00216BA0"/>
    <w:rsid w:val="00244D27"/>
    <w:rsid w:val="00246E6E"/>
    <w:rsid w:val="00275D92"/>
    <w:rsid w:val="002763B2"/>
    <w:rsid w:val="002836D9"/>
    <w:rsid w:val="00284124"/>
    <w:rsid w:val="0028764B"/>
    <w:rsid w:val="00287842"/>
    <w:rsid w:val="00294DA1"/>
    <w:rsid w:val="002A13C4"/>
    <w:rsid w:val="002A1E32"/>
    <w:rsid w:val="002A5CDC"/>
    <w:rsid w:val="002B4FAC"/>
    <w:rsid w:val="002C08FA"/>
    <w:rsid w:val="002C298D"/>
    <w:rsid w:val="002D3916"/>
    <w:rsid w:val="002D59A3"/>
    <w:rsid w:val="002D6DB4"/>
    <w:rsid w:val="002D7478"/>
    <w:rsid w:val="002F594F"/>
    <w:rsid w:val="002F7EBB"/>
    <w:rsid w:val="00311980"/>
    <w:rsid w:val="00342196"/>
    <w:rsid w:val="00353D0D"/>
    <w:rsid w:val="003639CD"/>
    <w:rsid w:val="00366ED9"/>
    <w:rsid w:val="00367FF3"/>
    <w:rsid w:val="00376AF1"/>
    <w:rsid w:val="003807F5"/>
    <w:rsid w:val="00380B1B"/>
    <w:rsid w:val="00387DC8"/>
    <w:rsid w:val="00391C43"/>
    <w:rsid w:val="003A76CF"/>
    <w:rsid w:val="003B2C23"/>
    <w:rsid w:val="003B353A"/>
    <w:rsid w:val="003B7D9C"/>
    <w:rsid w:val="003D537D"/>
    <w:rsid w:val="003E02CA"/>
    <w:rsid w:val="003E138E"/>
    <w:rsid w:val="003E1772"/>
    <w:rsid w:val="00406C9C"/>
    <w:rsid w:val="004120CD"/>
    <w:rsid w:val="0041213C"/>
    <w:rsid w:val="00432593"/>
    <w:rsid w:val="004372CE"/>
    <w:rsid w:val="00447C18"/>
    <w:rsid w:val="00460A19"/>
    <w:rsid w:val="004817F0"/>
    <w:rsid w:val="0048266B"/>
    <w:rsid w:val="0049085F"/>
    <w:rsid w:val="00492202"/>
    <w:rsid w:val="00492632"/>
    <w:rsid w:val="0049588A"/>
    <w:rsid w:val="004A510B"/>
    <w:rsid w:val="004B1FD4"/>
    <w:rsid w:val="004C1C31"/>
    <w:rsid w:val="004C3795"/>
    <w:rsid w:val="004C7340"/>
    <w:rsid w:val="004F1644"/>
    <w:rsid w:val="00504D62"/>
    <w:rsid w:val="00522CA3"/>
    <w:rsid w:val="0052750B"/>
    <w:rsid w:val="0053244F"/>
    <w:rsid w:val="00535DFD"/>
    <w:rsid w:val="0053728D"/>
    <w:rsid w:val="00563EBA"/>
    <w:rsid w:val="0056682D"/>
    <w:rsid w:val="00567F61"/>
    <w:rsid w:val="00570C9E"/>
    <w:rsid w:val="00591C3C"/>
    <w:rsid w:val="005A1EC5"/>
    <w:rsid w:val="005A6A8A"/>
    <w:rsid w:val="005B6766"/>
    <w:rsid w:val="005C2267"/>
    <w:rsid w:val="005E6B89"/>
    <w:rsid w:val="005F2B1C"/>
    <w:rsid w:val="006146CC"/>
    <w:rsid w:val="0061727C"/>
    <w:rsid w:val="00617C5C"/>
    <w:rsid w:val="006205E6"/>
    <w:rsid w:val="006308BB"/>
    <w:rsid w:val="00631901"/>
    <w:rsid w:val="00633A82"/>
    <w:rsid w:val="00643602"/>
    <w:rsid w:val="00645FAC"/>
    <w:rsid w:val="00653D4B"/>
    <w:rsid w:val="006543EE"/>
    <w:rsid w:val="00662D28"/>
    <w:rsid w:val="00671E50"/>
    <w:rsid w:val="00676F07"/>
    <w:rsid w:val="006815E3"/>
    <w:rsid w:val="00684B70"/>
    <w:rsid w:val="00697475"/>
    <w:rsid w:val="006A2E03"/>
    <w:rsid w:val="006A5377"/>
    <w:rsid w:val="006C07C1"/>
    <w:rsid w:val="006C4FDC"/>
    <w:rsid w:val="006D2153"/>
    <w:rsid w:val="006D392B"/>
    <w:rsid w:val="006D7AAF"/>
    <w:rsid w:val="006E45DF"/>
    <w:rsid w:val="006E4E6E"/>
    <w:rsid w:val="006E547A"/>
    <w:rsid w:val="006F3788"/>
    <w:rsid w:val="00700D2B"/>
    <w:rsid w:val="00700FAD"/>
    <w:rsid w:val="00741478"/>
    <w:rsid w:val="007557DC"/>
    <w:rsid w:val="007620D5"/>
    <w:rsid w:val="007629C9"/>
    <w:rsid w:val="00763F47"/>
    <w:rsid w:val="007701DB"/>
    <w:rsid w:val="00782629"/>
    <w:rsid w:val="0079649D"/>
    <w:rsid w:val="007A0396"/>
    <w:rsid w:val="007B376D"/>
    <w:rsid w:val="007B5F3C"/>
    <w:rsid w:val="007C3BA6"/>
    <w:rsid w:val="007C594E"/>
    <w:rsid w:val="007E4390"/>
    <w:rsid w:val="007F2F0C"/>
    <w:rsid w:val="007F6C3F"/>
    <w:rsid w:val="007F7A82"/>
    <w:rsid w:val="008037BB"/>
    <w:rsid w:val="008130A4"/>
    <w:rsid w:val="00814078"/>
    <w:rsid w:val="008274F2"/>
    <w:rsid w:val="008334C6"/>
    <w:rsid w:val="00834FD4"/>
    <w:rsid w:val="00837851"/>
    <w:rsid w:val="00841CA0"/>
    <w:rsid w:val="008420F6"/>
    <w:rsid w:val="008556C1"/>
    <w:rsid w:val="00856CD6"/>
    <w:rsid w:val="00862FCA"/>
    <w:rsid w:val="00863FA0"/>
    <w:rsid w:val="0086657D"/>
    <w:rsid w:val="008708EE"/>
    <w:rsid w:val="008822BD"/>
    <w:rsid w:val="00886540"/>
    <w:rsid w:val="00890365"/>
    <w:rsid w:val="00892BE4"/>
    <w:rsid w:val="008A0CEB"/>
    <w:rsid w:val="008B0EC1"/>
    <w:rsid w:val="008B364A"/>
    <w:rsid w:val="008B439C"/>
    <w:rsid w:val="008D3758"/>
    <w:rsid w:val="008E11D4"/>
    <w:rsid w:val="008E3B93"/>
    <w:rsid w:val="008E4952"/>
    <w:rsid w:val="008E67D2"/>
    <w:rsid w:val="008F1528"/>
    <w:rsid w:val="009008E4"/>
    <w:rsid w:val="00901D15"/>
    <w:rsid w:val="009141F7"/>
    <w:rsid w:val="0091439B"/>
    <w:rsid w:val="00937C52"/>
    <w:rsid w:val="0094278F"/>
    <w:rsid w:val="009465D6"/>
    <w:rsid w:val="00947437"/>
    <w:rsid w:val="00951455"/>
    <w:rsid w:val="0096597D"/>
    <w:rsid w:val="0097167C"/>
    <w:rsid w:val="00986198"/>
    <w:rsid w:val="00987CA2"/>
    <w:rsid w:val="009A4C34"/>
    <w:rsid w:val="009D0ACC"/>
    <w:rsid w:val="009E021C"/>
    <w:rsid w:val="009E0FA7"/>
    <w:rsid w:val="009E3182"/>
    <w:rsid w:val="00A01A7E"/>
    <w:rsid w:val="00A06484"/>
    <w:rsid w:val="00A07844"/>
    <w:rsid w:val="00A13068"/>
    <w:rsid w:val="00A17105"/>
    <w:rsid w:val="00A21FA2"/>
    <w:rsid w:val="00A30987"/>
    <w:rsid w:val="00A51E45"/>
    <w:rsid w:val="00A530E7"/>
    <w:rsid w:val="00A54919"/>
    <w:rsid w:val="00A55925"/>
    <w:rsid w:val="00A65720"/>
    <w:rsid w:val="00A70D90"/>
    <w:rsid w:val="00A81811"/>
    <w:rsid w:val="00A86FB4"/>
    <w:rsid w:val="00AA4684"/>
    <w:rsid w:val="00AA4A86"/>
    <w:rsid w:val="00AB6D4E"/>
    <w:rsid w:val="00AC231A"/>
    <w:rsid w:val="00AC2EFA"/>
    <w:rsid w:val="00AC594F"/>
    <w:rsid w:val="00AD0544"/>
    <w:rsid w:val="00AD206E"/>
    <w:rsid w:val="00AE3DFA"/>
    <w:rsid w:val="00AF2F0E"/>
    <w:rsid w:val="00B01455"/>
    <w:rsid w:val="00B01511"/>
    <w:rsid w:val="00B05E4F"/>
    <w:rsid w:val="00B072B2"/>
    <w:rsid w:val="00B17CB8"/>
    <w:rsid w:val="00B32AE3"/>
    <w:rsid w:val="00B36CBF"/>
    <w:rsid w:val="00B37271"/>
    <w:rsid w:val="00B42BFD"/>
    <w:rsid w:val="00B501B3"/>
    <w:rsid w:val="00B543F6"/>
    <w:rsid w:val="00B6276F"/>
    <w:rsid w:val="00B82A27"/>
    <w:rsid w:val="00B8303C"/>
    <w:rsid w:val="00B8440C"/>
    <w:rsid w:val="00B93C94"/>
    <w:rsid w:val="00BA3486"/>
    <w:rsid w:val="00BB473F"/>
    <w:rsid w:val="00BB732E"/>
    <w:rsid w:val="00BC205D"/>
    <w:rsid w:val="00BC2439"/>
    <w:rsid w:val="00BD1339"/>
    <w:rsid w:val="00BD4C7F"/>
    <w:rsid w:val="00BE075C"/>
    <w:rsid w:val="00BE5E53"/>
    <w:rsid w:val="00C02F22"/>
    <w:rsid w:val="00C04C49"/>
    <w:rsid w:val="00C079F8"/>
    <w:rsid w:val="00C259E4"/>
    <w:rsid w:val="00C339F0"/>
    <w:rsid w:val="00C41272"/>
    <w:rsid w:val="00C45D66"/>
    <w:rsid w:val="00C52060"/>
    <w:rsid w:val="00C55259"/>
    <w:rsid w:val="00C60164"/>
    <w:rsid w:val="00C651E3"/>
    <w:rsid w:val="00C70984"/>
    <w:rsid w:val="00C85970"/>
    <w:rsid w:val="00C93AAC"/>
    <w:rsid w:val="00CA0D8B"/>
    <w:rsid w:val="00CA5BFD"/>
    <w:rsid w:val="00CB3A5B"/>
    <w:rsid w:val="00CC37F2"/>
    <w:rsid w:val="00CF5265"/>
    <w:rsid w:val="00D07853"/>
    <w:rsid w:val="00D2187A"/>
    <w:rsid w:val="00D22F6B"/>
    <w:rsid w:val="00D419A1"/>
    <w:rsid w:val="00D43222"/>
    <w:rsid w:val="00D605D8"/>
    <w:rsid w:val="00D66AF4"/>
    <w:rsid w:val="00D72F50"/>
    <w:rsid w:val="00D752AA"/>
    <w:rsid w:val="00D8492A"/>
    <w:rsid w:val="00D864E9"/>
    <w:rsid w:val="00D915F2"/>
    <w:rsid w:val="00D92EFB"/>
    <w:rsid w:val="00D9797D"/>
    <w:rsid w:val="00DB4BB7"/>
    <w:rsid w:val="00DC2317"/>
    <w:rsid w:val="00DC3A3F"/>
    <w:rsid w:val="00DE41DB"/>
    <w:rsid w:val="00DF0526"/>
    <w:rsid w:val="00DF0D66"/>
    <w:rsid w:val="00DF0EC1"/>
    <w:rsid w:val="00DF5C16"/>
    <w:rsid w:val="00E06406"/>
    <w:rsid w:val="00E13556"/>
    <w:rsid w:val="00E149AE"/>
    <w:rsid w:val="00E1586C"/>
    <w:rsid w:val="00E36207"/>
    <w:rsid w:val="00E406C8"/>
    <w:rsid w:val="00E413BF"/>
    <w:rsid w:val="00E446AC"/>
    <w:rsid w:val="00E467AE"/>
    <w:rsid w:val="00E52728"/>
    <w:rsid w:val="00E6299C"/>
    <w:rsid w:val="00E6774D"/>
    <w:rsid w:val="00E81EFF"/>
    <w:rsid w:val="00E82C77"/>
    <w:rsid w:val="00E94028"/>
    <w:rsid w:val="00EA0B2F"/>
    <w:rsid w:val="00EA57BB"/>
    <w:rsid w:val="00EB21DB"/>
    <w:rsid w:val="00EB6FF6"/>
    <w:rsid w:val="00EC0626"/>
    <w:rsid w:val="00EF306A"/>
    <w:rsid w:val="00EF31C5"/>
    <w:rsid w:val="00F02023"/>
    <w:rsid w:val="00F1546E"/>
    <w:rsid w:val="00F2060C"/>
    <w:rsid w:val="00F5014C"/>
    <w:rsid w:val="00F6637D"/>
    <w:rsid w:val="00F7089D"/>
    <w:rsid w:val="00F7789D"/>
    <w:rsid w:val="00F8648C"/>
    <w:rsid w:val="00FB290E"/>
    <w:rsid w:val="00FB30D6"/>
    <w:rsid w:val="00FB7228"/>
    <w:rsid w:val="00FC11A9"/>
    <w:rsid w:val="00FD051D"/>
    <w:rsid w:val="00FD2356"/>
    <w:rsid w:val="00FF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3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Web"/>
    <w:next w:val="Normal"/>
    <w:link w:val="Heading1Char"/>
    <w:qFormat/>
    <w:rsid w:val="00DC3A3F"/>
    <w:pPr>
      <w:keepNext/>
      <w:numPr>
        <w:numId w:val="1"/>
      </w:numPr>
      <w:spacing w:before="240" w:beforeAutospacing="0" w:after="240" w:afterAutospacing="0" w:line="360" w:lineRule="auto"/>
      <w:jc w:val="both"/>
      <w:outlineLvl w:val="0"/>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F6"/>
    <w:pPr>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43F6"/>
    <w:rPr>
      <w:rFonts w:ascii="Calibri" w:eastAsia="Calibri" w:hAnsi="Calibri" w:cs="Times New Roman"/>
      <w:lang w:val="en-AU"/>
    </w:rPr>
  </w:style>
  <w:style w:type="character" w:styleId="Hyperlink">
    <w:name w:val="Hyperlink"/>
    <w:uiPriority w:val="99"/>
    <w:unhideWhenUsed/>
    <w:rsid w:val="00B543F6"/>
    <w:rPr>
      <w:color w:val="0000FF"/>
      <w:u w:val="single"/>
    </w:rPr>
  </w:style>
  <w:style w:type="paragraph" w:styleId="Footer">
    <w:name w:val="footer"/>
    <w:basedOn w:val="Normal"/>
    <w:link w:val="FooterChar"/>
    <w:uiPriority w:val="99"/>
    <w:unhideWhenUsed/>
    <w:rsid w:val="007629C9"/>
    <w:pPr>
      <w:tabs>
        <w:tab w:val="center" w:pos="4680"/>
        <w:tab w:val="right" w:pos="9360"/>
      </w:tabs>
    </w:pPr>
  </w:style>
  <w:style w:type="character" w:customStyle="1" w:styleId="FooterChar">
    <w:name w:val="Footer Char"/>
    <w:basedOn w:val="DefaultParagraphFont"/>
    <w:link w:val="Footer"/>
    <w:uiPriority w:val="99"/>
    <w:rsid w:val="007629C9"/>
  </w:style>
  <w:style w:type="paragraph" w:styleId="ListParagraph">
    <w:name w:val="List Paragraph"/>
    <w:basedOn w:val="Normal"/>
    <w:uiPriority w:val="34"/>
    <w:qFormat/>
    <w:rsid w:val="0096597D"/>
    <w:pPr>
      <w:ind w:left="720"/>
      <w:contextualSpacing/>
    </w:pPr>
  </w:style>
  <w:style w:type="paragraph" w:styleId="BalloonText">
    <w:name w:val="Balloon Text"/>
    <w:basedOn w:val="Normal"/>
    <w:link w:val="BalloonTextChar"/>
    <w:uiPriority w:val="99"/>
    <w:semiHidden/>
    <w:unhideWhenUsed/>
    <w:rsid w:val="00376AF1"/>
    <w:rPr>
      <w:rFonts w:ascii="Tahoma" w:hAnsi="Tahoma" w:cs="Tahoma"/>
      <w:sz w:val="16"/>
      <w:szCs w:val="16"/>
    </w:rPr>
  </w:style>
  <w:style w:type="character" w:customStyle="1" w:styleId="BalloonTextChar">
    <w:name w:val="Balloon Text Char"/>
    <w:basedOn w:val="DefaultParagraphFont"/>
    <w:link w:val="BalloonText"/>
    <w:uiPriority w:val="99"/>
    <w:semiHidden/>
    <w:rsid w:val="00376AF1"/>
    <w:rPr>
      <w:rFonts w:ascii="Tahoma" w:hAnsi="Tahoma" w:cs="Tahoma"/>
      <w:sz w:val="16"/>
      <w:szCs w:val="16"/>
    </w:rPr>
  </w:style>
  <w:style w:type="table" w:styleId="TableGrid">
    <w:name w:val="Table Grid"/>
    <w:basedOn w:val="TableNormal"/>
    <w:uiPriority w:val="59"/>
    <w:rsid w:val="00E1586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3A3F"/>
    <w:rPr>
      <w:rFonts w:ascii="Cambria" w:eastAsia="Times New Roman" w:hAnsi="Cambria" w:cs="Times New Roman"/>
      <w:b/>
      <w:sz w:val="24"/>
      <w:szCs w:val="24"/>
      <w:lang w:val="en-AU" w:eastAsia="en-AU"/>
    </w:rPr>
  </w:style>
  <w:style w:type="paragraph" w:styleId="NormalWeb">
    <w:name w:val="Normal (Web)"/>
    <w:basedOn w:val="Normal"/>
    <w:uiPriority w:val="99"/>
    <w:rsid w:val="00DC3A3F"/>
    <w:pPr>
      <w:spacing w:before="100" w:beforeAutospacing="1" w:after="100" w:afterAutospacing="1"/>
    </w:pPr>
    <w:rPr>
      <w:sz w:val="24"/>
      <w:szCs w:val="24"/>
      <w:lang w:eastAsia="en-AU"/>
    </w:rPr>
  </w:style>
  <w:style w:type="paragraph" w:customStyle="1" w:styleId="subsection">
    <w:name w:val="subsection"/>
    <w:basedOn w:val="Normal"/>
    <w:rsid w:val="001E734B"/>
    <w:pPr>
      <w:spacing w:before="100" w:beforeAutospacing="1" w:after="100" w:afterAutospacing="1"/>
    </w:pPr>
    <w:rPr>
      <w:sz w:val="24"/>
      <w:szCs w:val="24"/>
      <w:lang w:val="en-US"/>
    </w:rPr>
  </w:style>
  <w:style w:type="paragraph" w:customStyle="1" w:styleId="paragraph">
    <w:name w:val="paragraph"/>
    <w:basedOn w:val="Normal"/>
    <w:rsid w:val="001E734B"/>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5A6A8A"/>
    <w:rPr>
      <w:color w:val="800080" w:themeColor="followedHyperlink"/>
      <w:u w:val="single"/>
    </w:rPr>
  </w:style>
  <w:style w:type="paragraph" w:customStyle="1" w:styleId="Default">
    <w:name w:val="Default"/>
    <w:rsid w:val="003B7D9C"/>
    <w:pPr>
      <w:autoSpaceDE w:val="0"/>
      <w:autoSpaceDN w:val="0"/>
      <w:adjustRightInd w:val="0"/>
      <w:spacing w:after="0" w:line="240" w:lineRule="auto"/>
    </w:pPr>
    <w:rPr>
      <w:rFonts w:ascii="Arial" w:hAnsi="Arial" w:cs="Arial"/>
      <w:color w:val="000000"/>
      <w:sz w:val="24"/>
      <w:szCs w:val="24"/>
      <w:lang w:val="en-AU"/>
    </w:rPr>
  </w:style>
  <w:style w:type="paragraph" w:customStyle="1" w:styleId="LDStandardBodyText">
    <w:name w:val="LD_Standard_BodyText"/>
    <w:basedOn w:val="Normal"/>
    <w:rsid w:val="00D9797D"/>
    <w:pPr>
      <w:spacing w:after="240"/>
      <w:jc w:val="both"/>
    </w:pPr>
    <w:rPr>
      <w:rFonts w:ascii="Arial" w:hAnsi="Arial"/>
      <w:sz w:val="22"/>
    </w:rPr>
  </w:style>
  <w:style w:type="character" w:customStyle="1" w:styleId="apple-converted-space">
    <w:name w:val="apple-converted-space"/>
    <w:basedOn w:val="DefaultParagraphFont"/>
    <w:rsid w:val="00BC205D"/>
  </w:style>
</w:styles>
</file>

<file path=word/webSettings.xml><?xml version="1.0" encoding="utf-8"?>
<w:webSettings xmlns:r="http://schemas.openxmlformats.org/officeDocument/2006/relationships" xmlns:w="http://schemas.openxmlformats.org/wordprocessingml/2006/main">
  <w:divs>
    <w:div w:id="315575098">
      <w:bodyDiv w:val="1"/>
      <w:marLeft w:val="0"/>
      <w:marRight w:val="0"/>
      <w:marTop w:val="0"/>
      <w:marBottom w:val="0"/>
      <w:divBdr>
        <w:top w:val="none" w:sz="0" w:space="0" w:color="auto"/>
        <w:left w:val="none" w:sz="0" w:space="0" w:color="auto"/>
        <w:bottom w:val="none" w:sz="0" w:space="0" w:color="auto"/>
        <w:right w:val="none" w:sz="0" w:space="0" w:color="auto"/>
      </w:divBdr>
    </w:div>
    <w:div w:id="447511568">
      <w:bodyDiv w:val="1"/>
      <w:marLeft w:val="0"/>
      <w:marRight w:val="0"/>
      <w:marTop w:val="0"/>
      <w:marBottom w:val="0"/>
      <w:divBdr>
        <w:top w:val="none" w:sz="0" w:space="0" w:color="auto"/>
        <w:left w:val="none" w:sz="0" w:space="0" w:color="auto"/>
        <w:bottom w:val="none" w:sz="0" w:space="0" w:color="auto"/>
        <w:right w:val="none" w:sz="0" w:space="0" w:color="auto"/>
      </w:divBdr>
      <w:divsChild>
        <w:div w:id="1578712776">
          <w:marLeft w:val="0"/>
          <w:marRight w:val="0"/>
          <w:marTop w:val="0"/>
          <w:marBottom w:val="0"/>
          <w:divBdr>
            <w:top w:val="none" w:sz="0" w:space="0" w:color="auto"/>
            <w:left w:val="none" w:sz="0" w:space="0" w:color="auto"/>
            <w:bottom w:val="none" w:sz="0" w:space="0" w:color="auto"/>
            <w:right w:val="none" w:sz="0" w:space="0" w:color="auto"/>
          </w:divBdr>
          <w:divsChild>
            <w:div w:id="1547720205">
              <w:marLeft w:val="2040"/>
              <w:marRight w:val="3240"/>
              <w:marTop w:val="0"/>
              <w:marBottom w:val="0"/>
              <w:divBdr>
                <w:top w:val="none" w:sz="0" w:space="0" w:color="auto"/>
                <w:left w:val="none" w:sz="0" w:space="0" w:color="auto"/>
                <w:bottom w:val="none" w:sz="0" w:space="0" w:color="auto"/>
                <w:right w:val="none" w:sz="0" w:space="0" w:color="auto"/>
              </w:divBdr>
            </w:div>
          </w:divsChild>
        </w:div>
      </w:divsChild>
    </w:div>
    <w:div w:id="545488689">
      <w:bodyDiv w:val="1"/>
      <w:marLeft w:val="0"/>
      <w:marRight w:val="0"/>
      <w:marTop w:val="0"/>
      <w:marBottom w:val="0"/>
      <w:divBdr>
        <w:top w:val="none" w:sz="0" w:space="0" w:color="auto"/>
        <w:left w:val="none" w:sz="0" w:space="0" w:color="auto"/>
        <w:bottom w:val="none" w:sz="0" w:space="0" w:color="auto"/>
        <w:right w:val="none" w:sz="0" w:space="0" w:color="auto"/>
      </w:divBdr>
      <w:divsChild>
        <w:div w:id="94896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1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4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021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9365">
      <w:bodyDiv w:val="1"/>
      <w:marLeft w:val="0"/>
      <w:marRight w:val="0"/>
      <w:marTop w:val="0"/>
      <w:marBottom w:val="0"/>
      <w:divBdr>
        <w:top w:val="none" w:sz="0" w:space="0" w:color="auto"/>
        <w:left w:val="none" w:sz="0" w:space="0" w:color="auto"/>
        <w:bottom w:val="none" w:sz="0" w:space="0" w:color="auto"/>
        <w:right w:val="none" w:sz="0" w:space="0" w:color="auto"/>
      </w:divBdr>
    </w:div>
    <w:div w:id="875581934">
      <w:bodyDiv w:val="1"/>
      <w:marLeft w:val="0"/>
      <w:marRight w:val="0"/>
      <w:marTop w:val="0"/>
      <w:marBottom w:val="0"/>
      <w:divBdr>
        <w:top w:val="none" w:sz="0" w:space="0" w:color="auto"/>
        <w:left w:val="none" w:sz="0" w:space="0" w:color="auto"/>
        <w:bottom w:val="none" w:sz="0" w:space="0" w:color="auto"/>
        <w:right w:val="none" w:sz="0" w:space="0" w:color="auto"/>
      </w:divBdr>
    </w:div>
    <w:div w:id="954485450">
      <w:bodyDiv w:val="1"/>
      <w:marLeft w:val="0"/>
      <w:marRight w:val="0"/>
      <w:marTop w:val="0"/>
      <w:marBottom w:val="0"/>
      <w:divBdr>
        <w:top w:val="none" w:sz="0" w:space="0" w:color="auto"/>
        <w:left w:val="none" w:sz="0" w:space="0" w:color="auto"/>
        <w:bottom w:val="none" w:sz="0" w:space="0" w:color="auto"/>
        <w:right w:val="none" w:sz="0" w:space="0" w:color="auto"/>
      </w:divBdr>
    </w:div>
    <w:div w:id="1028263911">
      <w:bodyDiv w:val="1"/>
      <w:marLeft w:val="0"/>
      <w:marRight w:val="0"/>
      <w:marTop w:val="0"/>
      <w:marBottom w:val="0"/>
      <w:divBdr>
        <w:top w:val="none" w:sz="0" w:space="0" w:color="auto"/>
        <w:left w:val="none" w:sz="0" w:space="0" w:color="auto"/>
        <w:bottom w:val="none" w:sz="0" w:space="0" w:color="auto"/>
        <w:right w:val="none" w:sz="0" w:space="0" w:color="auto"/>
      </w:divBdr>
      <w:divsChild>
        <w:div w:id="817186444">
          <w:blockQuote w:val="1"/>
          <w:marLeft w:val="400"/>
          <w:marRight w:val="0"/>
          <w:marTop w:val="160"/>
          <w:marBottom w:val="200"/>
          <w:divBdr>
            <w:top w:val="none" w:sz="0" w:space="0" w:color="auto"/>
            <w:left w:val="none" w:sz="0" w:space="0" w:color="auto"/>
            <w:bottom w:val="none" w:sz="0" w:space="0" w:color="auto"/>
            <w:right w:val="none" w:sz="0" w:space="0" w:color="auto"/>
          </w:divBdr>
        </w:div>
        <w:div w:id="969824297">
          <w:blockQuote w:val="1"/>
          <w:marLeft w:val="400"/>
          <w:marRight w:val="0"/>
          <w:marTop w:val="160"/>
          <w:marBottom w:val="200"/>
          <w:divBdr>
            <w:top w:val="none" w:sz="0" w:space="0" w:color="auto"/>
            <w:left w:val="none" w:sz="0" w:space="0" w:color="auto"/>
            <w:bottom w:val="none" w:sz="0" w:space="0" w:color="auto"/>
            <w:right w:val="none" w:sz="0" w:space="0" w:color="auto"/>
          </w:divBdr>
        </w:div>
        <w:div w:id="1260143905">
          <w:blockQuote w:val="1"/>
          <w:marLeft w:val="400"/>
          <w:marRight w:val="0"/>
          <w:marTop w:val="160"/>
          <w:marBottom w:val="200"/>
          <w:divBdr>
            <w:top w:val="none" w:sz="0" w:space="0" w:color="auto"/>
            <w:left w:val="none" w:sz="0" w:space="0" w:color="auto"/>
            <w:bottom w:val="none" w:sz="0" w:space="0" w:color="auto"/>
            <w:right w:val="none" w:sz="0" w:space="0" w:color="auto"/>
          </w:divBdr>
        </w:div>
        <w:div w:id="1366950894">
          <w:blockQuote w:val="1"/>
          <w:marLeft w:val="400"/>
          <w:marRight w:val="0"/>
          <w:marTop w:val="160"/>
          <w:marBottom w:val="200"/>
          <w:divBdr>
            <w:top w:val="none" w:sz="0" w:space="0" w:color="auto"/>
            <w:left w:val="none" w:sz="0" w:space="0" w:color="auto"/>
            <w:bottom w:val="none" w:sz="0" w:space="0" w:color="auto"/>
            <w:right w:val="none" w:sz="0" w:space="0" w:color="auto"/>
          </w:divBdr>
        </w:div>
        <w:div w:id="20252025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2774757">
      <w:bodyDiv w:val="1"/>
      <w:marLeft w:val="0"/>
      <w:marRight w:val="0"/>
      <w:marTop w:val="0"/>
      <w:marBottom w:val="0"/>
      <w:divBdr>
        <w:top w:val="none" w:sz="0" w:space="0" w:color="auto"/>
        <w:left w:val="none" w:sz="0" w:space="0" w:color="auto"/>
        <w:bottom w:val="none" w:sz="0" w:space="0" w:color="auto"/>
        <w:right w:val="none" w:sz="0" w:space="0" w:color="auto"/>
      </w:divBdr>
      <w:divsChild>
        <w:div w:id="1541941823">
          <w:marLeft w:val="0"/>
          <w:marRight w:val="0"/>
          <w:marTop w:val="0"/>
          <w:marBottom w:val="0"/>
          <w:divBdr>
            <w:top w:val="none" w:sz="0" w:space="0" w:color="auto"/>
            <w:left w:val="none" w:sz="0" w:space="0" w:color="auto"/>
            <w:bottom w:val="none" w:sz="0" w:space="0" w:color="auto"/>
            <w:right w:val="none" w:sz="0" w:space="0" w:color="auto"/>
          </w:divBdr>
          <w:divsChild>
            <w:div w:id="1952125539">
              <w:marLeft w:val="2040"/>
              <w:marRight w:val="3240"/>
              <w:marTop w:val="0"/>
              <w:marBottom w:val="0"/>
              <w:divBdr>
                <w:top w:val="none" w:sz="0" w:space="0" w:color="auto"/>
                <w:left w:val="none" w:sz="0" w:space="0" w:color="auto"/>
                <w:bottom w:val="none" w:sz="0" w:space="0" w:color="auto"/>
                <w:right w:val="none" w:sz="0" w:space="0" w:color="auto"/>
              </w:divBdr>
            </w:div>
          </w:divsChild>
        </w:div>
      </w:divsChild>
    </w:div>
    <w:div w:id="1596398660">
      <w:bodyDiv w:val="1"/>
      <w:marLeft w:val="0"/>
      <w:marRight w:val="0"/>
      <w:marTop w:val="0"/>
      <w:marBottom w:val="0"/>
      <w:divBdr>
        <w:top w:val="none" w:sz="0" w:space="0" w:color="auto"/>
        <w:left w:val="none" w:sz="0" w:space="0" w:color="auto"/>
        <w:bottom w:val="none" w:sz="0" w:space="0" w:color="auto"/>
        <w:right w:val="none" w:sz="0" w:space="0" w:color="auto"/>
      </w:divBdr>
    </w:div>
    <w:div w:id="1686858310">
      <w:bodyDiv w:val="1"/>
      <w:marLeft w:val="0"/>
      <w:marRight w:val="0"/>
      <w:marTop w:val="0"/>
      <w:marBottom w:val="0"/>
      <w:divBdr>
        <w:top w:val="none" w:sz="0" w:space="0" w:color="auto"/>
        <w:left w:val="none" w:sz="0" w:space="0" w:color="auto"/>
        <w:bottom w:val="none" w:sz="0" w:space="0" w:color="auto"/>
        <w:right w:val="none" w:sz="0" w:space="0" w:color="auto"/>
      </w:divBdr>
      <w:divsChild>
        <w:div w:id="105057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8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4417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06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5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819328">
      <w:bodyDiv w:val="1"/>
      <w:marLeft w:val="0"/>
      <w:marRight w:val="0"/>
      <w:marTop w:val="0"/>
      <w:marBottom w:val="0"/>
      <w:divBdr>
        <w:top w:val="none" w:sz="0" w:space="0" w:color="auto"/>
        <w:left w:val="none" w:sz="0" w:space="0" w:color="auto"/>
        <w:bottom w:val="none" w:sz="0" w:space="0" w:color="auto"/>
        <w:right w:val="none" w:sz="0" w:space="0" w:color="auto"/>
      </w:divBdr>
      <w:divsChild>
        <w:div w:id="136538515">
          <w:marLeft w:val="0"/>
          <w:marRight w:val="0"/>
          <w:marTop w:val="0"/>
          <w:marBottom w:val="0"/>
          <w:divBdr>
            <w:top w:val="none" w:sz="0" w:space="0" w:color="auto"/>
            <w:left w:val="none" w:sz="0" w:space="0" w:color="auto"/>
            <w:bottom w:val="none" w:sz="0" w:space="0" w:color="auto"/>
            <w:right w:val="none" w:sz="0" w:space="0" w:color="auto"/>
          </w:divBdr>
        </w:div>
        <w:div w:id="1433549885">
          <w:marLeft w:val="0"/>
          <w:marRight w:val="0"/>
          <w:marTop w:val="0"/>
          <w:marBottom w:val="0"/>
          <w:divBdr>
            <w:top w:val="none" w:sz="0" w:space="0" w:color="auto"/>
            <w:left w:val="none" w:sz="0" w:space="0" w:color="auto"/>
            <w:bottom w:val="none" w:sz="0" w:space="0" w:color="auto"/>
            <w:right w:val="none" w:sz="0" w:space="0" w:color="auto"/>
          </w:divBdr>
        </w:div>
      </w:divsChild>
    </w:div>
    <w:div w:id="21132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er_abuse@alrc.gov.au" TargetMode="External"/><Relationship Id="rId13" Type="http://schemas.openxmlformats.org/officeDocument/2006/relationships/hyperlink" Target="http://www.austlii.edu.au/au/legis/nsw/consol_act/poaa2003240/s3.html" TargetMode="External"/><Relationship Id="rId18" Type="http://schemas.openxmlformats.org/officeDocument/2006/relationships/hyperlink" Target="http://www.austlii.edu.au/au/legis/nsw/consol_act/poaa2003240/s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tlii.edu.au/au/legis/nsw/consol_act/poaa2003240/s3.html" TargetMode="External"/><Relationship Id="rId7" Type="http://schemas.openxmlformats.org/officeDocument/2006/relationships/endnotes" Target="endnotes.xml"/><Relationship Id="rId12" Type="http://schemas.openxmlformats.org/officeDocument/2006/relationships/hyperlink" Target="http://www.austlii.edu.au/au/legis/nsw/consol_act/poaa2003240/s3.html" TargetMode="External"/><Relationship Id="rId17" Type="http://schemas.openxmlformats.org/officeDocument/2006/relationships/hyperlink" Target="http://www.austlii.edu.au/au/legis/nsw/consol_act/poaa2003240/s1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au/legis/nsw/consol_act/poaa2003240/s3.html" TargetMode="External"/><Relationship Id="rId20" Type="http://schemas.openxmlformats.org/officeDocument/2006/relationships/hyperlink" Target="http://www.austlii.edu.au/au/legis/nsw/consol_act/poaa2003240/s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act/poaa2003240/s3.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lii.edu.au/au/legis/nsw/consol_act/poaa2003240/s3.html" TargetMode="External"/><Relationship Id="rId23" Type="http://schemas.openxmlformats.org/officeDocument/2006/relationships/header" Target="header1.xml"/><Relationship Id="rId10" Type="http://schemas.openxmlformats.org/officeDocument/2006/relationships/hyperlink" Target="http://www.austlii.edu.au/au/legis/nsw/consol_act/tca1964208/" TargetMode="External"/><Relationship Id="rId19" Type="http://schemas.openxmlformats.org/officeDocument/2006/relationships/hyperlink" Target="http://www.austlii.edu.au/au/legis/nsw/consol_act/poaa2003240/s3.html" TargetMode="External"/><Relationship Id="rId4" Type="http://schemas.openxmlformats.org/officeDocument/2006/relationships/settings" Target="settings.xml"/><Relationship Id="rId9" Type="http://schemas.openxmlformats.org/officeDocument/2006/relationships/hyperlink" Target="http://www.austlii.edu.au/au/legis/nsw/consol_act/cla2003236/" TargetMode="External"/><Relationship Id="rId14" Type="http://schemas.openxmlformats.org/officeDocument/2006/relationships/hyperlink" Target="http://www.austlii.edu.au/au/legis/nsw/consol_act/poaa2003240/s3.html" TargetMode="External"/><Relationship Id="rId22" Type="http://schemas.openxmlformats.org/officeDocument/2006/relationships/hyperlink" Target="https://www.lawsociety.com.au/cs/groups/public/documents/internetcontent/119197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quiries@hamiltonblack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beck%20Family\Dropbox\Templates\Cost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BFCEA-A44A-4032-9F9B-009C9B38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Costs Agreement.dotx</Template>
  <TotalTime>0</TotalTime>
  <Pages>12</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Yazbeck Family</dc:creator>
  <cp:lastModifiedBy>marie-claire.muir</cp:lastModifiedBy>
  <cp:revision>2</cp:revision>
  <cp:lastPrinted>2017-02-27T01:52:00Z</cp:lastPrinted>
  <dcterms:created xsi:type="dcterms:W3CDTF">2017-03-01T06:15:00Z</dcterms:created>
  <dcterms:modified xsi:type="dcterms:W3CDTF">2017-03-01T06:15:00Z</dcterms:modified>
</cp:coreProperties>
</file>