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B4" w:rsidRPr="008838B4" w:rsidRDefault="008838B4" w:rsidP="008838B4">
      <w:pPr>
        <w:pStyle w:val="Heading1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lang w:val="en-AU"/>
        </w:rPr>
      </w:pPr>
      <w:r w:rsidRPr="008838B4">
        <w:rPr>
          <w:rFonts w:ascii="Times New Roman" w:hAnsi="Times New Roman" w:cs="Times New Roman"/>
          <w:b/>
          <w:color w:val="auto"/>
          <w:sz w:val="28"/>
          <w:lang w:val="en-AU"/>
        </w:rPr>
        <w:t>SUBMISSION TO THE AUSTRALIAN LAW REFORM COMMISSION: ELDER ABUSE</w:t>
      </w:r>
      <w:r w:rsidR="004E68D0">
        <w:rPr>
          <w:rFonts w:ascii="Times New Roman" w:hAnsi="Times New Roman" w:cs="Times New Roman"/>
          <w:b/>
          <w:color w:val="auto"/>
          <w:sz w:val="28"/>
          <w:lang w:val="en-AU"/>
        </w:rPr>
        <w:t xml:space="preserve"> (DP 83)</w:t>
      </w:r>
    </w:p>
    <w:p w:rsidR="008838B4" w:rsidRDefault="008838B4" w:rsidP="008838B4">
      <w:pPr>
        <w:rPr>
          <w:lang w:val="en-AU"/>
        </w:rPr>
      </w:pPr>
    </w:p>
    <w:p w:rsidR="008838B4" w:rsidRPr="008838B4" w:rsidRDefault="008838B4" w:rsidP="008838B4">
      <w:pPr>
        <w:jc w:val="center"/>
        <w:rPr>
          <w:lang w:val="en-AU"/>
        </w:rPr>
      </w:pPr>
      <w:r>
        <w:rPr>
          <w:lang w:val="en-AU"/>
        </w:rPr>
        <w:t>UNIVERSITY OF NEWCASTLE LEGAL CENTRE</w:t>
      </w:r>
      <w:r>
        <w:rPr>
          <w:rStyle w:val="FootnoteReference"/>
          <w:lang w:val="en-AU"/>
        </w:rPr>
        <w:footnoteReference w:id="1"/>
      </w:r>
    </w:p>
    <w:p w:rsidR="008838B4" w:rsidRDefault="008838B4" w:rsidP="002138D3">
      <w:pPr>
        <w:pStyle w:val="Heading1"/>
        <w:spacing w:before="0" w:line="276" w:lineRule="auto"/>
        <w:rPr>
          <w:rFonts w:ascii="Times New Roman" w:hAnsi="Times New Roman" w:cs="Times New Roman"/>
          <w:color w:val="auto"/>
          <w:lang w:val="en-AU"/>
        </w:rPr>
      </w:pPr>
    </w:p>
    <w:p w:rsidR="00DF0D8A" w:rsidRPr="008838B4" w:rsidRDefault="003A5248" w:rsidP="002138D3">
      <w:pPr>
        <w:spacing w:line="276" w:lineRule="auto"/>
        <w:rPr>
          <w:rFonts w:ascii="Times New Roman" w:hAnsi="Times New Roman" w:cs="Times New Roman"/>
          <w:i/>
          <w:u w:val="single"/>
          <w:lang w:val="en-AU"/>
        </w:rPr>
      </w:pPr>
      <w:r w:rsidRPr="008838B4">
        <w:rPr>
          <w:rStyle w:val="Heading2Char"/>
          <w:rFonts w:ascii="Times New Roman" w:hAnsi="Times New Roman" w:cs="Times New Roman"/>
          <w:i/>
          <w:color w:val="auto"/>
          <w:u w:val="single"/>
          <w:lang w:val="en-AU"/>
        </w:rPr>
        <w:t>Introduction</w:t>
      </w:r>
      <w:r w:rsidRPr="008838B4">
        <w:rPr>
          <w:rFonts w:ascii="Times New Roman" w:hAnsi="Times New Roman" w:cs="Times New Roman"/>
          <w:i/>
          <w:u w:val="single"/>
          <w:lang w:val="en-AU"/>
        </w:rPr>
        <w:t xml:space="preserve"> </w:t>
      </w:r>
    </w:p>
    <w:p w:rsidR="002138D3" w:rsidRDefault="00671D19" w:rsidP="002138D3">
      <w:pPr>
        <w:spacing w:line="276" w:lineRule="auto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Persons who need assistance with their financial affairs can make an enduring financial document such as a power of attorney.  </w:t>
      </w:r>
      <w:r w:rsidR="008459D3">
        <w:rPr>
          <w:rFonts w:ascii="Times New Roman" w:hAnsi="Times New Roman" w:cs="Times New Roman"/>
          <w:lang w:val="en-AU"/>
        </w:rPr>
        <w:t xml:space="preserve">This is particularly relevant for people who are </w:t>
      </w:r>
      <w:proofErr w:type="gramStart"/>
      <w:r w:rsidR="008459D3">
        <w:rPr>
          <w:rFonts w:ascii="Times New Roman" w:hAnsi="Times New Roman" w:cs="Times New Roman"/>
          <w:lang w:val="en-AU"/>
        </w:rPr>
        <w:t>ageing,</w:t>
      </w:r>
      <w:proofErr w:type="gramEnd"/>
      <w:r w:rsidR="008459D3">
        <w:rPr>
          <w:rFonts w:ascii="Times New Roman" w:hAnsi="Times New Roman" w:cs="Times New Roman"/>
          <w:lang w:val="en-AU"/>
        </w:rPr>
        <w:t xml:space="preserve"> and people with a disability affecting their cognition or communication. </w:t>
      </w:r>
      <w:r w:rsidR="004E68D0">
        <w:rPr>
          <w:rFonts w:ascii="Times New Roman" w:hAnsi="Times New Roman" w:cs="Times New Roman"/>
          <w:lang w:val="en-AU"/>
        </w:rPr>
        <w:t>T</w:t>
      </w:r>
      <w:r w:rsidR="00800D4D">
        <w:rPr>
          <w:rFonts w:ascii="Times New Roman" w:hAnsi="Times New Roman" w:cs="Times New Roman"/>
          <w:lang w:val="en-AU"/>
        </w:rPr>
        <w:t xml:space="preserve">he establishment of a national online registration scheme for </w:t>
      </w:r>
      <w:r w:rsidR="00B3349A">
        <w:rPr>
          <w:rFonts w:ascii="Times New Roman" w:hAnsi="Times New Roman" w:cs="Times New Roman"/>
          <w:lang w:val="en-AU"/>
        </w:rPr>
        <w:t xml:space="preserve">the uploading of </w:t>
      </w:r>
      <w:r w:rsidR="00800D4D">
        <w:rPr>
          <w:rFonts w:ascii="Times New Roman" w:hAnsi="Times New Roman" w:cs="Times New Roman"/>
          <w:lang w:val="en-AU"/>
        </w:rPr>
        <w:t>enduring</w:t>
      </w:r>
      <w:r w:rsidR="004E68D0">
        <w:rPr>
          <w:rFonts w:ascii="Times New Roman" w:hAnsi="Times New Roman" w:cs="Times New Roman"/>
          <w:lang w:val="en-AU"/>
        </w:rPr>
        <w:t xml:space="preserve"> financial </w:t>
      </w:r>
      <w:r w:rsidR="00800D4D">
        <w:rPr>
          <w:rFonts w:ascii="Times New Roman" w:hAnsi="Times New Roman" w:cs="Times New Roman"/>
          <w:lang w:val="en-AU"/>
        </w:rPr>
        <w:t xml:space="preserve">documents could </w:t>
      </w:r>
      <w:r w:rsidR="00561273">
        <w:rPr>
          <w:rFonts w:ascii="Times New Roman" w:hAnsi="Times New Roman" w:cs="Times New Roman"/>
          <w:lang w:val="en-AU"/>
        </w:rPr>
        <w:t>enhance financial management for persons needing assistance</w:t>
      </w:r>
      <w:r w:rsidR="00B3349A">
        <w:rPr>
          <w:rFonts w:ascii="Times New Roman" w:hAnsi="Times New Roman" w:cs="Times New Roman"/>
          <w:lang w:val="en-AU"/>
        </w:rPr>
        <w:t xml:space="preserve"> by </w:t>
      </w:r>
      <w:r w:rsidR="00666CF1">
        <w:rPr>
          <w:rFonts w:ascii="Times New Roman" w:hAnsi="Times New Roman" w:cs="Times New Roman"/>
          <w:lang w:val="en-AU"/>
        </w:rPr>
        <w:t xml:space="preserve">providing an accessible portal where such documents are </w:t>
      </w:r>
      <w:r w:rsidR="004308F8">
        <w:rPr>
          <w:rFonts w:ascii="Times New Roman" w:hAnsi="Times New Roman" w:cs="Times New Roman"/>
          <w:lang w:val="en-AU"/>
        </w:rPr>
        <w:t xml:space="preserve">readily </w:t>
      </w:r>
      <w:r w:rsidR="00666CF1">
        <w:rPr>
          <w:rFonts w:ascii="Times New Roman" w:hAnsi="Times New Roman" w:cs="Times New Roman"/>
          <w:lang w:val="en-AU"/>
        </w:rPr>
        <w:t>available</w:t>
      </w:r>
      <w:r w:rsidR="00561273">
        <w:rPr>
          <w:rFonts w:ascii="Times New Roman" w:hAnsi="Times New Roman" w:cs="Times New Roman"/>
          <w:lang w:val="en-AU"/>
        </w:rPr>
        <w:t>.</w:t>
      </w:r>
      <w:r w:rsidR="00800D4D">
        <w:rPr>
          <w:rFonts w:ascii="Times New Roman" w:hAnsi="Times New Roman" w:cs="Times New Roman"/>
          <w:lang w:val="en-AU"/>
        </w:rPr>
        <w:t xml:space="preserve"> </w:t>
      </w:r>
      <w:r w:rsidR="00561273">
        <w:rPr>
          <w:rFonts w:ascii="Times New Roman" w:hAnsi="Times New Roman" w:cs="Times New Roman"/>
          <w:lang w:val="en-AU"/>
        </w:rPr>
        <w:t xml:space="preserve"> </w:t>
      </w:r>
      <w:r w:rsidR="002138D3">
        <w:rPr>
          <w:rFonts w:ascii="Times New Roman" w:hAnsi="Times New Roman" w:cs="Times New Roman"/>
          <w:lang w:val="en-AU"/>
        </w:rPr>
        <w:t xml:space="preserve">The concept of registering enduring documents is not new. </w:t>
      </w:r>
      <w:r w:rsidR="00561273">
        <w:rPr>
          <w:rFonts w:ascii="Times New Roman" w:hAnsi="Times New Roman" w:cs="Times New Roman"/>
          <w:lang w:val="en-AU"/>
        </w:rPr>
        <w:t xml:space="preserve"> </w:t>
      </w:r>
      <w:r w:rsidR="004308F8">
        <w:rPr>
          <w:rFonts w:ascii="Times New Roman" w:hAnsi="Times New Roman" w:cs="Times New Roman"/>
          <w:lang w:val="en-AU"/>
        </w:rPr>
        <w:t xml:space="preserve">In recent years </w:t>
      </w:r>
      <w:r w:rsidR="002138D3">
        <w:rPr>
          <w:rFonts w:ascii="Times New Roman" w:hAnsi="Times New Roman" w:cs="Times New Roman"/>
          <w:lang w:val="en-AU"/>
        </w:rPr>
        <w:t>ther</w:t>
      </w:r>
      <w:r w:rsidR="00095F3C">
        <w:rPr>
          <w:rFonts w:ascii="Times New Roman" w:hAnsi="Times New Roman" w:cs="Times New Roman"/>
          <w:lang w:val="en-AU"/>
        </w:rPr>
        <w:t>e have been multiple</w:t>
      </w:r>
      <w:r w:rsidR="002138D3">
        <w:rPr>
          <w:rFonts w:ascii="Times New Roman" w:hAnsi="Times New Roman" w:cs="Times New Roman"/>
          <w:lang w:val="en-AU"/>
        </w:rPr>
        <w:t xml:space="preserve"> reviews by state and territory bodies that have recommended the establishment of a register of enduring documents to minimise and protect against misuse or abuse.</w:t>
      </w:r>
      <w:r w:rsidR="002138D3">
        <w:rPr>
          <w:rStyle w:val="FootnoteReference"/>
          <w:rFonts w:ascii="Times New Roman" w:hAnsi="Times New Roman" w:cs="Times New Roman"/>
          <w:lang w:val="en-AU"/>
        </w:rPr>
        <w:footnoteReference w:id="2"/>
      </w:r>
      <w:r w:rsidR="002138D3">
        <w:rPr>
          <w:rFonts w:ascii="Times New Roman" w:hAnsi="Times New Roman" w:cs="Times New Roman"/>
          <w:lang w:val="en-AU"/>
        </w:rPr>
        <w:t xml:space="preserve"> </w:t>
      </w:r>
      <w:r w:rsidR="00095F3C">
        <w:rPr>
          <w:rFonts w:ascii="Times New Roman" w:hAnsi="Times New Roman" w:cs="Times New Roman"/>
          <w:lang w:val="en-AU"/>
        </w:rPr>
        <w:t xml:space="preserve"> </w:t>
      </w:r>
      <w:r w:rsidR="00666CF1">
        <w:rPr>
          <w:rFonts w:ascii="Times New Roman" w:hAnsi="Times New Roman" w:cs="Times New Roman"/>
          <w:lang w:val="en-AU"/>
        </w:rPr>
        <w:t>T</w:t>
      </w:r>
      <w:r w:rsidR="002138D3">
        <w:rPr>
          <w:rFonts w:ascii="Times New Roman" w:hAnsi="Times New Roman" w:cs="Times New Roman"/>
          <w:lang w:val="en-AU"/>
        </w:rPr>
        <w:t>he Au</w:t>
      </w:r>
      <w:r w:rsidR="00095F3C">
        <w:rPr>
          <w:rFonts w:ascii="Times New Roman" w:hAnsi="Times New Roman" w:cs="Times New Roman"/>
          <w:lang w:val="en-AU"/>
        </w:rPr>
        <w:t xml:space="preserve">stralian Law Reform Commission </w:t>
      </w:r>
      <w:r w:rsidR="002138D3">
        <w:rPr>
          <w:rFonts w:ascii="Times New Roman" w:hAnsi="Times New Roman" w:cs="Times New Roman"/>
          <w:lang w:val="en-AU"/>
        </w:rPr>
        <w:t xml:space="preserve">in </w:t>
      </w:r>
      <w:r w:rsidR="00095F3C">
        <w:rPr>
          <w:rFonts w:ascii="Times New Roman" w:hAnsi="Times New Roman" w:cs="Times New Roman"/>
          <w:lang w:val="en-AU"/>
        </w:rPr>
        <w:t xml:space="preserve">its report </w:t>
      </w:r>
      <w:r w:rsidR="002138D3">
        <w:rPr>
          <w:rFonts w:ascii="Times New Roman" w:hAnsi="Times New Roman" w:cs="Times New Roman"/>
          <w:i/>
          <w:lang w:val="en-AU"/>
        </w:rPr>
        <w:t>Equality, Capacity and Disability</w:t>
      </w:r>
      <w:r w:rsidR="00666CF1">
        <w:rPr>
          <w:rFonts w:ascii="Times New Roman" w:hAnsi="Times New Roman" w:cs="Times New Roman"/>
          <w:lang w:val="en-AU"/>
        </w:rPr>
        <w:t xml:space="preserve"> recommended that</w:t>
      </w:r>
      <w:r w:rsidR="002138D3">
        <w:rPr>
          <w:rFonts w:ascii="Times New Roman" w:hAnsi="Times New Roman" w:cs="Times New Roman"/>
          <w:lang w:val="en-AU"/>
        </w:rPr>
        <w:t xml:space="preserve"> Australian state and territory governments dev</w:t>
      </w:r>
      <w:r w:rsidR="00D14BCD">
        <w:rPr>
          <w:rFonts w:ascii="Times New Roman" w:hAnsi="Times New Roman" w:cs="Times New Roman"/>
          <w:lang w:val="en-AU"/>
        </w:rPr>
        <w:t xml:space="preserve">elop </w:t>
      </w:r>
      <w:r w:rsidR="002138D3">
        <w:rPr>
          <w:rFonts w:ascii="Times New Roman" w:hAnsi="Times New Roman" w:cs="Times New Roman"/>
          <w:lang w:val="en-AU"/>
        </w:rPr>
        <w:t xml:space="preserve">an online register of </w:t>
      </w:r>
      <w:r w:rsidR="00D14BCD">
        <w:rPr>
          <w:rFonts w:ascii="Times New Roman" w:hAnsi="Times New Roman" w:cs="Times New Roman"/>
          <w:lang w:val="en-AU"/>
        </w:rPr>
        <w:t xml:space="preserve">financial substitute maker </w:t>
      </w:r>
      <w:r w:rsidR="002138D3">
        <w:rPr>
          <w:rFonts w:ascii="Times New Roman" w:hAnsi="Times New Roman" w:cs="Times New Roman"/>
          <w:lang w:val="en-AU"/>
        </w:rPr>
        <w:t>appointments.</w:t>
      </w:r>
      <w:r w:rsidR="002138D3">
        <w:rPr>
          <w:rStyle w:val="FootnoteReference"/>
          <w:rFonts w:ascii="Times New Roman" w:hAnsi="Times New Roman" w:cs="Times New Roman"/>
          <w:lang w:val="en-AU"/>
        </w:rPr>
        <w:footnoteReference w:id="3"/>
      </w:r>
    </w:p>
    <w:p w:rsidR="00800D4D" w:rsidRDefault="00800D4D" w:rsidP="002138D3">
      <w:pPr>
        <w:spacing w:line="276" w:lineRule="auto"/>
        <w:jc w:val="both"/>
        <w:rPr>
          <w:rFonts w:ascii="Times New Roman" w:hAnsi="Times New Roman" w:cs="Times New Roman"/>
          <w:lang w:val="en-AU"/>
        </w:rPr>
      </w:pPr>
    </w:p>
    <w:p w:rsidR="00D34EBF" w:rsidRDefault="004A34D3" w:rsidP="002138D3">
      <w:pPr>
        <w:spacing w:line="276" w:lineRule="auto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Proposal 5-1</w:t>
      </w:r>
      <w:r w:rsidR="00095F3C">
        <w:rPr>
          <w:rFonts w:ascii="Times New Roman" w:hAnsi="Times New Roman" w:cs="Times New Roman"/>
          <w:lang w:val="en-AU"/>
        </w:rPr>
        <w:t xml:space="preserve"> </w:t>
      </w:r>
      <w:r w:rsidR="00195E9C">
        <w:rPr>
          <w:rFonts w:ascii="Times New Roman" w:hAnsi="Times New Roman" w:cs="Times New Roman"/>
          <w:lang w:val="en-AU"/>
        </w:rPr>
        <w:t xml:space="preserve">states that </w:t>
      </w:r>
      <w:r w:rsidR="00800D4D">
        <w:rPr>
          <w:rFonts w:ascii="Times New Roman" w:hAnsi="Times New Roman" w:cs="Times New Roman"/>
          <w:lang w:val="en-AU"/>
        </w:rPr>
        <w:t>‘A national online</w:t>
      </w:r>
      <w:r>
        <w:rPr>
          <w:rFonts w:ascii="Times New Roman" w:hAnsi="Times New Roman" w:cs="Times New Roman"/>
          <w:lang w:val="en-AU"/>
        </w:rPr>
        <w:t xml:space="preserve"> register of enduring documents, and court and tribunal orders for the appointment of guardians and financial </w:t>
      </w:r>
      <w:proofErr w:type="gramStart"/>
      <w:r>
        <w:rPr>
          <w:rFonts w:ascii="Times New Roman" w:hAnsi="Times New Roman" w:cs="Times New Roman"/>
          <w:lang w:val="en-AU"/>
        </w:rPr>
        <w:t>administrators,</w:t>
      </w:r>
      <w:proofErr w:type="gramEnd"/>
      <w:r>
        <w:rPr>
          <w:rFonts w:ascii="Times New Roman" w:hAnsi="Times New Roman" w:cs="Times New Roman"/>
          <w:lang w:val="en-AU"/>
        </w:rPr>
        <w:t xml:space="preserve"> should be established.’ </w:t>
      </w:r>
      <w:r w:rsidR="00095F3C">
        <w:rPr>
          <w:rFonts w:ascii="Times New Roman" w:hAnsi="Times New Roman" w:cs="Times New Roman"/>
          <w:lang w:val="en-AU"/>
        </w:rPr>
        <w:t xml:space="preserve"> T</w:t>
      </w:r>
      <w:r>
        <w:rPr>
          <w:rFonts w:ascii="Times New Roman" w:hAnsi="Times New Roman" w:cs="Times New Roman"/>
          <w:lang w:val="en-AU"/>
        </w:rPr>
        <w:t>his submission</w:t>
      </w:r>
      <w:r w:rsidR="0028595A">
        <w:rPr>
          <w:rFonts w:ascii="Times New Roman" w:hAnsi="Times New Roman" w:cs="Times New Roman"/>
          <w:lang w:val="en-AU"/>
        </w:rPr>
        <w:t xml:space="preserve"> proposes that My Health Record</w:t>
      </w:r>
      <w:r>
        <w:rPr>
          <w:rFonts w:ascii="Times New Roman" w:hAnsi="Times New Roman" w:cs="Times New Roman"/>
          <w:lang w:val="en-AU"/>
        </w:rPr>
        <w:t xml:space="preserve">, a free online service provided by the </w:t>
      </w:r>
      <w:r w:rsidR="00666CF1">
        <w:rPr>
          <w:rFonts w:ascii="Times New Roman" w:hAnsi="Times New Roman" w:cs="Times New Roman"/>
          <w:lang w:val="en-AU"/>
        </w:rPr>
        <w:t>Commonwealth G</w:t>
      </w:r>
      <w:r>
        <w:rPr>
          <w:rFonts w:ascii="Times New Roman" w:hAnsi="Times New Roman" w:cs="Times New Roman"/>
          <w:lang w:val="en-AU"/>
        </w:rPr>
        <w:t>overnme</w:t>
      </w:r>
      <w:r w:rsidR="00132229">
        <w:rPr>
          <w:rFonts w:ascii="Times New Roman" w:hAnsi="Times New Roman" w:cs="Times New Roman"/>
          <w:lang w:val="en-AU"/>
        </w:rPr>
        <w:t>nt to house medical documents, sh</w:t>
      </w:r>
      <w:r>
        <w:rPr>
          <w:rFonts w:ascii="Times New Roman" w:hAnsi="Times New Roman" w:cs="Times New Roman"/>
          <w:lang w:val="en-AU"/>
        </w:rPr>
        <w:t>ould be used as a register for enduring documents in Australia</w:t>
      </w:r>
      <w:r w:rsidR="008459D3">
        <w:rPr>
          <w:rFonts w:ascii="Times New Roman" w:hAnsi="Times New Roman" w:cs="Times New Roman"/>
          <w:lang w:val="en-AU"/>
        </w:rPr>
        <w:t>, realising that at present the My Health Record is an ‘opt in’ system, for which there is provision in the law to trial an ‘opt out’ system</w:t>
      </w:r>
      <w:r>
        <w:rPr>
          <w:rFonts w:ascii="Times New Roman" w:hAnsi="Times New Roman" w:cs="Times New Roman"/>
          <w:lang w:val="en-AU"/>
        </w:rPr>
        <w:t>.</w:t>
      </w:r>
      <w:r w:rsidR="00812417">
        <w:rPr>
          <w:rStyle w:val="FootnoteReference"/>
          <w:rFonts w:ascii="Times New Roman" w:hAnsi="Times New Roman" w:cs="Times New Roman"/>
          <w:lang w:val="en-AU"/>
        </w:rPr>
        <w:footnoteReference w:id="4"/>
      </w:r>
      <w:r>
        <w:rPr>
          <w:rFonts w:ascii="Times New Roman" w:hAnsi="Times New Roman" w:cs="Times New Roman"/>
          <w:lang w:val="en-AU"/>
        </w:rPr>
        <w:t xml:space="preserve"> </w:t>
      </w:r>
    </w:p>
    <w:p w:rsidR="005A39C1" w:rsidRDefault="005A39C1" w:rsidP="002138D3">
      <w:pPr>
        <w:spacing w:line="276" w:lineRule="auto"/>
        <w:jc w:val="both"/>
        <w:rPr>
          <w:rFonts w:ascii="Times New Roman" w:hAnsi="Times New Roman" w:cs="Times New Roman"/>
          <w:lang w:val="en-AU"/>
        </w:rPr>
      </w:pPr>
    </w:p>
    <w:p w:rsidR="00E6630E" w:rsidRPr="008838B4" w:rsidRDefault="005D2E13" w:rsidP="002138D3">
      <w:p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en-AU"/>
        </w:rPr>
      </w:pPr>
      <w:r>
        <w:rPr>
          <w:rFonts w:ascii="Times New Roman" w:hAnsi="Times New Roman" w:cs="Times New Roman"/>
          <w:i/>
          <w:sz w:val="26"/>
          <w:szCs w:val="26"/>
          <w:u w:val="single"/>
          <w:lang w:val="en-AU"/>
        </w:rPr>
        <w:t>Enduring documents</w:t>
      </w:r>
    </w:p>
    <w:p w:rsidR="00D16E98" w:rsidRDefault="00D16E98" w:rsidP="002138D3">
      <w:pPr>
        <w:spacing w:line="276" w:lineRule="auto"/>
        <w:jc w:val="both"/>
        <w:rPr>
          <w:rFonts w:ascii="Times New Roman" w:hAnsi="Times New Roman" w:cs="Times New Roman"/>
          <w:lang w:val="en-AU"/>
        </w:rPr>
      </w:pPr>
      <w:r w:rsidRPr="00D16E98">
        <w:rPr>
          <w:rFonts w:ascii="Times New Roman" w:hAnsi="Times New Roman" w:cs="Times New Roman"/>
          <w:lang w:val="en-AU"/>
        </w:rPr>
        <w:t xml:space="preserve">Legislation </w:t>
      </w:r>
      <w:r w:rsidR="005D2E13">
        <w:rPr>
          <w:rFonts w:ascii="Times New Roman" w:hAnsi="Times New Roman" w:cs="Times New Roman"/>
          <w:lang w:val="en-AU"/>
        </w:rPr>
        <w:t>in</w:t>
      </w:r>
      <w:r w:rsidRPr="00D16E98">
        <w:rPr>
          <w:rFonts w:ascii="Times New Roman" w:hAnsi="Times New Roman" w:cs="Times New Roman"/>
          <w:lang w:val="en-AU"/>
        </w:rPr>
        <w:t xml:space="preserve"> each state and territory </w:t>
      </w:r>
      <w:r w:rsidR="005D2E13">
        <w:rPr>
          <w:rFonts w:ascii="Times New Roman" w:hAnsi="Times New Roman" w:cs="Times New Roman"/>
          <w:lang w:val="en-AU"/>
        </w:rPr>
        <w:t>prescribe</w:t>
      </w:r>
      <w:r w:rsidR="00666CF1">
        <w:rPr>
          <w:rFonts w:ascii="Times New Roman" w:hAnsi="Times New Roman" w:cs="Times New Roman"/>
          <w:lang w:val="en-AU"/>
        </w:rPr>
        <w:t>s</w:t>
      </w:r>
      <w:r w:rsidR="005D2E13">
        <w:rPr>
          <w:rFonts w:ascii="Times New Roman" w:hAnsi="Times New Roman" w:cs="Times New Roman"/>
          <w:lang w:val="en-AU"/>
        </w:rPr>
        <w:t xml:space="preserve"> the enduring legal documents which can be made by persons to deal with their financial affairs if they need assistance.  There is also a procedure for the </w:t>
      </w:r>
      <w:r w:rsidRPr="00D16E98">
        <w:rPr>
          <w:rFonts w:ascii="Times New Roman" w:hAnsi="Times New Roman" w:cs="Times New Roman"/>
          <w:lang w:val="en-AU"/>
        </w:rPr>
        <w:t>mutual recognition of interstate documents.</w:t>
      </w:r>
      <w:r w:rsidRPr="00D16E98">
        <w:rPr>
          <w:rFonts w:ascii="Times New Roman" w:hAnsi="Times New Roman" w:cs="Times New Roman"/>
          <w:vertAlign w:val="superscript"/>
          <w:lang w:val="en-AU"/>
        </w:rPr>
        <w:footnoteReference w:id="5"/>
      </w:r>
      <w:r w:rsidRPr="00D16E98">
        <w:rPr>
          <w:rFonts w:ascii="Times New Roman" w:hAnsi="Times New Roman" w:cs="Times New Roman"/>
          <w:lang w:val="en-AU"/>
        </w:rPr>
        <w:t xml:space="preserve"> </w:t>
      </w:r>
      <w:r w:rsidR="005D2E13">
        <w:rPr>
          <w:rFonts w:ascii="Times New Roman" w:hAnsi="Times New Roman" w:cs="Times New Roman"/>
          <w:lang w:val="en-AU"/>
        </w:rPr>
        <w:t xml:space="preserve"> There are</w:t>
      </w:r>
      <w:r w:rsidRPr="00D16E98">
        <w:rPr>
          <w:rFonts w:ascii="Times New Roman" w:hAnsi="Times New Roman" w:cs="Times New Roman"/>
          <w:lang w:val="en-AU"/>
        </w:rPr>
        <w:t xml:space="preserve"> differences in the </w:t>
      </w:r>
      <w:r w:rsidRPr="00D16E98">
        <w:rPr>
          <w:rFonts w:ascii="Times New Roman" w:hAnsi="Times New Roman" w:cs="Times New Roman"/>
          <w:lang w:val="en-AU"/>
        </w:rPr>
        <w:lastRenderedPageBreak/>
        <w:t xml:space="preserve">form of documentation </w:t>
      </w:r>
      <w:r w:rsidR="00666CF1">
        <w:rPr>
          <w:rFonts w:ascii="Times New Roman" w:hAnsi="Times New Roman" w:cs="Times New Roman"/>
          <w:lang w:val="en-AU"/>
        </w:rPr>
        <w:t>in each of the</w:t>
      </w:r>
      <w:r w:rsidR="005D2E13">
        <w:rPr>
          <w:rFonts w:ascii="Times New Roman" w:hAnsi="Times New Roman" w:cs="Times New Roman"/>
          <w:lang w:val="en-AU"/>
        </w:rPr>
        <w:t xml:space="preserve"> states and territories</w:t>
      </w:r>
      <w:r w:rsidRPr="00D16E98">
        <w:rPr>
          <w:rFonts w:ascii="Times New Roman" w:hAnsi="Times New Roman" w:cs="Times New Roman"/>
          <w:lang w:val="en-AU"/>
        </w:rPr>
        <w:t xml:space="preserve">. </w:t>
      </w:r>
      <w:r w:rsidR="005D2E13">
        <w:rPr>
          <w:rFonts w:ascii="Times New Roman" w:hAnsi="Times New Roman" w:cs="Times New Roman"/>
          <w:lang w:val="en-AU"/>
        </w:rPr>
        <w:t xml:space="preserve"> </w:t>
      </w:r>
      <w:r w:rsidRPr="00D16E98">
        <w:rPr>
          <w:rFonts w:ascii="Times New Roman" w:hAnsi="Times New Roman" w:cs="Times New Roman"/>
          <w:lang w:val="en-AU"/>
        </w:rPr>
        <w:t>Queen</w:t>
      </w:r>
      <w:r w:rsidR="005D2E13">
        <w:rPr>
          <w:rFonts w:ascii="Times New Roman" w:hAnsi="Times New Roman" w:cs="Times New Roman"/>
          <w:lang w:val="en-AU"/>
        </w:rPr>
        <w:t>sland and Victoria have legislation which provides for a</w:t>
      </w:r>
      <w:r w:rsidRPr="00D16E98">
        <w:rPr>
          <w:rFonts w:ascii="Times New Roman" w:hAnsi="Times New Roman" w:cs="Times New Roman"/>
          <w:lang w:val="en-AU"/>
        </w:rPr>
        <w:t xml:space="preserve"> combined </w:t>
      </w:r>
      <w:r w:rsidR="0028595A">
        <w:rPr>
          <w:rFonts w:ascii="Times New Roman" w:hAnsi="Times New Roman" w:cs="Times New Roman"/>
          <w:lang w:val="en-AU"/>
        </w:rPr>
        <w:t>financial and personal document;</w:t>
      </w:r>
      <w:r w:rsidRPr="00D16E98">
        <w:rPr>
          <w:rFonts w:ascii="Times New Roman" w:hAnsi="Times New Roman" w:cs="Times New Roman"/>
          <w:vertAlign w:val="superscript"/>
          <w:lang w:val="en-AU"/>
        </w:rPr>
        <w:footnoteReference w:id="6"/>
      </w:r>
      <w:r w:rsidRPr="00D16E98">
        <w:rPr>
          <w:rFonts w:ascii="Times New Roman" w:hAnsi="Times New Roman" w:cs="Times New Roman"/>
          <w:lang w:val="en-AU"/>
        </w:rPr>
        <w:t xml:space="preserve"> N</w:t>
      </w:r>
      <w:r w:rsidR="0028595A">
        <w:rPr>
          <w:rFonts w:ascii="Times New Roman" w:hAnsi="Times New Roman" w:cs="Times New Roman"/>
          <w:lang w:val="en-AU"/>
        </w:rPr>
        <w:t xml:space="preserve">ew </w:t>
      </w:r>
      <w:r w:rsidRPr="00D16E98">
        <w:rPr>
          <w:rFonts w:ascii="Times New Roman" w:hAnsi="Times New Roman" w:cs="Times New Roman"/>
          <w:lang w:val="en-AU"/>
        </w:rPr>
        <w:t>S</w:t>
      </w:r>
      <w:r w:rsidR="0028595A">
        <w:rPr>
          <w:rFonts w:ascii="Times New Roman" w:hAnsi="Times New Roman" w:cs="Times New Roman"/>
          <w:lang w:val="en-AU"/>
        </w:rPr>
        <w:t xml:space="preserve">outh </w:t>
      </w:r>
      <w:r w:rsidRPr="00D16E98">
        <w:rPr>
          <w:rFonts w:ascii="Times New Roman" w:hAnsi="Times New Roman" w:cs="Times New Roman"/>
          <w:lang w:val="en-AU"/>
        </w:rPr>
        <w:t>W</w:t>
      </w:r>
      <w:r w:rsidR="0028595A">
        <w:rPr>
          <w:rFonts w:ascii="Times New Roman" w:hAnsi="Times New Roman" w:cs="Times New Roman"/>
          <w:lang w:val="en-AU"/>
        </w:rPr>
        <w:t>ales</w:t>
      </w:r>
      <w:r w:rsidRPr="00D16E98">
        <w:rPr>
          <w:rFonts w:ascii="Times New Roman" w:hAnsi="Times New Roman" w:cs="Times New Roman"/>
          <w:lang w:val="en-AU"/>
        </w:rPr>
        <w:t xml:space="preserve"> has </w:t>
      </w:r>
      <w:r w:rsidR="005D2E13">
        <w:rPr>
          <w:rFonts w:ascii="Times New Roman" w:hAnsi="Times New Roman" w:cs="Times New Roman"/>
          <w:lang w:val="en-AU"/>
        </w:rPr>
        <w:t>separate</w:t>
      </w:r>
      <w:r w:rsidRPr="00D16E98">
        <w:rPr>
          <w:rFonts w:ascii="Times New Roman" w:hAnsi="Times New Roman" w:cs="Times New Roman"/>
          <w:lang w:val="en-AU"/>
        </w:rPr>
        <w:t xml:space="preserve"> documents</w:t>
      </w:r>
      <w:r w:rsidR="005D2E13">
        <w:rPr>
          <w:rFonts w:ascii="Times New Roman" w:hAnsi="Times New Roman" w:cs="Times New Roman"/>
          <w:lang w:val="en-AU"/>
        </w:rPr>
        <w:t xml:space="preserve"> dealing with financial and health care</w:t>
      </w:r>
      <w:r w:rsidR="0028595A">
        <w:rPr>
          <w:rFonts w:ascii="Times New Roman" w:hAnsi="Times New Roman" w:cs="Times New Roman"/>
          <w:lang w:val="en-AU"/>
        </w:rPr>
        <w:t>;</w:t>
      </w:r>
      <w:r w:rsidRPr="00D16E98">
        <w:rPr>
          <w:rFonts w:ascii="Times New Roman" w:hAnsi="Times New Roman" w:cs="Times New Roman"/>
          <w:vertAlign w:val="superscript"/>
          <w:lang w:val="en-AU"/>
        </w:rPr>
        <w:footnoteReference w:id="7"/>
      </w:r>
      <w:r w:rsidRPr="00D16E98">
        <w:rPr>
          <w:rFonts w:ascii="Times New Roman" w:hAnsi="Times New Roman" w:cs="Times New Roman"/>
          <w:lang w:val="en-AU"/>
        </w:rPr>
        <w:t xml:space="preserve"> and South Australia utilises a</w:t>
      </w:r>
      <w:r w:rsidR="005D2E13">
        <w:rPr>
          <w:rFonts w:ascii="Times New Roman" w:hAnsi="Times New Roman" w:cs="Times New Roman"/>
          <w:lang w:val="en-AU"/>
        </w:rPr>
        <w:t xml:space="preserve">dvanced care directives instead </w:t>
      </w:r>
      <w:r w:rsidRPr="00D16E98">
        <w:rPr>
          <w:rFonts w:ascii="Times New Roman" w:hAnsi="Times New Roman" w:cs="Times New Roman"/>
          <w:lang w:val="en-AU"/>
        </w:rPr>
        <w:t>of an enduring guardianship</w:t>
      </w:r>
      <w:r w:rsidR="0028595A">
        <w:rPr>
          <w:rFonts w:ascii="Times New Roman" w:hAnsi="Times New Roman" w:cs="Times New Roman"/>
          <w:lang w:val="en-AU"/>
        </w:rPr>
        <w:t xml:space="preserve"> document</w:t>
      </w:r>
      <w:r w:rsidRPr="00D16E98">
        <w:rPr>
          <w:rFonts w:ascii="Times New Roman" w:hAnsi="Times New Roman" w:cs="Times New Roman"/>
          <w:lang w:val="en-AU"/>
        </w:rPr>
        <w:t>.</w:t>
      </w:r>
      <w:r w:rsidRPr="00D16E98">
        <w:rPr>
          <w:rFonts w:ascii="Times New Roman" w:hAnsi="Times New Roman" w:cs="Times New Roman"/>
          <w:vertAlign w:val="superscript"/>
          <w:lang w:val="en-AU"/>
        </w:rPr>
        <w:footnoteReference w:id="8"/>
      </w:r>
      <w:r w:rsidR="00EF1AB1">
        <w:rPr>
          <w:rFonts w:ascii="Times New Roman" w:hAnsi="Times New Roman" w:cs="Times New Roman"/>
          <w:lang w:val="en-AU"/>
        </w:rPr>
        <w:t xml:space="preserve">  </w:t>
      </w:r>
      <w:r w:rsidRPr="00D16E98">
        <w:rPr>
          <w:rFonts w:ascii="Times New Roman" w:hAnsi="Times New Roman" w:cs="Times New Roman"/>
          <w:lang w:val="en-AU"/>
        </w:rPr>
        <w:t>Tasmani</w:t>
      </w:r>
      <w:r w:rsidR="00EF1AB1">
        <w:rPr>
          <w:rFonts w:ascii="Times New Roman" w:hAnsi="Times New Roman" w:cs="Times New Roman"/>
          <w:lang w:val="en-AU"/>
        </w:rPr>
        <w:t xml:space="preserve">a is the only jurisdiction </w:t>
      </w:r>
      <w:r w:rsidRPr="00D16E98">
        <w:rPr>
          <w:rFonts w:ascii="Times New Roman" w:hAnsi="Times New Roman" w:cs="Times New Roman"/>
          <w:lang w:val="en-AU"/>
        </w:rPr>
        <w:t xml:space="preserve">which requires that </w:t>
      </w:r>
      <w:r w:rsidR="0028595A">
        <w:rPr>
          <w:rFonts w:ascii="Times New Roman" w:hAnsi="Times New Roman" w:cs="Times New Roman"/>
          <w:lang w:val="en-AU"/>
        </w:rPr>
        <w:t xml:space="preserve">enduring </w:t>
      </w:r>
      <w:r w:rsidRPr="00D16E98">
        <w:rPr>
          <w:rFonts w:ascii="Times New Roman" w:hAnsi="Times New Roman" w:cs="Times New Roman"/>
          <w:lang w:val="en-AU"/>
        </w:rPr>
        <w:t>documents be registered.</w:t>
      </w:r>
      <w:r w:rsidRPr="00D16E98">
        <w:rPr>
          <w:rFonts w:ascii="Times New Roman" w:hAnsi="Times New Roman" w:cs="Times New Roman"/>
          <w:vertAlign w:val="superscript"/>
          <w:lang w:val="en-AU"/>
        </w:rPr>
        <w:footnoteReference w:id="9"/>
      </w:r>
      <w:r w:rsidR="0028595A">
        <w:rPr>
          <w:rFonts w:ascii="Times New Roman" w:hAnsi="Times New Roman" w:cs="Times New Roman"/>
          <w:lang w:val="en-AU"/>
        </w:rPr>
        <w:t xml:space="preserve"> </w:t>
      </w:r>
      <w:r w:rsidR="00EF1AB1">
        <w:rPr>
          <w:rFonts w:ascii="Times New Roman" w:hAnsi="Times New Roman" w:cs="Times New Roman"/>
          <w:lang w:val="en-AU"/>
        </w:rPr>
        <w:t xml:space="preserve"> </w:t>
      </w:r>
      <w:r w:rsidR="0028595A">
        <w:rPr>
          <w:rFonts w:ascii="Times New Roman" w:hAnsi="Times New Roman" w:cs="Times New Roman"/>
          <w:lang w:val="en-AU"/>
        </w:rPr>
        <w:t>U</w:t>
      </w:r>
      <w:r w:rsidR="00EF1AB1">
        <w:rPr>
          <w:rFonts w:ascii="Times New Roman" w:hAnsi="Times New Roman" w:cs="Times New Roman"/>
          <w:lang w:val="en-AU"/>
        </w:rPr>
        <w:t>tili</w:t>
      </w:r>
      <w:r w:rsidR="0028595A">
        <w:rPr>
          <w:rFonts w:ascii="Times New Roman" w:hAnsi="Times New Roman" w:cs="Times New Roman"/>
          <w:lang w:val="en-AU"/>
        </w:rPr>
        <w:t xml:space="preserve">sing the </w:t>
      </w:r>
      <w:r w:rsidRPr="00D16E98">
        <w:rPr>
          <w:rFonts w:ascii="Times New Roman" w:hAnsi="Times New Roman" w:cs="Times New Roman"/>
          <w:lang w:val="en-AU"/>
        </w:rPr>
        <w:t>My Health</w:t>
      </w:r>
      <w:r w:rsidR="0028595A">
        <w:rPr>
          <w:rFonts w:ascii="Times New Roman" w:hAnsi="Times New Roman" w:cs="Times New Roman"/>
          <w:lang w:val="en-AU"/>
        </w:rPr>
        <w:t xml:space="preserve"> Record</w:t>
      </w:r>
      <w:r w:rsidRPr="00D16E98">
        <w:rPr>
          <w:rFonts w:ascii="Times New Roman" w:hAnsi="Times New Roman" w:cs="Times New Roman"/>
          <w:lang w:val="en-AU"/>
        </w:rPr>
        <w:t xml:space="preserve"> da</w:t>
      </w:r>
      <w:r w:rsidR="00EF1AB1">
        <w:rPr>
          <w:rFonts w:ascii="Times New Roman" w:hAnsi="Times New Roman" w:cs="Times New Roman"/>
          <w:lang w:val="en-AU"/>
        </w:rPr>
        <w:t xml:space="preserve">tabase as a repository for the uploading of these documents would provide </w:t>
      </w:r>
      <w:r w:rsidRPr="00D16E98">
        <w:rPr>
          <w:rFonts w:ascii="Times New Roman" w:hAnsi="Times New Roman" w:cs="Times New Roman"/>
          <w:lang w:val="en-AU"/>
        </w:rPr>
        <w:t>a national</w:t>
      </w:r>
      <w:r w:rsidR="0028595A">
        <w:rPr>
          <w:rFonts w:ascii="Times New Roman" w:hAnsi="Times New Roman" w:cs="Times New Roman"/>
          <w:lang w:val="en-AU"/>
        </w:rPr>
        <w:t xml:space="preserve"> and uniform</w:t>
      </w:r>
      <w:r w:rsidRPr="00D16E98">
        <w:rPr>
          <w:rFonts w:ascii="Times New Roman" w:hAnsi="Times New Roman" w:cs="Times New Roman"/>
          <w:lang w:val="en-AU"/>
        </w:rPr>
        <w:t xml:space="preserve"> mechanism</w:t>
      </w:r>
      <w:r w:rsidR="00EF1AB1">
        <w:rPr>
          <w:rFonts w:ascii="Times New Roman" w:hAnsi="Times New Roman" w:cs="Times New Roman"/>
          <w:lang w:val="en-AU"/>
        </w:rPr>
        <w:t xml:space="preserve"> for registration </w:t>
      </w:r>
      <w:r w:rsidR="005D5BAF">
        <w:rPr>
          <w:rFonts w:ascii="Times New Roman" w:hAnsi="Times New Roman" w:cs="Times New Roman"/>
          <w:lang w:val="en-AU"/>
        </w:rPr>
        <w:t xml:space="preserve">together with </w:t>
      </w:r>
      <w:r w:rsidR="008459D3">
        <w:rPr>
          <w:rFonts w:ascii="Times New Roman" w:hAnsi="Times New Roman" w:cs="Times New Roman"/>
          <w:lang w:val="en-AU"/>
        </w:rPr>
        <w:t>an ‘Advance Care P</w:t>
      </w:r>
      <w:r w:rsidR="00EB23DF">
        <w:rPr>
          <w:rFonts w:ascii="Times New Roman" w:hAnsi="Times New Roman" w:cs="Times New Roman"/>
          <w:lang w:val="en-AU"/>
        </w:rPr>
        <w:t xml:space="preserve">lanning Document’ </w:t>
      </w:r>
      <w:r w:rsidR="00EF1AB1">
        <w:rPr>
          <w:rFonts w:ascii="Times New Roman" w:hAnsi="Times New Roman" w:cs="Times New Roman"/>
          <w:lang w:val="en-AU"/>
        </w:rPr>
        <w:t>which</w:t>
      </w:r>
      <w:r w:rsidR="0028595A">
        <w:rPr>
          <w:rFonts w:ascii="Times New Roman" w:hAnsi="Times New Roman" w:cs="Times New Roman"/>
          <w:lang w:val="en-AU"/>
        </w:rPr>
        <w:t xml:space="preserve"> could be made available to </w:t>
      </w:r>
      <w:r w:rsidR="008459D3">
        <w:rPr>
          <w:rFonts w:ascii="Times New Roman" w:hAnsi="Times New Roman" w:cs="Times New Roman"/>
          <w:lang w:val="en-AU"/>
        </w:rPr>
        <w:t xml:space="preserve">approved healthcare providers in the My Health Record, </w:t>
      </w:r>
      <w:r w:rsidR="0028595A">
        <w:rPr>
          <w:rFonts w:ascii="Times New Roman" w:hAnsi="Times New Roman" w:cs="Times New Roman"/>
          <w:lang w:val="en-AU"/>
        </w:rPr>
        <w:t>at the individual’s discretion.</w:t>
      </w:r>
      <w:r w:rsidR="00B644C4">
        <w:rPr>
          <w:rFonts w:ascii="Times New Roman" w:hAnsi="Times New Roman" w:cs="Times New Roman"/>
          <w:lang w:val="en-AU"/>
        </w:rPr>
        <w:t xml:space="preserve">  Further, the distinction between advanced care directives</w:t>
      </w:r>
      <w:r w:rsidR="00CB49A7">
        <w:rPr>
          <w:rFonts w:ascii="Times New Roman" w:hAnsi="Times New Roman" w:cs="Times New Roman"/>
          <w:lang w:val="en-AU"/>
        </w:rPr>
        <w:t>, enduring guardianship appointments</w:t>
      </w:r>
      <w:r w:rsidR="00B644C4">
        <w:rPr>
          <w:rFonts w:ascii="Times New Roman" w:hAnsi="Times New Roman" w:cs="Times New Roman"/>
          <w:lang w:val="en-AU"/>
        </w:rPr>
        <w:t xml:space="preserve"> and</w:t>
      </w:r>
      <w:r w:rsidR="00CB49A7">
        <w:rPr>
          <w:rFonts w:ascii="Times New Roman" w:hAnsi="Times New Roman" w:cs="Times New Roman"/>
          <w:lang w:val="en-AU"/>
        </w:rPr>
        <w:t xml:space="preserve"> enduring financial documents are</w:t>
      </w:r>
      <w:r w:rsidR="00B644C4">
        <w:rPr>
          <w:rFonts w:ascii="Times New Roman" w:hAnsi="Times New Roman" w:cs="Times New Roman"/>
          <w:lang w:val="en-AU"/>
        </w:rPr>
        <w:t xml:space="preserve"> blurred in some jurisdictions.</w:t>
      </w:r>
      <w:r w:rsidR="0028595A">
        <w:rPr>
          <w:rFonts w:ascii="Times New Roman" w:hAnsi="Times New Roman" w:cs="Times New Roman"/>
          <w:lang w:val="en-AU"/>
        </w:rPr>
        <w:t xml:space="preserve">  </w:t>
      </w:r>
    </w:p>
    <w:p w:rsidR="002138D3" w:rsidRDefault="002138D3" w:rsidP="002138D3">
      <w:pPr>
        <w:spacing w:line="276" w:lineRule="auto"/>
        <w:rPr>
          <w:rFonts w:ascii="Times New Roman" w:hAnsi="Times New Roman" w:cs="Times New Roman"/>
          <w:lang w:val="en-AU"/>
        </w:rPr>
      </w:pPr>
    </w:p>
    <w:p w:rsidR="00690C4C" w:rsidRPr="008838B4" w:rsidRDefault="00621527" w:rsidP="002138D3">
      <w:p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en-AU"/>
        </w:rPr>
      </w:pPr>
      <w:r w:rsidRPr="008838B4">
        <w:rPr>
          <w:rFonts w:ascii="Times New Roman" w:hAnsi="Times New Roman" w:cs="Times New Roman"/>
          <w:i/>
          <w:sz w:val="26"/>
          <w:szCs w:val="26"/>
          <w:u w:val="single"/>
          <w:lang w:val="en-AU"/>
        </w:rPr>
        <w:t>Access</w:t>
      </w:r>
      <w:r w:rsidR="007C7CDF" w:rsidRPr="008838B4">
        <w:rPr>
          <w:rFonts w:ascii="Times New Roman" w:hAnsi="Times New Roman" w:cs="Times New Roman"/>
          <w:i/>
          <w:sz w:val="26"/>
          <w:szCs w:val="26"/>
          <w:u w:val="single"/>
          <w:lang w:val="en-AU"/>
        </w:rPr>
        <w:t>ibility</w:t>
      </w:r>
      <w:r w:rsidR="00EF494D" w:rsidRPr="008838B4">
        <w:rPr>
          <w:rFonts w:ascii="Times New Roman" w:hAnsi="Times New Roman" w:cs="Times New Roman"/>
          <w:i/>
          <w:sz w:val="26"/>
          <w:szCs w:val="26"/>
          <w:u w:val="single"/>
          <w:lang w:val="en-AU"/>
        </w:rPr>
        <w:t xml:space="preserve"> and Portability</w:t>
      </w:r>
    </w:p>
    <w:p w:rsidR="00A230FD" w:rsidRDefault="0039597F" w:rsidP="00C61C70">
      <w:pPr>
        <w:spacing w:line="276" w:lineRule="auto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Online registration </w:t>
      </w:r>
      <w:r w:rsidR="00EF1AB1">
        <w:rPr>
          <w:rFonts w:ascii="Times New Roman" w:hAnsi="Times New Roman" w:cs="Times New Roman"/>
          <w:lang w:val="en-AU"/>
        </w:rPr>
        <w:t xml:space="preserve">of enduring financial documents </w:t>
      </w:r>
      <w:r w:rsidR="008459D3">
        <w:rPr>
          <w:rFonts w:ascii="Times New Roman" w:hAnsi="Times New Roman" w:cs="Times New Roman"/>
          <w:lang w:val="en-AU"/>
        </w:rPr>
        <w:t xml:space="preserve">in the My Health Record through </w:t>
      </w:r>
      <w:r w:rsidR="00EB23DF">
        <w:rPr>
          <w:rFonts w:ascii="Times New Roman" w:hAnsi="Times New Roman" w:cs="Times New Roman"/>
          <w:lang w:val="en-AU"/>
        </w:rPr>
        <w:t>lodging</w:t>
      </w:r>
      <w:r w:rsidR="008459D3">
        <w:rPr>
          <w:rFonts w:ascii="Times New Roman" w:hAnsi="Times New Roman" w:cs="Times New Roman"/>
          <w:lang w:val="en-AU"/>
        </w:rPr>
        <w:t xml:space="preserve"> an Advance Care Planning Document - uploaded as a PDF - </w:t>
      </w:r>
      <w:r w:rsidR="003D0634">
        <w:rPr>
          <w:rFonts w:ascii="Times New Roman" w:hAnsi="Times New Roman" w:cs="Times New Roman"/>
          <w:lang w:val="en-AU"/>
        </w:rPr>
        <w:t xml:space="preserve">provides a secure and accessible </w:t>
      </w:r>
      <w:r w:rsidR="008459D3">
        <w:rPr>
          <w:rFonts w:ascii="Times New Roman" w:hAnsi="Times New Roman" w:cs="Times New Roman"/>
          <w:lang w:val="en-AU"/>
        </w:rPr>
        <w:t xml:space="preserve">online </w:t>
      </w:r>
      <w:r w:rsidR="007D5698">
        <w:rPr>
          <w:rFonts w:ascii="Times New Roman" w:hAnsi="Times New Roman" w:cs="Times New Roman"/>
          <w:lang w:val="en-AU"/>
        </w:rPr>
        <w:t>storage f</w:t>
      </w:r>
      <w:r w:rsidR="003D0634">
        <w:rPr>
          <w:rFonts w:ascii="Times New Roman" w:hAnsi="Times New Roman" w:cs="Times New Roman"/>
          <w:lang w:val="en-AU"/>
        </w:rPr>
        <w:t xml:space="preserve">or </w:t>
      </w:r>
      <w:r w:rsidR="007D5698">
        <w:rPr>
          <w:rFonts w:ascii="Times New Roman" w:hAnsi="Times New Roman" w:cs="Times New Roman"/>
          <w:lang w:val="en-AU"/>
        </w:rPr>
        <w:t>healthcare recipients.</w:t>
      </w:r>
      <w:r w:rsidR="003D0634">
        <w:rPr>
          <w:rFonts w:ascii="Times New Roman" w:hAnsi="Times New Roman" w:cs="Times New Roman"/>
          <w:lang w:val="en-AU"/>
        </w:rPr>
        <w:t xml:space="preserve"> </w:t>
      </w:r>
      <w:r w:rsidR="007D5698">
        <w:rPr>
          <w:rFonts w:ascii="Times New Roman" w:hAnsi="Times New Roman" w:cs="Times New Roman"/>
          <w:lang w:val="en-AU"/>
        </w:rPr>
        <w:t xml:space="preserve"> </w:t>
      </w:r>
      <w:r w:rsidR="003D0634">
        <w:rPr>
          <w:rFonts w:ascii="Times New Roman" w:hAnsi="Times New Roman" w:cs="Times New Roman"/>
          <w:lang w:val="en-AU"/>
        </w:rPr>
        <w:t>Should such documents be mispl</w:t>
      </w:r>
      <w:r w:rsidR="00666CF1">
        <w:rPr>
          <w:rFonts w:ascii="Times New Roman" w:hAnsi="Times New Roman" w:cs="Times New Roman"/>
          <w:lang w:val="en-AU"/>
        </w:rPr>
        <w:t>aced</w:t>
      </w:r>
      <w:r w:rsidR="008459D3">
        <w:rPr>
          <w:rFonts w:ascii="Times New Roman" w:hAnsi="Times New Roman" w:cs="Times New Roman"/>
          <w:lang w:val="en-AU"/>
        </w:rPr>
        <w:t>,</w:t>
      </w:r>
      <w:r w:rsidR="00666CF1">
        <w:rPr>
          <w:rFonts w:ascii="Times New Roman" w:hAnsi="Times New Roman" w:cs="Times New Roman"/>
          <w:lang w:val="en-AU"/>
        </w:rPr>
        <w:t xml:space="preserve"> an uploaded document </w:t>
      </w:r>
      <w:r w:rsidR="003D0634">
        <w:rPr>
          <w:rFonts w:ascii="Times New Roman" w:hAnsi="Times New Roman" w:cs="Times New Roman"/>
          <w:lang w:val="en-AU"/>
        </w:rPr>
        <w:t>provide</w:t>
      </w:r>
      <w:r w:rsidR="00666CF1">
        <w:rPr>
          <w:rFonts w:ascii="Times New Roman" w:hAnsi="Times New Roman" w:cs="Times New Roman"/>
          <w:lang w:val="en-AU"/>
        </w:rPr>
        <w:t>s</w:t>
      </w:r>
      <w:r w:rsidR="003D0634">
        <w:rPr>
          <w:rFonts w:ascii="Times New Roman" w:hAnsi="Times New Roman" w:cs="Times New Roman"/>
          <w:lang w:val="en-AU"/>
        </w:rPr>
        <w:t xml:space="preserve"> an available copy for a person to be able to access promptly.</w:t>
      </w:r>
      <w:r w:rsidR="008B23C9">
        <w:rPr>
          <w:rFonts w:ascii="Times New Roman" w:hAnsi="Times New Roman" w:cs="Times New Roman"/>
          <w:lang w:val="en-AU"/>
        </w:rPr>
        <w:t xml:space="preserve"> </w:t>
      </w:r>
      <w:r w:rsidR="00C61C70">
        <w:rPr>
          <w:rFonts w:ascii="Times New Roman" w:hAnsi="Times New Roman" w:cs="Times New Roman"/>
          <w:lang w:val="en-AU"/>
        </w:rPr>
        <w:t>B</w:t>
      </w:r>
      <w:r w:rsidR="00EF494D">
        <w:rPr>
          <w:rFonts w:ascii="Times New Roman" w:hAnsi="Times New Roman" w:cs="Times New Roman"/>
          <w:lang w:val="en-AU"/>
        </w:rPr>
        <w:t xml:space="preserve">y providing a digital ‘one stop shop’ for enduring documents and health care directives, these documents and the individual user’s wishes are easily </w:t>
      </w:r>
      <w:r w:rsidR="00C61C70">
        <w:rPr>
          <w:rFonts w:ascii="Times New Roman" w:hAnsi="Times New Roman" w:cs="Times New Roman"/>
          <w:lang w:val="en-AU"/>
        </w:rPr>
        <w:t>available</w:t>
      </w:r>
      <w:r w:rsidR="008459D3">
        <w:rPr>
          <w:rFonts w:ascii="Times New Roman" w:hAnsi="Times New Roman" w:cs="Times New Roman"/>
          <w:lang w:val="en-AU"/>
        </w:rPr>
        <w:t xml:space="preserve"> in one PDF that can be uploaded to My Health Record</w:t>
      </w:r>
      <w:r w:rsidR="00C61C70">
        <w:rPr>
          <w:rFonts w:ascii="Times New Roman" w:hAnsi="Times New Roman" w:cs="Times New Roman"/>
          <w:lang w:val="en-AU"/>
        </w:rPr>
        <w:t>.</w:t>
      </w:r>
    </w:p>
    <w:p w:rsidR="00C61C70" w:rsidRDefault="00C61C70" w:rsidP="00C61C70">
      <w:pPr>
        <w:spacing w:line="276" w:lineRule="auto"/>
        <w:jc w:val="both"/>
        <w:rPr>
          <w:rFonts w:ascii="Times New Roman" w:hAnsi="Times New Roman" w:cs="Times New Roman"/>
          <w:lang w:val="en-AU"/>
        </w:rPr>
      </w:pPr>
    </w:p>
    <w:p w:rsidR="00A230FD" w:rsidRPr="008838B4" w:rsidRDefault="00A230FD" w:rsidP="002138D3">
      <w:pPr>
        <w:spacing w:line="276" w:lineRule="auto"/>
        <w:rPr>
          <w:rFonts w:ascii="Times New Roman" w:hAnsi="Times New Roman" w:cs="Times New Roman"/>
          <w:i/>
          <w:sz w:val="26"/>
          <w:szCs w:val="26"/>
          <w:u w:val="single"/>
          <w:lang w:val="en-AU"/>
        </w:rPr>
      </w:pPr>
      <w:r w:rsidRPr="008838B4">
        <w:rPr>
          <w:rFonts w:ascii="Times New Roman" w:hAnsi="Times New Roman" w:cs="Times New Roman"/>
          <w:i/>
          <w:sz w:val="26"/>
          <w:szCs w:val="26"/>
          <w:u w:val="single"/>
          <w:lang w:val="en-AU"/>
        </w:rPr>
        <w:t>Cost</w:t>
      </w:r>
    </w:p>
    <w:p w:rsidR="007C7CDF" w:rsidRDefault="00A230FD" w:rsidP="002138D3">
      <w:pPr>
        <w:spacing w:line="276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The ALRC Discussion Paper on Elder Abuse identifie</w:t>
      </w:r>
      <w:r w:rsidR="008459D3">
        <w:rPr>
          <w:rFonts w:ascii="Times New Roman" w:hAnsi="Times New Roman" w:cs="Times New Roman"/>
          <w:lang w:val="en-AU"/>
        </w:rPr>
        <w:t>d</w:t>
      </w:r>
      <w:r>
        <w:rPr>
          <w:rFonts w:ascii="Times New Roman" w:hAnsi="Times New Roman" w:cs="Times New Roman"/>
          <w:lang w:val="en-AU"/>
        </w:rPr>
        <w:t xml:space="preserve"> cost as an important issue in the implementation and adoption of an online register for enduring documents.</w:t>
      </w:r>
      <w:r>
        <w:rPr>
          <w:rStyle w:val="FootnoteReference"/>
          <w:rFonts w:ascii="Times New Roman" w:hAnsi="Times New Roman" w:cs="Times New Roman"/>
          <w:lang w:val="en-AU"/>
        </w:rPr>
        <w:footnoteReference w:id="10"/>
      </w:r>
      <w:r>
        <w:rPr>
          <w:rFonts w:ascii="Times New Roman" w:hAnsi="Times New Roman" w:cs="Times New Roman"/>
          <w:lang w:val="en-AU"/>
        </w:rPr>
        <w:t xml:space="preserve"> </w:t>
      </w:r>
      <w:r w:rsidR="00C61C70"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  <w:lang w:val="en-AU"/>
        </w:rPr>
        <w:t>The ALRC also stated that the register should be user-friendly and low cost.</w:t>
      </w:r>
      <w:r>
        <w:rPr>
          <w:rStyle w:val="FootnoteReference"/>
          <w:rFonts w:ascii="Times New Roman" w:hAnsi="Times New Roman" w:cs="Times New Roman"/>
          <w:lang w:val="en-AU"/>
        </w:rPr>
        <w:footnoteReference w:id="11"/>
      </w:r>
      <w:r w:rsidR="00C61C70">
        <w:rPr>
          <w:rFonts w:ascii="Times New Roman" w:hAnsi="Times New Roman" w:cs="Times New Roman"/>
          <w:lang w:val="en-AU"/>
        </w:rPr>
        <w:t xml:space="preserve">  Th</w:t>
      </w:r>
      <w:r w:rsidR="000915BD">
        <w:rPr>
          <w:rFonts w:ascii="Times New Roman" w:hAnsi="Times New Roman" w:cs="Times New Roman"/>
          <w:lang w:val="en-AU"/>
        </w:rPr>
        <w:t xml:space="preserve">e My Health Record is an existing national online </w:t>
      </w:r>
      <w:r w:rsidR="008459D3">
        <w:rPr>
          <w:rFonts w:ascii="Times New Roman" w:hAnsi="Times New Roman" w:cs="Times New Roman"/>
          <w:lang w:val="en-AU"/>
        </w:rPr>
        <w:t xml:space="preserve">repository </w:t>
      </w:r>
      <w:r w:rsidR="000915BD">
        <w:rPr>
          <w:rFonts w:ascii="Times New Roman" w:hAnsi="Times New Roman" w:cs="Times New Roman"/>
          <w:lang w:val="en-AU"/>
        </w:rPr>
        <w:t xml:space="preserve">that is already in use by </w:t>
      </w:r>
      <w:r w:rsidR="008459D3">
        <w:rPr>
          <w:rFonts w:ascii="Times New Roman" w:hAnsi="Times New Roman" w:cs="Times New Roman"/>
          <w:lang w:val="en-AU"/>
        </w:rPr>
        <w:t>more than 4.</w:t>
      </w:r>
      <w:r w:rsidR="001052A2">
        <w:rPr>
          <w:rFonts w:ascii="Times New Roman" w:hAnsi="Times New Roman" w:cs="Times New Roman"/>
          <w:lang w:val="en-AU"/>
        </w:rPr>
        <w:t>6</w:t>
      </w:r>
      <w:r w:rsidR="008459D3">
        <w:rPr>
          <w:rFonts w:ascii="Times New Roman" w:hAnsi="Times New Roman" w:cs="Times New Roman"/>
          <w:lang w:val="en-AU"/>
        </w:rPr>
        <w:t xml:space="preserve"> million </w:t>
      </w:r>
      <w:r w:rsidR="000915BD">
        <w:rPr>
          <w:rFonts w:ascii="Times New Roman" w:hAnsi="Times New Roman" w:cs="Times New Roman"/>
          <w:lang w:val="en-AU"/>
        </w:rPr>
        <w:t>Australian</w:t>
      </w:r>
      <w:r w:rsidR="008459D3">
        <w:rPr>
          <w:rFonts w:ascii="Times New Roman" w:hAnsi="Times New Roman" w:cs="Times New Roman"/>
          <w:lang w:val="en-AU"/>
        </w:rPr>
        <w:t>s.</w:t>
      </w:r>
      <w:r w:rsidR="001052A2">
        <w:rPr>
          <w:rStyle w:val="FootnoteReference"/>
          <w:rFonts w:ascii="Times New Roman" w:hAnsi="Times New Roman" w:cs="Times New Roman"/>
          <w:lang w:val="en-AU"/>
        </w:rPr>
        <w:footnoteReference w:id="12"/>
      </w:r>
      <w:r w:rsidR="000915BD">
        <w:rPr>
          <w:rFonts w:ascii="Times New Roman" w:hAnsi="Times New Roman" w:cs="Times New Roman"/>
          <w:lang w:val="en-AU"/>
        </w:rPr>
        <w:t xml:space="preserve"> </w:t>
      </w:r>
      <w:r w:rsidR="00771FF6">
        <w:rPr>
          <w:rFonts w:ascii="Times New Roman" w:hAnsi="Times New Roman" w:cs="Times New Roman"/>
          <w:lang w:val="en-AU"/>
        </w:rPr>
        <w:t>Establishing another national online register specifically for enduring documents would be an unnecessary and costly exercise given there i</w:t>
      </w:r>
      <w:r w:rsidR="00C61C70">
        <w:rPr>
          <w:rFonts w:ascii="Times New Roman" w:hAnsi="Times New Roman" w:cs="Times New Roman"/>
          <w:lang w:val="en-AU"/>
        </w:rPr>
        <w:t xml:space="preserve">s an existing </w:t>
      </w:r>
      <w:r w:rsidR="008459D3">
        <w:rPr>
          <w:rFonts w:ascii="Times New Roman" w:hAnsi="Times New Roman" w:cs="Times New Roman"/>
          <w:lang w:val="en-AU"/>
        </w:rPr>
        <w:t>means that would encourage upload, storage, and viewing by appropriate healthcare providers</w:t>
      </w:r>
      <w:r w:rsidR="00C61C70">
        <w:rPr>
          <w:rFonts w:ascii="Times New Roman" w:hAnsi="Times New Roman" w:cs="Times New Roman"/>
          <w:lang w:val="en-AU"/>
        </w:rPr>
        <w:t xml:space="preserve">.  The My Health record has taken time to become known by Australians and a new register would likely experience similar </w:t>
      </w:r>
      <w:r w:rsidR="00CB49A7">
        <w:rPr>
          <w:rFonts w:ascii="Times New Roman" w:hAnsi="Times New Roman" w:cs="Times New Roman"/>
          <w:lang w:val="en-AU"/>
        </w:rPr>
        <w:t xml:space="preserve">(or greater) </w:t>
      </w:r>
      <w:r w:rsidR="00C61C70">
        <w:rPr>
          <w:rFonts w:ascii="Times New Roman" w:hAnsi="Times New Roman" w:cs="Times New Roman"/>
          <w:lang w:val="en-AU"/>
        </w:rPr>
        <w:t>barriers</w:t>
      </w:r>
      <w:r w:rsidR="00666CF1">
        <w:rPr>
          <w:rFonts w:ascii="Times New Roman" w:hAnsi="Times New Roman" w:cs="Times New Roman"/>
          <w:lang w:val="en-AU"/>
        </w:rPr>
        <w:t xml:space="preserve"> and delays</w:t>
      </w:r>
      <w:r w:rsidR="00C61C70">
        <w:rPr>
          <w:rFonts w:ascii="Times New Roman" w:hAnsi="Times New Roman" w:cs="Times New Roman"/>
          <w:lang w:val="en-AU"/>
        </w:rPr>
        <w:t xml:space="preserve">.  A </w:t>
      </w:r>
      <w:r w:rsidR="00771FF6">
        <w:rPr>
          <w:rFonts w:ascii="Times New Roman" w:hAnsi="Times New Roman" w:cs="Times New Roman"/>
          <w:lang w:val="en-AU"/>
        </w:rPr>
        <w:t xml:space="preserve">new register </w:t>
      </w:r>
      <w:r w:rsidR="00C61C70">
        <w:rPr>
          <w:rFonts w:ascii="Times New Roman" w:hAnsi="Times New Roman" w:cs="Times New Roman"/>
          <w:lang w:val="en-AU"/>
        </w:rPr>
        <w:t xml:space="preserve">for enduring financial documents would </w:t>
      </w:r>
      <w:r w:rsidR="00666CF1">
        <w:rPr>
          <w:rFonts w:ascii="Times New Roman" w:hAnsi="Times New Roman" w:cs="Times New Roman"/>
          <w:lang w:val="en-AU"/>
        </w:rPr>
        <w:t xml:space="preserve">likely involve </w:t>
      </w:r>
      <w:r w:rsidR="00661091">
        <w:rPr>
          <w:rFonts w:ascii="Times New Roman" w:hAnsi="Times New Roman" w:cs="Times New Roman"/>
          <w:lang w:val="en-AU"/>
        </w:rPr>
        <w:t xml:space="preserve">greater resistance </w:t>
      </w:r>
      <w:r w:rsidR="00771FF6">
        <w:rPr>
          <w:rFonts w:ascii="Times New Roman" w:hAnsi="Times New Roman" w:cs="Times New Roman"/>
          <w:lang w:val="en-AU"/>
        </w:rPr>
        <w:t xml:space="preserve">in </w:t>
      </w:r>
      <w:r w:rsidR="00C61C70">
        <w:rPr>
          <w:rFonts w:ascii="Times New Roman" w:hAnsi="Times New Roman" w:cs="Times New Roman"/>
          <w:lang w:val="en-AU"/>
        </w:rPr>
        <w:t xml:space="preserve">securing </w:t>
      </w:r>
      <w:r w:rsidR="00771FF6">
        <w:rPr>
          <w:rFonts w:ascii="Times New Roman" w:hAnsi="Times New Roman" w:cs="Times New Roman"/>
          <w:lang w:val="en-AU"/>
        </w:rPr>
        <w:t xml:space="preserve">users </w:t>
      </w:r>
      <w:r w:rsidR="00C61C70">
        <w:rPr>
          <w:rFonts w:ascii="Times New Roman" w:hAnsi="Times New Roman" w:cs="Times New Roman"/>
          <w:lang w:val="en-AU"/>
        </w:rPr>
        <w:t>than the My Health Record</w:t>
      </w:r>
      <w:r w:rsidR="00661091">
        <w:rPr>
          <w:rFonts w:ascii="Times New Roman" w:hAnsi="Times New Roman" w:cs="Times New Roman"/>
          <w:lang w:val="en-AU"/>
        </w:rPr>
        <w:t xml:space="preserve"> given its specific focus and expense in </w:t>
      </w:r>
      <w:r w:rsidR="008459D3">
        <w:rPr>
          <w:rFonts w:ascii="Times New Roman" w:hAnsi="Times New Roman" w:cs="Times New Roman"/>
          <w:lang w:val="en-AU"/>
        </w:rPr>
        <w:t>promotion, training, and awareness-raising activities</w:t>
      </w:r>
      <w:r w:rsidR="00C61C70">
        <w:rPr>
          <w:rFonts w:ascii="Times New Roman" w:hAnsi="Times New Roman" w:cs="Times New Roman"/>
          <w:lang w:val="en-AU"/>
        </w:rPr>
        <w:t xml:space="preserve">.  The </w:t>
      </w:r>
      <w:r w:rsidR="00F76F8D">
        <w:rPr>
          <w:rFonts w:ascii="Times New Roman" w:hAnsi="Times New Roman" w:cs="Times New Roman"/>
          <w:lang w:val="en-AU"/>
        </w:rPr>
        <w:t xml:space="preserve">My Health Record </w:t>
      </w:r>
      <w:r w:rsidR="00661091">
        <w:rPr>
          <w:rFonts w:ascii="Times New Roman" w:hAnsi="Times New Roman" w:cs="Times New Roman"/>
          <w:lang w:val="en-AU"/>
        </w:rPr>
        <w:t>is free to consu</w:t>
      </w:r>
      <w:r w:rsidR="00C61C70">
        <w:rPr>
          <w:rFonts w:ascii="Times New Roman" w:hAnsi="Times New Roman" w:cs="Times New Roman"/>
          <w:lang w:val="en-AU"/>
        </w:rPr>
        <w:t>mers with inbuilt safety and privacy guidelines.</w:t>
      </w:r>
      <w:r w:rsidR="00F76F8D">
        <w:rPr>
          <w:rStyle w:val="FootnoteReference"/>
          <w:rFonts w:ascii="Times New Roman" w:hAnsi="Times New Roman" w:cs="Times New Roman"/>
          <w:lang w:val="en-AU"/>
        </w:rPr>
        <w:footnoteReference w:id="13"/>
      </w:r>
      <w:r w:rsidR="00F76F8D">
        <w:rPr>
          <w:rFonts w:ascii="Times New Roman" w:hAnsi="Times New Roman" w:cs="Times New Roman"/>
          <w:lang w:val="en-AU"/>
        </w:rPr>
        <w:t xml:space="preserve"> </w:t>
      </w:r>
      <w:r w:rsidR="00C61C70">
        <w:rPr>
          <w:rFonts w:ascii="Times New Roman" w:hAnsi="Times New Roman" w:cs="Times New Roman"/>
          <w:lang w:val="en-AU"/>
        </w:rPr>
        <w:t xml:space="preserve"> Financial enduring documents can be integrated with </w:t>
      </w:r>
      <w:r w:rsidR="00F76F8D">
        <w:rPr>
          <w:rFonts w:ascii="Times New Roman" w:hAnsi="Times New Roman" w:cs="Times New Roman"/>
          <w:lang w:val="en-AU"/>
        </w:rPr>
        <w:t>advanced care directives</w:t>
      </w:r>
      <w:r w:rsidR="008459D3">
        <w:rPr>
          <w:rFonts w:ascii="Times New Roman" w:hAnsi="Times New Roman" w:cs="Times New Roman"/>
          <w:lang w:val="en-AU"/>
        </w:rPr>
        <w:t xml:space="preserve">, and stored alongside pertinent summary health information in the Record, </w:t>
      </w:r>
      <w:r w:rsidR="00B644C4">
        <w:rPr>
          <w:rFonts w:ascii="Times New Roman" w:hAnsi="Times New Roman" w:cs="Times New Roman"/>
          <w:lang w:val="en-AU"/>
        </w:rPr>
        <w:t>to prov</w:t>
      </w:r>
      <w:r w:rsidR="00CB49A7">
        <w:rPr>
          <w:rFonts w:ascii="Times New Roman" w:hAnsi="Times New Roman" w:cs="Times New Roman"/>
          <w:lang w:val="en-AU"/>
        </w:rPr>
        <w:t xml:space="preserve">ide one </w:t>
      </w:r>
      <w:r w:rsidR="008459D3">
        <w:rPr>
          <w:rFonts w:ascii="Times New Roman" w:hAnsi="Times New Roman" w:cs="Times New Roman"/>
          <w:lang w:val="en-AU"/>
        </w:rPr>
        <w:lastRenderedPageBreak/>
        <w:t xml:space="preserve">online repository </w:t>
      </w:r>
      <w:r w:rsidR="00CB49A7">
        <w:rPr>
          <w:rFonts w:ascii="Times New Roman" w:hAnsi="Times New Roman" w:cs="Times New Roman"/>
          <w:lang w:val="en-AU"/>
        </w:rPr>
        <w:t>for</w:t>
      </w:r>
      <w:r w:rsidR="00B644C4">
        <w:rPr>
          <w:rFonts w:ascii="Times New Roman" w:hAnsi="Times New Roman" w:cs="Times New Roman"/>
          <w:lang w:val="en-AU"/>
        </w:rPr>
        <w:t xml:space="preserve"> a person’s most important legal documents</w:t>
      </w:r>
      <w:r w:rsidR="008459D3">
        <w:rPr>
          <w:rFonts w:ascii="Times New Roman" w:hAnsi="Times New Roman" w:cs="Times New Roman"/>
          <w:lang w:val="en-AU"/>
        </w:rPr>
        <w:t xml:space="preserve"> in preparation for future financial and healthcare needs.</w:t>
      </w:r>
      <w:bookmarkStart w:id="0" w:name="_GoBack"/>
      <w:bookmarkEnd w:id="0"/>
    </w:p>
    <w:p w:rsidR="007C7CDF" w:rsidRPr="008838B4" w:rsidRDefault="007C7CDF" w:rsidP="002138D3">
      <w:pPr>
        <w:spacing w:line="276" w:lineRule="auto"/>
        <w:rPr>
          <w:rFonts w:ascii="Times New Roman" w:hAnsi="Times New Roman" w:cs="Times New Roman"/>
          <w:i/>
          <w:sz w:val="26"/>
          <w:szCs w:val="26"/>
          <w:u w:val="single"/>
          <w:lang w:val="en-AU"/>
        </w:rPr>
      </w:pPr>
      <w:r w:rsidRPr="008838B4">
        <w:rPr>
          <w:rFonts w:ascii="Times New Roman" w:hAnsi="Times New Roman" w:cs="Times New Roman"/>
          <w:i/>
          <w:sz w:val="26"/>
          <w:szCs w:val="26"/>
          <w:u w:val="single"/>
          <w:lang w:val="en-AU"/>
        </w:rPr>
        <w:t>Conclusion</w:t>
      </w:r>
    </w:p>
    <w:p w:rsidR="007C7CDF" w:rsidRDefault="00132229" w:rsidP="002138D3">
      <w:pPr>
        <w:spacing w:line="276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This submission proposes that the My Health Record online database be implemented as the online register for enduring documents in response to Proposal 5-1</w:t>
      </w:r>
      <w:r w:rsidR="00435D62">
        <w:rPr>
          <w:rFonts w:ascii="Times New Roman" w:hAnsi="Times New Roman" w:cs="Times New Roman"/>
          <w:lang w:val="en-AU"/>
        </w:rPr>
        <w:t xml:space="preserve"> with the benefits of</w:t>
      </w:r>
      <w:r>
        <w:rPr>
          <w:rFonts w:ascii="Times New Roman" w:hAnsi="Times New Roman" w:cs="Times New Roman"/>
          <w:lang w:val="en-AU"/>
        </w:rPr>
        <w:t xml:space="preserve"> accessibi</w:t>
      </w:r>
      <w:r w:rsidR="00CB49A7">
        <w:rPr>
          <w:rFonts w:ascii="Times New Roman" w:hAnsi="Times New Roman" w:cs="Times New Roman"/>
          <w:lang w:val="en-AU"/>
        </w:rPr>
        <w:t>lity and portability</w:t>
      </w:r>
      <w:r>
        <w:rPr>
          <w:rFonts w:ascii="Times New Roman" w:hAnsi="Times New Roman" w:cs="Times New Roman"/>
          <w:lang w:val="en-AU"/>
        </w:rPr>
        <w:t xml:space="preserve"> as well as the significant cost benefits.</w:t>
      </w:r>
    </w:p>
    <w:p w:rsidR="00A02063" w:rsidRDefault="00A02063" w:rsidP="002138D3">
      <w:pPr>
        <w:spacing w:line="276" w:lineRule="auto"/>
        <w:rPr>
          <w:rFonts w:ascii="Times New Roman" w:hAnsi="Times New Roman" w:cs="Times New Roman"/>
          <w:lang w:val="en-AU"/>
        </w:rPr>
      </w:pPr>
    </w:p>
    <w:p w:rsidR="00A02063" w:rsidRPr="00A02063" w:rsidRDefault="00A02063" w:rsidP="002138D3">
      <w:pPr>
        <w:spacing w:line="276" w:lineRule="auto"/>
        <w:rPr>
          <w:rFonts w:ascii="Times New Roman" w:hAnsi="Times New Roman" w:cs="Times New Roman"/>
          <w:i/>
          <w:sz w:val="26"/>
          <w:szCs w:val="26"/>
          <w:u w:val="single"/>
          <w:lang w:val="en-AU"/>
        </w:rPr>
      </w:pPr>
      <w:r w:rsidRPr="00A02063">
        <w:rPr>
          <w:rFonts w:ascii="Times New Roman" w:hAnsi="Times New Roman" w:cs="Times New Roman"/>
          <w:i/>
          <w:sz w:val="26"/>
          <w:szCs w:val="26"/>
          <w:u w:val="single"/>
          <w:lang w:val="en-AU"/>
        </w:rPr>
        <w:t>Contributing Authors</w:t>
      </w:r>
    </w:p>
    <w:p w:rsidR="00A430DF" w:rsidRDefault="00A02063" w:rsidP="002138D3">
      <w:pPr>
        <w:spacing w:line="276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Shaun McCarthy, Director, University of Newcastle Legal Centre</w:t>
      </w:r>
    </w:p>
    <w:p w:rsidR="00244C25" w:rsidRDefault="00244C25" w:rsidP="002138D3">
      <w:pPr>
        <w:spacing w:line="276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Bronwyn </w:t>
      </w:r>
      <w:proofErr w:type="spellStart"/>
      <w:r>
        <w:rPr>
          <w:rFonts w:ascii="Times New Roman" w:hAnsi="Times New Roman" w:cs="Times New Roman"/>
          <w:lang w:val="en-AU"/>
        </w:rPr>
        <w:t>Hemsley</w:t>
      </w:r>
      <w:proofErr w:type="spellEnd"/>
      <w:r>
        <w:rPr>
          <w:rFonts w:ascii="Times New Roman" w:hAnsi="Times New Roman" w:cs="Times New Roman"/>
          <w:lang w:val="en-AU"/>
        </w:rPr>
        <w:t xml:space="preserve">, </w:t>
      </w:r>
      <w:r w:rsidR="006A561A">
        <w:rPr>
          <w:rFonts w:ascii="Times New Roman" w:hAnsi="Times New Roman" w:cs="Times New Roman"/>
          <w:lang w:val="en-AU"/>
        </w:rPr>
        <w:t xml:space="preserve">Associate Professor of </w:t>
      </w:r>
      <w:r>
        <w:rPr>
          <w:rFonts w:ascii="Times New Roman" w:hAnsi="Times New Roman" w:cs="Times New Roman"/>
          <w:lang w:val="en-AU"/>
        </w:rPr>
        <w:t>Speech Patholog</w:t>
      </w:r>
      <w:r w:rsidR="006A561A">
        <w:rPr>
          <w:rFonts w:ascii="Times New Roman" w:hAnsi="Times New Roman" w:cs="Times New Roman"/>
          <w:lang w:val="en-AU"/>
        </w:rPr>
        <w:t>y</w:t>
      </w:r>
      <w:r>
        <w:rPr>
          <w:rFonts w:ascii="Times New Roman" w:hAnsi="Times New Roman" w:cs="Times New Roman"/>
          <w:lang w:val="en-AU"/>
        </w:rPr>
        <w:t xml:space="preserve">, </w:t>
      </w:r>
      <w:proofErr w:type="gramStart"/>
      <w:r>
        <w:rPr>
          <w:rFonts w:ascii="Times New Roman" w:hAnsi="Times New Roman" w:cs="Times New Roman"/>
          <w:lang w:val="en-AU"/>
        </w:rPr>
        <w:t>The</w:t>
      </w:r>
      <w:proofErr w:type="gramEnd"/>
      <w:r>
        <w:rPr>
          <w:rFonts w:ascii="Times New Roman" w:hAnsi="Times New Roman" w:cs="Times New Roman"/>
          <w:lang w:val="en-AU"/>
        </w:rPr>
        <w:t xml:space="preserve"> University of Newcastle</w:t>
      </w:r>
    </w:p>
    <w:p w:rsidR="00244C25" w:rsidRDefault="00244C25" w:rsidP="002138D3">
      <w:pPr>
        <w:spacing w:line="276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Jacqueline Meredith, Research Associate, </w:t>
      </w:r>
      <w:proofErr w:type="gramStart"/>
      <w:r>
        <w:rPr>
          <w:rFonts w:ascii="Times New Roman" w:hAnsi="Times New Roman" w:cs="Times New Roman"/>
          <w:lang w:val="en-AU"/>
        </w:rPr>
        <w:t>The</w:t>
      </w:r>
      <w:proofErr w:type="gramEnd"/>
      <w:r>
        <w:rPr>
          <w:rFonts w:ascii="Times New Roman" w:hAnsi="Times New Roman" w:cs="Times New Roman"/>
          <w:lang w:val="en-AU"/>
        </w:rPr>
        <w:t xml:space="preserve"> University of Newcastle</w:t>
      </w:r>
    </w:p>
    <w:p w:rsidR="007C7CDF" w:rsidRDefault="00435D62" w:rsidP="00A02063">
      <w:pPr>
        <w:spacing w:line="276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Student clerks</w:t>
      </w:r>
      <w:r w:rsidR="00A02063">
        <w:rPr>
          <w:rFonts w:ascii="Times New Roman" w:hAnsi="Times New Roman" w:cs="Times New Roman"/>
          <w:lang w:val="en-AU"/>
        </w:rPr>
        <w:t xml:space="preserve">: Jessica </w:t>
      </w:r>
      <w:proofErr w:type="spellStart"/>
      <w:r w:rsidR="00A02063">
        <w:rPr>
          <w:rFonts w:ascii="Times New Roman" w:hAnsi="Times New Roman" w:cs="Times New Roman"/>
          <w:lang w:val="en-AU"/>
        </w:rPr>
        <w:t>Lighton</w:t>
      </w:r>
      <w:proofErr w:type="spellEnd"/>
      <w:r w:rsidR="00A02063">
        <w:rPr>
          <w:rFonts w:ascii="Times New Roman" w:hAnsi="Times New Roman" w:cs="Times New Roman"/>
          <w:lang w:val="en-AU"/>
        </w:rPr>
        <w:t>, Arthur Lloyd</w:t>
      </w:r>
      <w:r w:rsidR="00775262">
        <w:rPr>
          <w:rFonts w:ascii="Times New Roman" w:hAnsi="Times New Roman" w:cs="Times New Roman"/>
          <w:lang w:val="en-AU"/>
        </w:rPr>
        <w:t>, Tim Stanfield</w:t>
      </w:r>
      <w:r w:rsidR="00A430DF">
        <w:rPr>
          <w:rFonts w:ascii="Times New Roman" w:hAnsi="Times New Roman" w:cs="Times New Roman"/>
          <w:lang w:val="en-AU"/>
        </w:rPr>
        <w:t xml:space="preserve">, Toby </w:t>
      </w:r>
      <w:proofErr w:type="spellStart"/>
      <w:r w:rsidR="00A430DF">
        <w:rPr>
          <w:rFonts w:ascii="Times New Roman" w:hAnsi="Times New Roman" w:cs="Times New Roman"/>
          <w:lang w:val="en-AU"/>
        </w:rPr>
        <w:t>Unicomb</w:t>
      </w:r>
      <w:proofErr w:type="spellEnd"/>
      <w:r w:rsidR="00A430DF">
        <w:rPr>
          <w:rFonts w:ascii="Times New Roman" w:hAnsi="Times New Roman" w:cs="Times New Roman"/>
          <w:lang w:val="en-AU"/>
        </w:rPr>
        <w:t xml:space="preserve">, Ellen Anderson, Maclean Greedy, Brooke Blatchford, </w:t>
      </w:r>
      <w:r w:rsidR="00244C25">
        <w:rPr>
          <w:rFonts w:ascii="Times New Roman" w:hAnsi="Times New Roman" w:cs="Times New Roman"/>
          <w:lang w:val="en-AU"/>
        </w:rPr>
        <w:t xml:space="preserve">and </w:t>
      </w:r>
      <w:r w:rsidR="00A430DF">
        <w:rPr>
          <w:rFonts w:ascii="Times New Roman" w:hAnsi="Times New Roman" w:cs="Times New Roman"/>
          <w:lang w:val="en-AU"/>
        </w:rPr>
        <w:t>Holly Lawson</w:t>
      </w:r>
      <w:r w:rsidR="00244C25">
        <w:rPr>
          <w:rFonts w:ascii="Times New Roman" w:hAnsi="Times New Roman" w:cs="Times New Roman"/>
          <w:lang w:val="en-AU"/>
        </w:rPr>
        <w:t>.</w:t>
      </w:r>
    </w:p>
    <w:sectPr w:rsidR="007C7CDF" w:rsidSect="00247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B5F" w:rsidRDefault="00081B5F" w:rsidP="004A3A26">
      <w:r>
        <w:separator/>
      </w:r>
    </w:p>
  </w:endnote>
  <w:endnote w:type="continuationSeparator" w:id="0">
    <w:p w:rsidR="00081B5F" w:rsidRDefault="00081B5F" w:rsidP="004A3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38" w:rsidRDefault="003C5F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4646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459D3" w:rsidRPr="00A230FD" w:rsidRDefault="00B829F6">
        <w:pPr>
          <w:pStyle w:val="Footer"/>
          <w:jc w:val="right"/>
          <w:rPr>
            <w:rFonts w:ascii="Times New Roman" w:hAnsi="Times New Roman" w:cs="Times New Roman"/>
          </w:rPr>
        </w:pPr>
        <w:r w:rsidRPr="00A230FD">
          <w:rPr>
            <w:rFonts w:ascii="Times New Roman" w:hAnsi="Times New Roman" w:cs="Times New Roman"/>
          </w:rPr>
          <w:fldChar w:fldCharType="begin"/>
        </w:r>
        <w:r w:rsidR="008459D3" w:rsidRPr="00A230FD">
          <w:rPr>
            <w:rFonts w:ascii="Times New Roman" w:hAnsi="Times New Roman" w:cs="Times New Roman"/>
          </w:rPr>
          <w:instrText xml:space="preserve"> PAGE   \* MERGEFORMAT </w:instrText>
        </w:r>
        <w:r w:rsidRPr="00A230FD">
          <w:rPr>
            <w:rFonts w:ascii="Times New Roman" w:hAnsi="Times New Roman" w:cs="Times New Roman"/>
          </w:rPr>
          <w:fldChar w:fldCharType="separate"/>
        </w:r>
        <w:r w:rsidR="00646A6A">
          <w:rPr>
            <w:rFonts w:ascii="Times New Roman" w:hAnsi="Times New Roman" w:cs="Times New Roman"/>
            <w:noProof/>
          </w:rPr>
          <w:t>1</w:t>
        </w:r>
        <w:r w:rsidRPr="00A230F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459D3" w:rsidRDefault="008459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38" w:rsidRDefault="003C5F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B5F" w:rsidRDefault="00081B5F" w:rsidP="004A3A26">
      <w:r>
        <w:separator/>
      </w:r>
    </w:p>
  </w:footnote>
  <w:footnote w:type="continuationSeparator" w:id="0">
    <w:p w:rsidR="00081B5F" w:rsidRDefault="00081B5F" w:rsidP="004A3A26">
      <w:r>
        <w:continuationSeparator/>
      </w:r>
    </w:p>
  </w:footnote>
  <w:footnote w:id="1">
    <w:p w:rsidR="008459D3" w:rsidRPr="008838B4" w:rsidRDefault="008459D3">
      <w:pPr>
        <w:pStyle w:val="FootnoteText"/>
        <w:rPr>
          <w:rFonts w:ascii="Times New Roman" w:hAnsi="Times New Roman" w:cs="Times New Roman"/>
        </w:rPr>
      </w:pPr>
      <w:r w:rsidRPr="008838B4">
        <w:rPr>
          <w:rStyle w:val="FootnoteReference"/>
          <w:rFonts w:ascii="Times New Roman" w:hAnsi="Times New Roman" w:cs="Times New Roman"/>
          <w:sz w:val="20"/>
        </w:rPr>
        <w:footnoteRef/>
      </w:r>
      <w:r w:rsidRPr="008838B4">
        <w:rPr>
          <w:rFonts w:ascii="Times New Roman" w:hAnsi="Times New Roman" w:cs="Times New Roman"/>
          <w:sz w:val="20"/>
        </w:rPr>
        <w:t xml:space="preserve"> This submission is the work of the authors named at the conclusion of the document. It should not be taken as </w:t>
      </w:r>
      <w:r w:rsidR="00582C81">
        <w:rPr>
          <w:rFonts w:ascii="Times New Roman" w:hAnsi="Times New Roman" w:cs="Times New Roman"/>
          <w:sz w:val="20"/>
        </w:rPr>
        <w:br/>
        <w:t xml:space="preserve">   </w:t>
      </w:r>
      <w:r w:rsidRPr="008838B4">
        <w:rPr>
          <w:rFonts w:ascii="Times New Roman" w:hAnsi="Times New Roman" w:cs="Times New Roman"/>
          <w:sz w:val="20"/>
        </w:rPr>
        <w:t xml:space="preserve">the position of the University of Newcastle as a whole. Author for correspondence: </w:t>
      </w:r>
      <w:proofErr w:type="spellStart"/>
      <w:r>
        <w:rPr>
          <w:rFonts w:ascii="Times New Roman" w:hAnsi="Times New Roman" w:cs="Times New Roman"/>
          <w:sz w:val="20"/>
        </w:rPr>
        <w:t>Mr</w:t>
      </w:r>
      <w:proofErr w:type="spellEnd"/>
      <w:r>
        <w:rPr>
          <w:rFonts w:ascii="Times New Roman" w:hAnsi="Times New Roman" w:cs="Times New Roman"/>
          <w:sz w:val="20"/>
        </w:rPr>
        <w:t xml:space="preserve"> Shaun McCarthy, </w:t>
      </w:r>
      <w:r w:rsidR="00582C81">
        <w:rPr>
          <w:rFonts w:ascii="Times New Roman" w:hAnsi="Times New Roman" w:cs="Times New Roman"/>
          <w:sz w:val="20"/>
        </w:rPr>
        <w:br/>
        <w:t xml:space="preserve">   </w:t>
      </w:r>
      <w:hyperlink r:id="rId1" w:history="1">
        <w:r w:rsidRPr="00AE62AC">
          <w:rPr>
            <w:rStyle w:val="Hyperlink"/>
            <w:rFonts w:ascii="Times New Roman" w:hAnsi="Times New Roman" w:cs="Times New Roman"/>
            <w:sz w:val="20"/>
          </w:rPr>
          <w:t>shaun.mccarthy@newcastle.edu.au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</w:footnote>
  <w:footnote w:id="2">
    <w:p w:rsidR="008459D3" w:rsidRPr="00621527" w:rsidRDefault="008459D3" w:rsidP="008838B4">
      <w:pPr>
        <w:pStyle w:val="FootnoteText"/>
        <w:rPr>
          <w:rFonts w:ascii="Times New Roman" w:hAnsi="Times New Roman" w:cs="Times New Roman"/>
          <w:sz w:val="20"/>
          <w:lang w:val="en-AU"/>
        </w:rPr>
      </w:pPr>
      <w:r w:rsidRPr="00621527">
        <w:rPr>
          <w:rStyle w:val="FootnoteReference"/>
          <w:rFonts w:ascii="Times New Roman" w:hAnsi="Times New Roman" w:cs="Times New Roman"/>
          <w:sz w:val="20"/>
        </w:rPr>
        <w:footnoteRef/>
      </w:r>
      <w:r w:rsidRPr="00621527">
        <w:rPr>
          <w:rFonts w:ascii="Times New Roman" w:hAnsi="Times New Roman" w:cs="Times New Roman"/>
          <w:sz w:val="20"/>
        </w:rPr>
        <w:t xml:space="preserve"> </w:t>
      </w:r>
      <w:r w:rsidRPr="00621527">
        <w:rPr>
          <w:rFonts w:ascii="Times New Roman" w:hAnsi="Times New Roman" w:cs="Times New Roman"/>
          <w:sz w:val="20"/>
          <w:lang w:val="en-AU"/>
        </w:rPr>
        <w:t>House of Representatives Standing Committee on Legal and Constitutional Affairs, Parliament of</w:t>
      </w:r>
    </w:p>
    <w:p w:rsidR="006D5055" w:rsidRPr="006D5055" w:rsidRDefault="00E351C4" w:rsidP="008838B4">
      <w:pPr>
        <w:pStyle w:val="FootnoteText"/>
        <w:rPr>
          <w:rFonts w:ascii="Times New Roman" w:hAnsi="Times New Roman" w:cs="Times New Roman"/>
          <w:iCs/>
          <w:sz w:val="20"/>
          <w:lang w:val="en-AU"/>
        </w:rPr>
      </w:pPr>
      <w:r>
        <w:rPr>
          <w:rFonts w:ascii="Times New Roman" w:hAnsi="Times New Roman" w:cs="Times New Roman"/>
          <w:sz w:val="20"/>
          <w:lang w:val="en-AU"/>
        </w:rPr>
        <w:t xml:space="preserve">  </w:t>
      </w:r>
      <w:r w:rsidR="008459D3" w:rsidRPr="00621527">
        <w:rPr>
          <w:rFonts w:ascii="Times New Roman" w:hAnsi="Times New Roman" w:cs="Times New Roman"/>
          <w:sz w:val="20"/>
          <w:lang w:val="en-AU"/>
        </w:rPr>
        <w:t xml:space="preserve">Australia, </w:t>
      </w:r>
      <w:r w:rsidR="008459D3" w:rsidRPr="00621527">
        <w:rPr>
          <w:rFonts w:ascii="Times New Roman" w:hAnsi="Times New Roman" w:cs="Times New Roman"/>
          <w:i/>
          <w:iCs/>
          <w:sz w:val="20"/>
          <w:lang w:val="en-AU"/>
        </w:rPr>
        <w:t>Older People and the Law</w:t>
      </w:r>
      <w:r w:rsidR="00582C81">
        <w:rPr>
          <w:rFonts w:ascii="Times New Roman" w:hAnsi="Times New Roman" w:cs="Times New Roman"/>
          <w:iCs/>
          <w:sz w:val="20"/>
          <w:lang w:val="en-AU"/>
        </w:rPr>
        <w:t>,</w:t>
      </w:r>
      <w:r w:rsidR="00AE2DFC" w:rsidRPr="00AE2DFC">
        <w:rPr>
          <w:rFonts w:ascii="Times New Roman" w:hAnsi="Times New Roman" w:cs="Times New Roman"/>
          <w:iCs/>
          <w:sz w:val="20"/>
          <w:lang w:val="en-AU"/>
        </w:rPr>
        <w:t xml:space="preserve"> </w:t>
      </w:r>
      <w:r w:rsidR="00AE2DFC">
        <w:rPr>
          <w:rFonts w:ascii="Times New Roman" w:hAnsi="Times New Roman" w:cs="Times New Roman"/>
          <w:iCs/>
          <w:sz w:val="20"/>
          <w:lang w:val="en-AU"/>
        </w:rPr>
        <w:t>No 202 of 2007, 20 September 2007</w:t>
      </w:r>
      <w:r w:rsidR="008459D3" w:rsidRPr="00621527">
        <w:rPr>
          <w:rFonts w:ascii="Times New Roman" w:hAnsi="Times New Roman" w:cs="Times New Roman"/>
          <w:sz w:val="20"/>
          <w:lang w:val="en-AU"/>
        </w:rPr>
        <w:t xml:space="preserve">; Law Reform Committee, </w:t>
      </w:r>
      <w:r>
        <w:rPr>
          <w:rFonts w:ascii="Times New Roman" w:hAnsi="Times New Roman" w:cs="Times New Roman"/>
          <w:sz w:val="20"/>
          <w:lang w:val="en-AU"/>
        </w:rPr>
        <w:t xml:space="preserve">  </w:t>
      </w:r>
      <w:r>
        <w:rPr>
          <w:rFonts w:ascii="Times New Roman" w:hAnsi="Times New Roman" w:cs="Times New Roman"/>
          <w:sz w:val="20"/>
          <w:lang w:val="en-AU"/>
        </w:rPr>
        <w:br/>
        <w:t xml:space="preserve">  </w:t>
      </w:r>
      <w:r w:rsidR="008459D3" w:rsidRPr="00621527">
        <w:rPr>
          <w:rFonts w:ascii="Times New Roman" w:hAnsi="Times New Roman" w:cs="Times New Roman"/>
          <w:sz w:val="20"/>
          <w:lang w:val="en-AU"/>
        </w:rPr>
        <w:t xml:space="preserve">Parliament of Victoria, </w:t>
      </w:r>
      <w:r w:rsidR="008459D3" w:rsidRPr="00621527">
        <w:rPr>
          <w:rFonts w:ascii="Times New Roman" w:hAnsi="Times New Roman" w:cs="Times New Roman"/>
          <w:i/>
          <w:iCs/>
          <w:sz w:val="20"/>
          <w:lang w:val="en-AU"/>
        </w:rPr>
        <w:t>Inquiry</w:t>
      </w:r>
      <w:r w:rsidR="00582C81">
        <w:rPr>
          <w:rFonts w:ascii="Times New Roman" w:hAnsi="Times New Roman" w:cs="Times New Roman"/>
          <w:i/>
          <w:iCs/>
          <w:sz w:val="20"/>
          <w:lang w:val="en-AU"/>
        </w:rPr>
        <w:t xml:space="preserve"> into Powers of Attorney: Final Report,</w:t>
      </w:r>
      <w:r w:rsidR="00AE2DFC" w:rsidRPr="00AE2DFC">
        <w:rPr>
          <w:rFonts w:ascii="Times New Roman" w:hAnsi="Times New Roman" w:cs="Times New Roman"/>
          <w:iCs/>
          <w:sz w:val="20"/>
          <w:lang w:val="en-AU"/>
        </w:rPr>
        <w:t xml:space="preserve"> </w:t>
      </w:r>
      <w:r w:rsidR="006D5055">
        <w:rPr>
          <w:rFonts w:ascii="Times New Roman" w:hAnsi="Times New Roman" w:cs="Times New Roman"/>
          <w:iCs/>
          <w:sz w:val="20"/>
          <w:lang w:val="en-AU"/>
        </w:rPr>
        <w:t>No 352 of 2006-</w:t>
      </w:r>
      <w:r w:rsidR="00AE2DFC">
        <w:rPr>
          <w:rFonts w:ascii="Times New Roman" w:hAnsi="Times New Roman" w:cs="Times New Roman"/>
          <w:iCs/>
          <w:sz w:val="20"/>
          <w:lang w:val="en-AU"/>
        </w:rPr>
        <w:t xml:space="preserve">10, 31 August 2010; </w:t>
      </w:r>
      <w:r w:rsidR="00AE2DFC">
        <w:rPr>
          <w:rFonts w:ascii="Times New Roman" w:hAnsi="Times New Roman" w:cs="Times New Roman"/>
          <w:iCs/>
          <w:sz w:val="20"/>
          <w:lang w:val="en-AU"/>
        </w:rPr>
        <w:br/>
      </w:r>
      <w:r>
        <w:rPr>
          <w:rFonts w:ascii="Times New Roman" w:hAnsi="Times New Roman" w:cs="Times New Roman"/>
          <w:iCs/>
          <w:sz w:val="20"/>
          <w:lang w:val="en-AU"/>
        </w:rPr>
        <w:t xml:space="preserve">  </w:t>
      </w:r>
      <w:r w:rsidR="008459D3" w:rsidRPr="00621527">
        <w:rPr>
          <w:rFonts w:ascii="Times New Roman" w:hAnsi="Times New Roman" w:cs="Times New Roman"/>
          <w:sz w:val="20"/>
          <w:lang w:val="en-AU"/>
        </w:rPr>
        <w:t>Victorian Law Reform Commission</w:t>
      </w:r>
      <w:r w:rsidR="00121A62">
        <w:rPr>
          <w:rFonts w:ascii="Times New Roman" w:hAnsi="Times New Roman" w:cs="Times New Roman"/>
          <w:sz w:val="20"/>
          <w:lang w:val="en-AU"/>
        </w:rPr>
        <w:t>,</w:t>
      </w:r>
      <w:r w:rsidR="00582C81">
        <w:rPr>
          <w:rFonts w:ascii="Times New Roman" w:hAnsi="Times New Roman" w:cs="Times New Roman"/>
          <w:sz w:val="20"/>
          <w:lang w:val="en-AU"/>
        </w:rPr>
        <w:t xml:space="preserve"> </w:t>
      </w:r>
      <w:r w:rsidR="008459D3" w:rsidRPr="00621527">
        <w:rPr>
          <w:rFonts w:ascii="Times New Roman" w:hAnsi="Times New Roman" w:cs="Times New Roman"/>
          <w:i/>
          <w:iCs/>
          <w:sz w:val="20"/>
          <w:lang w:val="en-AU"/>
        </w:rPr>
        <w:t>Guardianship</w:t>
      </w:r>
      <w:r w:rsidR="00121A62">
        <w:rPr>
          <w:rFonts w:ascii="Times New Roman" w:hAnsi="Times New Roman" w:cs="Times New Roman"/>
          <w:i/>
          <w:iCs/>
          <w:sz w:val="20"/>
          <w:lang w:val="en-AU"/>
        </w:rPr>
        <w:t>: Final Report</w:t>
      </w:r>
      <w:r w:rsidR="008459D3" w:rsidRPr="00621527">
        <w:rPr>
          <w:rFonts w:ascii="Times New Roman" w:hAnsi="Times New Roman" w:cs="Times New Roman"/>
          <w:sz w:val="20"/>
          <w:lang w:val="en-AU"/>
        </w:rPr>
        <w:t xml:space="preserve">, </w:t>
      </w:r>
      <w:r w:rsidR="00AE2DFC" w:rsidRPr="00621527">
        <w:rPr>
          <w:rFonts w:ascii="Times New Roman" w:hAnsi="Times New Roman" w:cs="Times New Roman"/>
          <w:sz w:val="20"/>
          <w:lang w:val="en-AU"/>
        </w:rPr>
        <w:t>No 24</w:t>
      </w:r>
      <w:r w:rsidR="00AE2DFC">
        <w:rPr>
          <w:rFonts w:ascii="Times New Roman" w:hAnsi="Times New Roman" w:cs="Times New Roman"/>
          <w:sz w:val="20"/>
          <w:lang w:val="en-AU"/>
        </w:rPr>
        <w:t xml:space="preserve"> of 2012, 18 April 2012; </w:t>
      </w:r>
      <w:r w:rsidR="008459D3" w:rsidRPr="00621527">
        <w:rPr>
          <w:rFonts w:ascii="Times New Roman" w:hAnsi="Times New Roman" w:cs="Times New Roman"/>
          <w:sz w:val="20"/>
          <w:lang w:val="en-AU"/>
        </w:rPr>
        <w:t xml:space="preserve">Communities </w:t>
      </w:r>
      <w:r>
        <w:rPr>
          <w:rFonts w:ascii="Times New Roman" w:hAnsi="Times New Roman" w:cs="Times New Roman"/>
          <w:sz w:val="20"/>
          <w:lang w:val="en-AU"/>
        </w:rPr>
        <w:br/>
        <w:t xml:space="preserve">  </w:t>
      </w:r>
      <w:r w:rsidR="008459D3" w:rsidRPr="00621527">
        <w:rPr>
          <w:rFonts w:ascii="Times New Roman" w:hAnsi="Times New Roman" w:cs="Times New Roman"/>
          <w:sz w:val="20"/>
          <w:lang w:val="en-AU"/>
        </w:rPr>
        <w:t>Disability Services and Domestic and Family</w:t>
      </w:r>
      <w:r w:rsidR="00C47981">
        <w:rPr>
          <w:rFonts w:ascii="Times New Roman" w:hAnsi="Times New Roman" w:cs="Times New Roman"/>
          <w:sz w:val="20"/>
          <w:lang w:val="en-AU"/>
        </w:rPr>
        <w:t xml:space="preserve"> </w:t>
      </w:r>
      <w:r w:rsidR="008459D3" w:rsidRPr="00621527">
        <w:rPr>
          <w:rFonts w:ascii="Times New Roman" w:hAnsi="Times New Roman" w:cs="Times New Roman"/>
          <w:sz w:val="20"/>
          <w:lang w:val="en-AU"/>
        </w:rPr>
        <w:t xml:space="preserve">Violence Prevention Committee, Parliament of Queensland, </w:t>
      </w:r>
      <w:r>
        <w:rPr>
          <w:rFonts w:ascii="Times New Roman" w:hAnsi="Times New Roman" w:cs="Times New Roman"/>
          <w:sz w:val="20"/>
          <w:lang w:val="en-AU"/>
        </w:rPr>
        <w:br/>
        <w:t xml:space="preserve">  </w:t>
      </w:r>
      <w:r w:rsidR="008459D3" w:rsidRPr="00621527">
        <w:rPr>
          <w:rFonts w:ascii="Times New Roman" w:hAnsi="Times New Roman" w:cs="Times New Roman"/>
          <w:i/>
          <w:iCs/>
          <w:sz w:val="20"/>
          <w:lang w:val="en-AU"/>
        </w:rPr>
        <w:t>Inquiry into the Adequacy of Existing</w:t>
      </w:r>
      <w:r w:rsidR="00C47981">
        <w:rPr>
          <w:rFonts w:ascii="Times New Roman" w:hAnsi="Times New Roman" w:cs="Times New Roman"/>
          <w:i/>
          <w:iCs/>
          <w:sz w:val="20"/>
          <w:lang w:val="en-AU"/>
        </w:rPr>
        <w:t xml:space="preserve"> </w:t>
      </w:r>
      <w:r w:rsidR="008459D3" w:rsidRPr="00621527">
        <w:rPr>
          <w:rFonts w:ascii="Times New Roman" w:hAnsi="Times New Roman" w:cs="Times New Roman"/>
          <w:i/>
          <w:iCs/>
          <w:sz w:val="20"/>
          <w:lang w:val="en-AU"/>
        </w:rPr>
        <w:t>Financial Protections for Queensland’s Seniors</w:t>
      </w:r>
      <w:r w:rsidR="00121A62">
        <w:rPr>
          <w:rFonts w:ascii="Times New Roman" w:hAnsi="Times New Roman" w:cs="Times New Roman"/>
          <w:i/>
          <w:iCs/>
          <w:sz w:val="20"/>
          <w:lang w:val="en-AU"/>
        </w:rPr>
        <w:t>,</w:t>
      </w:r>
      <w:r w:rsidR="006D5055" w:rsidRPr="006D5055">
        <w:rPr>
          <w:rFonts w:ascii="Times New Roman" w:hAnsi="Times New Roman" w:cs="Times New Roman"/>
          <w:iCs/>
          <w:sz w:val="20"/>
          <w:lang w:val="en-AU"/>
        </w:rPr>
        <w:t xml:space="preserve"> </w:t>
      </w:r>
      <w:r w:rsidR="006D5055">
        <w:rPr>
          <w:rFonts w:ascii="Times New Roman" w:hAnsi="Times New Roman" w:cs="Times New Roman"/>
          <w:iCs/>
          <w:sz w:val="20"/>
          <w:lang w:val="en-AU"/>
        </w:rPr>
        <w:t xml:space="preserve">Report No 2, 31 August </w:t>
      </w:r>
      <w:r w:rsidR="006D5055">
        <w:rPr>
          <w:rFonts w:ascii="Times New Roman" w:hAnsi="Times New Roman" w:cs="Times New Roman"/>
          <w:iCs/>
          <w:sz w:val="20"/>
          <w:lang w:val="en-AU"/>
        </w:rPr>
        <w:br/>
        <w:t xml:space="preserve">  2015; </w:t>
      </w:r>
      <w:r w:rsidR="008459D3" w:rsidRPr="00621527">
        <w:rPr>
          <w:rFonts w:ascii="Times New Roman" w:hAnsi="Times New Roman" w:cs="Times New Roman"/>
          <w:sz w:val="20"/>
          <w:lang w:val="en-AU"/>
        </w:rPr>
        <w:t>Legislative Council General</w:t>
      </w:r>
      <w:r w:rsidR="00F60312">
        <w:rPr>
          <w:rFonts w:ascii="Times New Roman" w:hAnsi="Times New Roman" w:cs="Times New Roman"/>
          <w:sz w:val="20"/>
          <w:lang w:val="en-AU"/>
        </w:rPr>
        <w:t xml:space="preserve"> </w:t>
      </w:r>
      <w:r w:rsidR="008459D3" w:rsidRPr="00621527">
        <w:rPr>
          <w:rFonts w:ascii="Times New Roman" w:hAnsi="Times New Roman" w:cs="Times New Roman"/>
          <w:sz w:val="20"/>
          <w:lang w:val="en-AU"/>
        </w:rPr>
        <w:t xml:space="preserve">Purpose Standing Committee No 2, Parliament of New South Wales, </w:t>
      </w:r>
      <w:r w:rsidR="008459D3" w:rsidRPr="00621527">
        <w:rPr>
          <w:rFonts w:ascii="Times New Roman" w:hAnsi="Times New Roman" w:cs="Times New Roman"/>
          <w:i/>
          <w:iCs/>
          <w:sz w:val="20"/>
          <w:lang w:val="en-AU"/>
        </w:rPr>
        <w:t xml:space="preserve">Elder </w:t>
      </w:r>
      <w:r>
        <w:rPr>
          <w:rFonts w:ascii="Times New Roman" w:hAnsi="Times New Roman" w:cs="Times New Roman"/>
          <w:i/>
          <w:iCs/>
          <w:sz w:val="20"/>
          <w:lang w:val="en-AU"/>
        </w:rPr>
        <w:br/>
        <w:t xml:space="preserve">  </w:t>
      </w:r>
      <w:r w:rsidR="008459D3" w:rsidRPr="00621527">
        <w:rPr>
          <w:rFonts w:ascii="Times New Roman" w:hAnsi="Times New Roman" w:cs="Times New Roman"/>
          <w:i/>
          <w:iCs/>
          <w:sz w:val="20"/>
          <w:lang w:val="en-AU"/>
        </w:rPr>
        <w:t>Abuse</w:t>
      </w:r>
      <w:r>
        <w:rPr>
          <w:rFonts w:ascii="Times New Roman" w:hAnsi="Times New Roman" w:cs="Times New Roman"/>
          <w:i/>
          <w:iCs/>
          <w:sz w:val="20"/>
          <w:lang w:val="en-AU"/>
        </w:rPr>
        <w:t xml:space="preserve"> </w:t>
      </w:r>
      <w:r w:rsidR="008459D3" w:rsidRPr="00621527">
        <w:rPr>
          <w:rFonts w:ascii="Times New Roman" w:hAnsi="Times New Roman" w:cs="Times New Roman"/>
          <w:i/>
          <w:iCs/>
          <w:sz w:val="20"/>
          <w:lang w:val="en-AU"/>
        </w:rPr>
        <w:t>in New South Wales</w:t>
      </w:r>
      <w:r w:rsidR="00F60312">
        <w:rPr>
          <w:rFonts w:ascii="Times New Roman" w:hAnsi="Times New Roman" w:cs="Times New Roman"/>
          <w:i/>
          <w:iCs/>
          <w:sz w:val="20"/>
          <w:lang w:val="en-AU"/>
        </w:rPr>
        <w:t xml:space="preserve">, </w:t>
      </w:r>
      <w:r w:rsidR="006D5055">
        <w:rPr>
          <w:rFonts w:ascii="Times New Roman" w:hAnsi="Times New Roman" w:cs="Times New Roman"/>
          <w:iCs/>
          <w:sz w:val="20"/>
          <w:lang w:val="en-AU"/>
        </w:rPr>
        <w:t xml:space="preserve">Report </w:t>
      </w:r>
      <w:r w:rsidR="00AE2DFC">
        <w:rPr>
          <w:rFonts w:ascii="Times New Roman" w:hAnsi="Times New Roman" w:cs="Times New Roman"/>
          <w:iCs/>
          <w:sz w:val="20"/>
          <w:lang w:val="en-AU"/>
        </w:rPr>
        <w:t>No 44, 24 June 2016.</w:t>
      </w:r>
    </w:p>
  </w:footnote>
  <w:footnote w:id="3">
    <w:p w:rsidR="008459D3" w:rsidRPr="002138D3" w:rsidRDefault="008459D3" w:rsidP="008838B4">
      <w:pPr>
        <w:pStyle w:val="FootnoteText"/>
        <w:rPr>
          <w:rFonts w:ascii="Times New Roman" w:hAnsi="Times New Roman" w:cs="Times New Roman"/>
          <w:sz w:val="20"/>
          <w:lang w:val="en-AU"/>
        </w:rPr>
      </w:pPr>
      <w:r w:rsidRPr="002138D3">
        <w:rPr>
          <w:rStyle w:val="FootnoteReference"/>
          <w:rFonts w:ascii="Times New Roman" w:hAnsi="Times New Roman" w:cs="Times New Roman"/>
          <w:sz w:val="20"/>
        </w:rPr>
        <w:footnoteRef/>
      </w:r>
      <w:r w:rsidRPr="002138D3">
        <w:rPr>
          <w:rFonts w:ascii="Times New Roman" w:hAnsi="Times New Roman" w:cs="Times New Roman"/>
          <w:sz w:val="20"/>
        </w:rPr>
        <w:t xml:space="preserve"> </w:t>
      </w:r>
      <w:r w:rsidRPr="002138D3">
        <w:rPr>
          <w:rFonts w:ascii="Times New Roman" w:hAnsi="Times New Roman" w:cs="Times New Roman"/>
          <w:sz w:val="20"/>
          <w:lang w:val="en-AU"/>
        </w:rPr>
        <w:t xml:space="preserve">Australian Law Reform Commission, </w:t>
      </w:r>
      <w:r w:rsidRPr="002138D3">
        <w:rPr>
          <w:rFonts w:ascii="Times New Roman" w:hAnsi="Times New Roman" w:cs="Times New Roman"/>
          <w:i/>
          <w:iCs/>
          <w:sz w:val="20"/>
          <w:lang w:val="en-AU"/>
        </w:rPr>
        <w:t>Equality, Capacity and Disability in Commonwealth Laws</w:t>
      </w:r>
      <w:r w:rsidRPr="002138D3">
        <w:rPr>
          <w:rFonts w:ascii="Times New Roman" w:hAnsi="Times New Roman" w:cs="Times New Roman"/>
          <w:sz w:val="20"/>
          <w:lang w:val="en-AU"/>
        </w:rPr>
        <w:t>, Report</w:t>
      </w:r>
    </w:p>
    <w:p w:rsidR="008459D3" w:rsidRPr="002138D3" w:rsidRDefault="00582C81" w:rsidP="008838B4">
      <w:pPr>
        <w:pStyle w:val="FootnoteText"/>
        <w:rPr>
          <w:lang w:val="en-AU"/>
        </w:rPr>
      </w:pPr>
      <w:r>
        <w:rPr>
          <w:rFonts w:ascii="Times New Roman" w:hAnsi="Times New Roman" w:cs="Times New Roman"/>
          <w:sz w:val="20"/>
          <w:lang w:val="en-AU"/>
        </w:rPr>
        <w:t xml:space="preserve"> </w:t>
      </w:r>
      <w:r w:rsidR="00D84FD6">
        <w:rPr>
          <w:rFonts w:ascii="Times New Roman" w:hAnsi="Times New Roman" w:cs="Times New Roman"/>
          <w:sz w:val="20"/>
          <w:lang w:val="en-AU"/>
        </w:rPr>
        <w:t xml:space="preserve"> </w:t>
      </w:r>
      <w:r>
        <w:rPr>
          <w:rFonts w:ascii="Times New Roman" w:hAnsi="Times New Roman" w:cs="Times New Roman"/>
          <w:sz w:val="20"/>
          <w:lang w:val="en-AU"/>
        </w:rPr>
        <w:t xml:space="preserve"> </w:t>
      </w:r>
      <w:r w:rsidR="008459D3" w:rsidRPr="002138D3">
        <w:rPr>
          <w:rFonts w:ascii="Times New Roman" w:hAnsi="Times New Roman" w:cs="Times New Roman"/>
          <w:sz w:val="20"/>
          <w:lang w:val="en-AU"/>
        </w:rPr>
        <w:t>No 124 (2014) 123–4.</w:t>
      </w:r>
    </w:p>
  </w:footnote>
  <w:footnote w:id="4">
    <w:p w:rsidR="00812417" w:rsidRPr="00812417" w:rsidRDefault="00812417">
      <w:pPr>
        <w:pStyle w:val="FootnoteText"/>
        <w:rPr>
          <w:rFonts w:ascii="Times New Roman" w:hAnsi="Times New Roman" w:cs="Times New Roman"/>
          <w:sz w:val="20"/>
          <w:szCs w:val="20"/>
          <w:lang w:val="en-AU"/>
        </w:rPr>
      </w:pPr>
      <w:r w:rsidRPr="0081241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1241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E2DFC" w:rsidRPr="00812417">
        <w:rPr>
          <w:rFonts w:ascii="Times New Roman" w:hAnsi="Times New Roman" w:cs="Times New Roman"/>
          <w:i/>
          <w:sz w:val="20"/>
          <w:szCs w:val="20"/>
          <w:lang w:val="en-AU"/>
        </w:rPr>
        <w:t>My Health Records Act 2012</w:t>
      </w:r>
      <w:r w:rsidR="00AE2DFC" w:rsidRPr="00812417">
        <w:rPr>
          <w:rFonts w:ascii="Times New Roman" w:hAnsi="Times New Roman" w:cs="Times New Roman"/>
          <w:sz w:val="20"/>
          <w:szCs w:val="20"/>
          <w:lang w:val="en-AU"/>
        </w:rPr>
        <w:t xml:space="preserve"> (</w:t>
      </w:r>
      <w:proofErr w:type="spellStart"/>
      <w:r w:rsidR="00AE2DFC" w:rsidRPr="00812417">
        <w:rPr>
          <w:rFonts w:ascii="Times New Roman" w:hAnsi="Times New Roman" w:cs="Times New Roman"/>
          <w:sz w:val="20"/>
          <w:szCs w:val="20"/>
          <w:lang w:val="en-AU"/>
        </w:rPr>
        <w:t>Cth</w:t>
      </w:r>
      <w:proofErr w:type="spellEnd"/>
      <w:r w:rsidR="00AE2DFC" w:rsidRPr="00812417">
        <w:rPr>
          <w:rFonts w:ascii="Times New Roman" w:hAnsi="Times New Roman" w:cs="Times New Roman"/>
          <w:sz w:val="20"/>
          <w:szCs w:val="20"/>
          <w:lang w:val="en-AU"/>
        </w:rPr>
        <w:t>)</w:t>
      </w:r>
      <w:r w:rsidR="00AE2DFC" w:rsidRPr="00812417">
        <w:rPr>
          <w:rFonts w:ascii="Times New Roman" w:hAnsi="Times New Roman" w:cs="Times New Roman"/>
          <w:i/>
          <w:sz w:val="20"/>
          <w:szCs w:val="20"/>
          <w:lang w:val="en-AU"/>
        </w:rPr>
        <w:t xml:space="preserve"> </w:t>
      </w:r>
      <w:r w:rsidR="00AE2DFC">
        <w:rPr>
          <w:rFonts w:ascii="Times New Roman" w:hAnsi="Times New Roman" w:cs="Times New Roman"/>
          <w:sz w:val="20"/>
          <w:szCs w:val="20"/>
          <w:lang w:val="en-AU"/>
        </w:rPr>
        <w:t>sch 1 pt 1.</w:t>
      </w:r>
      <w:proofErr w:type="gramEnd"/>
    </w:p>
  </w:footnote>
  <w:footnote w:id="5">
    <w:p w:rsidR="008459D3" w:rsidRPr="00800D4D" w:rsidRDefault="008459D3" w:rsidP="00D16E98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800D4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00D4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00D4D">
        <w:rPr>
          <w:rFonts w:ascii="Times New Roman" w:hAnsi="Times New Roman" w:cs="Times New Roman"/>
          <w:sz w:val="20"/>
          <w:szCs w:val="20"/>
        </w:rPr>
        <w:t xml:space="preserve">House of Representatives Standing Committee on Legal and Constitutional Affairs, Parliament of Australia, </w:t>
      </w:r>
      <w:r w:rsidR="00E351C4"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Pr="00800D4D">
        <w:rPr>
          <w:rFonts w:ascii="Times New Roman" w:hAnsi="Times New Roman" w:cs="Times New Roman"/>
          <w:i/>
          <w:sz w:val="20"/>
          <w:szCs w:val="20"/>
        </w:rPr>
        <w:t>Older People and the Law</w:t>
      </w:r>
      <w:r w:rsidR="0007627E">
        <w:rPr>
          <w:rFonts w:ascii="Times New Roman" w:hAnsi="Times New Roman" w:cs="Times New Roman"/>
          <w:sz w:val="20"/>
          <w:szCs w:val="20"/>
        </w:rPr>
        <w:t xml:space="preserve">, </w:t>
      </w:r>
      <w:r w:rsidR="00AE2DFC">
        <w:rPr>
          <w:rFonts w:ascii="Times New Roman" w:hAnsi="Times New Roman" w:cs="Times New Roman"/>
          <w:iCs/>
          <w:sz w:val="20"/>
          <w:lang w:val="en-AU"/>
        </w:rPr>
        <w:t>No 202 of 2007, 20 September 2007</w:t>
      </w:r>
      <w:r w:rsidR="0007627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7627E">
        <w:rPr>
          <w:rFonts w:ascii="Times New Roman" w:hAnsi="Times New Roman" w:cs="Times New Roman"/>
          <w:sz w:val="20"/>
          <w:szCs w:val="20"/>
        </w:rPr>
        <w:t>ch</w:t>
      </w:r>
      <w:proofErr w:type="spellEnd"/>
      <w:r w:rsidR="0007627E">
        <w:rPr>
          <w:rFonts w:ascii="Times New Roman" w:hAnsi="Times New Roman" w:cs="Times New Roman"/>
          <w:sz w:val="20"/>
          <w:szCs w:val="20"/>
        </w:rPr>
        <w:t xml:space="preserve"> 3.</w:t>
      </w:r>
      <w:proofErr w:type="gramEnd"/>
    </w:p>
  </w:footnote>
  <w:footnote w:id="6">
    <w:p w:rsidR="008459D3" w:rsidRPr="00800D4D" w:rsidRDefault="008459D3" w:rsidP="00D16E98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800D4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00D4D">
        <w:rPr>
          <w:rFonts w:ascii="Times New Roman" w:hAnsi="Times New Roman" w:cs="Times New Roman"/>
          <w:sz w:val="20"/>
          <w:szCs w:val="20"/>
        </w:rPr>
        <w:t xml:space="preserve"> </w:t>
      </w:r>
      <w:r w:rsidR="006855F3">
        <w:rPr>
          <w:rFonts w:ascii="Times New Roman" w:hAnsi="Times New Roman" w:cs="Times New Roman"/>
          <w:sz w:val="20"/>
          <w:szCs w:val="20"/>
        </w:rPr>
        <w:t xml:space="preserve"> </w:t>
      </w:r>
      <w:r w:rsidRPr="00800D4D">
        <w:rPr>
          <w:rFonts w:ascii="Times New Roman" w:hAnsi="Times New Roman" w:cs="Times New Roman"/>
          <w:i/>
          <w:sz w:val="20"/>
          <w:szCs w:val="20"/>
        </w:rPr>
        <w:t>Powers of Attorney Act</w:t>
      </w:r>
      <w:r w:rsidRPr="00800D4D">
        <w:rPr>
          <w:rFonts w:ascii="Times New Roman" w:hAnsi="Times New Roman" w:cs="Times New Roman"/>
          <w:sz w:val="20"/>
          <w:szCs w:val="20"/>
        </w:rPr>
        <w:t xml:space="preserve"> 1998 (</w:t>
      </w:r>
      <w:proofErr w:type="spellStart"/>
      <w:r w:rsidRPr="00800D4D">
        <w:rPr>
          <w:rFonts w:ascii="Times New Roman" w:hAnsi="Times New Roman" w:cs="Times New Roman"/>
          <w:sz w:val="20"/>
          <w:szCs w:val="20"/>
        </w:rPr>
        <w:t>Qld</w:t>
      </w:r>
      <w:proofErr w:type="spellEnd"/>
      <w:r w:rsidRPr="00800D4D">
        <w:rPr>
          <w:rFonts w:ascii="Times New Roman" w:hAnsi="Times New Roman" w:cs="Times New Roman"/>
          <w:sz w:val="20"/>
          <w:szCs w:val="20"/>
        </w:rPr>
        <w:t xml:space="preserve">); </w:t>
      </w:r>
      <w:r w:rsidRPr="00800D4D">
        <w:rPr>
          <w:rFonts w:ascii="Times New Roman" w:hAnsi="Times New Roman" w:cs="Times New Roman"/>
          <w:i/>
          <w:sz w:val="20"/>
          <w:szCs w:val="20"/>
        </w:rPr>
        <w:t>Powers of Attorney Act</w:t>
      </w:r>
      <w:r w:rsidRPr="00800D4D">
        <w:rPr>
          <w:rFonts w:ascii="Times New Roman" w:hAnsi="Times New Roman" w:cs="Times New Roman"/>
          <w:sz w:val="20"/>
          <w:szCs w:val="20"/>
        </w:rPr>
        <w:t xml:space="preserve"> </w:t>
      </w:r>
      <w:r w:rsidR="00AE2DFC">
        <w:rPr>
          <w:rFonts w:ascii="Times New Roman" w:hAnsi="Times New Roman" w:cs="Times New Roman"/>
          <w:sz w:val="20"/>
          <w:szCs w:val="20"/>
        </w:rPr>
        <w:t xml:space="preserve">2014 </w:t>
      </w:r>
      <w:r w:rsidRPr="00800D4D">
        <w:rPr>
          <w:rFonts w:ascii="Times New Roman" w:hAnsi="Times New Roman" w:cs="Times New Roman"/>
          <w:sz w:val="20"/>
          <w:szCs w:val="20"/>
        </w:rPr>
        <w:t>(Vic).</w:t>
      </w:r>
    </w:p>
  </w:footnote>
  <w:footnote w:id="7">
    <w:p w:rsidR="008459D3" w:rsidRPr="00800D4D" w:rsidRDefault="008459D3" w:rsidP="00D16E98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800D4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00D4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00D4D">
        <w:rPr>
          <w:rFonts w:ascii="Times New Roman" w:hAnsi="Times New Roman" w:cs="Times New Roman"/>
          <w:i/>
          <w:sz w:val="20"/>
          <w:szCs w:val="20"/>
        </w:rPr>
        <w:t>Guardianship Act 1987</w:t>
      </w:r>
      <w:r w:rsidRPr="00800D4D">
        <w:rPr>
          <w:rFonts w:ascii="Times New Roman" w:hAnsi="Times New Roman" w:cs="Times New Roman"/>
          <w:sz w:val="20"/>
          <w:szCs w:val="20"/>
        </w:rPr>
        <w:t xml:space="preserve"> (NSW); </w:t>
      </w:r>
      <w:r w:rsidRPr="00800D4D">
        <w:rPr>
          <w:rFonts w:ascii="Times New Roman" w:hAnsi="Times New Roman" w:cs="Times New Roman"/>
          <w:i/>
          <w:sz w:val="20"/>
          <w:szCs w:val="20"/>
        </w:rPr>
        <w:t>Powers of Attorney Act</w:t>
      </w:r>
      <w:r w:rsidRPr="00800D4D">
        <w:rPr>
          <w:rFonts w:ascii="Times New Roman" w:hAnsi="Times New Roman" w:cs="Times New Roman"/>
          <w:sz w:val="20"/>
          <w:szCs w:val="20"/>
        </w:rPr>
        <w:t xml:space="preserve"> 2003 (NSW).</w:t>
      </w:r>
      <w:proofErr w:type="gramEnd"/>
      <w:r w:rsidRPr="00800D4D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8">
    <w:p w:rsidR="008459D3" w:rsidRPr="00800D4D" w:rsidRDefault="008459D3" w:rsidP="00D16E98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800D4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00D4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00D4D">
        <w:rPr>
          <w:rFonts w:ascii="Times New Roman" w:hAnsi="Times New Roman" w:cs="Times New Roman"/>
          <w:i/>
          <w:sz w:val="20"/>
          <w:szCs w:val="20"/>
        </w:rPr>
        <w:t>Advanced Care Directives Act 2013</w:t>
      </w:r>
      <w:r w:rsidRPr="00800D4D">
        <w:rPr>
          <w:rFonts w:ascii="Times New Roman" w:hAnsi="Times New Roman" w:cs="Times New Roman"/>
          <w:sz w:val="20"/>
          <w:szCs w:val="20"/>
        </w:rPr>
        <w:t xml:space="preserve"> (SA).</w:t>
      </w:r>
      <w:proofErr w:type="gramEnd"/>
    </w:p>
  </w:footnote>
  <w:footnote w:id="9">
    <w:p w:rsidR="008459D3" w:rsidRPr="00800D4D" w:rsidRDefault="008459D3" w:rsidP="00D16E98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800D4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00D4D">
        <w:rPr>
          <w:rFonts w:ascii="Times New Roman" w:hAnsi="Times New Roman" w:cs="Times New Roman"/>
          <w:sz w:val="20"/>
          <w:szCs w:val="20"/>
        </w:rPr>
        <w:t xml:space="preserve"> </w:t>
      </w:r>
      <w:r w:rsidRPr="00800D4D">
        <w:rPr>
          <w:rFonts w:ascii="Times New Roman" w:hAnsi="Times New Roman" w:cs="Times New Roman"/>
          <w:i/>
          <w:sz w:val="20"/>
          <w:szCs w:val="20"/>
        </w:rPr>
        <w:t>Powers of Attorney Act 2000</w:t>
      </w:r>
      <w:r w:rsidRPr="00800D4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Pr="00800D4D">
        <w:rPr>
          <w:rFonts w:ascii="Times New Roman" w:hAnsi="Times New Roman" w:cs="Times New Roman"/>
          <w:sz w:val="20"/>
          <w:szCs w:val="20"/>
        </w:rPr>
        <w:t>Tas</w:t>
      </w:r>
      <w:proofErr w:type="spellEnd"/>
      <w:proofErr w:type="gramEnd"/>
      <w:r w:rsidRPr="00800D4D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800D4D">
        <w:rPr>
          <w:rFonts w:ascii="Times New Roman" w:hAnsi="Times New Roman" w:cs="Times New Roman"/>
          <w:sz w:val="20"/>
          <w:szCs w:val="20"/>
        </w:rPr>
        <w:t>ss</w:t>
      </w:r>
      <w:proofErr w:type="spellEnd"/>
      <w:r w:rsidR="00C21BE2">
        <w:rPr>
          <w:rFonts w:ascii="Times New Roman" w:hAnsi="Times New Roman" w:cs="Times New Roman"/>
          <w:sz w:val="20"/>
          <w:szCs w:val="20"/>
        </w:rPr>
        <w:t xml:space="preserve"> </w:t>
      </w:r>
      <w:r w:rsidRPr="00800D4D">
        <w:rPr>
          <w:rFonts w:ascii="Times New Roman" w:hAnsi="Times New Roman" w:cs="Times New Roman"/>
          <w:sz w:val="20"/>
          <w:szCs w:val="20"/>
        </w:rPr>
        <w:t xml:space="preserve">4, 11; </w:t>
      </w:r>
      <w:r w:rsidRPr="00800D4D">
        <w:rPr>
          <w:rFonts w:ascii="Times New Roman" w:hAnsi="Times New Roman" w:cs="Times New Roman"/>
          <w:i/>
          <w:sz w:val="20"/>
          <w:szCs w:val="20"/>
        </w:rPr>
        <w:t>Guardianship and Administration Act 1995</w:t>
      </w:r>
      <w:r w:rsidRPr="00800D4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00D4D">
        <w:rPr>
          <w:rFonts w:ascii="Times New Roman" w:hAnsi="Times New Roman" w:cs="Times New Roman"/>
          <w:sz w:val="20"/>
          <w:szCs w:val="20"/>
        </w:rPr>
        <w:t>Tas</w:t>
      </w:r>
      <w:proofErr w:type="spellEnd"/>
      <w:r w:rsidRPr="00800D4D">
        <w:rPr>
          <w:rFonts w:ascii="Times New Roman" w:hAnsi="Times New Roman" w:cs="Times New Roman"/>
          <w:sz w:val="20"/>
          <w:szCs w:val="20"/>
        </w:rPr>
        <w:t>) s 32</w:t>
      </w:r>
      <w:r w:rsidR="00C21BE2">
        <w:rPr>
          <w:rFonts w:ascii="Times New Roman" w:hAnsi="Times New Roman" w:cs="Times New Roman"/>
          <w:sz w:val="20"/>
          <w:szCs w:val="20"/>
        </w:rPr>
        <w:t>.</w:t>
      </w:r>
      <w:r w:rsidRPr="00800D4D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10">
    <w:p w:rsidR="008459D3" w:rsidRPr="00A230FD" w:rsidRDefault="008459D3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A230F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230FD">
        <w:rPr>
          <w:rFonts w:ascii="Times New Roman" w:hAnsi="Times New Roman" w:cs="Times New Roman"/>
          <w:sz w:val="20"/>
          <w:szCs w:val="20"/>
        </w:rPr>
        <w:t xml:space="preserve"> Australian Law Reform Commission, </w:t>
      </w:r>
      <w:r w:rsidRPr="001E60C1">
        <w:rPr>
          <w:rFonts w:ascii="Times New Roman" w:hAnsi="Times New Roman" w:cs="Times New Roman"/>
          <w:i/>
          <w:sz w:val="20"/>
          <w:szCs w:val="20"/>
        </w:rPr>
        <w:t>Elder Abuse</w:t>
      </w:r>
      <w:r w:rsidRPr="00A230F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Discussion Paper No 83 (2016) </w:t>
      </w:r>
      <w:r w:rsidRPr="00A230FD">
        <w:rPr>
          <w:rFonts w:ascii="Times New Roman" w:hAnsi="Times New Roman" w:cs="Times New Roman"/>
          <w:sz w:val="20"/>
          <w:szCs w:val="20"/>
        </w:rPr>
        <w:t>97</w:t>
      </w:r>
      <w:r>
        <w:rPr>
          <w:rFonts w:ascii="Times New Roman" w:hAnsi="Times New Roman" w:cs="Times New Roman"/>
          <w:sz w:val="20"/>
          <w:szCs w:val="20"/>
        </w:rPr>
        <w:t xml:space="preserve"> [5.56]</w:t>
      </w:r>
      <w:r w:rsidRPr="00A230FD">
        <w:rPr>
          <w:rFonts w:ascii="Times New Roman" w:hAnsi="Times New Roman" w:cs="Times New Roman"/>
          <w:sz w:val="20"/>
          <w:szCs w:val="20"/>
        </w:rPr>
        <w:t>.</w:t>
      </w:r>
    </w:p>
  </w:footnote>
  <w:footnote w:id="11">
    <w:p w:rsidR="008459D3" w:rsidRPr="00A230FD" w:rsidRDefault="008459D3">
      <w:pPr>
        <w:pStyle w:val="FootnoteText"/>
        <w:rPr>
          <w:rFonts w:ascii="Times New Roman" w:hAnsi="Times New Roman" w:cs="Times New Roman"/>
          <w:sz w:val="20"/>
        </w:rPr>
      </w:pPr>
      <w:r w:rsidRPr="00A230FD">
        <w:rPr>
          <w:rStyle w:val="FootnoteReference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Ibid 89 [5.16].</w:t>
      </w:r>
      <w:proofErr w:type="gramEnd"/>
    </w:p>
  </w:footnote>
  <w:footnote w:id="12">
    <w:p w:rsidR="001052A2" w:rsidRPr="00990AE9" w:rsidRDefault="001052A2">
      <w:pPr>
        <w:pStyle w:val="FootnoteText"/>
        <w:rPr>
          <w:rFonts w:ascii="Times New Roman" w:hAnsi="Times New Roman" w:cs="Times New Roman"/>
          <w:sz w:val="20"/>
          <w:szCs w:val="20"/>
          <w:lang w:val="en-AU"/>
        </w:rPr>
      </w:pPr>
      <w:r w:rsidRPr="00990AE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990AE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0"/>
        </w:rPr>
        <w:t xml:space="preserve">Australian Digital Health Agency, Australian Government, </w:t>
      </w:r>
      <w:r w:rsidRPr="00C22D39">
        <w:rPr>
          <w:rFonts w:ascii="Times New Roman" w:hAnsi="Times New Roman" w:cs="Times New Roman"/>
          <w:i/>
          <w:color w:val="000000" w:themeColor="text1"/>
          <w:sz w:val="20"/>
        </w:rPr>
        <w:t xml:space="preserve">My Health Record Statistics – at 19 February </w:t>
      </w:r>
      <w:r>
        <w:rPr>
          <w:rFonts w:ascii="Times New Roman" w:hAnsi="Times New Roman" w:cs="Times New Roman"/>
          <w:i/>
          <w:color w:val="000000" w:themeColor="text1"/>
          <w:sz w:val="20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</w:rPr>
        <w:br/>
        <w:t xml:space="preserve">    </w:t>
      </w:r>
      <w:r w:rsidRPr="00C22D39">
        <w:rPr>
          <w:rFonts w:ascii="Times New Roman" w:hAnsi="Times New Roman" w:cs="Times New Roman"/>
          <w:i/>
          <w:color w:val="000000" w:themeColor="text1"/>
          <w:sz w:val="20"/>
        </w:rPr>
        <w:t>2017</w:t>
      </w:r>
      <w:r w:rsidRPr="001052A2">
        <w:rPr>
          <w:rFonts w:ascii="Times New Roman" w:hAnsi="Times New Roman" w:cs="Times New Roman"/>
          <w:i/>
          <w:color w:val="000000" w:themeColor="text1"/>
          <w:sz w:val="20"/>
        </w:rPr>
        <w:t xml:space="preserve"> </w:t>
      </w:r>
      <w:r w:rsidRPr="001052A2">
        <w:rPr>
          <w:rFonts w:ascii="Times New Roman" w:hAnsi="Times New Roman" w:cs="Times New Roman"/>
          <w:color w:val="000000" w:themeColor="text1"/>
          <w:sz w:val="20"/>
        </w:rPr>
        <w:t>&lt;</w:t>
      </w:r>
      <w:r w:rsidRPr="00C22D39">
        <w:rPr>
          <w:rFonts w:ascii="Times New Roman" w:hAnsi="Times New Roman" w:cs="Times New Roman"/>
          <w:color w:val="000000" w:themeColor="text1"/>
          <w:sz w:val="20"/>
          <w:lang w:val="en-AU"/>
        </w:rPr>
        <w:t>https://myhealthrecord.gov.au/internet/mhr/publishing.nsf/Content/news-002&gt;</w:t>
      </w:r>
      <w:r w:rsidR="00AD0429">
        <w:rPr>
          <w:rFonts w:ascii="Times New Roman" w:hAnsi="Times New Roman" w:cs="Times New Roman"/>
          <w:color w:val="000000" w:themeColor="text1"/>
          <w:sz w:val="20"/>
          <w:lang w:val="en-AU"/>
        </w:rPr>
        <w:t>.</w:t>
      </w:r>
      <w:proofErr w:type="gramEnd"/>
    </w:p>
  </w:footnote>
  <w:footnote w:id="13">
    <w:p w:rsidR="008459D3" w:rsidRPr="001E60C1" w:rsidRDefault="008459D3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F76F8D">
        <w:rPr>
          <w:rStyle w:val="FootnoteReference"/>
          <w:rFonts w:ascii="Times New Roman" w:hAnsi="Times New Roman" w:cs="Times New Roman"/>
          <w:sz w:val="20"/>
        </w:rPr>
        <w:footnoteRef/>
      </w:r>
      <w:r w:rsidRPr="00F76F8D">
        <w:rPr>
          <w:rFonts w:ascii="Times New Roman" w:hAnsi="Times New Roman" w:cs="Times New Roman"/>
          <w:sz w:val="20"/>
        </w:rPr>
        <w:t xml:space="preserve"> </w:t>
      </w:r>
      <w:r w:rsidR="001052A2" w:rsidRPr="00A230FD">
        <w:rPr>
          <w:rFonts w:ascii="Times New Roman" w:hAnsi="Times New Roman" w:cs="Times New Roman"/>
          <w:sz w:val="20"/>
          <w:szCs w:val="20"/>
        </w:rPr>
        <w:t xml:space="preserve">Australian Law Reform Commission, </w:t>
      </w:r>
      <w:r w:rsidR="001052A2" w:rsidRPr="001E60C1">
        <w:rPr>
          <w:rFonts w:ascii="Times New Roman" w:hAnsi="Times New Roman" w:cs="Times New Roman"/>
          <w:i/>
          <w:sz w:val="20"/>
          <w:szCs w:val="20"/>
        </w:rPr>
        <w:t>Elder Abuse</w:t>
      </w:r>
      <w:r w:rsidR="001052A2" w:rsidRPr="00A230FD">
        <w:rPr>
          <w:rFonts w:ascii="Times New Roman" w:hAnsi="Times New Roman" w:cs="Times New Roman"/>
          <w:sz w:val="20"/>
          <w:szCs w:val="20"/>
        </w:rPr>
        <w:t xml:space="preserve">, </w:t>
      </w:r>
      <w:r w:rsidR="001052A2">
        <w:rPr>
          <w:rFonts w:ascii="Times New Roman" w:hAnsi="Times New Roman" w:cs="Times New Roman"/>
          <w:sz w:val="20"/>
          <w:szCs w:val="20"/>
        </w:rPr>
        <w:t xml:space="preserve">Discussion Paper No 83 (2016) </w:t>
      </w:r>
      <w:r w:rsidR="001052A2" w:rsidRPr="00A230FD">
        <w:rPr>
          <w:rFonts w:ascii="Times New Roman" w:hAnsi="Times New Roman" w:cs="Times New Roman"/>
          <w:sz w:val="20"/>
          <w:szCs w:val="20"/>
        </w:rPr>
        <w:t>97</w:t>
      </w:r>
      <w:r w:rsidR="001052A2">
        <w:rPr>
          <w:rFonts w:ascii="Times New Roman" w:hAnsi="Times New Roman" w:cs="Times New Roman"/>
          <w:sz w:val="20"/>
          <w:szCs w:val="20"/>
        </w:rPr>
        <w:t xml:space="preserve"> [5.54]-[5.55]</w:t>
      </w:r>
      <w:r w:rsidR="001052A2" w:rsidRPr="00A230FD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38" w:rsidRDefault="003C5F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38" w:rsidRDefault="003C5F38" w:rsidP="003C5F38">
    <w:pPr>
      <w:rPr>
        <w:sz w:val="22"/>
        <w:szCs w:val="22"/>
      </w:rPr>
    </w:pPr>
    <w:r>
      <w:rPr>
        <w:lang w:val="en-AU"/>
      </w:rPr>
      <w:t xml:space="preserve">264. </w:t>
    </w:r>
    <w:r>
      <w:rPr>
        <w:sz w:val="22"/>
        <w:szCs w:val="22"/>
      </w:rPr>
      <w:t>University of Newcastle Legal Centre.</w:t>
    </w:r>
  </w:p>
  <w:p w:rsidR="003C5F38" w:rsidRPr="003C5F38" w:rsidRDefault="003C5F38">
    <w:pPr>
      <w:pStyle w:val="Header"/>
      <w:rPr>
        <w:lang w:val="en-A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38" w:rsidRDefault="003C5F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949"/>
    <w:multiLevelType w:val="hybridMultilevel"/>
    <w:tmpl w:val="CDF83B98"/>
    <w:lvl w:ilvl="0" w:tplc="6B3A1B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61E6E"/>
    <w:multiLevelType w:val="hybridMultilevel"/>
    <w:tmpl w:val="79481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C2F42"/>
    <w:multiLevelType w:val="hybridMultilevel"/>
    <w:tmpl w:val="6BBEE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72D88"/>
    <w:multiLevelType w:val="hybridMultilevel"/>
    <w:tmpl w:val="6824C19E"/>
    <w:lvl w:ilvl="0" w:tplc="084CBB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C25B9"/>
    <w:multiLevelType w:val="hybridMultilevel"/>
    <w:tmpl w:val="34B6A8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1093C"/>
    <w:multiLevelType w:val="hybridMultilevel"/>
    <w:tmpl w:val="525AA908"/>
    <w:lvl w:ilvl="0" w:tplc="6BEA545A">
      <w:start w:val="1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D6EF7"/>
    <w:multiLevelType w:val="hybridMultilevel"/>
    <w:tmpl w:val="845C3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D8A"/>
    <w:rsid w:val="0001483F"/>
    <w:rsid w:val="0007627E"/>
    <w:rsid w:val="00081B5F"/>
    <w:rsid w:val="000915BD"/>
    <w:rsid w:val="00095F3C"/>
    <w:rsid w:val="000C11DD"/>
    <w:rsid w:val="000C29BA"/>
    <w:rsid w:val="000D521A"/>
    <w:rsid w:val="001052A2"/>
    <w:rsid w:val="00121A62"/>
    <w:rsid w:val="00132229"/>
    <w:rsid w:val="0014389A"/>
    <w:rsid w:val="00173C98"/>
    <w:rsid w:val="00182776"/>
    <w:rsid w:val="0019007E"/>
    <w:rsid w:val="00190777"/>
    <w:rsid w:val="00195E9C"/>
    <w:rsid w:val="001B6EF5"/>
    <w:rsid w:val="001C1953"/>
    <w:rsid w:val="001E0C00"/>
    <w:rsid w:val="001E60C1"/>
    <w:rsid w:val="001F1674"/>
    <w:rsid w:val="00206A5F"/>
    <w:rsid w:val="002138D3"/>
    <w:rsid w:val="00242A34"/>
    <w:rsid w:val="00244C25"/>
    <w:rsid w:val="0024786A"/>
    <w:rsid w:val="002542DB"/>
    <w:rsid w:val="0025585E"/>
    <w:rsid w:val="002721A1"/>
    <w:rsid w:val="00282AD3"/>
    <w:rsid w:val="00284B4F"/>
    <w:rsid w:val="0028595A"/>
    <w:rsid w:val="002E4CEC"/>
    <w:rsid w:val="002E6390"/>
    <w:rsid w:val="00304B1D"/>
    <w:rsid w:val="0031503F"/>
    <w:rsid w:val="00316140"/>
    <w:rsid w:val="00331634"/>
    <w:rsid w:val="00336FA0"/>
    <w:rsid w:val="00351615"/>
    <w:rsid w:val="003572ED"/>
    <w:rsid w:val="00376CD4"/>
    <w:rsid w:val="00376F14"/>
    <w:rsid w:val="00391C4E"/>
    <w:rsid w:val="00392476"/>
    <w:rsid w:val="0039597F"/>
    <w:rsid w:val="003A5248"/>
    <w:rsid w:val="003C5F38"/>
    <w:rsid w:val="003D0165"/>
    <w:rsid w:val="003D0634"/>
    <w:rsid w:val="003F4CE6"/>
    <w:rsid w:val="003F54DE"/>
    <w:rsid w:val="004170FE"/>
    <w:rsid w:val="004308F8"/>
    <w:rsid w:val="00435D62"/>
    <w:rsid w:val="00446EF2"/>
    <w:rsid w:val="00450D29"/>
    <w:rsid w:val="004526A5"/>
    <w:rsid w:val="00453E71"/>
    <w:rsid w:val="00477275"/>
    <w:rsid w:val="004A34D3"/>
    <w:rsid w:val="004A3A26"/>
    <w:rsid w:val="004B1E87"/>
    <w:rsid w:val="004C17E3"/>
    <w:rsid w:val="004E68D0"/>
    <w:rsid w:val="00522A7F"/>
    <w:rsid w:val="00536039"/>
    <w:rsid w:val="00561176"/>
    <w:rsid w:val="00561273"/>
    <w:rsid w:val="0057474B"/>
    <w:rsid w:val="00582C81"/>
    <w:rsid w:val="005A39C1"/>
    <w:rsid w:val="005D2E13"/>
    <w:rsid w:val="005D5BAF"/>
    <w:rsid w:val="00621527"/>
    <w:rsid w:val="0064066B"/>
    <w:rsid w:val="00646A6A"/>
    <w:rsid w:val="00661091"/>
    <w:rsid w:val="00666CF1"/>
    <w:rsid w:val="00671D19"/>
    <w:rsid w:val="00673C9B"/>
    <w:rsid w:val="0068528A"/>
    <w:rsid w:val="006855F3"/>
    <w:rsid w:val="00690C4C"/>
    <w:rsid w:val="00693113"/>
    <w:rsid w:val="006A561A"/>
    <w:rsid w:val="006C6097"/>
    <w:rsid w:val="006D5055"/>
    <w:rsid w:val="006F034B"/>
    <w:rsid w:val="007133B6"/>
    <w:rsid w:val="007174A8"/>
    <w:rsid w:val="007507CE"/>
    <w:rsid w:val="00765E8B"/>
    <w:rsid w:val="00771FF6"/>
    <w:rsid w:val="007730EE"/>
    <w:rsid w:val="007736C1"/>
    <w:rsid w:val="007748F6"/>
    <w:rsid w:val="00775262"/>
    <w:rsid w:val="00794E57"/>
    <w:rsid w:val="007B4939"/>
    <w:rsid w:val="007C7CDF"/>
    <w:rsid w:val="007D5698"/>
    <w:rsid w:val="00800D4D"/>
    <w:rsid w:val="00801CCA"/>
    <w:rsid w:val="00810712"/>
    <w:rsid w:val="00812417"/>
    <w:rsid w:val="008138E4"/>
    <w:rsid w:val="00813C36"/>
    <w:rsid w:val="008148C4"/>
    <w:rsid w:val="0083002E"/>
    <w:rsid w:val="00843F2B"/>
    <w:rsid w:val="008459D3"/>
    <w:rsid w:val="00870B54"/>
    <w:rsid w:val="00882251"/>
    <w:rsid w:val="008838B4"/>
    <w:rsid w:val="008B23C9"/>
    <w:rsid w:val="008B6A33"/>
    <w:rsid w:val="008C695D"/>
    <w:rsid w:val="008F757D"/>
    <w:rsid w:val="00911D4D"/>
    <w:rsid w:val="0095413D"/>
    <w:rsid w:val="00961D7A"/>
    <w:rsid w:val="00966772"/>
    <w:rsid w:val="00990AE9"/>
    <w:rsid w:val="00997BDB"/>
    <w:rsid w:val="009C3C08"/>
    <w:rsid w:val="00A02063"/>
    <w:rsid w:val="00A04976"/>
    <w:rsid w:val="00A21045"/>
    <w:rsid w:val="00A230FD"/>
    <w:rsid w:val="00A34964"/>
    <w:rsid w:val="00A40F84"/>
    <w:rsid w:val="00A430DF"/>
    <w:rsid w:val="00A90414"/>
    <w:rsid w:val="00AB6D71"/>
    <w:rsid w:val="00AC689E"/>
    <w:rsid w:val="00AD0429"/>
    <w:rsid w:val="00AD58EF"/>
    <w:rsid w:val="00AE2DFC"/>
    <w:rsid w:val="00B20300"/>
    <w:rsid w:val="00B23A78"/>
    <w:rsid w:val="00B25F9F"/>
    <w:rsid w:val="00B3349A"/>
    <w:rsid w:val="00B6206A"/>
    <w:rsid w:val="00B644C4"/>
    <w:rsid w:val="00B8117D"/>
    <w:rsid w:val="00B829F6"/>
    <w:rsid w:val="00C0673F"/>
    <w:rsid w:val="00C21BE2"/>
    <w:rsid w:val="00C3164E"/>
    <w:rsid w:val="00C47981"/>
    <w:rsid w:val="00C54C94"/>
    <w:rsid w:val="00C61C70"/>
    <w:rsid w:val="00C66D36"/>
    <w:rsid w:val="00C73779"/>
    <w:rsid w:val="00C73CC0"/>
    <w:rsid w:val="00C82CB8"/>
    <w:rsid w:val="00CA5E55"/>
    <w:rsid w:val="00CB49A7"/>
    <w:rsid w:val="00CB7E71"/>
    <w:rsid w:val="00CE17DA"/>
    <w:rsid w:val="00CE1FD4"/>
    <w:rsid w:val="00CF6D65"/>
    <w:rsid w:val="00D079FA"/>
    <w:rsid w:val="00D14BCD"/>
    <w:rsid w:val="00D16E98"/>
    <w:rsid w:val="00D349FA"/>
    <w:rsid w:val="00D34EBF"/>
    <w:rsid w:val="00D54116"/>
    <w:rsid w:val="00D81F06"/>
    <w:rsid w:val="00D83B00"/>
    <w:rsid w:val="00D84FD6"/>
    <w:rsid w:val="00D851C8"/>
    <w:rsid w:val="00DB3DFD"/>
    <w:rsid w:val="00DC6464"/>
    <w:rsid w:val="00DC79C4"/>
    <w:rsid w:val="00DF0D8A"/>
    <w:rsid w:val="00DF10B8"/>
    <w:rsid w:val="00E0429E"/>
    <w:rsid w:val="00E070D7"/>
    <w:rsid w:val="00E30E98"/>
    <w:rsid w:val="00E351C4"/>
    <w:rsid w:val="00E53255"/>
    <w:rsid w:val="00E54A63"/>
    <w:rsid w:val="00E6630E"/>
    <w:rsid w:val="00E753C3"/>
    <w:rsid w:val="00EB23DF"/>
    <w:rsid w:val="00EF1AB1"/>
    <w:rsid w:val="00EF3DA1"/>
    <w:rsid w:val="00EF494D"/>
    <w:rsid w:val="00F13EDF"/>
    <w:rsid w:val="00F2742C"/>
    <w:rsid w:val="00F32401"/>
    <w:rsid w:val="00F60312"/>
    <w:rsid w:val="00F61B23"/>
    <w:rsid w:val="00F64A8F"/>
    <w:rsid w:val="00F76F8D"/>
    <w:rsid w:val="00F9397E"/>
    <w:rsid w:val="00FA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23"/>
  </w:style>
  <w:style w:type="paragraph" w:styleId="Heading1">
    <w:name w:val="heading 1"/>
    <w:basedOn w:val="Normal"/>
    <w:next w:val="Normal"/>
    <w:link w:val="Heading1Char"/>
    <w:uiPriority w:val="9"/>
    <w:qFormat/>
    <w:rsid w:val="00DF0D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2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D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042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A52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4A3A26"/>
  </w:style>
  <w:style w:type="character" w:customStyle="1" w:styleId="FootnoteTextChar">
    <w:name w:val="Footnote Text Char"/>
    <w:basedOn w:val="DefaultParagraphFont"/>
    <w:link w:val="FootnoteText"/>
    <w:uiPriority w:val="99"/>
    <w:rsid w:val="004A3A26"/>
  </w:style>
  <w:style w:type="character" w:styleId="FootnoteReference">
    <w:name w:val="footnote reference"/>
    <w:basedOn w:val="DefaultParagraphFont"/>
    <w:uiPriority w:val="99"/>
    <w:unhideWhenUsed/>
    <w:rsid w:val="004A3A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230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0FD"/>
  </w:style>
  <w:style w:type="paragraph" w:styleId="Footer">
    <w:name w:val="footer"/>
    <w:basedOn w:val="Normal"/>
    <w:link w:val="FooterChar"/>
    <w:uiPriority w:val="99"/>
    <w:unhideWhenUsed/>
    <w:rsid w:val="00A230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0FD"/>
  </w:style>
  <w:style w:type="character" w:styleId="Hyperlink">
    <w:name w:val="Hyperlink"/>
    <w:basedOn w:val="DefaultParagraphFont"/>
    <w:uiPriority w:val="99"/>
    <w:unhideWhenUsed/>
    <w:rsid w:val="000915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59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9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9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9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9D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9327">
                      <w:marLeft w:val="-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4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9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5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69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haun.mccarthy@newcastl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1500B5-7DA7-4C0F-8ABC-085B0269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Lloyd</dc:creator>
  <cp:lastModifiedBy>marie-claire.muir</cp:lastModifiedBy>
  <cp:revision>2</cp:revision>
  <cp:lastPrinted>2017-02-22T05:49:00Z</cp:lastPrinted>
  <dcterms:created xsi:type="dcterms:W3CDTF">2017-02-28T06:33:00Z</dcterms:created>
  <dcterms:modified xsi:type="dcterms:W3CDTF">2017-02-28T06:33:00Z</dcterms:modified>
</cp:coreProperties>
</file>