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r w:rsidRPr="00520009">
        <w:rPr>
          <w:rFonts w:cs="Arial"/>
          <w:sz w:val="36"/>
          <w:szCs w:val="36"/>
        </w:rPr>
        <w:t>Submission by the New South Wales Nurses and Midwives</w:t>
      </w:r>
      <w:r w:rsidR="00781D4A">
        <w:rPr>
          <w:rFonts w:cs="Arial"/>
          <w:sz w:val="36"/>
          <w:szCs w:val="36"/>
        </w:rPr>
        <w:t>’</w:t>
      </w:r>
      <w:r w:rsidRPr="00520009">
        <w:rPr>
          <w:rFonts w:cs="Arial"/>
          <w:sz w:val="36"/>
          <w:szCs w:val="36"/>
        </w:rPr>
        <w:t xml:space="preserve"> Association</w:t>
      </w: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r w:rsidRPr="00520009">
        <w:rPr>
          <w:rFonts w:cs="Arial"/>
          <w:sz w:val="36"/>
          <w:szCs w:val="36"/>
        </w:rPr>
        <w:t xml:space="preserve"> </w:t>
      </w:r>
      <w:r w:rsidR="00F73422">
        <w:rPr>
          <w:rFonts w:cs="Arial"/>
          <w:sz w:val="36"/>
          <w:szCs w:val="36"/>
        </w:rPr>
        <w:t xml:space="preserve">Elder Abuse </w:t>
      </w:r>
      <w:r w:rsidR="008B08B6">
        <w:rPr>
          <w:rFonts w:cs="Arial"/>
          <w:sz w:val="36"/>
          <w:szCs w:val="36"/>
        </w:rPr>
        <w:t>Discussion</w:t>
      </w:r>
      <w:r w:rsidR="00F73422">
        <w:rPr>
          <w:rFonts w:cs="Arial"/>
          <w:sz w:val="36"/>
          <w:szCs w:val="36"/>
        </w:rPr>
        <w:t xml:space="preserve"> Paper</w:t>
      </w:r>
    </w:p>
    <w:p w:rsidR="00F73422" w:rsidRPr="00F73422" w:rsidRDefault="00F73422" w:rsidP="00520009">
      <w:pPr>
        <w:autoSpaceDE w:val="0"/>
        <w:autoSpaceDN w:val="0"/>
        <w:adjustRightInd w:val="0"/>
        <w:jc w:val="center"/>
        <w:rPr>
          <w:rFonts w:cs="Arial"/>
          <w:sz w:val="28"/>
          <w:szCs w:val="28"/>
        </w:rPr>
      </w:pPr>
      <w:r w:rsidRPr="00F73422">
        <w:rPr>
          <w:rFonts w:cs="Arial"/>
          <w:sz w:val="28"/>
          <w:szCs w:val="28"/>
        </w:rPr>
        <w:t>Australian Law Reform Commission Inquiry into Elder Abuse</w:t>
      </w:r>
    </w:p>
    <w:p w:rsidR="00F73422" w:rsidRDefault="00F73422"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Default="00520009" w:rsidP="00520009">
      <w:pPr>
        <w:autoSpaceDE w:val="0"/>
        <w:autoSpaceDN w:val="0"/>
        <w:adjustRightInd w:val="0"/>
        <w:jc w:val="center"/>
        <w:rPr>
          <w:rFonts w:cs="Arial"/>
          <w:sz w:val="36"/>
          <w:szCs w:val="36"/>
        </w:rPr>
      </w:pPr>
    </w:p>
    <w:p w:rsidR="00520009" w:rsidRPr="00520009" w:rsidRDefault="008B08B6" w:rsidP="00520009">
      <w:pPr>
        <w:autoSpaceDE w:val="0"/>
        <w:autoSpaceDN w:val="0"/>
        <w:adjustRightInd w:val="0"/>
        <w:jc w:val="center"/>
        <w:rPr>
          <w:rFonts w:cs="Arial"/>
          <w:sz w:val="36"/>
          <w:szCs w:val="36"/>
        </w:rPr>
      </w:pPr>
      <w:r>
        <w:rPr>
          <w:rFonts w:cs="Arial"/>
          <w:sz w:val="36"/>
          <w:szCs w:val="36"/>
        </w:rPr>
        <w:t>February</w:t>
      </w:r>
      <w:r w:rsidR="00520009">
        <w:rPr>
          <w:rFonts w:cs="Arial"/>
          <w:sz w:val="36"/>
          <w:szCs w:val="36"/>
        </w:rPr>
        <w:t xml:space="preserve"> 201</w:t>
      </w:r>
      <w:r>
        <w:rPr>
          <w:rFonts w:cs="Arial"/>
          <w:sz w:val="36"/>
          <w:szCs w:val="36"/>
        </w:rPr>
        <w:t>7</w:t>
      </w:r>
    </w:p>
    <w:p w:rsidR="00520009" w:rsidRDefault="00520009" w:rsidP="00520009">
      <w:pPr>
        <w:autoSpaceDE w:val="0"/>
        <w:autoSpaceDN w:val="0"/>
        <w:adjustRightInd w:val="0"/>
        <w:rPr>
          <w:rFonts w:ascii="Garamond" w:hAnsi="Garamond" w:cs="Garamond"/>
          <w:szCs w:val="24"/>
        </w:rPr>
      </w:pPr>
    </w:p>
    <w:p w:rsidR="00520009" w:rsidRDefault="00520009" w:rsidP="00520009">
      <w:pPr>
        <w:autoSpaceDE w:val="0"/>
        <w:autoSpaceDN w:val="0"/>
        <w:adjustRightInd w:val="0"/>
        <w:rPr>
          <w:rFonts w:ascii="Garamond" w:hAnsi="Garamond" w:cs="Garamond"/>
          <w:szCs w:val="24"/>
        </w:rPr>
      </w:pPr>
    </w:p>
    <w:p w:rsidR="00520009" w:rsidRDefault="00520009" w:rsidP="00520009">
      <w:pPr>
        <w:rPr>
          <w:rFonts w:ascii="Garamond" w:hAnsi="Garamond" w:cs="Garamond"/>
          <w:szCs w:val="24"/>
        </w:rPr>
      </w:pPr>
      <w:r>
        <w:rPr>
          <w:rFonts w:ascii="Garamond" w:hAnsi="Garamond" w:cs="Garamond"/>
          <w:szCs w:val="24"/>
        </w:rPr>
        <w:br w:type="page"/>
      </w:r>
    </w:p>
    <w:p w:rsidR="00967F0A" w:rsidRDefault="00967F0A" w:rsidP="00B97BDD">
      <w:pPr>
        <w:autoSpaceDE w:val="0"/>
        <w:autoSpaceDN w:val="0"/>
        <w:adjustRightInd w:val="0"/>
        <w:spacing w:line="360" w:lineRule="auto"/>
        <w:rPr>
          <w:rFonts w:cs="Arial"/>
        </w:rPr>
      </w:pPr>
      <w:r>
        <w:rPr>
          <w:rFonts w:cs="Arial"/>
        </w:rPr>
        <w:lastRenderedPageBreak/>
        <w:t xml:space="preserve">The </w:t>
      </w:r>
      <w:r w:rsidR="001E1F80">
        <w:rPr>
          <w:rFonts w:cs="Arial"/>
          <w:szCs w:val="24"/>
        </w:rPr>
        <w:t>New South Wales Nurses and Midwives’ Association (NSWNMA)</w:t>
      </w:r>
      <w:r>
        <w:rPr>
          <w:rFonts w:cs="Arial"/>
        </w:rPr>
        <w:t xml:space="preserve"> is the registered union for all nurses and midwives in New South Wales.  The membership of the NSWNMA comprises </w:t>
      </w:r>
      <w:r w:rsidR="000C058E">
        <w:rPr>
          <w:rFonts w:cs="Arial"/>
        </w:rPr>
        <w:t>of</w:t>
      </w:r>
      <w:r>
        <w:rPr>
          <w:rFonts w:cs="Arial"/>
        </w:rPr>
        <w:t xml:space="preserve"> those who perform nursing and midwifery work</w:t>
      </w:r>
      <w:r w:rsidR="000C058E">
        <w:rPr>
          <w:rFonts w:cs="Arial"/>
        </w:rPr>
        <w:t xml:space="preserve"> at all levels including management and education</w:t>
      </w:r>
      <w:r>
        <w:rPr>
          <w:rFonts w:cs="Arial"/>
        </w:rPr>
        <w:t xml:space="preserve">. This includes </w:t>
      </w:r>
      <w:r w:rsidR="000C058E">
        <w:rPr>
          <w:rFonts w:cs="Arial"/>
        </w:rPr>
        <w:t xml:space="preserve">registered nurses and midwives, enrolled nurses and </w:t>
      </w:r>
      <w:r>
        <w:rPr>
          <w:rFonts w:cs="Arial"/>
        </w:rPr>
        <w:t>assistants in nursing (who are unregulated</w:t>
      </w:r>
      <w:r w:rsidR="000C058E">
        <w:rPr>
          <w:rFonts w:cs="Arial"/>
        </w:rPr>
        <w:t>).</w:t>
      </w:r>
      <w:r>
        <w:rPr>
          <w:rFonts w:cs="Arial"/>
        </w:rPr>
        <w:t xml:space="preserve"> </w:t>
      </w:r>
    </w:p>
    <w:p w:rsidR="00B97BDD" w:rsidRPr="008B08B6" w:rsidRDefault="00967F0A" w:rsidP="008B08B6">
      <w:pPr>
        <w:spacing w:before="240" w:after="240" w:line="360" w:lineRule="auto"/>
        <w:rPr>
          <w:rFonts w:cs="Arial"/>
        </w:rPr>
      </w:pPr>
      <w:r>
        <w:rPr>
          <w:rFonts w:cs="Arial"/>
        </w:rPr>
        <w:t xml:space="preserve">The NSWNMA has approximately </w:t>
      </w:r>
      <w:r w:rsidR="00706308" w:rsidRPr="00706308">
        <w:rPr>
          <w:rFonts w:cs="Arial"/>
        </w:rPr>
        <w:t>64</w:t>
      </w:r>
      <w:r w:rsidRPr="00706308">
        <w:rPr>
          <w:rFonts w:cs="Arial"/>
        </w:rPr>
        <w:t>,000</w:t>
      </w:r>
      <w:r>
        <w:rPr>
          <w:rFonts w:cs="Arial"/>
        </w:rPr>
        <w:t xml:space="preserve"> members</w:t>
      </w:r>
      <w:r w:rsidR="00F73422">
        <w:rPr>
          <w:rFonts w:cs="Arial"/>
        </w:rPr>
        <w:t xml:space="preserve">, of which </w:t>
      </w:r>
      <w:r w:rsidR="00706308" w:rsidRPr="003C53D4">
        <w:rPr>
          <w:rFonts w:cs="Arial"/>
        </w:rPr>
        <w:t>1</w:t>
      </w:r>
      <w:r w:rsidR="003C53D4">
        <w:rPr>
          <w:rFonts w:cs="Arial"/>
        </w:rPr>
        <w:t>0</w:t>
      </w:r>
      <w:r w:rsidR="00706308" w:rsidRPr="003C53D4">
        <w:rPr>
          <w:rFonts w:cs="Arial"/>
        </w:rPr>
        <w:t>,000</w:t>
      </w:r>
      <w:r w:rsidR="00F73422">
        <w:rPr>
          <w:rFonts w:cs="Arial"/>
        </w:rPr>
        <w:t xml:space="preserve"> work in aged care </w:t>
      </w:r>
      <w:r w:rsidR="00706308">
        <w:rPr>
          <w:rFonts w:cs="Arial"/>
        </w:rPr>
        <w:t>or</w:t>
      </w:r>
      <w:r w:rsidR="00F73422">
        <w:rPr>
          <w:rFonts w:cs="Arial"/>
        </w:rPr>
        <w:t xml:space="preserve"> disability services.</w:t>
      </w:r>
      <w:r>
        <w:rPr>
          <w:rFonts w:cs="Arial"/>
        </w:rPr>
        <w:t xml:space="preserve">  Eligible members of the NSWNMA are also deemed to be members of the New South Wales Branch of the Australian Nursing and Midwifery Federation.</w:t>
      </w:r>
      <w:r w:rsidR="00B97BDD">
        <w:rPr>
          <w:rFonts w:cs="Arial"/>
        </w:rPr>
        <w:t xml:space="preserve"> O</w:t>
      </w:r>
      <w:r>
        <w:rPr>
          <w:rFonts w:cs="Arial"/>
        </w:rPr>
        <w:t>ur role is to protect and advance the interests of nurses and midwives and the nursing and midwifery professions.  We are also committed to improving standards of patient care and the quality of services in health and aged care services.</w:t>
      </w:r>
    </w:p>
    <w:p w:rsidR="00ED0BAA" w:rsidRDefault="00967F0A" w:rsidP="00ED0BAA">
      <w:pPr>
        <w:autoSpaceDE w:val="0"/>
        <w:autoSpaceDN w:val="0"/>
        <w:adjustRightInd w:val="0"/>
        <w:spacing w:line="360" w:lineRule="auto"/>
        <w:rPr>
          <w:rFonts w:cs="Arial"/>
          <w:szCs w:val="24"/>
        </w:rPr>
      </w:pPr>
      <w:r>
        <w:rPr>
          <w:rFonts w:cs="Arial"/>
          <w:szCs w:val="24"/>
        </w:rPr>
        <w:t xml:space="preserve">We welcome the opportunity to make </w:t>
      </w:r>
      <w:r w:rsidR="000C058E">
        <w:rPr>
          <w:rFonts w:cs="Arial"/>
          <w:szCs w:val="24"/>
        </w:rPr>
        <w:t xml:space="preserve">a </w:t>
      </w:r>
      <w:r>
        <w:rPr>
          <w:rFonts w:cs="Arial"/>
          <w:szCs w:val="24"/>
        </w:rPr>
        <w:t xml:space="preserve">submission to this </w:t>
      </w:r>
      <w:r w:rsidR="008B08B6">
        <w:rPr>
          <w:rFonts w:cs="Arial"/>
          <w:szCs w:val="24"/>
        </w:rPr>
        <w:t>discussion</w:t>
      </w:r>
      <w:r w:rsidR="00F73422">
        <w:rPr>
          <w:rFonts w:cs="Arial"/>
          <w:szCs w:val="24"/>
        </w:rPr>
        <w:t xml:space="preserve"> paper </w:t>
      </w:r>
      <w:r>
        <w:rPr>
          <w:rFonts w:cs="Arial"/>
          <w:szCs w:val="24"/>
        </w:rPr>
        <w:t xml:space="preserve">and the opportunity for wider discussion that this provides. </w:t>
      </w:r>
    </w:p>
    <w:p w:rsidR="00967F0A" w:rsidRDefault="00967F0A" w:rsidP="00B97BDD">
      <w:pPr>
        <w:autoSpaceDE w:val="0"/>
        <w:autoSpaceDN w:val="0"/>
        <w:adjustRightInd w:val="0"/>
        <w:spacing w:line="360" w:lineRule="auto"/>
        <w:rPr>
          <w:rFonts w:cs="Arial"/>
          <w:szCs w:val="24"/>
        </w:rPr>
      </w:pPr>
    </w:p>
    <w:p w:rsidR="00AD1010" w:rsidRDefault="00AD1010" w:rsidP="00B97BDD">
      <w:pPr>
        <w:autoSpaceDE w:val="0"/>
        <w:autoSpaceDN w:val="0"/>
        <w:adjustRightInd w:val="0"/>
        <w:spacing w:line="360" w:lineRule="auto"/>
        <w:rPr>
          <w:rFonts w:cs="Arial"/>
          <w:szCs w:val="24"/>
        </w:rPr>
      </w:pPr>
      <w:r>
        <w:rPr>
          <w:rFonts w:cs="Arial"/>
          <w:szCs w:val="24"/>
        </w:rPr>
        <w:t xml:space="preserve">This submission </w:t>
      </w:r>
      <w:r w:rsidR="007D1842">
        <w:rPr>
          <w:rFonts w:cs="Arial"/>
          <w:szCs w:val="24"/>
        </w:rPr>
        <w:t xml:space="preserve">is </w:t>
      </w:r>
      <w:proofErr w:type="spellStart"/>
      <w:r w:rsidR="007D1842">
        <w:rPr>
          <w:rFonts w:cs="Arial"/>
          <w:szCs w:val="24"/>
        </w:rPr>
        <w:t>authorised</w:t>
      </w:r>
      <w:proofErr w:type="spellEnd"/>
      <w:r w:rsidR="007D1842">
        <w:rPr>
          <w:rFonts w:cs="Arial"/>
          <w:szCs w:val="24"/>
        </w:rPr>
        <w:t xml:space="preserve"> by the elected members of the New South Wales Nurses and Midwives</w:t>
      </w:r>
      <w:r w:rsidR="00781D4A">
        <w:rPr>
          <w:rFonts w:cs="Arial"/>
          <w:szCs w:val="24"/>
        </w:rPr>
        <w:t>’</w:t>
      </w:r>
      <w:r w:rsidR="007D1842">
        <w:rPr>
          <w:rFonts w:cs="Arial"/>
          <w:szCs w:val="24"/>
        </w:rPr>
        <w:t xml:space="preserve"> Association</w:t>
      </w:r>
      <w:r w:rsidR="00B97BDD">
        <w:rPr>
          <w:rFonts w:cs="Arial"/>
          <w:szCs w:val="24"/>
        </w:rPr>
        <w:t>.</w:t>
      </w:r>
    </w:p>
    <w:p w:rsidR="00AD1010" w:rsidRDefault="00AD1010" w:rsidP="00B97BDD">
      <w:pPr>
        <w:autoSpaceDE w:val="0"/>
        <w:autoSpaceDN w:val="0"/>
        <w:adjustRightInd w:val="0"/>
        <w:spacing w:line="360" w:lineRule="auto"/>
        <w:rPr>
          <w:rFonts w:cs="Arial"/>
          <w:szCs w:val="24"/>
        </w:rPr>
      </w:pPr>
    </w:p>
    <w:p w:rsidR="00520009" w:rsidRPr="00AD1010" w:rsidRDefault="00AD1010" w:rsidP="00520009">
      <w:pPr>
        <w:autoSpaceDE w:val="0"/>
        <w:autoSpaceDN w:val="0"/>
        <w:adjustRightInd w:val="0"/>
        <w:rPr>
          <w:rFonts w:cs="Arial"/>
          <w:szCs w:val="24"/>
        </w:rPr>
      </w:pPr>
      <w:r w:rsidRPr="00AD1010">
        <w:rPr>
          <w:rFonts w:cs="Arial"/>
          <w:szCs w:val="24"/>
        </w:rPr>
        <w:t>Contact details</w:t>
      </w:r>
    </w:p>
    <w:p w:rsidR="00AD1010" w:rsidRPr="00AD1010" w:rsidRDefault="00AD1010" w:rsidP="00520009">
      <w:pPr>
        <w:autoSpaceDE w:val="0"/>
        <w:autoSpaceDN w:val="0"/>
        <w:adjustRightInd w:val="0"/>
        <w:rPr>
          <w:rFonts w:cs="Arial"/>
          <w:szCs w:val="24"/>
        </w:rPr>
      </w:pPr>
    </w:p>
    <w:p w:rsidR="00AD1010" w:rsidRPr="00AD1010" w:rsidRDefault="00AD1010" w:rsidP="00520009">
      <w:pPr>
        <w:autoSpaceDE w:val="0"/>
        <w:autoSpaceDN w:val="0"/>
        <w:adjustRightInd w:val="0"/>
        <w:rPr>
          <w:rFonts w:cs="Arial"/>
          <w:szCs w:val="24"/>
        </w:rPr>
      </w:pPr>
      <w:r w:rsidRPr="00AD1010">
        <w:rPr>
          <w:rFonts w:cs="Arial"/>
          <w:szCs w:val="24"/>
        </w:rPr>
        <w:t>NSW Nurses and Midwives</w:t>
      </w:r>
      <w:r w:rsidR="00781D4A">
        <w:rPr>
          <w:rFonts w:cs="Arial"/>
          <w:szCs w:val="24"/>
        </w:rPr>
        <w:t>’</w:t>
      </w:r>
      <w:r w:rsidRPr="00AD1010">
        <w:rPr>
          <w:rFonts w:cs="Arial"/>
          <w:szCs w:val="24"/>
        </w:rPr>
        <w:t xml:space="preserve"> Association</w:t>
      </w:r>
    </w:p>
    <w:p w:rsidR="00AD1010" w:rsidRPr="00AD1010" w:rsidRDefault="00AD1010" w:rsidP="00520009">
      <w:pPr>
        <w:autoSpaceDE w:val="0"/>
        <w:autoSpaceDN w:val="0"/>
        <w:adjustRightInd w:val="0"/>
        <w:rPr>
          <w:rFonts w:cs="Arial"/>
          <w:szCs w:val="24"/>
        </w:rPr>
      </w:pPr>
      <w:r w:rsidRPr="00AD1010">
        <w:rPr>
          <w:rFonts w:cs="Arial"/>
          <w:szCs w:val="24"/>
        </w:rPr>
        <w:t>50 O’Dea Avenue</w:t>
      </w:r>
    </w:p>
    <w:p w:rsidR="00AD1010" w:rsidRPr="00AD1010" w:rsidRDefault="00AD1010" w:rsidP="00520009">
      <w:pPr>
        <w:autoSpaceDE w:val="0"/>
        <w:autoSpaceDN w:val="0"/>
        <w:adjustRightInd w:val="0"/>
        <w:rPr>
          <w:rFonts w:cs="Arial"/>
          <w:szCs w:val="24"/>
        </w:rPr>
      </w:pPr>
      <w:r w:rsidRPr="00AD1010">
        <w:rPr>
          <w:rFonts w:cs="Arial"/>
          <w:szCs w:val="24"/>
        </w:rPr>
        <w:t>Waterloo</w:t>
      </w:r>
    </w:p>
    <w:p w:rsidR="00AD1010" w:rsidRPr="00AD1010" w:rsidRDefault="00AD1010" w:rsidP="00520009">
      <w:pPr>
        <w:autoSpaceDE w:val="0"/>
        <w:autoSpaceDN w:val="0"/>
        <w:adjustRightInd w:val="0"/>
        <w:rPr>
          <w:rFonts w:cs="Arial"/>
          <w:szCs w:val="24"/>
        </w:rPr>
      </w:pPr>
      <w:r w:rsidRPr="00AD1010">
        <w:rPr>
          <w:rFonts w:cs="Arial"/>
          <w:szCs w:val="24"/>
        </w:rPr>
        <w:t>NSW 2017</w:t>
      </w:r>
    </w:p>
    <w:p w:rsidR="00AD1010" w:rsidRPr="00AD1010" w:rsidRDefault="00AD1010" w:rsidP="00520009">
      <w:pPr>
        <w:autoSpaceDE w:val="0"/>
        <w:autoSpaceDN w:val="0"/>
        <w:adjustRightInd w:val="0"/>
        <w:rPr>
          <w:rFonts w:cs="Arial"/>
          <w:szCs w:val="24"/>
        </w:rPr>
      </w:pPr>
    </w:p>
    <w:p w:rsidR="00AD1010" w:rsidRPr="00AD1010" w:rsidRDefault="00AD1010" w:rsidP="00520009">
      <w:pPr>
        <w:autoSpaceDE w:val="0"/>
        <w:autoSpaceDN w:val="0"/>
        <w:adjustRightInd w:val="0"/>
        <w:rPr>
          <w:rFonts w:cs="Arial"/>
          <w:szCs w:val="24"/>
        </w:rPr>
      </w:pPr>
      <w:r w:rsidRPr="00AD1010">
        <w:rPr>
          <w:rFonts w:cs="Arial"/>
          <w:szCs w:val="24"/>
        </w:rPr>
        <w:t>(02) 8595 1234 (METRO)</w:t>
      </w:r>
    </w:p>
    <w:p w:rsidR="00AD1010" w:rsidRPr="00AD1010" w:rsidRDefault="00AD1010" w:rsidP="00520009">
      <w:pPr>
        <w:autoSpaceDE w:val="0"/>
        <w:autoSpaceDN w:val="0"/>
        <w:adjustRightInd w:val="0"/>
        <w:rPr>
          <w:rFonts w:cs="Arial"/>
          <w:szCs w:val="24"/>
        </w:rPr>
      </w:pPr>
      <w:r w:rsidRPr="00AD1010">
        <w:rPr>
          <w:rFonts w:cs="Arial"/>
          <w:szCs w:val="24"/>
        </w:rPr>
        <w:t>1300 367 962 (RURAL)</w:t>
      </w:r>
    </w:p>
    <w:p w:rsidR="00AD1010" w:rsidRDefault="0073005A" w:rsidP="00520009">
      <w:pPr>
        <w:autoSpaceDE w:val="0"/>
        <w:autoSpaceDN w:val="0"/>
        <w:adjustRightInd w:val="0"/>
        <w:rPr>
          <w:rFonts w:eastAsiaTheme="minorEastAsia" w:cs="Arial"/>
          <w:noProof/>
          <w:szCs w:val="24"/>
        </w:rPr>
      </w:pPr>
      <w:hyperlink r:id="rId8" w:history="1">
        <w:r w:rsidR="0062695A" w:rsidRPr="007143AC">
          <w:rPr>
            <w:rStyle w:val="Hyperlink"/>
            <w:rFonts w:eastAsiaTheme="minorEastAsia" w:cs="Arial"/>
            <w:noProof/>
            <w:szCs w:val="24"/>
          </w:rPr>
          <w:t>gensec@nswnma.asn.au</w:t>
        </w:r>
      </w:hyperlink>
      <w:r w:rsidR="00AD1010" w:rsidRPr="00AD1010">
        <w:rPr>
          <w:rFonts w:eastAsiaTheme="minorEastAsia" w:cs="Arial"/>
          <w:noProof/>
          <w:szCs w:val="24"/>
        </w:rPr>
        <w:t> </w:t>
      </w:r>
    </w:p>
    <w:p w:rsidR="00B65027" w:rsidRDefault="00B65027">
      <w:pPr>
        <w:rPr>
          <w:rFonts w:eastAsiaTheme="minorEastAsia" w:cs="Arial"/>
          <w:noProof/>
          <w:szCs w:val="24"/>
        </w:rPr>
      </w:pPr>
      <w:r>
        <w:rPr>
          <w:rFonts w:eastAsiaTheme="minorEastAsia" w:cs="Arial"/>
          <w:noProof/>
          <w:szCs w:val="24"/>
        </w:rPr>
        <w:br w:type="page"/>
      </w:r>
    </w:p>
    <w:p w:rsidR="00527769" w:rsidRPr="00BB21CA" w:rsidRDefault="005243C3" w:rsidP="00527769">
      <w:pPr>
        <w:jc w:val="center"/>
        <w:rPr>
          <w:rFonts w:cs="Arial"/>
          <w:b/>
          <w:sz w:val="28"/>
          <w:szCs w:val="28"/>
        </w:rPr>
      </w:pPr>
      <w:r w:rsidRPr="00BB21CA">
        <w:rPr>
          <w:rFonts w:cs="Arial"/>
          <w:b/>
          <w:sz w:val="28"/>
          <w:szCs w:val="28"/>
        </w:rPr>
        <w:lastRenderedPageBreak/>
        <w:t>Introduction</w:t>
      </w:r>
    </w:p>
    <w:p w:rsidR="0062695A" w:rsidRDefault="0062695A" w:rsidP="009A4AE4">
      <w:pPr>
        <w:autoSpaceDE w:val="0"/>
        <w:autoSpaceDN w:val="0"/>
        <w:adjustRightInd w:val="0"/>
        <w:spacing w:line="360" w:lineRule="auto"/>
        <w:rPr>
          <w:rFonts w:cs="Arial"/>
          <w:szCs w:val="24"/>
        </w:rPr>
      </w:pPr>
    </w:p>
    <w:p w:rsidR="009A4AE4" w:rsidRDefault="009A4AE4" w:rsidP="009A4AE4">
      <w:pPr>
        <w:autoSpaceDE w:val="0"/>
        <w:autoSpaceDN w:val="0"/>
        <w:adjustRightInd w:val="0"/>
        <w:spacing w:line="360" w:lineRule="auto"/>
        <w:rPr>
          <w:rFonts w:cs="Arial"/>
          <w:szCs w:val="24"/>
        </w:rPr>
      </w:pPr>
    </w:p>
    <w:p w:rsidR="00BB21CA" w:rsidRDefault="00BB21CA" w:rsidP="005243C3">
      <w:pPr>
        <w:autoSpaceDE w:val="0"/>
        <w:autoSpaceDN w:val="0"/>
        <w:adjustRightInd w:val="0"/>
        <w:spacing w:line="360" w:lineRule="auto"/>
        <w:rPr>
          <w:rFonts w:cs="Arial"/>
          <w:szCs w:val="24"/>
        </w:rPr>
      </w:pPr>
    </w:p>
    <w:p w:rsidR="008B08B6" w:rsidRDefault="005243C3" w:rsidP="005243C3">
      <w:pPr>
        <w:autoSpaceDE w:val="0"/>
        <w:autoSpaceDN w:val="0"/>
        <w:adjustRightInd w:val="0"/>
        <w:spacing w:line="360" w:lineRule="auto"/>
        <w:rPr>
          <w:rFonts w:cs="Arial"/>
          <w:szCs w:val="24"/>
        </w:rPr>
      </w:pPr>
      <w:r>
        <w:rPr>
          <w:rFonts w:cs="Arial"/>
          <w:szCs w:val="24"/>
        </w:rPr>
        <w:t>Th</w:t>
      </w:r>
      <w:r w:rsidR="008B08B6">
        <w:rPr>
          <w:rFonts w:cs="Arial"/>
          <w:szCs w:val="24"/>
        </w:rPr>
        <w:t xml:space="preserve">is is the second submission to the ALRC on the subject of elder abuse. </w:t>
      </w:r>
      <w:r>
        <w:rPr>
          <w:rFonts w:cs="Arial"/>
          <w:szCs w:val="24"/>
        </w:rPr>
        <w:t xml:space="preserve"> </w:t>
      </w:r>
      <w:r w:rsidR="008B08B6">
        <w:rPr>
          <w:rFonts w:cs="Arial"/>
          <w:szCs w:val="24"/>
        </w:rPr>
        <w:t xml:space="preserve">The </w:t>
      </w:r>
      <w:r>
        <w:rPr>
          <w:rFonts w:cs="Arial"/>
          <w:szCs w:val="24"/>
        </w:rPr>
        <w:t xml:space="preserve">NSWNMA </w:t>
      </w:r>
      <w:r w:rsidR="008B08B6">
        <w:rPr>
          <w:rFonts w:cs="Arial"/>
          <w:szCs w:val="24"/>
        </w:rPr>
        <w:t xml:space="preserve">also </w:t>
      </w:r>
      <w:r>
        <w:rPr>
          <w:rFonts w:cs="Arial"/>
          <w:szCs w:val="24"/>
        </w:rPr>
        <w:t xml:space="preserve">made a submission and gave evidence at </w:t>
      </w:r>
      <w:r w:rsidR="008B08B6">
        <w:rPr>
          <w:rFonts w:cs="Arial"/>
          <w:szCs w:val="24"/>
        </w:rPr>
        <w:t>the</w:t>
      </w:r>
      <w:r>
        <w:rPr>
          <w:rFonts w:cs="Arial"/>
          <w:szCs w:val="24"/>
        </w:rPr>
        <w:t xml:space="preserve"> NSW Parliamentary Inquiry into Elder Abuse in New South Wales. To avoid duplication</w:t>
      </w:r>
      <w:r w:rsidR="000C058E">
        <w:rPr>
          <w:rFonts w:cs="Arial"/>
          <w:szCs w:val="24"/>
        </w:rPr>
        <w:t>,</w:t>
      </w:r>
      <w:r>
        <w:rPr>
          <w:rFonts w:cs="Arial"/>
          <w:szCs w:val="24"/>
        </w:rPr>
        <w:t xml:space="preserve"> we refer the committee to our </w:t>
      </w:r>
      <w:r w:rsidR="008B08B6">
        <w:rPr>
          <w:rFonts w:cs="Arial"/>
          <w:szCs w:val="24"/>
        </w:rPr>
        <w:t xml:space="preserve">previous </w:t>
      </w:r>
      <w:r>
        <w:rPr>
          <w:rFonts w:cs="Arial"/>
          <w:szCs w:val="24"/>
        </w:rPr>
        <w:t>submission</w:t>
      </w:r>
      <w:r w:rsidR="008B08B6">
        <w:rPr>
          <w:rFonts w:cs="Arial"/>
          <w:szCs w:val="24"/>
        </w:rPr>
        <w:t xml:space="preserve">s and papers </w:t>
      </w:r>
      <w:r w:rsidR="002D5B06">
        <w:rPr>
          <w:rFonts w:cs="Arial"/>
          <w:szCs w:val="24"/>
        </w:rPr>
        <w:t>and the recommendations contained therein</w:t>
      </w:r>
      <w:r w:rsidR="00AC4105">
        <w:rPr>
          <w:rStyle w:val="FootnoteReference"/>
          <w:rFonts w:cs="Arial"/>
          <w:szCs w:val="24"/>
        </w:rPr>
        <w:footnoteReference w:id="1"/>
      </w:r>
      <w:r>
        <w:rPr>
          <w:rFonts w:cs="Arial"/>
          <w:szCs w:val="24"/>
        </w:rPr>
        <w:t xml:space="preserve">. </w:t>
      </w:r>
    </w:p>
    <w:p w:rsidR="008B08B6" w:rsidRDefault="008B08B6" w:rsidP="005243C3">
      <w:pPr>
        <w:autoSpaceDE w:val="0"/>
        <w:autoSpaceDN w:val="0"/>
        <w:adjustRightInd w:val="0"/>
        <w:spacing w:line="360" w:lineRule="auto"/>
        <w:rPr>
          <w:rFonts w:cs="Arial"/>
          <w:szCs w:val="24"/>
        </w:rPr>
      </w:pPr>
    </w:p>
    <w:p w:rsidR="008B08B6" w:rsidRDefault="008B08B6" w:rsidP="005243C3">
      <w:pPr>
        <w:autoSpaceDE w:val="0"/>
        <w:autoSpaceDN w:val="0"/>
        <w:adjustRightInd w:val="0"/>
        <w:spacing w:line="360" w:lineRule="auto"/>
        <w:rPr>
          <w:rFonts w:cs="Arial"/>
          <w:szCs w:val="24"/>
        </w:rPr>
      </w:pPr>
      <w:r>
        <w:rPr>
          <w:rFonts w:cs="Arial"/>
          <w:szCs w:val="24"/>
        </w:rPr>
        <w:t>Our members continue to be concerned about the issue of elder abuse, particularly those working in residential aged care facilities. The prevalence of elder abuse in these workplaces i</w:t>
      </w:r>
      <w:r w:rsidR="0001187A">
        <w:rPr>
          <w:rFonts w:cs="Arial"/>
          <w:szCs w:val="24"/>
        </w:rPr>
        <w:t>s</w:t>
      </w:r>
      <w:r>
        <w:rPr>
          <w:rFonts w:cs="Arial"/>
          <w:szCs w:val="24"/>
        </w:rPr>
        <w:t xml:space="preserve"> inextricably linked to staffing and skills mix. It is our view that to </w:t>
      </w:r>
      <w:r w:rsidR="002D5B06">
        <w:rPr>
          <w:rFonts w:cs="Arial"/>
          <w:szCs w:val="24"/>
        </w:rPr>
        <w:t>increase safeguards for older people there must also be laws securing</w:t>
      </w:r>
      <w:r w:rsidR="001D6743">
        <w:rPr>
          <w:rFonts w:cs="Arial"/>
          <w:szCs w:val="24"/>
        </w:rPr>
        <w:t>:</w:t>
      </w:r>
      <w:r w:rsidR="002D5B06">
        <w:rPr>
          <w:rFonts w:cs="Arial"/>
          <w:szCs w:val="24"/>
        </w:rPr>
        <w:t xml:space="preserve"> minimum safe staffing levels and skills mix</w:t>
      </w:r>
      <w:r w:rsidR="001D6743">
        <w:rPr>
          <w:rFonts w:cs="Arial"/>
          <w:szCs w:val="24"/>
        </w:rPr>
        <w:t>;</w:t>
      </w:r>
      <w:r w:rsidR="002D5B06">
        <w:rPr>
          <w:rFonts w:cs="Arial"/>
          <w:szCs w:val="24"/>
        </w:rPr>
        <w:t xml:space="preserve"> minimum standards of conduct for all aged care workers</w:t>
      </w:r>
      <w:r w:rsidR="001D6743">
        <w:rPr>
          <w:rFonts w:cs="Arial"/>
          <w:szCs w:val="24"/>
        </w:rPr>
        <w:t>; minimum training expectations in elder abuse</w:t>
      </w:r>
      <w:r w:rsidR="002D5B06">
        <w:rPr>
          <w:rFonts w:cs="Arial"/>
          <w:szCs w:val="24"/>
        </w:rPr>
        <w:t xml:space="preserve"> and employment security should workers raise issues of concern.</w:t>
      </w:r>
    </w:p>
    <w:p w:rsidR="008B08B6" w:rsidRDefault="008B08B6" w:rsidP="005243C3">
      <w:pPr>
        <w:autoSpaceDE w:val="0"/>
        <w:autoSpaceDN w:val="0"/>
        <w:adjustRightInd w:val="0"/>
        <w:spacing w:line="360" w:lineRule="auto"/>
        <w:rPr>
          <w:rFonts w:cs="Arial"/>
          <w:szCs w:val="24"/>
        </w:rPr>
      </w:pPr>
    </w:p>
    <w:p w:rsidR="005243C3" w:rsidRPr="00002CA6" w:rsidRDefault="001D6743" w:rsidP="005243C3">
      <w:pPr>
        <w:autoSpaceDE w:val="0"/>
        <w:autoSpaceDN w:val="0"/>
        <w:adjustRightInd w:val="0"/>
        <w:spacing w:line="360" w:lineRule="auto"/>
        <w:rPr>
          <w:rFonts w:cs="Arial"/>
          <w:szCs w:val="24"/>
        </w:rPr>
      </w:pPr>
      <w:r>
        <w:rPr>
          <w:rFonts w:cs="Arial"/>
          <w:szCs w:val="24"/>
        </w:rPr>
        <w:t xml:space="preserve">This submission will provide further comment on the proposals and questions relevant to our members. </w:t>
      </w:r>
      <w:r w:rsidR="005243C3">
        <w:rPr>
          <w:rFonts w:cs="Arial"/>
          <w:szCs w:val="24"/>
        </w:rPr>
        <w:t>We would welcome the opportunity for further engagement regarding this important issue.</w:t>
      </w:r>
    </w:p>
    <w:p w:rsidR="005243C3" w:rsidRDefault="005243C3" w:rsidP="005243C3">
      <w:pPr>
        <w:autoSpaceDE w:val="0"/>
        <w:autoSpaceDN w:val="0"/>
        <w:adjustRightInd w:val="0"/>
        <w:spacing w:line="360" w:lineRule="auto"/>
        <w:rPr>
          <w:rFonts w:cs="Arial"/>
          <w:szCs w:val="24"/>
        </w:rPr>
      </w:pPr>
    </w:p>
    <w:p w:rsidR="00540C51" w:rsidRDefault="00540C51" w:rsidP="005243C3">
      <w:pPr>
        <w:autoSpaceDE w:val="0"/>
        <w:autoSpaceDN w:val="0"/>
        <w:adjustRightInd w:val="0"/>
        <w:spacing w:line="360" w:lineRule="auto"/>
        <w:rPr>
          <w:rFonts w:cs="Arial"/>
          <w:szCs w:val="24"/>
        </w:rPr>
      </w:pPr>
    </w:p>
    <w:p w:rsidR="00540C51" w:rsidRDefault="00540C51" w:rsidP="005243C3">
      <w:pPr>
        <w:autoSpaceDE w:val="0"/>
        <w:autoSpaceDN w:val="0"/>
        <w:adjustRightInd w:val="0"/>
        <w:spacing w:line="360" w:lineRule="auto"/>
        <w:rPr>
          <w:rFonts w:cs="Arial"/>
          <w:szCs w:val="24"/>
        </w:rPr>
      </w:pPr>
    </w:p>
    <w:p w:rsidR="005243C3" w:rsidRDefault="00540C51" w:rsidP="005243C3">
      <w:pPr>
        <w:autoSpaceDE w:val="0"/>
        <w:autoSpaceDN w:val="0"/>
        <w:adjustRightInd w:val="0"/>
        <w:spacing w:line="360" w:lineRule="auto"/>
        <w:rPr>
          <w:rFonts w:cs="Arial"/>
          <w:szCs w:val="24"/>
        </w:rPr>
      </w:pPr>
      <w:bookmarkStart w:id="0" w:name="_GoBack"/>
      <w:bookmarkEnd w:id="0"/>
      <w:r>
        <w:rPr>
          <w:rFonts w:cs="Arial"/>
          <w:szCs w:val="24"/>
        </w:rPr>
        <w:t xml:space="preserve">Judith </w:t>
      </w:r>
      <w:proofErr w:type="spellStart"/>
      <w:r>
        <w:rPr>
          <w:rFonts w:cs="Arial"/>
          <w:szCs w:val="24"/>
        </w:rPr>
        <w:t>Kiejda</w:t>
      </w:r>
      <w:proofErr w:type="spellEnd"/>
    </w:p>
    <w:p w:rsidR="00B65027" w:rsidRDefault="00540C51" w:rsidP="000C717E">
      <w:pPr>
        <w:autoSpaceDE w:val="0"/>
        <w:autoSpaceDN w:val="0"/>
        <w:adjustRightInd w:val="0"/>
        <w:spacing w:line="360" w:lineRule="auto"/>
        <w:rPr>
          <w:rFonts w:cs="Arial"/>
          <w:szCs w:val="24"/>
        </w:rPr>
      </w:pPr>
      <w:r>
        <w:rPr>
          <w:rFonts w:cs="Arial"/>
          <w:szCs w:val="24"/>
        </w:rPr>
        <w:t xml:space="preserve">Acting </w:t>
      </w:r>
      <w:r w:rsidR="005243C3">
        <w:rPr>
          <w:rFonts w:cs="Arial"/>
          <w:szCs w:val="24"/>
        </w:rPr>
        <w:t xml:space="preserve">General Secretary </w:t>
      </w:r>
      <w:r w:rsidR="00B65027">
        <w:rPr>
          <w:rFonts w:cs="Arial"/>
          <w:szCs w:val="24"/>
        </w:rPr>
        <w:br w:type="page"/>
      </w:r>
    </w:p>
    <w:p w:rsidR="002D4B3C" w:rsidRPr="00BB21CA" w:rsidRDefault="002D4B3C" w:rsidP="002D4B3C">
      <w:pPr>
        <w:autoSpaceDE w:val="0"/>
        <w:autoSpaceDN w:val="0"/>
        <w:adjustRightInd w:val="0"/>
        <w:jc w:val="center"/>
        <w:rPr>
          <w:rFonts w:cs="Arial"/>
          <w:b/>
          <w:sz w:val="28"/>
          <w:szCs w:val="28"/>
        </w:rPr>
      </w:pPr>
      <w:r w:rsidRPr="00BB21CA">
        <w:rPr>
          <w:rFonts w:cs="Arial"/>
          <w:b/>
          <w:sz w:val="28"/>
          <w:szCs w:val="28"/>
        </w:rPr>
        <w:lastRenderedPageBreak/>
        <w:t>Contents</w:t>
      </w:r>
    </w:p>
    <w:p w:rsidR="002D4B3C" w:rsidRDefault="002D4B3C" w:rsidP="002D4B3C">
      <w:pPr>
        <w:rPr>
          <w:rFonts w:cs="Arial"/>
          <w:szCs w:val="24"/>
        </w:rPr>
      </w:pPr>
    </w:p>
    <w:p w:rsidR="002D4B3C" w:rsidRDefault="002D4B3C" w:rsidP="002D4B3C">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2"/>
        <w:gridCol w:w="7245"/>
      </w:tblGrid>
      <w:tr w:rsidR="002D4B3C" w:rsidTr="00185A92">
        <w:tc>
          <w:tcPr>
            <w:tcW w:w="1782" w:type="dxa"/>
          </w:tcPr>
          <w:p w:rsidR="00BB21CA" w:rsidRDefault="00BB21CA" w:rsidP="000D64D6">
            <w:pPr>
              <w:rPr>
                <w:rFonts w:cs="Arial"/>
                <w:b/>
                <w:szCs w:val="24"/>
              </w:rPr>
            </w:pPr>
          </w:p>
          <w:p w:rsidR="00BB21CA" w:rsidRDefault="00BB21CA" w:rsidP="000D64D6">
            <w:pPr>
              <w:rPr>
                <w:rFonts w:cs="Arial"/>
                <w:b/>
                <w:szCs w:val="24"/>
              </w:rPr>
            </w:pPr>
          </w:p>
          <w:p w:rsidR="00BB21CA" w:rsidRDefault="00BB21CA" w:rsidP="000D64D6">
            <w:pPr>
              <w:rPr>
                <w:rFonts w:cs="Arial"/>
                <w:b/>
                <w:szCs w:val="24"/>
              </w:rPr>
            </w:pPr>
          </w:p>
          <w:p w:rsidR="00BB21CA" w:rsidRDefault="00BB21CA" w:rsidP="000D64D6">
            <w:pPr>
              <w:rPr>
                <w:rFonts w:cs="Arial"/>
                <w:b/>
                <w:szCs w:val="24"/>
              </w:rPr>
            </w:pPr>
          </w:p>
          <w:p w:rsidR="002D4B3C" w:rsidRPr="00BB21CA" w:rsidRDefault="002D4B3C" w:rsidP="000D64D6">
            <w:pPr>
              <w:rPr>
                <w:rFonts w:cs="Arial"/>
                <w:b/>
                <w:szCs w:val="24"/>
              </w:rPr>
            </w:pPr>
            <w:r w:rsidRPr="00BB21CA">
              <w:rPr>
                <w:rFonts w:cs="Arial"/>
                <w:b/>
                <w:szCs w:val="24"/>
              </w:rPr>
              <w:t>Page Number</w:t>
            </w:r>
          </w:p>
        </w:tc>
        <w:tc>
          <w:tcPr>
            <w:tcW w:w="7245" w:type="dxa"/>
          </w:tcPr>
          <w:p w:rsidR="002D4B3C" w:rsidRDefault="002D4B3C" w:rsidP="000D64D6">
            <w:pPr>
              <w:rPr>
                <w:rFonts w:cs="Arial"/>
                <w:szCs w:val="24"/>
              </w:rPr>
            </w:pPr>
          </w:p>
        </w:tc>
      </w:tr>
      <w:tr w:rsidR="002D4B3C" w:rsidTr="00185A92">
        <w:tc>
          <w:tcPr>
            <w:tcW w:w="1782" w:type="dxa"/>
          </w:tcPr>
          <w:p w:rsidR="002D4B3C" w:rsidRDefault="002D4B3C" w:rsidP="000D64D6">
            <w:pPr>
              <w:rPr>
                <w:rFonts w:cs="Arial"/>
                <w:szCs w:val="24"/>
              </w:rPr>
            </w:pPr>
          </w:p>
          <w:p w:rsidR="00D04718" w:rsidRDefault="00D04718" w:rsidP="000D64D6">
            <w:pPr>
              <w:rPr>
                <w:rFonts w:cs="Arial"/>
                <w:szCs w:val="24"/>
              </w:rPr>
            </w:pPr>
          </w:p>
        </w:tc>
        <w:tc>
          <w:tcPr>
            <w:tcW w:w="7245" w:type="dxa"/>
          </w:tcPr>
          <w:p w:rsidR="002D4B3C" w:rsidRDefault="002D4B3C" w:rsidP="000D64D6">
            <w:pPr>
              <w:rPr>
                <w:rFonts w:cs="Arial"/>
                <w:szCs w:val="24"/>
              </w:rPr>
            </w:pPr>
          </w:p>
        </w:tc>
      </w:tr>
      <w:tr w:rsidR="002D4B3C" w:rsidTr="00185A92">
        <w:tc>
          <w:tcPr>
            <w:tcW w:w="1782" w:type="dxa"/>
          </w:tcPr>
          <w:p w:rsidR="004D5769" w:rsidRDefault="004D5769" w:rsidP="000D64D6">
            <w:pPr>
              <w:rPr>
                <w:rFonts w:cs="Arial"/>
                <w:szCs w:val="24"/>
              </w:rPr>
            </w:pPr>
          </w:p>
          <w:p w:rsidR="004D5769" w:rsidRDefault="004D5769" w:rsidP="000D64D6">
            <w:pPr>
              <w:rPr>
                <w:rFonts w:cs="Arial"/>
                <w:szCs w:val="24"/>
              </w:rPr>
            </w:pPr>
          </w:p>
          <w:p w:rsidR="002D4B3C" w:rsidRDefault="00BD19D7" w:rsidP="000D64D6">
            <w:pPr>
              <w:rPr>
                <w:rFonts w:cs="Arial"/>
                <w:szCs w:val="24"/>
              </w:rPr>
            </w:pPr>
            <w:r>
              <w:rPr>
                <w:rFonts w:cs="Arial"/>
                <w:szCs w:val="24"/>
              </w:rPr>
              <w:t>4</w:t>
            </w:r>
          </w:p>
        </w:tc>
        <w:tc>
          <w:tcPr>
            <w:tcW w:w="7245" w:type="dxa"/>
          </w:tcPr>
          <w:p w:rsidR="004D5769" w:rsidRDefault="004D5769" w:rsidP="000D64D6">
            <w:pPr>
              <w:rPr>
                <w:rFonts w:cs="Arial"/>
                <w:szCs w:val="24"/>
              </w:rPr>
            </w:pPr>
          </w:p>
          <w:p w:rsidR="004D5769" w:rsidRDefault="004D5769" w:rsidP="000D64D6">
            <w:pPr>
              <w:rPr>
                <w:rFonts w:cs="Arial"/>
                <w:szCs w:val="24"/>
              </w:rPr>
            </w:pPr>
          </w:p>
          <w:p w:rsidR="002D4B3C" w:rsidRDefault="00BB21CA" w:rsidP="00185A92">
            <w:pPr>
              <w:rPr>
                <w:rFonts w:cs="Arial"/>
                <w:szCs w:val="24"/>
              </w:rPr>
            </w:pPr>
            <w:r>
              <w:rPr>
                <w:rFonts w:cs="Arial"/>
                <w:szCs w:val="24"/>
              </w:rPr>
              <w:t xml:space="preserve">    </w:t>
            </w:r>
            <w:r w:rsidR="00185A92">
              <w:rPr>
                <w:rFonts w:cs="Arial"/>
                <w:szCs w:val="24"/>
              </w:rPr>
              <w:t>List of a</w:t>
            </w:r>
            <w:r w:rsidR="00737D0A">
              <w:rPr>
                <w:rFonts w:cs="Arial"/>
                <w:szCs w:val="24"/>
              </w:rPr>
              <w:t>bbreviations</w:t>
            </w:r>
          </w:p>
        </w:tc>
      </w:tr>
      <w:tr w:rsidR="002D4B3C" w:rsidTr="00185A92">
        <w:tc>
          <w:tcPr>
            <w:tcW w:w="1782" w:type="dxa"/>
          </w:tcPr>
          <w:p w:rsidR="002D4B3C" w:rsidRDefault="002D4B3C" w:rsidP="000D64D6">
            <w:pPr>
              <w:rPr>
                <w:rFonts w:cs="Arial"/>
                <w:szCs w:val="24"/>
              </w:rPr>
            </w:pPr>
          </w:p>
        </w:tc>
        <w:tc>
          <w:tcPr>
            <w:tcW w:w="7245" w:type="dxa"/>
          </w:tcPr>
          <w:p w:rsidR="002D4B3C" w:rsidRDefault="002D4B3C" w:rsidP="000D64D6">
            <w:pPr>
              <w:rPr>
                <w:rFonts w:cs="Arial"/>
                <w:szCs w:val="24"/>
              </w:rPr>
            </w:pPr>
          </w:p>
        </w:tc>
      </w:tr>
      <w:tr w:rsidR="002D4B3C" w:rsidTr="00185A92">
        <w:tc>
          <w:tcPr>
            <w:tcW w:w="1782" w:type="dxa"/>
          </w:tcPr>
          <w:p w:rsidR="004D5769" w:rsidRDefault="004D5769" w:rsidP="000D64D6">
            <w:pPr>
              <w:rPr>
                <w:rFonts w:cs="Arial"/>
                <w:szCs w:val="24"/>
              </w:rPr>
            </w:pPr>
          </w:p>
          <w:p w:rsidR="002D4B3C" w:rsidRDefault="00BD19D7" w:rsidP="00BD19D7">
            <w:pPr>
              <w:rPr>
                <w:rFonts w:cs="Arial"/>
                <w:szCs w:val="24"/>
              </w:rPr>
            </w:pPr>
            <w:r>
              <w:rPr>
                <w:rFonts w:cs="Arial"/>
                <w:szCs w:val="24"/>
              </w:rPr>
              <w:t>5</w:t>
            </w:r>
            <w:r w:rsidR="0030420F">
              <w:rPr>
                <w:rFonts w:cs="Arial"/>
                <w:szCs w:val="24"/>
              </w:rPr>
              <w:t xml:space="preserve"> - </w:t>
            </w:r>
            <w:r>
              <w:rPr>
                <w:rFonts w:cs="Arial"/>
                <w:szCs w:val="24"/>
              </w:rPr>
              <w:t>6</w:t>
            </w:r>
            <w:r w:rsidR="0030420F">
              <w:rPr>
                <w:rFonts w:cs="Arial"/>
                <w:szCs w:val="24"/>
              </w:rPr>
              <w:t xml:space="preserve"> </w:t>
            </w:r>
          </w:p>
        </w:tc>
        <w:tc>
          <w:tcPr>
            <w:tcW w:w="7245" w:type="dxa"/>
          </w:tcPr>
          <w:p w:rsidR="004D5769" w:rsidRDefault="004D5769" w:rsidP="000D64D6">
            <w:pPr>
              <w:rPr>
                <w:rFonts w:cs="Arial"/>
                <w:szCs w:val="24"/>
              </w:rPr>
            </w:pPr>
          </w:p>
          <w:p w:rsidR="002D4B3C" w:rsidRDefault="00BB21CA" w:rsidP="000D64D6">
            <w:pPr>
              <w:rPr>
                <w:rFonts w:cs="Arial"/>
                <w:szCs w:val="24"/>
              </w:rPr>
            </w:pPr>
            <w:r>
              <w:rPr>
                <w:rFonts w:cs="Arial"/>
                <w:szCs w:val="24"/>
              </w:rPr>
              <w:t xml:space="preserve">    </w:t>
            </w:r>
            <w:r w:rsidR="0030420F">
              <w:rPr>
                <w:rFonts w:cs="Arial"/>
                <w:szCs w:val="24"/>
              </w:rPr>
              <w:t>Recommendations</w:t>
            </w:r>
          </w:p>
        </w:tc>
      </w:tr>
      <w:tr w:rsidR="002D4B3C" w:rsidTr="00185A92">
        <w:tc>
          <w:tcPr>
            <w:tcW w:w="1782" w:type="dxa"/>
          </w:tcPr>
          <w:p w:rsidR="002D4B3C" w:rsidRDefault="002D4B3C" w:rsidP="000D64D6">
            <w:pPr>
              <w:rPr>
                <w:rFonts w:cs="Arial"/>
                <w:szCs w:val="24"/>
              </w:rPr>
            </w:pPr>
          </w:p>
        </w:tc>
        <w:tc>
          <w:tcPr>
            <w:tcW w:w="7245" w:type="dxa"/>
          </w:tcPr>
          <w:p w:rsidR="002D4B3C" w:rsidRDefault="002D4B3C" w:rsidP="000D64D6">
            <w:pPr>
              <w:rPr>
                <w:rFonts w:cs="Arial"/>
                <w:szCs w:val="24"/>
              </w:rPr>
            </w:pPr>
          </w:p>
        </w:tc>
      </w:tr>
      <w:tr w:rsidR="002D4B3C" w:rsidTr="00185A92">
        <w:tc>
          <w:tcPr>
            <w:tcW w:w="1782" w:type="dxa"/>
          </w:tcPr>
          <w:p w:rsidR="004D5769" w:rsidRDefault="004D5769" w:rsidP="0030420F">
            <w:pPr>
              <w:rPr>
                <w:rFonts w:cs="Arial"/>
                <w:szCs w:val="24"/>
              </w:rPr>
            </w:pPr>
          </w:p>
          <w:p w:rsidR="002D4B3C" w:rsidRDefault="00BD19D7" w:rsidP="00BD19D7">
            <w:pPr>
              <w:rPr>
                <w:rFonts w:cs="Arial"/>
                <w:szCs w:val="24"/>
              </w:rPr>
            </w:pPr>
            <w:r>
              <w:rPr>
                <w:rFonts w:cs="Arial"/>
                <w:szCs w:val="24"/>
              </w:rPr>
              <w:t>7</w:t>
            </w:r>
            <w:r w:rsidR="0030420F">
              <w:rPr>
                <w:rFonts w:cs="Arial"/>
                <w:szCs w:val="24"/>
              </w:rPr>
              <w:t xml:space="preserve"> - </w:t>
            </w:r>
            <w:r w:rsidR="00BB4D73">
              <w:rPr>
                <w:rFonts w:cs="Arial"/>
                <w:szCs w:val="24"/>
              </w:rPr>
              <w:t>1</w:t>
            </w:r>
            <w:r>
              <w:rPr>
                <w:rFonts w:cs="Arial"/>
                <w:szCs w:val="24"/>
              </w:rPr>
              <w:t>6</w:t>
            </w:r>
          </w:p>
        </w:tc>
        <w:tc>
          <w:tcPr>
            <w:tcW w:w="7245" w:type="dxa"/>
          </w:tcPr>
          <w:p w:rsidR="002D4B3C" w:rsidRDefault="002D4B3C" w:rsidP="004D5769">
            <w:pPr>
              <w:rPr>
                <w:rFonts w:cs="Arial"/>
                <w:szCs w:val="24"/>
              </w:rPr>
            </w:pPr>
          </w:p>
          <w:p w:rsidR="00185A92" w:rsidRDefault="00BB21CA" w:rsidP="004D5769">
            <w:pPr>
              <w:rPr>
                <w:rFonts w:cs="Arial"/>
                <w:szCs w:val="24"/>
              </w:rPr>
            </w:pPr>
            <w:r>
              <w:rPr>
                <w:rFonts w:cs="Arial"/>
                <w:szCs w:val="24"/>
              </w:rPr>
              <w:t xml:space="preserve">    </w:t>
            </w:r>
            <w:r w:rsidR="00185A92">
              <w:rPr>
                <w:rFonts w:cs="Arial"/>
                <w:szCs w:val="24"/>
              </w:rPr>
              <w:t>Comment on the introduction to the Inquiry</w:t>
            </w:r>
          </w:p>
        </w:tc>
      </w:tr>
      <w:tr w:rsidR="002D4B3C" w:rsidTr="00185A92">
        <w:tc>
          <w:tcPr>
            <w:tcW w:w="1782" w:type="dxa"/>
          </w:tcPr>
          <w:p w:rsidR="002D4B3C" w:rsidRDefault="002D4B3C" w:rsidP="000D64D6">
            <w:pPr>
              <w:rPr>
                <w:rFonts w:cs="Arial"/>
                <w:szCs w:val="24"/>
              </w:rPr>
            </w:pPr>
          </w:p>
        </w:tc>
        <w:tc>
          <w:tcPr>
            <w:tcW w:w="7245" w:type="dxa"/>
          </w:tcPr>
          <w:p w:rsidR="002D4B3C" w:rsidRDefault="002D4B3C" w:rsidP="000D64D6">
            <w:pPr>
              <w:rPr>
                <w:rFonts w:cs="Arial"/>
                <w:szCs w:val="24"/>
              </w:rPr>
            </w:pPr>
          </w:p>
        </w:tc>
      </w:tr>
      <w:tr w:rsidR="00185A92" w:rsidTr="00185A92">
        <w:tc>
          <w:tcPr>
            <w:tcW w:w="1782" w:type="dxa"/>
          </w:tcPr>
          <w:p w:rsidR="00185A92" w:rsidRDefault="00185A92" w:rsidP="00185A92">
            <w:pPr>
              <w:rPr>
                <w:rFonts w:cs="Arial"/>
                <w:szCs w:val="24"/>
              </w:rPr>
            </w:pPr>
          </w:p>
          <w:p w:rsidR="00185A92" w:rsidRDefault="00185A92" w:rsidP="00185A92">
            <w:pPr>
              <w:rPr>
                <w:rFonts w:cs="Arial"/>
                <w:szCs w:val="24"/>
              </w:rPr>
            </w:pPr>
            <w:r>
              <w:rPr>
                <w:rFonts w:cs="Arial"/>
                <w:szCs w:val="24"/>
              </w:rPr>
              <w:t>8</w:t>
            </w:r>
            <w:r w:rsidR="00E908A9">
              <w:rPr>
                <w:rFonts w:cs="Arial"/>
                <w:szCs w:val="24"/>
              </w:rPr>
              <w:t xml:space="preserve"> </w:t>
            </w:r>
            <w:r>
              <w:rPr>
                <w:rFonts w:cs="Arial"/>
                <w:szCs w:val="24"/>
              </w:rPr>
              <w:t>-</w:t>
            </w:r>
            <w:r w:rsidR="00E908A9">
              <w:rPr>
                <w:rFonts w:cs="Arial"/>
                <w:szCs w:val="24"/>
              </w:rPr>
              <w:t xml:space="preserve"> </w:t>
            </w:r>
            <w:r>
              <w:rPr>
                <w:rFonts w:cs="Arial"/>
                <w:szCs w:val="24"/>
              </w:rPr>
              <w:t>16</w:t>
            </w:r>
          </w:p>
        </w:tc>
        <w:tc>
          <w:tcPr>
            <w:tcW w:w="7245" w:type="dxa"/>
          </w:tcPr>
          <w:p w:rsidR="00185A92" w:rsidRDefault="00185A92" w:rsidP="00185A92">
            <w:pPr>
              <w:rPr>
                <w:rFonts w:cs="Arial"/>
                <w:szCs w:val="24"/>
              </w:rPr>
            </w:pPr>
          </w:p>
          <w:p w:rsidR="00185A92" w:rsidRDefault="00D04718" w:rsidP="00185A92">
            <w:pPr>
              <w:rPr>
                <w:rFonts w:cs="Arial"/>
                <w:szCs w:val="24"/>
              </w:rPr>
            </w:pPr>
            <w:r>
              <w:rPr>
                <w:rFonts w:cs="Arial"/>
                <w:szCs w:val="24"/>
              </w:rPr>
              <w:t xml:space="preserve">    </w:t>
            </w:r>
            <w:r w:rsidR="00185A92">
              <w:rPr>
                <w:rFonts w:cs="Arial"/>
                <w:szCs w:val="24"/>
              </w:rPr>
              <w:t xml:space="preserve">Responses to questions </w:t>
            </w:r>
          </w:p>
        </w:tc>
      </w:tr>
      <w:tr w:rsidR="00185A92" w:rsidTr="00185A92">
        <w:tc>
          <w:tcPr>
            <w:tcW w:w="1782" w:type="dxa"/>
          </w:tcPr>
          <w:p w:rsidR="00185A92" w:rsidRDefault="00185A92" w:rsidP="00185A92">
            <w:pPr>
              <w:rPr>
                <w:rFonts w:cs="Arial"/>
                <w:szCs w:val="24"/>
              </w:rPr>
            </w:pPr>
          </w:p>
        </w:tc>
        <w:tc>
          <w:tcPr>
            <w:tcW w:w="7245" w:type="dxa"/>
          </w:tcPr>
          <w:p w:rsidR="00185A92" w:rsidRDefault="00185A92" w:rsidP="00185A92">
            <w:pPr>
              <w:rPr>
                <w:rFonts w:cs="Arial"/>
                <w:szCs w:val="24"/>
              </w:rPr>
            </w:pPr>
          </w:p>
        </w:tc>
      </w:tr>
      <w:tr w:rsidR="00185A92" w:rsidTr="00185A92">
        <w:tc>
          <w:tcPr>
            <w:tcW w:w="1782" w:type="dxa"/>
          </w:tcPr>
          <w:p w:rsidR="00185A92" w:rsidRDefault="00185A92" w:rsidP="00185A92">
            <w:pPr>
              <w:rPr>
                <w:rFonts w:cs="Arial"/>
                <w:szCs w:val="24"/>
              </w:rPr>
            </w:pPr>
          </w:p>
        </w:tc>
        <w:tc>
          <w:tcPr>
            <w:tcW w:w="7245" w:type="dxa"/>
          </w:tcPr>
          <w:p w:rsidR="00185A92" w:rsidRDefault="00185A92" w:rsidP="00185A92">
            <w:pPr>
              <w:rPr>
                <w:rFonts w:cs="Arial"/>
                <w:szCs w:val="24"/>
              </w:rPr>
            </w:pPr>
          </w:p>
        </w:tc>
      </w:tr>
      <w:tr w:rsidR="00185A92" w:rsidTr="00185A92">
        <w:tc>
          <w:tcPr>
            <w:tcW w:w="1782" w:type="dxa"/>
          </w:tcPr>
          <w:p w:rsidR="00185A92" w:rsidRDefault="00185A92" w:rsidP="00185A92">
            <w:pPr>
              <w:rPr>
                <w:rFonts w:cs="Arial"/>
                <w:szCs w:val="24"/>
              </w:rPr>
            </w:pPr>
          </w:p>
        </w:tc>
        <w:tc>
          <w:tcPr>
            <w:tcW w:w="7245" w:type="dxa"/>
          </w:tcPr>
          <w:p w:rsidR="00185A92" w:rsidRDefault="00185A92" w:rsidP="00185A92">
            <w:pPr>
              <w:rPr>
                <w:rFonts w:cs="Arial"/>
                <w:szCs w:val="24"/>
              </w:rPr>
            </w:pPr>
          </w:p>
        </w:tc>
      </w:tr>
      <w:tr w:rsidR="00185A92" w:rsidTr="00185A92">
        <w:tc>
          <w:tcPr>
            <w:tcW w:w="1782" w:type="dxa"/>
          </w:tcPr>
          <w:p w:rsidR="00185A92" w:rsidRDefault="00185A92" w:rsidP="00185A92">
            <w:pPr>
              <w:rPr>
                <w:rFonts w:cs="Arial"/>
                <w:szCs w:val="24"/>
              </w:rPr>
            </w:pPr>
          </w:p>
        </w:tc>
        <w:tc>
          <w:tcPr>
            <w:tcW w:w="7245" w:type="dxa"/>
          </w:tcPr>
          <w:p w:rsidR="00185A92" w:rsidRDefault="00185A92" w:rsidP="00185A92">
            <w:pPr>
              <w:rPr>
                <w:rFonts w:cs="Arial"/>
                <w:szCs w:val="24"/>
              </w:rPr>
            </w:pPr>
          </w:p>
        </w:tc>
      </w:tr>
      <w:tr w:rsidR="00185A92" w:rsidTr="00185A92">
        <w:tc>
          <w:tcPr>
            <w:tcW w:w="1782" w:type="dxa"/>
          </w:tcPr>
          <w:p w:rsidR="00185A92" w:rsidRDefault="00185A92" w:rsidP="00185A92">
            <w:pPr>
              <w:rPr>
                <w:rFonts w:cs="Arial"/>
                <w:szCs w:val="24"/>
              </w:rPr>
            </w:pPr>
          </w:p>
        </w:tc>
        <w:tc>
          <w:tcPr>
            <w:tcW w:w="7245" w:type="dxa"/>
          </w:tcPr>
          <w:p w:rsidR="00185A92" w:rsidRDefault="00185A92" w:rsidP="00185A92">
            <w:pPr>
              <w:rPr>
                <w:rFonts w:cs="Arial"/>
                <w:szCs w:val="24"/>
              </w:rPr>
            </w:pPr>
          </w:p>
        </w:tc>
      </w:tr>
      <w:tr w:rsidR="00185A92" w:rsidTr="00185A92">
        <w:tc>
          <w:tcPr>
            <w:tcW w:w="1782" w:type="dxa"/>
          </w:tcPr>
          <w:p w:rsidR="00185A92" w:rsidRDefault="00185A92" w:rsidP="00185A92">
            <w:pPr>
              <w:rPr>
                <w:rFonts w:cs="Arial"/>
                <w:szCs w:val="24"/>
              </w:rPr>
            </w:pPr>
          </w:p>
        </w:tc>
        <w:tc>
          <w:tcPr>
            <w:tcW w:w="7245" w:type="dxa"/>
          </w:tcPr>
          <w:p w:rsidR="00185A92" w:rsidRDefault="00185A92" w:rsidP="00185A92">
            <w:pPr>
              <w:rPr>
                <w:rFonts w:cs="Arial"/>
                <w:szCs w:val="24"/>
              </w:rPr>
            </w:pPr>
          </w:p>
        </w:tc>
      </w:tr>
      <w:tr w:rsidR="00185A92" w:rsidTr="00185A92">
        <w:tc>
          <w:tcPr>
            <w:tcW w:w="1782" w:type="dxa"/>
          </w:tcPr>
          <w:p w:rsidR="00185A92" w:rsidRDefault="00185A92" w:rsidP="00185A92">
            <w:pPr>
              <w:rPr>
                <w:rFonts w:cs="Arial"/>
                <w:szCs w:val="24"/>
              </w:rPr>
            </w:pPr>
          </w:p>
        </w:tc>
        <w:tc>
          <w:tcPr>
            <w:tcW w:w="7245" w:type="dxa"/>
          </w:tcPr>
          <w:p w:rsidR="00185A92" w:rsidRDefault="00185A92" w:rsidP="00185A92">
            <w:pPr>
              <w:rPr>
                <w:rFonts w:cs="Arial"/>
                <w:szCs w:val="24"/>
              </w:rPr>
            </w:pPr>
          </w:p>
        </w:tc>
      </w:tr>
      <w:tr w:rsidR="00185A92" w:rsidTr="00185A92">
        <w:tc>
          <w:tcPr>
            <w:tcW w:w="1782" w:type="dxa"/>
          </w:tcPr>
          <w:p w:rsidR="00185A92" w:rsidRDefault="00185A92" w:rsidP="00185A92">
            <w:pPr>
              <w:rPr>
                <w:rFonts w:cs="Arial"/>
                <w:szCs w:val="24"/>
              </w:rPr>
            </w:pPr>
          </w:p>
        </w:tc>
        <w:tc>
          <w:tcPr>
            <w:tcW w:w="7245" w:type="dxa"/>
          </w:tcPr>
          <w:p w:rsidR="00185A92" w:rsidRDefault="00185A92" w:rsidP="00185A92">
            <w:pPr>
              <w:rPr>
                <w:rFonts w:cs="Arial"/>
                <w:szCs w:val="24"/>
              </w:rPr>
            </w:pPr>
          </w:p>
        </w:tc>
      </w:tr>
      <w:tr w:rsidR="00185A92" w:rsidTr="00185A92">
        <w:tc>
          <w:tcPr>
            <w:tcW w:w="1782" w:type="dxa"/>
          </w:tcPr>
          <w:p w:rsidR="00185A92" w:rsidRDefault="00185A92" w:rsidP="00185A92">
            <w:pPr>
              <w:rPr>
                <w:rFonts w:cs="Arial"/>
                <w:szCs w:val="24"/>
              </w:rPr>
            </w:pPr>
          </w:p>
        </w:tc>
        <w:tc>
          <w:tcPr>
            <w:tcW w:w="7245" w:type="dxa"/>
          </w:tcPr>
          <w:p w:rsidR="00185A92" w:rsidRDefault="00185A92" w:rsidP="00185A92">
            <w:pPr>
              <w:rPr>
                <w:rFonts w:cs="Arial"/>
                <w:szCs w:val="24"/>
              </w:rPr>
            </w:pPr>
          </w:p>
        </w:tc>
      </w:tr>
      <w:tr w:rsidR="00185A92" w:rsidTr="00185A92">
        <w:tc>
          <w:tcPr>
            <w:tcW w:w="1782" w:type="dxa"/>
          </w:tcPr>
          <w:p w:rsidR="00185A92" w:rsidRDefault="00185A92" w:rsidP="00185A92">
            <w:pPr>
              <w:rPr>
                <w:rFonts w:cs="Arial"/>
                <w:szCs w:val="24"/>
              </w:rPr>
            </w:pPr>
          </w:p>
        </w:tc>
        <w:tc>
          <w:tcPr>
            <w:tcW w:w="7245" w:type="dxa"/>
          </w:tcPr>
          <w:p w:rsidR="00185A92" w:rsidRDefault="00185A92" w:rsidP="00185A92">
            <w:pPr>
              <w:rPr>
                <w:rFonts w:cs="Arial"/>
                <w:szCs w:val="24"/>
              </w:rPr>
            </w:pPr>
          </w:p>
        </w:tc>
      </w:tr>
    </w:tbl>
    <w:p w:rsidR="002D4B3C" w:rsidRDefault="002D4B3C" w:rsidP="002D4B3C">
      <w:pPr>
        <w:rPr>
          <w:rFonts w:cs="Arial"/>
          <w:szCs w:val="24"/>
        </w:rPr>
      </w:pPr>
      <w:r>
        <w:rPr>
          <w:rFonts w:cs="Arial"/>
          <w:szCs w:val="24"/>
        </w:rPr>
        <w:br w:type="page"/>
      </w:r>
    </w:p>
    <w:p w:rsidR="002D4B3C" w:rsidRDefault="002D4B3C" w:rsidP="002D4B3C">
      <w:pPr>
        <w:rPr>
          <w:rFonts w:cs="Arial"/>
          <w:szCs w:val="24"/>
        </w:rPr>
      </w:pPr>
    </w:p>
    <w:p w:rsidR="002D4B3C" w:rsidRDefault="002D4B3C" w:rsidP="002D4B3C">
      <w:pPr>
        <w:rPr>
          <w:rFonts w:cs="Arial"/>
          <w:szCs w:val="24"/>
        </w:rPr>
      </w:pPr>
    </w:p>
    <w:p w:rsidR="002D4B3C" w:rsidRPr="00D04718" w:rsidRDefault="00D04718" w:rsidP="00D04718">
      <w:pPr>
        <w:jc w:val="center"/>
        <w:rPr>
          <w:rFonts w:cs="Arial"/>
          <w:b/>
          <w:sz w:val="28"/>
          <w:szCs w:val="28"/>
        </w:rPr>
      </w:pPr>
      <w:r>
        <w:rPr>
          <w:rFonts w:cs="Arial"/>
          <w:b/>
          <w:sz w:val="28"/>
          <w:szCs w:val="28"/>
        </w:rPr>
        <w:t>List of Abbreviations</w:t>
      </w:r>
    </w:p>
    <w:p w:rsidR="002D4B3C" w:rsidRPr="00D04718" w:rsidRDefault="002D4B3C" w:rsidP="002D4B3C">
      <w:pPr>
        <w:rPr>
          <w:rFonts w:cs="Arial"/>
          <w:b/>
          <w:sz w:val="28"/>
          <w:szCs w:val="28"/>
        </w:rPr>
      </w:pPr>
    </w:p>
    <w:p w:rsidR="002D4B3C" w:rsidRPr="00924207" w:rsidRDefault="002D4B3C" w:rsidP="002D4B3C">
      <w:pPr>
        <w:rPr>
          <w:rFonts w:cs="Arial"/>
          <w:szCs w:val="24"/>
        </w:rPr>
      </w:pPr>
    </w:p>
    <w:p w:rsidR="002D4B3C" w:rsidRDefault="002D4B3C" w:rsidP="002D4B3C">
      <w:pPr>
        <w:rPr>
          <w:rFonts w:cs="Arial"/>
          <w:szCs w:val="24"/>
        </w:rPr>
      </w:pPr>
    </w:p>
    <w:p w:rsidR="00D04718" w:rsidRDefault="00D04718" w:rsidP="002D4B3C">
      <w:pPr>
        <w:rPr>
          <w:rFonts w:cs="Arial"/>
          <w:szCs w:val="24"/>
        </w:rPr>
      </w:pPr>
    </w:p>
    <w:p w:rsidR="00D04718" w:rsidRPr="00924207" w:rsidRDefault="00D04718" w:rsidP="002D4B3C">
      <w:pPr>
        <w:rPr>
          <w:rFonts w:cs="Arial"/>
          <w:szCs w:val="24"/>
        </w:rPr>
      </w:pPr>
    </w:p>
    <w:p w:rsidR="002D4B3C" w:rsidRPr="00924207" w:rsidRDefault="002D4B3C" w:rsidP="002D4B3C">
      <w:pPr>
        <w:rPr>
          <w:rFonts w:cs="Arial"/>
          <w:szCs w:val="24"/>
        </w:rPr>
      </w:pPr>
    </w:p>
    <w:p w:rsidR="002D4B3C" w:rsidRPr="00BB4D73" w:rsidRDefault="002D4B3C" w:rsidP="002D4B3C">
      <w:pPr>
        <w:rPr>
          <w:rFonts w:cs="Arial"/>
          <w:szCs w:val="24"/>
        </w:rPr>
      </w:pPr>
      <w:r w:rsidRPr="00924207">
        <w:rPr>
          <w:rFonts w:cs="Arial"/>
          <w:szCs w:val="24"/>
        </w:rPr>
        <w:t>A</w:t>
      </w:r>
      <w:r w:rsidR="00924207" w:rsidRPr="00924207">
        <w:rPr>
          <w:rFonts w:cs="Arial"/>
          <w:szCs w:val="24"/>
        </w:rPr>
        <w:t>ACQA</w:t>
      </w:r>
      <w:r w:rsidRPr="00924207">
        <w:rPr>
          <w:rFonts w:cs="Arial"/>
          <w:szCs w:val="24"/>
        </w:rPr>
        <w:tab/>
      </w:r>
      <w:r w:rsidRPr="00924207">
        <w:rPr>
          <w:rFonts w:cs="Arial"/>
          <w:szCs w:val="24"/>
        </w:rPr>
        <w:tab/>
      </w:r>
      <w:r w:rsidR="00924207" w:rsidRPr="00BB4D73">
        <w:rPr>
          <w:rFonts w:cs="Arial"/>
          <w:szCs w:val="24"/>
        </w:rPr>
        <w:t>Australian Aged Care Quality Agency</w:t>
      </w:r>
    </w:p>
    <w:p w:rsidR="00776A6A" w:rsidRPr="00BB4D73" w:rsidRDefault="00776A6A" w:rsidP="002D4B3C">
      <w:pPr>
        <w:rPr>
          <w:rFonts w:cs="Arial"/>
          <w:szCs w:val="24"/>
        </w:rPr>
      </w:pPr>
    </w:p>
    <w:p w:rsidR="00776A6A" w:rsidRPr="00BB4D73" w:rsidRDefault="00776A6A" w:rsidP="002D4B3C">
      <w:pPr>
        <w:rPr>
          <w:rFonts w:cs="Arial"/>
          <w:szCs w:val="24"/>
        </w:rPr>
      </w:pPr>
      <w:r w:rsidRPr="00BB4D73">
        <w:rPr>
          <w:rFonts w:cs="Arial"/>
          <w:szCs w:val="24"/>
        </w:rPr>
        <w:t>ACCC</w:t>
      </w:r>
      <w:r w:rsidRPr="00BB4D73">
        <w:rPr>
          <w:rFonts w:cs="Arial"/>
          <w:szCs w:val="24"/>
        </w:rPr>
        <w:tab/>
      </w:r>
      <w:r w:rsidRPr="00BB4D73">
        <w:rPr>
          <w:rFonts w:cs="Arial"/>
          <w:szCs w:val="24"/>
        </w:rPr>
        <w:tab/>
      </w:r>
      <w:r w:rsidRPr="00BB4D73">
        <w:rPr>
          <w:rFonts w:cs="Arial"/>
          <w:szCs w:val="24"/>
        </w:rPr>
        <w:tab/>
        <w:t>Aged Care Complaints Commission</w:t>
      </w:r>
    </w:p>
    <w:p w:rsidR="008E3A1F" w:rsidRPr="00BB4D73" w:rsidRDefault="008E3A1F" w:rsidP="002D4B3C">
      <w:pPr>
        <w:rPr>
          <w:rFonts w:cs="Arial"/>
          <w:szCs w:val="24"/>
        </w:rPr>
      </w:pPr>
    </w:p>
    <w:p w:rsidR="008E3A1F" w:rsidRPr="00BB4D73" w:rsidRDefault="008E3A1F" w:rsidP="002D4B3C">
      <w:pPr>
        <w:rPr>
          <w:rFonts w:cs="Arial"/>
          <w:szCs w:val="24"/>
        </w:rPr>
      </w:pPr>
      <w:r w:rsidRPr="00BB4D73">
        <w:rPr>
          <w:rFonts w:cs="Arial"/>
          <w:szCs w:val="24"/>
        </w:rPr>
        <w:t>ALRC</w:t>
      </w:r>
      <w:r w:rsidRPr="00BB4D73">
        <w:rPr>
          <w:rFonts w:cs="Arial"/>
          <w:szCs w:val="24"/>
        </w:rPr>
        <w:tab/>
      </w:r>
      <w:r w:rsidRPr="00BB4D73">
        <w:rPr>
          <w:rFonts w:cs="Arial"/>
          <w:szCs w:val="24"/>
        </w:rPr>
        <w:tab/>
      </w:r>
      <w:r w:rsidRPr="00BB4D73">
        <w:rPr>
          <w:rFonts w:cs="Arial"/>
          <w:szCs w:val="24"/>
        </w:rPr>
        <w:tab/>
        <w:t>Australian Law Reform Commission</w:t>
      </w:r>
    </w:p>
    <w:p w:rsidR="00924207" w:rsidRPr="00BB4D73" w:rsidRDefault="00924207" w:rsidP="002D4B3C">
      <w:pPr>
        <w:rPr>
          <w:rFonts w:cs="Arial"/>
          <w:szCs w:val="24"/>
        </w:rPr>
      </w:pPr>
    </w:p>
    <w:p w:rsidR="00924207" w:rsidRPr="00BB4D73" w:rsidRDefault="00924207" w:rsidP="002D4B3C">
      <w:pPr>
        <w:rPr>
          <w:rFonts w:cs="Arial"/>
          <w:szCs w:val="24"/>
        </w:rPr>
      </w:pPr>
      <w:r w:rsidRPr="00BB4D73">
        <w:rPr>
          <w:rFonts w:cs="Arial"/>
          <w:szCs w:val="24"/>
        </w:rPr>
        <w:t>ANMF</w:t>
      </w:r>
      <w:r w:rsidRPr="00BB4D73">
        <w:rPr>
          <w:rFonts w:cs="Arial"/>
          <w:szCs w:val="24"/>
        </w:rPr>
        <w:tab/>
      </w:r>
      <w:r w:rsidRPr="00BB4D73">
        <w:rPr>
          <w:rFonts w:cs="Arial"/>
          <w:szCs w:val="24"/>
        </w:rPr>
        <w:tab/>
      </w:r>
      <w:r w:rsidRPr="00BB4D73">
        <w:rPr>
          <w:rFonts w:cs="Arial"/>
          <w:szCs w:val="24"/>
        </w:rPr>
        <w:tab/>
        <w:t>Australian Nursing and Midwifery Federation</w:t>
      </w:r>
    </w:p>
    <w:p w:rsidR="002D4B3C" w:rsidRPr="00BB4D73" w:rsidRDefault="002D4B3C" w:rsidP="002D4B3C">
      <w:pPr>
        <w:rPr>
          <w:rFonts w:cs="Arial"/>
          <w:szCs w:val="24"/>
        </w:rPr>
      </w:pPr>
    </w:p>
    <w:p w:rsidR="002D4B3C" w:rsidRPr="00BB4D73" w:rsidRDefault="002D4B3C" w:rsidP="002D4B3C">
      <w:pPr>
        <w:rPr>
          <w:rFonts w:cs="Arial"/>
          <w:szCs w:val="24"/>
        </w:rPr>
      </w:pPr>
      <w:r w:rsidRPr="00BB4D73">
        <w:rPr>
          <w:rFonts w:cs="Arial"/>
          <w:szCs w:val="24"/>
        </w:rPr>
        <w:t>NSWNMA</w:t>
      </w:r>
      <w:r w:rsidRPr="00BB4D73">
        <w:rPr>
          <w:rFonts w:cs="Arial"/>
          <w:szCs w:val="24"/>
        </w:rPr>
        <w:tab/>
      </w:r>
      <w:r w:rsidRPr="00BB4D73">
        <w:rPr>
          <w:rFonts w:cs="Arial"/>
          <w:szCs w:val="24"/>
        </w:rPr>
        <w:tab/>
        <w:t>New South Wales Nurses and Midwives’ As</w:t>
      </w:r>
      <w:r w:rsidR="00924207" w:rsidRPr="00BB4D73">
        <w:rPr>
          <w:rFonts w:cs="Arial"/>
          <w:szCs w:val="24"/>
        </w:rPr>
        <w:t>s</w:t>
      </w:r>
      <w:r w:rsidRPr="00BB4D73">
        <w:rPr>
          <w:rFonts w:cs="Arial"/>
          <w:szCs w:val="24"/>
        </w:rPr>
        <w:t>ociation</w:t>
      </w:r>
    </w:p>
    <w:p w:rsidR="002D4B3C" w:rsidRPr="00BB4D73" w:rsidRDefault="002D4B3C" w:rsidP="002D4B3C">
      <w:pPr>
        <w:rPr>
          <w:rFonts w:cs="Arial"/>
          <w:szCs w:val="24"/>
        </w:rPr>
      </w:pPr>
    </w:p>
    <w:p w:rsidR="002D4B3C" w:rsidRPr="00BB4D73" w:rsidRDefault="002D4B3C" w:rsidP="002D4B3C">
      <w:pPr>
        <w:rPr>
          <w:rFonts w:cs="Arial"/>
          <w:szCs w:val="24"/>
        </w:rPr>
      </w:pPr>
      <w:r w:rsidRPr="00BB4D73">
        <w:rPr>
          <w:rFonts w:cs="Arial"/>
          <w:szCs w:val="24"/>
        </w:rPr>
        <w:t>RACF</w:t>
      </w:r>
      <w:r w:rsidRPr="00BB4D73">
        <w:rPr>
          <w:rFonts w:cs="Arial"/>
          <w:szCs w:val="24"/>
        </w:rPr>
        <w:tab/>
      </w:r>
      <w:r w:rsidRPr="00BB4D73">
        <w:rPr>
          <w:rFonts w:cs="Arial"/>
          <w:szCs w:val="24"/>
        </w:rPr>
        <w:tab/>
      </w:r>
      <w:r w:rsidRPr="00BB4D73">
        <w:rPr>
          <w:rFonts w:cs="Arial"/>
          <w:szCs w:val="24"/>
        </w:rPr>
        <w:tab/>
        <w:t>Residential Aged Care Facility</w:t>
      </w:r>
    </w:p>
    <w:p w:rsidR="002D4B3C" w:rsidRPr="00BB4D73" w:rsidRDefault="002D4B3C" w:rsidP="002D4B3C">
      <w:pPr>
        <w:rPr>
          <w:rFonts w:cs="Arial"/>
          <w:szCs w:val="24"/>
        </w:rPr>
      </w:pPr>
    </w:p>
    <w:p w:rsidR="002D4B3C" w:rsidRPr="00BB4D73" w:rsidRDefault="002D4B3C" w:rsidP="002D4B3C">
      <w:pPr>
        <w:rPr>
          <w:rFonts w:cs="Arial"/>
          <w:szCs w:val="24"/>
        </w:rPr>
      </w:pPr>
      <w:r w:rsidRPr="00BB4D73">
        <w:rPr>
          <w:rFonts w:cs="Arial"/>
          <w:szCs w:val="24"/>
        </w:rPr>
        <w:t>RN</w:t>
      </w:r>
      <w:r w:rsidRPr="00BB4D73">
        <w:rPr>
          <w:rFonts w:cs="Arial"/>
          <w:szCs w:val="24"/>
        </w:rPr>
        <w:tab/>
      </w:r>
      <w:r w:rsidRPr="00BB4D73">
        <w:rPr>
          <w:rFonts w:cs="Arial"/>
          <w:szCs w:val="24"/>
        </w:rPr>
        <w:tab/>
      </w:r>
      <w:r w:rsidRPr="00BB4D73">
        <w:rPr>
          <w:rFonts w:cs="Arial"/>
          <w:szCs w:val="24"/>
        </w:rPr>
        <w:tab/>
        <w:t>Registered Nurse</w:t>
      </w:r>
    </w:p>
    <w:p w:rsidR="00924207" w:rsidRPr="00BB4D73" w:rsidRDefault="00924207" w:rsidP="002D4B3C">
      <w:pPr>
        <w:rPr>
          <w:rFonts w:cs="Arial"/>
          <w:szCs w:val="24"/>
        </w:rPr>
      </w:pPr>
    </w:p>
    <w:p w:rsidR="00924207" w:rsidRDefault="00924207" w:rsidP="002D4B3C">
      <w:pPr>
        <w:rPr>
          <w:rFonts w:cs="Arial"/>
          <w:szCs w:val="24"/>
        </w:rPr>
      </w:pPr>
      <w:r w:rsidRPr="00BB4D73">
        <w:rPr>
          <w:rFonts w:cs="Arial"/>
          <w:szCs w:val="24"/>
        </w:rPr>
        <w:t>UK</w:t>
      </w:r>
      <w:r w:rsidRPr="00BB4D73">
        <w:rPr>
          <w:rFonts w:cs="Arial"/>
          <w:szCs w:val="24"/>
        </w:rPr>
        <w:tab/>
      </w:r>
      <w:r w:rsidRPr="00BB4D73">
        <w:rPr>
          <w:rFonts w:cs="Arial"/>
          <w:szCs w:val="24"/>
        </w:rPr>
        <w:tab/>
      </w:r>
      <w:r w:rsidRPr="00BB4D73">
        <w:rPr>
          <w:rFonts w:cs="Arial"/>
          <w:szCs w:val="24"/>
        </w:rPr>
        <w:tab/>
        <w:t>United Kingdom</w:t>
      </w:r>
    </w:p>
    <w:p w:rsidR="00924207" w:rsidRDefault="00924207" w:rsidP="002D4B3C">
      <w:pPr>
        <w:rPr>
          <w:rFonts w:cs="Arial"/>
          <w:szCs w:val="24"/>
        </w:rPr>
      </w:pPr>
    </w:p>
    <w:p w:rsidR="002D4B3C" w:rsidRDefault="002D4B3C" w:rsidP="002D4B3C">
      <w:pPr>
        <w:rPr>
          <w:rFonts w:cs="Arial"/>
          <w:szCs w:val="24"/>
        </w:rPr>
      </w:pPr>
    </w:p>
    <w:p w:rsidR="00737D0A" w:rsidRPr="00D04718" w:rsidRDefault="002D4B3C" w:rsidP="00737D0A">
      <w:pPr>
        <w:jc w:val="center"/>
        <w:rPr>
          <w:rFonts w:cs="Arial"/>
          <w:b/>
          <w:sz w:val="28"/>
          <w:szCs w:val="28"/>
        </w:rPr>
      </w:pPr>
      <w:r>
        <w:rPr>
          <w:rFonts w:cs="Arial"/>
          <w:szCs w:val="24"/>
        </w:rPr>
        <w:br w:type="page"/>
      </w:r>
      <w:r w:rsidR="00737D0A" w:rsidRPr="00D04718">
        <w:rPr>
          <w:rFonts w:cs="Arial"/>
          <w:b/>
          <w:sz w:val="28"/>
          <w:szCs w:val="28"/>
        </w:rPr>
        <w:lastRenderedPageBreak/>
        <w:t>Recommendations</w:t>
      </w:r>
    </w:p>
    <w:p w:rsidR="00737D0A" w:rsidRDefault="00737D0A" w:rsidP="00737D0A">
      <w:pPr>
        <w:rPr>
          <w:rFonts w:cs="Arial"/>
          <w:szCs w:val="24"/>
        </w:rPr>
      </w:pPr>
    </w:p>
    <w:p w:rsidR="00737D0A" w:rsidRDefault="00737D0A" w:rsidP="00737D0A">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84"/>
      </w:tblGrid>
      <w:tr w:rsidR="00737D0A" w:rsidRPr="002D5B06" w:rsidTr="00737D0A">
        <w:tc>
          <w:tcPr>
            <w:tcW w:w="959" w:type="dxa"/>
          </w:tcPr>
          <w:p w:rsidR="00737D0A" w:rsidRPr="002D5B06" w:rsidRDefault="00737D0A" w:rsidP="00737D0A">
            <w:pPr>
              <w:rPr>
                <w:rFonts w:cs="Arial"/>
                <w:szCs w:val="24"/>
                <w:highlight w:val="yellow"/>
              </w:rPr>
            </w:pPr>
            <w:r w:rsidRPr="002A75CB">
              <w:rPr>
                <w:rFonts w:cs="Arial"/>
                <w:szCs w:val="24"/>
              </w:rPr>
              <w:t>1</w:t>
            </w:r>
          </w:p>
        </w:tc>
        <w:tc>
          <w:tcPr>
            <w:tcW w:w="8284" w:type="dxa"/>
          </w:tcPr>
          <w:p w:rsidR="002A75CB" w:rsidRPr="002A75CB" w:rsidRDefault="008E3A1F" w:rsidP="008E3A1F">
            <w:pPr>
              <w:shd w:val="clear" w:color="auto" w:fill="FFFFFF" w:themeFill="background1"/>
              <w:spacing w:before="100" w:beforeAutospacing="1" w:after="100" w:afterAutospacing="1" w:line="360" w:lineRule="auto"/>
              <w:rPr>
                <w:rFonts w:cs="Arial"/>
                <w:szCs w:val="24"/>
              </w:rPr>
            </w:pPr>
            <w:r>
              <w:rPr>
                <w:rFonts w:cs="Arial"/>
                <w:szCs w:val="24"/>
              </w:rPr>
              <w:t>L</w:t>
            </w:r>
            <w:r w:rsidR="003167CB">
              <w:rPr>
                <w:rFonts w:cs="Arial"/>
                <w:szCs w:val="24"/>
              </w:rPr>
              <w:t xml:space="preserve">egislative safeguards </w:t>
            </w:r>
            <w:r>
              <w:rPr>
                <w:rFonts w:cs="Arial"/>
                <w:szCs w:val="24"/>
              </w:rPr>
              <w:t>should be extended to all adults</w:t>
            </w:r>
            <w:r w:rsidR="003167CB">
              <w:rPr>
                <w:rFonts w:cs="Arial"/>
                <w:szCs w:val="24"/>
              </w:rPr>
              <w:t>. Alternatively, legislation regarding elder abuse could be extended within its definitions to capture those younger adults who are vulnerable or dependent on others for their well being.</w:t>
            </w:r>
          </w:p>
        </w:tc>
      </w:tr>
      <w:tr w:rsidR="00737D0A" w:rsidRPr="002D5B06" w:rsidTr="00737D0A">
        <w:tc>
          <w:tcPr>
            <w:tcW w:w="959" w:type="dxa"/>
          </w:tcPr>
          <w:p w:rsidR="00737D0A" w:rsidRPr="002D5B06" w:rsidRDefault="00737D0A" w:rsidP="00737D0A">
            <w:pPr>
              <w:rPr>
                <w:rFonts w:cs="Arial"/>
                <w:szCs w:val="24"/>
                <w:highlight w:val="yellow"/>
              </w:rPr>
            </w:pPr>
          </w:p>
        </w:tc>
        <w:tc>
          <w:tcPr>
            <w:tcW w:w="8284" w:type="dxa"/>
          </w:tcPr>
          <w:p w:rsidR="00737D0A" w:rsidRPr="002D5B06" w:rsidRDefault="00737D0A" w:rsidP="00737D0A">
            <w:pPr>
              <w:rPr>
                <w:rFonts w:cs="Arial"/>
                <w:szCs w:val="24"/>
                <w:highlight w:val="yellow"/>
              </w:rPr>
            </w:pPr>
          </w:p>
        </w:tc>
      </w:tr>
      <w:tr w:rsidR="002A75CB" w:rsidRPr="002D5B06" w:rsidTr="00737D0A">
        <w:tc>
          <w:tcPr>
            <w:tcW w:w="959" w:type="dxa"/>
          </w:tcPr>
          <w:p w:rsidR="002A75CB" w:rsidRPr="002D5B06" w:rsidRDefault="002A75CB" w:rsidP="00737D0A">
            <w:pPr>
              <w:rPr>
                <w:rFonts w:cs="Arial"/>
                <w:szCs w:val="24"/>
                <w:highlight w:val="yellow"/>
              </w:rPr>
            </w:pPr>
            <w:r w:rsidRPr="002A75CB">
              <w:rPr>
                <w:rFonts w:cs="Arial"/>
                <w:szCs w:val="24"/>
              </w:rPr>
              <w:t>2</w:t>
            </w:r>
          </w:p>
        </w:tc>
        <w:tc>
          <w:tcPr>
            <w:tcW w:w="8284" w:type="dxa"/>
          </w:tcPr>
          <w:p w:rsidR="002A75CB" w:rsidRPr="002D5B06" w:rsidRDefault="002A75CB" w:rsidP="000C058E">
            <w:pPr>
              <w:shd w:val="clear" w:color="auto" w:fill="FFFFFF" w:themeFill="background1"/>
              <w:spacing w:line="360" w:lineRule="auto"/>
              <w:rPr>
                <w:rFonts w:cs="Arial"/>
                <w:szCs w:val="24"/>
                <w:highlight w:val="yellow"/>
              </w:rPr>
            </w:pPr>
            <w:r>
              <w:t>The development of national plan must consider the training needs of workers and community members and ensure that communication of national strategies is effective.</w:t>
            </w:r>
          </w:p>
        </w:tc>
      </w:tr>
      <w:tr w:rsidR="00737D0A" w:rsidRPr="002D5B06" w:rsidTr="00710A86">
        <w:tc>
          <w:tcPr>
            <w:tcW w:w="959" w:type="dxa"/>
          </w:tcPr>
          <w:p w:rsidR="00737D0A" w:rsidRPr="002D5B06" w:rsidRDefault="00737D0A" w:rsidP="00737D0A">
            <w:pPr>
              <w:rPr>
                <w:rFonts w:cs="Arial"/>
                <w:szCs w:val="24"/>
                <w:highlight w:val="yellow"/>
              </w:rPr>
            </w:pPr>
          </w:p>
        </w:tc>
        <w:tc>
          <w:tcPr>
            <w:tcW w:w="8284" w:type="dxa"/>
          </w:tcPr>
          <w:p w:rsidR="00737D0A" w:rsidRPr="002D5B06" w:rsidRDefault="00737D0A" w:rsidP="00737D0A">
            <w:pPr>
              <w:rPr>
                <w:rFonts w:cs="Arial"/>
                <w:szCs w:val="24"/>
                <w:highlight w:val="yellow"/>
              </w:rPr>
            </w:pPr>
          </w:p>
        </w:tc>
      </w:tr>
      <w:tr w:rsidR="002A75CB" w:rsidRPr="002D5B06" w:rsidTr="00737D0A">
        <w:tc>
          <w:tcPr>
            <w:tcW w:w="959" w:type="dxa"/>
          </w:tcPr>
          <w:p w:rsidR="002A75CB" w:rsidRPr="002D5B06" w:rsidRDefault="002A75CB" w:rsidP="00737D0A">
            <w:pPr>
              <w:rPr>
                <w:rFonts w:cs="Arial"/>
                <w:szCs w:val="24"/>
                <w:highlight w:val="yellow"/>
              </w:rPr>
            </w:pPr>
            <w:r w:rsidRPr="002A75CB">
              <w:rPr>
                <w:rFonts w:cs="Arial"/>
                <w:szCs w:val="24"/>
              </w:rPr>
              <w:t>3</w:t>
            </w:r>
          </w:p>
        </w:tc>
        <w:tc>
          <w:tcPr>
            <w:tcW w:w="8284" w:type="dxa"/>
          </w:tcPr>
          <w:p w:rsidR="002A75CB" w:rsidRPr="002D5B06" w:rsidRDefault="002A75CB" w:rsidP="005014B6">
            <w:pPr>
              <w:spacing w:line="360" w:lineRule="auto"/>
              <w:rPr>
                <w:rFonts w:cs="Arial"/>
                <w:szCs w:val="24"/>
                <w:highlight w:val="yellow"/>
              </w:rPr>
            </w:pPr>
            <w:r>
              <w:t>A national database should be established and maintained as part of the functions of any National Elder Abuse Department/Agency. This should inform policy development and benchmarking of national quality standards and performance indicators in relation to elder abuse.</w:t>
            </w:r>
          </w:p>
        </w:tc>
      </w:tr>
      <w:tr w:rsidR="00737D0A" w:rsidRPr="002D5B06" w:rsidTr="00710A86">
        <w:tc>
          <w:tcPr>
            <w:tcW w:w="959" w:type="dxa"/>
          </w:tcPr>
          <w:p w:rsidR="00737D0A" w:rsidRPr="002D5B06" w:rsidRDefault="00737D0A" w:rsidP="00737D0A">
            <w:pPr>
              <w:rPr>
                <w:rFonts w:cs="Arial"/>
                <w:szCs w:val="24"/>
                <w:highlight w:val="yellow"/>
              </w:rPr>
            </w:pPr>
          </w:p>
        </w:tc>
        <w:tc>
          <w:tcPr>
            <w:tcW w:w="8284" w:type="dxa"/>
          </w:tcPr>
          <w:p w:rsidR="00737D0A" w:rsidRPr="002D5B06" w:rsidRDefault="00737D0A" w:rsidP="00737D0A">
            <w:pPr>
              <w:rPr>
                <w:rFonts w:cs="Arial"/>
                <w:szCs w:val="24"/>
                <w:highlight w:val="yellow"/>
              </w:rPr>
            </w:pPr>
          </w:p>
        </w:tc>
      </w:tr>
      <w:tr w:rsidR="00737D0A" w:rsidRPr="00A269C1" w:rsidTr="00710A86">
        <w:tc>
          <w:tcPr>
            <w:tcW w:w="959" w:type="dxa"/>
          </w:tcPr>
          <w:p w:rsidR="00737D0A" w:rsidRPr="00A269C1" w:rsidRDefault="00737D0A" w:rsidP="00737D0A">
            <w:pPr>
              <w:rPr>
                <w:rFonts w:cs="Arial"/>
                <w:szCs w:val="24"/>
              </w:rPr>
            </w:pPr>
            <w:r w:rsidRPr="00A269C1">
              <w:rPr>
                <w:rFonts w:cs="Arial"/>
                <w:szCs w:val="24"/>
              </w:rPr>
              <w:t>4</w:t>
            </w:r>
          </w:p>
        </w:tc>
        <w:tc>
          <w:tcPr>
            <w:tcW w:w="8284" w:type="dxa"/>
          </w:tcPr>
          <w:p w:rsidR="00737D0A" w:rsidRPr="00A269C1" w:rsidRDefault="00A269C1" w:rsidP="00D04718">
            <w:pPr>
              <w:shd w:val="clear" w:color="auto" w:fill="FFFFFF" w:themeFill="background1"/>
              <w:spacing w:line="360" w:lineRule="auto"/>
              <w:rPr>
                <w:rFonts w:cs="Arial"/>
                <w:szCs w:val="24"/>
                <w:highlight w:val="yellow"/>
              </w:rPr>
            </w:pPr>
            <w:r w:rsidRPr="00A269C1">
              <w:rPr>
                <w:rFonts w:cs="Arial"/>
                <w:szCs w:val="24"/>
              </w:rPr>
              <w:t>There should be monitoring of reprisals against a</w:t>
            </w:r>
            <w:r w:rsidRPr="00A269C1">
              <w:t xml:space="preserve">ny person who reports elder abuse in good faith. There should also be an information/education campaign regarding </w:t>
            </w:r>
            <w:r w:rsidR="005F07B6">
              <w:t>such</w:t>
            </w:r>
            <w:r w:rsidRPr="00A269C1">
              <w:t xml:space="preserve"> rights</w:t>
            </w:r>
            <w:r w:rsidR="00737D0A" w:rsidRPr="00A269C1">
              <w:rPr>
                <w:rFonts w:cs="Arial"/>
                <w:szCs w:val="24"/>
              </w:rPr>
              <w:t xml:space="preserve">. </w:t>
            </w:r>
          </w:p>
        </w:tc>
      </w:tr>
      <w:tr w:rsidR="00710A86" w:rsidRPr="002D5B06" w:rsidTr="00710A86">
        <w:tc>
          <w:tcPr>
            <w:tcW w:w="959" w:type="dxa"/>
          </w:tcPr>
          <w:p w:rsidR="00710A86" w:rsidRPr="002D5B06" w:rsidRDefault="00710A86" w:rsidP="00737D0A">
            <w:pPr>
              <w:rPr>
                <w:rFonts w:cs="Arial"/>
                <w:szCs w:val="24"/>
                <w:highlight w:val="yellow"/>
              </w:rPr>
            </w:pPr>
          </w:p>
        </w:tc>
        <w:tc>
          <w:tcPr>
            <w:tcW w:w="8284" w:type="dxa"/>
          </w:tcPr>
          <w:p w:rsidR="00710A86" w:rsidRPr="002D5B06" w:rsidRDefault="00710A86" w:rsidP="00710A86">
            <w:pPr>
              <w:spacing w:before="100" w:beforeAutospacing="1" w:after="100" w:afterAutospacing="1" w:line="360" w:lineRule="auto"/>
              <w:rPr>
                <w:rFonts w:eastAsia="Times New Roman" w:cs="Arial"/>
                <w:szCs w:val="24"/>
                <w:highlight w:val="yellow"/>
                <w:lang w:val="en-GB" w:eastAsia="en-GB"/>
              </w:rPr>
            </w:pPr>
          </w:p>
        </w:tc>
      </w:tr>
      <w:tr w:rsidR="00710A86" w:rsidRPr="002D5B06" w:rsidTr="00710A86">
        <w:tc>
          <w:tcPr>
            <w:tcW w:w="959" w:type="dxa"/>
          </w:tcPr>
          <w:p w:rsidR="00710A86" w:rsidRPr="00BB4D73" w:rsidRDefault="00710A86" w:rsidP="00737D0A">
            <w:pPr>
              <w:rPr>
                <w:rFonts w:cs="Arial"/>
                <w:szCs w:val="24"/>
              </w:rPr>
            </w:pPr>
            <w:r w:rsidRPr="00BB4D73">
              <w:rPr>
                <w:rFonts w:cs="Arial"/>
                <w:szCs w:val="24"/>
              </w:rPr>
              <w:t>5</w:t>
            </w:r>
          </w:p>
        </w:tc>
        <w:tc>
          <w:tcPr>
            <w:tcW w:w="8284" w:type="dxa"/>
          </w:tcPr>
          <w:p w:rsidR="00710A86" w:rsidRPr="00BB4D73" w:rsidRDefault="006B151C" w:rsidP="00BB4D73">
            <w:pPr>
              <w:spacing w:before="100" w:beforeAutospacing="1" w:after="100" w:afterAutospacing="1" w:line="360" w:lineRule="auto"/>
              <w:rPr>
                <w:rFonts w:cs="Arial"/>
                <w:szCs w:val="24"/>
              </w:rPr>
            </w:pPr>
            <w:r w:rsidRPr="00BB4D73">
              <w:rPr>
                <w:rFonts w:cs="Arial"/>
                <w:szCs w:val="24"/>
              </w:rPr>
              <w:t xml:space="preserve">Individual protection plans where </w:t>
            </w:r>
            <w:r w:rsidR="00BB4D73" w:rsidRPr="00BB4D73">
              <w:rPr>
                <w:rFonts w:cs="Arial"/>
                <w:szCs w:val="24"/>
              </w:rPr>
              <w:t xml:space="preserve">actual or potential </w:t>
            </w:r>
            <w:r w:rsidRPr="00BB4D73">
              <w:rPr>
                <w:rFonts w:cs="Arial"/>
                <w:szCs w:val="24"/>
              </w:rPr>
              <w:t xml:space="preserve">abuse is </w:t>
            </w:r>
            <w:r w:rsidR="00BB4D73" w:rsidRPr="00BB4D73">
              <w:rPr>
                <w:rFonts w:cs="Arial"/>
                <w:szCs w:val="24"/>
              </w:rPr>
              <w:t>identified would assist in providing a supportive response to allegations and facilitate co-ordination of services and agencies.</w:t>
            </w:r>
          </w:p>
        </w:tc>
      </w:tr>
      <w:tr w:rsidR="00737D0A" w:rsidRPr="002D5B06" w:rsidTr="00710A86">
        <w:tc>
          <w:tcPr>
            <w:tcW w:w="959" w:type="dxa"/>
          </w:tcPr>
          <w:p w:rsidR="00737D0A" w:rsidRPr="002D5B06" w:rsidRDefault="00737D0A" w:rsidP="00737D0A">
            <w:pPr>
              <w:rPr>
                <w:rFonts w:cs="Arial"/>
                <w:szCs w:val="24"/>
                <w:highlight w:val="yellow"/>
              </w:rPr>
            </w:pPr>
          </w:p>
        </w:tc>
        <w:tc>
          <w:tcPr>
            <w:tcW w:w="8284" w:type="dxa"/>
          </w:tcPr>
          <w:p w:rsidR="00737D0A" w:rsidRPr="002D5B06" w:rsidRDefault="00737D0A" w:rsidP="00737D0A">
            <w:pPr>
              <w:rPr>
                <w:rFonts w:cs="Arial"/>
                <w:szCs w:val="24"/>
                <w:highlight w:val="yellow"/>
              </w:rPr>
            </w:pPr>
          </w:p>
        </w:tc>
      </w:tr>
      <w:tr w:rsidR="00737D0A" w:rsidRPr="002D5B06" w:rsidTr="00710A86">
        <w:tc>
          <w:tcPr>
            <w:tcW w:w="959" w:type="dxa"/>
          </w:tcPr>
          <w:p w:rsidR="00737D0A" w:rsidRPr="00E579C0" w:rsidRDefault="00710A86" w:rsidP="00737D0A">
            <w:pPr>
              <w:rPr>
                <w:rFonts w:cs="Arial"/>
                <w:szCs w:val="24"/>
              </w:rPr>
            </w:pPr>
            <w:r w:rsidRPr="00E579C0">
              <w:rPr>
                <w:rFonts w:cs="Arial"/>
                <w:szCs w:val="24"/>
              </w:rPr>
              <w:t>6</w:t>
            </w:r>
          </w:p>
        </w:tc>
        <w:tc>
          <w:tcPr>
            <w:tcW w:w="8284" w:type="dxa"/>
          </w:tcPr>
          <w:p w:rsidR="00737D0A" w:rsidRPr="00E579C0" w:rsidRDefault="00E579C0" w:rsidP="00E579C0">
            <w:pPr>
              <w:spacing w:line="360" w:lineRule="auto"/>
              <w:rPr>
                <w:rFonts w:cs="Arial"/>
                <w:szCs w:val="24"/>
              </w:rPr>
            </w:pPr>
            <w:r w:rsidRPr="00E579C0">
              <w:rPr>
                <w:rFonts w:cs="Arial"/>
                <w:szCs w:val="24"/>
              </w:rPr>
              <w:t>Legislation should be extended to include regulation of independent care workers operating in the community as a means of reducing the risk of abuse.</w:t>
            </w:r>
          </w:p>
        </w:tc>
      </w:tr>
      <w:tr w:rsidR="00737D0A" w:rsidRPr="002D5B06" w:rsidTr="00737D0A">
        <w:tc>
          <w:tcPr>
            <w:tcW w:w="959" w:type="dxa"/>
          </w:tcPr>
          <w:p w:rsidR="00737D0A" w:rsidRPr="002D5B06" w:rsidRDefault="00737D0A" w:rsidP="00737D0A">
            <w:pPr>
              <w:rPr>
                <w:rFonts w:cs="Arial"/>
                <w:szCs w:val="24"/>
                <w:highlight w:val="yellow"/>
              </w:rPr>
            </w:pPr>
          </w:p>
        </w:tc>
        <w:tc>
          <w:tcPr>
            <w:tcW w:w="8284" w:type="dxa"/>
          </w:tcPr>
          <w:p w:rsidR="00737D0A" w:rsidRPr="002D5B06" w:rsidRDefault="00737D0A" w:rsidP="00737D0A">
            <w:pPr>
              <w:rPr>
                <w:rFonts w:cs="Arial"/>
                <w:szCs w:val="24"/>
                <w:highlight w:val="yellow"/>
              </w:rPr>
            </w:pPr>
          </w:p>
        </w:tc>
      </w:tr>
      <w:tr w:rsidR="00737D0A" w:rsidRPr="002D5B06" w:rsidTr="00737D0A">
        <w:tc>
          <w:tcPr>
            <w:tcW w:w="959" w:type="dxa"/>
          </w:tcPr>
          <w:p w:rsidR="00737D0A" w:rsidRPr="002D5B06" w:rsidRDefault="00710A86" w:rsidP="00737D0A">
            <w:pPr>
              <w:rPr>
                <w:rFonts w:cs="Arial"/>
                <w:szCs w:val="24"/>
                <w:highlight w:val="yellow"/>
              </w:rPr>
            </w:pPr>
            <w:r w:rsidRPr="00A56D56">
              <w:rPr>
                <w:rFonts w:cs="Arial"/>
                <w:szCs w:val="24"/>
              </w:rPr>
              <w:t>7</w:t>
            </w:r>
          </w:p>
        </w:tc>
        <w:tc>
          <w:tcPr>
            <w:tcW w:w="8284" w:type="dxa"/>
          </w:tcPr>
          <w:p w:rsidR="00737D0A" w:rsidRPr="002D5B06" w:rsidRDefault="004675FF" w:rsidP="004675FF">
            <w:pPr>
              <w:spacing w:line="360" w:lineRule="auto"/>
              <w:rPr>
                <w:rFonts w:cs="Arial"/>
                <w:szCs w:val="24"/>
                <w:highlight w:val="yellow"/>
              </w:rPr>
            </w:pPr>
            <w:r>
              <w:rPr>
                <w:rFonts w:cs="Arial"/>
                <w:szCs w:val="24"/>
              </w:rPr>
              <w:t>Any agency identified to investigate allegations of abuse must have the legislative authority to initiate an immediate and impartial first response</w:t>
            </w:r>
            <w:r w:rsidR="00F439AB">
              <w:rPr>
                <w:rFonts w:cs="Arial"/>
                <w:szCs w:val="24"/>
              </w:rPr>
              <w:t>.</w:t>
            </w:r>
          </w:p>
        </w:tc>
      </w:tr>
      <w:tr w:rsidR="00737D0A" w:rsidRPr="002D5B06" w:rsidTr="00737D0A">
        <w:tc>
          <w:tcPr>
            <w:tcW w:w="959" w:type="dxa"/>
          </w:tcPr>
          <w:p w:rsidR="00737D0A" w:rsidRPr="002D5B06" w:rsidRDefault="00737D0A" w:rsidP="00737D0A">
            <w:pPr>
              <w:rPr>
                <w:rFonts w:cs="Arial"/>
                <w:szCs w:val="24"/>
                <w:highlight w:val="yellow"/>
              </w:rPr>
            </w:pPr>
          </w:p>
        </w:tc>
        <w:tc>
          <w:tcPr>
            <w:tcW w:w="8284" w:type="dxa"/>
          </w:tcPr>
          <w:p w:rsidR="00737D0A" w:rsidRPr="002D5B06" w:rsidRDefault="00737D0A" w:rsidP="00737D0A">
            <w:pPr>
              <w:rPr>
                <w:rFonts w:cs="Arial"/>
                <w:szCs w:val="24"/>
                <w:highlight w:val="yellow"/>
              </w:rPr>
            </w:pPr>
          </w:p>
        </w:tc>
      </w:tr>
      <w:tr w:rsidR="00737D0A" w:rsidRPr="002D5B06" w:rsidTr="00737D0A">
        <w:tc>
          <w:tcPr>
            <w:tcW w:w="959" w:type="dxa"/>
          </w:tcPr>
          <w:p w:rsidR="00737D0A" w:rsidRPr="002D5B06" w:rsidRDefault="00A56D56" w:rsidP="00737D0A">
            <w:pPr>
              <w:rPr>
                <w:rFonts w:cs="Arial"/>
                <w:szCs w:val="24"/>
                <w:highlight w:val="yellow"/>
              </w:rPr>
            </w:pPr>
            <w:r w:rsidRPr="00020D1B">
              <w:rPr>
                <w:rFonts w:cs="Arial"/>
                <w:szCs w:val="24"/>
              </w:rPr>
              <w:t>8</w:t>
            </w:r>
          </w:p>
        </w:tc>
        <w:tc>
          <w:tcPr>
            <w:tcW w:w="8284" w:type="dxa"/>
          </w:tcPr>
          <w:p w:rsidR="00020D1B" w:rsidRPr="00020D1B" w:rsidRDefault="00020D1B" w:rsidP="00FD092C">
            <w:pPr>
              <w:spacing w:line="360" w:lineRule="auto"/>
              <w:rPr>
                <w:rFonts w:cs="Arial"/>
                <w:szCs w:val="24"/>
              </w:rPr>
            </w:pPr>
            <w:r w:rsidRPr="00020D1B">
              <w:rPr>
                <w:rFonts w:cs="Arial"/>
                <w:szCs w:val="24"/>
              </w:rPr>
              <w:t>Proposal 11-2 (a) should include aged care provider unless this is explicitly covered within the category of staff to account for institutional abusive practices.</w:t>
            </w:r>
          </w:p>
          <w:p w:rsidR="00020D1B" w:rsidRDefault="00020D1B" w:rsidP="00737D0A">
            <w:pPr>
              <w:rPr>
                <w:rFonts w:cs="Arial"/>
                <w:szCs w:val="24"/>
                <w:highlight w:val="yellow"/>
              </w:rPr>
            </w:pPr>
          </w:p>
          <w:p w:rsidR="00020D1B" w:rsidRDefault="00020D1B" w:rsidP="00737D0A">
            <w:pPr>
              <w:rPr>
                <w:rFonts w:cs="Arial"/>
                <w:szCs w:val="24"/>
                <w:highlight w:val="yellow"/>
              </w:rPr>
            </w:pPr>
          </w:p>
          <w:p w:rsidR="00737D0A" w:rsidRPr="002D5B06" w:rsidRDefault="00737D0A" w:rsidP="00737D0A">
            <w:pPr>
              <w:rPr>
                <w:rFonts w:cs="Arial"/>
                <w:szCs w:val="24"/>
                <w:highlight w:val="yellow"/>
              </w:rPr>
            </w:pPr>
          </w:p>
        </w:tc>
      </w:tr>
      <w:tr w:rsidR="00737D0A" w:rsidRPr="002D5B06" w:rsidTr="00185A92">
        <w:tc>
          <w:tcPr>
            <w:tcW w:w="959" w:type="dxa"/>
          </w:tcPr>
          <w:p w:rsidR="00737D0A" w:rsidRPr="00020D1B" w:rsidRDefault="00A56D56" w:rsidP="00737D0A">
            <w:pPr>
              <w:rPr>
                <w:rFonts w:cs="Arial"/>
                <w:szCs w:val="24"/>
              </w:rPr>
            </w:pPr>
            <w:r w:rsidRPr="00020D1B">
              <w:rPr>
                <w:rFonts w:cs="Arial"/>
                <w:szCs w:val="24"/>
              </w:rPr>
              <w:lastRenderedPageBreak/>
              <w:t>9</w:t>
            </w:r>
          </w:p>
        </w:tc>
        <w:tc>
          <w:tcPr>
            <w:tcW w:w="8284" w:type="dxa"/>
          </w:tcPr>
          <w:p w:rsidR="00020D1B" w:rsidRPr="00020D1B" w:rsidRDefault="00020D1B" w:rsidP="00020D1B">
            <w:pPr>
              <w:spacing w:line="360" w:lineRule="auto"/>
            </w:pPr>
            <w:r w:rsidRPr="00020D1B">
              <w:rPr>
                <w:rFonts w:cs="Arial"/>
                <w:szCs w:val="24"/>
              </w:rPr>
              <w:t>The definition of a reportable incident described in 11-2 should be extended to include</w:t>
            </w:r>
            <w:r w:rsidRPr="00020D1B">
              <w:t xml:space="preserve"> institutional abuse and the use of chemical or physical restraint.</w:t>
            </w:r>
            <w:r w:rsidR="00F47185">
              <w:t xml:space="preserve"> </w:t>
            </w:r>
            <w:r w:rsidR="00F47185" w:rsidRPr="0028282C">
              <w:t>Extortion and intimid</w:t>
            </w:r>
            <w:r w:rsidR="0028282C" w:rsidRPr="0028282C">
              <w:t>ation should also be considered.</w:t>
            </w:r>
          </w:p>
          <w:p w:rsidR="00020D1B" w:rsidRPr="00020D1B" w:rsidRDefault="00020D1B" w:rsidP="00C14606">
            <w:pPr>
              <w:spacing w:line="360" w:lineRule="auto"/>
              <w:rPr>
                <w:rFonts w:cs="Arial"/>
                <w:szCs w:val="24"/>
              </w:rPr>
            </w:pPr>
          </w:p>
        </w:tc>
      </w:tr>
      <w:tr w:rsidR="002B14AD" w:rsidRPr="002D5B06" w:rsidTr="00185A92">
        <w:tc>
          <w:tcPr>
            <w:tcW w:w="959" w:type="dxa"/>
          </w:tcPr>
          <w:p w:rsidR="002B14AD" w:rsidRPr="00020D1B" w:rsidRDefault="002B14AD" w:rsidP="00737D0A">
            <w:pPr>
              <w:rPr>
                <w:rFonts w:cs="Arial"/>
                <w:szCs w:val="24"/>
              </w:rPr>
            </w:pPr>
            <w:r>
              <w:rPr>
                <w:rFonts w:cs="Arial"/>
                <w:szCs w:val="24"/>
              </w:rPr>
              <w:t>10</w:t>
            </w:r>
          </w:p>
        </w:tc>
        <w:tc>
          <w:tcPr>
            <w:tcW w:w="8284" w:type="dxa"/>
          </w:tcPr>
          <w:p w:rsidR="002B14AD" w:rsidRDefault="002B14AD" w:rsidP="002B14AD">
            <w:pPr>
              <w:spacing w:line="360" w:lineRule="auto"/>
            </w:pPr>
            <w:r w:rsidRPr="00CC771D">
              <w:rPr>
                <w:rFonts w:cs="Arial"/>
                <w:szCs w:val="24"/>
              </w:rPr>
              <w:t xml:space="preserve">Under proposal 11-3 we recommend that the same </w:t>
            </w:r>
            <w:r w:rsidRPr="00CC771D">
              <w:t>threshold of seriousness is met for all allegations, regardless of cognitive status</w:t>
            </w:r>
            <w:r w:rsidR="00D04718">
              <w:t>,</w:t>
            </w:r>
            <w:r w:rsidR="00CC771D" w:rsidRPr="00CC771D">
              <w:t xml:space="preserve"> to reduce the risk of discretionary reporting</w:t>
            </w:r>
            <w:r w:rsidRPr="00CC771D">
              <w:t>.</w:t>
            </w:r>
          </w:p>
          <w:p w:rsidR="002B14AD" w:rsidRPr="00CC771D" w:rsidRDefault="002B14AD" w:rsidP="002B14AD">
            <w:pPr>
              <w:spacing w:line="360" w:lineRule="auto"/>
              <w:rPr>
                <w:rFonts w:cs="Arial"/>
                <w:szCs w:val="24"/>
                <w:highlight w:val="yellow"/>
              </w:rPr>
            </w:pPr>
          </w:p>
        </w:tc>
      </w:tr>
      <w:tr w:rsidR="002B14AD" w:rsidRPr="002D5B06" w:rsidTr="00185A92">
        <w:tc>
          <w:tcPr>
            <w:tcW w:w="959" w:type="dxa"/>
          </w:tcPr>
          <w:p w:rsidR="002B14AD" w:rsidRDefault="002B14AD" w:rsidP="00737D0A">
            <w:pPr>
              <w:rPr>
                <w:rFonts w:cs="Arial"/>
                <w:szCs w:val="24"/>
              </w:rPr>
            </w:pPr>
            <w:r>
              <w:rPr>
                <w:rFonts w:cs="Arial"/>
                <w:szCs w:val="24"/>
              </w:rPr>
              <w:t>11</w:t>
            </w:r>
          </w:p>
        </w:tc>
        <w:tc>
          <w:tcPr>
            <w:tcW w:w="8284" w:type="dxa"/>
          </w:tcPr>
          <w:p w:rsidR="00CC771D" w:rsidRDefault="00986865" w:rsidP="00986865">
            <w:pPr>
              <w:spacing w:line="360" w:lineRule="auto"/>
            </w:pPr>
            <w:r>
              <w:t xml:space="preserve">The use of risk assessment processes should be overtly stated in legislation. This will promote the ongoing protection of staff and give due consideration </w:t>
            </w:r>
            <w:r w:rsidR="00D04718">
              <w:t>to</w:t>
            </w:r>
            <w:r>
              <w:t xml:space="preserve"> the ongoing applicability of restraint practices.</w:t>
            </w:r>
          </w:p>
          <w:p w:rsidR="00986865" w:rsidRPr="00CC771D" w:rsidRDefault="00986865" w:rsidP="00986865">
            <w:pPr>
              <w:spacing w:line="360" w:lineRule="auto"/>
              <w:rPr>
                <w:rFonts w:cs="Arial"/>
                <w:szCs w:val="24"/>
                <w:highlight w:val="yellow"/>
              </w:rPr>
            </w:pPr>
          </w:p>
        </w:tc>
      </w:tr>
      <w:tr w:rsidR="002B14AD" w:rsidRPr="002D5B06" w:rsidTr="00185A92">
        <w:tc>
          <w:tcPr>
            <w:tcW w:w="959" w:type="dxa"/>
          </w:tcPr>
          <w:p w:rsidR="002B14AD" w:rsidRDefault="00986865" w:rsidP="00737D0A">
            <w:pPr>
              <w:rPr>
                <w:rFonts w:cs="Arial"/>
                <w:szCs w:val="24"/>
              </w:rPr>
            </w:pPr>
            <w:r>
              <w:rPr>
                <w:rFonts w:cs="Arial"/>
                <w:szCs w:val="24"/>
              </w:rPr>
              <w:t>12</w:t>
            </w:r>
          </w:p>
        </w:tc>
        <w:tc>
          <w:tcPr>
            <w:tcW w:w="8284" w:type="dxa"/>
          </w:tcPr>
          <w:p w:rsidR="00986865" w:rsidRDefault="00986865" w:rsidP="00986865">
            <w:pPr>
              <w:autoSpaceDE w:val="0"/>
              <w:autoSpaceDN w:val="0"/>
              <w:adjustRightInd w:val="0"/>
              <w:spacing w:line="360" w:lineRule="auto"/>
              <w:rPr>
                <w:rFonts w:cs="Arial"/>
                <w:szCs w:val="24"/>
              </w:rPr>
            </w:pPr>
            <w:r w:rsidRPr="00986865">
              <w:t xml:space="preserve">Legislation is required to </w:t>
            </w:r>
            <w:r w:rsidRPr="00986865">
              <w:rPr>
                <w:rFonts w:cs="Arial"/>
                <w:szCs w:val="24"/>
              </w:rPr>
              <w:t>secure: minimum safe staffing levels and skills mix; minimum standards of conduct for all aged care workers; minimum training expectations in elder abuse and employment security should workers raise issues of concern</w:t>
            </w:r>
            <w:r w:rsidR="00D04718">
              <w:rPr>
                <w:rFonts w:cs="Arial"/>
                <w:szCs w:val="24"/>
              </w:rPr>
              <w:t xml:space="preserve"> in good faith</w:t>
            </w:r>
            <w:r w:rsidRPr="00986865">
              <w:rPr>
                <w:rFonts w:cs="Arial"/>
                <w:szCs w:val="24"/>
              </w:rPr>
              <w:t>.</w:t>
            </w:r>
          </w:p>
          <w:p w:rsidR="002B14AD" w:rsidRDefault="002B14AD" w:rsidP="00986865">
            <w:pPr>
              <w:spacing w:line="360" w:lineRule="auto"/>
              <w:rPr>
                <w:rFonts w:cs="Arial"/>
                <w:szCs w:val="24"/>
              </w:rPr>
            </w:pPr>
          </w:p>
        </w:tc>
      </w:tr>
      <w:tr w:rsidR="00986865" w:rsidRPr="002D5B06" w:rsidTr="00185A92">
        <w:tc>
          <w:tcPr>
            <w:tcW w:w="959" w:type="dxa"/>
          </w:tcPr>
          <w:p w:rsidR="00986865" w:rsidRDefault="00986865" w:rsidP="00737D0A">
            <w:pPr>
              <w:rPr>
                <w:rFonts w:cs="Arial"/>
                <w:szCs w:val="24"/>
              </w:rPr>
            </w:pPr>
            <w:r>
              <w:rPr>
                <w:rFonts w:cs="Arial"/>
                <w:szCs w:val="24"/>
              </w:rPr>
              <w:t>13</w:t>
            </w:r>
          </w:p>
        </w:tc>
        <w:tc>
          <w:tcPr>
            <w:tcW w:w="8284" w:type="dxa"/>
          </w:tcPr>
          <w:p w:rsidR="00986865" w:rsidRDefault="00986865" w:rsidP="00986865">
            <w:pPr>
              <w:spacing w:line="360" w:lineRule="auto"/>
            </w:pPr>
            <w:r>
              <w:t xml:space="preserve">Under proposal 11-7 (c) the term ‘Senior Clinician’ should be clearly defined. </w:t>
            </w:r>
          </w:p>
          <w:p w:rsidR="00986865" w:rsidRPr="00986865" w:rsidRDefault="00986865" w:rsidP="00986865">
            <w:pPr>
              <w:autoSpaceDE w:val="0"/>
              <w:autoSpaceDN w:val="0"/>
              <w:adjustRightInd w:val="0"/>
              <w:spacing w:line="360" w:lineRule="auto"/>
            </w:pPr>
          </w:p>
        </w:tc>
      </w:tr>
    </w:tbl>
    <w:p w:rsidR="001D6743" w:rsidRDefault="00737D0A" w:rsidP="001D6743">
      <w:pPr>
        <w:jc w:val="center"/>
        <w:rPr>
          <w:rFonts w:cs="Arial"/>
          <w:szCs w:val="24"/>
        </w:rPr>
      </w:pPr>
      <w:r>
        <w:rPr>
          <w:rFonts w:cs="Arial"/>
          <w:szCs w:val="24"/>
        </w:rPr>
        <w:br w:type="page"/>
      </w:r>
    </w:p>
    <w:p w:rsidR="001D6743" w:rsidRPr="00D04718" w:rsidRDefault="00C4730E" w:rsidP="001D6743">
      <w:pPr>
        <w:jc w:val="center"/>
        <w:rPr>
          <w:rFonts w:cs="Arial"/>
          <w:b/>
          <w:sz w:val="28"/>
          <w:szCs w:val="28"/>
        </w:rPr>
      </w:pPr>
      <w:r w:rsidRPr="00D04718">
        <w:rPr>
          <w:rFonts w:cs="Arial"/>
          <w:b/>
          <w:sz w:val="28"/>
          <w:szCs w:val="28"/>
        </w:rPr>
        <w:lastRenderedPageBreak/>
        <w:t>Comment on the i</w:t>
      </w:r>
      <w:r w:rsidR="001D6743" w:rsidRPr="00D04718">
        <w:rPr>
          <w:rFonts w:cs="Arial"/>
          <w:b/>
          <w:sz w:val="28"/>
          <w:szCs w:val="28"/>
        </w:rPr>
        <w:t>ntroduction to the Inquiry</w:t>
      </w:r>
    </w:p>
    <w:p w:rsidR="001D6743" w:rsidRDefault="001D6743" w:rsidP="001D6743">
      <w:pPr>
        <w:jc w:val="center"/>
        <w:rPr>
          <w:rFonts w:cs="Arial"/>
          <w:szCs w:val="24"/>
        </w:rPr>
      </w:pPr>
    </w:p>
    <w:p w:rsidR="00C4730E" w:rsidRDefault="00C4730E" w:rsidP="00EE54D6">
      <w:pPr>
        <w:spacing w:line="360" w:lineRule="auto"/>
        <w:rPr>
          <w:rFonts w:cs="Arial"/>
          <w:szCs w:val="24"/>
        </w:rPr>
      </w:pPr>
    </w:p>
    <w:p w:rsidR="001D6743" w:rsidRDefault="001D6743" w:rsidP="00EE54D6">
      <w:pPr>
        <w:spacing w:line="360" w:lineRule="auto"/>
        <w:rPr>
          <w:rFonts w:cs="Arial"/>
          <w:szCs w:val="24"/>
        </w:rPr>
      </w:pPr>
      <w:r>
        <w:rPr>
          <w:rFonts w:cs="Arial"/>
          <w:szCs w:val="24"/>
        </w:rPr>
        <w:t>We note there is lengthy comment regarding definitions of abuse and abusive practices</w:t>
      </w:r>
      <w:r w:rsidR="00BC0E6F">
        <w:rPr>
          <w:rFonts w:cs="Arial"/>
          <w:szCs w:val="24"/>
        </w:rPr>
        <w:t xml:space="preserve"> and</w:t>
      </w:r>
      <w:r>
        <w:rPr>
          <w:rFonts w:cs="Arial"/>
          <w:szCs w:val="24"/>
        </w:rPr>
        <w:t xml:space="preserve"> discussion regarding classification of old age. We </w:t>
      </w:r>
      <w:r w:rsidR="00BC0E6F">
        <w:rPr>
          <w:rFonts w:cs="Arial"/>
          <w:szCs w:val="24"/>
        </w:rPr>
        <w:t xml:space="preserve">refer to our earlier submission which provided statistics regarding the prevalence of younger adults in RACFs. </w:t>
      </w:r>
      <w:r w:rsidR="0001187A">
        <w:rPr>
          <w:rFonts w:cs="Arial"/>
          <w:szCs w:val="24"/>
        </w:rPr>
        <w:t xml:space="preserve">Our </w:t>
      </w:r>
      <w:r w:rsidR="00BC0E6F">
        <w:rPr>
          <w:rFonts w:cs="Arial"/>
          <w:szCs w:val="24"/>
        </w:rPr>
        <w:t>member</w:t>
      </w:r>
      <w:r w:rsidR="0001187A">
        <w:rPr>
          <w:rFonts w:cs="Arial"/>
          <w:szCs w:val="24"/>
        </w:rPr>
        <w:t>s care for adults as young as</w:t>
      </w:r>
      <w:r w:rsidR="00BC0E6F">
        <w:rPr>
          <w:rFonts w:cs="Arial"/>
          <w:szCs w:val="24"/>
        </w:rPr>
        <w:t xml:space="preserve"> 20 year</w:t>
      </w:r>
      <w:r w:rsidR="003F4669">
        <w:rPr>
          <w:rFonts w:cs="Arial"/>
          <w:szCs w:val="24"/>
        </w:rPr>
        <w:t>s</w:t>
      </w:r>
      <w:r w:rsidR="00BC0E6F">
        <w:rPr>
          <w:rFonts w:cs="Arial"/>
          <w:szCs w:val="24"/>
        </w:rPr>
        <w:t xml:space="preserve"> in </w:t>
      </w:r>
      <w:r w:rsidR="00C4730E">
        <w:rPr>
          <w:rFonts w:cs="Arial"/>
          <w:szCs w:val="24"/>
        </w:rPr>
        <w:t>their</w:t>
      </w:r>
      <w:r w:rsidR="00BC0E6F">
        <w:rPr>
          <w:rFonts w:cs="Arial"/>
          <w:szCs w:val="24"/>
        </w:rPr>
        <w:t xml:space="preserve"> facilit</w:t>
      </w:r>
      <w:r w:rsidR="0001187A">
        <w:rPr>
          <w:rFonts w:cs="Arial"/>
          <w:szCs w:val="24"/>
        </w:rPr>
        <w:t>ies</w:t>
      </w:r>
      <w:r w:rsidR="00BC0E6F">
        <w:rPr>
          <w:rFonts w:cs="Arial"/>
          <w:szCs w:val="24"/>
        </w:rPr>
        <w:t xml:space="preserve">. </w:t>
      </w:r>
      <w:r w:rsidR="0001187A">
        <w:rPr>
          <w:rFonts w:cs="Arial"/>
          <w:szCs w:val="24"/>
        </w:rPr>
        <w:t>M</w:t>
      </w:r>
      <w:r w:rsidR="00AC1912">
        <w:rPr>
          <w:rFonts w:cs="Arial"/>
          <w:szCs w:val="24"/>
        </w:rPr>
        <w:t xml:space="preserve">embers have previously highlighted their concerns about the inadequacy of arrangements for younger people residing in RACFs. </w:t>
      </w:r>
      <w:r w:rsidR="00BC0E6F">
        <w:rPr>
          <w:rFonts w:cs="Arial"/>
          <w:szCs w:val="24"/>
        </w:rPr>
        <w:t xml:space="preserve">This should be a marker for legislating protections for </w:t>
      </w:r>
      <w:r w:rsidR="00BC0E6F" w:rsidRPr="00BC0E6F">
        <w:rPr>
          <w:rFonts w:cs="Arial"/>
          <w:i/>
          <w:szCs w:val="24"/>
        </w:rPr>
        <w:t>all</w:t>
      </w:r>
      <w:r w:rsidR="00BC0E6F">
        <w:rPr>
          <w:rFonts w:cs="Arial"/>
          <w:szCs w:val="24"/>
        </w:rPr>
        <w:t xml:space="preserve"> adults and not just those classified as “old”. </w:t>
      </w:r>
      <w:proofErr w:type="gramStart"/>
      <w:r w:rsidR="00BC0E6F">
        <w:rPr>
          <w:rFonts w:cs="Arial"/>
          <w:szCs w:val="24"/>
        </w:rPr>
        <w:t>Alternatively, improved legislation that requires separate accommodation for younger adults whose needs are inconsistent with those requiring aged care.</w:t>
      </w:r>
      <w:proofErr w:type="gramEnd"/>
      <w:r w:rsidR="00BC0E6F">
        <w:rPr>
          <w:rFonts w:cs="Arial"/>
          <w:szCs w:val="24"/>
        </w:rPr>
        <w:t xml:space="preserve"> </w:t>
      </w:r>
    </w:p>
    <w:p w:rsidR="00BC0E6F" w:rsidRDefault="00BC0E6F" w:rsidP="00EE54D6">
      <w:pPr>
        <w:spacing w:line="360" w:lineRule="auto"/>
        <w:rPr>
          <w:rFonts w:cs="Arial"/>
          <w:szCs w:val="24"/>
        </w:rPr>
      </w:pPr>
    </w:p>
    <w:p w:rsidR="00AC1912" w:rsidRDefault="00AC1912" w:rsidP="00EE54D6">
      <w:pPr>
        <w:spacing w:line="360" w:lineRule="auto"/>
        <w:rPr>
          <w:rFonts w:cs="Arial"/>
          <w:szCs w:val="24"/>
        </w:rPr>
      </w:pPr>
      <w:r>
        <w:rPr>
          <w:rFonts w:cs="Arial"/>
          <w:szCs w:val="24"/>
        </w:rPr>
        <w:t xml:space="preserve">We affirm our view that applying legislative safeguards to all adults would provide more appropriate safeguards for those younger people </w:t>
      </w:r>
      <w:r w:rsidR="003167CB">
        <w:rPr>
          <w:rFonts w:cs="Arial"/>
          <w:szCs w:val="24"/>
        </w:rPr>
        <w:t xml:space="preserve">living in RACFs. </w:t>
      </w:r>
      <w:r>
        <w:rPr>
          <w:rFonts w:cs="Arial"/>
          <w:szCs w:val="24"/>
        </w:rPr>
        <w:t xml:space="preserve">Alternatively, legislation regarding elder abuse could be extended within its definitions to capture those younger people who are vulnerable </w:t>
      </w:r>
      <w:r w:rsidR="003167CB">
        <w:rPr>
          <w:rFonts w:cs="Arial"/>
          <w:szCs w:val="24"/>
        </w:rPr>
        <w:t>or</w:t>
      </w:r>
      <w:r>
        <w:rPr>
          <w:rFonts w:cs="Arial"/>
          <w:szCs w:val="24"/>
        </w:rPr>
        <w:t xml:space="preserve"> dependen</w:t>
      </w:r>
      <w:r w:rsidR="003167CB">
        <w:rPr>
          <w:rFonts w:cs="Arial"/>
          <w:szCs w:val="24"/>
        </w:rPr>
        <w:t>t on others for their well being</w:t>
      </w:r>
      <w:r>
        <w:rPr>
          <w:rFonts w:cs="Arial"/>
          <w:szCs w:val="24"/>
        </w:rPr>
        <w:t>.</w:t>
      </w:r>
      <w:r w:rsidR="003167CB">
        <w:rPr>
          <w:rFonts w:cs="Arial"/>
          <w:szCs w:val="24"/>
        </w:rPr>
        <w:t xml:space="preserve"> This would </w:t>
      </w:r>
      <w:r w:rsidR="0001187A">
        <w:rPr>
          <w:rFonts w:cs="Arial"/>
          <w:szCs w:val="24"/>
        </w:rPr>
        <w:t xml:space="preserve">also </w:t>
      </w:r>
      <w:r w:rsidR="003167CB">
        <w:rPr>
          <w:rFonts w:cs="Arial"/>
          <w:szCs w:val="24"/>
        </w:rPr>
        <w:t>enable better protections for vulnerable adults living in the community and reduce the potential for ageism within processes.</w:t>
      </w:r>
    </w:p>
    <w:p w:rsidR="00BC0E6F" w:rsidRDefault="00BC0E6F" w:rsidP="001D6743">
      <w:pPr>
        <w:rPr>
          <w:rFonts w:cs="Arial"/>
          <w:szCs w:val="24"/>
        </w:rPr>
      </w:pPr>
    </w:p>
    <w:p w:rsidR="00C4730E" w:rsidRDefault="00C4730E">
      <w:pPr>
        <w:rPr>
          <w:rFonts w:cs="Arial"/>
          <w:szCs w:val="24"/>
        </w:rPr>
      </w:pPr>
      <w:r>
        <w:rPr>
          <w:rFonts w:cs="Arial"/>
          <w:szCs w:val="24"/>
        </w:rPr>
        <w:br w:type="page"/>
      </w:r>
    </w:p>
    <w:p w:rsidR="002D5B06" w:rsidRPr="00D04718" w:rsidRDefault="001D6743" w:rsidP="001D6743">
      <w:pPr>
        <w:jc w:val="center"/>
        <w:rPr>
          <w:rFonts w:cs="Arial"/>
          <w:b/>
          <w:sz w:val="28"/>
          <w:szCs w:val="28"/>
        </w:rPr>
      </w:pPr>
      <w:r w:rsidRPr="00D04718">
        <w:rPr>
          <w:rFonts w:cs="Arial"/>
          <w:b/>
          <w:sz w:val="28"/>
          <w:szCs w:val="28"/>
        </w:rPr>
        <w:lastRenderedPageBreak/>
        <w:t>Proposals and Questions (relevant to NSWNMA members)</w:t>
      </w:r>
    </w:p>
    <w:p w:rsidR="00737D0A" w:rsidRDefault="00737D0A">
      <w:pPr>
        <w:rPr>
          <w:rFonts w:cs="Arial"/>
          <w:szCs w:val="24"/>
        </w:rPr>
      </w:pPr>
    </w:p>
    <w:tbl>
      <w:tblPr>
        <w:tblStyle w:val="TableGrid"/>
        <w:tblW w:w="0" w:type="auto"/>
        <w:tblLook w:val="04A0"/>
      </w:tblPr>
      <w:tblGrid>
        <w:gridCol w:w="9243"/>
      </w:tblGrid>
      <w:tr w:rsidR="00C4730E" w:rsidTr="00C4730E">
        <w:tc>
          <w:tcPr>
            <w:tcW w:w="9243" w:type="dxa"/>
          </w:tcPr>
          <w:p w:rsidR="00C4730E" w:rsidRDefault="00C4730E" w:rsidP="00C4730E">
            <w:pPr>
              <w:rPr>
                <w:highlight w:val="yellow"/>
              </w:rPr>
            </w:pPr>
          </w:p>
          <w:p w:rsidR="00C4730E" w:rsidRPr="00C4730E" w:rsidRDefault="00C4730E" w:rsidP="00C4730E">
            <w:pPr>
              <w:rPr>
                <w:b/>
              </w:rPr>
            </w:pPr>
            <w:r w:rsidRPr="00C4730E">
              <w:rPr>
                <w:b/>
              </w:rPr>
              <w:t>Proposal 2-1 A National Plan to address elder abuse should be developed</w:t>
            </w:r>
          </w:p>
          <w:p w:rsidR="00C4730E" w:rsidRDefault="00C4730E" w:rsidP="00FF10C6">
            <w:pPr>
              <w:jc w:val="center"/>
              <w:rPr>
                <w:highlight w:val="yellow"/>
              </w:rPr>
            </w:pPr>
          </w:p>
        </w:tc>
      </w:tr>
    </w:tbl>
    <w:p w:rsidR="001D6743" w:rsidRDefault="001D6743" w:rsidP="00FF10C6">
      <w:pPr>
        <w:jc w:val="center"/>
        <w:rPr>
          <w:highlight w:val="yellow"/>
        </w:rPr>
      </w:pPr>
    </w:p>
    <w:p w:rsidR="001D6743" w:rsidRDefault="001D6743" w:rsidP="00FF10C6">
      <w:pPr>
        <w:jc w:val="center"/>
        <w:rPr>
          <w:highlight w:val="yellow"/>
        </w:rPr>
      </w:pPr>
    </w:p>
    <w:p w:rsidR="001D6743" w:rsidRDefault="001D6743" w:rsidP="00FF10C6">
      <w:pPr>
        <w:jc w:val="center"/>
        <w:rPr>
          <w:highlight w:val="yellow"/>
        </w:rPr>
      </w:pPr>
    </w:p>
    <w:p w:rsidR="001D6743" w:rsidRDefault="00C4730E" w:rsidP="005014B6">
      <w:pPr>
        <w:spacing w:line="360" w:lineRule="auto"/>
      </w:pPr>
      <w:r w:rsidRPr="00C4730E">
        <w:t xml:space="preserve">The majority of our aged care members are employed in RACFs and therefore subject to Commonwealth legislation under the terms of the </w:t>
      </w:r>
      <w:r w:rsidRPr="006B151C">
        <w:rPr>
          <w:i/>
        </w:rPr>
        <w:t>Aged Care Act 1997</w:t>
      </w:r>
      <w:r w:rsidR="006B151C">
        <w:t xml:space="preserve"> (</w:t>
      </w:r>
      <w:proofErr w:type="spellStart"/>
      <w:r w:rsidR="006B151C" w:rsidRPr="006B151C">
        <w:rPr>
          <w:i/>
        </w:rPr>
        <w:t>Cth</w:t>
      </w:r>
      <w:proofErr w:type="spellEnd"/>
      <w:r w:rsidR="006B151C" w:rsidRPr="006B151C">
        <w:rPr>
          <w:i/>
        </w:rPr>
        <w:t>)</w:t>
      </w:r>
      <w:r w:rsidR="006B151C">
        <w:rPr>
          <w:rStyle w:val="FootnoteReference"/>
          <w:i/>
        </w:rPr>
        <w:footnoteReference w:id="2"/>
      </w:r>
      <w:r w:rsidRPr="00C4730E">
        <w:t xml:space="preserve"> and subsequent regulations and principles.</w:t>
      </w:r>
      <w:r>
        <w:t xml:space="preserve"> We also have members who work across state borders and who find differences between state legislation and processes widens the risk of abuse. Therefore we are supportive of a National Plan</w:t>
      </w:r>
      <w:r w:rsidR="005014B6">
        <w:t xml:space="preserve"> which sets quality indicators,</w:t>
      </w:r>
      <w:r>
        <w:t xml:space="preserve"> to ensure consistency.</w:t>
      </w:r>
    </w:p>
    <w:p w:rsidR="002A75CB" w:rsidRDefault="002A75CB" w:rsidP="005014B6">
      <w:pPr>
        <w:spacing w:line="360" w:lineRule="auto"/>
      </w:pPr>
    </w:p>
    <w:p w:rsidR="002A75CB" w:rsidRDefault="002A75CB" w:rsidP="002A75CB">
      <w:pPr>
        <w:spacing w:line="360" w:lineRule="auto"/>
      </w:pPr>
      <w:r>
        <w:t xml:space="preserve">In NSW an Elder Abuse Helpline has been established. Some regional elder abuse interagency </w:t>
      </w:r>
      <w:proofErr w:type="spellStart"/>
      <w:r>
        <w:t>collaboratives</w:t>
      </w:r>
      <w:proofErr w:type="spellEnd"/>
      <w:r>
        <w:t xml:space="preserve"> have also been developed and there are plans to extend these across other regional areas</w:t>
      </w:r>
      <w:r>
        <w:rPr>
          <w:rStyle w:val="FootnoteReference"/>
        </w:rPr>
        <w:footnoteReference w:id="3"/>
      </w:r>
      <w:r>
        <w:t xml:space="preserve">. However, our aged care members tell us they have little knowledge of the purpose and functions of these; some are not aware they exist. This raises concerns regarding the effectiveness of strategies implemented to improve safeguards for older people. The development of </w:t>
      </w:r>
      <w:r w:rsidR="003F4669">
        <w:t>N</w:t>
      </w:r>
      <w:r>
        <w:t xml:space="preserve">ational </w:t>
      </w:r>
      <w:r w:rsidR="003F4669">
        <w:t>P</w:t>
      </w:r>
      <w:r>
        <w:t>lan must consider the training needs of workers and community members and ensure that communication of national strategies is effective.</w:t>
      </w:r>
    </w:p>
    <w:p w:rsidR="002A75CB" w:rsidRDefault="002A75CB" w:rsidP="005014B6">
      <w:pPr>
        <w:spacing w:line="360" w:lineRule="auto"/>
      </w:pPr>
    </w:p>
    <w:p w:rsidR="00C4730E" w:rsidRDefault="00C4730E" w:rsidP="005014B6">
      <w:pPr>
        <w:spacing w:line="360" w:lineRule="auto"/>
      </w:pPr>
    </w:p>
    <w:p w:rsidR="001E3C0A" w:rsidRDefault="001E3C0A" w:rsidP="001E3C0A">
      <w:pPr>
        <w:rPr>
          <w:rFonts w:cs="Arial"/>
          <w:szCs w:val="24"/>
        </w:rPr>
      </w:pPr>
    </w:p>
    <w:tbl>
      <w:tblPr>
        <w:tblStyle w:val="TableGrid"/>
        <w:tblW w:w="0" w:type="auto"/>
        <w:tblLook w:val="04A0"/>
      </w:tblPr>
      <w:tblGrid>
        <w:gridCol w:w="9243"/>
      </w:tblGrid>
      <w:tr w:rsidR="001E3C0A" w:rsidTr="00563357">
        <w:tc>
          <w:tcPr>
            <w:tcW w:w="9243" w:type="dxa"/>
          </w:tcPr>
          <w:p w:rsidR="001E3C0A" w:rsidRDefault="001E3C0A" w:rsidP="00563357">
            <w:pPr>
              <w:rPr>
                <w:highlight w:val="yellow"/>
              </w:rPr>
            </w:pPr>
          </w:p>
          <w:p w:rsidR="001E3C0A" w:rsidRPr="00C4730E" w:rsidRDefault="001E3C0A" w:rsidP="00563357">
            <w:pPr>
              <w:rPr>
                <w:b/>
              </w:rPr>
            </w:pPr>
            <w:r w:rsidRPr="00C4730E">
              <w:rPr>
                <w:b/>
              </w:rPr>
              <w:t>Proposal 2-</w:t>
            </w:r>
            <w:r>
              <w:rPr>
                <w:b/>
              </w:rPr>
              <w:t>2</w:t>
            </w:r>
            <w:r w:rsidRPr="00C4730E">
              <w:rPr>
                <w:b/>
              </w:rPr>
              <w:t xml:space="preserve"> A </w:t>
            </w:r>
            <w:r>
              <w:rPr>
                <w:b/>
              </w:rPr>
              <w:t>n</w:t>
            </w:r>
            <w:r w:rsidRPr="00C4730E">
              <w:rPr>
                <w:b/>
              </w:rPr>
              <w:t xml:space="preserve">ational </w:t>
            </w:r>
            <w:r>
              <w:rPr>
                <w:b/>
              </w:rPr>
              <w:t>prevalence study of elder abuse should be commissioned</w:t>
            </w:r>
          </w:p>
          <w:p w:rsidR="001E3C0A" w:rsidRDefault="001E3C0A" w:rsidP="00563357">
            <w:pPr>
              <w:jc w:val="center"/>
              <w:rPr>
                <w:highlight w:val="yellow"/>
              </w:rPr>
            </w:pPr>
          </w:p>
        </w:tc>
      </w:tr>
    </w:tbl>
    <w:p w:rsidR="001E3C0A" w:rsidRDefault="001E3C0A" w:rsidP="005014B6">
      <w:pPr>
        <w:spacing w:line="360" w:lineRule="auto"/>
      </w:pPr>
    </w:p>
    <w:p w:rsidR="00E95222" w:rsidRDefault="00E95222" w:rsidP="005014B6">
      <w:pPr>
        <w:spacing w:line="360" w:lineRule="auto"/>
      </w:pPr>
    </w:p>
    <w:p w:rsidR="00C4730E" w:rsidRDefault="00C4730E" w:rsidP="005014B6">
      <w:pPr>
        <w:spacing w:line="360" w:lineRule="auto"/>
      </w:pPr>
      <w:r>
        <w:t xml:space="preserve">We </w:t>
      </w:r>
      <w:r w:rsidR="00563357">
        <w:t xml:space="preserve">support the undertaking of a prevalence study. However, we </w:t>
      </w:r>
      <w:r>
        <w:t>perceive</w:t>
      </w:r>
      <w:r w:rsidR="00563357">
        <w:t xml:space="preserve"> some difficulty</w:t>
      </w:r>
      <w:r w:rsidR="002E7105">
        <w:t xml:space="preserve"> in obtaining accurate data</w:t>
      </w:r>
      <w:r>
        <w:t xml:space="preserve"> since it has been widely acknowledged that elder abuse is poorly </w:t>
      </w:r>
      <w:proofErr w:type="spellStart"/>
      <w:r>
        <w:t>recognised</w:t>
      </w:r>
      <w:proofErr w:type="spellEnd"/>
      <w:r>
        <w:t xml:space="preserve"> and widely under-reported.</w:t>
      </w:r>
      <w:r w:rsidR="002E7105">
        <w:t xml:space="preserve"> This might lead to significant </w:t>
      </w:r>
      <w:r w:rsidR="002E7105">
        <w:lastRenderedPageBreak/>
        <w:t xml:space="preserve">areas of need being missed from any national strategy developed as a result of the findings. </w:t>
      </w:r>
      <w:r w:rsidR="005014B6">
        <w:t xml:space="preserve">A more practical approach would be to ensure a national database is established and maintained as part of the functions of any National Elder Abuse Department/Agency. This should inform </w:t>
      </w:r>
      <w:r w:rsidR="002E7105">
        <w:t xml:space="preserve">ongoing </w:t>
      </w:r>
      <w:r w:rsidR="005014B6">
        <w:t>policy development and benchmarking of national quality standards and performance indicators in relation to elder abuse.</w:t>
      </w:r>
    </w:p>
    <w:p w:rsidR="00DC7CE3" w:rsidRDefault="00DC7CE3" w:rsidP="005014B6">
      <w:pPr>
        <w:spacing w:line="360" w:lineRule="auto"/>
      </w:pPr>
    </w:p>
    <w:tbl>
      <w:tblPr>
        <w:tblStyle w:val="TableGrid"/>
        <w:tblW w:w="0" w:type="auto"/>
        <w:tblLook w:val="04A0"/>
      </w:tblPr>
      <w:tblGrid>
        <w:gridCol w:w="9243"/>
      </w:tblGrid>
      <w:tr w:rsidR="00DC7CE3" w:rsidTr="00DC7CE3">
        <w:tc>
          <w:tcPr>
            <w:tcW w:w="9243" w:type="dxa"/>
          </w:tcPr>
          <w:p w:rsidR="00DC7CE3" w:rsidRDefault="00DC7CE3" w:rsidP="00DC7CE3">
            <w:pPr>
              <w:rPr>
                <w:highlight w:val="yellow"/>
              </w:rPr>
            </w:pPr>
          </w:p>
          <w:p w:rsidR="00DC7CE3" w:rsidRDefault="00DC7CE3" w:rsidP="00DC7CE3">
            <w:pPr>
              <w:rPr>
                <w:b/>
              </w:rPr>
            </w:pPr>
            <w:r w:rsidRPr="00C4730E">
              <w:rPr>
                <w:b/>
              </w:rPr>
              <w:t xml:space="preserve">Proposal </w:t>
            </w:r>
            <w:r>
              <w:rPr>
                <w:b/>
              </w:rPr>
              <w:t>3</w:t>
            </w:r>
            <w:r w:rsidRPr="00C4730E">
              <w:rPr>
                <w:b/>
              </w:rPr>
              <w:t>-</w:t>
            </w:r>
            <w:r>
              <w:rPr>
                <w:b/>
              </w:rPr>
              <w:t>1</w:t>
            </w:r>
            <w:r w:rsidRPr="00C4730E">
              <w:rPr>
                <w:b/>
              </w:rPr>
              <w:t xml:space="preserve"> </w:t>
            </w:r>
            <w:r>
              <w:rPr>
                <w:b/>
              </w:rPr>
              <w:t>State and territory public advocates or public guardians should be given power to investigate elder abuse where they have reasonable cause to suspect that an older person:</w:t>
            </w:r>
          </w:p>
          <w:p w:rsidR="00DC7CE3" w:rsidRDefault="00D026D3" w:rsidP="00DC7CE3">
            <w:pPr>
              <w:pStyle w:val="ListParagraph"/>
              <w:numPr>
                <w:ilvl w:val="0"/>
                <w:numId w:val="13"/>
              </w:numPr>
              <w:rPr>
                <w:b/>
              </w:rPr>
            </w:pPr>
            <w:r>
              <w:rPr>
                <w:b/>
              </w:rPr>
              <w:t>H</w:t>
            </w:r>
            <w:r w:rsidR="00DC7CE3">
              <w:rPr>
                <w:b/>
              </w:rPr>
              <w:t>as care and support needs;</w:t>
            </w:r>
          </w:p>
          <w:p w:rsidR="00DC7CE3" w:rsidRDefault="00D026D3" w:rsidP="00DC7CE3">
            <w:pPr>
              <w:pStyle w:val="ListParagraph"/>
              <w:numPr>
                <w:ilvl w:val="0"/>
                <w:numId w:val="13"/>
              </w:numPr>
              <w:rPr>
                <w:b/>
              </w:rPr>
            </w:pPr>
            <w:r>
              <w:rPr>
                <w:b/>
              </w:rPr>
              <w:t>I</w:t>
            </w:r>
            <w:r w:rsidR="00DC7CE3">
              <w:rPr>
                <w:b/>
              </w:rPr>
              <w:t>s, or is at risk of, being abused or neglected; and</w:t>
            </w:r>
          </w:p>
          <w:p w:rsidR="00DC7CE3" w:rsidRPr="00DC7CE3" w:rsidRDefault="00DC7CE3" w:rsidP="00DC7CE3">
            <w:pPr>
              <w:pStyle w:val="ListParagraph"/>
              <w:numPr>
                <w:ilvl w:val="0"/>
                <w:numId w:val="13"/>
              </w:numPr>
              <w:rPr>
                <w:b/>
              </w:rPr>
            </w:pPr>
            <w:r>
              <w:rPr>
                <w:b/>
              </w:rPr>
              <w:t xml:space="preserve">Is unable to protect themselves from the abuse or neglect, or the risk of it because of care and support needs.  </w:t>
            </w:r>
          </w:p>
          <w:p w:rsidR="00DC7CE3" w:rsidRDefault="00DC7CE3" w:rsidP="00DC7CE3">
            <w:pPr>
              <w:jc w:val="center"/>
              <w:rPr>
                <w:highlight w:val="yellow"/>
              </w:rPr>
            </w:pPr>
          </w:p>
        </w:tc>
      </w:tr>
    </w:tbl>
    <w:p w:rsidR="001D6743" w:rsidRPr="0028282C" w:rsidRDefault="001D6743" w:rsidP="00FF10C6">
      <w:pPr>
        <w:jc w:val="center"/>
        <w:rPr>
          <w:highlight w:val="yellow"/>
        </w:rPr>
      </w:pPr>
    </w:p>
    <w:p w:rsidR="0028282C" w:rsidRDefault="0028282C" w:rsidP="0005798B">
      <w:pPr>
        <w:spacing w:line="360" w:lineRule="auto"/>
      </w:pPr>
    </w:p>
    <w:p w:rsidR="00DC7CE3" w:rsidRDefault="00DC7CE3" w:rsidP="0005798B">
      <w:pPr>
        <w:spacing w:line="360" w:lineRule="auto"/>
      </w:pPr>
      <w:r w:rsidRPr="0005798B">
        <w:t xml:space="preserve">We support the </w:t>
      </w:r>
      <w:r w:rsidR="002A75CB" w:rsidRPr="0005798B">
        <w:t>increased po</w:t>
      </w:r>
      <w:r w:rsidR="0005798B" w:rsidRPr="0005798B">
        <w:t xml:space="preserve">wers of investigation and consider the extended criteria covered in the proposal adequately address the </w:t>
      </w:r>
      <w:r w:rsidR="0005798B">
        <w:t>exi</w:t>
      </w:r>
      <w:r w:rsidR="0028282C">
        <w:t>s</w:t>
      </w:r>
      <w:r w:rsidR="0005798B">
        <w:t>ting</w:t>
      </w:r>
      <w:r w:rsidR="0005798B" w:rsidRPr="0005798B">
        <w:t xml:space="preserve"> gap between </w:t>
      </w:r>
      <w:proofErr w:type="spellStart"/>
      <w:r w:rsidR="0005798B" w:rsidRPr="0005798B">
        <w:t>recognised</w:t>
      </w:r>
      <w:proofErr w:type="spellEnd"/>
      <w:r w:rsidR="0005798B" w:rsidRPr="0005798B">
        <w:t xml:space="preserve"> criminal activity and actual range of abusive practices.  </w:t>
      </w:r>
      <w:r w:rsidR="003F4669">
        <w:t xml:space="preserve">Implementation of this proposal would </w:t>
      </w:r>
      <w:r w:rsidR="0005798B" w:rsidRPr="0005798B">
        <w:t xml:space="preserve">require an amendment to the </w:t>
      </w:r>
      <w:r w:rsidR="0005798B" w:rsidRPr="0005798B">
        <w:rPr>
          <w:i/>
        </w:rPr>
        <w:t>Aged Care Act 1997</w:t>
      </w:r>
      <w:r w:rsidR="0005798B" w:rsidRPr="0005798B">
        <w:t xml:space="preserve"> </w:t>
      </w:r>
      <w:r w:rsidR="006B151C" w:rsidRPr="006B151C">
        <w:rPr>
          <w:i/>
        </w:rPr>
        <w:t>(</w:t>
      </w:r>
      <w:proofErr w:type="spellStart"/>
      <w:r w:rsidR="006B151C" w:rsidRPr="006B151C">
        <w:rPr>
          <w:i/>
        </w:rPr>
        <w:t>Cth</w:t>
      </w:r>
      <w:proofErr w:type="spellEnd"/>
      <w:r w:rsidR="006B151C" w:rsidRPr="006B151C">
        <w:rPr>
          <w:i/>
        </w:rPr>
        <w:t>)</w:t>
      </w:r>
      <w:r w:rsidR="006B151C">
        <w:t xml:space="preserve"> </w:t>
      </w:r>
      <w:r w:rsidR="0005798B" w:rsidRPr="0005798B">
        <w:t>definition of a reportable offence to ensure protections are extended to those accommodated in RACFs.</w:t>
      </w:r>
      <w:r w:rsidR="00BB2460">
        <w:t xml:space="preserve"> These currently only require action should they take the form of a physical or sexual assault</w:t>
      </w:r>
      <w:r w:rsidR="00BB2460">
        <w:rPr>
          <w:rStyle w:val="FootnoteReference"/>
        </w:rPr>
        <w:footnoteReference w:id="4"/>
      </w:r>
      <w:proofErr w:type="gramStart"/>
      <w:r w:rsidR="00BB2460" w:rsidRPr="00BB2460">
        <w:rPr>
          <w:vertAlign w:val="superscript"/>
        </w:rPr>
        <w:t>,</w:t>
      </w:r>
      <w:r w:rsidR="00BB2460">
        <w:rPr>
          <w:rStyle w:val="FootnoteReference"/>
        </w:rPr>
        <w:footnoteReference w:id="5"/>
      </w:r>
      <w:r w:rsidR="00BB2460">
        <w:t>.</w:t>
      </w:r>
      <w:proofErr w:type="gramEnd"/>
      <w:r w:rsidR="00BB2460">
        <w:t xml:space="preserve"> Whereas evidence provided within our previous submissions suggests that neglect and institutional abuse are also commonplace.</w:t>
      </w:r>
    </w:p>
    <w:p w:rsidR="00490ECD" w:rsidRDefault="00490ECD" w:rsidP="0005798B">
      <w:pPr>
        <w:spacing w:line="360" w:lineRule="auto"/>
      </w:pPr>
    </w:p>
    <w:p w:rsidR="00490ECD" w:rsidRDefault="00490ECD" w:rsidP="0005798B">
      <w:pPr>
        <w:spacing w:line="360" w:lineRule="auto"/>
      </w:pPr>
      <w:r>
        <w:t>We note the ALRC proposes to</w:t>
      </w:r>
      <w:r w:rsidR="006B151C">
        <w:t xml:space="preserve"> define care and support needs</w:t>
      </w:r>
      <w:r>
        <w:t xml:space="preserve"> </w:t>
      </w:r>
      <w:r w:rsidRPr="00490ECD">
        <w:t xml:space="preserve">as arising from or relating to </w:t>
      </w:r>
      <w:r w:rsidR="006B151C">
        <w:t>‘</w:t>
      </w:r>
      <w:r w:rsidRPr="00490ECD">
        <w:rPr>
          <w:i/>
        </w:rPr>
        <w:t>a physical or mental impairment or illness; or physical restraint</w:t>
      </w:r>
      <w:r w:rsidR="006B151C">
        <w:rPr>
          <w:i/>
        </w:rPr>
        <w:t>’</w:t>
      </w:r>
      <w:r>
        <w:t xml:space="preserve">. We would seek clarity as to whether the use of chemical restraint is implicitly captured within the classification physical restraint or whether this requires stand alone recognition. We also concur that care and support needs should capture </w:t>
      </w:r>
      <w:r w:rsidR="0001187A" w:rsidRPr="0001187A">
        <w:rPr>
          <w:i/>
        </w:rPr>
        <w:t>all</w:t>
      </w:r>
      <w:r w:rsidR="0001187A">
        <w:t xml:space="preserve"> </w:t>
      </w:r>
      <w:r>
        <w:t>adults with such needs</w:t>
      </w:r>
      <w:r w:rsidR="006B151C">
        <w:t>,</w:t>
      </w:r>
      <w:r>
        <w:t xml:space="preserve"> as previously stated.</w:t>
      </w:r>
    </w:p>
    <w:p w:rsidR="001D6743" w:rsidRDefault="001D6743" w:rsidP="00E95222">
      <w:pPr>
        <w:rPr>
          <w:highlight w:val="yellow"/>
        </w:rPr>
      </w:pPr>
    </w:p>
    <w:p w:rsidR="00BB2460" w:rsidRPr="00183893" w:rsidRDefault="00C53EFD" w:rsidP="00183893">
      <w:pPr>
        <w:spacing w:line="360" w:lineRule="auto"/>
      </w:pPr>
      <w:r>
        <w:lastRenderedPageBreak/>
        <w:t>The ALRC refers to Safeguarding Boards</w:t>
      </w:r>
      <w:r w:rsidR="00183893">
        <w:t xml:space="preserve"> in operation within UK</w:t>
      </w:r>
      <w:r>
        <w:t xml:space="preserve">. These provide governance over safeguarding procedures within their individual </w:t>
      </w:r>
      <w:proofErr w:type="spellStart"/>
      <w:r>
        <w:t>organisations</w:t>
      </w:r>
      <w:proofErr w:type="spellEnd"/>
      <w:r>
        <w:t xml:space="preserve"> and jurisdictions. A similar approach would be valuable</w:t>
      </w:r>
      <w:r w:rsidR="00E95222">
        <w:t xml:space="preserve"> </w:t>
      </w:r>
      <w:r w:rsidR="0028282C">
        <w:t xml:space="preserve">with an independent statutory </w:t>
      </w:r>
      <w:r w:rsidR="00E95222">
        <w:t>advocacy authority.  Such an authority would be able to</w:t>
      </w:r>
      <w:r>
        <w:t xml:space="preserve"> develop</w:t>
      </w:r>
      <w:r w:rsidR="00E95222">
        <w:t>, implement</w:t>
      </w:r>
      <w:r>
        <w:t xml:space="preserve"> </w:t>
      </w:r>
      <w:r w:rsidR="00E95222">
        <w:t xml:space="preserve">and monitor </w:t>
      </w:r>
      <w:r>
        <w:t>individual</w:t>
      </w:r>
      <w:r w:rsidR="006B151C">
        <w:t xml:space="preserve"> </w:t>
      </w:r>
      <w:r w:rsidR="00DB09CB">
        <w:t>protection plan</w:t>
      </w:r>
      <w:r>
        <w:t>s</w:t>
      </w:r>
      <w:r>
        <w:rPr>
          <w:rStyle w:val="FootnoteReference"/>
        </w:rPr>
        <w:footnoteReference w:id="6"/>
      </w:r>
      <w:r>
        <w:t xml:space="preserve"> </w:t>
      </w:r>
      <w:r w:rsidR="00BB4D73" w:rsidRPr="00BB4D73">
        <w:rPr>
          <w:rFonts w:cs="Arial"/>
          <w:szCs w:val="24"/>
        </w:rPr>
        <w:t>where actual or potential abuse is identified would assist in providing a supportive response to allegations and facilitate co-ordi</w:t>
      </w:r>
      <w:r w:rsidR="00BB4D73">
        <w:rPr>
          <w:rFonts w:cs="Arial"/>
          <w:szCs w:val="24"/>
        </w:rPr>
        <w:t>nation of local services and agencies</w:t>
      </w:r>
      <w:r w:rsidR="00183893">
        <w:t xml:space="preserve">. </w:t>
      </w:r>
    </w:p>
    <w:p w:rsidR="00183893" w:rsidRDefault="00183893">
      <w:pPr>
        <w:rPr>
          <w:highlight w:val="yellow"/>
        </w:rPr>
      </w:pPr>
    </w:p>
    <w:p w:rsidR="00C53EFD" w:rsidRDefault="00C53EFD" w:rsidP="00C53EFD">
      <w:pPr>
        <w:rPr>
          <w:rFonts w:cs="Arial"/>
          <w:szCs w:val="24"/>
        </w:rPr>
      </w:pPr>
    </w:p>
    <w:tbl>
      <w:tblPr>
        <w:tblStyle w:val="TableGrid"/>
        <w:tblW w:w="0" w:type="auto"/>
        <w:tblLook w:val="04A0"/>
      </w:tblPr>
      <w:tblGrid>
        <w:gridCol w:w="9243"/>
      </w:tblGrid>
      <w:tr w:rsidR="00C53EFD" w:rsidTr="00C53EFD">
        <w:tc>
          <w:tcPr>
            <w:tcW w:w="9243" w:type="dxa"/>
          </w:tcPr>
          <w:p w:rsidR="00C53EFD" w:rsidRDefault="00C53EFD" w:rsidP="00C53EFD">
            <w:pPr>
              <w:rPr>
                <w:highlight w:val="yellow"/>
              </w:rPr>
            </w:pPr>
          </w:p>
          <w:p w:rsidR="00C53EFD" w:rsidRDefault="00C53EFD" w:rsidP="00C53EFD">
            <w:pPr>
              <w:rPr>
                <w:b/>
              </w:rPr>
            </w:pPr>
            <w:r w:rsidRPr="00C4730E">
              <w:rPr>
                <w:b/>
              </w:rPr>
              <w:t xml:space="preserve">Proposal </w:t>
            </w:r>
            <w:r>
              <w:rPr>
                <w:b/>
              </w:rPr>
              <w:t>3</w:t>
            </w:r>
            <w:r w:rsidRPr="00C4730E">
              <w:rPr>
                <w:b/>
              </w:rPr>
              <w:t>-</w:t>
            </w:r>
            <w:r>
              <w:rPr>
                <w:b/>
              </w:rPr>
              <w:t>5</w:t>
            </w:r>
            <w:r w:rsidRPr="00C4730E">
              <w:rPr>
                <w:b/>
              </w:rPr>
              <w:t xml:space="preserve"> </w:t>
            </w:r>
            <w:r>
              <w:rPr>
                <w:b/>
              </w:rPr>
              <w:t>Any person who reports elder abuse to the public advocate or public guardian in good faith and based on reasonable suspicion should not, as a consequence of their report, be:</w:t>
            </w:r>
          </w:p>
          <w:p w:rsidR="00C53EFD" w:rsidRDefault="00C53EFD" w:rsidP="00C53EFD">
            <w:pPr>
              <w:pStyle w:val="ListParagraph"/>
              <w:numPr>
                <w:ilvl w:val="0"/>
                <w:numId w:val="14"/>
              </w:numPr>
              <w:rPr>
                <w:b/>
              </w:rPr>
            </w:pPr>
            <w:r>
              <w:rPr>
                <w:b/>
              </w:rPr>
              <w:t>liable civilly, criminally or under administrative process;</w:t>
            </w:r>
          </w:p>
          <w:p w:rsidR="00C53EFD" w:rsidRDefault="00D026D3" w:rsidP="00C53EFD">
            <w:pPr>
              <w:pStyle w:val="ListParagraph"/>
              <w:numPr>
                <w:ilvl w:val="0"/>
                <w:numId w:val="14"/>
              </w:numPr>
              <w:rPr>
                <w:b/>
              </w:rPr>
            </w:pPr>
            <w:r>
              <w:rPr>
                <w:b/>
              </w:rPr>
              <w:t>found to have departed from standards of professional conduct;</w:t>
            </w:r>
          </w:p>
          <w:p w:rsidR="00D026D3" w:rsidRDefault="00D026D3" w:rsidP="00C53EFD">
            <w:pPr>
              <w:pStyle w:val="ListParagraph"/>
              <w:numPr>
                <w:ilvl w:val="0"/>
                <w:numId w:val="14"/>
              </w:numPr>
              <w:rPr>
                <w:b/>
              </w:rPr>
            </w:pPr>
            <w:r>
              <w:rPr>
                <w:b/>
              </w:rPr>
              <w:t>dismissed or threatened in the course of their employment; or</w:t>
            </w:r>
          </w:p>
          <w:p w:rsidR="00C53EFD" w:rsidRPr="00DC7CE3" w:rsidRDefault="00D026D3" w:rsidP="00C53EFD">
            <w:pPr>
              <w:pStyle w:val="ListParagraph"/>
              <w:numPr>
                <w:ilvl w:val="0"/>
                <w:numId w:val="14"/>
              </w:numPr>
              <w:rPr>
                <w:b/>
              </w:rPr>
            </w:pPr>
            <w:proofErr w:type="gramStart"/>
            <w:r>
              <w:rPr>
                <w:b/>
              </w:rPr>
              <w:t>discriminated</w:t>
            </w:r>
            <w:proofErr w:type="gramEnd"/>
            <w:r>
              <w:rPr>
                <w:b/>
              </w:rPr>
              <w:t xml:space="preserve"> against with respect to employment or membership in a profession or trade union.</w:t>
            </w:r>
            <w:r w:rsidR="00C53EFD">
              <w:rPr>
                <w:b/>
              </w:rPr>
              <w:t xml:space="preserve">  </w:t>
            </w:r>
          </w:p>
          <w:p w:rsidR="00C53EFD" w:rsidRDefault="00C53EFD" w:rsidP="00C53EFD">
            <w:pPr>
              <w:jc w:val="center"/>
              <w:rPr>
                <w:highlight w:val="yellow"/>
              </w:rPr>
            </w:pPr>
          </w:p>
        </w:tc>
      </w:tr>
    </w:tbl>
    <w:p w:rsidR="00183893" w:rsidRDefault="00183893">
      <w:pPr>
        <w:rPr>
          <w:highlight w:val="yellow"/>
        </w:rPr>
      </w:pPr>
    </w:p>
    <w:p w:rsidR="001D6743" w:rsidRDefault="001D6743" w:rsidP="00FF10C6">
      <w:pPr>
        <w:jc w:val="center"/>
        <w:rPr>
          <w:highlight w:val="yellow"/>
        </w:rPr>
      </w:pPr>
    </w:p>
    <w:p w:rsidR="00A269C1" w:rsidRPr="00A269C1" w:rsidRDefault="00A269C1" w:rsidP="00A269C1">
      <w:pPr>
        <w:spacing w:line="360" w:lineRule="auto"/>
      </w:pPr>
      <w:r w:rsidRPr="00A269C1">
        <w:t xml:space="preserve">We welcome this proposal and would suggest that aged care workers/employers and members of the public would benefit from an information campaign to ensure they are fully aware of </w:t>
      </w:r>
      <w:r>
        <w:t>such</w:t>
      </w:r>
      <w:r w:rsidRPr="00A269C1">
        <w:t xml:space="preserve"> protections. We cannot over</w:t>
      </w:r>
      <w:r>
        <w:t>-</w:t>
      </w:r>
      <w:proofErr w:type="spellStart"/>
      <w:r w:rsidRPr="00A269C1">
        <w:t>emphasise</w:t>
      </w:r>
      <w:proofErr w:type="spellEnd"/>
      <w:r w:rsidRPr="00A269C1">
        <w:t xml:space="preserve"> the power imbalance between employer and employee in</w:t>
      </w:r>
      <w:r w:rsidR="00385079">
        <w:t xml:space="preserve"> many aged care settings.</w:t>
      </w:r>
      <w:r w:rsidRPr="00A269C1">
        <w:t xml:space="preserve"> The more protections are afforded in legislation the more security this offers </w:t>
      </w:r>
      <w:r w:rsidR="00385079">
        <w:t>our members</w:t>
      </w:r>
      <w:r w:rsidRPr="00A269C1">
        <w:t>. However, we suggest there is oversight of the operation of this protection</w:t>
      </w:r>
      <w:r>
        <w:t>. Not</w:t>
      </w:r>
      <w:r w:rsidRPr="00A269C1">
        <w:t xml:space="preserve"> all reprisals are overt and our members have cited circumstances such as being given </w:t>
      </w:r>
      <w:proofErr w:type="spellStart"/>
      <w:r w:rsidRPr="00A269C1">
        <w:t>unfavourable</w:t>
      </w:r>
      <w:proofErr w:type="spellEnd"/>
      <w:r w:rsidRPr="00A269C1">
        <w:t xml:space="preserve"> shift patterns or </w:t>
      </w:r>
      <w:proofErr w:type="spellStart"/>
      <w:r w:rsidRPr="00A269C1">
        <w:t>ostracised</w:t>
      </w:r>
      <w:proofErr w:type="spellEnd"/>
      <w:r w:rsidRPr="00A269C1">
        <w:t xml:space="preserve"> by management as a result of raising matters with external agencies.</w:t>
      </w:r>
      <w:r>
        <w:t xml:space="preserve"> </w:t>
      </w:r>
    </w:p>
    <w:p w:rsidR="007466A2" w:rsidRDefault="007466A2" w:rsidP="007466A2">
      <w:pPr>
        <w:rPr>
          <w:rFonts w:cs="Arial"/>
          <w:szCs w:val="24"/>
        </w:rPr>
      </w:pPr>
    </w:p>
    <w:p w:rsidR="007466A2" w:rsidRPr="007466A2" w:rsidRDefault="007466A2" w:rsidP="007466A2">
      <w:pPr>
        <w:rPr>
          <w:rFonts w:cs="Arial"/>
          <w:b/>
          <w:szCs w:val="24"/>
        </w:rPr>
      </w:pPr>
      <w:r w:rsidRPr="007466A2">
        <w:rPr>
          <w:rFonts w:cs="Arial"/>
          <w:b/>
          <w:szCs w:val="24"/>
        </w:rPr>
        <w:t>Aged Care – General Comment</w:t>
      </w:r>
    </w:p>
    <w:p w:rsidR="007466A2" w:rsidRDefault="007466A2" w:rsidP="007466A2">
      <w:pPr>
        <w:rPr>
          <w:rFonts w:cs="Arial"/>
          <w:b/>
          <w:szCs w:val="24"/>
        </w:rPr>
      </w:pPr>
    </w:p>
    <w:p w:rsidR="000132FF" w:rsidRDefault="007466A2" w:rsidP="00EA1A7F">
      <w:pPr>
        <w:spacing w:line="360" w:lineRule="auto"/>
        <w:rPr>
          <w:rFonts w:cs="Arial"/>
          <w:szCs w:val="24"/>
        </w:rPr>
      </w:pPr>
      <w:r w:rsidRPr="009F3C58">
        <w:rPr>
          <w:rFonts w:cs="Arial"/>
          <w:szCs w:val="24"/>
        </w:rPr>
        <w:t xml:space="preserve">The ALRC has acknowledged our previous concerns regarding the operation of the AACQA in relation to their responsibilities towards the regulation of RACFs. </w:t>
      </w:r>
      <w:r w:rsidR="009F3C58" w:rsidRPr="009F3C58">
        <w:rPr>
          <w:rFonts w:cs="Arial"/>
          <w:szCs w:val="24"/>
        </w:rPr>
        <w:t>It is our members</w:t>
      </w:r>
      <w:r w:rsidR="00EA1A7F">
        <w:rPr>
          <w:rFonts w:cs="Arial"/>
          <w:szCs w:val="24"/>
        </w:rPr>
        <w:t>’</w:t>
      </w:r>
      <w:r w:rsidR="009F3C58" w:rsidRPr="009F3C58">
        <w:rPr>
          <w:rFonts w:cs="Arial"/>
          <w:szCs w:val="24"/>
        </w:rPr>
        <w:t xml:space="preserve"> </w:t>
      </w:r>
      <w:r w:rsidR="009F3C58">
        <w:rPr>
          <w:rFonts w:cs="Arial"/>
          <w:szCs w:val="24"/>
        </w:rPr>
        <w:t xml:space="preserve">experience that the AACQA has a poor track record of </w:t>
      </w:r>
      <w:r w:rsidR="00361DB1">
        <w:rPr>
          <w:rFonts w:cs="Arial"/>
          <w:szCs w:val="24"/>
        </w:rPr>
        <w:t>fulfilling</w:t>
      </w:r>
      <w:r w:rsidR="009F3C58">
        <w:rPr>
          <w:rFonts w:cs="Arial"/>
          <w:szCs w:val="24"/>
        </w:rPr>
        <w:t xml:space="preserve"> their responsibility to monitor compliance with other relevant legislation</w:t>
      </w:r>
      <w:r w:rsidR="00EA1A7F">
        <w:rPr>
          <w:rFonts w:cs="Arial"/>
          <w:szCs w:val="24"/>
        </w:rPr>
        <w:t>,</w:t>
      </w:r>
      <w:r w:rsidR="009F3C58">
        <w:rPr>
          <w:rFonts w:cs="Arial"/>
          <w:szCs w:val="24"/>
        </w:rPr>
        <w:t xml:space="preserve"> despite this being </w:t>
      </w:r>
      <w:r w:rsidR="009F3C58">
        <w:rPr>
          <w:rFonts w:cs="Arial"/>
          <w:szCs w:val="24"/>
        </w:rPr>
        <w:lastRenderedPageBreak/>
        <w:t>listed as a requirement for compliance with legislation</w:t>
      </w:r>
      <w:r w:rsidR="009F3C58">
        <w:rPr>
          <w:rStyle w:val="FootnoteReference"/>
          <w:rFonts w:cs="Arial"/>
          <w:szCs w:val="24"/>
        </w:rPr>
        <w:footnoteReference w:id="7"/>
      </w:r>
      <w:r w:rsidR="009F3C58">
        <w:rPr>
          <w:rFonts w:cs="Arial"/>
          <w:szCs w:val="24"/>
        </w:rPr>
        <w:t xml:space="preserve">. </w:t>
      </w:r>
      <w:r w:rsidR="00EA1A7F">
        <w:rPr>
          <w:rFonts w:cs="Arial"/>
          <w:szCs w:val="24"/>
        </w:rPr>
        <w:t xml:space="preserve">Similarly the AACQA perception of the adequacy of staffing in RACFs is at huge variance with that of our members working in those establishments and reports given to us from </w:t>
      </w:r>
      <w:r w:rsidR="00385079">
        <w:rPr>
          <w:rFonts w:cs="Arial"/>
          <w:szCs w:val="24"/>
        </w:rPr>
        <w:t>community members</w:t>
      </w:r>
      <w:r w:rsidR="00385079">
        <w:rPr>
          <w:rStyle w:val="FootnoteReference"/>
          <w:rFonts w:cs="Arial"/>
          <w:szCs w:val="24"/>
        </w:rPr>
        <w:footnoteReference w:id="8"/>
      </w:r>
      <w:r w:rsidR="00EA1A7F">
        <w:rPr>
          <w:rFonts w:cs="Arial"/>
          <w:szCs w:val="24"/>
        </w:rPr>
        <w:t>.</w:t>
      </w:r>
      <w:r w:rsidR="000132FF">
        <w:rPr>
          <w:rFonts w:cs="Arial"/>
          <w:szCs w:val="24"/>
        </w:rPr>
        <w:t xml:space="preserve"> </w:t>
      </w:r>
    </w:p>
    <w:p w:rsidR="000132FF" w:rsidRDefault="000132FF" w:rsidP="00EA1A7F">
      <w:pPr>
        <w:spacing w:line="360" w:lineRule="auto"/>
        <w:rPr>
          <w:rFonts w:cs="Arial"/>
          <w:szCs w:val="24"/>
        </w:rPr>
      </w:pPr>
    </w:p>
    <w:p w:rsidR="007466A2" w:rsidRDefault="000132FF" w:rsidP="00EA1A7F">
      <w:pPr>
        <w:spacing w:line="360" w:lineRule="auto"/>
        <w:rPr>
          <w:rFonts w:cs="Arial"/>
          <w:szCs w:val="24"/>
        </w:rPr>
      </w:pPr>
      <w:r>
        <w:rPr>
          <w:rFonts w:cs="Arial"/>
          <w:szCs w:val="24"/>
        </w:rPr>
        <w:t xml:space="preserve">We also have concerns regarding the ongoing monitoring of </w:t>
      </w:r>
      <w:proofErr w:type="spellStart"/>
      <w:r>
        <w:rPr>
          <w:rFonts w:cs="Arial"/>
          <w:szCs w:val="24"/>
        </w:rPr>
        <w:t>behaviour</w:t>
      </w:r>
      <w:proofErr w:type="spellEnd"/>
      <w:r>
        <w:rPr>
          <w:rFonts w:cs="Arial"/>
          <w:szCs w:val="24"/>
        </w:rPr>
        <w:t xml:space="preserve"> management plans designed to replace the requirement for mandatory reporting of abuse perpetrated by cognitively impaired residents. Our members often cite insufficient staffing levels and lack of RN oversight 24/7 </w:t>
      </w:r>
      <w:r w:rsidR="00E579C0">
        <w:rPr>
          <w:rFonts w:cs="Arial"/>
          <w:szCs w:val="24"/>
        </w:rPr>
        <w:t xml:space="preserve">as a major factor in their ability to </w:t>
      </w:r>
      <w:r>
        <w:rPr>
          <w:rFonts w:cs="Arial"/>
          <w:szCs w:val="24"/>
        </w:rPr>
        <w:t xml:space="preserve">implement effective </w:t>
      </w:r>
      <w:proofErr w:type="spellStart"/>
      <w:r>
        <w:rPr>
          <w:rFonts w:cs="Arial"/>
          <w:szCs w:val="24"/>
        </w:rPr>
        <w:t>behaviour</w:t>
      </w:r>
      <w:proofErr w:type="spellEnd"/>
      <w:r>
        <w:rPr>
          <w:rFonts w:cs="Arial"/>
          <w:szCs w:val="24"/>
        </w:rPr>
        <w:t xml:space="preserve"> management plans. We refer to our previous submissions and professional papers on this matter for evidence and suggested response. </w:t>
      </w:r>
    </w:p>
    <w:p w:rsidR="004D7E0B" w:rsidRDefault="004D7E0B" w:rsidP="00EA1A7F">
      <w:pPr>
        <w:spacing w:line="360" w:lineRule="auto"/>
        <w:rPr>
          <w:rFonts w:cs="Arial"/>
          <w:szCs w:val="24"/>
        </w:rPr>
      </w:pPr>
    </w:p>
    <w:p w:rsidR="000A596F" w:rsidRPr="009F3C58" w:rsidRDefault="000A596F" w:rsidP="00EA1A7F">
      <w:pPr>
        <w:spacing w:line="360" w:lineRule="auto"/>
        <w:rPr>
          <w:rFonts w:cs="Arial"/>
          <w:szCs w:val="24"/>
        </w:rPr>
      </w:pPr>
      <w:r>
        <w:rPr>
          <w:rFonts w:cs="Arial"/>
          <w:szCs w:val="24"/>
        </w:rPr>
        <w:t>There i</w:t>
      </w:r>
      <w:r w:rsidR="00E579C0">
        <w:rPr>
          <w:rFonts w:cs="Arial"/>
          <w:szCs w:val="24"/>
        </w:rPr>
        <w:t xml:space="preserve">s also an emerging presence of </w:t>
      </w:r>
      <w:proofErr w:type="spellStart"/>
      <w:r w:rsidR="00E579C0" w:rsidRPr="00E579C0">
        <w:rPr>
          <w:rFonts w:cs="Arial"/>
          <w:i/>
          <w:szCs w:val="24"/>
        </w:rPr>
        <w:t>Uber</w:t>
      </w:r>
      <w:proofErr w:type="spellEnd"/>
      <w:r>
        <w:rPr>
          <w:rFonts w:cs="Arial"/>
          <w:szCs w:val="24"/>
        </w:rPr>
        <w:t xml:space="preserve"> platform care agencies being established to meet the projected demands of a consumer based market. These agencies have seen huge growth over the past two years and provide an alternative care option for people seeking care services. With the introduction of consumer directed care funding this marketplace will likely increase. However, we have concerns that </w:t>
      </w:r>
      <w:r w:rsidR="000132FF">
        <w:rPr>
          <w:rFonts w:cs="Arial"/>
          <w:szCs w:val="24"/>
        </w:rPr>
        <w:t>platform</w:t>
      </w:r>
      <w:r>
        <w:rPr>
          <w:rFonts w:cs="Arial"/>
          <w:szCs w:val="24"/>
        </w:rPr>
        <w:t xml:space="preserve"> providers supply a largely peripatetic and unregulated workforce with few regulatory safeguards. Unless protective legislation is extended to all workers providing direct care (such as in operation in the UK</w:t>
      </w:r>
      <w:r>
        <w:rPr>
          <w:rStyle w:val="FootnoteReference"/>
          <w:rFonts w:cs="Arial"/>
          <w:szCs w:val="24"/>
        </w:rPr>
        <w:footnoteReference w:id="9"/>
      </w:r>
      <w:r>
        <w:rPr>
          <w:rFonts w:cs="Arial"/>
          <w:szCs w:val="24"/>
        </w:rPr>
        <w:t>), it is likely there will be gaps in safeguarding people from abuse.</w:t>
      </w:r>
      <w:r w:rsidR="000132FF">
        <w:rPr>
          <w:rFonts w:cs="Arial"/>
          <w:szCs w:val="24"/>
        </w:rPr>
        <w:t xml:space="preserve"> </w:t>
      </w:r>
    </w:p>
    <w:p w:rsidR="007466A2" w:rsidRDefault="007466A2" w:rsidP="00EA1A7F">
      <w:pPr>
        <w:spacing w:line="360" w:lineRule="auto"/>
        <w:rPr>
          <w:rFonts w:cs="Arial"/>
          <w:b/>
          <w:szCs w:val="24"/>
        </w:rPr>
      </w:pPr>
    </w:p>
    <w:p w:rsidR="007466A2" w:rsidRPr="007466A2" w:rsidRDefault="007466A2" w:rsidP="007466A2">
      <w:pPr>
        <w:rPr>
          <w:rFonts w:cs="Arial"/>
          <w:b/>
          <w:szCs w:val="24"/>
        </w:rPr>
      </w:pPr>
    </w:p>
    <w:tbl>
      <w:tblPr>
        <w:tblStyle w:val="TableGrid"/>
        <w:tblW w:w="0" w:type="auto"/>
        <w:tblLook w:val="04A0"/>
      </w:tblPr>
      <w:tblGrid>
        <w:gridCol w:w="9243"/>
      </w:tblGrid>
      <w:tr w:rsidR="007466A2" w:rsidTr="007466A2">
        <w:tc>
          <w:tcPr>
            <w:tcW w:w="9243" w:type="dxa"/>
          </w:tcPr>
          <w:p w:rsidR="007466A2" w:rsidRDefault="007466A2" w:rsidP="007466A2">
            <w:pPr>
              <w:rPr>
                <w:highlight w:val="yellow"/>
              </w:rPr>
            </w:pPr>
          </w:p>
          <w:p w:rsidR="007466A2" w:rsidRPr="00DC7CE3" w:rsidRDefault="007466A2" w:rsidP="000132FF">
            <w:pPr>
              <w:rPr>
                <w:b/>
              </w:rPr>
            </w:pPr>
            <w:r w:rsidRPr="00C4730E">
              <w:rPr>
                <w:b/>
              </w:rPr>
              <w:t xml:space="preserve">Proposal </w:t>
            </w:r>
            <w:r w:rsidR="000132FF">
              <w:rPr>
                <w:b/>
              </w:rPr>
              <w:t>11</w:t>
            </w:r>
            <w:r w:rsidRPr="00C4730E">
              <w:rPr>
                <w:b/>
              </w:rPr>
              <w:t>-</w:t>
            </w:r>
            <w:r w:rsidR="000132FF">
              <w:rPr>
                <w:b/>
              </w:rPr>
              <w:t>1</w:t>
            </w:r>
            <w:r w:rsidRPr="00C4730E">
              <w:rPr>
                <w:b/>
              </w:rPr>
              <w:t xml:space="preserve"> </w:t>
            </w:r>
            <w:r w:rsidR="000132FF">
              <w:rPr>
                <w:b/>
              </w:rPr>
              <w:t>Aged care legislation should establish a reportable incidents scheme. The scheme should require approved providers to notify reportable incidents to the Aged Care Complaints Commissioner, who will oversee the approved provider’s investigation of and response to those incidents.</w:t>
            </w:r>
          </w:p>
          <w:p w:rsidR="007466A2" w:rsidRDefault="007466A2" w:rsidP="007466A2">
            <w:pPr>
              <w:jc w:val="center"/>
              <w:rPr>
                <w:highlight w:val="yellow"/>
              </w:rPr>
            </w:pPr>
          </w:p>
        </w:tc>
      </w:tr>
    </w:tbl>
    <w:p w:rsidR="007466A2" w:rsidRDefault="007466A2" w:rsidP="007466A2">
      <w:pPr>
        <w:rPr>
          <w:highlight w:val="yellow"/>
        </w:rPr>
      </w:pPr>
    </w:p>
    <w:p w:rsidR="00D04718" w:rsidRDefault="00D04718" w:rsidP="000132FF">
      <w:pPr>
        <w:spacing w:line="360" w:lineRule="auto"/>
        <w:rPr>
          <w:rFonts w:cs="Arial"/>
          <w:szCs w:val="24"/>
        </w:rPr>
      </w:pPr>
    </w:p>
    <w:p w:rsidR="000132FF" w:rsidRDefault="00510108" w:rsidP="000132FF">
      <w:pPr>
        <w:spacing w:line="360" w:lineRule="auto"/>
        <w:rPr>
          <w:rFonts w:cs="Arial"/>
          <w:szCs w:val="24"/>
        </w:rPr>
      </w:pPr>
      <w:r>
        <w:rPr>
          <w:rFonts w:cs="Arial"/>
          <w:szCs w:val="24"/>
        </w:rPr>
        <w:t>Our previous submissions</w:t>
      </w:r>
      <w:r w:rsidR="000132FF">
        <w:rPr>
          <w:rFonts w:cs="Arial"/>
          <w:szCs w:val="24"/>
        </w:rPr>
        <w:t xml:space="preserve"> have </w:t>
      </w:r>
      <w:r>
        <w:rPr>
          <w:rFonts w:cs="Arial"/>
          <w:szCs w:val="24"/>
        </w:rPr>
        <w:t>highlighted</w:t>
      </w:r>
      <w:r w:rsidR="000132FF">
        <w:rPr>
          <w:rFonts w:cs="Arial"/>
          <w:szCs w:val="24"/>
        </w:rPr>
        <w:t xml:space="preserve"> the protracted process for resolution of complaints referred to the AACQA from the office of the Aged Care Complaints </w:t>
      </w:r>
      <w:r w:rsidR="000132FF">
        <w:rPr>
          <w:rFonts w:cs="Arial"/>
          <w:szCs w:val="24"/>
        </w:rPr>
        <w:lastRenderedPageBreak/>
        <w:t>Commissioner. Matters deemed ‘non-urgent’ are often scheduled to be followed up by the AACQA at their next routine site visit, which can be over 12 months apart. Complaints are often indicative of wider systemic issues and therefore this process offers few safeguards for people living in RACFs. Considering the vulnerability of older people as they reach the end stages of life this is unacceptable.</w:t>
      </w:r>
    </w:p>
    <w:p w:rsidR="000132FF" w:rsidRDefault="000132FF" w:rsidP="000132FF">
      <w:pPr>
        <w:spacing w:line="360" w:lineRule="auto"/>
        <w:rPr>
          <w:rFonts w:cs="Arial"/>
          <w:szCs w:val="24"/>
        </w:rPr>
      </w:pPr>
    </w:p>
    <w:p w:rsidR="004C5036" w:rsidRDefault="007C56A7" w:rsidP="000132FF">
      <w:pPr>
        <w:spacing w:line="360" w:lineRule="auto"/>
        <w:rPr>
          <w:rFonts w:cs="Arial"/>
          <w:szCs w:val="24"/>
        </w:rPr>
      </w:pPr>
      <w:r>
        <w:rPr>
          <w:rFonts w:cs="Arial"/>
          <w:szCs w:val="24"/>
        </w:rPr>
        <w:t>The</w:t>
      </w:r>
      <w:r w:rsidR="00F439AB">
        <w:rPr>
          <w:rFonts w:cs="Arial"/>
          <w:szCs w:val="24"/>
        </w:rPr>
        <w:t xml:space="preserve"> ACCC has preference for local resolution of concerns</w:t>
      </w:r>
      <w:r>
        <w:rPr>
          <w:rFonts w:cs="Arial"/>
          <w:szCs w:val="24"/>
        </w:rPr>
        <w:t xml:space="preserve">. Whilst local resolution is often a preferred outcome for addressing </w:t>
      </w:r>
      <w:r w:rsidR="00AD4A5A">
        <w:rPr>
          <w:rFonts w:cs="Arial"/>
          <w:szCs w:val="24"/>
        </w:rPr>
        <w:t>complaints</w:t>
      </w:r>
      <w:r>
        <w:rPr>
          <w:rFonts w:cs="Arial"/>
          <w:szCs w:val="24"/>
        </w:rPr>
        <w:t>, it would be an inappropriate first response</w:t>
      </w:r>
      <w:r w:rsidR="00AD4A5A">
        <w:rPr>
          <w:rFonts w:cs="Arial"/>
          <w:szCs w:val="24"/>
        </w:rPr>
        <w:t xml:space="preserve"> for safeguarding allegations</w:t>
      </w:r>
      <w:r>
        <w:rPr>
          <w:rFonts w:cs="Arial"/>
          <w:szCs w:val="24"/>
        </w:rPr>
        <w:t>.</w:t>
      </w:r>
      <w:r w:rsidR="00F439AB">
        <w:rPr>
          <w:rFonts w:cs="Arial"/>
          <w:szCs w:val="24"/>
        </w:rPr>
        <w:t xml:space="preserve">  </w:t>
      </w:r>
      <w:r w:rsidR="000132FF">
        <w:rPr>
          <w:rFonts w:cs="Arial"/>
          <w:szCs w:val="24"/>
        </w:rPr>
        <w:t>Whilst supportive of a reportable incidents scheme</w:t>
      </w:r>
      <w:r w:rsidR="00510108">
        <w:rPr>
          <w:rFonts w:cs="Arial"/>
          <w:szCs w:val="24"/>
        </w:rPr>
        <w:t xml:space="preserve"> </w:t>
      </w:r>
      <w:r w:rsidR="00776A6A">
        <w:rPr>
          <w:rFonts w:cs="Arial"/>
          <w:szCs w:val="24"/>
        </w:rPr>
        <w:t xml:space="preserve">our members </w:t>
      </w:r>
      <w:r w:rsidR="00510108">
        <w:rPr>
          <w:rFonts w:cs="Arial"/>
          <w:szCs w:val="24"/>
        </w:rPr>
        <w:t>are concerned about</w:t>
      </w:r>
      <w:r w:rsidR="000132FF">
        <w:rPr>
          <w:rFonts w:cs="Arial"/>
          <w:szCs w:val="24"/>
        </w:rPr>
        <w:t xml:space="preserve"> existing collaborations between the ACCC and AACQA</w:t>
      </w:r>
      <w:r w:rsidR="00F439AB">
        <w:rPr>
          <w:rFonts w:cs="Arial"/>
          <w:szCs w:val="24"/>
        </w:rPr>
        <w:t xml:space="preserve"> </w:t>
      </w:r>
      <w:r>
        <w:rPr>
          <w:rFonts w:cs="Arial"/>
          <w:szCs w:val="24"/>
        </w:rPr>
        <w:t xml:space="preserve">and focus on </w:t>
      </w:r>
      <w:r w:rsidR="00F439AB">
        <w:rPr>
          <w:rFonts w:cs="Arial"/>
          <w:szCs w:val="24"/>
        </w:rPr>
        <w:t>local resolution</w:t>
      </w:r>
      <w:r w:rsidR="00510108">
        <w:rPr>
          <w:rFonts w:cs="Arial"/>
          <w:szCs w:val="24"/>
        </w:rPr>
        <w:t xml:space="preserve">. It is our view that any agency identified </w:t>
      </w:r>
      <w:r w:rsidR="004675FF">
        <w:rPr>
          <w:rFonts w:cs="Arial"/>
          <w:szCs w:val="24"/>
        </w:rPr>
        <w:t xml:space="preserve">to investigate allegations of abuse </w:t>
      </w:r>
      <w:r w:rsidR="00510108">
        <w:rPr>
          <w:rFonts w:cs="Arial"/>
          <w:szCs w:val="24"/>
        </w:rPr>
        <w:t>must have the legislative authority to initiate an immediate and impartial first response.</w:t>
      </w:r>
    </w:p>
    <w:p w:rsidR="00A269C1" w:rsidRDefault="00A269C1" w:rsidP="00FF10C6">
      <w:pPr>
        <w:jc w:val="center"/>
        <w:rPr>
          <w:highlight w:val="yellow"/>
        </w:rPr>
      </w:pPr>
    </w:p>
    <w:p w:rsidR="00D370F7" w:rsidRPr="007466A2" w:rsidRDefault="00D370F7" w:rsidP="00D370F7">
      <w:pPr>
        <w:rPr>
          <w:rFonts w:cs="Arial"/>
          <w:b/>
          <w:szCs w:val="24"/>
        </w:rPr>
      </w:pPr>
    </w:p>
    <w:tbl>
      <w:tblPr>
        <w:tblStyle w:val="TableGrid"/>
        <w:tblW w:w="0" w:type="auto"/>
        <w:tblLook w:val="04A0"/>
      </w:tblPr>
      <w:tblGrid>
        <w:gridCol w:w="9243"/>
      </w:tblGrid>
      <w:tr w:rsidR="00D370F7" w:rsidTr="00D370F7">
        <w:tc>
          <w:tcPr>
            <w:tcW w:w="9243" w:type="dxa"/>
          </w:tcPr>
          <w:p w:rsidR="00D370F7" w:rsidRDefault="00D370F7" w:rsidP="00D370F7">
            <w:pPr>
              <w:rPr>
                <w:highlight w:val="yellow"/>
              </w:rPr>
            </w:pPr>
          </w:p>
          <w:p w:rsidR="00D370F7" w:rsidRDefault="00D370F7" w:rsidP="00D370F7">
            <w:pPr>
              <w:rPr>
                <w:b/>
              </w:rPr>
            </w:pPr>
            <w:r w:rsidRPr="00C4730E">
              <w:rPr>
                <w:b/>
              </w:rPr>
              <w:t xml:space="preserve">Proposal </w:t>
            </w:r>
            <w:r>
              <w:rPr>
                <w:b/>
              </w:rPr>
              <w:t>11</w:t>
            </w:r>
            <w:r w:rsidRPr="00C4730E">
              <w:rPr>
                <w:b/>
              </w:rPr>
              <w:t>-</w:t>
            </w:r>
            <w:r>
              <w:rPr>
                <w:b/>
              </w:rPr>
              <w:t>2</w:t>
            </w:r>
            <w:r w:rsidRPr="00C4730E">
              <w:rPr>
                <w:b/>
              </w:rPr>
              <w:t xml:space="preserve"> </w:t>
            </w:r>
            <w:r>
              <w:rPr>
                <w:b/>
              </w:rPr>
              <w:t xml:space="preserve">The term ‘reportable assault’ in the </w:t>
            </w:r>
            <w:r w:rsidRPr="00D370F7">
              <w:rPr>
                <w:b/>
                <w:i/>
              </w:rPr>
              <w:t>Aged Care Act 1997</w:t>
            </w:r>
            <w:r>
              <w:rPr>
                <w:b/>
              </w:rPr>
              <w:t xml:space="preserve"> (</w:t>
            </w:r>
            <w:proofErr w:type="spellStart"/>
            <w:r>
              <w:rPr>
                <w:b/>
              </w:rPr>
              <w:t>Cth</w:t>
            </w:r>
            <w:proofErr w:type="spellEnd"/>
            <w:r>
              <w:rPr>
                <w:b/>
              </w:rPr>
              <w:t>) should be replaced with ‘reportable incident’.</w:t>
            </w:r>
          </w:p>
          <w:p w:rsidR="00D370F7" w:rsidRDefault="00D370F7" w:rsidP="00D370F7">
            <w:pPr>
              <w:rPr>
                <w:b/>
              </w:rPr>
            </w:pPr>
          </w:p>
          <w:p w:rsidR="00D370F7" w:rsidRDefault="00D370F7" w:rsidP="00D370F7">
            <w:pPr>
              <w:rPr>
                <w:b/>
              </w:rPr>
            </w:pPr>
            <w:r>
              <w:rPr>
                <w:b/>
              </w:rPr>
              <w:t>With respect to residential care, ‘reportable incident’ should mean:</w:t>
            </w:r>
          </w:p>
          <w:p w:rsidR="00D370F7" w:rsidRDefault="00D370F7" w:rsidP="00D370F7">
            <w:pPr>
              <w:rPr>
                <w:b/>
              </w:rPr>
            </w:pPr>
          </w:p>
          <w:p w:rsidR="00D370F7" w:rsidRDefault="00D370F7" w:rsidP="00D370F7">
            <w:pPr>
              <w:pStyle w:val="ListParagraph"/>
              <w:numPr>
                <w:ilvl w:val="0"/>
                <w:numId w:val="16"/>
              </w:numPr>
              <w:rPr>
                <w:b/>
              </w:rPr>
            </w:pPr>
            <w:r>
              <w:rPr>
                <w:b/>
              </w:rPr>
              <w:t>a sexual offence, sexual misconduct, assault, fraud/financial abuse, ill-treatment or neglect committed by a staff member on or towards a care recipient;</w:t>
            </w:r>
          </w:p>
          <w:p w:rsidR="00D370F7" w:rsidRDefault="00D370F7" w:rsidP="00D370F7">
            <w:pPr>
              <w:pStyle w:val="ListParagraph"/>
              <w:numPr>
                <w:ilvl w:val="0"/>
                <w:numId w:val="16"/>
              </w:numPr>
              <w:rPr>
                <w:b/>
              </w:rPr>
            </w:pPr>
            <w:r>
              <w:rPr>
                <w:b/>
              </w:rPr>
              <w:t>a sexual offence, an inci</w:t>
            </w:r>
            <w:r w:rsidR="00F43F4D">
              <w:rPr>
                <w:b/>
              </w:rPr>
              <w:t>d</w:t>
            </w:r>
            <w:r>
              <w:rPr>
                <w:b/>
              </w:rPr>
              <w:t>ent causing serious injury, an incident involving the use of a weapon, or an incident that is part of a pattern of abuse when committed by a care recipient toward another care recipient; or</w:t>
            </w:r>
          </w:p>
          <w:p w:rsidR="00F43F4D" w:rsidRDefault="00D370F7" w:rsidP="00D370F7">
            <w:pPr>
              <w:pStyle w:val="ListParagraph"/>
              <w:numPr>
                <w:ilvl w:val="0"/>
                <w:numId w:val="16"/>
              </w:numPr>
              <w:rPr>
                <w:b/>
              </w:rPr>
            </w:pPr>
            <w:proofErr w:type="gramStart"/>
            <w:r>
              <w:rPr>
                <w:b/>
              </w:rPr>
              <w:t>an</w:t>
            </w:r>
            <w:proofErr w:type="gramEnd"/>
            <w:r>
              <w:rPr>
                <w:b/>
              </w:rPr>
              <w:t xml:space="preserve"> incident resulting in </w:t>
            </w:r>
            <w:r w:rsidR="00F43F4D">
              <w:rPr>
                <w:b/>
              </w:rPr>
              <w:t>an unexplained serious injury to a care recipient.</w:t>
            </w:r>
          </w:p>
          <w:p w:rsidR="00F43F4D" w:rsidRPr="00F43F4D" w:rsidRDefault="00F43F4D" w:rsidP="00F43F4D">
            <w:pPr>
              <w:rPr>
                <w:b/>
              </w:rPr>
            </w:pPr>
          </w:p>
          <w:p w:rsidR="00D370F7" w:rsidRPr="00F43F4D" w:rsidRDefault="00F43F4D" w:rsidP="00F43F4D">
            <w:pPr>
              <w:rPr>
                <w:b/>
              </w:rPr>
            </w:pPr>
            <w:r>
              <w:rPr>
                <w:b/>
              </w:rPr>
              <w:t>With respect to home care or flexible care, ‘reportable incident’ should mean a sexual offence, sexual misconduct, assault, fraud/financial abuse, ill-treatment or neglect committed by a staff member on or toward a care recipient.</w:t>
            </w:r>
            <w:r w:rsidR="00D370F7" w:rsidRPr="00F43F4D">
              <w:rPr>
                <w:b/>
              </w:rPr>
              <w:t xml:space="preserve"> </w:t>
            </w:r>
          </w:p>
          <w:p w:rsidR="00D370F7" w:rsidRDefault="00D370F7" w:rsidP="00D370F7">
            <w:pPr>
              <w:jc w:val="center"/>
              <w:rPr>
                <w:highlight w:val="yellow"/>
              </w:rPr>
            </w:pPr>
          </w:p>
        </w:tc>
      </w:tr>
    </w:tbl>
    <w:p w:rsidR="00D370F7" w:rsidRDefault="00D370F7" w:rsidP="00FF10C6">
      <w:pPr>
        <w:jc w:val="center"/>
        <w:rPr>
          <w:highlight w:val="yellow"/>
        </w:rPr>
      </w:pPr>
    </w:p>
    <w:p w:rsidR="00F43F4D" w:rsidRDefault="00F43F4D" w:rsidP="00FF10C6">
      <w:pPr>
        <w:jc w:val="center"/>
        <w:rPr>
          <w:highlight w:val="yellow"/>
        </w:rPr>
      </w:pPr>
    </w:p>
    <w:p w:rsidR="00F43F4D" w:rsidRDefault="00F43F4D" w:rsidP="00F43F4D">
      <w:pPr>
        <w:spacing w:line="360" w:lineRule="auto"/>
      </w:pPr>
      <w:r w:rsidRPr="00F43F4D">
        <w:t>We support the increased protections that replacing this definition provides. However, we suggest that point (a</w:t>
      </w:r>
      <w:r w:rsidRPr="00020D1B">
        <w:t>) is amended to also include care provider unless they are covered by the legal definition of a</w:t>
      </w:r>
      <w:r w:rsidRPr="00F43F4D">
        <w:t xml:space="preserve"> staff member. </w:t>
      </w:r>
      <w:r w:rsidR="008B02E4">
        <w:t xml:space="preserve">We also ask that caution is given when identifying staff as the perpetrator without considering the institutional practices within the environment. Often our members are unwittingly complicit in </w:t>
      </w:r>
      <w:r w:rsidR="008B02E4">
        <w:lastRenderedPageBreak/>
        <w:t>omissions by virtue of reasons beyond their control, such as low staffing ratios or failure by aged care providers to provide appropriate equipment or supplies</w:t>
      </w:r>
      <w:r w:rsidR="008B02E4" w:rsidRPr="00020D1B">
        <w:t>.  We suggest institutional abuse and the use of chemical or physical restraint are also added as categories.</w:t>
      </w:r>
    </w:p>
    <w:p w:rsidR="008B02E4" w:rsidRPr="00F43F4D" w:rsidRDefault="008B02E4" w:rsidP="00F43F4D">
      <w:pPr>
        <w:spacing w:line="360" w:lineRule="auto"/>
      </w:pPr>
    </w:p>
    <w:p w:rsidR="00F43F4D" w:rsidRDefault="00F43F4D" w:rsidP="00F43F4D">
      <w:pPr>
        <w:spacing w:line="360" w:lineRule="auto"/>
        <w:rPr>
          <w:highlight w:val="yellow"/>
        </w:rPr>
      </w:pPr>
      <w:r w:rsidRPr="00E95222">
        <w:t xml:space="preserve">In relation to all categories </w:t>
      </w:r>
      <w:r w:rsidR="008B02E4" w:rsidRPr="00E95222">
        <w:t xml:space="preserve">our members report witnessing </w:t>
      </w:r>
      <w:r w:rsidRPr="00E95222">
        <w:t xml:space="preserve">extortion and intimidation </w:t>
      </w:r>
      <w:r w:rsidR="008B02E4" w:rsidRPr="00E95222">
        <w:t xml:space="preserve">between residents in </w:t>
      </w:r>
      <w:r w:rsidR="00B647FD" w:rsidRPr="00E95222">
        <w:t xml:space="preserve">certain </w:t>
      </w:r>
      <w:r w:rsidR="008B02E4" w:rsidRPr="00E95222">
        <w:t>RACFs</w:t>
      </w:r>
      <w:r w:rsidRPr="00E95222">
        <w:t>. We request the ALRC consider whether these should be included as acts of abuse</w:t>
      </w:r>
      <w:r w:rsidR="00361DB1" w:rsidRPr="00E95222">
        <w:t xml:space="preserve"> since a power</w:t>
      </w:r>
      <w:r w:rsidR="00361DB1">
        <w:t xml:space="preserve"> imbalance can also exist within the resident population</w:t>
      </w:r>
      <w:r w:rsidRPr="00F43F4D">
        <w:t>.</w:t>
      </w:r>
    </w:p>
    <w:p w:rsidR="008B02E4" w:rsidRDefault="008B02E4" w:rsidP="00F43F4D">
      <w:pPr>
        <w:spacing w:line="360" w:lineRule="auto"/>
        <w:rPr>
          <w:highlight w:val="yellow"/>
        </w:rPr>
      </w:pPr>
    </w:p>
    <w:p w:rsidR="00F43F4D" w:rsidRDefault="00F43F4D" w:rsidP="00F43F4D">
      <w:pPr>
        <w:rPr>
          <w:highlight w:val="yellow"/>
        </w:rPr>
      </w:pPr>
    </w:p>
    <w:p w:rsidR="00F43F4D" w:rsidRPr="00F43F4D" w:rsidRDefault="00447AF4" w:rsidP="00700467">
      <w:pPr>
        <w:spacing w:line="360" w:lineRule="auto"/>
      </w:pPr>
      <w:r>
        <w:t xml:space="preserve">We note the ALRC’s hesitance in recommending extending safeguards beyond the services covered by the </w:t>
      </w:r>
      <w:r w:rsidRPr="00FA68BB">
        <w:rPr>
          <w:i/>
        </w:rPr>
        <w:t>Aged Care Act 199</w:t>
      </w:r>
      <w:r w:rsidR="00B647FD" w:rsidRPr="00FA68BB">
        <w:rPr>
          <w:i/>
        </w:rPr>
        <w:t>7</w:t>
      </w:r>
      <w:r w:rsidR="00FA68BB">
        <w:rPr>
          <w:i/>
        </w:rPr>
        <w:t xml:space="preserve"> (</w:t>
      </w:r>
      <w:proofErr w:type="spellStart"/>
      <w:r w:rsidR="00FA68BB">
        <w:rPr>
          <w:i/>
        </w:rPr>
        <w:t>Cth</w:t>
      </w:r>
      <w:proofErr w:type="spellEnd"/>
      <w:r w:rsidR="00FA68BB">
        <w:rPr>
          <w:i/>
        </w:rPr>
        <w:t>)</w:t>
      </w:r>
      <w:r>
        <w:t xml:space="preserve">. However, we consider that the aged care climate is changing. </w:t>
      </w:r>
      <w:r w:rsidR="00F43F4D" w:rsidRPr="00F43F4D">
        <w:t>In relation to home/flexible care, we perceive a gap in the proposed</w:t>
      </w:r>
      <w:r w:rsidR="00F43F4D">
        <w:t xml:space="preserve"> provision as this does not account for independent workers providing home care services</w:t>
      </w:r>
      <w:r w:rsidR="00700467">
        <w:t>. These workers</w:t>
      </w:r>
      <w:r w:rsidR="002B14AD">
        <w:t xml:space="preserve"> are not classed as employees and therefore not subject to ongoing training and supervision</w:t>
      </w:r>
      <w:r w:rsidR="00361DB1">
        <w:t>. Platform</w:t>
      </w:r>
      <w:r w:rsidR="00700467">
        <w:t xml:space="preserve"> care services merely act as introduction agents and encourage individual care</w:t>
      </w:r>
      <w:r w:rsidR="00361DB1">
        <w:t xml:space="preserve"> workers</w:t>
      </w:r>
      <w:r w:rsidR="00700467">
        <w:t xml:space="preserve"> to establish independent contracts for service between themselves and the client, a practice that is not subject to any regulation. We consider this circumstance would need to be catered for with any legislative changes. </w:t>
      </w:r>
    </w:p>
    <w:p w:rsidR="00F43F4D" w:rsidRDefault="00F43F4D" w:rsidP="00FF10C6">
      <w:pPr>
        <w:jc w:val="center"/>
        <w:rPr>
          <w:highlight w:val="yellow"/>
        </w:rPr>
      </w:pPr>
    </w:p>
    <w:p w:rsidR="00A017C6" w:rsidRDefault="00A017C6" w:rsidP="00FF10C6">
      <w:pPr>
        <w:jc w:val="center"/>
        <w:rPr>
          <w:highlight w:val="yellow"/>
        </w:rPr>
      </w:pPr>
    </w:p>
    <w:p w:rsidR="00A017C6" w:rsidRPr="007466A2" w:rsidRDefault="00A017C6" w:rsidP="00A017C6">
      <w:pPr>
        <w:rPr>
          <w:rFonts w:cs="Arial"/>
          <w:b/>
          <w:szCs w:val="24"/>
        </w:rPr>
      </w:pPr>
    </w:p>
    <w:tbl>
      <w:tblPr>
        <w:tblStyle w:val="TableGrid"/>
        <w:tblW w:w="0" w:type="auto"/>
        <w:tblLook w:val="04A0"/>
      </w:tblPr>
      <w:tblGrid>
        <w:gridCol w:w="9243"/>
      </w:tblGrid>
      <w:tr w:rsidR="00A017C6" w:rsidTr="00A017C6">
        <w:tc>
          <w:tcPr>
            <w:tcW w:w="9243" w:type="dxa"/>
          </w:tcPr>
          <w:p w:rsidR="00A017C6" w:rsidRDefault="00A017C6" w:rsidP="00A017C6">
            <w:pPr>
              <w:rPr>
                <w:highlight w:val="yellow"/>
              </w:rPr>
            </w:pPr>
          </w:p>
          <w:p w:rsidR="00A017C6" w:rsidRPr="00DC7CE3" w:rsidRDefault="00A017C6" w:rsidP="00A017C6">
            <w:pPr>
              <w:rPr>
                <w:b/>
              </w:rPr>
            </w:pPr>
            <w:r w:rsidRPr="00C4730E">
              <w:rPr>
                <w:b/>
              </w:rPr>
              <w:t xml:space="preserve">Proposal </w:t>
            </w:r>
            <w:r>
              <w:rPr>
                <w:b/>
              </w:rPr>
              <w:t>11</w:t>
            </w:r>
            <w:r w:rsidRPr="00C4730E">
              <w:rPr>
                <w:b/>
              </w:rPr>
              <w:t>-</w:t>
            </w:r>
            <w:r>
              <w:rPr>
                <w:b/>
              </w:rPr>
              <w:t>3</w:t>
            </w:r>
            <w:r w:rsidRPr="00C4730E">
              <w:rPr>
                <w:b/>
              </w:rPr>
              <w:t xml:space="preserve"> </w:t>
            </w:r>
            <w:r>
              <w:rPr>
                <w:b/>
              </w:rPr>
              <w:t xml:space="preserve">The exemption to reporting provided by s53 of the </w:t>
            </w:r>
            <w:r w:rsidRPr="00A017C6">
              <w:rPr>
                <w:b/>
                <w:i/>
              </w:rPr>
              <w:t>Accountability Principles 2014</w:t>
            </w:r>
            <w:r>
              <w:rPr>
                <w:b/>
              </w:rPr>
              <w:t xml:space="preserve"> (</w:t>
            </w:r>
            <w:proofErr w:type="spellStart"/>
            <w:r>
              <w:rPr>
                <w:b/>
              </w:rPr>
              <w:t>Cth</w:t>
            </w:r>
            <w:proofErr w:type="spellEnd"/>
            <w:r>
              <w:rPr>
                <w:b/>
              </w:rPr>
              <w:t>) regarding alleged assaults committed by a care recipient with a pre-diagnosed cognitive impairment on another care recipient, should be removed.</w:t>
            </w:r>
          </w:p>
          <w:p w:rsidR="00A017C6" w:rsidRDefault="00A017C6" w:rsidP="00A017C6">
            <w:pPr>
              <w:jc w:val="center"/>
              <w:rPr>
                <w:highlight w:val="yellow"/>
              </w:rPr>
            </w:pPr>
          </w:p>
        </w:tc>
      </w:tr>
    </w:tbl>
    <w:p w:rsidR="00A017C6" w:rsidRDefault="00A017C6" w:rsidP="00FF10C6">
      <w:pPr>
        <w:jc w:val="center"/>
        <w:rPr>
          <w:highlight w:val="yellow"/>
        </w:rPr>
      </w:pPr>
    </w:p>
    <w:p w:rsidR="00A017C6" w:rsidRDefault="00A017C6" w:rsidP="00FF10C6">
      <w:pPr>
        <w:jc w:val="center"/>
        <w:rPr>
          <w:highlight w:val="yellow"/>
        </w:rPr>
      </w:pPr>
    </w:p>
    <w:p w:rsidR="00AA126A" w:rsidRDefault="008B02E4" w:rsidP="008B02E4">
      <w:pPr>
        <w:spacing w:line="360" w:lineRule="auto"/>
      </w:pPr>
      <w:r w:rsidRPr="008B02E4">
        <w:t>We fully support this initiative as indicated in our previous submissions and presented evidence following member consultation.</w:t>
      </w:r>
      <w:r>
        <w:t xml:space="preserve"> It is only right that all Australian</w:t>
      </w:r>
      <w:r w:rsidR="008542DF">
        <w:t>s</w:t>
      </w:r>
      <w:r>
        <w:t>, regardless of health status are afforded equal rights in relation to protection against abuse.</w:t>
      </w:r>
      <w:r w:rsidR="00447AF4">
        <w:t xml:space="preserve"> We note the ALRC suggestion that a </w:t>
      </w:r>
      <w:r w:rsidR="00447AF4" w:rsidRPr="002B14AD">
        <w:t>higher threshold of seriousness is met before a notification is required to be made. We</w:t>
      </w:r>
      <w:r w:rsidR="00447AF4">
        <w:t xml:space="preserve"> have concerns </w:t>
      </w:r>
      <w:r w:rsidR="00447AF4">
        <w:lastRenderedPageBreak/>
        <w:t xml:space="preserve">this will lead to under-reporting. Our members are extremely concerned that the daily resident-on-resident abuse </w:t>
      </w:r>
      <w:r w:rsidR="00AA126A">
        <w:t xml:space="preserve">they witness </w:t>
      </w:r>
      <w:r w:rsidR="00447AF4">
        <w:t xml:space="preserve">is already unreported. We must consider that people living in RACFs are unable to exit that environment and the impact of the abusive act is therefore much higher. </w:t>
      </w:r>
    </w:p>
    <w:p w:rsidR="00B647FD" w:rsidRDefault="00B647FD" w:rsidP="008B02E4">
      <w:pPr>
        <w:spacing w:line="360" w:lineRule="auto"/>
      </w:pPr>
    </w:p>
    <w:p w:rsidR="00A017C6" w:rsidRDefault="00447AF4" w:rsidP="008B02E4">
      <w:pPr>
        <w:spacing w:line="360" w:lineRule="auto"/>
      </w:pPr>
      <w:r>
        <w:t xml:space="preserve">The aim of protective elder abuse legislation should not be a punitive exercise, particularly where residents are cognitively impaired. The intent must </w:t>
      </w:r>
      <w:r w:rsidR="00AA126A">
        <w:t>be to address the underlying causes, seek appropriate solutions and monitor their implementation for effectiveness. Once this process is established there should be a natural reduction in the incidence of abuse between cognitively impaired residents as the research evidence presented in our previous submission demonstrates.</w:t>
      </w:r>
    </w:p>
    <w:p w:rsidR="00361DB1" w:rsidRDefault="00361DB1" w:rsidP="008B02E4">
      <w:pPr>
        <w:spacing w:line="360" w:lineRule="auto"/>
      </w:pPr>
    </w:p>
    <w:p w:rsidR="00361DB1" w:rsidRPr="007466A2" w:rsidRDefault="00361DB1" w:rsidP="00361DB1">
      <w:pPr>
        <w:rPr>
          <w:rFonts w:cs="Arial"/>
          <w:b/>
          <w:szCs w:val="24"/>
        </w:rPr>
      </w:pPr>
    </w:p>
    <w:tbl>
      <w:tblPr>
        <w:tblStyle w:val="TableGrid"/>
        <w:tblW w:w="0" w:type="auto"/>
        <w:tblLook w:val="04A0"/>
      </w:tblPr>
      <w:tblGrid>
        <w:gridCol w:w="9243"/>
      </w:tblGrid>
      <w:tr w:rsidR="00361DB1" w:rsidTr="00361DB1">
        <w:tc>
          <w:tcPr>
            <w:tcW w:w="9243" w:type="dxa"/>
          </w:tcPr>
          <w:p w:rsidR="00361DB1" w:rsidRDefault="00361DB1" w:rsidP="00361DB1">
            <w:pPr>
              <w:rPr>
                <w:highlight w:val="yellow"/>
              </w:rPr>
            </w:pPr>
          </w:p>
          <w:p w:rsidR="00361DB1" w:rsidRDefault="00361DB1" w:rsidP="00361DB1">
            <w:pPr>
              <w:rPr>
                <w:b/>
              </w:rPr>
            </w:pPr>
            <w:r w:rsidRPr="00C4730E">
              <w:rPr>
                <w:b/>
              </w:rPr>
              <w:t xml:space="preserve">Proposal </w:t>
            </w:r>
            <w:r>
              <w:rPr>
                <w:b/>
              </w:rPr>
              <w:t>11</w:t>
            </w:r>
            <w:r w:rsidRPr="00C4730E">
              <w:rPr>
                <w:b/>
              </w:rPr>
              <w:t>-</w:t>
            </w:r>
            <w:r>
              <w:rPr>
                <w:b/>
              </w:rPr>
              <w:t>4</w:t>
            </w:r>
            <w:r w:rsidRPr="00C4730E">
              <w:rPr>
                <w:b/>
              </w:rPr>
              <w:t xml:space="preserve"> </w:t>
            </w:r>
            <w:r>
              <w:rPr>
                <w:b/>
              </w:rPr>
              <w:t>There should be a national</w:t>
            </w:r>
            <w:r w:rsidR="008A29A9">
              <w:rPr>
                <w:b/>
              </w:rPr>
              <w:t xml:space="preserve"> employment screening process fo</w:t>
            </w:r>
            <w:r>
              <w:rPr>
                <w:b/>
              </w:rPr>
              <w:t>r Australian Government funded aged care. The screening process should determine whether a clearance should be granted to work in aged care, based on an assessment of:</w:t>
            </w:r>
          </w:p>
          <w:p w:rsidR="00361DB1" w:rsidRDefault="00361DB1" w:rsidP="00361DB1">
            <w:pPr>
              <w:rPr>
                <w:b/>
              </w:rPr>
            </w:pPr>
          </w:p>
          <w:p w:rsidR="00361DB1" w:rsidRDefault="00361DB1" w:rsidP="00361DB1">
            <w:pPr>
              <w:pStyle w:val="ListParagraph"/>
              <w:numPr>
                <w:ilvl w:val="0"/>
                <w:numId w:val="19"/>
              </w:numPr>
              <w:rPr>
                <w:b/>
              </w:rPr>
            </w:pPr>
            <w:r>
              <w:rPr>
                <w:b/>
              </w:rPr>
              <w:t>a person’s national criminal history;</w:t>
            </w:r>
          </w:p>
          <w:p w:rsidR="00361DB1" w:rsidRDefault="00361DB1" w:rsidP="00361DB1">
            <w:pPr>
              <w:pStyle w:val="ListParagraph"/>
              <w:numPr>
                <w:ilvl w:val="0"/>
                <w:numId w:val="19"/>
              </w:numPr>
              <w:rPr>
                <w:b/>
              </w:rPr>
            </w:pPr>
            <w:r>
              <w:rPr>
                <w:b/>
              </w:rPr>
              <w:t>relevant reportable incidents under the proposed reportable incidents scheme; and</w:t>
            </w:r>
          </w:p>
          <w:p w:rsidR="00361DB1" w:rsidRDefault="00361DB1" w:rsidP="00361DB1">
            <w:pPr>
              <w:pStyle w:val="ListParagraph"/>
              <w:numPr>
                <w:ilvl w:val="0"/>
                <w:numId w:val="19"/>
              </w:numPr>
              <w:rPr>
                <w:b/>
              </w:rPr>
            </w:pPr>
            <w:proofErr w:type="gramStart"/>
            <w:r>
              <w:rPr>
                <w:b/>
              </w:rPr>
              <w:t>relevant</w:t>
            </w:r>
            <w:proofErr w:type="gramEnd"/>
            <w:r>
              <w:rPr>
                <w:b/>
              </w:rPr>
              <w:t xml:space="preserve"> disciplinary proceedings or complaints.</w:t>
            </w:r>
          </w:p>
          <w:p w:rsidR="00361DB1" w:rsidRDefault="00361DB1" w:rsidP="00361DB1">
            <w:pPr>
              <w:rPr>
                <w:b/>
              </w:rPr>
            </w:pPr>
          </w:p>
          <w:p w:rsidR="00361DB1" w:rsidRDefault="00361DB1" w:rsidP="00361DB1">
            <w:pPr>
              <w:rPr>
                <w:b/>
              </w:rPr>
            </w:pPr>
            <w:r>
              <w:rPr>
                <w:b/>
              </w:rPr>
              <w:t>Proposal 11-5 A national database should be established to record the outcome and status of employment clearances.</w:t>
            </w:r>
          </w:p>
          <w:p w:rsidR="00707FC0" w:rsidRDefault="00707FC0" w:rsidP="00361DB1">
            <w:pPr>
              <w:rPr>
                <w:b/>
              </w:rPr>
            </w:pPr>
          </w:p>
          <w:p w:rsidR="00707FC0" w:rsidRDefault="00707FC0" w:rsidP="00707FC0">
            <w:pPr>
              <w:rPr>
                <w:b/>
              </w:rPr>
            </w:pPr>
            <w:r w:rsidRPr="00213B24">
              <w:rPr>
                <w:b/>
              </w:rPr>
              <w:t>Proposal 11-6 Unregistered aged care workers who provide direct care should</w:t>
            </w:r>
            <w:r w:rsidRPr="00213B24">
              <w:t xml:space="preserve"> </w:t>
            </w:r>
            <w:r w:rsidRPr="00213B24">
              <w:rPr>
                <w:b/>
              </w:rPr>
              <w:t>be subject to the planned National Code of Conduct for Health Care Workers.</w:t>
            </w:r>
          </w:p>
          <w:p w:rsidR="00707FC0" w:rsidRPr="00361DB1" w:rsidRDefault="00707FC0" w:rsidP="00361DB1">
            <w:pPr>
              <w:rPr>
                <w:b/>
              </w:rPr>
            </w:pPr>
          </w:p>
          <w:p w:rsidR="00361DB1" w:rsidRDefault="00361DB1" w:rsidP="00361DB1">
            <w:pPr>
              <w:jc w:val="center"/>
              <w:rPr>
                <w:highlight w:val="yellow"/>
              </w:rPr>
            </w:pPr>
          </w:p>
        </w:tc>
      </w:tr>
    </w:tbl>
    <w:p w:rsidR="00361DB1" w:rsidRDefault="00361DB1" w:rsidP="008B02E4">
      <w:pPr>
        <w:spacing w:line="360" w:lineRule="auto"/>
      </w:pPr>
    </w:p>
    <w:p w:rsidR="00707FC0" w:rsidRDefault="00707FC0" w:rsidP="008B02E4">
      <w:pPr>
        <w:spacing w:line="360" w:lineRule="auto"/>
      </w:pPr>
      <w:r>
        <w:t xml:space="preserve">We refer to the </w:t>
      </w:r>
      <w:r w:rsidRPr="00FA68BB">
        <w:t>ANMF response</w:t>
      </w:r>
      <w:r>
        <w:t xml:space="preserve"> to this discussion paper and concur with their comments and recommendations in relation to points: 11-4; 11-5 and 11-6.</w:t>
      </w:r>
    </w:p>
    <w:p w:rsidR="00D04718" w:rsidRDefault="00D04718" w:rsidP="008B02E4">
      <w:pPr>
        <w:spacing w:line="360" w:lineRule="auto"/>
      </w:pPr>
    </w:p>
    <w:p w:rsidR="00D04718" w:rsidRDefault="00D04718" w:rsidP="008B02E4">
      <w:pPr>
        <w:spacing w:line="360" w:lineRule="auto"/>
      </w:pPr>
    </w:p>
    <w:p w:rsidR="00D04718" w:rsidRDefault="00D04718" w:rsidP="008B02E4">
      <w:pPr>
        <w:spacing w:line="360" w:lineRule="auto"/>
      </w:pPr>
    </w:p>
    <w:p w:rsidR="00A017C6" w:rsidRDefault="00A017C6" w:rsidP="00FF10C6">
      <w:pPr>
        <w:jc w:val="center"/>
        <w:rPr>
          <w:highlight w:val="yellow"/>
        </w:rPr>
      </w:pPr>
    </w:p>
    <w:tbl>
      <w:tblPr>
        <w:tblStyle w:val="TableGrid"/>
        <w:tblW w:w="0" w:type="auto"/>
        <w:tblLook w:val="04A0"/>
      </w:tblPr>
      <w:tblGrid>
        <w:gridCol w:w="9243"/>
      </w:tblGrid>
      <w:tr w:rsidR="00D02F4D" w:rsidTr="00D02F4D">
        <w:tc>
          <w:tcPr>
            <w:tcW w:w="9243" w:type="dxa"/>
          </w:tcPr>
          <w:p w:rsidR="00D02F4D" w:rsidRDefault="00D02F4D" w:rsidP="00D02F4D">
            <w:pPr>
              <w:rPr>
                <w:b/>
              </w:rPr>
            </w:pPr>
          </w:p>
          <w:p w:rsidR="00D02F4D" w:rsidRDefault="00D02F4D" w:rsidP="00D02F4D">
            <w:pPr>
              <w:rPr>
                <w:b/>
              </w:rPr>
            </w:pPr>
            <w:r>
              <w:rPr>
                <w:b/>
              </w:rPr>
              <w:t>Proposal 11-7 The Aged Care Act 1997 (</w:t>
            </w:r>
            <w:proofErr w:type="spellStart"/>
            <w:r>
              <w:rPr>
                <w:b/>
              </w:rPr>
              <w:t>Cth</w:t>
            </w:r>
            <w:proofErr w:type="spellEnd"/>
            <w:r>
              <w:rPr>
                <w:b/>
              </w:rPr>
              <w:t xml:space="preserve">) should regulate the use of restrictive practices in residential aged care. The Act should provide that </w:t>
            </w:r>
            <w:r>
              <w:rPr>
                <w:b/>
              </w:rPr>
              <w:lastRenderedPageBreak/>
              <w:t>restrictive practices only be used:</w:t>
            </w:r>
          </w:p>
          <w:p w:rsidR="00D02F4D" w:rsidRDefault="00D02F4D" w:rsidP="00D02F4D">
            <w:pPr>
              <w:rPr>
                <w:b/>
              </w:rPr>
            </w:pPr>
          </w:p>
          <w:p w:rsidR="00D02F4D" w:rsidRDefault="00D02F4D" w:rsidP="00D02F4D">
            <w:pPr>
              <w:pStyle w:val="ListParagraph"/>
              <w:numPr>
                <w:ilvl w:val="0"/>
                <w:numId w:val="20"/>
              </w:numPr>
              <w:rPr>
                <w:b/>
              </w:rPr>
            </w:pPr>
            <w:r>
              <w:rPr>
                <w:b/>
              </w:rPr>
              <w:t>when necessary to prevent physical harm;</w:t>
            </w:r>
          </w:p>
          <w:p w:rsidR="00D02F4D" w:rsidRDefault="00D02F4D" w:rsidP="00D02F4D">
            <w:pPr>
              <w:pStyle w:val="ListParagraph"/>
              <w:numPr>
                <w:ilvl w:val="0"/>
                <w:numId w:val="20"/>
              </w:numPr>
              <w:rPr>
                <w:b/>
              </w:rPr>
            </w:pPr>
            <w:r>
              <w:rPr>
                <w:b/>
              </w:rPr>
              <w:t>to the extent necessary to prevent the harm;</w:t>
            </w:r>
          </w:p>
          <w:p w:rsidR="00D02F4D" w:rsidRDefault="00D02F4D" w:rsidP="00D02F4D">
            <w:pPr>
              <w:pStyle w:val="ListParagraph"/>
              <w:numPr>
                <w:ilvl w:val="0"/>
                <w:numId w:val="20"/>
              </w:numPr>
              <w:rPr>
                <w:b/>
              </w:rPr>
            </w:pPr>
            <w:r>
              <w:rPr>
                <w:b/>
              </w:rPr>
              <w:t>with the approval of an independent decision maker, such as a senior clinician, with statutory authority to make this decision; and</w:t>
            </w:r>
          </w:p>
          <w:p w:rsidR="00D02F4D" w:rsidRDefault="00D02F4D" w:rsidP="00D02F4D">
            <w:pPr>
              <w:pStyle w:val="ListParagraph"/>
              <w:numPr>
                <w:ilvl w:val="0"/>
                <w:numId w:val="20"/>
              </w:numPr>
              <w:rPr>
                <w:b/>
              </w:rPr>
            </w:pPr>
            <w:proofErr w:type="gramStart"/>
            <w:r>
              <w:rPr>
                <w:b/>
              </w:rPr>
              <w:t>as</w:t>
            </w:r>
            <w:proofErr w:type="gramEnd"/>
            <w:r>
              <w:rPr>
                <w:b/>
              </w:rPr>
              <w:t xml:space="preserve"> prescribed in a person’s behavior management plan.</w:t>
            </w:r>
          </w:p>
          <w:p w:rsidR="00D02F4D" w:rsidRPr="00D02F4D" w:rsidRDefault="00D02F4D" w:rsidP="00D02F4D">
            <w:pPr>
              <w:ind w:left="360"/>
              <w:rPr>
                <w:b/>
              </w:rPr>
            </w:pPr>
          </w:p>
        </w:tc>
      </w:tr>
    </w:tbl>
    <w:p w:rsidR="00D02F4D" w:rsidRDefault="00D02F4D" w:rsidP="00D02F4D">
      <w:pPr>
        <w:jc w:val="center"/>
        <w:rPr>
          <w:b/>
        </w:rPr>
      </w:pPr>
    </w:p>
    <w:p w:rsidR="00185A92" w:rsidRDefault="00185A92" w:rsidP="00185A92">
      <w:pPr>
        <w:spacing w:line="360" w:lineRule="auto"/>
      </w:pPr>
      <w:r>
        <w:t>The use of risk assessment processes should be overtly stated in legislation. This will promote the ongoing protection of staff and give due consideration for the ongoing applicability of restraint practices.</w:t>
      </w:r>
    </w:p>
    <w:p w:rsidR="00F165E1" w:rsidRDefault="00F165E1" w:rsidP="00FF10C6">
      <w:pPr>
        <w:jc w:val="center"/>
        <w:rPr>
          <w:highlight w:val="yellow"/>
        </w:rPr>
      </w:pPr>
    </w:p>
    <w:p w:rsidR="00F165E1" w:rsidRPr="00F165E1" w:rsidRDefault="00F165E1" w:rsidP="00F165E1"/>
    <w:p w:rsidR="00D02F4D" w:rsidRDefault="00F165E1" w:rsidP="00D02F4D">
      <w:pPr>
        <w:spacing w:line="360" w:lineRule="auto"/>
      </w:pPr>
      <w:r>
        <w:t>The impact of low levels of staffing and skills mix on the prevalence of elder abuse</w:t>
      </w:r>
      <w:r w:rsidR="00D02F4D">
        <w:t xml:space="preserve"> and the use of </w:t>
      </w:r>
      <w:r w:rsidR="00FD092C">
        <w:t>restrictive practices</w:t>
      </w:r>
      <w:r w:rsidR="00D02F4D">
        <w:t xml:space="preserve"> in any form</w:t>
      </w:r>
      <w:r>
        <w:t xml:space="preserve"> in residential aged care facilities cannot be underestimated. Our members working in aged care cite insufficient numbers of staff as the primary risk factor and many feel unable to report concerns for fear of reprisal from their employers</w:t>
      </w:r>
      <w:r w:rsidR="006B151C">
        <w:rPr>
          <w:rStyle w:val="FootnoteReference"/>
        </w:rPr>
        <w:footnoteReference w:id="10"/>
      </w:r>
      <w:r w:rsidR="006B151C">
        <w:t>.</w:t>
      </w:r>
      <w:r w:rsidR="00740A98">
        <w:t xml:space="preserve"> </w:t>
      </w:r>
    </w:p>
    <w:p w:rsidR="00D02F4D" w:rsidRDefault="00D02F4D" w:rsidP="00F165E1"/>
    <w:p w:rsidR="00CC771D" w:rsidRDefault="007E28FB" w:rsidP="00CC771D">
      <w:pPr>
        <w:spacing w:line="360" w:lineRule="auto"/>
      </w:pPr>
      <w:r>
        <w:t xml:space="preserve">We </w:t>
      </w:r>
      <w:r w:rsidR="007C651D">
        <w:t>are</w:t>
      </w:r>
      <w:r>
        <w:t xml:space="preserve"> concerned that</w:t>
      </w:r>
      <w:r w:rsidR="00CC771D">
        <w:t xml:space="preserve"> current</w:t>
      </w:r>
      <w:r>
        <w:t xml:space="preserve"> </w:t>
      </w:r>
      <w:r w:rsidR="00CC771D">
        <w:t xml:space="preserve">legislation provides insufficient clarity to ensure safe staffing and skills mix. We refer to the </w:t>
      </w:r>
      <w:r w:rsidR="00BD19D7">
        <w:t>recent</w:t>
      </w:r>
      <w:r w:rsidR="00CC771D">
        <w:t xml:space="preserve"> </w:t>
      </w:r>
      <w:r w:rsidR="00CC771D" w:rsidRPr="00BD19D7">
        <w:rPr>
          <w:i/>
        </w:rPr>
        <w:t>National Aged Care Staffing and Skills Mix Project</w:t>
      </w:r>
      <w:r w:rsidR="00CC771D">
        <w:rPr>
          <w:rStyle w:val="FootnoteReference"/>
        </w:rPr>
        <w:footnoteReference w:id="11"/>
      </w:r>
      <w:r w:rsidR="00BD19D7" w:rsidRPr="00BD19D7">
        <w:t xml:space="preserve"> </w:t>
      </w:r>
      <w:r w:rsidR="00BD19D7">
        <w:t>for guidance in relation to safe minimum staffing projections.</w:t>
      </w:r>
    </w:p>
    <w:p w:rsidR="00185A92" w:rsidRDefault="00185A92" w:rsidP="00CC771D">
      <w:pPr>
        <w:spacing w:line="360" w:lineRule="auto"/>
      </w:pPr>
    </w:p>
    <w:p w:rsidR="00185A92" w:rsidRDefault="00185A92" w:rsidP="00185A92">
      <w:pPr>
        <w:autoSpaceDE w:val="0"/>
        <w:autoSpaceDN w:val="0"/>
        <w:adjustRightInd w:val="0"/>
        <w:spacing w:line="360" w:lineRule="auto"/>
        <w:rPr>
          <w:rFonts w:cs="Arial"/>
          <w:szCs w:val="24"/>
        </w:rPr>
      </w:pPr>
      <w:r w:rsidRPr="00986865">
        <w:t xml:space="preserve">Legislation is required to </w:t>
      </w:r>
      <w:r w:rsidRPr="00986865">
        <w:rPr>
          <w:rFonts w:cs="Arial"/>
          <w:szCs w:val="24"/>
        </w:rPr>
        <w:t>secure: minimum safe staffing levels and skills mix; minimum standards of conduct for all aged care workers; minimum training expectations in elder abuse and employment security should workers raise issues of concern.</w:t>
      </w:r>
    </w:p>
    <w:p w:rsidR="004C5036" w:rsidRDefault="004C5036" w:rsidP="00CC771D">
      <w:pPr>
        <w:spacing w:line="360" w:lineRule="auto"/>
      </w:pPr>
    </w:p>
    <w:p w:rsidR="007956B8" w:rsidRDefault="004C5036" w:rsidP="00CC771D">
      <w:pPr>
        <w:spacing w:line="360" w:lineRule="auto"/>
      </w:pPr>
      <w:r>
        <w:t>With regard to the proposal (c), it is submitted that there are a number of issues with the implementation of such a requirement.    The phrase “</w:t>
      </w:r>
      <w:r w:rsidRPr="004C5036">
        <w:rPr>
          <w:i/>
        </w:rPr>
        <w:t>senior clinician</w:t>
      </w:r>
      <w:r>
        <w:t xml:space="preserve">” lacks clarity.   </w:t>
      </w:r>
      <w:r w:rsidR="00986865">
        <w:t>It is unclear as to whether</w:t>
      </w:r>
      <w:r>
        <w:t xml:space="preserve"> the intent</w:t>
      </w:r>
      <w:r w:rsidR="00986865">
        <w:t xml:space="preserve"> is f</w:t>
      </w:r>
      <w:r>
        <w:t xml:space="preserve">or </w:t>
      </w:r>
      <w:r w:rsidR="00986865">
        <w:t>this to be a</w:t>
      </w:r>
      <w:r>
        <w:t xml:space="preserve"> medical practitioner, registered nurse or other</w:t>
      </w:r>
      <w:r w:rsidR="00986865">
        <w:t xml:space="preserve"> expert. </w:t>
      </w:r>
      <w:r>
        <w:t xml:space="preserve">  </w:t>
      </w:r>
    </w:p>
    <w:p w:rsidR="007956B8" w:rsidRDefault="007956B8" w:rsidP="00CC771D">
      <w:pPr>
        <w:spacing w:line="360" w:lineRule="auto"/>
      </w:pPr>
    </w:p>
    <w:p w:rsidR="004C5036" w:rsidRDefault="007956B8" w:rsidP="00CC771D">
      <w:pPr>
        <w:spacing w:line="360" w:lineRule="auto"/>
      </w:pPr>
      <w:r>
        <w:lastRenderedPageBreak/>
        <w:t>I</w:t>
      </w:r>
      <w:r w:rsidR="004C5036">
        <w:t xml:space="preserve">t is not feasible for such a </w:t>
      </w:r>
      <w:r>
        <w:t xml:space="preserve">senior </w:t>
      </w:r>
      <w:r w:rsidR="004C5036">
        <w:t xml:space="preserve">clinician to be independent.  The term independent implies that the clinician who approves the restraint is not a clinician that provides care to the person.   </w:t>
      </w:r>
    </w:p>
    <w:p w:rsidR="004C5036" w:rsidRDefault="004C5036" w:rsidP="00CC771D">
      <w:pPr>
        <w:spacing w:line="360" w:lineRule="auto"/>
      </w:pPr>
    </w:p>
    <w:p w:rsidR="004C5036" w:rsidRDefault="004C5036" w:rsidP="00CC771D">
      <w:pPr>
        <w:spacing w:line="360" w:lineRule="auto"/>
      </w:pPr>
      <w:r>
        <w:t>In most circums</w:t>
      </w:r>
      <w:r w:rsidR="007956B8">
        <w:t>tances where a person needs to be subject to restraint</w:t>
      </w:r>
      <w:r w:rsidR="00224B58">
        <w:t xml:space="preserve"> or a restrictive practice</w:t>
      </w:r>
      <w:r w:rsidR="007956B8">
        <w:t xml:space="preserve">, </w:t>
      </w:r>
      <w:r>
        <w:t xml:space="preserve">that restraint is required in a timely manner in order to protect the safety of other residents or staff.  Access to senior clinicians in </w:t>
      </w:r>
      <w:r w:rsidR="007956B8">
        <w:t xml:space="preserve">aged care is often very limited and the requirement that an approval occur prior to a restraint being implemented has the potential to place other residents and staff at risk of </w:t>
      </w:r>
      <w:r w:rsidR="00224B58">
        <w:t xml:space="preserve">immediate </w:t>
      </w:r>
      <w:r w:rsidR="007956B8">
        <w:t xml:space="preserve">harm.   </w:t>
      </w:r>
    </w:p>
    <w:p w:rsidR="00224B58" w:rsidRDefault="00224B58" w:rsidP="00CC771D">
      <w:pPr>
        <w:spacing w:line="360" w:lineRule="auto"/>
      </w:pPr>
    </w:p>
    <w:sectPr w:rsidR="00224B58" w:rsidSect="00EF327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paperSrc w:first="260" w:other="26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36" w:rsidRDefault="004C5036" w:rsidP="007D1842">
      <w:r>
        <w:separator/>
      </w:r>
    </w:p>
  </w:endnote>
  <w:endnote w:type="continuationSeparator" w:id="0">
    <w:p w:rsidR="004C5036" w:rsidRDefault="004C5036" w:rsidP="007D1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Book">
    <w:altName w:val="Foundry Form Sans Book"/>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tserra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2D" w:rsidRDefault="005C4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5"/>
    </w:tblGrid>
    <w:tr w:rsidR="004C5036">
      <w:tc>
        <w:tcPr>
          <w:tcW w:w="918" w:type="dxa"/>
        </w:tcPr>
        <w:p w:rsidR="004C5036" w:rsidRDefault="0073005A">
          <w:pPr>
            <w:pStyle w:val="Footer"/>
            <w:jc w:val="right"/>
            <w:rPr>
              <w:b/>
              <w:color w:val="4F81BD" w:themeColor="accent1"/>
              <w:sz w:val="32"/>
              <w:szCs w:val="32"/>
            </w:rPr>
          </w:pPr>
          <w:r w:rsidRPr="0073005A">
            <w:fldChar w:fldCharType="begin"/>
          </w:r>
          <w:r w:rsidR="004C5036">
            <w:instrText xml:space="preserve"> PAGE   \* MERGEFORMAT </w:instrText>
          </w:r>
          <w:r w:rsidRPr="0073005A">
            <w:fldChar w:fldCharType="separate"/>
          </w:r>
          <w:r w:rsidR="00130D23" w:rsidRPr="00130D23">
            <w:rPr>
              <w:b/>
              <w:noProof/>
              <w:color w:val="4F81BD" w:themeColor="accent1"/>
              <w:sz w:val="32"/>
              <w:szCs w:val="32"/>
            </w:rPr>
            <w:t>16</w:t>
          </w:r>
          <w:r>
            <w:rPr>
              <w:b/>
              <w:noProof/>
              <w:color w:val="4F81BD" w:themeColor="accent1"/>
              <w:sz w:val="32"/>
              <w:szCs w:val="32"/>
            </w:rPr>
            <w:fldChar w:fldCharType="end"/>
          </w:r>
        </w:p>
      </w:tc>
      <w:tc>
        <w:tcPr>
          <w:tcW w:w="7938" w:type="dxa"/>
        </w:tcPr>
        <w:p w:rsidR="004C5036" w:rsidRDefault="004C5036" w:rsidP="007D1842">
          <w:pPr>
            <w:pStyle w:val="Footer"/>
            <w:jc w:val="center"/>
            <w:rPr>
              <w:sz w:val="20"/>
              <w:szCs w:val="20"/>
            </w:rPr>
          </w:pPr>
          <w:r w:rsidRPr="007D1842">
            <w:rPr>
              <w:sz w:val="20"/>
              <w:szCs w:val="20"/>
            </w:rPr>
            <w:t>NSW Nurses and Midwives’ Association</w:t>
          </w:r>
          <w:r>
            <w:rPr>
              <w:sz w:val="20"/>
              <w:szCs w:val="20"/>
            </w:rPr>
            <w:t>.</w:t>
          </w:r>
        </w:p>
        <w:p w:rsidR="004C5036" w:rsidRPr="007D1842" w:rsidRDefault="004C5036" w:rsidP="00F73422">
          <w:pPr>
            <w:pStyle w:val="Footer"/>
            <w:jc w:val="center"/>
            <w:rPr>
              <w:sz w:val="20"/>
              <w:szCs w:val="20"/>
            </w:rPr>
          </w:pPr>
          <w:r>
            <w:rPr>
              <w:sz w:val="20"/>
              <w:szCs w:val="20"/>
            </w:rPr>
            <w:t xml:space="preserve">ALRC </w:t>
          </w:r>
          <w:r w:rsidRPr="007D1842">
            <w:rPr>
              <w:sz w:val="20"/>
              <w:szCs w:val="20"/>
            </w:rPr>
            <w:t xml:space="preserve">Inquiry into </w:t>
          </w:r>
          <w:r>
            <w:rPr>
              <w:sz w:val="20"/>
              <w:szCs w:val="20"/>
            </w:rPr>
            <w:t>Elder Abuse.</w:t>
          </w:r>
          <w:r w:rsidRPr="007D1842">
            <w:rPr>
              <w:sz w:val="20"/>
              <w:szCs w:val="20"/>
            </w:rPr>
            <w:t xml:space="preserve"> </w:t>
          </w:r>
          <w:r>
            <w:rPr>
              <w:sz w:val="20"/>
              <w:szCs w:val="20"/>
            </w:rPr>
            <w:t xml:space="preserve">      </w:t>
          </w:r>
        </w:p>
      </w:tc>
    </w:tr>
  </w:tbl>
  <w:p w:rsidR="004C5036" w:rsidRDefault="004C50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2D" w:rsidRDefault="005C4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36" w:rsidRDefault="004C5036" w:rsidP="007D1842">
      <w:r>
        <w:separator/>
      </w:r>
    </w:p>
  </w:footnote>
  <w:footnote w:type="continuationSeparator" w:id="0">
    <w:p w:rsidR="004C5036" w:rsidRDefault="004C5036" w:rsidP="007D1842">
      <w:r>
        <w:continuationSeparator/>
      </w:r>
    </w:p>
  </w:footnote>
  <w:footnote w:id="1">
    <w:p w:rsidR="004C5036" w:rsidRPr="008E3A1F" w:rsidRDefault="004C5036" w:rsidP="008E3A1F">
      <w:pPr>
        <w:spacing w:line="360" w:lineRule="auto"/>
        <w:rPr>
          <w:rFonts w:asciiTheme="minorHAnsi" w:hAnsiTheme="minorHAnsi"/>
          <w:sz w:val="16"/>
          <w:szCs w:val="16"/>
        </w:rPr>
      </w:pPr>
      <w:r>
        <w:rPr>
          <w:rStyle w:val="FootnoteReference"/>
        </w:rPr>
        <w:footnoteRef/>
      </w:r>
      <w:r>
        <w:rPr>
          <w:rFonts w:asciiTheme="minorHAnsi" w:hAnsiTheme="minorHAnsi"/>
          <w:sz w:val="16"/>
          <w:szCs w:val="16"/>
          <w:lang w:val="en-AU"/>
        </w:rPr>
        <w:t xml:space="preserve"> </w:t>
      </w:r>
      <w:proofErr w:type="gramStart"/>
      <w:r w:rsidRPr="008E3A1F">
        <w:rPr>
          <w:rFonts w:asciiTheme="minorHAnsi" w:hAnsiTheme="minorHAnsi"/>
          <w:sz w:val="16"/>
          <w:szCs w:val="16"/>
          <w:lang w:val="en-AU"/>
        </w:rPr>
        <w:t xml:space="preserve">NSWNMA (2016) </w:t>
      </w:r>
      <w:r w:rsidRPr="008E3A1F">
        <w:rPr>
          <w:rFonts w:asciiTheme="minorHAnsi" w:hAnsiTheme="minorHAnsi"/>
          <w:i/>
          <w:sz w:val="16"/>
          <w:szCs w:val="16"/>
          <w:lang w:val="en-AU"/>
        </w:rPr>
        <w:t>Submission to the ALRC Elder Abuse Issues Paper.</w:t>
      </w:r>
      <w:proofErr w:type="gramEnd"/>
      <w:r w:rsidRPr="008E3A1F">
        <w:rPr>
          <w:rFonts w:asciiTheme="minorHAnsi" w:hAnsiTheme="minorHAnsi"/>
          <w:sz w:val="16"/>
          <w:szCs w:val="16"/>
        </w:rPr>
        <w:t xml:space="preserve"> Sydney, NSW: NSWNMA </w:t>
      </w:r>
      <w:proofErr w:type="gramStart"/>
      <w:r w:rsidRPr="008E3A1F">
        <w:rPr>
          <w:rFonts w:asciiTheme="minorHAnsi" w:hAnsiTheme="minorHAnsi"/>
          <w:sz w:val="16"/>
          <w:szCs w:val="16"/>
        </w:rPr>
        <w:t>(</w:t>
      </w:r>
      <w:r w:rsidRPr="008E3A1F">
        <w:rPr>
          <w:rFonts w:asciiTheme="minorHAnsi" w:hAnsiTheme="minorHAnsi"/>
          <w:sz w:val="16"/>
          <w:szCs w:val="16"/>
          <w:lang w:val="en-AU"/>
        </w:rPr>
        <w:t xml:space="preserve"> August</w:t>
      </w:r>
      <w:proofErr w:type="gramEnd"/>
      <w:r w:rsidRPr="008E3A1F">
        <w:rPr>
          <w:rFonts w:asciiTheme="minorHAnsi" w:hAnsiTheme="minorHAnsi"/>
          <w:sz w:val="16"/>
          <w:szCs w:val="16"/>
          <w:lang w:val="en-AU"/>
        </w:rPr>
        <w:t xml:space="preserve"> 2016);</w:t>
      </w:r>
      <w:r w:rsidRPr="008E3A1F">
        <w:rPr>
          <w:lang w:val="en-AU"/>
        </w:rPr>
        <w:t xml:space="preserve">  </w:t>
      </w:r>
      <w:r w:rsidRPr="008E3A1F">
        <w:rPr>
          <w:rFonts w:asciiTheme="minorHAnsi" w:hAnsiTheme="minorHAnsi"/>
          <w:sz w:val="16"/>
          <w:szCs w:val="16"/>
        </w:rPr>
        <w:t>NSWNMA (2016</w:t>
      </w:r>
      <w:r w:rsidRPr="008E3A1F">
        <w:rPr>
          <w:rFonts w:asciiTheme="minorHAnsi" w:hAnsiTheme="minorHAnsi"/>
          <w:i/>
          <w:sz w:val="16"/>
          <w:szCs w:val="16"/>
        </w:rPr>
        <w:t xml:space="preserve">) Who will keep me safe? </w:t>
      </w:r>
      <w:proofErr w:type="gramStart"/>
      <w:r w:rsidRPr="008E3A1F">
        <w:rPr>
          <w:rFonts w:asciiTheme="minorHAnsi" w:hAnsiTheme="minorHAnsi"/>
          <w:i/>
          <w:sz w:val="16"/>
          <w:szCs w:val="16"/>
        </w:rPr>
        <w:t>Elder Abuse in Residential Aged Care.</w:t>
      </w:r>
      <w:proofErr w:type="gramEnd"/>
      <w:r w:rsidRPr="008E3A1F">
        <w:rPr>
          <w:rFonts w:asciiTheme="minorHAnsi" w:hAnsiTheme="minorHAnsi"/>
          <w:sz w:val="16"/>
          <w:szCs w:val="16"/>
        </w:rPr>
        <w:t xml:space="preserve"> Sydney, NSW: NSWNMA. </w:t>
      </w:r>
      <w:r w:rsidRPr="008E3A1F">
        <w:rPr>
          <w:rFonts w:asciiTheme="minorHAnsi" w:hAnsiTheme="minorHAnsi" w:cs="Montserrat-Light"/>
          <w:sz w:val="16"/>
          <w:szCs w:val="16"/>
          <w:lang w:val="en-AU"/>
        </w:rPr>
        <w:t>ISBN 978-1-921326-11-0 I Issued February 2016</w:t>
      </w:r>
      <w:r w:rsidRPr="008E3A1F">
        <w:rPr>
          <w:rFonts w:asciiTheme="minorHAnsi" w:hAnsiTheme="minorHAnsi"/>
          <w:sz w:val="16"/>
          <w:szCs w:val="16"/>
        </w:rPr>
        <w:t xml:space="preserve">; NSWNMA (2016) </w:t>
      </w:r>
      <w:r w:rsidRPr="008E3A1F">
        <w:rPr>
          <w:rFonts w:asciiTheme="minorHAnsi" w:hAnsiTheme="minorHAnsi"/>
          <w:i/>
          <w:sz w:val="16"/>
          <w:szCs w:val="16"/>
        </w:rPr>
        <w:t xml:space="preserve">Solutions from the frontline: Practical approaches to reduce the risk of abuse in aged and disability services. </w:t>
      </w:r>
      <w:r w:rsidRPr="008E3A1F">
        <w:rPr>
          <w:rFonts w:asciiTheme="minorHAnsi" w:hAnsiTheme="minorHAnsi"/>
          <w:sz w:val="16"/>
          <w:szCs w:val="16"/>
        </w:rPr>
        <w:t>Sydney, NSW: NSWNMA.</w:t>
      </w:r>
      <w:r w:rsidRPr="008E3A1F">
        <w:rPr>
          <w:rFonts w:asciiTheme="minorHAnsi" w:hAnsiTheme="minorHAnsi" w:cs="Montserrat-Light"/>
          <w:sz w:val="16"/>
          <w:szCs w:val="16"/>
          <w:lang w:val="en-AU"/>
        </w:rPr>
        <w:t xml:space="preserve"> ISBN 978-1-921326-09-7 I Issued September 2016</w:t>
      </w:r>
    </w:p>
    <w:p w:rsidR="004C5036" w:rsidRPr="00AC4105" w:rsidRDefault="004C5036">
      <w:pPr>
        <w:pStyle w:val="FootnoteText"/>
        <w:rPr>
          <w:lang w:val="en-AU"/>
        </w:rPr>
      </w:pPr>
    </w:p>
  </w:footnote>
  <w:footnote w:id="2">
    <w:p w:rsidR="004C5036" w:rsidRPr="006B151C" w:rsidRDefault="004C5036">
      <w:pPr>
        <w:pStyle w:val="FootnoteText"/>
        <w:rPr>
          <w:lang w:val="en-AU"/>
        </w:rPr>
      </w:pPr>
      <w:r w:rsidRPr="006B151C">
        <w:rPr>
          <w:rStyle w:val="FootnoteReference"/>
        </w:rPr>
        <w:footnoteRef/>
      </w:r>
      <w:r w:rsidRPr="006B151C">
        <w:t xml:space="preserve"> </w:t>
      </w:r>
      <w:r w:rsidRPr="006B151C">
        <w:rPr>
          <w:rFonts w:asciiTheme="minorHAnsi" w:hAnsiTheme="minorHAnsi"/>
          <w:sz w:val="16"/>
          <w:szCs w:val="16"/>
        </w:rPr>
        <w:t xml:space="preserve">Commonwealth of Australia (1997) </w:t>
      </w:r>
      <w:proofErr w:type="gramStart"/>
      <w:r w:rsidRPr="006B151C">
        <w:rPr>
          <w:rFonts w:asciiTheme="minorHAnsi" w:hAnsiTheme="minorHAnsi"/>
          <w:i/>
          <w:sz w:val="16"/>
          <w:szCs w:val="16"/>
        </w:rPr>
        <w:t>The</w:t>
      </w:r>
      <w:proofErr w:type="gramEnd"/>
      <w:r w:rsidRPr="006B151C">
        <w:rPr>
          <w:rFonts w:asciiTheme="minorHAnsi" w:hAnsiTheme="minorHAnsi"/>
          <w:i/>
          <w:sz w:val="16"/>
          <w:szCs w:val="16"/>
        </w:rPr>
        <w:t xml:space="preserve"> Aged Care Act</w:t>
      </w:r>
      <w:r w:rsidRPr="006B151C">
        <w:rPr>
          <w:rFonts w:asciiTheme="minorHAnsi" w:hAnsiTheme="minorHAnsi"/>
          <w:sz w:val="16"/>
          <w:szCs w:val="16"/>
        </w:rPr>
        <w:t>, Canberra: Commonwealth of Australia.</w:t>
      </w:r>
    </w:p>
  </w:footnote>
  <w:footnote w:id="3">
    <w:p w:rsidR="004C5036" w:rsidRPr="00ED0408" w:rsidRDefault="004C5036" w:rsidP="002A75CB">
      <w:pPr>
        <w:pStyle w:val="FootnoteText"/>
        <w:rPr>
          <w:sz w:val="16"/>
          <w:szCs w:val="16"/>
          <w:lang w:val="en-AU"/>
        </w:rPr>
      </w:pPr>
      <w:r>
        <w:rPr>
          <w:rStyle w:val="FootnoteReference"/>
        </w:rPr>
        <w:footnoteRef/>
      </w:r>
      <w:r>
        <w:t xml:space="preserve"> </w:t>
      </w:r>
      <w:r w:rsidRPr="006B151C">
        <w:rPr>
          <w:rFonts w:asciiTheme="minorHAnsi" w:hAnsiTheme="minorHAnsi"/>
          <w:sz w:val="16"/>
          <w:szCs w:val="16"/>
        </w:rPr>
        <w:t xml:space="preserve">NSW Government (2017) Government response to the Legislative Council General Purpose Standing Committee No.2: Inquiry into Elder </w:t>
      </w:r>
      <w:r>
        <w:rPr>
          <w:rFonts w:asciiTheme="minorHAnsi" w:hAnsiTheme="minorHAnsi"/>
          <w:sz w:val="16"/>
          <w:szCs w:val="16"/>
        </w:rPr>
        <w:t xml:space="preserve">  </w:t>
      </w:r>
      <w:r w:rsidRPr="006B151C">
        <w:rPr>
          <w:rFonts w:asciiTheme="minorHAnsi" w:hAnsiTheme="minorHAnsi"/>
          <w:sz w:val="16"/>
          <w:szCs w:val="16"/>
        </w:rPr>
        <w:t>Abuse in New South Wales</w:t>
      </w:r>
    </w:p>
  </w:footnote>
  <w:footnote w:id="4">
    <w:p w:rsidR="004C5036" w:rsidRPr="006B151C" w:rsidRDefault="004C5036" w:rsidP="00BB2460">
      <w:pPr>
        <w:spacing w:line="360" w:lineRule="auto"/>
        <w:rPr>
          <w:rFonts w:asciiTheme="minorHAnsi" w:hAnsiTheme="minorHAnsi"/>
          <w:sz w:val="16"/>
          <w:szCs w:val="16"/>
          <w:lang w:val="en-AU"/>
        </w:rPr>
      </w:pPr>
      <w:r w:rsidRPr="006B151C">
        <w:rPr>
          <w:rStyle w:val="FootnoteReference"/>
          <w:rFonts w:asciiTheme="minorHAnsi" w:hAnsiTheme="minorHAnsi"/>
          <w:sz w:val="16"/>
          <w:szCs w:val="16"/>
        </w:rPr>
        <w:footnoteRef/>
      </w:r>
      <w:r w:rsidRPr="006B151C">
        <w:rPr>
          <w:rFonts w:asciiTheme="minorHAnsi" w:hAnsiTheme="minorHAnsi"/>
          <w:sz w:val="16"/>
          <w:szCs w:val="16"/>
        </w:rPr>
        <w:t xml:space="preserve"> </w:t>
      </w:r>
      <w:proofErr w:type="gramStart"/>
      <w:r w:rsidRPr="006B151C">
        <w:rPr>
          <w:rFonts w:asciiTheme="minorHAnsi" w:hAnsiTheme="minorHAnsi"/>
          <w:sz w:val="16"/>
          <w:szCs w:val="16"/>
        </w:rPr>
        <w:t xml:space="preserve">Commonwealth of Australia (1997) </w:t>
      </w:r>
      <w:proofErr w:type="spellStart"/>
      <w:r w:rsidRPr="006B151C">
        <w:rPr>
          <w:rFonts w:asciiTheme="minorHAnsi" w:hAnsiTheme="minorHAnsi"/>
          <w:i/>
          <w:sz w:val="16"/>
          <w:szCs w:val="16"/>
        </w:rPr>
        <w:t>Op.Cit</w:t>
      </w:r>
      <w:proofErr w:type="spellEnd"/>
      <w:r w:rsidRPr="006B151C">
        <w:rPr>
          <w:rFonts w:asciiTheme="minorHAnsi" w:hAnsiTheme="minorHAnsi"/>
          <w:i/>
          <w:sz w:val="16"/>
          <w:szCs w:val="16"/>
        </w:rPr>
        <w:t>.</w:t>
      </w:r>
      <w:proofErr w:type="gramEnd"/>
    </w:p>
  </w:footnote>
  <w:footnote w:id="5">
    <w:p w:rsidR="004C5036" w:rsidRPr="00BB2460" w:rsidRDefault="004C5036">
      <w:pPr>
        <w:pStyle w:val="FootnoteText"/>
        <w:rPr>
          <w:sz w:val="16"/>
          <w:szCs w:val="16"/>
          <w:lang w:val="en-AU"/>
        </w:rPr>
      </w:pPr>
      <w:r w:rsidRPr="006B151C">
        <w:rPr>
          <w:rStyle w:val="FootnoteReference"/>
          <w:rFonts w:asciiTheme="minorHAnsi" w:hAnsiTheme="minorHAnsi"/>
          <w:sz w:val="16"/>
          <w:szCs w:val="16"/>
        </w:rPr>
        <w:footnoteRef/>
      </w:r>
      <w:r w:rsidRPr="006B151C">
        <w:rPr>
          <w:rFonts w:asciiTheme="minorHAnsi" w:hAnsiTheme="minorHAnsi"/>
          <w:sz w:val="16"/>
          <w:szCs w:val="16"/>
        </w:rPr>
        <w:t xml:space="preserve"> </w:t>
      </w:r>
      <w:proofErr w:type="gramStart"/>
      <w:r w:rsidRPr="006B151C">
        <w:rPr>
          <w:rFonts w:asciiTheme="minorHAnsi" w:hAnsiTheme="minorHAnsi"/>
          <w:sz w:val="16"/>
          <w:szCs w:val="16"/>
        </w:rPr>
        <w:t xml:space="preserve">Australian Government Department of Social Services (2007) </w:t>
      </w:r>
      <w:r w:rsidRPr="006B151C">
        <w:rPr>
          <w:rFonts w:asciiTheme="minorHAnsi" w:hAnsiTheme="minorHAnsi"/>
          <w:i/>
          <w:sz w:val="16"/>
          <w:szCs w:val="16"/>
        </w:rPr>
        <w:t>Compulsory Reporting Guidelines for Approved Providers of Residential Aged Care</w:t>
      </w:r>
      <w:r w:rsidRPr="006B151C">
        <w:rPr>
          <w:rFonts w:asciiTheme="minorHAnsi" w:hAnsiTheme="minorHAnsi"/>
          <w:sz w:val="16"/>
          <w:szCs w:val="16"/>
        </w:rPr>
        <w:t>.</w:t>
      </w:r>
      <w:proofErr w:type="gramEnd"/>
      <w:r w:rsidRPr="006B151C">
        <w:rPr>
          <w:rFonts w:asciiTheme="minorHAnsi" w:hAnsiTheme="minorHAnsi"/>
          <w:sz w:val="16"/>
          <w:szCs w:val="16"/>
        </w:rPr>
        <w:t xml:space="preserve"> Canberra, ACT: Australian Government.</w:t>
      </w:r>
      <w:r w:rsidRPr="00BB2460">
        <w:rPr>
          <w:sz w:val="16"/>
          <w:szCs w:val="16"/>
        </w:rPr>
        <w:t xml:space="preserve">  </w:t>
      </w:r>
    </w:p>
  </w:footnote>
  <w:footnote w:id="6">
    <w:p w:rsidR="004C5036" w:rsidRPr="00DB09CB" w:rsidRDefault="004C5036" w:rsidP="00C53EFD">
      <w:pPr>
        <w:pStyle w:val="FootnoteText"/>
        <w:rPr>
          <w:lang w:val="en-AU"/>
        </w:rPr>
      </w:pPr>
      <w:r>
        <w:rPr>
          <w:rStyle w:val="FootnoteReference"/>
        </w:rPr>
        <w:footnoteRef/>
      </w:r>
      <w:r>
        <w:t xml:space="preserve"> </w:t>
      </w:r>
      <w:r w:rsidRPr="00DB09CB">
        <w:rPr>
          <w:sz w:val="16"/>
          <w:szCs w:val="16"/>
        </w:rPr>
        <w:t>http://www.scie.org.uk/adults/safeguarding/policies/index.asp</w:t>
      </w:r>
    </w:p>
  </w:footnote>
  <w:footnote w:id="7">
    <w:p w:rsidR="004C5036" w:rsidRPr="00385079" w:rsidRDefault="004C5036">
      <w:pPr>
        <w:pStyle w:val="FootnoteText"/>
        <w:rPr>
          <w:rFonts w:asciiTheme="minorHAnsi" w:hAnsiTheme="minorHAnsi"/>
          <w:sz w:val="16"/>
          <w:szCs w:val="16"/>
          <w:lang w:val="en-AU"/>
        </w:rPr>
      </w:pPr>
      <w:r>
        <w:rPr>
          <w:rStyle w:val="FootnoteReference"/>
        </w:rPr>
        <w:footnoteRef/>
      </w:r>
      <w:r>
        <w:t xml:space="preserve"> </w:t>
      </w:r>
      <w:r w:rsidRPr="00385079">
        <w:rPr>
          <w:rFonts w:asciiTheme="minorHAnsi" w:hAnsiTheme="minorHAnsi"/>
          <w:sz w:val="16"/>
          <w:szCs w:val="16"/>
          <w:lang w:val="en-AU"/>
        </w:rPr>
        <w:t xml:space="preserve">AACQA (2014) </w:t>
      </w:r>
      <w:r w:rsidRPr="00385079">
        <w:rPr>
          <w:rFonts w:asciiTheme="minorHAnsi" w:hAnsiTheme="minorHAnsi"/>
          <w:i/>
          <w:sz w:val="16"/>
          <w:szCs w:val="16"/>
          <w:lang w:val="en-AU"/>
        </w:rPr>
        <w:t>Results and Processes Guide</w:t>
      </w:r>
      <w:r w:rsidRPr="00385079">
        <w:rPr>
          <w:rFonts w:asciiTheme="minorHAnsi" w:hAnsiTheme="minorHAnsi"/>
          <w:sz w:val="16"/>
          <w:szCs w:val="16"/>
          <w:lang w:val="en-AU"/>
        </w:rPr>
        <w:t xml:space="preserve"> (p17) available at: http://www.aacqa.gov.au/assessors/copy_of_RPguideJan2015.pdf</w:t>
      </w:r>
    </w:p>
  </w:footnote>
  <w:footnote w:id="8">
    <w:p w:rsidR="004C5036" w:rsidRPr="00385079" w:rsidRDefault="004C5036">
      <w:pPr>
        <w:pStyle w:val="FootnoteText"/>
        <w:rPr>
          <w:rFonts w:asciiTheme="minorHAnsi" w:hAnsiTheme="minorHAnsi"/>
          <w:sz w:val="16"/>
          <w:szCs w:val="16"/>
          <w:lang w:val="en-AU"/>
        </w:rPr>
      </w:pPr>
      <w:r w:rsidRPr="00385079">
        <w:rPr>
          <w:rStyle w:val="FootnoteReference"/>
          <w:rFonts w:asciiTheme="minorHAnsi" w:hAnsiTheme="minorHAnsi"/>
          <w:sz w:val="16"/>
          <w:szCs w:val="16"/>
        </w:rPr>
        <w:footnoteRef/>
      </w:r>
      <w:r w:rsidRPr="00385079">
        <w:rPr>
          <w:rFonts w:asciiTheme="minorHAnsi" w:hAnsiTheme="minorHAnsi"/>
          <w:sz w:val="16"/>
          <w:szCs w:val="16"/>
        </w:rPr>
        <w:t xml:space="preserve"> </w:t>
      </w:r>
      <w:proofErr w:type="gramStart"/>
      <w:r w:rsidRPr="00385079">
        <w:rPr>
          <w:rFonts w:asciiTheme="minorHAnsi" w:hAnsiTheme="minorHAnsi"/>
          <w:sz w:val="16"/>
          <w:szCs w:val="16"/>
          <w:lang w:val="en-AU"/>
        </w:rPr>
        <w:t xml:space="preserve">ANMF (2016) </w:t>
      </w:r>
      <w:r w:rsidRPr="00385079">
        <w:rPr>
          <w:rFonts w:asciiTheme="minorHAnsi" w:hAnsiTheme="minorHAnsi"/>
          <w:i/>
          <w:sz w:val="16"/>
          <w:szCs w:val="16"/>
          <w:lang w:val="en-AU"/>
        </w:rPr>
        <w:t>ANMF National Aged Care Survey: Final Report</w:t>
      </w:r>
      <w:r w:rsidRPr="00385079">
        <w:rPr>
          <w:rFonts w:asciiTheme="minorHAnsi" w:hAnsiTheme="minorHAnsi"/>
          <w:sz w:val="16"/>
          <w:szCs w:val="16"/>
          <w:lang w:val="en-AU"/>
        </w:rPr>
        <w:t>.</w:t>
      </w:r>
      <w:proofErr w:type="gramEnd"/>
      <w:r w:rsidRPr="00385079">
        <w:rPr>
          <w:rFonts w:asciiTheme="minorHAnsi" w:hAnsiTheme="minorHAnsi"/>
          <w:sz w:val="16"/>
          <w:szCs w:val="16"/>
          <w:lang w:val="en-AU"/>
        </w:rPr>
        <w:t xml:space="preserve"> July 2016</w:t>
      </w:r>
      <w:r>
        <w:rPr>
          <w:rFonts w:asciiTheme="minorHAnsi" w:hAnsiTheme="minorHAnsi"/>
          <w:sz w:val="16"/>
          <w:szCs w:val="16"/>
          <w:lang w:val="en-AU"/>
        </w:rPr>
        <w:t>.</w:t>
      </w:r>
    </w:p>
  </w:footnote>
  <w:footnote w:id="9">
    <w:p w:rsidR="004C5036" w:rsidRPr="000A596F" w:rsidRDefault="004C5036">
      <w:pPr>
        <w:pStyle w:val="FootnoteText"/>
        <w:rPr>
          <w:lang w:val="en-AU"/>
        </w:rPr>
      </w:pPr>
      <w:r w:rsidRPr="00385079">
        <w:rPr>
          <w:rStyle w:val="FootnoteReference"/>
          <w:rFonts w:asciiTheme="minorHAnsi" w:hAnsiTheme="minorHAnsi"/>
          <w:sz w:val="16"/>
          <w:szCs w:val="16"/>
        </w:rPr>
        <w:footnoteRef/>
      </w:r>
      <w:r w:rsidRPr="00385079">
        <w:rPr>
          <w:rFonts w:asciiTheme="minorHAnsi" w:hAnsiTheme="minorHAnsi"/>
          <w:sz w:val="16"/>
          <w:szCs w:val="16"/>
        </w:rPr>
        <w:t xml:space="preserve"> </w:t>
      </w:r>
      <w:r w:rsidRPr="00385079">
        <w:rPr>
          <w:rFonts w:asciiTheme="minorHAnsi" w:hAnsiTheme="minorHAnsi" w:cs="Arial"/>
          <w:sz w:val="16"/>
          <w:szCs w:val="16"/>
        </w:rPr>
        <w:t xml:space="preserve">Care Quality Commission (2015) </w:t>
      </w:r>
      <w:proofErr w:type="gramStart"/>
      <w:r w:rsidRPr="00385079">
        <w:rPr>
          <w:rFonts w:asciiTheme="minorHAnsi" w:hAnsiTheme="minorHAnsi" w:cs="Arial"/>
          <w:i/>
          <w:sz w:val="16"/>
          <w:szCs w:val="16"/>
        </w:rPr>
        <w:t>The</w:t>
      </w:r>
      <w:proofErr w:type="gramEnd"/>
      <w:r w:rsidRPr="00385079">
        <w:rPr>
          <w:rFonts w:asciiTheme="minorHAnsi" w:hAnsiTheme="minorHAnsi" w:cs="Arial"/>
          <w:i/>
          <w:sz w:val="16"/>
          <w:szCs w:val="16"/>
        </w:rPr>
        <w:t xml:space="preserve"> scope of registration: Registration under the Health and Social Care Act 2008</w:t>
      </w:r>
      <w:r w:rsidRPr="00385079">
        <w:rPr>
          <w:rFonts w:asciiTheme="minorHAnsi" w:hAnsiTheme="minorHAnsi" w:cs="Arial"/>
          <w:sz w:val="16"/>
          <w:szCs w:val="16"/>
        </w:rPr>
        <w:t xml:space="preserve">. </w:t>
      </w:r>
      <w:r>
        <w:rPr>
          <w:rFonts w:asciiTheme="minorHAnsi" w:hAnsiTheme="minorHAnsi" w:cs="Arial"/>
          <w:sz w:val="16"/>
          <w:szCs w:val="16"/>
        </w:rPr>
        <w:t>London: CQC.</w:t>
      </w:r>
    </w:p>
  </w:footnote>
  <w:footnote w:id="10">
    <w:p w:rsidR="004C5036" w:rsidRPr="006B151C" w:rsidRDefault="004C5036">
      <w:pPr>
        <w:pStyle w:val="FootnoteText"/>
        <w:rPr>
          <w:lang w:val="en-AU"/>
        </w:rPr>
      </w:pPr>
      <w:r>
        <w:rPr>
          <w:rStyle w:val="FootnoteReference"/>
        </w:rPr>
        <w:footnoteRef/>
      </w:r>
      <w:r>
        <w:t xml:space="preserve"> </w:t>
      </w:r>
      <w:r w:rsidRPr="006B151C">
        <w:rPr>
          <w:rFonts w:asciiTheme="minorHAnsi" w:hAnsiTheme="minorHAnsi"/>
          <w:i/>
          <w:sz w:val="16"/>
          <w:szCs w:val="16"/>
          <w:lang w:val="en-AU"/>
        </w:rPr>
        <w:t>NSWNMA (2016</w:t>
      </w:r>
      <w:proofErr w:type="gramStart"/>
      <w:r w:rsidRPr="006B151C">
        <w:rPr>
          <w:rFonts w:asciiTheme="minorHAnsi" w:hAnsiTheme="minorHAnsi"/>
          <w:i/>
          <w:sz w:val="16"/>
          <w:szCs w:val="16"/>
          <w:lang w:val="en-AU"/>
        </w:rPr>
        <w:t xml:space="preserve">)  </w:t>
      </w:r>
      <w:proofErr w:type="spellStart"/>
      <w:r w:rsidRPr="006B151C">
        <w:rPr>
          <w:rFonts w:asciiTheme="minorHAnsi" w:hAnsiTheme="minorHAnsi"/>
          <w:i/>
          <w:sz w:val="16"/>
          <w:szCs w:val="16"/>
          <w:lang w:val="en-AU"/>
        </w:rPr>
        <w:t>Op.Cit</w:t>
      </w:r>
      <w:proofErr w:type="spellEnd"/>
      <w:proofErr w:type="gramEnd"/>
      <w:r w:rsidRPr="006B151C">
        <w:rPr>
          <w:rFonts w:asciiTheme="minorHAnsi" w:hAnsiTheme="minorHAnsi"/>
          <w:i/>
          <w:sz w:val="16"/>
          <w:szCs w:val="16"/>
          <w:lang w:val="en-AU"/>
        </w:rPr>
        <w:t>.</w:t>
      </w:r>
    </w:p>
  </w:footnote>
  <w:footnote w:id="11">
    <w:p w:rsidR="004C5036" w:rsidRPr="00CC771D" w:rsidRDefault="004C5036">
      <w:pPr>
        <w:pStyle w:val="FootnoteText"/>
        <w:rPr>
          <w:lang w:val="en-AU"/>
        </w:rPr>
      </w:pPr>
      <w:r>
        <w:rPr>
          <w:rStyle w:val="FootnoteReference"/>
        </w:rPr>
        <w:footnoteRef/>
      </w:r>
      <w:r>
        <w:t xml:space="preserve"> </w:t>
      </w:r>
      <w:r w:rsidRPr="00BD19D7">
        <w:rPr>
          <w:sz w:val="16"/>
          <w:szCs w:val="16"/>
          <w:lang w:val="en-AU"/>
        </w:rPr>
        <w:t xml:space="preserve">ANMF (2016) </w:t>
      </w:r>
      <w:r w:rsidRPr="00BD19D7">
        <w:rPr>
          <w:i/>
          <w:sz w:val="16"/>
          <w:szCs w:val="16"/>
        </w:rPr>
        <w:t>National Aged Care Staffing and Skills Mix Project Report 2016: Meeting residents’ care needs: A study of the requirement for nursing and personal care staff</w:t>
      </w:r>
      <w:r w:rsidRPr="00BD19D7">
        <w:rPr>
          <w:sz w:val="16"/>
          <w:szCs w:val="16"/>
        </w:rPr>
        <w:t>.</w:t>
      </w:r>
      <w:r>
        <w:rPr>
          <w:sz w:val="16"/>
          <w:szCs w:val="16"/>
        </w:rPr>
        <w:t xml:space="preserve"> </w:t>
      </w:r>
      <w:proofErr w:type="gramStart"/>
      <w:r>
        <w:rPr>
          <w:sz w:val="16"/>
          <w:szCs w:val="16"/>
        </w:rPr>
        <w:t>ANMF SA, Flinders University, University of South Australia.</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2D" w:rsidRDefault="005C4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2D" w:rsidRDefault="005C4B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2D" w:rsidRPr="005C4B2D" w:rsidRDefault="005C4B2D">
    <w:pPr>
      <w:pStyle w:val="Header"/>
      <w:rPr>
        <w:lang w:val="en-AU"/>
      </w:rPr>
    </w:pPr>
    <w:r>
      <w:rPr>
        <w:lang w:val="en-AU"/>
      </w:rPr>
      <w:t xml:space="preserve">248. </w:t>
    </w:r>
    <w:r w:rsidRPr="005C4B2D">
      <w:rPr>
        <w:rFonts w:cs="Arial"/>
        <w:sz w:val="22"/>
      </w:rPr>
      <w:t>New South Wales Nurses and Midwives’ 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A36"/>
    <w:multiLevelType w:val="hybridMultilevel"/>
    <w:tmpl w:val="95EC2D4C"/>
    <w:lvl w:ilvl="0" w:tplc="D2CC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67236B"/>
    <w:multiLevelType w:val="hybridMultilevel"/>
    <w:tmpl w:val="7202218A"/>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7F67B1"/>
    <w:multiLevelType w:val="hybridMultilevel"/>
    <w:tmpl w:val="E940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C73D6"/>
    <w:multiLevelType w:val="hybridMultilevel"/>
    <w:tmpl w:val="7202218A"/>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BC5C1A"/>
    <w:multiLevelType w:val="hybridMultilevel"/>
    <w:tmpl w:val="35E03BC6"/>
    <w:lvl w:ilvl="0" w:tplc="6EB697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F6224E"/>
    <w:multiLevelType w:val="hybridMultilevel"/>
    <w:tmpl w:val="A8A2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31DFF"/>
    <w:multiLevelType w:val="hybridMultilevel"/>
    <w:tmpl w:val="7202218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085494"/>
    <w:multiLevelType w:val="hybridMultilevel"/>
    <w:tmpl w:val="91607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A736EC"/>
    <w:multiLevelType w:val="hybridMultilevel"/>
    <w:tmpl w:val="FFC0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1EA2"/>
    <w:multiLevelType w:val="hybridMultilevel"/>
    <w:tmpl w:val="7BA6F9A6"/>
    <w:lvl w:ilvl="0" w:tplc="273A2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B03A4"/>
    <w:multiLevelType w:val="multilevel"/>
    <w:tmpl w:val="719A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50959"/>
    <w:multiLevelType w:val="hybridMultilevel"/>
    <w:tmpl w:val="07DE30D6"/>
    <w:lvl w:ilvl="0" w:tplc="D2CC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0D334D"/>
    <w:multiLevelType w:val="hybridMultilevel"/>
    <w:tmpl w:val="ACDA98B8"/>
    <w:lvl w:ilvl="0" w:tplc="75688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E3B29"/>
    <w:multiLevelType w:val="hybridMultilevel"/>
    <w:tmpl w:val="1A1AC80E"/>
    <w:lvl w:ilvl="0" w:tplc="44922BFE">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B6968B8"/>
    <w:multiLevelType w:val="hybridMultilevel"/>
    <w:tmpl w:val="14D0AD70"/>
    <w:lvl w:ilvl="0" w:tplc="E160A31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946996"/>
    <w:multiLevelType w:val="hybridMultilevel"/>
    <w:tmpl w:val="07DE30D6"/>
    <w:lvl w:ilvl="0" w:tplc="D2CC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D37DD5"/>
    <w:multiLevelType w:val="multilevel"/>
    <w:tmpl w:val="56B0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65C3E"/>
    <w:multiLevelType w:val="hybridMultilevel"/>
    <w:tmpl w:val="07DE30D6"/>
    <w:lvl w:ilvl="0" w:tplc="D2CC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471D32"/>
    <w:multiLevelType w:val="hybridMultilevel"/>
    <w:tmpl w:val="EE700668"/>
    <w:lvl w:ilvl="0" w:tplc="A5A2CA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4390B85"/>
    <w:multiLevelType w:val="hybridMultilevel"/>
    <w:tmpl w:val="F77CE676"/>
    <w:lvl w:ilvl="0" w:tplc="1D10778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596A4C"/>
    <w:multiLevelType w:val="hybridMultilevel"/>
    <w:tmpl w:val="6DC8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2"/>
  </w:num>
  <w:num w:numId="5">
    <w:abstractNumId w:val="20"/>
  </w:num>
  <w:num w:numId="6">
    <w:abstractNumId w:val="1"/>
  </w:num>
  <w:num w:numId="7">
    <w:abstractNumId w:val="7"/>
  </w:num>
  <w:num w:numId="8">
    <w:abstractNumId w:val="10"/>
  </w:num>
  <w:num w:numId="9">
    <w:abstractNumId w:val="16"/>
  </w:num>
  <w:num w:numId="10">
    <w:abstractNumId w:val="2"/>
  </w:num>
  <w:num w:numId="11">
    <w:abstractNumId w:val="6"/>
  </w:num>
  <w:num w:numId="12">
    <w:abstractNumId w:val="3"/>
  </w:num>
  <w:num w:numId="13">
    <w:abstractNumId w:val="17"/>
  </w:num>
  <w:num w:numId="14">
    <w:abstractNumId w:val="15"/>
  </w:num>
  <w:num w:numId="15">
    <w:abstractNumId w:val="11"/>
  </w:num>
  <w:num w:numId="16">
    <w:abstractNumId w:val="0"/>
  </w:num>
  <w:num w:numId="17">
    <w:abstractNumId w:val="19"/>
  </w:num>
  <w:num w:numId="18">
    <w:abstractNumId w:val="14"/>
  </w:num>
  <w:num w:numId="19">
    <w:abstractNumId w:val="18"/>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20009"/>
    <w:rsid w:val="00002CA6"/>
    <w:rsid w:val="00006D95"/>
    <w:rsid w:val="00007360"/>
    <w:rsid w:val="00007AC2"/>
    <w:rsid w:val="0001187A"/>
    <w:rsid w:val="000132FF"/>
    <w:rsid w:val="00015F4D"/>
    <w:rsid w:val="00016883"/>
    <w:rsid w:val="00017C18"/>
    <w:rsid w:val="00017D61"/>
    <w:rsid w:val="00020D1B"/>
    <w:rsid w:val="000213B9"/>
    <w:rsid w:val="00036B21"/>
    <w:rsid w:val="000417DB"/>
    <w:rsid w:val="00042C03"/>
    <w:rsid w:val="000475B1"/>
    <w:rsid w:val="00052574"/>
    <w:rsid w:val="00054A84"/>
    <w:rsid w:val="0005798B"/>
    <w:rsid w:val="000604F7"/>
    <w:rsid w:val="00065178"/>
    <w:rsid w:val="0006685D"/>
    <w:rsid w:val="000668E7"/>
    <w:rsid w:val="00074D59"/>
    <w:rsid w:val="000765BE"/>
    <w:rsid w:val="00083C53"/>
    <w:rsid w:val="000914AA"/>
    <w:rsid w:val="000949B2"/>
    <w:rsid w:val="000961E9"/>
    <w:rsid w:val="000A2172"/>
    <w:rsid w:val="000A596F"/>
    <w:rsid w:val="000A6D3B"/>
    <w:rsid w:val="000C058E"/>
    <w:rsid w:val="000C1D3C"/>
    <w:rsid w:val="000C22AA"/>
    <w:rsid w:val="000C5557"/>
    <w:rsid w:val="000C717E"/>
    <w:rsid w:val="000D2BE4"/>
    <w:rsid w:val="000D4AC1"/>
    <w:rsid w:val="000D64D6"/>
    <w:rsid w:val="000E4B67"/>
    <w:rsid w:val="000E759A"/>
    <w:rsid w:val="000F0D1A"/>
    <w:rsid w:val="000F40AA"/>
    <w:rsid w:val="000F73B5"/>
    <w:rsid w:val="00102D38"/>
    <w:rsid w:val="001113EF"/>
    <w:rsid w:val="00112A3F"/>
    <w:rsid w:val="0011458E"/>
    <w:rsid w:val="001178F3"/>
    <w:rsid w:val="00122D2B"/>
    <w:rsid w:val="0013013C"/>
    <w:rsid w:val="00130D23"/>
    <w:rsid w:val="00132678"/>
    <w:rsid w:val="001334F2"/>
    <w:rsid w:val="00133970"/>
    <w:rsid w:val="00140895"/>
    <w:rsid w:val="00141F40"/>
    <w:rsid w:val="00144ABB"/>
    <w:rsid w:val="00144C40"/>
    <w:rsid w:val="00146D8F"/>
    <w:rsid w:val="00151318"/>
    <w:rsid w:val="00154706"/>
    <w:rsid w:val="001656ED"/>
    <w:rsid w:val="00177B15"/>
    <w:rsid w:val="001801E7"/>
    <w:rsid w:val="00182A48"/>
    <w:rsid w:val="00183893"/>
    <w:rsid w:val="00183D35"/>
    <w:rsid w:val="00185A92"/>
    <w:rsid w:val="00190450"/>
    <w:rsid w:val="00190D1A"/>
    <w:rsid w:val="001941DF"/>
    <w:rsid w:val="001968DB"/>
    <w:rsid w:val="001A26F3"/>
    <w:rsid w:val="001B04B4"/>
    <w:rsid w:val="001B0C04"/>
    <w:rsid w:val="001B4EB0"/>
    <w:rsid w:val="001C4855"/>
    <w:rsid w:val="001C7280"/>
    <w:rsid w:val="001D4DF0"/>
    <w:rsid w:val="001D59A8"/>
    <w:rsid w:val="001D6743"/>
    <w:rsid w:val="001E1201"/>
    <w:rsid w:val="001E1F80"/>
    <w:rsid w:val="001E3C0A"/>
    <w:rsid w:val="001E3D43"/>
    <w:rsid w:val="001E6CA5"/>
    <w:rsid w:val="001F4677"/>
    <w:rsid w:val="001F54D3"/>
    <w:rsid w:val="00206B5A"/>
    <w:rsid w:val="00207022"/>
    <w:rsid w:val="00212F7D"/>
    <w:rsid w:val="00213B24"/>
    <w:rsid w:val="0021457C"/>
    <w:rsid w:val="002160EF"/>
    <w:rsid w:val="002165F8"/>
    <w:rsid w:val="0021666B"/>
    <w:rsid w:val="0022071D"/>
    <w:rsid w:val="00222213"/>
    <w:rsid w:val="00222FC2"/>
    <w:rsid w:val="00224B58"/>
    <w:rsid w:val="00224F08"/>
    <w:rsid w:val="00226F31"/>
    <w:rsid w:val="00232B8C"/>
    <w:rsid w:val="0023448D"/>
    <w:rsid w:val="002405C2"/>
    <w:rsid w:val="0024217E"/>
    <w:rsid w:val="00245225"/>
    <w:rsid w:val="002458A5"/>
    <w:rsid w:val="002531B0"/>
    <w:rsid w:val="002573C8"/>
    <w:rsid w:val="00266516"/>
    <w:rsid w:val="00272B5F"/>
    <w:rsid w:val="002800FE"/>
    <w:rsid w:val="0028282C"/>
    <w:rsid w:val="00290AF4"/>
    <w:rsid w:val="00297728"/>
    <w:rsid w:val="002A1F9B"/>
    <w:rsid w:val="002A57F7"/>
    <w:rsid w:val="002A62CE"/>
    <w:rsid w:val="002A75CB"/>
    <w:rsid w:val="002B14AD"/>
    <w:rsid w:val="002B190B"/>
    <w:rsid w:val="002B39CD"/>
    <w:rsid w:val="002B4461"/>
    <w:rsid w:val="002B7C12"/>
    <w:rsid w:val="002C1368"/>
    <w:rsid w:val="002C27B2"/>
    <w:rsid w:val="002C454D"/>
    <w:rsid w:val="002D08EF"/>
    <w:rsid w:val="002D1568"/>
    <w:rsid w:val="002D4B3C"/>
    <w:rsid w:val="002D5A36"/>
    <w:rsid w:val="002D5B06"/>
    <w:rsid w:val="002E2909"/>
    <w:rsid w:val="002E3981"/>
    <w:rsid w:val="002E3BBD"/>
    <w:rsid w:val="002E4183"/>
    <w:rsid w:val="002E7105"/>
    <w:rsid w:val="002F1F30"/>
    <w:rsid w:val="002F32B1"/>
    <w:rsid w:val="003030BB"/>
    <w:rsid w:val="003036BD"/>
    <w:rsid w:val="0030420F"/>
    <w:rsid w:val="00306519"/>
    <w:rsid w:val="00312B7D"/>
    <w:rsid w:val="00315A9C"/>
    <w:rsid w:val="003167CB"/>
    <w:rsid w:val="00321253"/>
    <w:rsid w:val="0032541B"/>
    <w:rsid w:val="00337A44"/>
    <w:rsid w:val="00361DB1"/>
    <w:rsid w:val="0036616E"/>
    <w:rsid w:val="0037110E"/>
    <w:rsid w:val="00372266"/>
    <w:rsid w:val="00372857"/>
    <w:rsid w:val="00382878"/>
    <w:rsid w:val="00385079"/>
    <w:rsid w:val="00386C0E"/>
    <w:rsid w:val="003915F8"/>
    <w:rsid w:val="003919D3"/>
    <w:rsid w:val="00392E07"/>
    <w:rsid w:val="003959CE"/>
    <w:rsid w:val="003A604D"/>
    <w:rsid w:val="003A6386"/>
    <w:rsid w:val="003B39BB"/>
    <w:rsid w:val="003B4B63"/>
    <w:rsid w:val="003C53D4"/>
    <w:rsid w:val="003D371B"/>
    <w:rsid w:val="003D393C"/>
    <w:rsid w:val="003D5AAB"/>
    <w:rsid w:val="003E0251"/>
    <w:rsid w:val="003E1047"/>
    <w:rsid w:val="003E2472"/>
    <w:rsid w:val="003E3A6B"/>
    <w:rsid w:val="003E5FE5"/>
    <w:rsid w:val="003F4669"/>
    <w:rsid w:val="00404375"/>
    <w:rsid w:val="00415129"/>
    <w:rsid w:val="00416565"/>
    <w:rsid w:val="00417548"/>
    <w:rsid w:val="00427A12"/>
    <w:rsid w:val="00432D5F"/>
    <w:rsid w:val="00435580"/>
    <w:rsid w:val="00435800"/>
    <w:rsid w:val="00447522"/>
    <w:rsid w:val="00447AF4"/>
    <w:rsid w:val="00453BE2"/>
    <w:rsid w:val="004567D6"/>
    <w:rsid w:val="004675FF"/>
    <w:rsid w:val="00485177"/>
    <w:rsid w:val="0049005E"/>
    <w:rsid w:val="00490ECD"/>
    <w:rsid w:val="00493128"/>
    <w:rsid w:val="004B00A3"/>
    <w:rsid w:val="004B08B8"/>
    <w:rsid w:val="004B25D4"/>
    <w:rsid w:val="004B3B9B"/>
    <w:rsid w:val="004B3CB5"/>
    <w:rsid w:val="004B4B6D"/>
    <w:rsid w:val="004B4F48"/>
    <w:rsid w:val="004C04D7"/>
    <w:rsid w:val="004C15B8"/>
    <w:rsid w:val="004C5036"/>
    <w:rsid w:val="004C59DD"/>
    <w:rsid w:val="004C6DC1"/>
    <w:rsid w:val="004D06CE"/>
    <w:rsid w:val="004D557C"/>
    <w:rsid w:val="004D5769"/>
    <w:rsid w:val="004D7DE7"/>
    <w:rsid w:val="004D7E0B"/>
    <w:rsid w:val="004E0A91"/>
    <w:rsid w:val="005014B6"/>
    <w:rsid w:val="00504B59"/>
    <w:rsid w:val="0050671D"/>
    <w:rsid w:val="00510108"/>
    <w:rsid w:val="0051737A"/>
    <w:rsid w:val="00517CD9"/>
    <w:rsid w:val="00520009"/>
    <w:rsid w:val="005243C3"/>
    <w:rsid w:val="00527769"/>
    <w:rsid w:val="0053138F"/>
    <w:rsid w:val="00535CC0"/>
    <w:rsid w:val="00540C51"/>
    <w:rsid w:val="005414EC"/>
    <w:rsid w:val="00554302"/>
    <w:rsid w:val="00556B1C"/>
    <w:rsid w:val="00563357"/>
    <w:rsid w:val="00563879"/>
    <w:rsid w:val="00565669"/>
    <w:rsid w:val="00575EED"/>
    <w:rsid w:val="00585E01"/>
    <w:rsid w:val="005873F1"/>
    <w:rsid w:val="0059610A"/>
    <w:rsid w:val="00597150"/>
    <w:rsid w:val="005A3D8F"/>
    <w:rsid w:val="005A4C09"/>
    <w:rsid w:val="005A4EAA"/>
    <w:rsid w:val="005A6B70"/>
    <w:rsid w:val="005A6DEE"/>
    <w:rsid w:val="005B5865"/>
    <w:rsid w:val="005C3AC9"/>
    <w:rsid w:val="005C3B1E"/>
    <w:rsid w:val="005C4B2D"/>
    <w:rsid w:val="005C5F90"/>
    <w:rsid w:val="005D1E7D"/>
    <w:rsid w:val="005D32D5"/>
    <w:rsid w:val="005D4935"/>
    <w:rsid w:val="005D6EB3"/>
    <w:rsid w:val="005E2100"/>
    <w:rsid w:val="005E44B8"/>
    <w:rsid w:val="005E5562"/>
    <w:rsid w:val="005F0692"/>
    <w:rsid w:val="005F07B6"/>
    <w:rsid w:val="006032A5"/>
    <w:rsid w:val="00604FF9"/>
    <w:rsid w:val="0061303E"/>
    <w:rsid w:val="006166E8"/>
    <w:rsid w:val="0062695A"/>
    <w:rsid w:val="00627480"/>
    <w:rsid w:val="00634B68"/>
    <w:rsid w:val="00645770"/>
    <w:rsid w:val="0065001D"/>
    <w:rsid w:val="00650027"/>
    <w:rsid w:val="00660946"/>
    <w:rsid w:val="006620B9"/>
    <w:rsid w:val="00663927"/>
    <w:rsid w:val="00670A48"/>
    <w:rsid w:val="006859D7"/>
    <w:rsid w:val="006931A7"/>
    <w:rsid w:val="006A016D"/>
    <w:rsid w:val="006B151C"/>
    <w:rsid w:val="006B3591"/>
    <w:rsid w:val="006B5799"/>
    <w:rsid w:val="006B6811"/>
    <w:rsid w:val="006B6A0C"/>
    <w:rsid w:val="006C468B"/>
    <w:rsid w:val="006C7E64"/>
    <w:rsid w:val="006D0B85"/>
    <w:rsid w:val="006D39F4"/>
    <w:rsid w:val="006D4066"/>
    <w:rsid w:val="006D4BF9"/>
    <w:rsid w:val="006D7A9C"/>
    <w:rsid w:val="006E1FE0"/>
    <w:rsid w:val="006E2828"/>
    <w:rsid w:val="006E559B"/>
    <w:rsid w:val="006F2F5F"/>
    <w:rsid w:val="006F4DFD"/>
    <w:rsid w:val="00700467"/>
    <w:rsid w:val="00703FC6"/>
    <w:rsid w:val="00704A58"/>
    <w:rsid w:val="00706308"/>
    <w:rsid w:val="00707FC0"/>
    <w:rsid w:val="00710A86"/>
    <w:rsid w:val="007112CE"/>
    <w:rsid w:val="007128CD"/>
    <w:rsid w:val="00716537"/>
    <w:rsid w:val="00722B14"/>
    <w:rsid w:val="00727946"/>
    <w:rsid w:val="0073005A"/>
    <w:rsid w:val="00733FD1"/>
    <w:rsid w:val="00734DFB"/>
    <w:rsid w:val="00736A4D"/>
    <w:rsid w:val="00736CEB"/>
    <w:rsid w:val="00737D0A"/>
    <w:rsid w:val="00740A98"/>
    <w:rsid w:val="00741FCF"/>
    <w:rsid w:val="00744C86"/>
    <w:rsid w:val="007466A2"/>
    <w:rsid w:val="00754C54"/>
    <w:rsid w:val="007561D7"/>
    <w:rsid w:val="00761B00"/>
    <w:rsid w:val="00765F1B"/>
    <w:rsid w:val="0077107F"/>
    <w:rsid w:val="00774A49"/>
    <w:rsid w:val="00776A6A"/>
    <w:rsid w:val="00777304"/>
    <w:rsid w:val="00781D4A"/>
    <w:rsid w:val="00783E5F"/>
    <w:rsid w:val="007956B8"/>
    <w:rsid w:val="00795E3B"/>
    <w:rsid w:val="007B0EBA"/>
    <w:rsid w:val="007B70FD"/>
    <w:rsid w:val="007C0A45"/>
    <w:rsid w:val="007C16E8"/>
    <w:rsid w:val="007C56A7"/>
    <w:rsid w:val="007C621F"/>
    <w:rsid w:val="007C651D"/>
    <w:rsid w:val="007D0B7E"/>
    <w:rsid w:val="007D1842"/>
    <w:rsid w:val="007D2075"/>
    <w:rsid w:val="007D7173"/>
    <w:rsid w:val="007E28FB"/>
    <w:rsid w:val="007E4574"/>
    <w:rsid w:val="007E5220"/>
    <w:rsid w:val="007E6B74"/>
    <w:rsid w:val="007E7D53"/>
    <w:rsid w:val="007F130D"/>
    <w:rsid w:val="007F1CC3"/>
    <w:rsid w:val="007F3FF3"/>
    <w:rsid w:val="007F4575"/>
    <w:rsid w:val="00801D35"/>
    <w:rsid w:val="0080416F"/>
    <w:rsid w:val="0080483A"/>
    <w:rsid w:val="00810623"/>
    <w:rsid w:val="00824BCC"/>
    <w:rsid w:val="0083059F"/>
    <w:rsid w:val="00835C36"/>
    <w:rsid w:val="0084074D"/>
    <w:rsid w:val="00846E15"/>
    <w:rsid w:val="00852AC8"/>
    <w:rsid w:val="008542DF"/>
    <w:rsid w:val="00856075"/>
    <w:rsid w:val="0085778C"/>
    <w:rsid w:val="00863E4D"/>
    <w:rsid w:val="00865C06"/>
    <w:rsid w:val="00870A3C"/>
    <w:rsid w:val="00870F37"/>
    <w:rsid w:val="00873A5A"/>
    <w:rsid w:val="00885561"/>
    <w:rsid w:val="008915FB"/>
    <w:rsid w:val="008A29A9"/>
    <w:rsid w:val="008B02E4"/>
    <w:rsid w:val="008B08B6"/>
    <w:rsid w:val="008B68B3"/>
    <w:rsid w:val="008C0131"/>
    <w:rsid w:val="008C6203"/>
    <w:rsid w:val="008C7FF5"/>
    <w:rsid w:val="008D706A"/>
    <w:rsid w:val="008E3A1F"/>
    <w:rsid w:val="008E4B54"/>
    <w:rsid w:val="008E59FF"/>
    <w:rsid w:val="008F194A"/>
    <w:rsid w:val="008F676D"/>
    <w:rsid w:val="008F71C6"/>
    <w:rsid w:val="009017BA"/>
    <w:rsid w:val="009041F1"/>
    <w:rsid w:val="00904295"/>
    <w:rsid w:val="00921D81"/>
    <w:rsid w:val="00924207"/>
    <w:rsid w:val="009246E9"/>
    <w:rsid w:val="00932784"/>
    <w:rsid w:val="00932B88"/>
    <w:rsid w:val="009347B3"/>
    <w:rsid w:val="00940C94"/>
    <w:rsid w:val="00945BCE"/>
    <w:rsid w:val="00947C9E"/>
    <w:rsid w:val="00951F07"/>
    <w:rsid w:val="00953770"/>
    <w:rsid w:val="00953C5D"/>
    <w:rsid w:val="0095685A"/>
    <w:rsid w:val="00957B66"/>
    <w:rsid w:val="00962C14"/>
    <w:rsid w:val="00967F0A"/>
    <w:rsid w:val="00986865"/>
    <w:rsid w:val="009A1530"/>
    <w:rsid w:val="009A4AE4"/>
    <w:rsid w:val="009B6F59"/>
    <w:rsid w:val="009C1B94"/>
    <w:rsid w:val="009D508A"/>
    <w:rsid w:val="009D769A"/>
    <w:rsid w:val="009D7737"/>
    <w:rsid w:val="009E3462"/>
    <w:rsid w:val="009F3C58"/>
    <w:rsid w:val="009F581A"/>
    <w:rsid w:val="009F7A71"/>
    <w:rsid w:val="00A017C6"/>
    <w:rsid w:val="00A02852"/>
    <w:rsid w:val="00A05B26"/>
    <w:rsid w:val="00A068B2"/>
    <w:rsid w:val="00A269C1"/>
    <w:rsid w:val="00A32021"/>
    <w:rsid w:val="00A43529"/>
    <w:rsid w:val="00A47E64"/>
    <w:rsid w:val="00A56AA0"/>
    <w:rsid w:val="00A56D56"/>
    <w:rsid w:val="00A663A1"/>
    <w:rsid w:val="00A728E7"/>
    <w:rsid w:val="00A751D6"/>
    <w:rsid w:val="00A76BE7"/>
    <w:rsid w:val="00A779BC"/>
    <w:rsid w:val="00AA126A"/>
    <w:rsid w:val="00AA377A"/>
    <w:rsid w:val="00AC1912"/>
    <w:rsid w:val="00AC235C"/>
    <w:rsid w:val="00AC4105"/>
    <w:rsid w:val="00AD0637"/>
    <w:rsid w:val="00AD1010"/>
    <w:rsid w:val="00AD4A5A"/>
    <w:rsid w:val="00B05CA4"/>
    <w:rsid w:val="00B06156"/>
    <w:rsid w:val="00B072D7"/>
    <w:rsid w:val="00B07513"/>
    <w:rsid w:val="00B07822"/>
    <w:rsid w:val="00B130D2"/>
    <w:rsid w:val="00B21103"/>
    <w:rsid w:val="00B223FF"/>
    <w:rsid w:val="00B3089D"/>
    <w:rsid w:val="00B375A6"/>
    <w:rsid w:val="00B43B4B"/>
    <w:rsid w:val="00B4432F"/>
    <w:rsid w:val="00B45A34"/>
    <w:rsid w:val="00B50F83"/>
    <w:rsid w:val="00B60B27"/>
    <w:rsid w:val="00B647FD"/>
    <w:rsid w:val="00B65027"/>
    <w:rsid w:val="00B66C3D"/>
    <w:rsid w:val="00B67A24"/>
    <w:rsid w:val="00B75FBF"/>
    <w:rsid w:val="00B77B1B"/>
    <w:rsid w:val="00B80368"/>
    <w:rsid w:val="00B84C4C"/>
    <w:rsid w:val="00B86A85"/>
    <w:rsid w:val="00B97BDD"/>
    <w:rsid w:val="00BA03D8"/>
    <w:rsid w:val="00BA2F13"/>
    <w:rsid w:val="00BA53FA"/>
    <w:rsid w:val="00BA6839"/>
    <w:rsid w:val="00BB21CA"/>
    <w:rsid w:val="00BB2460"/>
    <w:rsid w:val="00BB4D73"/>
    <w:rsid w:val="00BB4F87"/>
    <w:rsid w:val="00BB58C3"/>
    <w:rsid w:val="00BC0E6F"/>
    <w:rsid w:val="00BD19D7"/>
    <w:rsid w:val="00BE0DEB"/>
    <w:rsid w:val="00BE1A35"/>
    <w:rsid w:val="00BE2383"/>
    <w:rsid w:val="00BE2A20"/>
    <w:rsid w:val="00BE2BF1"/>
    <w:rsid w:val="00BF3013"/>
    <w:rsid w:val="00BF318B"/>
    <w:rsid w:val="00BF57E3"/>
    <w:rsid w:val="00C02B59"/>
    <w:rsid w:val="00C03F66"/>
    <w:rsid w:val="00C041D6"/>
    <w:rsid w:val="00C04D12"/>
    <w:rsid w:val="00C14606"/>
    <w:rsid w:val="00C22F30"/>
    <w:rsid w:val="00C335CF"/>
    <w:rsid w:val="00C3460D"/>
    <w:rsid w:val="00C439BC"/>
    <w:rsid w:val="00C4730E"/>
    <w:rsid w:val="00C53EFD"/>
    <w:rsid w:val="00C56ECC"/>
    <w:rsid w:val="00C57C6F"/>
    <w:rsid w:val="00C6562A"/>
    <w:rsid w:val="00C76090"/>
    <w:rsid w:val="00C8073E"/>
    <w:rsid w:val="00C82606"/>
    <w:rsid w:val="00CA32E0"/>
    <w:rsid w:val="00CA646C"/>
    <w:rsid w:val="00CA66D8"/>
    <w:rsid w:val="00CB6765"/>
    <w:rsid w:val="00CC468F"/>
    <w:rsid w:val="00CC49DE"/>
    <w:rsid w:val="00CC6A91"/>
    <w:rsid w:val="00CC771D"/>
    <w:rsid w:val="00CE055F"/>
    <w:rsid w:val="00CE3822"/>
    <w:rsid w:val="00D026D3"/>
    <w:rsid w:val="00D02F4D"/>
    <w:rsid w:val="00D04718"/>
    <w:rsid w:val="00D12886"/>
    <w:rsid w:val="00D352A9"/>
    <w:rsid w:val="00D36E88"/>
    <w:rsid w:val="00D370F7"/>
    <w:rsid w:val="00D433FA"/>
    <w:rsid w:val="00D44A44"/>
    <w:rsid w:val="00D570A7"/>
    <w:rsid w:val="00D570BA"/>
    <w:rsid w:val="00D57EF1"/>
    <w:rsid w:val="00D639A0"/>
    <w:rsid w:val="00D647F6"/>
    <w:rsid w:val="00D73C51"/>
    <w:rsid w:val="00D84B64"/>
    <w:rsid w:val="00DA37CE"/>
    <w:rsid w:val="00DB09CB"/>
    <w:rsid w:val="00DB44E4"/>
    <w:rsid w:val="00DC120C"/>
    <w:rsid w:val="00DC7CE3"/>
    <w:rsid w:val="00DD0867"/>
    <w:rsid w:val="00DD5BE6"/>
    <w:rsid w:val="00DD7B74"/>
    <w:rsid w:val="00DE4525"/>
    <w:rsid w:val="00DE785F"/>
    <w:rsid w:val="00DF2EF3"/>
    <w:rsid w:val="00E050FD"/>
    <w:rsid w:val="00E1427F"/>
    <w:rsid w:val="00E156FB"/>
    <w:rsid w:val="00E16477"/>
    <w:rsid w:val="00E16E7B"/>
    <w:rsid w:val="00E1784F"/>
    <w:rsid w:val="00E22A13"/>
    <w:rsid w:val="00E339B2"/>
    <w:rsid w:val="00E53004"/>
    <w:rsid w:val="00E55F90"/>
    <w:rsid w:val="00E56CB0"/>
    <w:rsid w:val="00E57238"/>
    <w:rsid w:val="00E579C0"/>
    <w:rsid w:val="00E669A3"/>
    <w:rsid w:val="00E73376"/>
    <w:rsid w:val="00E77FCA"/>
    <w:rsid w:val="00E82F27"/>
    <w:rsid w:val="00E86D48"/>
    <w:rsid w:val="00E87889"/>
    <w:rsid w:val="00E908A9"/>
    <w:rsid w:val="00E94A80"/>
    <w:rsid w:val="00E95222"/>
    <w:rsid w:val="00E97CAB"/>
    <w:rsid w:val="00EA1A7F"/>
    <w:rsid w:val="00EA2294"/>
    <w:rsid w:val="00EA7604"/>
    <w:rsid w:val="00EA7DBF"/>
    <w:rsid w:val="00EB0BC3"/>
    <w:rsid w:val="00EB2CF6"/>
    <w:rsid w:val="00EB45E4"/>
    <w:rsid w:val="00EB7069"/>
    <w:rsid w:val="00EC2349"/>
    <w:rsid w:val="00EC3BD6"/>
    <w:rsid w:val="00ED0408"/>
    <w:rsid w:val="00ED0BAA"/>
    <w:rsid w:val="00ED470B"/>
    <w:rsid w:val="00ED79AF"/>
    <w:rsid w:val="00EE1FF7"/>
    <w:rsid w:val="00EE205A"/>
    <w:rsid w:val="00EE54D6"/>
    <w:rsid w:val="00EF3276"/>
    <w:rsid w:val="00EF5837"/>
    <w:rsid w:val="00EF6ADD"/>
    <w:rsid w:val="00F03044"/>
    <w:rsid w:val="00F116A9"/>
    <w:rsid w:val="00F165E1"/>
    <w:rsid w:val="00F233F8"/>
    <w:rsid w:val="00F268D0"/>
    <w:rsid w:val="00F27D91"/>
    <w:rsid w:val="00F439AB"/>
    <w:rsid w:val="00F43C13"/>
    <w:rsid w:val="00F43F4D"/>
    <w:rsid w:val="00F47185"/>
    <w:rsid w:val="00F53372"/>
    <w:rsid w:val="00F539B9"/>
    <w:rsid w:val="00F557E3"/>
    <w:rsid w:val="00F56BC3"/>
    <w:rsid w:val="00F651D5"/>
    <w:rsid w:val="00F72D35"/>
    <w:rsid w:val="00F73422"/>
    <w:rsid w:val="00F74CB5"/>
    <w:rsid w:val="00F75112"/>
    <w:rsid w:val="00F76646"/>
    <w:rsid w:val="00F83F21"/>
    <w:rsid w:val="00F8424E"/>
    <w:rsid w:val="00F86A8C"/>
    <w:rsid w:val="00F900A2"/>
    <w:rsid w:val="00F926A9"/>
    <w:rsid w:val="00FA37A1"/>
    <w:rsid w:val="00FA68BB"/>
    <w:rsid w:val="00FB5388"/>
    <w:rsid w:val="00FD092C"/>
    <w:rsid w:val="00FD1E9F"/>
    <w:rsid w:val="00FD4FBC"/>
    <w:rsid w:val="00FD685A"/>
    <w:rsid w:val="00FD6A71"/>
    <w:rsid w:val="00FE52C9"/>
    <w:rsid w:val="00FF10C6"/>
    <w:rsid w:val="00FF60FB"/>
    <w:rsid w:val="00FF6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842"/>
    <w:pPr>
      <w:tabs>
        <w:tab w:val="center" w:pos="4680"/>
        <w:tab w:val="right" w:pos="9360"/>
      </w:tabs>
    </w:pPr>
  </w:style>
  <w:style w:type="character" w:customStyle="1" w:styleId="HeaderChar">
    <w:name w:val="Header Char"/>
    <w:basedOn w:val="DefaultParagraphFont"/>
    <w:link w:val="Header"/>
    <w:uiPriority w:val="99"/>
    <w:rsid w:val="007D1842"/>
  </w:style>
  <w:style w:type="paragraph" w:styleId="Footer">
    <w:name w:val="footer"/>
    <w:basedOn w:val="Normal"/>
    <w:link w:val="FooterChar"/>
    <w:uiPriority w:val="99"/>
    <w:unhideWhenUsed/>
    <w:rsid w:val="007D1842"/>
    <w:pPr>
      <w:tabs>
        <w:tab w:val="center" w:pos="4680"/>
        <w:tab w:val="right" w:pos="9360"/>
      </w:tabs>
    </w:pPr>
  </w:style>
  <w:style w:type="character" w:customStyle="1" w:styleId="FooterChar">
    <w:name w:val="Footer Char"/>
    <w:basedOn w:val="DefaultParagraphFont"/>
    <w:link w:val="Footer"/>
    <w:uiPriority w:val="99"/>
    <w:rsid w:val="007D1842"/>
  </w:style>
  <w:style w:type="paragraph" w:styleId="BalloonText">
    <w:name w:val="Balloon Text"/>
    <w:basedOn w:val="Normal"/>
    <w:link w:val="BalloonTextChar"/>
    <w:uiPriority w:val="99"/>
    <w:semiHidden/>
    <w:unhideWhenUsed/>
    <w:rsid w:val="007D1842"/>
    <w:rPr>
      <w:rFonts w:ascii="Tahoma" w:hAnsi="Tahoma" w:cs="Tahoma"/>
      <w:sz w:val="16"/>
      <w:szCs w:val="16"/>
    </w:rPr>
  </w:style>
  <w:style w:type="character" w:customStyle="1" w:styleId="BalloonTextChar">
    <w:name w:val="Balloon Text Char"/>
    <w:basedOn w:val="DefaultParagraphFont"/>
    <w:link w:val="BalloonText"/>
    <w:uiPriority w:val="99"/>
    <w:semiHidden/>
    <w:rsid w:val="007D1842"/>
    <w:rPr>
      <w:rFonts w:ascii="Tahoma" w:hAnsi="Tahoma" w:cs="Tahoma"/>
      <w:sz w:val="16"/>
      <w:szCs w:val="16"/>
    </w:rPr>
  </w:style>
  <w:style w:type="paragraph" w:styleId="ListParagraph">
    <w:name w:val="List Paragraph"/>
    <w:basedOn w:val="Normal"/>
    <w:uiPriority w:val="34"/>
    <w:qFormat/>
    <w:rsid w:val="0024217E"/>
    <w:pPr>
      <w:ind w:left="720"/>
      <w:contextualSpacing/>
    </w:pPr>
  </w:style>
  <w:style w:type="character" w:customStyle="1" w:styleId="ya-q-full-text">
    <w:name w:val="ya-q-full-text"/>
    <w:basedOn w:val="DefaultParagraphFont"/>
    <w:rsid w:val="00B07513"/>
  </w:style>
  <w:style w:type="paragraph" w:customStyle="1" w:styleId="Default">
    <w:name w:val="Default"/>
    <w:rsid w:val="00D73C51"/>
    <w:pPr>
      <w:autoSpaceDE w:val="0"/>
      <w:autoSpaceDN w:val="0"/>
      <w:adjustRightInd w:val="0"/>
    </w:pPr>
    <w:rPr>
      <w:rFonts w:cs="Arial"/>
      <w:color w:val="000000"/>
      <w:szCs w:val="24"/>
    </w:rPr>
  </w:style>
  <w:style w:type="character" w:styleId="HTMLCite">
    <w:name w:val="HTML Cite"/>
    <w:basedOn w:val="DefaultParagraphFont"/>
    <w:uiPriority w:val="99"/>
    <w:semiHidden/>
    <w:unhideWhenUsed/>
    <w:rsid w:val="00245225"/>
    <w:rPr>
      <w:i/>
      <w:iCs/>
    </w:rPr>
  </w:style>
  <w:style w:type="character" w:styleId="Hyperlink">
    <w:name w:val="Hyperlink"/>
    <w:basedOn w:val="DefaultParagraphFont"/>
    <w:uiPriority w:val="99"/>
    <w:unhideWhenUsed/>
    <w:rsid w:val="00415129"/>
    <w:rPr>
      <w:color w:val="0000FF" w:themeColor="hyperlink"/>
      <w:u w:val="single"/>
    </w:rPr>
  </w:style>
  <w:style w:type="table" w:styleId="TableGrid">
    <w:name w:val="Table Grid"/>
    <w:basedOn w:val="TableNormal"/>
    <w:uiPriority w:val="59"/>
    <w:rsid w:val="00E97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65178"/>
    <w:rPr>
      <w:rFonts w:ascii="Arial" w:hAnsi="Arial" w:cs="Arial" w:hint="default"/>
      <w:b w:val="0"/>
      <w:bCs w:val="0"/>
      <w:i/>
      <w:iCs/>
    </w:rPr>
  </w:style>
  <w:style w:type="paragraph" w:styleId="NormalWeb">
    <w:name w:val="Normal (Web)"/>
    <w:basedOn w:val="Normal"/>
    <w:uiPriority w:val="99"/>
    <w:semiHidden/>
    <w:unhideWhenUsed/>
    <w:rsid w:val="00065178"/>
    <w:pPr>
      <w:spacing w:after="360" w:line="360" w:lineRule="atLeast"/>
    </w:pPr>
    <w:rPr>
      <w:rFonts w:ascii="Times New Roman" w:eastAsia="Times New Roman" w:hAnsi="Times New Roman" w:cs="Times New Roman"/>
      <w:sz w:val="30"/>
      <w:szCs w:val="30"/>
    </w:rPr>
  </w:style>
  <w:style w:type="character" w:styleId="Strong">
    <w:name w:val="Strong"/>
    <w:basedOn w:val="DefaultParagraphFont"/>
    <w:uiPriority w:val="22"/>
    <w:qFormat/>
    <w:rsid w:val="00F900A2"/>
    <w:rPr>
      <w:rFonts w:ascii="Arial" w:hAnsi="Arial" w:cs="Arial" w:hint="default"/>
      <w:b/>
      <w:bCs/>
      <w:i w:val="0"/>
      <w:iCs w:val="0"/>
    </w:rPr>
  </w:style>
  <w:style w:type="paragraph" w:customStyle="1" w:styleId="CM45">
    <w:name w:val="CM45"/>
    <w:basedOn w:val="Default"/>
    <w:next w:val="Default"/>
    <w:uiPriority w:val="99"/>
    <w:rsid w:val="00761B00"/>
    <w:rPr>
      <w:rFonts w:ascii="Foundry Form Sans Book" w:hAnsi="Foundry Form Sans Book" w:cstheme="minorBidi"/>
      <w:color w:val="auto"/>
      <w:lang w:val="en-GB"/>
    </w:rPr>
  </w:style>
  <w:style w:type="paragraph" w:styleId="FootnoteText">
    <w:name w:val="footnote text"/>
    <w:basedOn w:val="Normal"/>
    <w:link w:val="FootnoteTextChar"/>
    <w:uiPriority w:val="99"/>
    <w:semiHidden/>
    <w:unhideWhenUsed/>
    <w:rsid w:val="007561D7"/>
    <w:rPr>
      <w:sz w:val="20"/>
      <w:szCs w:val="20"/>
    </w:rPr>
  </w:style>
  <w:style w:type="character" w:customStyle="1" w:styleId="FootnoteTextChar">
    <w:name w:val="Footnote Text Char"/>
    <w:basedOn w:val="DefaultParagraphFont"/>
    <w:link w:val="FootnoteText"/>
    <w:uiPriority w:val="99"/>
    <w:semiHidden/>
    <w:rsid w:val="007561D7"/>
    <w:rPr>
      <w:sz w:val="20"/>
      <w:szCs w:val="20"/>
    </w:rPr>
  </w:style>
  <w:style w:type="character" w:styleId="FootnoteReference">
    <w:name w:val="footnote reference"/>
    <w:basedOn w:val="DefaultParagraphFont"/>
    <w:uiPriority w:val="99"/>
    <w:semiHidden/>
    <w:unhideWhenUsed/>
    <w:rsid w:val="007561D7"/>
    <w:rPr>
      <w:vertAlign w:val="superscript"/>
    </w:rPr>
  </w:style>
  <w:style w:type="character" w:customStyle="1" w:styleId="A03">
    <w:name w:val="A0+3"/>
    <w:uiPriority w:val="99"/>
    <w:rsid w:val="008E59FF"/>
    <w:rPr>
      <w:rFonts w:cs="Helvetica 45 Light"/>
      <w:color w:val="000000"/>
      <w:sz w:val="16"/>
      <w:szCs w:val="16"/>
    </w:rPr>
  </w:style>
</w:styles>
</file>

<file path=word/webSettings.xml><?xml version="1.0" encoding="utf-8"?>
<w:webSettings xmlns:r="http://schemas.openxmlformats.org/officeDocument/2006/relationships" xmlns:w="http://schemas.openxmlformats.org/wordprocessingml/2006/main">
  <w:divs>
    <w:div w:id="59712885">
      <w:bodyDiv w:val="1"/>
      <w:marLeft w:val="0"/>
      <w:marRight w:val="0"/>
      <w:marTop w:val="0"/>
      <w:marBottom w:val="0"/>
      <w:divBdr>
        <w:top w:val="none" w:sz="0" w:space="0" w:color="auto"/>
        <w:left w:val="none" w:sz="0" w:space="0" w:color="auto"/>
        <w:bottom w:val="none" w:sz="0" w:space="0" w:color="auto"/>
        <w:right w:val="none" w:sz="0" w:space="0" w:color="auto"/>
      </w:divBdr>
    </w:div>
    <w:div w:id="280192748">
      <w:bodyDiv w:val="1"/>
      <w:marLeft w:val="0"/>
      <w:marRight w:val="0"/>
      <w:marTop w:val="0"/>
      <w:marBottom w:val="0"/>
      <w:divBdr>
        <w:top w:val="none" w:sz="0" w:space="0" w:color="auto"/>
        <w:left w:val="none" w:sz="0" w:space="0" w:color="auto"/>
        <w:bottom w:val="none" w:sz="0" w:space="0" w:color="auto"/>
        <w:right w:val="none" w:sz="0" w:space="0" w:color="auto"/>
      </w:divBdr>
    </w:div>
    <w:div w:id="1113355755">
      <w:bodyDiv w:val="1"/>
      <w:marLeft w:val="0"/>
      <w:marRight w:val="0"/>
      <w:marTop w:val="0"/>
      <w:marBottom w:val="0"/>
      <w:divBdr>
        <w:top w:val="none" w:sz="0" w:space="0" w:color="auto"/>
        <w:left w:val="none" w:sz="0" w:space="0" w:color="auto"/>
        <w:bottom w:val="none" w:sz="0" w:space="0" w:color="auto"/>
        <w:right w:val="none" w:sz="0" w:space="0" w:color="auto"/>
      </w:divBdr>
    </w:div>
    <w:div w:id="1710912495">
      <w:bodyDiv w:val="1"/>
      <w:marLeft w:val="0"/>
      <w:marRight w:val="0"/>
      <w:marTop w:val="0"/>
      <w:marBottom w:val="0"/>
      <w:divBdr>
        <w:top w:val="none" w:sz="0" w:space="0" w:color="auto"/>
        <w:left w:val="none" w:sz="0" w:space="0" w:color="auto"/>
        <w:bottom w:val="none" w:sz="0" w:space="0" w:color="auto"/>
        <w:right w:val="none" w:sz="0" w:space="0" w:color="auto"/>
      </w:divBdr>
    </w:div>
    <w:div w:id="20627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sec@nswnma.asn.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85A61-00F8-44AF-B0CA-C5CEF9F4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NSW Nurses and Midwives' Association</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Macukewicz</dc:creator>
  <cp:lastModifiedBy>marie-claire.muir</cp:lastModifiedBy>
  <cp:revision>2</cp:revision>
  <cp:lastPrinted>2017-02-21T21:46:00Z</cp:lastPrinted>
  <dcterms:created xsi:type="dcterms:W3CDTF">2017-02-28T05:57:00Z</dcterms:created>
  <dcterms:modified xsi:type="dcterms:W3CDTF">2017-02-28T05:57:00Z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51096</vt:lpwstr>
  </property>
  <property fmtid="{D5CDD505-2E9C-101B-9397-08002B2CF9AE}" pid="3" name="NXPowerLiteSettings">
    <vt:lpwstr>C74006B004C800</vt:lpwstr>
  </property>
  <property fmtid="{D5CDD505-2E9C-101B-9397-08002B2CF9AE}" pid="4" name="NXPowerLiteVersion">
    <vt:lpwstr>S6.2.15</vt:lpwstr>
  </property>
</Properties>
</file>