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47" w:rsidRPr="008F1553" w:rsidRDefault="006E1BEC" w:rsidP="00892362">
      <w:pPr>
        <w:rPr>
          <w:b/>
          <w:szCs w:val="24"/>
        </w:rPr>
      </w:pPr>
      <w:r w:rsidRPr="008F1553">
        <w:rPr>
          <w:b/>
          <w:szCs w:val="24"/>
        </w:rPr>
        <w:t>Submission in response to the Australian Law Reform Commission’s Elder Abuse Inquiry Discussion Paper</w:t>
      </w:r>
    </w:p>
    <w:p w:rsidR="006E1BEC" w:rsidRPr="00DD2E13" w:rsidRDefault="006E1BEC" w:rsidP="00892362">
      <w:pPr>
        <w:rPr>
          <w:szCs w:val="24"/>
        </w:rPr>
      </w:pPr>
      <w:r w:rsidRPr="00DD2E13">
        <w:rPr>
          <w:b/>
          <w:szCs w:val="24"/>
        </w:rPr>
        <w:t>February 2017</w:t>
      </w:r>
    </w:p>
    <w:p w:rsidR="006E1BEC" w:rsidRPr="008F1553" w:rsidRDefault="006E1BEC" w:rsidP="00892362">
      <w:pPr>
        <w:rPr>
          <w:sz w:val="22"/>
          <w:szCs w:val="22"/>
        </w:rPr>
      </w:pPr>
    </w:p>
    <w:p w:rsidR="006E1BEC" w:rsidRPr="00DD2E13" w:rsidRDefault="006E1BEC" w:rsidP="00892362">
      <w:pPr>
        <w:rPr>
          <w:szCs w:val="24"/>
        </w:rPr>
      </w:pPr>
      <w:r w:rsidRPr="00DD2E13">
        <w:rPr>
          <w:b/>
          <w:szCs w:val="24"/>
        </w:rPr>
        <w:t>Overview</w:t>
      </w:r>
    </w:p>
    <w:p w:rsidR="008F053E" w:rsidRPr="008F1553" w:rsidRDefault="008F1553" w:rsidP="00892362">
      <w:pPr>
        <w:rPr>
          <w:sz w:val="22"/>
          <w:szCs w:val="22"/>
        </w:rPr>
      </w:pPr>
      <w:r>
        <w:rPr>
          <w:sz w:val="22"/>
          <w:szCs w:val="22"/>
        </w:rPr>
        <w:t>The National Social Security Rights Network (NSSRN), formerly the National Welfare Rights Network, welcomes the opportunity to make a submission to the Australian Law Reform Commission’s (ALRC) Elder Abuse Inquiry in response to its Discussion Paper (DP).</w:t>
      </w:r>
    </w:p>
    <w:p w:rsidR="006E1BEC" w:rsidRPr="008F1553" w:rsidRDefault="006E1BEC" w:rsidP="00892362">
      <w:pPr>
        <w:rPr>
          <w:sz w:val="22"/>
          <w:szCs w:val="22"/>
        </w:rPr>
      </w:pPr>
    </w:p>
    <w:p w:rsidR="006E1BEC" w:rsidRDefault="006E1BEC" w:rsidP="00892362">
      <w:pPr>
        <w:rPr>
          <w:sz w:val="22"/>
          <w:szCs w:val="22"/>
        </w:rPr>
      </w:pPr>
      <w:r w:rsidRPr="008F1553">
        <w:rPr>
          <w:sz w:val="22"/>
          <w:szCs w:val="22"/>
        </w:rPr>
        <w:t xml:space="preserve">The NSSRN welcomes and supports the DP’s four proposals concerning social security (Proposal 10-1 to 10-4).  We believe that if implemented these proposals </w:t>
      </w:r>
      <w:r w:rsidR="008F1553">
        <w:rPr>
          <w:sz w:val="22"/>
          <w:szCs w:val="22"/>
        </w:rPr>
        <w:t xml:space="preserve">may help </w:t>
      </w:r>
      <w:r w:rsidRPr="008F1553">
        <w:rPr>
          <w:sz w:val="22"/>
          <w:szCs w:val="22"/>
        </w:rPr>
        <w:t>reduce the risk of elder abuse, especially financial abuse</w:t>
      </w:r>
      <w:r w:rsidR="00173300" w:rsidRPr="008F1553">
        <w:rPr>
          <w:sz w:val="22"/>
          <w:szCs w:val="22"/>
        </w:rPr>
        <w:t xml:space="preserve"> </w:t>
      </w:r>
      <w:r w:rsidR="00BF247A">
        <w:rPr>
          <w:sz w:val="22"/>
          <w:szCs w:val="22"/>
        </w:rPr>
        <w:t>which</w:t>
      </w:r>
      <w:r w:rsidR="00173300" w:rsidRPr="008F1553">
        <w:rPr>
          <w:sz w:val="22"/>
          <w:szCs w:val="22"/>
        </w:rPr>
        <w:t xml:space="preserve"> directly or indirectly affects an older person’s entitlement to social security payments.</w:t>
      </w:r>
    </w:p>
    <w:p w:rsidR="008F1553" w:rsidRDefault="008F1553" w:rsidP="00892362">
      <w:pPr>
        <w:rPr>
          <w:sz w:val="22"/>
          <w:szCs w:val="22"/>
        </w:rPr>
      </w:pPr>
    </w:p>
    <w:p w:rsidR="007C19A2" w:rsidRDefault="008F1553" w:rsidP="00892362">
      <w:pPr>
        <w:rPr>
          <w:sz w:val="22"/>
          <w:szCs w:val="22"/>
        </w:rPr>
      </w:pPr>
      <w:r>
        <w:rPr>
          <w:sz w:val="22"/>
          <w:szCs w:val="22"/>
        </w:rPr>
        <w:t>In this submission, we put forward a recommendation which we believe merits inclusion in the ALRC’s final set of proposals concerning social security law.  It develops a proposal we outlined in our initial submission (Submission no. 151) in response to the ALRC’s Elder Abuse Issues Paper (IP), in response to its question 9 concerning residence requirements and waiting periods.</w:t>
      </w:r>
    </w:p>
    <w:p w:rsidR="00B531ED" w:rsidRDefault="00B531ED" w:rsidP="00892362">
      <w:pPr>
        <w:rPr>
          <w:sz w:val="22"/>
          <w:szCs w:val="22"/>
        </w:rPr>
      </w:pPr>
    </w:p>
    <w:p w:rsidR="00B531ED" w:rsidRDefault="00B531ED" w:rsidP="00892362">
      <w:pPr>
        <w:rPr>
          <w:sz w:val="22"/>
          <w:szCs w:val="22"/>
        </w:rPr>
      </w:pPr>
      <w:r>
        <w:rPr>
          <w:sz w:val="22"/>
          <w:szCs w:val="22"/>
        </w:rPr>
        <w:t xml:space="preserve">Older migrants are vulnerable to and, in our experience, suffer from elder abuse.  Their vulnerability arises from a number of circumstances, including </w:t>
      </w:r>
      <w:r w:rsidRPr="008F1553">
        <w:rPr>
          <w:sz w:val="22"/>
          <w:szCs w:val="22"/>
        </w:rPr>
        <w:t xml:space="preserve">language barriers, </w:t>
      </w:r>
      <w:r>
        <w:rPr>
          <w:sz w:val="22"/>
          <w:szCs w:val="22"/>
        </w:rPr>
        <w:t xml:space="preserve">health problems, </w:t>
      </w:r>
      <w:r w:rsidRPr="008F1553">
        <w:rPr>
          <w:sz w:val="22"/>
          <w:szCs w:val="22"/>
        </w:rPr>
        <w:t xml:space="preserve">lack of </w:t>
      </w:r>
      <w:proofErr w:type="gramStart"/>
      <w:r w:rsidRPr="008F1553">
        <w:rPr>
          <w:sz w:val="22"/>
          <w:szCs w:val="22"/>
        </w:rPr>
        <w:t>knowledge</w:t>
      </w:r>
      <w:proofErr w:type="gramEnd"/>
      <w:r w:rsidRPr="008F1553">
        <w:rPr>
          <w:sz w:val="22"/>
          <w:szCs w:val="22"/>
        </w:rPr>
        <w:t xml:space="preserve"> of the Australian legal system, unfamiliarity with government and community services and lack of support networks in the wider community.</w:t>
      </w:r>
    </w:p>
    <w:p w:rsidR="00B531ED" w:rsidRDefault="00B531ED" w:rsidP="00892362">
      <w:pPr>
        <w:rPr>
          <w:sz w:val="22"/>
          <w:szCs w:val="22"/>
        </w:rPr>
      </w:pPr>
    </w:p>
    <w:p w:rsidR="00B531ED" w:rsidRDefault="00B531ED" w:rsidP="00B531ED">
      <w:pPr>
        <w:rPr>
          <w:sz w:val="22"/>
          <w:szCs w:val="22"/>
        </w:rPr>
      </w:pPr>
      <w:r w:rsidRPr="008F1553">
        <w:rPr>
          <w:sz w:val="22"/>
          <w:szCs w:val="22"/>
        </w:rPr>
        <w:t>Their vulnerability may be increased by barriers to accessing income support through the social security system, which may make them dependent on children or other family and may deter them from seeking help for or escaping from situations of abuse or violence.</w:t>
      </w:r>
      <w:r w:rsidR="007B418E">
        <w:rPr>
          <w:sz w:val="22"/>
          <w:szCs w:val="22"/>
        </w:rPr>
        <w:t xml:space="preserve">  </w:t>
      </w:r>
      <w:r w:rsidRPr="008F1553">
        <w:rPr>
          <w:sz w:val="22"/>
          <w:szCs w:val="22"/>
        </w:rPr>
        <w:t>The barriers to older migrants arise from the interlocking effect of</w:t>
      </w:r>
      <w:r w:rsidR="003B7B65">
        <w:rPr>
          <w:sz w:val="22"/>
          <w:szCs w:val="22"/>
        </w:rPr>
        <w:t xml:space="preserve"> social security</w:t>
      </w:r>
      <w:r w:rsidRPr="008F1553">
        <w:rPr>
          <w:sz w:val="22"/>
          <w:szCs w:val="22"/>
        </w:rPr>
        <w:t>:</w:t>
      </w:r>
    </w:p>
    <w:p w:rsidR="00B531ED" w:rsidRPr="008F1553" w:rsidRDefault="00B531ED" w:rsidP="00B531ED">
      <w:pPr>
        <w:rPr>
          <w:sz w:val="22"/>
          <w:szCs w:val="22"/>
        </w:rPr>
      </w:pPr>
    </w:p>
    <w:p w:rsidR="00B531ED" w:rsidRDefault="003B7B65" w:rsidP="00B531ED">
      <w:pPr>
        <w:pStyle w:val="ListParagraph"/>
        <w:numPr>
          <w:ilvl w:val="0"/>
          <w:numId w:val="37"/>
        </w:numPr>
        <w:rPr>
          <w:sz w:val="22"/>
          <w:szCs w:val="22"/>
        </w:rPr>
      </w:pPr>
      <w:r>
        <w:rPr>
          <w:sz w:val="22"/>
          <w:szCs w:val="22"/>
        </w:rPr>
        <w:t>Age requirements</w:t>
      </w:r>
    </w:p>
    <w:p w:rsidR="00B531ED" w:rsidRPr="008F1553" w:rsidRDefault="00B531ED" w:rsidP="00B531ED">
      <w:pPr>
        <w:pStyle w:val="ListParagraph"/>
        <w:rPr>
          <w:sz w:val="22"/>
          <w:szCs w:val="22"/>
        </w:rPr>
      </w:pPr>
    </w:p>
    <w:p w:rsidR="00B531ED" w:rsidRDefault="00B531ED" w:rsidP="00B531ED">
      <w:pPr>
        <w:pStyle w:val="ListParagraph"/>
        <w:numPr>
          <w:ilvl w:val="0"/>
          <w:numId w:val="37"/>
        </w:numPr>
        <w:rPr>
          <w:sz w:val="22"/>
          <w:szCs w:val="22"/>
        </w:rPr>
      </w:pPr>
      <w:r w:rsidRPr="008F1553">
        <w:rPr>
          <w:sz w:val="22"/>
          <w:szCs w:val="22"/>
        </w:rPr>
        <w:t>Qualifying residence periods and waiting periods for new migrants, and</w:t>
      </w:r>
    </w:p>
    <w:p w:rsidR="00B531ED" w:rsidRPr="00B531ED" w:rsidRDefault="00B531ED" w:rsidP="00B531ED">
      <w:pPr>
        <w:rPr>
          <w:sz w:val="22"/>
          <w:szCs w:val="22"/>
        </w:rPr>
      </w:pPr>
    </w:p>
    <w:p w:rsidR="00411F1F" w:rsidRPr="00411F1F" w:rsidRDefault="00B531ED" w:rsidP="00411F1F">
      <w:pPr>
        <w:pStyle w:val="ListParagraph"/>
        <w:numPr>
          <w:ilvl w:val="0"/>
          <w:numId w:val="37"/>
        </w:numPr>
        <w:rPr>
          <w:sz w:val="22"/>
          <w:szCs w:val="22"/>
        </w:rPr>
      </w:pPr>
      <w:r w:rsidRPr="008F1553">
        <w:rPr>
          <w:sz w:val="22"/>
          <w:szCs w:val="22"/>
        </w:rPr>
        <w:t>Lengthy periods of ineligibility under the assurance of support scheme applicable to the ma</w:t>
      </w:r>
      <w:r w:rsidR="003B7B65">
        <w:rPr>
          <w:sz w:val="22"/>
          <w:szCs w:val="22"/>
        </w:rPr>
        <w:t>in visa type</w:t>
      </w:r>
      <w:r w:rsidR="00411F1F">
        <w:rPr>
          <w:sz w:val="22"/>
          <w:szCs w:val="22"/>
        </w:rPr>
        <w:t xml:space="preserve"> for older migrants.</w:t>
      </w:r>
    </w:p>
    <w:p w:rsidR="00B531ED" w:rsidRPr="008F1553" w:rsidRDefault="00B531ED" w:rsidP="00B531ED">
      <w:pPr>
        <w:rPr>
          <w:sz w:val="22"/>
          <w:szCs w:val="22"/>
        </w:rPr>
      </w:pPr>
    </w:p>
    <w:p w:rsidR="007B418E" w:rsidRDefault="007B418E" w:rsidP="00B531ED">
      <w:pPr>
        <w:rPr>
          <w:sz w:val="22"/>
          <w:szCs w:val="22"/>
        </w:rPr>
      </w:pPr>
      <w:r>
        <w:rPr>
          <w:sz w:val="22"/>
          <w:szCs w:val="22"/>
        </w:rPr>
        <w:t xml:space="preserve">As </w:t>
      </w:r>
      <w:r w:rsidR="00561A8A">
        <w:rPr>
          <w:sz w:val="22"/>
          <w:szCs w:val="22"/>
        </w:rPr>
        <w:t>detailed below</w:t>
      </w:r>
      <w:r>
        <w:rPr>
          <w:sz w:val="22"/>
          <w:szCs w:val="22"/>
        </w:rPr>
        <w:t>, h</w:t>
      </w:r>
      <w:r w:rsidR="00B531ED">
        <w:rPr>
          <w:sz w:val="22"/>
          <w:szCs w:val="22"/>
        </w:rPr>
        <w:t>olders of subclass 143 (contributory parent) visa holders are particularly vulnerable</w:t>
      </w:r>
      <w:r>
        <w:rPr>
          <w:sz w:val="22"/>
          <w:szCs w:val="22"/>
        </w:rPr>
        <w:t xml:space="preserve"> and the interlocking e</w:t>
      </w:r>
      <w:r w:rsidR="00B63395">
        <w:rPr>
          <w:sz w:val="22"/>
          <w:szCs w:val="22"/>
        </w:rPr>
        <w:t xml:space="preserve">ffect of these rules means that, </w:t>
      </w:r>
      <w:r>
        <w:rPr>
          <w:sz w:val="22"/>
          <w:szCs w:val="22"/>
        </w:rPr>
        <w:t xml:space="preserve">even if they leave a situation of elder abuse, they are only eligible for the special benefit payment.  Special benefit is a last resort payment, </w:t>
      </w:r>
      <w:r w:rsidR="00B63395">
        <w:rPr>
          <w:sz w:val="22"/>
          <w:szCs w:val="22"/>
        </w:rPr>
        <w:t>usually</w:t>
      </w:r>
      <w:r>
        <w:rPr>
          <w:sz w:val="22"/>
          <w:szCs w:val="22"/>
        </w:rPr>
        <w:t xml:space="preserve"> paid below the poverty level </w:t>
      </w:r>
      <w:proofErr w:type="spellStart"/>
      <w:r>
        <w:rPr>
          <w:sz w:val="22"/>
          <w:szCs w:val="22"/>
        </w:rPr>
        <w:t>newstart</w:t>
      </w:r>
      <w:proofErr w:type="spellEnd"/>
      <w:r>
        <w:rPr>
          <w:sz w:val="22"/>
          <w:szCs w:val="22"/>
        </w:rPr>
        <w:t xml:space="preserve"> allowance (due to strict means testing arrangements) and is not appropriate for long term income support for people of retirement age who have low prospects of entering the labour market.</w:t>
      </w:r>
    </w:p>
    <w:p w:rsidR="007B418E" w:rsidRDefault="007B418E" w:rsidP="00B531ED">
      <w:pPr>
        <w:rPr>
          <w:sz w:val="22"/>
          <w:szCs w:val="22"/>
        </w:rPr>
      </w:pPr>
    </w:p>
    <w:p w:rsidR="001A10B1" w:rsidRDefault="007B418E" w:rsidP="00B531ED">
      <w:pPr>
        <w:rPr>
          <w:sz w:val="22"/>
          <w:szCs w:val="22"/>
        </w:rPr>
      </w:pPr>
      <w:r>
        <w:rPr>
          <w:sz w:val="22"/>
          <w:szCs w:val="22"/>
        </w:rPr>
        <w:t xml:space="preserve">There are </w:t>
      </w:r>
      <w:r w:rsidR="001A10B1">
        <w:rPr>
          <w:sz w:val="22"/>
          <w:szCs w:val="22"/>
        </w:rPr>
        <w:t xml:space="preserve">limited circumstances in which </w:t>
      </w:r>
      <w:r>
        <w:rPr>
          <w:sz w:val="22"/>
          <w:szCs w:val="22"/>
        </w:rPr>
        <w:t xml:space="preserve">contributory parent visa holders </w:t>
      </w:r>
      <w:r w:rsidR="001A10B1">
        <w:rPr>
          <w:sz w:val="22"/>
          <w:szCs w:val="22"/>
        </w:rPr>
        <w:t>may</w:t>
      </w:r>
      <w:r>
        <w:rPr>
          <w:sz w:val="22"/>
          <w:szCs w:val="22"/>
        </w:rPr>
        <w:t xml:space="preserve"> access income support during the 10 year assurance of support period.</w:t>
      </w:r>
      <w:r w:rsidR="001A10B1">
        <w:rPr>
          <w:sz w:val="22"/>
          <w:szCs w:val="22"/>
        </w:rPr>
        <w:t xml:space="preserve">  In most cases this is because of a serious illness or accident to the family member who gave the assurance, leaving them unable to support the visa holder, or because the family member is unable or unwilling to support them or it is unreasonable for the visa holder to accept the support.  In our experience these requirements are stringently administered by the Department of Human Services.</w:t>
      </w:r>
    </w:p>
    <w:p w:rsidR="001A10B1" w:rsidRDefault="00AC700B" w:rsidP="00AC700B">
      <w:pPr>
        <w:rPr>
          <w:sz w:val="22"/>
          <w:szCs w:val="22"/>
        </w:rPr>
      </w:pPr>
      <w:r>
        <w:rPr>
          <w:sz w:val="22"/>
          <w:szCs w:val="22"/>
        </w:rPr>
        <w:lastRenderedPageBreak/>
        <w:t>Even if the policy rationale for the assurance of support scheme is accepted, there is no sound rationale for limiting</w:t>
      </w:r>
      <w:r w:rsidR="00952705">
        <w:rPr>
          <w:sz w:val="22"/>
          <w:szCs w:val="22"/>
        </w:rPr>
        <w:t xml:space="preserve"> income support</w:t>
      </w:r>
      <w:r w:rsidR="00B63395">
        <w:rPr>
          <w:sz w:val="22"/>
          <w:szCs w:val="22"/>
        </w:rPr>
        <w:t xml:space="preserve"> to special benefit</w:t>
      </w:r>
      <w:r w:rsidR="00952705">
        <w:rPr>
          <w:sz w:val="22"/>
          <w:szCs w:val="22"/>
        </w:rPr>
        <w:t xml:space="preserve"> for these</w:t>
      </w:r>
      <w:r>
        <w:rPr>
          <w:sz w:val="22"/>
          <w:szCs w:val="22"/>
        </w:rPr>
        <w:t xml:space="preserve"> visa holders, </w:t>
      </w:r>
      <w:r w:rsidR="00B63395">
        <w:rPr>
          <w:sz w:val="22"/>
          <w:szCs w:val="22"/>
        </w:rPr>
        <w:t>once they meet</w:t>
      </w:r>
      <w:r w:rsidR="00952705">
        <w:rPr>
          <w:sz w:val="22"/>
          <w:szCs w:val="22"/>
        </w:rPr>
        <w:t xml:space="preserve"> the stringent requirements for access </w:t>
      </w:r>
      <w:r w:rsidR="00EA3AEE">
        <w:rPr>
          <w:sz w:val="22"/>
          <w:szCs w:val="22"/>
        </w:rPr>
        <w:t>to income</w:t>
      </w:r>
      <w:r w:rsidR="00952705">
        <w:rPr>
          <w:sz w:val="22"/>
          <w:szCs w:val="22"/>
        </w:rPr>
        <w:t xml:space="preserve"> support and </w:t>
      </w:r>
      <w:r>
        <w:rPr>
          <w:sz w:val="22"/>
          <w:szCs w:val="22"/>
        </w:rPr>
        <w:t>are in hardship through no fault of their own</w:t>
      </w:r>
      <w:r w:rsidR="00B63395">
        <w:rPr>
          <w:sz w:val="22"/>
          <w:szCs w:val="22"/>
        </w:rPr>
        <w:t>.</w:t>
      </w:r>
      <w:r>
        <w:rPr>
          <w:sz w:val="22"/>
          <w:szCs w:val="22"/>
        </w:rPr>
        <w:t xml:space="preserve"> </w:t>
      </w:r>
      <w:r w:rsidR="001A10B1">
        <w:rPr>
          <w:sz w:val="22"/>
          <w:szCs w:val="22"/>
        </w:rPr>
        <w:t>They should be eligible for the</w:t>
      </w:r>
      <w:r w:rsidR="00B63395">
        <w:rPr>
          <w:sz w:val="22"/>
          <w:szCs w:val="22"/>
        </w:rPr>
        <w:t xml:space="preserve"> age pension, the</w:t>
      </w:r>
      <w:r w:rsidR="001A10B1">
        <w:rPr>
          <w:sz w:val="22"/>
          <w:szCs w:val="22"/>
        </w:rPr>
        <w:t xml:space="preserve"> appropriate level of support</w:t>
      </w:r>
      <w:r w:rsidR="00B63395">
        <w:rPr>
          <w:sz w:val="22"/>
          <w:szCs w:val="22"/>
        </w:rPr>
        <w:t>,</w:t>
      </w:r>
      <w:r w:rsidR="001A10B1">
        <w:rPr>
          <w:sz w:val="22"/>
          <w:szCs w:val="22"/>
        </w:rPr>
        <w:t xml:space="preserve"> </w:t>
      </w:r>
      <w:r w:rsidR="00952705">
        <w:rPr>
          <w:sz w:val="22"/>
          <w:szCs w:val="22"/>
        </w:rPr>
        <w:t>on reaching pension age</w:t>
      </w:r>
      <w:r w:rsidR="001A10B1">
        <w:rPr>
          <w:sz w:val="22"/>
          <w:szCs w:val="22"/>
        </w:rPr>
        <w:t>.</w:t>
      </w:r>
      <w:r>
        <w:rPr>
          <w:sz w:val="22"/>
          <w:szCs w:val="22"/>
        </w:rPr>
        <w:t xml:space="preserve">  </w:t>
      </w:r>
    </w:p>
    <w:p w:rsidR="00AC700B" w:rsidRDefault="00AC700B" w:rsidP="00AC700B">
      <w:pPr>
        <w:rPr>
          <w:sz w:val="22"/>
          <w:szCs w:val="22"/>
        </w:rPr>
      </w:pPr>
    </w:p>
    <w:p w:rsidR="00AC700B" w:rsidRDefault="00AC700B" w:rsidP="00AC700B">
      <w:pPr>
        <w:rPr>
          <w:sz w:val="22"/>
          <w:szCs w:val="22"/>
        </w:rPr>
      </w:pPr>
      <w:r>
        <w:rPr>
          <w:sz w:val="22"/>
          <w:szCs w:val="22"/>
        </w:rPr>
        <w:t>This change would significantly improve the standard of living of a substantial number of very vulnerable older Australians, at little cost to the community.</w:t>
      </w:r>
    </w:p>
    <w:p w:rsidR="00D31208" w:rsidRDefault="00D31208" w:rsidP="00892362">
      <w:pPr>
        <w:rPr>
          <w:sz w:val="22"/>
          <w:szCs w:val="22"/>
        </w:rPr>
      </w:pPr>
    </w:p>
    <w:p w:rsidR="00BF247A" w:rsidRPr="00665504" w:rsidRDefault="00BF247A" w:rsidP="00892362">
      <w:pPr>
        <w:rPr>
          <w:szCs w:val="24"/>
        </w:rPr>
      </w:pPr>
      <w:proofErr w:type="gramStart"/>
      <w:r w:rsidRPr="00665504">
        <w:rPr>
          <w:b/>
          <w:szCs w:val="24"/>
        </w:rPr>
        <w:t>Recommendation 1.</w:t>
      </w:r>
      <w:proofErr w:type="gramEnd"/>
    </w:p>
    <w:p w:rsidR="00045CEE" w:rsidRDefault="00A75C2F" w:rsidP="00892362">
      <w:pPr>
        <w:rPr>
          <w:sz w:val="22"/>
          <w:szCs w:val="22"/>
        </w:rPr>
      </w:pPr>
      <w:r>
        <w:rPr>
          <w:sz w:val="22"/>
          <w:szCs w:val="22"/>
        </w:rPr>
        <w:t xml:space="preserve">Amend social security legislation so that </w:t>
      </w:r>
      <w:r w:rsidR="008D5640">
        <w:rPr>
          <w:sz w:val="22"/>
          <w:szCs w:val="22"/>
        </w:rPr>
        <w:t xml:space="preserve">contributory parent visa holders who become eligible for a social security payment </w:t>
      </w:r>
      <w:r w:rsidR="005E3176">
        <w:rPr>
          <w:sz w:val="22"/>
          <w:szCs w:val="22"/>
        </w:rPr>
        <w:t>before the expiry of</w:t>
      </w:r>
      <w:r w:rsidR="008D5640">
        <w:rPr>
          <w:sz w:val="22"/>
          <w:szCs w:val="22"/>
        </w:rPr>
        <w:t xml:space="preserve"> the assurance of support period </w:t>
      </w:r>
      <w:r w:rsidR="005E3176">
        <w:rPr>
          <w:sz w:val="22"/>
          <w:szCs w:val="22"/>
        </w:rPr>
        <w:t>(</w:t>
      </w:r>
      <w:r w:rsidR="008D5640">
        <w:rPr>
          <w:sz w:val="22"/>
          <w:szCs w:val="22"/>
        </w:rPr>
        <w:t>because their assurer is unable or unwilling to support them or it is unreasonable for them to accept that support</w:t>
      </w:r>
      <w:r w:rsidR="005E3176">
        <w:rPr>
          <w:sz w:val="22"/>
          <w:szCs w:val="22"/>
        </w:rPr>
        <w:t>)</w:t>
      </w:r>
      <w:r>
        <w:rPr>
          <w:sz w:val="22"/>
          <w:szCs w:val="22"/>
        </w:rPr>
        <w:t xml:space="preserve"> are eligible for the age pension if they meet the other criteria for this payment.</w:t>
      </w:r>
    </w:p>
    <w:p w:rsidR="00A75C2F" w:rsidRDefault="00A75C2F" w:rsidP="00892362">
      <w:pPr>
        <w:rPr>
          <w:sz w:val="22"/>
          <w:szCs w:val="22"/>
        </w:rPr>
      </w:pPr>
    </w:p>
    <w:p w:rsidR="004C48DF" w:rsidRPr="00665504" w:rsidRDefault="004C48DF" w:rsidP="00892362">
      <w:pPr>
        <w:rPr>
          <w:szCs w:val="24"/>
        </w:rPr>
      </w:pPr>
      <w:r w:rsidRPr="00665504">
        <w:rPr>
          <w:b/>
          <w:szCs w:val="24"/>
        </w:rPr>
        <w:t>Draft amendments</w:t>
      </w:r>
    </w:p>
    <w:p w:rsidR="00A75C2F" w:rsidRPr="007C19A2" w:rsidRDefault="007C19A2" w:rsidP="00892362">
      <w:pPr>
        <w:rPr>
          <w:sz w:val="22"/>
          <w:szCs w:val="22"/>
        </w:rPr>
      </w:pPr>
      <w:r>
        <w:rPr>
          <w:sz w:val="22"/>
          <w:szCs w:val="22"/>
        </w:rPr>
        <w:t xml:space="preserve">Although this could be achieved in different ways, </w:t>
      </w:r>
      <w:r w:rsidR="00BD40F7">
        <w:rPr>
          <w:sz w:val="22"/>
          <w:szCs w:val="22"/>
        </w:rPr>
        <w:t xml:space="preserve">the following package of three amendments would give effect to Recommendation 1, in line with </w:t>
      </w:r>
      <w:r>
        <w:rPr>
          <w:sz w:val="22"/>
          <w:szCs w:val="22"/>
        </w:rPr>
        <w:t>the standard way in which s</w:t>
      </w:r>
      <w:r w:rsidR="00BD40F7">
        <w:rPr>
          <w:sz w:val="22"/>
          <w:szCs w:val="22"/>
        </w:rPr>
        <w:t>pecified classes of visa holder</w:t>
      </w:r>
      <w:r>
        <w:rPr>
          <w:sz w:val="22"/>
          <w:szCs w:val="22"/>
        </w:rPr>
        <w:t xml:space="preserve"> are exempted from residence requirements under the </w:t>
      </w:r>
      <w:r>
        <w:rPr>
          <w:i/>
          <w:sz w:val="22"/>
          <w:szCs w:val="22"/>
        </w:rPr>
        <w:t>Social Security Act 1991</w:t>
      </w:r>
      <w:r>
        <w:rPr>
          <w:sz w:val="22"/>
          <w:szCs w:val="22"/>
        </w:rPr>
        <w:t xml:space="preserve"> is:</w:t>
      </w:r>
    </w:p>
    <w:p w:rsidR="00A75C2F" w:rsidRDefault="00A75C2F" w:rsidP="00892362">
      <w:pPr>
        <w:rPr>
          <w:sz w:val="22"/>
          <w:szCs w:val="22"/>
        </w:rPr>
      </w:pPr>
    </w:p>
    <w:p w:rsidR="00A75C2F" w:rsidRDefault="00A75C2F" w:rsidP="00892362">
      <w:pPr>
        <w:rPr>
          <w:sz w:val="22"/>
          <w:szCs w:val="22"/>
        </w:rPr>
      </w:pPr>
      <w:r>
        <w:rPr>
          <w:sz w:val="22"/>
          <w:szCs w:val="22"/>
        </w:rPr>
        <w:t>(</w:t>
      </w:r>
      <w:proofErr w:type="spellStart"/>
      <w:r>
        <w:rPr>
          <w:sz w:val="22"/>
          <w:szCs w:val="22"/>
        </w:rPr>
        <w:t>i</w:t>
      </w:r>
      <w:proofErr w:type="spellEnd"/>
      <w:r>
        <w:rPr>
          <w:sz w:val="22"/>
          <w:szCs w:val="22"/>
        </w:rPr>
        <w:t xml:space="preserve">) Amend section 43(1) of the </w:t>
      </w:r>
      <w:r>
        <w:rPr>
          <w:i/>
          <w:sz w:val="22"/>
          <w:szCs w:val="22"/>
        </w:rPr>
        <w:t>Social Security Act</w:t>
      </w:r>
      <w:r>
        <w:rPr>
          <w:sz w:val="22"/>
          <w:szCs w:val="22"/>
        </w:rPr>
        <w:t xml:space="preserve"> </w:t>
      </w:r>
      <w:r w:rsidR="00695204">
        <w:rPr>
          <w:sz w:val="22"/>
          <w:szCs w:val="22"/>
        </w:rPr>
        <w:t xml:space="preserve">by inserting </w:t>
      </w:r>
      <w:r>
        <w:rPr>
          <w:sz w:val="22"/>
          <w:szCs w:val="22"/>
        </w:rPr>
        <w:t>new paragraph (e)</w:t>
      </w:r>
      <w:r w:rsidR="00695204">
        <w:rPr>
          <w:sz w:val="22"/>
          <w:szCs w:val="22"/>
        </w:rPr>
        <w:t xml:space="preserve"> </w:t>
      </w:r>
      <w:r>
        <w:rPr>
          <w:sz w:val="22"/>
          <w:szCs w:val="22"/>
        </w:rPr>
        <w:t>as follows:</w:t>
      </w:r>
    </w:p>
    <w:p w:rsidR="00695204" w:rsidRDefault="00695204" w:rsidP="00892362">
      <w:pPr>
        <w:rPr>
          <w:sz w:val="22"/>
          <w:szCs w:val="22"/>
        </w:rPr>
      </w:pPr>
    </w:p>
    <w:p w:rsidR="00045CEE" w:rsidRDefault="00A75C2F" w:rsidP="00695204">
      <w:pPr>
        <w:ind w:left="720"/>
        <w:rPr>
          <w:sz w:val="22"/>
          <w:szCs w:val="22"/>
        </w:rPr>
      </w:pPr>
      <w:r>
        <w:rPr>
          <w:sz w:val="22"/>
          <w:szCs w:val="22"/>
        </w:rPr>
        <w:t>(e)</w:t>
      </w:r>
      <w:r w:rsidR="00695204">
        <w:rPr>
          <w:sz w:val="22"/>
          <w:szCs w:val="22"/>
        </w:rPr>
        <w:t xml:space="preserve"> </w:t>
      </w:r>
      <w:proofErr w:type="gramStart"/>
      <w:r w:rsidR="00045CEE">
        <w:rPr>
          <w:sz w:val="22"/>
          <w:szCs w:val="22"/>
        </w:rPr>
        <w:t>the</w:t>
      </w:r>
      <w:proofErr w:type="gramEnd"/>
      <w:r w:rsidR="00045CEE">
        <w:rPr>
          <w:sz w:val="22"/>
          <w:szCs w:val="22"/>
        </w:rPr>
        <w:t xml:space="preserve"> person is the holder of a visa that is in a class of visas determined by the Minister for the purposes of this subparagraph;</w:t>
      </w:r>
    </w:p>
    <w:p w:rsidR="00045CEE" w:rsidRDefault="00045CEE" w:rsidP="005E3176">
      <w:pPr>
        <w:rPr>
          <w:sz w:val="22"/>
          <w:szCs w:val="22"/>
        </w:rPr>
      </w:pPr>
    </w:p>
    <w:p w:rsidR="005E3176" w:rsidRDefault="00F34A88" w:rsidP="005E3176">
      <w:pPr>
        <w:rPr>
          <w:sz w:val="22"/>
          <w:szCs w:val="22"/>
        </w:rPr>
      </w:pPr>
      <w:r>
        <w:rPr>
          <w:sz w:val="22"/>
          <w:szCs w:val="22"/>
        </w:rPr>
        <w:t>Note</w:t>
      </w:r>
      <w:r w:rsidR="005E3176">
        <w:rPr>
          <w:sz w:val="22"/>
          <w:szCs w:val="22"/>
        </w:rPr>
        <w:t>: This w</w:t>
      </w:r>
      <w:r w:rsidR="004C48DF">
        <w:rPr>
          <w:sz w:val="22"/>
          <w:szCs w:val="22"/>
        </w:rPr>
        <w:t>ould enable the Minister to exempt</w:t>
      </w:r>
      <w:r w:rsidR="005E3176">
        <w:rPr>
          <w:sz w:val="22"/>
          <w:szCs w:val="22"/>
        </w:rPr>
        <w:t xml:space="preserve"> subclass 143 visa holders</w:t>
      </w:r>
      <w:r w:rsidR="004C48DF">
        <w:rPr>
          <w:sz w:val="22"/>
          <w:szCs w:val="22"/>
        </w:rPr>
        <w:t xml:space="preserve"> from the normal 10 year qualifying residence period for the age pension.</w:t>
      </w:r>
      <w:r w:rsidR="00665504">
        <w:rPr>
          <w:sz w:val="22"/>
          <w:szCs w:val="22"/>
        </w:rPr>
        <w:t xml:space="preserve">  Use of a legislative instrument is the standard approach, as it enables changes to </w:t>
      </w:r>
      <w:proofErr w:type="gramStart"/>
      <w:r w:rsidR="00665504">
        <w:rPr>
          <w:sz w:val="22"/>
          <w:szCs w:val="22"/>
        </w:rPr>
        <w:t>made</w:t>
      </w:r>
      <w:proofErr w:type="gramEnd"/>
      <w:r w:rsidR="00665504">
        <w:rPr>
          <w:sz w:val="22"/>
          <w:szCs w:val="22"/>
        </w:rPr>
        <w:t xml:space="preserve"> more readily in response to changes to migration and visa rules.</w:t>
      </w:r>
    </w:p>
    <w:p w:rsidR="005E3176" w:rsidRDefault="005E3176" w:rsidP="005E3176">
      <w:pPr>
        <w:rPr>
          <w:sz w:val="22"/>
          <w:szCs w:val="22"/>
        </w:rPr>
      </w:pPr>
    </w:p>
    <w:p w:rsidR="00045CEE" w:rsidRDefault="00045CEE" w:rsidP="00045CEE">
      <w:pPr>
        <w:rPr>
          <w:sz w:val="22"/>
          <w:szCs w:val="22"/>
        </w:rPr>
      </w:pPr>
      <w:r>
        <w:rPr>
          <w:sz w:val="22"/>
          <w:szCs w:val="22"/>
        </w:rPr>
        <w:t>(ii) Make a determination under proposed s 43(1</w:t>
      </w:r>
      <w:proofErr w:type="gramStart"/>
      <w:r>
        <w:rPr>
          <w:sz w:val="22"/>
          <w:szCs w:val="22"/>
        </w:rPr>
        <w:t>)(</w:t>
      </w:r>
      <w:proofErr w:type="gramEnd"/>
      <w:r>
        <w:rPr>
          <w:sz w:val="22"/>
          <w:szCs w:val="22"/>
        </w:rPr>
        <w:t xml:space="preserve">e) of the </w:t>
      </w:r>
      <w:r>
        <w:rPr>
          <w:i/>
          <w:sz w:val="22"/>
          <w:szCs w:val="22"/>
        </w:rPr>
        <w:t>Social Security Act 1991</w:t>
      </w:r>
      <w:r>
        <w:rPr>
          <w:sz w:val="22"/>
          <w:szCs w:val="22"/>
        </w:rPr>
        <w:t xml:space="preserve"> which provides that:</w:t>
      </w:r>
    </w:p>
    <w:p w:rsidR="00045CEE" w:rsidRDefault="00045CEE" w:rsidP="00045CEE">
      <w:pPr>
        <w:rPr>
          <w:sz w:val="22"/>
          <w:szCs w:val="22"/>
        </w:rPr>
      </w:pPr>
    </w:p>
    <w:p w:rsidR="00045CEE" w:rsidRDefault="000122CC" w:rsidP="00045CEE">
      <w:pPr>
        <w:pStyle w:val="ListParagraph"/>
        <w:numPr>
          <w:ilvl w:val="0"/>
          <w:numId w:val="38"/>
        </w:numPr>
        <w:rPr>
          <w:sz w:val="22"/>
          <w:szCs w:val="22"/>
        </w:rPr>
      </w:pPr>
      <w:r>
        <w:rPr>
          <w:sz w:val="22"/>
          <w:szCs w:val="22"/>
        </w:rPr>
        <w:t>For the purposes of subsection 43(1)(e)</w:t>
      </w:r>
      <w:r w:rsidR="00045CEE">
        <w:rPr>
          <w:sz w:val="22"/>
          <w:szCs w:val="22"/>
        </w:rPr>
        <w:t xml:space="preserve"> of the </w:t>
      </w:r>
      <w:r w:rsidR="00045CEE">
        <w:rPr>
          <w:i/>
          <w:sz w:val="22"/>
          <w:szCs w:val="22"/>
        </w:rPr>
        <w:t>Social Security Act 1991</w:t>
      </w:r>
      <w:r w:rsidR="00045CEE">
        <w:rPr>
          <w:sz w:val="22"/>
          <w:szCs w:val="22"/>
        </w:rPr>
        <w:t>, classes of visa are:</w:t>
      </w:r>
    </w:p>
    <w:p w:rsidR="00045CEE" w:rsidRDefault="00045CEE" w:rsidP="00045CEE">
      <w:pPr>
        <w:pStyle w:val="ListParagraph"/>
        <w:ind w:left="1080"/>
        <w:rPr>
          <w:sz w:val="22"/>
          <w:szCs w:val="22"/>
        </w:rPr>
      </w:pPr>
    </w:p>
    <w:p w:rsidR="00045CEE" w:rsidRDefault="00045CEE" w:rsidP="00045CEE">
      <w:pPr>
        <w:pStyle w:val="ListParagraph"/>
        <w:numPr>
          <w:ilvl w:val="0"/>
          <w:numId w:val="39"/>
        </w:numPr>
        <w:rPr>
          <w:sz w:val="22"/>
          <w:szCs w:val="22"/>
        </w:rPr>
      </w:pPr>
      <w:proofErr w:type="gramStart"/>
      <w:r>
        <w:rPr>
          <w:sz w:val="22"/>
          <w:szCs w:val="22"/>
        </w:rPr>
        <w:t>if</w:t>
      </w:r>
      <w:proofErr w:type="gramEnd"/>
      <w:r>
        <w:rPr>
          <w:sz w:val="22"/>
          <w:szCs w:val="22"/>
        </w:rPr>
        <w:t xml:space="preserve"> the circumstances in subsection (2) are met, a Subclass 143 (Contributory Parent).</w:t>
      </w:r>
    </w:p>
    <w:p w:rsidR="00045CEE" w:rsidRDefault="00045CEE" w:rsidP="00045CEE">
      <w:pPr>
        <w:rPr>
          <w:sz w:val="22"/>
          <w:szCs w:val="22"/>
        </w:rPr>
      </w:pPr>
    </w:p>
    <w:p w:rsidR="00045CEE" w:rsidRDefault="00045CEE" w:rsidP="00045CEE">
      <w:pPr>
        <w:pStyle w:val="ListParagraph"/>
        <w:numPr>
          <w:ilvl w:val="0"/>
          <w:numId w:val="38"/>
        </w:numPr>
        <w:rPr>
          <w:sz w:val="22"/>
          <w:szCs w:val="22"/>
        </w:rPr>
      </w:pPr>
      <w:r>
        <w:rPr>
          <w:sz w:val="22"/>
          <w:szCs w:val="22"/>
        </w:rPr>
        <w:t>For paragraph (1)(</w:t>
      </w:r>
      <w:r w:rsidR="00303201">
        <w:rPr>
          <w:sz w:val="22"/>
          <w:szCs w:val="22"/>
        </w:rPr>
        <w:t>a</w:t>
      </w:r>
      <w:r>
        <w:rPr>
          <w:sz w:val="22"/>
          <w:szCs w:val="22"/>
        </w:rPr>
        <w:t>), the circumstances are that:</w:t>
      </w:r>
    </w:p>
    <w:p w:rsidR="00045CEE" w:rsidRDefault="00045CEE" w:rsidP="00045CEE">
      <w:pPr>
        <w:pStyle w:val="ListParagraph"/>
        <w:ind w:left="1080"/>
        <w:rPr>
          <w:sz w:val="22"/>
          <w:szCs w:val="22"/>
        </w:rPr>
      </w:pPr>
    </w:p>
    <w:p w:rsidR="00045CEE" w:rsidRDefault="00045CEE" w:rsidP="00045CEE">
      <w:pPr>
        <w:pStyle w:val="ListParagraph"/>
        <w:numPr>
          <w:ilvl w:val="0"/>
          <w:numId w:val="40"/>
        </w:numPr>
        <w:rPr>
          <w:sz w:val="22"/>
          <w:szCs w:val="22"/>
        </w:rPr>
      </w:pPr>
      <w:r>
        <w:rPr>
          <w:sz w:val="22"/>
          <w:szCs w:val="22"/>
        </w:rPr>
        <w:t xml:space="preserve">an assurance of support was in force in respect of the person (the </w:t>
      </w:r>
      <w:proofErr w:type="spellStart"/>
      <w:r>
        <w:rPr>
          <w:sz w:val="22"/>
          <w:szCs w:val="22"/>
        </w:rPr>
        <w:t>assuree</w:t>
      </w:r>
      <w:proofErr w:type="spellEnd"/>
      <w:r>
        <w:rPr>
          <w:sz w:val="22"/>
          <w:szCs w:val="22"/>
        </w:rPr>
        <w:t xml:space="preserve">) </w:t>
      </w:r>
      <w:r w:rsidR="00303201">
        <w:rPr>
          <w:sz w:val="22"/>
          <w:szCs w:val="22"/>
        </w:rPr>
        <w:t xml:space="preserve">but was cancelled by the Secretary in the circumstances specified by a determination under subparagraph 1061ZZGF(1)(b)(iii) of the </w:t>
      </w:r>
      <w:r w:rsidR="00303201">
        <w:rPr>
          <w:i/>
          <w:sz w:val="22"/>
          <w:szCs w:val="22"/>
        </w:rPr>
        <w:t>Social Security Act 1991</w:t>
      </w:r>
      <w:r w:rsidR="00303201">
        <w:rPr>
          <w:sz w:val="22"/>
          <w:szCs w:val="22"/>
        </w:rPr>
        <w:t>; or</w:t>
      </w:r>
    </w:p>
    <w:p w:rsidR="007C19A2" w:rsidRDefault="007C19A2" w:rsidP="007C19A2">
      <w:pPr>
        <w:pStyle w:val="ListParagraph"/>
        <w:ind w:left="1440"/>
        <w:rPr>
          <w:sz w:val="22"/>
          <w:szCs w:val="22"/>
        </w:rPr>
      </w:pPr>
    </w:p>
    <w:p w:rsidR="00303201" w:rsidRPr="00045CEE" w:rsidRDefault="00303201" w:rsidP="00045CEE">
      <w:pPr>
        <w:pStyle w:val="ListParagraph"/>
        <w:numPr>
          <w:ilvl w:val="0"/>
          <w:numId w:val="40"/>
        </w:numPr>
        <w:rPr>
          <w:sz w:val="22"/>
          <w:szCs w:val="22"/>
        </w:rPr>
      </w:pPr>
      <w:r>
        <w:rPr>
          <w:sz w:val="22"/>
          <w:szCs w:val="22"/>
        </w:rPr>
        <w:t xml:space="preserve">an assurance of support is in force in respect of the </w:t>
      </w:r>
      <w:proofErr w:type="spellStart"/>
      <w:r>
        <w:rPr>
          <w:sz w:val="22"/>
          <w:szCs w:val="22"/>
        </w:rPr>
        <w:t>assuree</w:t>
      </w:r>
      <w:proofErr w:type="spellEnd"/>
      <w:r>
        <w:rPr>
          <w:sz w:val="22"/>
          <w:szCs w:val="22"/>
        </w:rPr>
        <w:t xml:space="preserve"> and the person who gave the assurance of support is: </w:t>
      </w:r>
    </w:p>
    <w:p w:rsidR="00695204" w:rsidRDefault="00695204" w:rsidP="00695204">
      <w:pPr>
        <w:ind w:left="72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unwilling</w:t>
      </w:r>
      <w:proofErr w:type="gramEnd"/>
      <w:r>
        <w:rPr>
          <w:sz w:val="22"/>
          <w:szCs w:val="22"/>
        </w:rPr>
        <w:t xml:space="preserve"> or unable to provide an adequate level of support to the </w:t>
      </w:r>
      <w:proofErr w:type="spellStart"/>
      <w:r>
        <w:rPr>
          <w:sz w:val="22"/>
          <w:szCs w:val="22"/>
        </w:rPr>
        <w:t>assuree</w:t>
      </w:r>
      <w:proofErr w:type="spellEnd"/>
      <w:r>
        <w:rPr>
          <w:sz w:val="22"/>
          <w:szCs w:val="22"/>
        </w:rPr>
        <w:t xml:space="preserve">; or </w:t>
      </w:r>
    </w:p>
    <w:p w:rsidR="00695204" w:rsidRDefault="00695204" w:rsidP="00695204">
      <w:pPr>
        <w:ind w:left="1440"/>
        <w:rPr>
          <w:sz w:val="22"/>
          <w:szCs w:val="22"/>
        </w:rPr>
      </w:pPr>
      <w:r>
        <w:rPr>
          <w:sz w:val="22"/>
          <w:szCs w:val="22"/>
        </w:rPr>
        <w:t xml:space="preserve">(ii) </w:t>
      </w:r>
      <w:proofErr w:type="gramStart"/>
      <w:r>
        <w:rPr>
          <w:sz w:val="22"/>
          <w:szCs w:val="22"/>
        </w:rPr>
        <w:t>it</w:t>
      </w:r>
      <w:proofErr w:type="gramEnd"/>
      <w:r>
        <w:rPr>
          <w:sz w:val="22"/>
          <w:szCs w:val="22"/>
        </w:rPr>
        <w:t xml:space="preserve"> is unreasonable for the </w:t>
      </w:r>
      <w:proofErr w:type="spellStart"/>
      <w:r>
        <w:rPr>
          <w:sz w:val="22"/>
          <w:szCs w:val="22"/>
        </w:rPr>
        <w:t>assuree</w:t>
      </w:r>
      <w:proofErr w:type="spellEnd"/>
      <w:r>
        <w:rPr>
          <w:sz w:val="22"/>
          <w:szCs w:val="22"/>
        </w:rPr>
        <w:t xml:space="preserve"> to accept that support.</w:t>
      </w:r>
    </w:p>
    <w:p w:rsidR="00695204" w:rsidRDefault="00695204" w:rsidP="00695204">
      <w:pPr>
        <w:rPr>
          <w:sz w:val="22"/>
          <w:szCs w:val="22"/>
        </w:rPr>
      </w:pPr>
    </w:p>
    <w:p w:rsidR="00A75C2F" w:rsidRDefault="00F34A88" w:rsidP="00695204">
      <w:pPr>
        <w:rPr>
          <w:sz w:val="22"/>
          <w:szCs w:val="22"/>
        </w:rPr>
      </w:pPr>
      <w:r>
        <w:rPr>
          <w:sz w:val="22"/>
          <w:szCs w:val="22"/>
        </w:rPr>
        <w:t>Note</w:t>
      </w:r>
      <w:r w:rsidR="00665504">
        <w:rPr>
          <w:sz w:val="22"/>
          <w:szCs w:val="22"/>
        </w:rPr>
        <w:t>: A legislative instrument in this form would limit the exemption to cases where the assurance of support is cancelled early due to injury or illness affecting the a</w:t>
      </w:r>
      <w:r w:rsidR="00FF7561">
        <w:rPr>
          <w:sz w:val="22"/>
          <w:szCs w:val="22"/>
        </w:rPr>
        <w:t>ssurer’s ability to support the visa holder</w:t>
      </w:r>
      <w:r w:rsidR="00665504">
        <w:rPr>
          <w:sz w:val="22"/>
          <w:szCs w:val="22"/>
        </w:rPr>
        <w:t xml:space="preserve"> or where the visa holder is eligible because the assurer is unable or unwilling to support them, or it is unreasonable for them to accept the support.</w:t>
      </w:r>
    </w:p>
    <w:p w:rsidR="00665504" w:rsidRDefault="00665504" w:rsidP="00695204">
      <w:pPr>
        <w:rPr>
          <w:sz w:val="22"/>
          <w:szCs w:val="22"/>
        </w:rPr>
      </w:pPr>
    </w:p>
    <w:p w:rsidR="00AC700B" w:rsidRDefault="00AC700B" w:rsidP="00695204">
      <w:pPr>
        <w:rPr>
          <w:sz w:val="22"/>
          <w:szCs w:val="22"/>
        </w:rPr>
      </w:pPr>
      <w:r>
        <w:rPr>
          <w:sz w:val="22"/>
          <w:szCs w:val="22"/>
        </w:rPr>
        <w:lastRenderedPageBreak/>
        <w:t xml:space="preserve">(iii) Amend the table in s 5(1) of the </w:t>
      </w:r>
      <w:r w:rsidRPr="008F1553">
        <w:rPr>
          <w:i/>
          <w:sz w:val="22"/>
          <w:szCs w:val="22"/>
        </w:rPr>
        <w:t xml:space="preserve">Social Security (Assurances of Support) (DEEWR) Determination </w:t>
      </w:r>
      <w:proofErr w:type="gramStart"/>
      <w:r w:rsidRPr="008F1553">
        <w:rPr>
          <w:i/>
          <w:sz w:val="22"/>
          <w:szCs w:val="22"/>
        </w:rPr>
        <w:t>2008</w:t>
      </w:r>
      <w:r w:rsidRPr="008F1553">
        <w:rPr>
          <w:sz w:val="22"/>
          <w:szCs w:val="22"/>
        </w:rPr>
        <w:t xml:space="preserve"> </w:t>
      </w:r>
      <w:r>
        <w:rPr>
          <w:sz w:val="22"/>
          <w:szCs w:val="22"/>
        </w:rPr>
        <w:t xml:space="preserve"> to</w:t>
      </w:r>
      <w:proofErr w:type="gramEnd"/>
      <w:r>
        <w:rPr>
          <w:sz w:val="22"/>
          <w:szCs w:val="22"/>
        </w:rPr>
        <w:t xml:space="preserve"> insert item 10, Age pension under Part 2.2 of the Act.</w:t>
      </w:r>
    </w:p>
    <w:p w:rsidR="00665504" w:rsidRDefault="00665504" w:rsidP="00695204">
      <w:pPr>
        <w:rPr>
          <w:sz w:val="22"/>
          <w:szCs w:val="22"/>
        </w:rPr>
      </w:pPr>
    </w:p>
    <w:p w:rsidR="00665504" w:rsidRDefault="00F34A88" w:rsidP="00695204">
      <w:pPr>
        <w:rPr>
          <w:sz w:val="22"/>
          <w:szCs w:val="22"/>
        </w:rPr>
      </w:pPr>
      <w:r>
        <w:rPr>
          <w:sz w:val="22"/>
          <w:szCs w:val="22"/>
        </w:rPr>
        <w:t>Note</w:t>
      </w:r>
      <w:r w:rsidR="00665504">
        <w:rPr>
          <w:sz w:val="22"/>
          <w:szCs w:val="22"/>
        </w:rPr>
        <w:t>: This would make the age pension a recoverable payment under the assurance of support scheme.  The Commonwealth could recover payments to a subclass 143 visa holder before the expiry of their assurance of support period from the assurer.</w:t>
      </w:r>
    </w:p>
    <w:p w:rsidR="00D31208" w:rsidRPr="008F1553" w:rsidRDefault="00D31208" w:rsidP="00892362">
      <w:pPr>
        <w:rPr>
          <w:sz w:val="22"/>
          <w:szCs w:val="22"/>
        </w:rPr>
      </w:pPr>
    </w:p>
    <w:p w:rsidR="00A371B0" w:rsidRPr="00F60E2A" w:rsidRDefault="00411F1F" w:rsidP="00892362">
      <w:pPr>
        <w:rPr>
          <w:szCs w:val="24"/>
        </w:rPr>
      </w:pPr>
      <w:r>
        <w:rPr>
          <w:b/>
          <w:szCs w:val="24"/>
        </w:rPr>
        <w:t>Background</w:t>
      </w:r>
    </w:p>
    <w:p w:rsidR="00FC7B22" w:rsidRPr="008F1553" w:rsidRDefault="00FC7B22" w:rsidP="00892362">
      <w:pPr>
        <w:rPr>
          <w:sz w:val="22"/>
          <w:szCs w:val="22"/>
        </w:rPr>
      </w:pPr>
    </w:p>
    <w:p w:rsidR="00007623" w:rsidRPr="008F1553" w:rsidRDefault="00D4440F" w:rsidP="00007623">
      <w:pPr>
        <w:rPr>
          <w:sz w:val="22"/>
          <w:szCs w:val="22"/>
        </w:rPr>
      </w:pPr>
      <w:r>
        <w:rPr>
          <w:sz w:val="22"/>
          <w:szCs w:val="22"/>
        </w:rPr>
        <w:t xml:space="preserve">The main visa class for older migrants whose children are Australian citizens or permanent residents is the contributory parent visa (subclass 143).  </w:t>
      </w:r>
      <w:r w:rsidRPr="008F1553">
        <w:rPr>
          <w:sz w:val="22"/>
          <w:szCs w:val="22"/>
        </w:rPr>
        <w:t>In 2014-15, 7175 contributory parent visas were granted compared to 1500 parent visas</w:t>
      </w:r>
      <w:r>
        <w:rPr>
          <w:sz w:val="22"/>
          <w:szCs w:val="22"/>
        </w:rPr>
        <w:t xml:space="preserve"> (sub class 103), the main alternative visa option</w:t>
      </w:r>
      <w:r w:rsidRPr="008F1553">
        <w:rPr>
          <w:sz w:val="22"/>
          <w:szCs w:val="22"/>
        </w:rPr>
        <w:t>.</w:t>
      </w:r>
      <w:r w:rsidRPr="008F1553">
        <w:rPr>
          <w:rStyle w:val="FootnoteReference"/>
          <w:sz w:val="22"/>
          <w:szCs w:val="22"/>
        </w:rPr>
        <w:footnoteReference w:id="1"/>
      </w:r>
      <w:r>
        <w:rPr>
          <w:sz w:val="22"/>
          <w:szCs w:val="22"/>
        </w:rPr>
        <w:t xml:space="preserve">  Contributory parent visa holders are entitled to permanent residence.  </w:t>
      </w:r>
      <w:r w:rsidR="008540EA" w:rsidRPr="008F1553">
        <w:rPr>
          <w:sz w:val="22"/>
          <w:szCs w:val="22"/>
        </w:rPr>
        <w:t>Applicants must be sponsored by their child and are subject to a mandatory assurance of support, usually given by their child or another relative.</w:t>
      </w:r>
    </w:p>
    <w:p w:rsidR="008540EA" w:rsidRPr="008F1553" w:rsidRDefault="008540EA" w:rsidP="00007623">
      <w:pPr>
        <w:rPr>
          <w:sz w:val="22"/>
          <w:szCs w:val="22"/>
        </w:rPr>
      </w:pPr>
    </w:p>
    <w:p w:rsidR="008540EA" w:rsidRDefault="008540EA" w:rsidP="00007623">
      <w:pPr>
        <w:rPr>
          <w:sz w:val="22"/>
          <w:szCs w:val="22"/>
        </w:rPr>
      </w:pPr>
      <w:r w:rsidRPr="008F1553">
        <w:rPr>
          <w:sz w:val="22"/>
          <w:szCs w:val="22"/>
        </w:rPr>
        <w:t>Under an assurance of support (</w:t>
      </w:r>
      <w:proofErr w:type="spellStart"/>
      <w:r w:rsidRPr="008F1553">
        <w:rPr>
          <w:sz w:val="22"/>
          <w:szCs w:val="22"/>
        </w:rPr>
        <w:t>AoS</w:t>
      </w:r>
      <w:proofErr w:type="spellEnd"/>
      <w:r w:rsidRPr="008F1553">
        <w:rPr>
          <w:sz w:val="22"/>
          <w:szCs w:val="22"/>
        </w:rPr>
        <w:t xml:space="preserve">) the assurer guarantees to provide financial support or repay any recoverable social security payments made to the visa holder during the period covered by the </w:t>
      </w:r>
      <w:proofErr w:type="spellStart"/>
      <w:r w:rsidRPr="008F1553">
        <w:rPr>
          <w:sz w:val="22"/>
          <w:szCs w:val="22"/>
        </w:rPr>
        <w:t>AoS</w:t>
      </w:r>
      <w:proofErr w:type="spellEnd"/>
      <w:r w:rsidRPr="008F1553">
        <w:rPr>
          <w:sz w:val="22"/>
          <w:szCs w:val="22"/>
        </w:rPr>
        <w:t xml:space="preserve">.  Where the </w:t>
      </w:r>
      <w:proofErr w:type="spellStart"/>
      <w:r w:rsidRPr="008F1553">
        <w:rPr>
          <w:sz w:val="22"/>
          <w:szCs w:val="22"/>
        </w:rPr>
        <w:t>AoS</w:t>
      </w:r>
      <w:proofErr w:type="spellEnd"/>
      <w:r w:rsidRPr="008F1553">
        <w:rPr>
          <w:sz w:val="22"/>
          <w:szCs w:val="22"/>
        </w:rPr>
        <w:t xml:space="preserve"> is mandatory, the assurer must provide security (a bank guarantee) for the required amount.</w:t>
      </w:r>
      <w:r w:rsidR="00DF3F33" w:rsidRPr="008F1553">
        <w:rPr>
          <w:sz w:val="22"/>
          <w:szCs w:val="22"/>
        </w:rPr>
        <w:t xml:space="preserve">  An </w:t>
      </w:r>
      <w:proofErr w:type="spellStart"/>
      <w:r w:rsidR="00DF3F33" w:rsidRPr="008F1553">
        <w:rPr>
          <w:sz w:val="22"/>
          <w:szCs w:val="22"/>
        </w:rPr>
        <w:t>AoS</w:t>
      </w:r>
      <w:proofErr w:type="spellEnd"/>
      <w:r w:rsidR="00DF3F33" w:rsidRPr="008F1553">
        <w:rPr>
          <w:sz w:val="22"/>
          <w:szCs w:val="22"/>
        </w:rPr>
        <w:t xml:space="preserve"> may be cancelled in very limited circumstances</w:t>
      </w:r>
      <w:r w:rsidR="00D4440F">
        <w:rPr>
          <w:sz w:val="22"/>
          <w:szCs w:val="22"/>
        </w:rPr>
        <w:t>, such as where illness or accident “critically affects” the assurer’s ability to provide support</w:t>
      </w:r>
      <w:r w:rsidR="00DF3F33" w:rsidRPr="008F1553">
        <w:rPr>
          <w:sz w:val="22"/>
          <w:szCs w:val="22"/>
        </w:rPr>
        <w:t>.</w:t>
      </w:r>
      <w:r w:rsidR="00DF3F33" w:rsidRPr="008F1553">
        <w:rPr>
          <w:rStyle w:val="FootnoteReference"/>
          <w:sz w:val="22"/>
          <w:szCs w:val="22"/>
        </w:rPr>
        <w:footnoteReference w:id="2"/>
      </w:r>
    </w:p>
    <w:p w:rsidR="00D4440F" w:rsidRDefault="00D4440F" w:rsidP="00007623">
      <w:pPr>
        <w:rPr>
          <w:sz w:val="22"/>
          <w:szCs w:val="22"/>
        </w:rPr>
      </w:pPr>
    </w:p>
    <w:p w:rsidR="008540EA" w:rsidRPr="008F1553" w:rsidRDefault="00D4440F" w:rsidP="00007623">
      <w:pPr>
        <w:rPr>
          <w:sz w:val="22"/>
          <w:szCs w:val="22"/>
        </w:rPr>
      </w:pPr>
      <w:r>
        <w:rPr>
          <w:sz w:val="22"/>
          <w:szCs w:val="22"/>
        </w:rPr>
        <w:t xml:space="preserve">For contributory parent visa holders, the </w:t>
      </w:r>
      <w:proofErr w:type="spellStart"/>
      <w:r>
        <w:rPr>
          <w:sz w:val="22"/>
          <w:szCs w:val="22"/>
        </w:rPr>
        <w:t>AoS</w:t>
      </w:r>
      <w:proofErr w:type="spellEnd"/>
      <w:r>
        <w:rPr>
          <w:sz w:val="22"/>
          <w:szCs w:val="22"/>
        </w:rPr>
        <w:t xml:space="preserve"> period is 10 years </w:t>
      </w:r>
      <w:r w:rsidR="008540EA" w:rsidRPr="008F1553">
        <w:rPr>
          <w:sz w:val="22"/>
          <w:szCs w:val="22"/>
        </w:rPr>
        <w:t>from the date of arrival in Australia, or date of grant of visa, whichever is later.</w:t>
      </w:r>
      <w:r w:rsidR="008540EA" w:rsidRPr="008F1553">
        <w:rPr>
          <w:rStyle w:val="FootnoteReference"/>
          <w:sz w:val="22"/>
          <w:szCs w:val="22"/>
        </w:rPr>
        <w:footnoteReference w:id="3"/>
      </w:r>
    </w:p>
    <w:p w:rsidR="008540EA" w:rsidRPr="008F1553" w:rsidRDefault="008540EA" w:rsidP="00007623">
      <w:pPr>
        <w:rPr>
          <w:sz w:val="22"/>
          <w:szCs w:val="22"/>
        </w:rPr>
      </w:pPr>
    </w:p>
    <w:p w:rsidR="00587DFF" w:rsidRPr="008F1553" w:rsidRDefault="008540EA" w:rsidP="00007623">
      <w:pPr>
        <w:rPr>
          <w:sz w:val="22"/>
          <w:szCs w:val="22"/>
        </w:rPr>
      </w:pPr>
      <w:r w:rsidRPr="008F1553">
        <w:rPr>
          <w:sz w:val="22"/>
          <w:szCs w:val="22"/>
        </w:rPr>
        <w:t xml:space="preserve">The main working age social security payments, such as </w:t>
      </w:r>
      <w:proofErr w:type="spellStart"/>
      <w:r w:rsidRPr="008F1553">
        <w:rPr>
          <w:sz w:val="22"/>
          <w:szCs w:val="22"/>
        </w:rPr>
        <w:t>newstart</w:t>
      </w:r>
      <w:proofErr w:type="spellEnd"/>
      <w:r w:rsidRPr="008F1553">
        <w:rPr>
          <w:sz w:val="22"/>
          <w:szCs w:val="22"/>
        </w:rPr>
        <w:t xml:space="preserve"> allowance for unemployed job seekers, are recoverable.</w:t>
      </w:r>
      <w:r w:rsidR="003050B0" w:rsidRPr="008F1553">
        <w:rPr>
          <w:rStyle w:val="FootnoteReference"/>
          <w:sz w:val="22"/>
          <w:szCs w:val="22"/>
        </w:rPr>
        <w:footnoteReference w:id="4"/>
      </w:r>
      <w:r w:rsidRPr="008F1553">
        <w:rPr>
          <w:sz w:val="22"/>
          <w:szCs w:val="22"/>
        </w:rPr>
        <w:t xml:space="preserve">  However, the age and disability support pension are not recoverable, nor is carer payment.</w:t>
      </w:r>
      <w:r w:rsidR="006011D1" w:rsidRPr="008F1553">
        <w:rPr>
          <w:sz w:val="22"/>
          <w:szCs w:val="22"/>
        </w:rPr>
        <w:t xml:space="preserve">  If the </w:t>
      </w:r>
      <w:proofErr w:type="spellStart"/>
      <w:r w:rsidR="006011D1" w:rsidRPr="008F1553">
        <w:rPr>
          <w:sz w:val="22"/>
          <w:szCs w:val="22"/>
        </w:rPr>
        <w:t>assuree</w:t>
      </w:r>
      <w:proofErr w:type="spellEnd"/>
      <w:r w:rsidR="006011D1" w:rsidRPr="008F1553">
        <w:rPr>
          <w:sz w:val="22"/>
          <w:szCs w:val="22"/>
        </w:rPr>
        <w:t xml:space="preserve"> receives a recoverable social security payment during the </w:t>
      </w:r>
      <w:proofErr w:type="spellStart"/>
      <w:r w:rsidR="006011D1" w:rsidRPr="008F1553">
        <w:rPr>
          <w:sz w:val="22"/>
          <w:szCs w:val="22"/>
        </w:rPr>
        <w:t>AoS</w:t>
      </w:r>
      <w:proofErr w:type="spellEnd"/>
      <w:r w:rsidR="006011D1" w:rsidRPr="008F1553">
        <w:rPr>
          <w:sz w:val="22"/>
          <w:szCs w:val="22"/>
        </w:rPr>
        <w:t xml:space="preserve"> period, the full amount is a debt to the Commonwealth which the assurer is liable to repay.</w:t>
      </w:r>
      <w:r w:rsidR="00587DFF" w:rsidRPr="008F1553">
        <w:rPr>
          <w:sz w:val="22"/>
          <w:szCs w:val="22"/>
        </w:rPr>
        <w:t xml:space="preserve">  It is recovered</w:t>
      </w:r>
      <w:r w:rsidR="00D4440F">
        <w:rPr>
          <w:sz w:val="22"/>
          <w:szCs w:val="22"/>
        </w:rPr>
        <w:t xml:space="preserve"> in the first instance from any</w:t>
      </w:r>
      <w:r w:rsidR="00587DFF" w:rsidRPr="008F1553">
        <w:rPr>
          <w:sz w:val="22"/>
          <w:szCs w:val="22"/>
        </w:rPr>
        <w:t xml:space="preserve"> bank guarantee.</w:t>
      </w:r>
      <w:r w:rsidR="00D4440F">
        <w:rPr>
          <w:sz w:val="22"/>
          <w:szCs w:val="22"/>
        </w:rPr>
        <w:t xml:space="preserve">  </w:t>
      </w:r>
      <w:r w:rsidR="00587DFF" w:rsidRPr="008F1553">
        <w:rPr>
          <w:sz w:val="22"/>
          <w:szCs w:val="22"/>
        </w:rPr>
        <w:t>Debts raised</w:t>
      </w:r>
      <w:r w:rsidR="00D4440F">
        <w:rPr>
          <w:sz w:val="22"/>
          <w:szCs w:val="22"/>
        </w:rPr>
        <w:t xml:space="preserve"> against the assurer</w:t>
      </w:r>
      <w:r w:rsidR="00587DFF" w:rsidRPr="008F1553">
        <w:rPr>
          <w:sz w:val="22"/>
          <w:szCs w:val="22"/>
        </w:rPr>
        <w:t xml:space="preserve"> must generally be repaid and may only be waived in very limited circumstances.</w:t>
      </w:r>
      <w:r w:rsidR="00587DFF" w:rsidRPr="008F1553">
        <w:rPr>
          <w:rStyle w:val="FootnoteReference"/>
          <w:sz w:val="22"/>
          <w:szCs w:val="22"/>
        </w:rPr>
        <w:footnoteReference w:id="5"/>
      </w:r>
    </w:p>
    <w:p w:rsidR="006011D1" w:rsidRPr="008F1553" w:rsidRDefault="006011D1" w:rsidP="00007623">
      <w:pPr>
        <w:rPr>
          <w:sz w:val="22"/>
          <w:szCs w:val="22"/>
        </w:rPr>
      </w:pPr>
    </w:p>
    <w:p w:rsidR="006011D1" w:rsidRPr="008F1553" w:rsidRDefault="00587DFF" w:rsidP="00007623">
      <w:pPr>
        <w:rPr>
          <w:sz w:val="22"/>
          <w:szCs w:val="22"/>
        </w:rPr>
      </w:pPr>
      <w:r w:rsidRPr="008F1553">
        <w:rPr>
          <w:sz w:val="22"/>
          <w:szCs w:val="22"/>
        </w:rPr>
        <w:t xml:space="preserve">Generally, an </w:t>
      </w:r>
      <w:proofErr w:type="spellStart"/>
      <w:r w:rsidRPr="008F1553">
        <w:rPr>
          <w:sz w:val="22"/>
          <w:szCs w:val="22"/>
        </w:rPr>
        <w:t>assuree</w:t>
      </w:r>
      <w:proofErr w:type="spellEnd"/>
      <w:r w:rsidRPr="008F1553">
        <w:rPr>
          <w:sz w:val="22"/>
          <w:szCs w:val="22"/>
        </w:rPr>
        <w:t xml:space="preserve"> is ineligible for a recoverable social security payment during the </w:t>
      </w:r>
      <w:proofErr w:type="spellStart"/>
      <w:r w:rsidRPr="008F1553">
        <w:rPr>
          <w:sz w:val="22"/>
          <w:szCs w:val="22"/>
        </w:rPr>
        <w:t>AoS</w:t>
      </w:r>
      <w:proofErr w:type="spellEnd"/>
      <w:r w:rsidRPr="008F1553">
        <w:rPr>
          <w:sz w:val="22"/>
          <w:szCs w:val="22"/>
        </w:rPr>
        <w:t xml:space="preserve"> period.  If they make a claim for a recoverable payment, the Department of Human Services must determine whether:</w:t>
      </w:r>
    </w:p>
    <w:p w:rsidR="00587DFF" w:rsidRPr="008F1553" w:rsidRDefault="00587DFF" w:rsidP="00587DFF">
      <w:pPr>
        <w:pStyle w:val="ListParagraph"/>
        <w:numPr>
          <w:ilvl w:val="0"/>
          <w:numId w:val="30"/>
        </w:numPr>
        <w:rPr>
          <w:sz w:val="22"/>
          <w:szCs w:val="22"/>
        </w:rPr>
      </w:pPr>
      <w:r w:rsidRPr="008F1553">
        <w:rPr>
          <w:sz w:val="22"/>
          <w:szCs w:val="22"/>
        </w:rPr>
        <w:t xml:space="preserve">the assurer is willing and able to provide an adequate level of support to the </w:t>
      </w:r>
      <w:proofErr w:type="spellStart"/>
      <w:r w:rsidRPr="008F1553">
        <w:rPr>
          <w:sz w:val="22"/>
          <w:szCs w:val="22"/>
        </w:rPr>
        <w:t>assure</w:t>
      </w:r>
      <w:r w:rsidR="00BC007D" w:rsidRPr="008F1553">
        <w:rPr>
          <w:sz w:val="22"/>
          <w:szCs w:val="22"/>
        </w:rPr>
        <w:t>e</w:t>
      </w:r>
      <w:proofErr w:type="spellEnd"/>
      <w:r w:rsidRPr="008F1553">
        <w:rPr>
          <w:sz w:val="22"/>
          <w:szCs w:val="22"/>
        </w:rPr>
        <w:t>, and</w:t>
      </w:r>
    </w:p>
    <w:p w:rsidR="00587DFF" w:rsidRPr="008F1553" w:rsidRDefault="00587DFF" w:rsidP="00587DFF">
      <w:pPr>
        <w:pStyle w:val="ListParagraph"/>
        <w:numPr>
          <w:ilvl w:val="0"/>
          <w:numId w:val="30"/>
        </w:numPr>
        <w:rPr>
          <w:sz w:val="22"/>
          <w:szCs w:val="22"/>
        </w:rPr>
      </w:pPr>
      <w:proofErr w:type="gramStart"/>
      <w:r w:rsidRPr="008F1553">
        <w:rPr>
          <w:sz w:val="22"/>
          <w:szCs w:val="22"/>
        </w:rPr>
        <w:t>if</w:t>
      </w:r>
      <w:proofErr w:type="gramEnd"/>
      <w:r w:rsidRPr="008F1553">
        <w:rPr>
          <w:sz w:val="22"/>
          <w:szCs w:val="22"/>
        </w:rPr>
        <w:t xml:space="preserve"> </w:t>
      </w:r>
      <w:r w:rsidR="00EA1D8A" w:rsidRPr="008F1553">
        <w:rPr>
          <w:sz w:val="22"/>
          <w:szCs w:val="22"/>
        </w:rPr>
        <w:t>so, whether it is reasonable to expect</w:t>
      </w:r>
      <w:r w:rsidRPr="008F1553">
        <w:rPr>
          <w:sz w:val="22"/>
          <w:szCs w:val="22"/>
        </w:rPr>
        <w:t xml:space="preserve"> the </w:t>
      </w:r>
      <w:proofErr w:type="spellStart"/>
      <w:r w:rsidRPr="008F1553">
        <w:rPr>
          <w:sz w:val="22"/>
          <w:szCs w:val="22"/>
        </w:rPr>
        <w:t>assuree</w:t>
      </w:r>
      <w:proofErr w:type="spellEnd"/>
      <w:r w:rsidRPr="008F1553">
        <w:rPr>
          <w:sz w:val="22"/>
          <w:szCs w:val="22"/>
        </w:rPr>
        <w:t xml:space="preserve"> to accept this support.</w:t>
      </w:r>
    </w:p>
    <w:p w:rsidR="00587DFF" w:rsidRPr="008F1553" w:rsidRDefault="00587DFF" w:rsidP="00587DFF">
      <w:pPr>
        <w:rPr>
          <w:sz w:val="22"/>
          <w:szCs w:val="22"/>
        </w:rPr>
      </w:pPr>
    </w:p>
    <w:p w:rsidR="00587DFF" w:rsidRPr="008F1553" w:rsidRDefault="00587DFF" w:rsidP="00587DFF">
      <w:pPr>
        <w:rPr>
          <w:sz w:val="22"/>
          <w:szCs w:val="22"/>
        </w:rPr>
      </w:pPr>
      <w:r w:rsidRPr="008F1553">
        <w:rPr>
          <w:sz w:val="22"/>
          <w:szCs w:val="22"/>
        </w:rPr>
        <w:t xml:space="preserve">Usually the process of establishing this involves contact with the assuror to give them the opportunity to provide support and avoid a debt.  However, the policy requires the </w:t>
      </w:r>
      <w:proofErr w:type="spellStart"/>
      <w:r w:rsidRPr="008F1553">
        <w:rPr>
          <w:sz w:val="22"/>
          <w:szCs w:val="22"/>
        </w:rPr>
        <w:t>Centrelink</w:t>
      </w:r>
      <w:proofErr w:type="spellEnd"/>
      <w:r w:rsidRPr="008F1553">
        <w:rPr>
          <w:sz w:val="22"/>
          <w:szCs w:val="22"/>
        </w:rPr>
        <w:t xml:space="preserve"> decision-maker to involve a social worker if there is a risk of harm to the </w:t>
      </w:r>
      <w:proofErr w:type="spellStart"/>
      <w:r w:rsidRPr="008F1553">
        <w:rPr>
          <w:sz w:val="22"/>
          <w:szCs w:val="22"/>
        </w:rPr>
        <w:t>assuree</w:t>
      </w:r>
      <w:proofErr w:type="spellEnd"/>
      <w:r w:rsidRPr="008F1553">
        <w:rPr>
          <w:sz w:val="22"/>
          <w:szCs w:val="22"/>
        </w:rPr>
        <w:t xml:space="preserve"> and allows for contact with the assuror to be deferred until the risk of harm to the </w:t>
      </w:r>
      <w:proofErr w:type="spellStart"/>
      <w:r w:rsidRPr="008F1553">
        <w:rPr>
          <w:sz w:val="22"/>
          <w:szCs w:val="22"/>
        </w:rPr>
        <w:t>assuree</w:t>
      </w:r>
      <w:proofErr w:type="spellEnd"/>
      <w:r w:rsidRPr="008F1553">
        <w:rPr>
          <w:sz w:val="22"/>
          <w:szCs w:val="22"/>
        </w:rPr>
        <w:t xml:space="preserve"> has passed.</w:t>
      </w:r>
      <w:r w:rsidR="009F00C2" w:rsidRPr="008F1553">
        <w:rPr>
          <w:rStyle w:val="FootnoteReference"/>
          <w:sz w:val="22"/>
          <w:szCs w:val="22"/>
        </w:rPr>
        <w:footnoteReference w:id="6"/>
      </w:r>
    </w:p>
    <w:p w:rsidR="008540EA" w:rsidRPr="008F1553" w:rsidRDefault="008540EA" w:rsidP="00007623">
      <w:pPr>
        <w:rPr>
          <w:sz w:val="22"/>
          <w:szCs w:val="22"/>
        </w:rPr>
      </w:pPr>
    </w:p>
    <w:p w:rsidR="006E1BEC" w:rsidRPr="008F1553" w:rsidRDefault="00BC007D" w:rsidP="00892362">
      <w:pPr>
        <w:rPr>
          <w:sz w:val="22"/>
          <w:szCs w:val="22"/>
        </w:rPr>
      </w:pPr>
      <w:r w:rsidRPr="008F1553">
        <w:rPr>
          <w:sz w:val="22"/>
          <w:szCs w:val="22"/>
        </w:rPr>
        <w:lastRenderedPageBreak/>
        <w:t xml:space="preserve">If </w:t>
      </w:r>
      <w:proofErr w:type="spellStart"/>
      <w:r w:rsidRPr="008F1553">
        <w:rPr>
          <w:sz w:val="22"/>
          <w:szCs w:val="22"/>
        </w:rPr>
        <w:t>Centrelink</w:t>
      </w:r>
      <w:proofErr w:type="spellEnd"/>
      <w:r w:rsidRPr="008F1553">
        <w:rPr>
          <w:sz w:val="22"/>
          <w:szCs w:val="22"/>
        </w:rPr>
        <w:t xml:space="preserve"> grants a recoverable payment (because it is satisfied that the assuror is not willing or able to support the </w:t>
      </w:r>
      <w:proofErr w:type="spellStart"/>
      <w:r w:rsidRPr="008F1553">
        <w:rPr>
          <w:sz w:val="22"/>
          <w:szCs w:val="22"/>
        </w:rPr>
        <w:t>assuree</w:t>
      </w:r>
      <w:proofErr w:type="spellEnd"/>
      <w:r w:rsidRPr="008F1553">
        <w:rPr>
          <w:sz w:val="22"/>
          <w:szCs w:val="22"/>
        </w:rPr>
        <w:t xml:space="preserve">, or because it is unreasonable for the </w:t>
      </w:r>
      <w:proofErr w:type="spellStart"/>
      <w:r w:rsidRPr="008F1553">
        <w:rPr>
          <w:sz w:val="22"/>
          <w:szCs w:val="22"/>
        </w:rPr>
        <w:t>assuree</w:t>
      </w:r>
      <w:proofErr w:type="spellEnd"/>
      <w:r w:rsidRPr="008F1553">
        <w:rPr>
          <w:sz w:val="22"/>
          <w:szCs w:val="22"/>
        </w:rPr>
        <w:t xml:space="preserve"> to accept the sup</w:t>
      </w:r>
      <w:r w:rsidR="009B6CCA">
        <w:rPr>
          <w:sz w:val="22"/>
          <w:szCs w:val="22"/>
        </w:rPr>
        <w:t>port), the payment is normally special b</w:t>
      </w:r>
      <w:r w:rsidRPr="008F1553">
        <w:rPr>
          <w:sz w:val="22"/>
          <w:szCs w:val="22"/>
        </w:rPr>
        <w:t>enefit due to the application of residence r</w:t>
      </w:r>
      <w:r w:rsidR="00D4440F">
        <w:rPr>
          <w:sz w:val="22"/>
          <w:szCs w:val="22"/>
        </w:rPr>
        <w:t>equirements and waiting periods and age requirements for payment.</w:t>
      </w:r>
    </w:p>
    <w:p w:rsidR="00BC007D" w:rsidRPr="008F1553" w:rsidRDefault="00BC007D" w:rsidP="00892362">
      <w:pPr>
        <w:rPr>
          <w:sz w:val="22"/>
          <w:szCs w:val="22"/>
        </w:rPr>
      </w:pPr>
    </w:p>
    <w:p w:rsidR="00BC007D" w:rsidRPr="008F1553" w:rsidRDefault="00D4440F" w:rsidP="00892362">
      <w:pPr>
        <w:rPr>
          <w:sz w:val="22"/>
          <w:szCs w:val="22"/>
        </w:rPr>
      </w:pPr>
      <w:r>
        <w:rPr>
          <w:sz w:val="22"/>
          <w:szCs w:val="22"/>
        </w:rPr>
        <w:t>Holders of subclass</w:t>
      </w:r>
      <w:r w:rsidR="00BC007D" w:rsidRPr="008F1553">
        <w:rPr>
          <w:sz w:val="22"/>
          <w:szCs w:val="22"/>
        </w:rPr>
        <w:t xml:space="preserve"> 143 visas are subject to:</w:t>
      </w:r>
    </w:p>
    <w:p w:rsidR="00BC007D" w:rsidRPr="008F1553" w:rsidRDefault="00BC007D" w:rsidP="00892362">
      <w:pPr>
        <w:rPr>
          <w:sz w:val="22"/>
          <w:szCs w:val="22"/>
        </w:rPr>
      </w:pPr>
    </w:p>
    <w:p w:rsidR="00BC007D" w:rsidRPr="008F1553" w:rsidRDefault="00BC007D" w:rsidP="00BC007D">
      <w:pPr>
        <w:pStyle w:val="ListParagraph"/>
        <w:numPr>
          <w:ilvl w:val="0"/>
          <w:numId w:val="31"/>
        </w:numPr>
        <w:rPr>
          <w:sz w:val="22"/>
          <w:szCs w:val="22"/>
        </w:rPr>
      </w:pPr>
      <w:r w:rsidRPr="008F1553">
        <w:rPr>
          <w:sz w:val="22"/>
          <w:szCs w:val="22"/>
        </w:rPr>
        <w:t>the general 10 year qualifying residence period for age and disability support pensions, and</w:t>
      </w:r>
    </w:p>
    <w:p w:rsidR="00BC007D" w:rsidRPr="008F1553" w:rsidRDefault="00BC007D" w:rsidP="00BC007D">
      <w:pPr>
        <w:pStyle w:val="ListParagraph"/>
        <w:rPr>
          <w:sz w:val="22"/>
          <w:szCs w:val="22"/>
        </w:rPr>
      </w:pPr>
    </w:p>
    <w:p w:rsidR="00BC007D" w:rsidRPr="008F1553" w:rsidRDefault="008D78CB" w:rsidP="00BC007D">
      <w:pPr>
        <w:pStyle w:val="ListParagraph"/>
        <w:numPr>
          <w:ilvl w:val="0"/>
          <w:numId w:val="31"/>
        </w:numPr>
        <w:rPr>
          <w:sz w:val="22"/>
          <w:szCs w:val="22"/>
        </w:rPr>
      </w:pPr>
      <w:proofErr w:type="gramStart"/>
      <w:r w:rsidRPr="008F1553">
        <w:rPr>
          <w:sz w:val="22"/>
          <w:szCs w:val="22"/>
        </w:rPr>
        <w:t>the</w:t>
      </w:r>
      <w:proofErr w:type="gramEnd"/>
      <w:r w:rsidRPr="008F1553">
        <w:rPr>
          <w:sz w:val="22"/>
          <w:szCs w:val="22"/>
        </w:rPr>
        <w:t xml:space="preserve"> general 2</w:t>
      </w:r>
      <w:r w:rsidR="00BC007D" w:rsidRPr="008F1553">
        <w:rPr>
          <w:sz w:val="22"/>
          <w:szCs w:val="22"/>
        </w:rPr>
        <w:t xml:space="preserve"> year Newly arrived resident’s waiting period (NARWP) for most other social security payments, including the main working age payments such as </w:t>
      </w:r>
      <w:proofErr w:type="spellStart"/>
      <w:r w:rsidR="00BC007D" w:rsidRPr="008F1553">
        <w:rPr>
          <w:sz w:val="22"/>
          <w:szCs w:val="22"/>
        </w:rPr>
        <w:t>newstart</w:t>
      </w:r>
      <w:proofErr w:type="spellEnd"/>
      <w:r w:rsidR="00BC007D" w:rsidRPr="008F1553">
        <w:rPr>
          <w:sz w:val="22"/>
          <w:szCs w:val="22"/>
        </w:rPr>
        <w:t xml:space="preserve"> allowance for unemployed job seekers.</w:t>
      </w:r>
    </w:p>
    <w:p w:rsidR="008D78CB" w:rsidRPr="008F1553" w:rsidRDefault="008D78CB" w:rsidP="008D78CB">
      <w:pPr>
        <w:rPr>
          <w:sz w:val="22"/>
          <w:szCs w:val="22"/>
        </w:rPr>
      </w:pPr>
    </w:p>
    <w:p w:rsidR="005C51C0" w:rsidRPr="008F1553" w:rsidRDefault="008D78CB" w:rsidP="005C51C0">
      <w:pPr>
        <w:rPr>
          <w:sz w:val="22"/>
          <w:szCs w:val="22"/>
        </w:rPr>
      </w:pPr>
      <w:r w:rsidRPr="008F1553">
        <w:rPr>
          <w:sz w:val="22"/>
          <w:szCs w:val="22"/>
        </w:rPr>
        <w:t xml:space="preserve">If over age pension age, </w:t>
      </w:r>
      <w:r w:rsidR="005C51C0" w:rsidRPr="008F1553">
        <w:rPr>
          <w:sz w:val="22"/>
          <w:szCs w:val="22"/>
        </w:rPr>
        <w:t>they are</w:t>
      </w:r>
      <w:r w:rsidR="00D4440F">
        <w:rPr>
          <w:sz w:val="22"/>
          <w:szCs w:val="22"/>
        </w:rPr>
        <w:t xml:space="preserve"> also</w:t>
      </w:r>
      <w:r w:rsidR="00665504">
        <w:rPr>
          <w:sz w:val="22"/>
          <w:szCs w:val="22"/>
        </w:rPr>
        <w:t xml:space="preserve"> ineligible for</w:t>
      </w:r>
      <w:r w:rsidR="005C51C0" w:rsidRPr="008F1553">
        <w:rPr>
          <w:sz w:val="22"/>
          <w:szCs w:val="22"/>
        </w:rPr>
        <w:t>:</w:t>
      </w:r>
    </w:p>
    <w:p w:rsidR="005C51C0" w:rsidRPr="008F1553" w:rsidRDefault="005C51C0" w:rsidP="005C51C0">
      <w:pPr>
        <w:rPr>
          <w:sz w:val="22"/>
          <w:szCs w:val="22"/>
        </w:rPr>
      </w:pPr>
    </w:p>
    <w:p w:rsidR="005C51C0" w:rsidRDefault="005C51C0" w:rsidP="005C51C0">
      <w:pPr>
        <w:pStyle w:val="ListParagraph"/>
        <w:numPr>
          <w:ilvl w:val="0"/>
          <w:numId w:val="33"/>
        </w:numPr>
        <w:rPr>
          <w:sz w:val="22"/>
          <w:szCs w:val="22"/>
        </w:rPr>
      </w:pPr>
      <w:r w:rsidRPr="008F1553">
        <w:rPr>
          <w:sz w:val="22"/>
          <w:szCs w:val="22"/>
        </w:rPr>
        <w:t xml:space="preserve">the age pension due to the 10 year qualifying residence period </w:t>
      </w:r>
    </w:p>
    <w:p w:rsidR="00D4440F" w:rsidRPr="008F1553" w:rsidRDefault="00D4440F" w:rsidP="00D4440F">
      <w:pPr>
        <w:pStyle w:val="ListParagraph"/>
        <w:rPr>
          <w:sz w:val="22"/>
          <w:szCs w:val="22"/>
        </w:rPr>
      </w:pPr>
    </w:p>
    <w:p w:rsidR="005C51C0" w:rsidRDefault="005C51C0" w:rsidP="005C51C0">
      <w:pPr>
        <w:pStyle w:val="ListParagraph"/>
        <w:numPr>
          <w:ilvl w:val="0"/>
          <w:numId w:val="33"/>
        </w:numPr>
        <w:rPr>
          <w:sz w:val="22"/>
          <w:szCs w:val="22"/>
        </w:rPr>
      </w:pPr>
      <w:r w:rsidRPr="008F1553">
        <w:rPr>
          <w:sz w:val="22"/>
          <w:szCs w:val="22"/>
        </w:rPr>
        <w:t>the disability support pension, as a proper claim for the disability support pension cannot be made</w:t>
      </w:r>
      <w:r w:rsidR="00D4440F">
        <w:rPr>
          <w:sz w:val="22"/>
          <w:szCs w:val="22"/>
        </w:rPr>
        <w:t xml:space="preserve"> once pension age</w:t>
      </w:r>
      <w:r w:rsidRPr="008F1553">
        <w:rPr>
          <w:rStyle w:val="FootnoteReference"/>
          <w:sz w:val="22"/>
          <w:szCs w:val="22"/>
        </w:rPr>
        <w:footnoteReference w:id="7"/>
      </w:r>
      <w:r w:rsidRPr="008F1553">
        <w:rPr>
          <w:sz w:val="22"/>
          <w:szCs w:val="22"/>
        </w:rPr>
        <w:t>, and</w:t>
      </w:r>
    </w:p>
    <w:p w:rsidR="00D4440F" w:rsidRPr="00D4440F" w:rsidRDefault="00D4440F" w:rsidP="00D4440F">
      <w:pPr>
        <w:rPr>
          <w:sz w:val="22"/>
          <w:szCs w:val="22"/>
        </w:rPr>
      </w:pPr>
    </w:p>
    <w:p w:rsidR="005C51C0" w:rsidRPr="008F1553" w:rsidRDefault="00665504" w:rsidP="005C51C0">
      <w:pPr>
        <w:pStyle w:val="ListParagraph"/>
        <w:numPr>
          <w:ilvl w:val="0"/>
          <w:numId w:val="32"/>
        </w:numPr>
        <w:rPr>
          <w:sz w:val="22"/>
          <w:szCs w:val="22"/>
        </w:rPr>
      </w:pPr>
      <w:proofErr w:type="gramStart"/>
      <w:r>
        <w:rPr>
          <w:sz w:val="22"/>
          <w:szCs w:val="22"/>
        </w:rPr>
        <w:t>the</w:t>
      </w:r>
      <w:proofErr w:type="gramEnd"/>
      <w:r w:rsidR="005C51C0" w:rsidRPr="008F1553">
        <w:rPr>
          <w:sz w:val="22"/>
          <w:szCs w:val="22"/>
        </w:rPr>
        <w:t xml:space="preserve"> </w:t>
      </w:r>
      <w:proofErr w:type="spellStart"/>
      <w:r w:rsidR="005C51C0" w:rsidRPr="008F1553">
        <w:rPr>
          <w:sz w:val="22"/>
          <w:szCs w:val="22"/>
        </w:rPr>
        <w:t>newstart</w:t>
      </w:r>
      <w:proofErr w:type="spellEnd"/>
      <w:r w:rsidR="005C51C0" w:rsidRPr="008F1553">
        <w:rPr>
          <w:sz w:val="22"/>
          <w:szCs w:val="22"/>
        </w:rPr>
        <w:t xml:space="preserve"> allowance, as they </w:t>
      </w:r>
      <w:r>
        <w:rPr>
          <w:sz w:val="22"/>
          <w:szCs w:val="22"/>
        </w:rPr>
        <w:t>have reached</w:t>
      </w:r>
      <w:r w:rsidR="005C51C0" w:rsidRPr="008F1553">
        <w:rPr>
          <w:sz w:val="22"/>
          <w:szCs w:val="22"/>
        </w:rPr>
        <w:t xml:space="preserve"> </w:t>
      </w:r>
      <w:r w:rsidR="00D4440F">
        <w:rPr>
          <w:sz w:val="22"/>
          <w:szCs w:val="22"/>
        </w:rPr>
        <w:t>pension</w:t>
      </w:r>
      <w:r w:rsidR="005C51C0" w:rsidRPr="008F1553">
        <w:rPr>
          <w:sz w:val="22"/>
          <w:szCs w:val="22"/>
        </w:rPr>
        <w:t xml:space="preserve"> age.</w:t>
      </w:r>
    </w:p>
    <w:p w:rsidR="005C51C0" w:rsidRPr="008F1553" w:rsidRDefault="005C51C0" w:rsidP="005C51C0">
      <w:pPr>
        <w:rPr>
          <w:sz w:val="22"/>
          <w:szCs w:val="22"/>
        </w:rPr>
      </w:pPr>
    </w:p>
    <w:p w:rsidR="00877470" w:rsidRDefault="00D4440F" w:rsidP="00877470">
      <w:pPr>
        <w:rPr>
          <w:rStyle w:val="None"/>
          <w:rFonts w:eastAsia="Calibri"/>
          <w:sz w:val="22"/>
          <w:szCs w:val="22"/>
        </w:rPr>
      </w:pPr>
      <w:r>
        <w:rPr>
          <w:sz w:val="22"/>
          <w:szCs w:val="22"/>
        </w:rPr>
        <w:t xml:space="preserve">If a contributory parent visa holder becomes eligible for a social security payment during their first 10 years in Australia, it is normally </w:t>
      </w:r>
      <w:r w:rsidR="009B6CCA">
        <w:rPr>
          <w:sz w:val="22"/>
          <w:szCs w:val="22"/>
        </w:rPr>
        <w:t>special benefit.  This</w:t>
      </w:r>
      <w:r w:rsidR="005C51C0" w:rsidRPr="008F1553">
        <w:rPr>
          <w:sz w:val="22"/>
          <w:szCs w:val="22"/>
        </w:rPr>
        <w:t xml:space="preserve"> is a discretionary payment of last resort for individuals who are ineligible for any other social security payment and in financial hardship for reasons beyond thei</w:t>
      </w:r>
      <w:r w:rsidR="009B6CCA">
        <w:rPr>
          <w:sz w:val="22"/>
          <w:szCs w:val="22"/>
        </w:rPr>
        <w:t>r control.  Its basic rate is set</w:t>
      </w:r>
      <w:r w:rsidR="005C51C0" w:rsidRPr="008F1553">
        <w:rPr>
          <w:sz w:val="22"/>
          <w:szCs w:val="22"/>
        </w:rPr>
        <w:t xml:space="preserve"> at the same rate as </w:t>
      </w:r>
      <w:proofErr w:type="spellStart"/>
      <w:r w:rsidR="005C51C0" w:rsidRPr="008F1553">
        <w:rPr>
          <w:sz w:val="22"/>
          <w:szCs w:val="22"/>
        </w:rPr>
        <w:t>newstart</w:t>
      </w:r>
      <w:proofErr w:type="spellEnd"/>
      <w:r w:rsidR="005C51C0" w:rsidRPr="008F1553">
        <w:rPr>
          <w:sz w:val="22"/>
          <w:szCs w:val="22"/>
        </w:rPr>
        <w:t xml:space="preserve"> allowance.  However, it is subject to </w:t>
      </w:r>
      <w:r w:rsidR="005640D8" w:rsidRPr="008F1553">
        <w:rPr>
          <w:sz w:val="22"/>
          <w:szCs w:val="22"/>
        </w:rPr>
        <w:t>strict</w:t>
      </w:r>
      <w:r w:rsidR="005C51C0" w:rsidRPr="008F1553">
        <w:rPr>
          <w:sz w:val="22"/>
          <w:szCs w:val="22"/>
        </w:rPr>
        <w:t xml:space="preserve"> means testing.  In particular, there is a dollar for dollar income test</w:t>
      </w:r>
      <w:r w:rsidR="00665504">
        <w:rPr>
          <w:sz w:val="22"/>
          <w:szCs w:val="22"/>
        </w:rPr>
        <w:t xml:space="preserve"> and </w:t>
      </w:r>
      <w:r w:rsidR="00877470" w:rsidRPr="008F1553">
        <w:rPr>
          <w:rStyle w:val="None"/>
          <w:rFonts w:eastAsia="Calibri"/>
          <w:sz w:val="22"/>
          <w:szCs w:val="22"/>
        </w:rPr>
        <w:t>free board and/or lodging can reduce the payment by as much as two-thirds</w:t>
      </w:r>
      <w:r w:rsidR="005640D8" w:rsidRPr="008F1553">
        <w:rPr>
          <w:rStyle w:val="None"/>
          <w:rFonts w:eastAsia="Calibri"/>
          <w:sz w:val="22"/>
          <w:szCs w:val="22"/>
        </w:rPr>
        <w:t xml:space="preserve"> due to </w:t>
      </w:r>
      <w:r w:rsidR="009B6CCA">
        <w:rPr>
          <w:rStyle w:val="None"/>
          <w:rFonts w:eastAsia="Calibri"/>
          <w:sz w:val="22"/>
          <w:szCs w:val="22"/>
        </w:rPr>
        <w:t xml:space="preserve">the </w:t>
      </w:r>
      <w:r w:rsidR="005640D8" w:rsidRPr="008F1553">
        <w:rPr>
          <w:rStyle w:val="None"/>
          <w:rFonts w:eastAsia="Calibri"/>
          <w:sz w:val="22"/>
          <w:szCs w:val="22"/>
        </w:rPr>
        <w:t>assessment of value in kind for this payment.</w:t>
      </w:r>
      <w:r w:rsidR="00075A26">
        <w:rPr>
          <w:rStyle w:val="None"/>
          <w:rFonts w:eastAsia="Calibri"/>
          <w:sz w:val="22"/>
          <w:szCs w:val="22"/>
        </w:rPr>
        <w:t xml:space="preserve">  This means that most people in fact receive less than the basic rate of </w:t>
      </w:r>
      <w:proofErr w:type="spellStart"/>
      <w:r w:rsidR="00075A26">
        <w:rPr>
          <w:rStyle w:val="None"/>
          <w:rFonts w:eastAsia="Calibri"/>
          <w:sz w:val="22"/>
          <w:szCs w:val="22"/>
        </w:rPr>
        <w:t>newstart</w:t>
      </w:r>
      <w:proofErr w:type="spellEnd"/>
      <w:r w:rsidR="00075A26">
        <w:rPr>
          <w:rStyle w:val="None"/>
          <w:rFonts w:eastAsia="Calibri"/>
          <w:sz w:val="22"/>
          <w:szCs w:val="22"/>
        </w:rPr>
        <w:t xml:space="preserve"> allowance, itself widely recognised as inadequate.</w:t>
      </w:r>
    </w:p>
    <w:p w:rsidR="00411F1F" w:rsidRDefault="00411F1F" w:rsidP="00877470">
      <w:pPr>
        <w:rPr>
          <w:rStyle w:val="None"/>
          <w:rFonts w:eastAsia="Calibri"/>
          <w:sz w:val="22"/>
          <w:szCs w:val="22"/>
        </w:rPr>
      </w:pPr>
    </w:p>
    <w:p w:rsidR="00F309DE" w:rsidRPr="00411F1F" w:rsidRDefault="0027668B" w:rsidP="005C51C0">
      <w:pPr>
        <w:rPr>
          <w:rFonts w:eastAsia="Calibri"/>
          <w:sz w:val="22"/>
          <w:szCs w:val="22"/>
        </w:rPr>
      </w:pPr>
      <w:r>
        <w:rPr>
          <w:rStyle w:val="None"/>
          <w:rFonts w:eastAsia="Calibri"/>
          <w:sz w:val="22"/>
          <w:szCs w:val="22"/>
        </w:rPr>
        <w:t>As illustrated by the following case study, t</w:t>
      </w:r>
      <w:r w:rsidR="00411F1F">
        <w:rPr>
          <w:rStyle w:val="None"/>
          <w:rFonts w:eastAsia="Calibri"/>
          <w:sz w:val="22"/>
          <w:szCs w:val="22"/>
        </w:rPr>
        <w:t>he effect of this framework is that older migrants experiencing elder abuse from family members may be deterred from escaping the abuse because of difficulty accessing income support, the inadequate levels of payment or the possibility the family member may get a debt.</w:t>
      </w:r>
      <w:r w:rsidR="00411F1F">
        <w:rPr>
          <w:rFonts w:eastAsia="Calibri"/>
          <w:sz w:val="22"/>
          <w:szCs w:val="22"/>
        </w:rPr>
        <w:t xml:space="preserve">  </w:t>
      </w:r>
      <w:r w:rsidR="00790173" w:rsidRPr="008F1553">
        <w:rPr>
          <w:sz w:val="22"/>
          <w:szCs w:val="22"/>
        </w:rPr>
        <w:t xml:space="preserve">As noted in our submission in response to the IP, our members </w:t>
      </w:r>
      <w:r w:rsidR="00411F1F">
        <w:rPr>
          <w:sz w:val="22"/>
          <w:szCs w:val="22"/>
        </w:rPr>
        <w:t>help</w:t>
      </w:r>
      <w:r w:rsidR="00790173" w:rsidRPr="008F1553">
        <w:rPr>
          <w:sz w:val="22"/>
          <w:szCs w:val="22"/>
        </w:rPr>
        <w:t xml:space="preserve"> clients who have experienced family violence and elder abuse and assist them t</w:t>
      </w:r>
      <w:r w:rsidR="00411F1F">
        <w:rPr>
          <w:sz w:val="22"/>
          <w:szCs w:val="22"/>
        </w:rPr>
        <w:t>o access income support in these situations.</w:t>
      </w:r>
    </w:p>
    <w:p w:rsidR="00F309DE" w:rsidRPr="008F1553" w:rsidRDefault="00F309DE" w:rsidP="005C51C0">
      <w:pPr>
        <w:rPr>
          <w:sz w:val="22"/>
          <w:szCs w:val="22"/>
        </w:rPr>
      </w:pPr>
    </w:p>
    <w:p w:rsidR="00F309DE" w:rsidRPr="00170164" w:rsidRDefault="00F309DE" w:rsidP="005C51C0">
      <w:pPr>
        <w:rPr>
          <w:sz w:val="22"/>
          <w:szCs w:val="22"/>
        </w:rPr>
      </w:pPr>
      <w:r w:rsidRPr="00170164">
        <w:rPr>
          <w:b/>
          <w:sz w:val="22"/>
          <w:szCs w:val="22"/>
        </w:rPr>
        <w:t>Case study</w:t>
      </w:r>
    </w:p>
    <w:p w:rsidR="00F309DE" w:rsidRPr="008F1553" w:rsidRDefault="00F309DE" w:rsidP="005C51C0">
      <w:pPr>
        <w:rPr>
          <w:sz w:val="22"/>
          <w:szCs w:val="22"/>
        </w:rPr>
      </w:pPr>
      <w:r w:rsidRPr="008F1553">
        <w:rPr>
          <w:sz w:val="22"/>
          <w:szCs w:val="22"/>
        </w:rPr>
        <w:t xml:space="preserve">Mr C migrated </w:t>
      </w:r>
      <w:r w:rsidR="00CE748D">
        <w:rPr>
          <w:sz w:val="22"/>
          <w:szCs w:val="22"/>
        </w:rPr>
        <w:t xml:space="preserve">from China </w:t>
      </w:r>
      <w:r w:rsidRPr="008F1553">
        <w:rPr>
          <w:sz w:val="22"/>
          <w:szCs w:val="22"/>
        </w:rPr>
        <w:t xml:space="preserve">to Australia aged 63 on a contributory parent subclass 143 visa, sponsored by his daughter who was also the assurer.  He moved in with his daughter and her husband.  The relationship quickly broke down.  Mr C suffered verbal and physical abuse, and was seriously injured and hospitalised after an assault.  He approached our service for help.  He had moved out and was living with a member of the Chinese community </w:t>
      </w:r>
    </w:p>
    <w:p w:rsidR="00F309DE" w:rsidRPr="008F1553" w:rsidRDefault="00F309DE" w:rsidP="005C51C0">
      <w:pPr>
        <w:rPr>
          <w:sz w:val="22"/>
          <w:szCs w:val="22"/>
        </w:rPr>
      </w:pPr>
    </w:p>
    <w:p w:rsidR="00CE748D" w:rsidRDefault="00F309DE" w:rsidP="005C51C0">
      <w:pPr>
        <w:rPr>
          <w:sz w:val="22"/>
          <w:szCs w:val="22"/>
        </w:rPr>
      </w:pPr>
      <w:r w:rsidRPr="008F1553">
        <w:rPr>
          <w:sz w:val="22"/>
          <w:szCs w:val="22"/>
        </w:rPr>
        <w:t xml:space="preserve">Our service assisted him to obtain evidence of the violence and abuse from the hospital and police and claim special benefit.  </w:t>
      </w:r>
      <w:proofErr w:type="spellStart"/>
      <w:r w:rsidRPr="008F1553">
        <w:rPr>
          <w:sz w:val="22"/>
          <w:szCs w:val="22"/>
        </w:rPr>
        <w:t>Centrelink</w:t>
      </w:r>
      <w:proofErr w:type="spellEnd"/>
      <w:r w:rsidRPr="008F1553">
        <w:rPr>
          <w:sz w:val="22"/>
          <w:szCs w:val="22"/>
        </w:rPr>
        <w:t xml:space="preserve"> accepted that he was eligible for payment, due to the failure of his assurer to support him and because it was unreasonable to expect him to obtain support, and granted his special benefit claim.  It reduced it by two thirds to about </w:t>
      </w:r>
      <w:r w:rsidR="009B2BBF" w:rsidRPr="008F1553">
        <w:rPr>
          <w:sz w:val="22"/>
          <w:szCs w:val="22"/>
        </w:rPr>
        <w:t xml:space="preserve">$170/fortnight on the ground that he was receiving free board and lodging from the person he was living with.  In fact, Mr C began to pay rent, however his landlord refused to confirm this with </w:t>
      </w:r>
      <w:proofErr w:type="spellStart"/>
      <w:r w:rsidR="009B2BBF" w:rsidRPr="008F1553">
        <w:rPr>
          <w:sz w:val="22"/>
          <w:szCs w:val="22"/>
        </w:rPr>
        <w:t>Centrelink</w:t>
      </w:r>
      <w:proofErr w:type="spellEnd"/>
      <w:r w:rsidR="009B2BBF" w:rsidRPr="008F1553">
        <w:rPr>
          <w:sz w:val="22"/>
          <w:szCs w:val="22"/>
        </w:rPr>
        <w:t xml:space="preserve"> and threatened to evict him.  Mr C felt he had to accept this, as he knew little English, and was still suffering from his injuries</w:t>
      </w:r>
      <w:r w:rsidR="00CE748D">
        <w:rPr>
          <w:sz w:val="22"/>
          <w:szCs w:val="22"/>
        </w:rPr>
        <w:t xml:space="preserve"> and was </w:t>
      </w:r>
      <w:r w:rsidR="00CE748D">
        <w:rPr>
          <w:sz w:val="22"/>
          <w:szCs w:val="22"/>
        </w:rPr>
        <w:lastRenderedPageBreak/>
        <w:t>worried about being homeless</w:t>
      </w:r>
      <w:r w:rsidR="009B2BBF" w:rsidRPr="008F1553">
        <w:rPr>
          <w:sz w:val="22"/>
          <w:szCs w:val="22"/>
        </w:rPr>
        <w:t>.</w:t>
      </w:r>
      <w:r w:rsidR="00CE748D">
        <w:rPr>
          <w:sz w:val="22"/>
          <w:szCs w:val="22"/>
        </w:rPr>
        <w:t xml:space="preserve">  </w:t>
      </w:r>
      <w:r w:rsidR="009B2BBF" w:rsidRPr="008F1553">
        <w:rPr>
          <w:sz w:val="22"/>
          <w:szCs w:val="22"/>
        </w:rPr>
        <w:t>Although he was about 2 years off retirement age, he would have to remain on special benefit for about 9 more years, until he met th</w:t>
      </w:r>
      <w:r w:rsidR="00CE748D">
        <w:rPr>
          <w:sz w:val="22"/>
          <w:szCs w:val="22"/>
        </w:rPr>
        <w:t>e 10 year residence requirement for the age pension.</w:t>
      </w:r>
    </w:p>
    <w:p w:rsidR="00CE748D" w:rsidRDefault="00CE748D" w:rsidP="005C51C0">
      <w:pPr>
        <w:rPr>
          <w:sz w:val="22"/>
          <w:szCs w:val="22"/>
        </w:rPr>
      </w:pPr>
    </w:p>
    <w:p w:rsidR="00F301AC" w:rsidRPr="008F1553" w:rsidRDefault="00CE748D" w:rsidP="005C51C0">
      <w:pPr>
        <w:rPr>
          <w:sz w:val="22"/>
          <w:szCs w:val="22"/>
        </w:rPr>
      </w:pPr>
      <w:r>
        <w:rPr>
          <w:sz w:val="22"/>
          <w:szCs w:val="22"/>
        </w:rPr>
        <w:t xml:space="preserve">There are many other older Australians who end up in the same situation as Mr C.  The overall number of special benefit recipients is </w:t>
      </w:r>
      <w:r w:rsidR="005640D8" w:rsidRPr="008F1553">
        <w:rPr>
          <w:sz w:val="22"/>
          <w:szCs w:val="22"/>
        </w:rPr>
        <w:t>small, with only about 5000</w:t>
      </w:r>
      <w:r>
        <w:rPr>
          <w:sz w:val="22"/>
          <w:szCs w:val="22"/>
        </w:rPr>
        <w:t xml:space="preserve"> to 6000</w:t>
      </w:r>
      <w:r w:rsidR="005640D8" w:rsidRPr="008F1553">
        <w:rPr>
          <w:sz w:val="22"/>
          <w:szCs w:val="22"/>
        </w:rPr>
        <w:t xml:space="preserve"> recipients at any one time, and 5335 recipients in 2015-16.  </w:t>
      </w:r>
      <w:r>
        <w:rPr>
          <w:sz w:val="22"/>
          <w:szCs w:val="22"/>
        </w:rPr>
        <w:t>In</w:t>
      </w:r>
      <w:r w:rsidR="005640D8" w:rsidRPr="008F1553">
        <w:rPr>
          <w:sz w:val="22"/>
          <w:szCs w:val="22"/>
        </w:rPr>
        <w:t xml:space="preserve"> its 2015-16 annual report, the Department of Social Services reported the most recipients are not of working age (although this would include </w:t>
      </w:r>
      <w:proofErr w:type="gramStart"/>
      <w:r>
        <w:rPr>
          <w:sz w:val="22"/>
          <w:szCs w:val="22"/>
        </w:rPr>
        <w:t xml:space="preserve">a small number </w:t>
      </w:r>
      <w:r w:rsidR="005640D8" w:rsidRPr="008F1553">
        <w:rPr>
          <w:sz w:val="22"/>
          <w:szCs w:val="22"/>
        </w:rPr>
        <w:t>children</w:t>
      </w:r>
      <w:proofErr w:type="gramEnd"/>
      <w:r w:rsidR="005640D8" w:rsidRPr="008F1553">
        <w:rPr>
          <w:sz w:val="22"/>
          <w:szCs w:val="22"/>
        </w:rPr>
        <w:t xml:space="preserve">), although </w:t>
      </w:r>
      <w:r w:rsidR="009B2BBF" w:rsidRPr="008F1553">
        <w:rPr>
          <w:sz w:val="22"/>
          <w:szCs w:val="22"/>
        </w:rPr>
        <w:t xml:space="preserve">it noted </w:t>
      </w:r>
      <w:r w:rsidR="005640D8" w:rsidRPr="008F1553">
        <w:rPr>
          <w:sz w:val="22"/>
          <w:szCs w:val="22"/>
        </w:rPr>
        <w:t>the proportion of working age</w:t>
      </w:r>
      <w:r w:rsidR="009B2BBF" w:rsidRPr="008F1553">
        <w:rPr>
          <w:sz w:val="22"/>
          <w:szCs w:val="22"/>
        </w:rPr>
        <w:t xml:space="preserve"> recipients</w:t>
      </w:r>
      <w:r w:rsidR="005640D8" w:rsidRPr="008F1553">
        <w:rPr>
          <w:sz w:val="22"/>
          <w:szCs w:val="22"/>
        </w:rPr>
        <w:t xml:space="preserve"> is increasing.</w:t>
      </w:r>
      <w:r w:rsidR="005640D8" w:rsidRPr="008F1553">
        <w:rPr>
          <w:rStyle w:val="FootnoteReference"/>
          <w:sz w:val="22"/>
          <w:szCs w:val="22"/>
        </w:rPr>
        <w:footnoteReference w:id="8"/>
      </w:r>
      <w:r w:rsidR="005640D8" w:rsidRPr="008F1553">
        <w:rPr>
          <w:sz w:val="22"/>
          <w:szCs w:val="22"/>
        </w:rPr>
        <w:t xml:space="preserve"> </w:t>
      </w:r>
      <w:r w:rsidR="00F301AC" w:rsidRPr="008F1553">
        <w:rPr>
          <w:sz w:val="22"/>
          <w:szCs w:val="22"/>
        </w:rPr>
        <w:t xml:space="preserve">  Information provided through the Sena</w:t>
      </w:r>
      <w:r w:rsidR="009B2BBF" w:rsidRPr="008F1553">
        <w:rPr>
          <w:sz w:val="22"/>
          <w:szCs w:val="22"/>
        </w:rPr>
        <w:t xml:space="preserve">te estimates process indicates </w:t>
      </w:r>
      <w:r w:rsidR="00F301AC" w:rsidRPr="008F1553">
        <w:rPr>
          <w:sz w:val="22"/>
          <w:szCs w:val="22"/>
        </w:rPr>
        <w:t>that the majority of Special Benefit recipients are age pension age and over.  As at June 2015, 3702 of the 5246 recipients, or 70%, were aged 65 and over.</w:t>
      </w:r>
      <w:r w:rsidR="00F301AC" w:rsidRPr="008F1553">
        <w:rPr>
          <w:rStyle w:val="FootnoteReference"/>
          <w:sz w:val="22"/>
          <w:szCs w:val="22"/>
        </w:rPr>
        <w:footnoteReference w:id="9"/>
      </w:r>
      <w:r w:rsidR="005640D8" w:rsidRPr="008F1553">
        <w:rPr>
          <w:sz w:val="22"/>
          <w:szCs w:val="22"/>
        </w:rPr>
        <w:t xml:space="preserve"> </w:t>
      </w:r>
    </w:p>
    <w:p w:rsidR="00F301AC" w:rsidRPr="008F1553" w:rsidRDefault="00F301AC" w:rsidP="005C51C0">
      <w:pPr>
        <w:rPr>
          <w:sz w:val="22"/>
          <w:szCs w:val="22"/>
        </w:rPr>
      </w:pPr>
    </w:p>
    <w:p w:rsidR="005640D8" w:rsidRPr="008F1553" w:rsidRDefault="005640D8" w:rsidP="005C51C0">
      <w:pPr>
        <w:rPr>
          <w:sz w:val="22"/>
          <w:szCs w:val="22"/>
        </w:rPr>
      </w:pPr>
      <w:r w:rsidRPr="008F1553">
        <w:rPr>
          <w:sz w:val="22"/>
          <w:szCs w:val="22"/>
        </w:rPr>
        <w:t>Most were also on a reduced rate of payment due to the strict income test.</w:t>
      </w:r>
      <w:r w:rsidRPr="008F1553">
        <w:rPr>
          <w:rStyle w:val="FootnoteReference"/>
          <w:sz w:val="22"/>
          <w:szCs w:val="22"/>
        </w:rPr>
        <w:footnoteReference w:id="10"/>
      </w:r>
    </w:p>
    <w:p w:rsidR="005640D8" w:rsidRPr="008F1553" w:rsidRDefault="005640D8" w:rsidP="005C51C0">
      <w:pPr>
        <w:rPr>
          <w:sz w:val="22"/>
          <w:szCs w:val="22"/>
        </w:rPr>
      </w:pPr>
    </w:p>
    <w:p w:rsidR="00CE748D" w:rsidRDefault="00CE748D" w:rsidP="005C51C0">
      <w:pPr>
        <w:rPr>
          <w:sz w:val="22"/>
          <w:szCs w:val="22"/>
        </w:rPr>
      </w:pPr>
      <w:r>
        <w:rPr>
          <w:sz w:val="22"/>
          <w:szCs w:val="22"/>
        </w:rPr>
        <w:t>In our view, many of these recipients are likely to be contributory visa holders whose assurer</w:t>
      </w:r>
      <w:r w:rsidR="00835A2C">
        <w:rPr>
          <w:sz w:val="22"/>
          <w:szCs w:val="22"/>
        </w:rPr>
        <w:t>s are no longer supporting them but whose 10 year assurance of support period has not expired.</w:t>
      </w:r>
      <w:r>
        <w:rPr>
          <w:sz w:val="22"/>
          <w:szCs w:val="22"/>
        </w:rPr>
        <w:t xml:space="preserve"> </w:t>
      </w:r>
      <w:r w:rsidR="00835A2C">
        <w:rPr>
          <w:sz w:val="22"/>
          <w:szCs w:val="22"/>
        </w:rPr>
        <w:t xml:space="preserve"> In our experience </w:t>
      </w:r>
      <w:r>
        <w:rPr>
          <w:sz w:val="22"/>
          <w:szCs w:val="22"/>
        </w:rPr>
        <w:t>many hav</w:t>
      </w:r>
      <w:r w:rsidR="00835A2C">
        <w:rPr>
          <w:sz w:val="22"/>
          <w:szCs w:val="22"/>
        </w:rPr>
        <w:t>e</w:t>
      </w:r>
      <w:r>
        <w:rPr>
          <w:sz w:val="22"/>
          <w:szCs w:val="22"/>
        </w:rPr>
        <w:t xml:space="preserve"> experienced </w:t>
      </w:r>
      <w:r w:rsidR="00835A2C">
        <w:rPr>
          <w:sz w:val="22"/>
          <w:szCs w:val="22"/>
        </w:rPr>
        <w:t>some form of violence, abuse or neglect</w:t>
      </w:r>
      <w:r w:rsidR="0027668B">
        <w:rPr>
          <w:sz w:val="22"/>
          <w:szCs w:val="22"/>
        </w:rPr>
        <w:t>.</w:t>
      </w:r>
    </w:p>
    <w:p w:rsidR="00CE748D" w:rsidRDefault="00CE748D" w:rsidP="005C51C0">
      <w:pPr>
        <w:rPr>
          <w:sz w:val="22"/>
          <w:szCs w:val="22"/>
        </w:rPr>
      </w:pPr>
    </w:p>
    <w:p w:rsidR="0040381B" w:rsidRPr="008F1553" w:rsidRDefault="00BE23AE" w:rsidP="005C51C0">
      <w:pPr>
        <w:rPr>
          <w:sz w:val="22"/>
          <w:szCs w:val="22"/>
        </w:rPr>
      </w:pPr>
      <w:r w:rsidRPr="008F1553">
        <w:rPr>
          <w:sz w:val="22"/>
          <w:szCs w:val="22"/>
        </w:rPr>
        <w:t xml:space="preserve">The interlocking purposes of residence waiting periods and the </w:t>
      </w:r>
      <w:proofErr w:type="spellStart"/>
      <w:r w:rsidRPr="008F1553">
        <w:rPr>
          <w:sz w:val="22"/>
          <w:szCs w:val="22"/>
        </w:rPr>
        <w:t>AoS</w:t>
      </w:r>
      <w:proofErr w:type="spellEnd"/>
      <w:r w:rsidRPr="008F1553">
        <w:rPr>
          <w:sz w:val="22"/>
          <w:szCs w:val="22"/>
        </w:rPr>
        <w:t xml:space="preserve"> scheme are to:</w:t>
      </w:r>
    </w:p>
    <w:p w:rsidR="00BE23AE" w:rsidRPr="008F1553" w:rsidRDefault="00BE23AE" w:rsidP="00BE23AE">
      <w:pPr>
        <w:pStyle w:val="ListParagraph"/>
        <w:numPr>
          <w:ilvl w:val="0"/>
          <w:numId w:val="32"/>
        </w:numPr>
        <w:rPr>
          <w:sz w:val="22"/>
          <w:szCs w:val="22"/>
        </w:rPr>
      </w:pPr>
      <w:r w:rsidRPr="008F1553">
        <w:rPr>
          <w:sz w:val="22"/>
          <w:szCs w:val="22"/>
        </w:rPr>
        <w:t>permit migration of individuals, while protecting the cost to the community through social security payments</w:t>
      </w:r>
    </w:p>
    <w:p w:rsidR="00BE23AE" w:rsidRPr="008F1553" w:rsidRDefault="00BE23AE" w:rsidP="00BE23AE">
      <w:pPr>
        <w:pStyle w:val="ListParagraph"/>
        <w:numPr>
          <w:ilvl w:val="0"/>
          <w:numId w:val="32"/>
        </w:numPr>
        <w:rPr>
          <w:sz w:val="22"/>
          <w:szCs w:val="22"/>
        </w:rPr>
      </w:pPr>
      <w:proofErr w:type="gramStart"/>
      <w:r w:rsidRPr="008F1553">
        <w:rPr>
          <w:sz w:val="22"/>
          <w:szCs w:val="22"/>
        </w:rPr>
        <w:t>ensure</w:t>
      </w:r>
      <w:proofErr w:type="gramEnd"/>
      <w:r w:rsidRPr="008F1553">
        <w:rPr>
          <w:sz w:val="22"/>
          <w:szCs w:val="22"/>
        </w:rPr>
        <w:t xml:space="preserve"> that individuals and their families assume responsibility for their own support during </w:t>
      </w:r>
      <w:r w:rsidR="000347D6" w:rsidRPr="008F1553">
        <w:rPr>
          <w:sz w:val="22"/>
          <w:szCs w:val="22"/>
        </w:rPr>
        <w:t xml:space="preserve">the </w:t>
      </w:r>
      <w:proofErr w:type="spellStart"/>
      <w:r w:rsidR="000347D6" w:rsidRPr="008F1553">
        <w:rPr>
          <w:sz w:val="22"/>
          <w:szCs w:val="22"/>
        </w:rPr>
        <w:t>AoS</w:t>
      </w:r>
      <w:proofErr w:type="spellEnd"/>
      <w:r w:rsidR="000347D6" w:rsidRPr="008F1553">
        <w:rPr>
          <w:sz w:val="22"/>
          <w:szCs w:val="22"/>
        </w:rPr>
        <w:t xml:space="preserve"> period.</w:t>
      </w:r>
    </w:p>
    <w:p w:rsidR="000347D6" w:rsidRPr="008F1553" w:rsidRDefault="000347D6" w:rsidP="000347D6">
      <w:pPr>
        <w:rPr>
          <w:sz w:val="22"/>
          <w:szCs w:val="22"/>
        </w:rPr>
      </w:pPr>
    </w:p>
    <w:p w:rsidR="000347D6" w:rsidRPr="008F1553" w:rsidRDefault="000347D6" w:rsidP="000347D6">
      <w:pPr>
        <w:rPr>
          <w:sz w:val="22"/>
          <w:szCs w:val="22"/>
        </w:rPr>
      </w:pPr>
      <w:r w:rsidRPr="008F1553">
        <w:rPr>
          <w:sz w:val="22"/>
          <w:szCs w:val="22"/>
        </w:rPr>
        <w:t>The existing framework recognises the need for limited exceptions to this, including circumstances where an individual is not supported by their family and is unable to support themselves, through no fault of their own.  This includes situations of family violence and elder abuse.</w:t>
      </w:r>
    </w:p>
    <w:p w:rsidR="009B2BBF" w:rsidRPr="008F1553" w:rsidRDefault="009B2BBF" w:rsidP="000347D6">
      <w:pPr>
        <w:rPr>
          <w:sz w:val="22"/>
          <w:szCs w:val="22"/>
        </w:rPr>
      </w:pPr>
    </w:p>
    <w:p w:rsidR="009B2BBF" w:rsidRDefault="009B2BBF" w:rsidP="000347D6">
      <w:pPr>
        <w:rPr>
          <w:sz w:val="22"/>
          <w:szCs w:val="22"/>
        </w:rPr>
      </w:pPr>
      <w:r w:rsidRPr="008F1553">
        <w:rPr>
          <w:sz w:val="22"/>
          <w:szCs w:val="22"/>
        </w:rPr>
        <w:t xml:space="preserve">In our view, it is consistent with these policy objectives for contributory parent visa holders to be eligible for the age pension if their assurer is unwilling or unable to support them during the </w:t>
      </w:r>
      <w:proofErr w:type="spellStart"/>
      <w:r w:rsidRPr="008F1553">
        <w:rPr>
          <w:sz w:val="22"/>
          <w:szCs w:val="22"/>
        </w:rPr>
        <w:t>AoS</w:t>
      </w:r>
      <w:proofErr w:type="spellEnd"/>
      <w:r w:rsidRPr="008F1553">
        <w:rPr>
          <w:sz w:val="22"/>
          <w:szCs w:val="22"/>
        </w:rPr>
        <w:t xml:space="preserve"> period, or it is unreasonable to expect them to accept that support</w:t>
      </w:r>
      <w:r w:rsidR="00CE748D">
        <w:rPr>
          <w:sz w:val="22"/>
          <w:szCs w:val="22"/>
        </w:rPr>
        <w:t>, or if the assurance of support is cancelled due to the assurer’s illness or disability</w:t>
      </w:r>
      <w:r w:rsidRPr="008F1553">
        <w:rPr>
          <w:sz w:val="22"/>
          <w:szCs w:val="22"/>
        </w:rPr>
        <w:t>.  It does not serve a legitimate policy purpose to impoverish older migrants who are forced to access income support because children and family fail to meet their promise to support them.</w:t>
      </w:r>
    </w:p>
    <w:p w:rsidR="00CE748D" w:rsidRDefault="00CE748D" w:rsidP="000347D6">
      <w:pPr>
        <w:rPr>
          <w:sz w:val="22"/>
          <w:szCs w:val="22"/>
        </w:rPr>
      </w:pPr>
    </w:p>
    <w:p w:rsidR="00CE748D" w:rsidRDefault="00CE748D" w:rsidP="000347D6">
      <w:pPr>
        <w:rPr>
          <w:sz w:val="22"/>
          <w:szCs w:val="22"/>
        </w:rPr>
      </w:pPr>
      <w:r>
        <w:rPr>
          <w:sz w:val="22"/>
          <w:szCs w:val="22"/>
        </w:rPr>
        <w:t xml:space="preserve">We therefore recommend that contributory parent visa holders who are eligible for income support before the end of the 10 year </w:t>
      </w:r>
      <w:proofErr w:type="spellStart"/>
      <w:r>
        <w:rPr>
          <w:sz w:val="22"/>
          <w:szCs w:val="22"/>
        </w:rPr>
        <w:t>AoS</w:t>
      </w:r>
      <w:proofErr w:type="spellEnd"/>
      <w:r>
        <w:rPr>
          <w:sz w:val="22"/>
          <w:szCs w:val="22"/>
        </w:rPr>
        <w:t xml:space="preserve"> period because the assurer is unwilling or unable to support them, or because it is unreasonable for them to accept that support, should be exempt from the 10 year residence requirement for the age pension.</w:t>
      </w:r>
    </w:p>
    <w:p w:rsidR="007E6B6C" w:rsidRPr="008F1553" w:rsidRDefault="007E6B6C" w:rsidP="007E6B6C">
      <w:pPr>
        <w:rPr>
          <w:sz w:val="22"/>
          <w:szCs w:val="22"/>
        </w:rPr>
      </w:pPr>
    </w:p>
    <w:p w:rsidR="000D52A3" w:rsidRDefault="007E6B6C" w:rsidP="007E6B6C">
      <w:pPr>
        <w:rPr>
          <w:sz w:val="22"/>
          <w:szCs w:val="22"/>
        </w:rPr>
      </w:pPr>
      <w:r w:rsidRPr="008F1553">
        <w:rPr>
          <w:sz w:val="22"/>
          <w:szCs w:val="22"/>
        </w:rPr>
        <w:t xml:space="preserve">The cost to the community </w:t>
      </w:r>
      <w:r w:rsidR="000D52A3" w:rsidRPr="008F1553">
        <w:rPr>
          <w:sz w:val="22"/>
          <w:szCs w:val="22"/>
        </w:rPr>
        <w:t xml:space="preserve">would be negligible.  Age pension could, in these circumstances, be made a recoverable payment under the </w:t>
      </w:r>
      <w:proofErr w:type="spellStart"/>
      <w:r w:rsidR="000D52A3" w:rsidRPr="008F1553">
        <w:rPr>
          <w:sz w:val="22"/>
          <w:szCs w:val="22"/>
        </w:rPr>
        <w:t>AoS</w:t>
      </w:r>
      <w:proofErr w:type="spellEnd"/>
      <w:r w:rsidR="000D52A3" w:rsidRPr="008F1553">
        <w:rPr>
          <w:sz w:val="22"/>
          <w:szCs w:val="22"/>
        </w:rPr>
        <w:t xml:space="preserve"> scheme, permitting the Federal Government to recover the outlay from the assurer</w:t>
      </w:r>
      <w:r w:rsidR="00CE748D">
        <w:rPr>
          <w:sz w:val="22"/>
          <w:szCs w:val="22"/>
        </w:rPr>
        <w:t xml:space="preserve"> in most cases</w:t>
      </w:r>
      <w:r w:rsidR="000D52A3" w:rsidRPr="008F1553">
        <w:rPr>
          <w:sz w:val="22"/>
          <w:szCs w:val="22"/>
        </w:rPr>
        <w:t>.</w:t>
      </w:r>
    </w:p>
    <w:p w:rsidR="00FF4953" w:rsidRDefault="00FF4953" w:rsidP="007E6B6C">
      <w:pPr>
        <w:rPr>
          <w:sz w:val="22"/>
          <w:szCs w:val="22"/>
        </w:rPr>
      </w:pPr>
    </w:p>
    <w:p w:rsidR="00FF4953" w:rsidRDefault="00FF4953" w:rsidP="007E6B6C">
      <w:pPr>
        <w:rPr>
          <w:sz w:val="22"/>
          <w:szCs w:val="22"/>
        </w:rPr>
      </w:pPr>
    </w:p>
    <w:p w:rsidR="00FF4953" w:rsidRDefault="00FF4953" w:rsidP="007E6B6C">
      <w:pPr>
        <w:rPr>
          <w:sz w:val="22"/>
          <w:szCs w:val="22"/>
        </w:rPr>
      </w:pPr>
    </w:p>
    <w:p w:rsidR="00FF4953" w:rsidRDefault="00FF4953" w:rsidP="007E6B6C">
      <w:pPr>
        <w:rPr>
          <w:szCs w:val="24"/>
        </w:rPr>
      </w:pPr>
      <w:r>
        <w:rPr>
          <w:b/>
          <w:szCs w:val="24"/>
        </w:rPr>
        <w:lastRenderedPageBreak/>
        <w:t>Contact for this submission</w:t>
      </w:r>
    </w:p>
    <w:p w:rsidR="00FF4953" w:rsidRDefault="00FF4953" w:rsidP="007E6B6C">
      <w:pPr>
        <w:rPr>
          <w:sz w:val="22"/>
          <w:szCs w:val="22"/>
        </w:rPr>
      </w:pPr>
      <w:r>
        <w:rPr>
          <w:sz w:val="22"/>
          <w:szCs w:val="22"/>
        </w:rPr>
        <w:t>The contact for this submission is:</w:t>
      </w:r>
    </w:p>
    <w:p w:rsidR="00FF4953" w:rsidRDefault="00FF4953" w:rsidP="007E6B6C">
      <w:pPr>
        <w:rPr>
          <w:sz w:val="22"/>
          <w:szCs w:val="22"/>
        </w:rPr>
      </w:pPr>
    </w:p>
    <w:p w:rsidR="00FF4953" w:rsidRDefault="00FF4953" w:rsidP="007E6B6C">
      <w:pPr>
        <w:rPr>
          <w:sz w:val="22"/>
          <w:szCs w:val="22"/>
        </w:rPr>
      </w:pPr>
      <w:bookmarkStart w:id="0" w:name="_GoBack"/>
      <w:bookmarkEnd w:id="0"/>
      <w:r>
        <w:rPr>
          <w:sz w:val="22"/>
          <w:szCs w:val="22"/>
        </w:rPr>
        <w:t>Matthew Butt</w:t>
      </w:r>
    </w:p>
    <w:p w:rsidR="00FF4953" w:rsidRDefault="00FF4953" w:rsidP="007E6B6C">
      <w:pPr>
        <w:rPr>
          <w:sz w:val="22"/>
          <w:szCs w:val="22"/>
        </w:rPr>
      </w:pPr>
      <w:r>
        <w:rPr>
          <w:sz w:val="22"/>
          <w:szCs w:val="22"/>
        </w:rPr>
        <w:t>Executive officer</w:t>
      </w:r>
    </w:p>
    <w:p w:rsidR="00FF4953" w:rsidRDefault="00FF4953" w:rsidP="007E6B6C">
      <w:pPr>
        <w:rPr>
          <w:sz w:val="22"/>
          <w:szCs w:val="22"/>
        </w:rPr>
      </w:pPr>
      <w:r>
        <w:rPr>
          <w:sz w:val="22"/>
          <w:szCs w:val="22"/>
        </w:rPr>
        <w:t>National Social Security Rights Network</w:t>
      </w:r>
    </w:p>
    <w:p w:rsidR="00FF4953" w:rsidRDefault="00FF4953" w:rsidP="007E6B6C">
      <w:pPr>
        <w:rPr>
          <w:sz w:val="22"/>
          <w:szCs w:val="22"/>
        </w:rPr>
      </w:pPr>
      <w:r>
        <w:rPr>
          <w:sz w:val="22"/>
          <w:szCs w:val="22"/>
        </w:rPr>
        <w:t>T: 0448 007 201</w:t>
      </w:r>
    </w:p>
    <w:p w:rsidR="00FF4953" w:rsidRDefault="00FF4953" w:rsidP="007E6B6C">
      <w:pPr>
        <w:rPr>
          <w:sz w:val="22"/>
          <w:szCs w:val="22"/>
        </w:rPr>
      </w:pPr>
      <w:r>
        <w:rPr>
          <w:sz w:val="22"/>
          <w:szCs w:val="22"/>
        </w:rPr>
        <w:t xml:space="preserve">E: </w:t>
      </w:r>
      <w:hyperlink r:id="rId11" w:history="1">
        <w:r w:rsidRPr="00C0148F">
          <w:rPr>
            <w:rStyle w:val="Hyperlink"/>
            <w:sz w:val="22"/>
            <w:szCs w:val="22"/>
          </w:rPr>
          <w:t>eo@nssrn.org.au</w:t>
        </w:r>
      </w:hyperlink>
      <w:r>
        <w:rPr>
          <w:sz w:val="22"/>
          <w:szCs w:val="22"/>
        </w:rPr>
        <w:t xml:space="preserve"> </w:t>
      </w:r>
    </w:p>
    <w:p w:rsidR="00FF4953" w:rsidRDefault="00FF4953" w:rsidP="007E6B6C">
      <w:pPr>
        <w:rPr>
          <w:sz w:val="22"/>
          <w:szCs w:val="22"/>
        </w:rPr>
      </w:pPr>
    </w:p>
    <w:p w:rsidR="00FF4953" w:rsidRPr="00FF4953" w:rsidRDefault="00FF4953" w:rsidP="007E6B6C">
      <w:pPr>
        <w:rPr>
          <w:sz w:val="22"/>
          <w:szCs w:val="22"/>
        </w:rPr>
      </w:pPr>
    </w:p>
    <w:p w:rsidR="00A44E04" w:rsidRPr="008F1553" w:rsidRDefault="00A44E04" w:rsidP="00A44E04">
      <w:pPr>
        <w:rPr>
          <w:sz w:val="22"/>
          <w:szCs w:val="22"/>
        </w:rPr>
      </w:pPr>
    </w:p>
    <w:p w:rsidR="00B210A5" w:rsidRPr="008F1553" w:rsidRDefault="00B210A5" w:rsidP="005C51C0">
      <w:pPr>
        <w:rPr>
          <w:sz w:val="22"/>
          <w:szCs w:val="22"/>
        </w:rPr>
      </w:pPr>
    </w:p>
    <w:p w:rsidR="00702157" w:rsidRPr="008F1553" w:rsidRDefault="00702157" w:rsidP="005C51C0">
      <w:pPr>
        <w:rPr>
          <w:sz w:val="22"/>
          <w:szCs w:val="22"/>
        </w:rPr>
      </w:pPr>
    </w:p>
    <w:p w:rsidR="006E1BEC" w:rsidRPr="008F1553" w:rsidRDefault="006E1BEC" w:rsidP="00892362">
      <w:pPr>
        <w:rPr>
          <w:sz w:val="22"/>
          <w:szCs w:val="22"/>
        </w:rPr>
      </w:pPr>
    </w:p>
    <w:sectPr w:rsidR="006E1BEC" w:rsidRPr="008F1553" w:rsidSect="00F335F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567" w:footer="0" w:gutter="0"/>
      <w:paperSrc w:first="1" w:other="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68B" w:rsidRDefault="0027668B">
      <w:r>
        <w:separator/>
      </w:r>
    </w:p>
  </w:endnote>
  <w:endnote w:type="continuationSeparator" w:id="0">
    <w:p w:rsidR="0027668B" w:rsidRDefault="00276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altName w:val="Trebuchet MS"/>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Univers 45 Light">
    <w:altName w:val="Trebuchet MS"/>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49" w:rsidRDefault="008A2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22792"/>
      <w:docPartObj>
        <w:docPartGallery w:val="Page Numbers (Bottom of Page)"/>
        <w:docPartUnique/>
      </w:docPartObj>
    </w:sdtPr>
    <w:sdtEndPr>
      <w:rPr>
        <w:noProof/>
      </w:rPr>
    </w:sdtEndPr>
    <w:sdtContent>
      <w:p w:rsidR="0027668B" w:rsidRDefault="00DC4A87">
        <w:pPr>
          <w:pStyle w:val="Footer"/>
          <w:jc w:val="center"/>
        </w:pPr>
        <w:r>
          <w:fldChar w:fldCharType="begin"/>
        </w:r>
        <w:r w:rsidR="0027668B">
          <w:instrText xml:space="preserve"> PAGE   \* MERGEFORMAT </w:instrText>
        </w:r>
        <w:r>
          <w:fldChar w:fldCharType="separate"/>
        </w:r>
        <w:r w:rsidR="00290DF2">
          <w:rPr>
            <w:noProof/>
          </w:rPr>
          <w:t>2</w:t>
        </w:r>
        <w:r>
          <w:rPr>
            <w:noProof/>
          </w:rPr>
          <w:fldChar w:fldCharType="end"/>
        </w:r>
      </w:p>
    </w:sdtContent>
  </w:sdt>
  <w:p w:rsidR="0027668B" w:rsidRDefault="002766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125736"/>
      <w:docPartObj>
        <w:docPartGallery w:val="Page Numbers (Bottom of Page)"/>
        <w:docPartUnique/>
      </w:docPartObj>
    </w:sdtPr>
    <w:sdtEndPr>
      <w:rPr>
        <w:noProof/>
      </w:rPr>
    </w:sdtEndPr>
    <w:sdtContent>
      <w:p w:rsidR="0027668B" w:rsidRDefault="00DC4A87">
        <w:pPr>
          <w:pStyle w:val="Footer"/>
          <w:jc w:val="center"/>
        </w:pPr>
        <w:r>
          <w:fldChar w:fldCharType="begin"/>
        </w:r>
        <w:r w:rsidR="0027668B">
          <w:instrText xml:space="preserve"> PAGE   \* MERGEFORMAT </w:instrText>
        </w:r>
        <w:r>
          <w:fldChar w:fldCharType="separate"/>
        </w:r>
        <w:r w:rsidR="00290DF2">
          <w:rPr>
            <w:noProof/>
          </w:rPr>
          <w:t>1</w:t>
        </w:r>
        <w:r>
          <w:rPr>
            <w:noProof/>
          </w:rPr>
          <w:fldChar w:fldCharType="end"/>
        </w:r>
      </w:p>
    </w:sdtContent>
  </w:sdt>
  <w:p w:rsidR="0027668B" w:rsidRDefault="0027668B" w:rsidP="000C4219">
    <w:pPr>
      <w:pStyle w:val="Pa0"/>
      <w:ind w:right="-1"/>
      <w:jc w:val="right"/>
      <w:rPr>
        <w:rFonts w:ascii="Univers 45 Light" w:hAnsi="Univers 45 Light" w:cs="Univers 45 Light"/>
        <w:color w:val="4A62AE"/>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68B" w:rsidRDefault="0027668B">
      <w:r>
        <w:separator/>
      </w:r>
    </w:p>
  </w:footnote>
  <w:footnote w:type="continuationSeparator" w:id="0">
    <w:p w:rsidR="0027668B" w:rsidRDefault="0027668B">
      <w:r>
        <w:continuationSeparator/>
      </w:r>
    </w:p>
  </w:footnote>
  <w:footnote w:id="1">
    <w:p w:rsidR="0027668B" w:rsidRPr="00081E9D" w:rsidRDefault="0027668B" w:rsidP="00D4440F">
      <w:pPr>
        <w:pStyle w:val="FootnoteText"/>
        <w:rPr>
          <w:lang w:val="en-US"/>
        </w:rPr>
      </w:pPr>
      <w:r w:rsidRPr="00081E9D">
        <w:rPr>
          <w:rStyle w:val="FootnoteReference"/>
          <w:rFonts w:asciiTheme="minorHAnsi" w:hAnsiTheme="minorHAnsi"/>
        </w:rPr>
        <w:footnoteRef/>
      </w:r>
      <w:r w:rsidRPr="00081E9D">
        <w:rPr>
          <w:rFonts w:asciiTheme="minorHAnsi" w:hAnsiTheme="minorHAnsi"/>
        </w:rPr>
        <w:t xml:space="preserve"> </w:t>
      </w:r>
      <w:proofErr w:type="gramStart"/>
      <w:r w:rsidRPr="00081E9D">
        <w:rPr>
          <w:rFonts w:asciiTheme="minorHAnsi" w:hAnsiTheme="minorHAnsi"/>
          <w:lang w:val="en-US"/>
        </w:rPr>
        <w:t xml:space="preserve">Department of Immigration and Border Protection, Annual Report 2014-15, p 68, </w:t>
      </w:r>
      <w:hyperlink r:id="rId1" w:history="1">
        <w:r w:rsidRPr="00081E9D">
          <w:rPr>
            <w:rStyle w:val="Hyperlink"/>
            <w:rFonts w:asciiTheme="minorHAnsi" w:hAnsiTheme="minorHAnsi"/>
            <w:lang w:val="en-US"/>
          </w:rPr>
          <w:t>https://www.border.gov.au/about/reports-publications/reports/annual/immigration-2014-15</w:t>
        </w:r>
      </w:hyperlink>
      <w:r w:rsidRPr="00081E9D">
        <w:rPr>
          <w:rFonts w:asciiTheme="minorHAnsi" w:hAnsiTheme="minorHAnsi"/>
          <w:lang w:val="en-US"/>
        </w:rPr>
        <w:t>.</w:t>
      </w:r>
      <w:proofErr w:type="gramEnd"/>
    </w:p>
  </w:footnote>
  <w:footnote w:id="2">
    <w:p w:rsidR="0027668B" w:rsidRPr="00DF3F33" w:rsidRDefault="0027668B">
      <w:pPr>
        <w:pStyle w:val="FootnoteText"/>
        <w:rPr>
          <w:rFonts w:asciiTheme="minorHAnsi" w:hAnsiTheme="minorHAnsi"/>
          <w:lang w:val="en-US"/>
        </w:rPr>
      </w:pPr>
      <w:r w:rsidRPr="00DF3F33">
        <w:rPr>
          <w:rStyle w:val="FootnoteReference"/>
          <w:rFonts w:asciiTheme="minorHAnsi" w:hAnsiTheme="minorHAnsi"/>
        </w:rPr>
        <w:footnoteRef/>
      </w:r>
      <w:r w:rsidRPr="00DF3F33">
        <w:rPr>
          <w:rFonts w:asciiTheme="minorHAnsi" w:hAnsiTheme="minorHAnsi"/>
        </w:rPr>
        <w:t xml:space="preserve"> </w:t>
      </w:r>
      <w:r w:rsidRPr="00DF3F33">
        <w:rPr>
          <w:rFonts w:asciiTheme="minorHAnsi" w:hAnsiTheme="minorHAnsi"/>
          <w:lang w:val="en-US"/>
        </w:rPr>
        <w:t xml:space="preserve">Guide to Social Security Law, 9.4.6.10 (Cancellation of an </w:t>
      </w:r>
      <w:proofErr w:type="spellStart"/>
      <w:r w:rsidRPr="00DF3F33">
        <w:rPr>
          <w:rFonts w:asciiTheme="minorHAnsi" w:hAnsiTheme="minorHAnsi"/>
          <w:lang w:val="en-US"/>
        </w:rPr>
        <w:t>AoS</w:t>
      </w:r>
      <w:proofErr w:type="spellEnd"/>
      <w:r w:rsidRPr="00DF3F33">
        <w:rPr>
          <w:rFonts w:asciiTheme="minorHAnsi" w:hAnsiTheme="minorHAnsi"/>
          <w:lang w:val="en-US"/>
        </w:rPr>
        <w:t xml:space="preserve">), </w:t>
      </w:r>
      <w:hyperlink r:id="rId2" w:history="1">
        <w:r w:rsidRPr="00DF3F33">
          <w:rPr>
            <w:rStyle w:val="Hyperlink"/>
            <w:rFonts w:asciiTheme="minorHAnsi" w:hAnsiTheme="minorHAnsi"/>
            <w:lang w:val="en-US"/>
          </w:rPr>
          <w:t>http://guides.dss.gov.au/guide-social-security-law/9/4/6/10</w:t>
        </w:r>
      </w:hyperlink>
      <w:r w:rsidRPr="00DF3F33">
        <w:rPr>
          <w:rFonts w:asciiTheme="minorHAnsi" w:hAnsiTheme="minorHAnsi"/>
          <w:lang w:val="en-US"/>
        </w:rPr>
        <w:t>.</w:t>
      </w:r>
    </w:p>
  </w:footnote>
  <w:footnote w:id="3">
    <w:p w:rsidR="0027668B" w:rsidRPr="008540EA" w:rsidRDefault="0027668B">
      <w:pPr>
        <w:pStyle w:val="FootnoteText"/>
        <w:rPr>
          <w:rFonts w:asciiTheme="minorHAnsi" w:hAnsiTheme="minorHAnsi"/>
          <w:lang w:val="en-US"/>
        </w:rPr>
      </w:pPr>
      <w:r w:rsidRPr="008540EA">
        <w:rPr>
          <w:rStyle w:val="FootnoteReference"/>
          <w:rFonts w:asciiTheme="minorHAnsi" w:hAnsiTheme="minorHAnsi"/>
        </w:rPr>
        <w:footnoteRef/>
      </w:r>
      <w:r w:rsidRPr="008540EA">
        <w:rPr>
          <w:rFonts w:asciiTheme="minorHAnsi" w:hAnsiTheme="minorHAnsi"/>
        </w:rPr>
        <w:t xml:space="preserve"> </w:t>
      </w:r>
      <w:r w:rsidRPr="008540EA">
        <w:rPr>
          <w:rFonts w:asciiTheme="minorHAnsi" w:hAnsiTheme="minorHAnsi"/>
          <w:lang w:val="en-US"/>
        </w:rPr>
        <w:t xml:space="preserve">Guide to Social Security Law, 9.2.2.360 (Visa Subclass 143 Contributory Parent (Migrant), </w:t>
      </w:r>
      <w:hyperlink r:id="rId3" w:history="1">
        <w:r w:rsidRPr="008540EA">
          <w:rPr>
            <w:rStyle w:val="Hyperlink"/>
            <w:rFonts w:asciiTheme="minorHAnsi" w:hAnsiTheme="minorHAnsi"/>
            <w:lang w:val="en-US"/>
          </w:rPr>
          <w:t>http://guides.dss.gov.au/guide-social-security-law/9/2/2/360</w:t>
        </w:r>
      </w:hyperlink>
      <w:r w:rsidRPr="008540EA">
        <w:rPr>
          <w:rFonts w:asciiTheme="minorHAnsi" w:hAnsiTheme="minorHAnsi"/>
          <w:lang w:val="en-US"/>
        </w:rPr>
        <w:t>.</w:t>
      </w:r>
    </w:p>
  </w:footnote>
  <w:footnote w:id="4">
    <w:p w:rsidR="0027668B" w:rsidRPr="003050B0" w:rsidRDefault="0027668B">
      <w:pPr>
        <w:pStyle w:val="FootnoteText"/>
        <w:rPr>
          <w:rFonts w:asciiTheme="minorHAnsi" w:hAnsiTheme="minorHAnsi"/>
          <w:lang w:val="en-US"/>
        </w:rPr>
      </w:pPr>
      <w:r w:rsidRPr="003050B0">
        <w:rPr>
          <w:rStyle w:val="FootnoteReference"/>
          <w:rFonts w:asciiTheme="minorHAnsi" w:hAnsiTheme="minorHAnsi"/>
        </w:rPr>
        <w:footnoteRef/>
      </w:r>
      <w:r w:rsidRPr="003050B0">
        <w:rPr>
          <w:rFonts w:asciiTheme="minorHAnsi" w:hAnsiTheme="minorHAnsi"/>
        </w:rPr>
        <w:t xml:space="preserve"> </w:t>
      </w:r>
      <w:r w:rsidRPr="003050B0">
        <w:rPr>
          <w:rFonts w:asciiTheme="minorHAnsi" w:hAnsiTheme="minorHAnsi"/>
          <w:lang w:val="en-US"/>
        </w:rPr>
        <w:t xml:space="preserve">Guide to Social Security Law, 9.4.1.10 (Introduction to the </w:t>
      </w:r>
      <w:proofErr w:type="spellStart"/>
      <w:r w:rsidRPr="003050B0">
        <w:rPr>
          <w:rFonts w:asciiTheme="minorHAnsi" w:hAnsiTheme="minorHAnsi"/>
          <w:lang w:val="en-US"/>
        </w:rPr>
        <w:t>AoS</w:t>
      </w:r>
      <w:proofErr w:type="spellEnd"/>
      <w:r w:rsidRPr="003050B0">
        <w:rPr>
          <w:rFonts w:asciiTheme="minorHAnsi" w:hAnsiTheme="minorHAnsi"/>
          <w:lang w:val="en-US"/>
        </w:rPr>
        <w:t xml:space="preserve"> Scheme), </w:t>
      </w:r>
      <w:hyperlink r:id="rId4" w:history="1">
        <w:r w:rsidRPr="003050B0">
          <w:rPr>
            <w:rStyle w:val="Hyperlink"/>
            <w:rFonts w:asciiTheme="minorHAnsi" w:hAnsiTheme="minorHAnsi"/>
            <w:lang w:val="en-US"/>
          </w:rPr>
          <w:t>http://guides.dss.gov.au/guide-social-security-law/9/4/1/10</w:t>
        </w:r>
      </w:hyperlink>
      <w:r w:rsidRPr="003050B0">
        <w:rPr>
          <w:rFonts w:asciiTheme="minorHAnsi" w:hAnsiTheme="minorHAnsi"/>
          <w:lang w:val="en-US"/>
        </w:rPr>
        <w:t>.</w:t>
      </w:r>
    </w:p>
  </w:footnote>
  <w:footnote w:id="5">
    <w:p w:rsidR="0027668B" w:rsidRPr="00587DFF" w:rsidRDefault="0027668B">
      <w:pPr>
        <w:pStyle w:val="FootnoteText"/>
        <w:rPr>
          <w:rFonts w:asciiTheme="minorHAnsi" w:hAnsiTheme="minorHAnsi"/>
          <w:lang w:val="en-US"/>
        </w:rPr>
      </w:pPr>
      <w:r w:rsidRPr="00587DFF">
        <w:rPr>
          <w:rStyle w:val="FootnoteReference"/>
          <w:rFonts w:asciiTheme="minorHAnsi" w:hAnsiTheme="minorHAnsi"/>
        </w:rPr>
        <w:footnoteRef/>
      </w:r>
      <w:r w:rsidRPr="00587DFF">
        <w:rPr>
          <w:rFonts w:asciiTheme="minorHAnsi" w:hAnsiTheme="minorHAnsi"/>
        </w:rPr>
        <w:t xml:space="preserve"> </w:t>
      </w:r>
      <w:r w:rsidRPr="00587DFF">
        <w:rPr>
          <w:rFonts w:asciiTheme="minorHAnsi" w:hAnsiTheme="minorHAnsi"/>
          <w:lang w:val="en-US"/>
        </w:rPr>
        <w:t xml:space="preserve">Section 1237, </w:t>
      </w:r>
      <w:r w:rsidRPr="00587DFF">
        <w:rPr>
          <w:rFonts w:asciiTheme="minorHAnsi" w:hAnsiTheme="minorHAnsi"/>
          <w:i/>
          <w:lang w:val="en-US"/>
        </w:rPr>
        <w:t>Social Security Act 1991 (</w:t>
      </w:r>
      <w:proofErr w:type="spellStart"/>
      <w:r w:rsidRPr="00587DFF">
        <w:rPr>
          <w:rFonts w:asciiTheme="minorHAnsi" w:hAnsiTheme="minorHAnsi"/>
          <w:i/>
          <w:lang w:val="en-US"/>
        </w:rPr>
        <w:t>Cth</w:t>
      </w:r>
      <w:proofErr w:type="spellEnd"/>
      <w:r w:rsidRPr="00587DFF">
        <w:rPr>
          <w:rFonts w:asciiTheme="minorHAnsi" w:hAnsiTheme="minorHAnsi"/>
          <w:i/>
          <w:lang w:val="en-US"/>
        </w:rPr>
        <w:t>)</w:t>
      </w:r>
      <w:r w:rsidRPr="00587DFF">
        <w:rPr>
          <w:rFonts w:asciiTheme="minorHAnsi" w:hAnsiTheme="minorHAnsi"/>
          <w:lang w:val="en-US"/>
        </w:rPr>
        <w:t>.</w:t>
      </w:r>
    </w:p>
  </w:footnote>
  <w:footnote w:id="6">
    <w:p w:rsidR="0027668B" w:rsidRPr="009F00C2" w:rsidRDefault="0027668B">
      <w:pPr>
        <w:pStyle w:val="FootnoteText"/>
        <w:rPr>
          <w:rFonts w:asciiTheme="minorHAnsi" w:hAnsiTheme="minorHAnsi"/>
          <w:lang w:val="en-US"/>
        </w:rPr>
      </w:pPr>
      <w:r w:rsidRPr="009F00C2">
        <w:rPr>
          <w:rStyle w:val="FootnoteReference"/>
          <w:rFonts w:asciiTheme="minorHAnsi" w:hAnsiTheme="minorHAnsi"/>
        </w:rPr>
        <w:footnoteRef/>
      </w:r>
      <w:r w:rsidRPr="009F00C2">
        <w:rPr>
          <w:rFonts w:asciiTheme="minorHAnsi" w:hAnsiTheme="minorHAnsi"/>
        </w:rPr>
        <w:t xml:space="preserve"> </w:t>
      </w:r>
      <w:r w:rsidRPr="009F00C2">
        <w:rPr>
          <w:rFonts w:asciiTheme="minorHAnsi" w:hAnsiTheme="minorHAnsi"/>
          <w:lang w:val="en-US"/>
        </w:rPr>
        <w:t>Guide to Social Security Law, 9.4.7 (</w:t>
      </w:r>
      <w:proofErr w:type="spellStart"/>
      <w:r w:rsidRPr="009F00C2">
        <w:rPr>
          <w:rFonts w:asciiTheme="minorHAnsi" w:hAnsiTheme="minorHAnsi"/>
          <w:lang w:val="en-US"/>
        </w:rPr>
        <w:t>AoS</w:t>
      </w:r>
      <w:proofErr w:type="spellEnd"/>
      <w:r w:rsidRPr="009F00C2">
        <w:rPr>
          <w:rFonts w:asciiTheme="minorHAnsi" w:hAnsiTheme="minorHAnsi"/>
          <w:lang w:val="en-US"/>
        </w:rPr>
        <w:t xml:space="preserve"> – Debt), </w:t>
      </w:r>
      <w:hyperlink r:id="rId5" w:history="1">
        <w:r w:rsidRPr="009F00C2">
          <w:rPr>
            <w:rStyle w:val="Hyperlink"/>
            <w:rFonts w:asciiTheme="minorHAnsi" w:hAnsiTheme="minorHAnsi"/>
            <w:lang w:val="en-US"/>
          </w:rPr>
          <w:t>http://guides.dss.gov.au/guide-social-security-law/9/4/7</w:t>
        </w:r>
      </w:hyperlink>
      <w:r w:rsidRPr="009F00C2">
        <w:rPr>
          <w:rFonts w:asciiTheme="minorHAnsi" w:hAnsiTheme="minorHAnsi"/>
          <w:lang w:val="en-US"/>
        </w:rPr>
        <w:t>.</w:t>
      </w:r>
    </w:p>
  </w:footnote>
  <w:footnote w:id="7">
    <w:p w:rsidR="0027668B" w:rsidRPr="00081E9D" w:rsidRDefault="0027668B">
      <w:pPr>
        <w:pStyle w:val="FootnoteText"/>
        <w:rPr>
          <w:rFonts w:asciiTheme="minorHAnsi" w:hAnsiTheme="minorHAnsi"/>
          <w:lang w:val="en-US"/>
        </w:rPr>
      </w:pPr>
      <w:r w:rsidRPr="00081E9D">
        <w:rPr>
          <w:rStyle w:val="FootnoteReference"/>
          <w:rFonts w:asciiTheme="minorHAnsi" w:hAnsiTheme="minorHAnsi"/>
        </w:rPr>
        <w:footnoteRef/>
      </w:r>
      <w:r w:rsidRPr="00081E9D">
        <w:rPr>
          <w:rFonts w:asciiTheme="minorHAnsi" w:hAnsiTheme="minorHAnsi"/>
        </w:rPr>
        <w:t xml:space="preserve"> </w:t>
      </w:r>
      <w:proofErr w:type="gramStart"/>
      <w:r w:rsidRPr="00081E9D">
        <w:rPr>
          <w:rFonts w:asciiTheme="minorHAnsi" w:hAnsiTheme="minorHAnsi"/>
          <w:lang w:val="en-US"/>
        </w:rPr>
        <w:t xml:space="preserve">Section 28, </w:t>
      </w:r>
      <w:r w:rsidRPr="00081E9D">
        <w:rPr>
          <w:rFonts w:asciiTheme="minorHAnsi" w:hAnsiTheme="minorHAnsi"/>
          <w:i/>
          <w:lang w:val="en-US"/>
        </w:rPr>
        <w:t>Social Security (Administration) Act 1999 (</w:t>
      </w:r>
      <w:proofErr w:type="spellStart"/>
      <w:r w:rsidRPr="00081E9D">
        <w:rPr>
          <w:rFonts w:asciiTheme="minorHAnsi" w:hAnsiTheme="minorHAnsi"/>
          <w:i/>
          <w:lang w:val="en-US"/>
        </w:rPr>
        <w:t>Cth</w:t>
      </w:r>
      <w:proofErr w:type="spellEnd"/>
      <w:r w:rsidRPr="00081E9D">
        <w:rPr>
          <w:rFonts w:asciiTheme="minorHAnsi" w:hAnsiTheme="minorHAnsi"/>
          <w:i/>
          <w:lang w:val="en-US"/>
        </w:rPr>
        <w:t>)</w:t>
      </w:r>
      <w:r w:rsidRPr="00081E9D">
        <w:rPr>
          <w:rFonts w:asciiTheme="minorHAnsi" w:hAnsiTheme="minorHAnsi"/>
          <w:lang w:val="en-US"/>
        </w:rPr>
        <w:t>.</w:t>
      </w:r>
      <w:proofErr w:type="gramEnd"/>
    </w:p>
  </w:footnote>
  <w:footnote w:id="8">
    <w:p w:rsidR="0027668B" w:rsidRPr="00F301AC" w:rsidRDefault="0027668B">
      <w:pPr>
        <w:pStyle w:val="FootnoteText"/>
        <w:rPr>
          <w:rFonts w:asciiTheme="minorHAnsi" w:hAnsiTheme="minorHAnsi"/>
          <w:lang w:val="en-US"/>
        </w:rPr>
      </w:pPr>
      <w:r w:rsidRPr="00F301AC">
        <w:rPr>
          <w:rStyle w:val="FootnoteReference"/>
          <w:rFonts w:asciiTheme="minorHAnsi" w:hAnsiTheme="minorHAnsi"/>
        </w:rPr>
        <w:footnoteRef/>
      </w:r>
      <w:r w:rsidRPr="00F301AC">
        <w:rPr>
          <w:rFonts w:asciiTheme="minorHAnsi" w:hAnsiTheme="minorHAnsi"/>
        </w:rPr>
        <w:t xml:space="preserve"> </w:t>
      </w:r>
      <w:r w:rsidRPr="00F301AC">
        <w:rPr>
          <w:rFonts w:asciiTheme="minorHAnsi" w:hAnsiTheme="minorHAnsi"/>
          <w:lang w:val="en-US"/>
        </w:rPr>
        <w:t>Department of Social Services, Annual Report 2015-16, p 36-37.</w:t>
      </w:r>
    </w:p>
  </w:footnote>
  <w:footnote w:id="9">
    <w:p w:rsidR="0027668B" w:rsidRPr="00F301AC" w:rsidRDefault="0027668B">
      <w:pPr>
        <w:pStyle w:val="FootnoteText"/>
        <w:rPr>
          <w:rFonts w:asciiTheme="minorHAnsi" w:hAnsiTheme="minorHAnsi"/>
          <w:lang w:val="en-US"/>
        </w:rPr>
      </w:pPr>
      <w:r w:rsidRPr="00F301AC">
        <w:rPr>
          <w:rStyle w:val="FootnoteReference"/>
          <w:rFonts w:asciiTheme="minorHAnsi" w:hAnsiTheme="minorHAnsi"/>
        </w:rPr>
        <w:footnoteRef/>
      </w:r>
      <w:r w:rsidRPr="00F301AC">
        <w:rPr>
          <w:rFonts w:asciiTheme="minorHAnsi" w:hAnsiTheme="minorHAnsi"/>
        </w:rPr>
        <w:t xml:space="preserve"> </w:t>
      </w:r>
      <w:r w:rsidRPr="00F301AC">
        <w:rPr>
          <w:rFonts w:asciiTheme="minorHAnsi" w:hAnsiTheme="minorHAnsi"/>
          <w:lang w:val="en-US"/>
        </w:rPr>
        <w:t xml:space="preserve">Senate Community Affairs Committee, Answers to Estimates Questions on Notice, Social Services Portfolio, 2015-16 Supplementary Estimates Hearings, Question no: SQ15-000897, </w:t>
      </w:r>
      <w:hyperlink r:id="rId6" w:history="1">
        <w:r w:rsidRPr="00F301AC">
          <w:rPr>
            <w:rStyle w:val="Hyperlink"/>
            <w:rFonts w:asciiTheme="minorHAnsi" w:hAnsiTheme="minorHAnsi"/>
            <w:lang w:val="en-US"/>
          </w:rPr>
          <w:t>http://www.aph.gov.au/Parliamentary_Business/Senate_Estimates/clacctte/estimates/sup1516/SocialServices/index</w:t>
        </w:r>
      </w:hyperlink>
      <w:r w:rsidRPr="00F301AC">
        <w:rPr>
          <w:rFonts w:asciiTheme="minorHAnsi" w:hAnsiTheme="minorHAnsi"/>
          <w:lang w:val="en-US"/>
        </w:rPr>
        <w:t>.</w:t>
      </w:r>
    </w:p>
  </w:footnote>
  <w:footnote w:id="10">
    <w:p w:rsidR="0027668B" w:rsidRPr="005640D8" w:rsidRDefault="0027668B">
      <w:pPr>
        <w:pStyle w:val="FootnoteText"/>
        <w:rPr>
          <w:lang w:val="en-US"/>
        </w:rPr>
      </w:pPr>
      <w:r w:rsidRPr="00F301AC">
        <w:rPr>
          <w:rStyle w:val="FootnoteReference"/>
          <w:rFonts w:asciiTheme="minorHAnsi" w:hAnsiTheme="minorHAnsi"/>
        </w:rPr>
        <w:footnoteRef/>
      </w:r>
      <w:r w:rsidRPr="00F301AC">
        <w:rPr>
          <w:rFonts w:asciiTheme="minorHAnsi" w:hAnsiTheme="minorHAnsi"/>
        </w:rPr>
        <w:t xml:space="preserve"> </w:t>
      </w:r>
      <w:proofErr w:type="gramStart"/>
      <w:r w:rsidRPr="00F301AC">
        <w:rPr>
          <w:rFonts w:asciiTheme="minorHAnsi" w:hAnsiTheme="minorHAnsi"/>
          <w:lang w:val="en-US"/>
        </w:rPr>
        <w:t>Note 10, p 38.</w:t>
      </w:r>
      <w:proofErr w:type="gramEnd"/>
      <w:r w:rsidR="00D42807">
        <w:rPr>
          <w:rFonts w:asciiTheme="minorHAnsi" w:hAnsiTheme="minorHAnsi"/>
          <w:lang w:val="en-US"/>
        </w:rPr>
        <w:t xml:space="preserve">  The extent of the rate reduction will vary and there is no public information about the average reduction.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49" w:rsidRDefault="008A27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49" w:rsidRDefault="008A27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8B" w:rsidRDefault="00B219A6" w:rsidP="00B95F4B">
    <w:pPr>
      <w:pStyle w:val="Default"/>
      <w:framePr w:w="3632" w:wrap="auto" w:vAnchor="page" w:hAnchor="page" w:x="262" w:y="665"/>
      <w:ind w:left="794"/>
      <w:rPr>
        <w:rFonts w:cs="Times New Roman"/>
        <w:color w:val="auto"/>
      </w:rPr>
    </w:pPr>
    <w:r>
      <w:rPr>
        <w:rFonts w:cs="Times New Roman"/>
        <w:color w:val="auto"/>
      </w:rPr>
      <w:t xml:space="preserve">247. National Social Security </w:t>
    </w:r>
    <w:proofErr w:type="spellStart"/>
    <w:r w:rsidR="008A2749">
      <w:rPr>
        <w:rFonts w:cs="Times New Roman"/>
        <w:color w:val="auto"/>
      </w:rPr>
      <w:t>newtwork</w:t>
    </w:r>
    <w:proofErr w:type="spellEnd"/>
    <w:r w:rsidR="008A2749">
      <w:rPr>
        <w:rFonts w:cs="Times New Roman"/>
        <w:color w:val="auto"/>
      </w:rPr>
      <w:t xml:space="preserve"> </w:t>
    </w:r>
  </w:p>
  <w:p w:rsidR="0027668B" w:rsidRDefault="0027668B" w:rsidP="00970A98">
    <w:pPr>
      <w:ind w:left="-1418" w:right="-755"/>
      <w:jc w:val="right"/>
      <w:rPr>
        <w:rFonts w:ascii="Franklin Gothic Book" w:hAnsi="Franklin Gothic Book"/>
        <w:b/>
        <w:color w:val="7B83AD"/>
        <w:sz w:val="15"/>
        <w:szCs w:val="15"/>
      </w:rPr>
    </w:pPr>
  </w:p>
  <w:p w:rsidR="0027668B" w:rsidRDefault="0027668B" w:rsidP="00970A98">
    <w:pPr>
      <w:ind w:left="-1418" w:right="-755"/>
      <w:jc w:val="right"/>
      <w:rPr>
        <w:rFonts w:ascii="Franklin Gothic Book" w:hAnsi="Franklin Gothic Book"/>
        <w:b/>
        <w:color w:val="7B83AD"/>
        <w:sz w:val="15"/>
        <w:szCs w:val="15"/>
      </w:rPr>
    </w:pPr>
  </w:p>
  <w:p w:rsidR="0027668B" w:rsidRDefault="0027668B" w:rsidP="00970A98">
    <w:pPr>
      <w:ind w:left="-1418" w:right="-755"/>
      <w:jc w:val="right"/>
      <w:rPr>
        <w:rFonts w:ascii="Franklin Gothic Book" w:hAnsi="Franklin Gothic Book"/>
        <w:b/>
        <w:color w:val="7B83AD"/>
        <w:sz w:val="15"/>
        <w:szCs w:val="15"/>
      </w:rPr>
    </w:pPr>
  </w:p>
  <w:p w:rsidR="0027668B" w:rsidRDefault="0027668B" w:rsidP="00970A98">
    <w:pPr>
      <w:ind w:left="-1418" w:right="-755"/>
      <w:jc w:val="right"/>
      <w:rPr>
        <w:rFonts w:ascii="Franklin Gothic Book" w:hAnsi="Franklin Gothic Book"/>
        <w:b/>
        <w:color w:val="7B83AD"/>
        <w:sz w:val="15"/>
        <w:szCs w:val="15"/>
      </w:rPr>
    </w:pPr>
    <w:r>
      <w:rPr>
        <w:rFonts w:asciiTheme="majorHAnsi" w:hAnsiTheme="majorHAnsi"/>
        <w:b/>
        <w:noProof/>
        <w:sz w:val="36"/>
        <w:szCs w:val="36"/>
      </w:rPr>
      <w:drawing>
        <wp:inline distT="0" distB="0" distL="0" distR="0">
          <wp:extent cx="1652400" cy="442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2400" cy="442800"/>
                  </a:xfrm>
                  <a:prstGeom prst="rect">
                    <a:avLst/>
                  </a:prstGeom>
                  <a:noFill/>
                  <a:ln>
                    <a:noFill/>
                  </a:ln>
                </pic:spPr>
              </pic:pic>
            </a:graphicData>
          </a:graphic>
        </wp:inline>
      </w:drawing>
    </w:r>
  </w:p>
  <w:p w:rsidR="0027668B" w:rsidRDefault="0027668B" w:rsidP="00970A98">
    <w:pPr>
      <w:ind w:left="-1418" w:right="-755"/>
      <w:jc w:val="right"/>
      <w:rPr>
        <w:rFonts w:ascii="Franklin Gothic Book" w:hAnsi="Franklin Gothic Book"/>
        <w:b/>
        <w:color w:val="7B83AD"/>
        <w:sz w:val="15"/>
        <w:szCs w:val="15"/>
      </w:rPr>
    </w:pPr>
  </w:p>
  <w:p w:rsidR="0027668B" w:rsidRDefault="0027668B" w:rsidP="00970A98">
    <w:pPr>
      <w:ind w:left="-1418" w:right="-755"/>
      <w:jc w:val="right"/>
      <w:rPr>
        <w:rFonts w:ascii="Franklin Gothic Book" w:hAnsi="Franklin Gothic Book"/>
        <w:b/>
        <w:color w:val="7B83AD"/>
        <w:sz w:val="15"/>
        <w:szCs w:val="15"/>
      </w:rPr>
    </w:pPr>
  </w:p>
  <w:p w:rsidR="0027668B" w:rsidRDefault="0027668B" w:rsidP="007F2647">
    <w:pPr>
      <w:tabs>
        <w:tab w:val="left" w:pos="5349"/>
      </w:tabs>
      <w:ind w:left="-1418" w:right="-755"/>
      <w:rPr>
        <w:rFonts w:ascii="Franklin Gothic Book" w:hAnsi="Franklin Gothic Book"/>
        <w:b/>
        <w:color w:val="7B83AD"/>
        <w:sz w:val="15"/>
        <w:szCs w:val="15"/>
      </w:rPr>
    </w:pPr>
    <w:r>
      <w:rPr>
        <w:rFonts w:ascii="Franklin Gothic Book" w:hAnsi="Franklin Gothic Book"/>
        <w:b/>
        <w:color w:val="7B83AD"/>
        <w:sz w:val="15"/>
        <w:szCs w:val="15"/>
      </w:rPr>
      <w:tab/>
    </w:r>
  </w:p>
  <w:p w:rsidR="0027668B" w:rsidRDefault="0027668B" w:rsidP="00970A98">
    <w:pPr>
      <w:ind w:left="-1418" w:right="-755"/>
      <w:jc w:val="right"/>
      <w:rPr>
        <w:rFonts w:ascii="Franklin Gothic Book" w:hAnsi="Franklin Gothic Book"/>
        <w:b/>
        <w:color w:val="7B83AD"/>
        <w:sz w:val="15"/>
        <w:szCs w:val="15"/>
      </w:rPr>
    </w:pPr>
  </w:p>
  <w:p w:rsidR="0027668B" w:rsidRDefault="0027668B" w:rsidP="00CE0270">
    <w:pPr>
      <w:pStyle w:val="Header"/>
      <w:tabs>
        <w:tab w:val="clear" w:pos="8306"/>
        <w:tab w:val="left" w:pos="-426"/>
      </w:tabs>
      <w:ind w:left="14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1FE2"/>
    <w:multiLevelType w:val="hybridMultilevel"/>
    <w:tmpl w:val="4196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3429D6"/>
    <w:multiLevelType w:val="multilevel"/>
    <w:tmpl w:val="B2DAE1F4"/>
    <w:lvl w:ilvl="0">
      <w:start w:val="1"/>
      <w:numFmt w:val="bullet"/>
      <w:lvlText w:val=""/>
      <w:lvlJc w:val="left"/>
      <w:pPr>
        <w:tabs>
          <w:tab w:val="num" w:pos="720"/>
        </w:tabs>
        <w:ind w:left="720" w:hanging="360"/>
      </w:pPr>
      <w:rPr>
        <w:rFonts w:ascii="Wingdings" w:hAnsi="Wingdings" w:hint="default"/>
      </w:rPr>
    </w:lvl>
    <w:lvl w:ilvl="1">
      <w:start w:val="4"/>
      <w:numFmt w:val="bullet"/>
      <w:lvlText w:val="-"/>
      <w:lvlJc w:val="left"/>
      <w:pPr>
        <w:tabs>
          <w:tab w:val="num" w:pos="1800"/>
        </w:tabs>
        <w:ind w:left="1800" w:hanging="72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0D71AD"/>
    <w:multiLevelType w:val="hybridMultilevel"/>
    <w:tmpl w:val="A9F4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D2D78"/>
    <w:multiLevelType w:val="hybridMultilevel"/>
    <w:tmpl w:val="0396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CC0FBF"/>
    <w:multiLevelType w:val="hybridMultilevel"/>
    <w:tmpl w:val="837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921C8"/>
    <w:multiLevelType w:val="hybridMultilevel"/>
    <w:tmpl w:val="51C2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2777F"/>
    <w:multiLevelType w:val="hybridMultilevel"/>
    <w:tmpl w:val="40D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1789B"/>
    <w:multiLevelType w:val="hybridMultilevel"/>
    <w:tmpl w:val="65C472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C3968F9"/>
    <w:multiLevelType w:val="hybridMultilevel"/>
    <w:tmpl w:val="C7F81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EDA48A3"/>
    <w:multiLevelType w:val="hybridMultilevel"/>
    <w:tmpl w:val="982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52AF"/>
    <w:multiLevelType w:val="hybridMultilevel"/>
    <w:tmpl w:val="F9B2B0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EF0DA7"/>
    <w:multiLevelType w:val="hybridMultilevel"/>
    <w:tmpl w:val="FD36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243217"/>
    <w:multiLevelType w:val="hybridMultilevel"/>
    <w:tmpl w:val="1A2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C6860"/>
    <w:multiLevelType w:val="hybridMultilevel"/>
    <w:tmpl w:val="DA66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8190C"/>
    <w:multiLevelType w:val="hybridMultilevel"/>
    <w:tmpl w:val="41D4F42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294D2A2C"/>
    <w:multiLevelType w:val="hybridMultilevel"/>
    <w:tmpl w:val="40EC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F8487C"/>
    <w:multiLevelType w:val="hybridMultilevel"/>
    <w:tmpl w:val="6880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4C7385"/>
    <w:multiLevelType w:val="hybridMultilevel"/>
    <w:tmpl w:val="002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F1E1A"/>
    <w:multiLevelType w:val="hybridMultilevel"/>
    <w:tmpl w:val="088C669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47B22B6C"/>
    <w:multiLevelType w:val="hybridMultilevel"/>
    <w:tmpl w:val="FF089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A9182D"/>
    <w:multiLevelType w:val="hybridMultilevel"/>
    <w:tmpl w:val="42B0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923C6"/>
    <w:multiLevelType w:val="hybridMultilevel"/>
    <w:tmpl w:val="1D2A5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FAC2F45"/>
    <w:multiLevelType w:val="hybridMultilevel"/>
    <w:tmpl w:val="CB702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EB59EA"/>
    <w:multiLevelType w:val="hybridMultilevel"/>
    <w:tmpl w:val="F0F22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5E21982"/>
    <w:multiLevelType w:val="hybridMultilevel"/>
    <w:tmpl w:val="137E5074"/>
    <w:lvl w:ilvl="0" w:tplc="F6B629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84756D5"/>
    <w:multiLevelType w:val="hybridMultilevel"/>
    <w:tmpl w:val="D7C0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9C63FB4"/>
    <w:multiLevelType w:val="hybridMultilevel"/>
    <w:tmpl w:val="FD7AC6F0"/>
    <w:lvl w:ilvl="0" w:tplc="8A32479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81454D"/>
    <w:multiLevelType w:val="hybridMultilevel"/>
    <w:tmpl w:val="EB409C94"/>
    <w:lvl w:ilvl="0" w:tplc="6EA4F0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FB76A8"/>
    <w:multiLevelType w:val="hybridMultilevel"/>
    <w:tmpl w:val="A7DC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95AEB"/>
    <w:multiLevelType w:val="hybridMultilevel"/>
    <w:tmpl w:val="74428A42"/>
    <w:lvl w:ilvl="0" w:tplc="038446F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13922F4"/>
    <w:multiLevelType w:val="hybridMultilevel"/>
    <w:tmpl w:val="4B9E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547E9"/>
    <w:multiLevelType w:val="hybridMultilevel"/>
    <w:tmpl w:val="3E40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8952B0"/>
    <w:multiLevelType w:val="hybridMultilevel"/>
    <w:tmpl w:val="C5B2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77134B"/>
    <w:multiLevelType w:val="hybridMultilevel"/>
    <w:tmpl w:val="BABA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791728F"/>
    <w:multiLevelType w:val="hybridMultilevel"/>
    <w:tmpl w:val="ECE83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68C635F4"/>
    <w:multiLevelType w:val="hybridMultilevel"/>
    <w:tmpl w:val="A416807A"/>
    <w:lvl w:ilvl="0" w:tplc="EE0ABB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EEF210D"/>
    <w:multiLevelType w:val="hybridMultilevel"/>
    <w:tmpl w:val="63064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nsid w:val="78522D97"/>
    <w:multiLevelType w:val="hybridMultilevel"/>
    <w:tmpl w:val="786AE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9">
    <w:nsid w:val="7EE60FCF"/>
    <w:multiLevelType w:val="hybridMultilevel"/>
    <w:tmpl w:val="385C9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1"/>
  </w:num>
  <w:num w:numId="4">
    <w:abstractNumId w:val="3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9"/>
  </w:num>
  <w:num w:numId="8">
    <w:abstractNumId w:val="8"/>
  </w:num>
  <w:num w:numId="9">
    <w:abstractNumId w:val="25"/>
  </w:num>
  <w:num w:numId="10">
    <w:abstractNumId w:val="21"/>
  </w:num>
  <w:num w:numId="11">
    <w:abstractNumId w:val="31"/>
  </w:num>
  <w:num w:numId="12">
    <w:abstractNumId w:val="4"/>
  </w:num>
  <w:num w:numId="13">
    <w:abstractNumId w:val="9"/>
  </w:num>
  <w:num w:numId="14">
    <w:abstractNumId w:val="14"/>
  </w:num>
  <w:num w:numId="15">
    <w:abstractNumId w:val="28"/>
  </w:num>
  <w:num w:numId="16">
    <w:abstractNumId w:val="1"/>
  </w:num>
  <w:num w:numId="17">
    <w:abstractNumId w:val="27"/>
  </w:num>
  <w:num w:numId="18">
    <w:abstractNumId w:val="33"/>
  </w:num>
  <w:num w:numId="19">
    <w:abstractNumId w:val="36"/>
  </w:num>
  <w:num w:numId="20">
    <w:abstractNumId w:val="23"/>
  </w:num>
  <w:num w:numId="21">
    <w:abstractNumId w:val="32"/>
  </w:num>
  <w:num w:numId="22">
    <w:abstractNumId w:val="3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0"/>
  </w:num>
  <w:num w:numId="28">
    <w:abstractNumId w:val="3"/>
  </w:num>
  <w:num w:numId="29">
    <w:abstractNumId w:val="30"/>
  </w:num>
  <w:num w:numId="30">
    <w:abstractNumId w:val="20"/>
  </w:num>
  <w:num w:numId="31">
    <w:abstractNumId w:val="6"/>
  </w:num>
  <w:num w:numId="32">
    <w:abstractNumId w:val="12"/>
  </w:num>
  <w:num w:numId="33">
    <w:abstractNumId w:val="5"/>
  </w:num>
  <w:num w:numId="34">
    <w:abstractNumId w:val="17"/>
  </w:num>
  <w:num w:numId="35">
    <w:abstractNumId w:val="13"/>
  </w:num>
  <w:num w:numId="36">
    <w:abstractNumId w:val="7"/>
  </w:num>
  <w:num w:numId="37">
    <w:abstractNumId w:val="15"/>
  </w:num>
  <w:num w:numId="38">
    <w:abstractNumId w:val="35"/>
  </w:num>
  <w:num w:numId="39">
    <w:abstractNumId w:val="24"/>
  </w:num>
  <w:num w:numId="40">
    <w:abstractNumId w:val="29"/>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C433A1"/>
    <w:rsid w:val="00003B96"/>
    <w:rsid w:val="00003F29"/>
    <w:rsid w:val="00005961"/>
    <w:rsid w:val="00007623"/>
    <w:rsid w:val="00011452"/>
    <w:rsid w:val="000122CC"/>
    <w:rsid w:val="000161DF"/>
    <w:rsid w:val="00022CE2"/>
    <w:rsid w:val="00023F78"/>
    <w:rsid w:val="00024199"/>
    <w:rsid w:val="00024B1A"/>
    <w:rsid w:val="00024BC0"/>
    <w:rsid w:val="00024D21"/>
    <w:rsid w:val="00026BB9"/>
    <w:rsid w:val="000331BF"/>
    <w:rsid w:val="000347D6"/>
    <w:rsid w:val="000347F2"/>
    <w:rsid w:val="00034802"/>
    <w:rsid w:val="00034AE0"/>
    <w:rsid w:val="00034B4D"/>
    <w:rsid w:val="00045CEE"/>
    <w:rsid w:val="00046B08"/>
    <w:rsid w:val="00047C6E"/>
    <w:rsid w:val="0005581C"/>
    <w:rsid w:val="00056321"/>
    <w:rsid w:val="00060441"/>
    <w:rsid w:val="000646A6"/>
    <w:rsid w:val="0006508A"/>
    <w:rsid w:val="0006657D"/>
    <w:rsid w:val="000669DF"/>
    <w:rsid w:val="00071AE7"/>
    <w:rsid w:val="00075A26"/>
    <w:rsid w:val="00081E9D"/>
    <w:rsid w:val="0008316C"/>
    <w:rsid w:val="000831E6"/>
    <w:rsid w:val="00084A58"/>
    <w:rsid w:val="0008639A"/>
    <w:rsid w:val="000912AD"/>
    <w:rsid w:val="0009495F"/>
    <w:rsid w:val="000A149A"/>
    <w:rsid w:val="000A28FE"/>
    <w:rsid w:val="000A5D40"/>
    <w:rsid w:val="000B325A"/>
    <w:rsid w:val="000C4219"/>
    <w:rsid w:val="000D0232"/>
    <w:rsid w:val="000D1F7D"/>
    <w:rsid w:val="000D4BEE"/>
    <w:rsid w:val="000D52A3"/>
    <w:rsid w:val="000D54DA"/>
    <w:rsid w:val="000D66F3"/>
    <w:rsid w:val="000D726F"/>
    <w:rsid w:val="000E1DCB"/>
    <w:rsid w:val="000F1E4F"/>
    <w:rsid w:val="000F3265"/>
    <w:rsid w:val="000F6EDA"/>
    <w:rsid w:val="001011F2"/>
    <w:rsid w:val="001071E4"/>
    <w:rsid w:val="001157F6"/>
    <w:rsid w:val="001215BC"/>
    <w:rsid w:val="001242FE"/>
    <w:rsid w:val="001247F6"/>
    <w:rsid w:val="00125036"/>
    <w:rsid w:val="00135938"/>
    <w:rsid w:val="00135FC2"/>
    <w:rsid w:val="00136788"/>
    <w:rsid w:val="0014200C"/>
    <w:rsid w:val="00143193"/>
    <w:rsid w:val="001533B4"/>
    <w:rsid w:val="0016712D"/>
    <w:rsid w:val="00167C3F"/>
    <w:rsid w:val="00170164"/>
    <w:rsid w:val="00171D1D"/>
    <w:rsid w:val="0017292A"/>
    <w:rsid w:val="00173300"/>
    <w:rsid w:val="00193091"/>
    <w:rsid w:val="001950AC"/>
    <w:rsid w:val="001A10B1"/>
    <w:rsid w:val="001A117D"/>
    <w:rsid w:val="001A313D"/>
    <w:rsid w:val="001A5529"/>
    <w:rsid w:val="001A788F"/>
    <w:rsid w:val="001B224C"/>
    <w:rsid w:val="001D0567"/>
    <w:rsid w:val="001D45FD"/>
    <w:rsid w:val="001D4987"/>
    <w:rsid w:val="001D5442"/>
    <w:rsid w:val="001E62F0"/>
    <w:rsid w:val="001E72DC"/>
    <w:rsid w:val="001E769D"/>
    <w:rsid w:val="001F07FF"/>
    <w:rsid w:val="001F582E"/>
    <w:rsid w:val="001F644E"/>
    <w:rsid w:val="00201A7D"/>
    <w:rsid w:val="00213281"/>
    <w:rsid w:val="00215F92"/>
    <w:rsid w:val="00221E8D"/>
    <w:rsid w:val="00232ABC"/>
    <w:rsid w:val="00245990"/>
    <w:rsid w:val="00246E5A"/>
    <w:rsid w:val="0025009A"/>
    <w:rsid w:val="00253E98"/>
    <w:rsid w:val="002540E4"/>
    <w:rsid w:val="00263C21"/>
    <w:rsid w:val="0027668B"/>
    <w:rsid w:val="00290DF2"/>
    <w:rsid w:val="002A4ED3"/>
    <w:rsid w:val="002B016B"/>
    <w:rsid w:val="002B4D4F"/>
    <w:rsid w:val="002B5ED0"/>
    <w:rsid w:val="002D592D"/>
    <w:rsid w:val="002E065C"/>
    <w:rsid w:val="002E5198"/>
    <w:rsid w:val="002F0074"/>
    <w:rsid w:val="002F1E2D"/>
    <w:rsid w:val="002F4C05"/>
    <w:rsid w:val="002F5C0B"/>
    <w:rsid w:val="00303201"/>
    <w:rsid w:val="003050B0"/>
    <w:rsid w:val="00306BA8"/>
    <w:rsid w:val="00311A7C"/>
    <w:rsid w:val="00313A77"/>
    <w:rsid w:val="00313F66"/>
    <w:rsid w:val="00315916"/>
    <w:rsid w:val="00320E14"/>
    <w:rsid w:val="00331D65"/>
    <w:rsid w:val="003364CA"/>
    <w:rsid w:val="00337C84"/>
    <w:rsid w:val="00343039"/>
    <w:rsid w:val="00355839"/>
    <w:rsid w:val="00361B61"/>
    <w:rsid w:val="0036675A"/>
    <w:rsid w:val="00374800"/>
    <w:rsid w:val="00384D55"/>
    <w:rsid w:val="00386C33"/>
    <w:rsid w:val="00387820"/>
    <w:rsid w:val="00390466"/>
    <w:rsid w:val="003911DF"/>
    <w:rsid w:val="00391B3F"/>
    <w:rsid w:val="003A4CF4"/>
    <w:rsid w:val="003B7B65"/>
    <w:rsid w:val="003C15F3"/>
    <w:rsid w:val="003D46C0"/>
    <w:rsid w:val="003D598A"/>
    <w:rsid w:val="003E03C9"/>
    <w:rsid w:val="003E174D"/>
    <w:rsid w:val="003E34DD"/>
    <w:rsid w:val="003E4DB6"/>
    <w:rsid w:val="003E771A"/>
    <w:rsid w:val="00401086"/>
    <w:rsid w:val="00402884"/>
    <w:rsid w:val="00402F39"/>
    <w:rsid w:val="0040381B"/>
    <w:rsid w:val="00406489"/>
    <w:rsid w:val="00411F1F"/>
    <w:rsid w:val="00413926"/>
    <w:rsid w:val="00413D83"/>
    <w:rsid w:val="00416DA6"/>
    <w:rsid w:val="00423F8E"/>
    <w:rsid w:val="004240E1"/>
    <w:rsid w:val="00430CF2"/>
    <w:rsid w:val="004331D6"/>
    <w:rsid w:val="00454639"/>
    <w:rsid w:val="00454840"/>
    <w:rsid w:val="0046207A"/>
    <w:rsid w:val="00463947"/>
    <w:rsid w:val="00465D54"/>
    <w:rsid w:val="0046659C"/>
    <w:rsid w:val="00471670"/>
    <w:rsid w:val="00472A2E"/>
    <w:rsid w:val="00472B32"/>
    <w:rsid w:val="00480DA7"/>
    <w:rsid w:val="00485071"/>
    <w:rsid w:val="00487447"/>
    <w:rsid w:val="004946BF"/>
    <w:rsid w:val="00496095"/>
    <w:rsid w:val="004A3EB7"/>
    <w:rsid w:val="004A45AA"/>
    <w:rsid w:val="004A5D17"/>
    <w:rsid w:val="004B51C6"/>
    <w:rsid w:val="004B60A7"/>
    <w:rsid w:val="004B6B59"/>
    <w:rsid w:val="004C0001"/>
    <w:rsid w:val="004C48DF"/>
    <w:rsid w:val="004C63C5"/>
    <w:rsid w:val="004D00F0"/>
    <w:rsid w:val="004D6965"/>
    <w:rsid w:val="004E17A7"/>
    <w:rsid w:val="004E31D8"/>
    <w:rsid w:val="004E4677"/>
    <w:rsid w:val="004E59BD"/>
    <w:rsid w:val="004F0606"/>
    <w:rsid w:val="004F670B"/>
    <w:rsid w:val="004F78D8"/>
    <w:rsid w:val="00502703"/>
    <w:rsid w:val="00503461"/>
    <w:rsid w:val="00511267"/>
    <w:rsid w:val="005125D4"/>
    <w:rsid w:val="00515AEC"/>
    <w:rsid w:val="00526AAF"/>
    <w:rsid w:val="00530DFE"/>
    <w:rsid w:val="00535564"/>
    <w:rsid w:val="005367E1"/>
    <w:rsid w:val="0054182F"/>
    <w:rsid w:val="00542C2B"/>
    <w:rsid w:val="00553A41"/>
    <w:rsid w:val="00554578"/>
    <w:rsid w:val="00554800"/>
    <w:rsid w:val="00555C8B"/>
    <w:rsid w:val="005608D9"/>
    <w:rsid w:val="00561A8A"/>
    <w:rsid w:val="005640D8"/>
    <w:rsid w:val="00564D20"/>
    <w:rsid w:val="00572B89"/>
    <w:rsid w:val="00576561"/>
    <w:rsid w:val="005839C5"/>
    <w:rsid w:val="00585569"/>
    <w:rsid w:val="00585CE7"/>
    <w:rsid w:val="005862AF"/>
    <w:rsid w:val="005867AC"/>
    <w:rsid w:val="00587DFF"/>
    <w:rsid w:val="00590624"/>
    <w:rsid w:val="00592630"/>
    <w:rsid w:val="00595B08"/>
    <w:rsid w:val="005A163E"/>
    <w:rsid w:val="005A2116"/>
    <w:rsid w:val="005A3715"/>
    <w:rsid w:val="005C0E80"/>
    <w:rsid w:val="005C51C0"/>
    <w:rsid w:val="005D0B21"/>
    <w:rsid w:val="005D2638"/>
    <w:rsid w:val="005D7467"/>
    <w:rsid w:val="005E25F7"/>
    <w:rsid w:val="005E3176"/>
    <w:rsid w:val="005E6FDE"/>
    <w:rsid w:val="005E7220"/>
    <w:rsid w:val="005F20F8"/>
    <w:rsid w:val="005F45D3"/>
    <w:rsid w:val="006011D1"/>
    <w:rsid w:val="006020EC"/>
    <w:rsid w:val="00604EF6"/>
    <w:rsid w:val="006075C2"/>
    <w:rsid w:val="00614082"/>
    <w:rsid w:val="006142D0"/>
    <w:rsid w:val="00626159"/>
    <w:rsid w:val="00630CD8"/>
    <w:rsid w:val="00633DAF"/>
    <w:rsid w:val="00637613"/>
    <w:rsid w:val="00643685"/>
    <w:rsid w:val="00651639"/>
    <w:rsid w:val="0065237B"/>
    <w:rsid w:val="006568EF"/>
    <w:rsid w:val="00665504"/>
    <w:rsid w:val="00666321"/>
    <w:rsid w:val="00672FBA"/>
    <w:rsid w:val="0067465B"/>
    <w:rsid w:val="00681B76"/>
    <w:rsid w:val="00683BC4"/>
    <w:rsid w:val="00685753"/>
    <w:rsid w:val="006920ED"/>
    <w:rsid w:val="00694ED1"/>
    <w:rsid w:val="00695204"/>
    <w:rsid w:val="006972F4"/>
    <w:rsid w:val="006A4642"/>
    <w:rsid w:val="006B0CFE"/>
    <w:rsid w:val="006B1BB2"/>
    <w:rsid w:val="006B31E6"/>
    <w:rsid w:val="006B691C"/>
    <w:rsid w:val="006B777D"/>
    <w:rsid w:val="006C094C"/>
    <w:rsid w:val="006C7E60"/>
    <w:rsid w:val="006D02D8"/>
    <w:rsid w:val="006D07FE"/>
    <w:rsid w:val="006D0E59"/>
    <w:rsid w:val="006D1DAC"/>
    <w:rsid w:val="006D48F7"/>
    <w:rsid w:val="006D7430"/>
    <w:rsid w:val="006E1A39"/>
    <w:rsid w:val="006E1BEC"/>
    <w:rsid w:val="006E3112"/>
    <w:rsid w:val="006E519D"/>
    <w:rsid w:val="006E5768"/>
    <w:rsid w:val="006E7717"/>
    <w:rsid w:val="006F0F17"/>
    <w:rsid w:val="006F2310"/>
    <w:rsid w:val="006F77CD"/>
    <w:rsid w:val="00702157"/>
    <w:rsid w:val="00705139"/>
    <w:rsid w:val="00706898"/>
    <w:rsid w:val="0071297B"/>
    <w:rsid w:val="00712E04"/>
    <w:rsid w:val="007355FE"/>
    <w:rsid w:val="00736491"/>
    <w:rsid w:val="00742130"/>
    <w:rsid w:val="00744590"/>
    <w:rsid w:val="007459E7"/>
    <w:rsid w:val="007476D3"/>
    <w:rsid w:val="007547E3"/>
    <w:rsid w:val="0075646E"/>
    <w:rsid w:val="00760EE9"/>
    <w:rsid w:val="00763D26"/>
    <w:rsid w:val="00771CB9"/>
    <w:rsid w:val="00772138"/>
    <w:rsid w:val="00775112"/>
    <w:rsid w:val="00783295"/>
    <w:rsid w:val="00784CFA"/>
    <w:rsid w:val="007867B0"/>
    <w:rsid w:val="007869F5"/>
    <w:rsid w:val="00790173"/>
    <w:rsid w:val="007930F9"/>
    <w:rsid w:val="007A19CA"/>
    <w:rsid w:val="007A53DA"/>
    <w:rsid w:val="007A6F30"/>
    <w:rsid w:val="007A7217"/>
    <w:rsid w:val="007B418E"/>
    <w:rsid w:val="007B5F6E"/>
    <w:rsid w:val="007C0B90"/>
    <w:rsid w:val="007C19A2"/>
    <w:rsid w:val="007C6F47"/>
    <w:rsid w:val="007C792C"/>
    <w:rsid w:val="007D04E3"/>
    <w:rsid w:val="007D343B"/>
    <w:rsid w:val="007E0431"/>
    <w:rsid w:val="007E13C5"/>
    <w:rsid w:val="007E314E"/>
    <w:rsid w:val="007E5D2E"/>
    <w:rsid w:val="007E6B6C"/>
    <w:rsid w:val="007F0FC1"/>
    <w:rsid w:val="007F2647"/>
    <w:rsid w:val="007F52BC"/>
    <w:rsid w:val="007F6651"/>
    <w:rsid w:val="007F7C9E"/>
    <w:rsid w:val="00800B61"/>
    <w:rsid w:val="0080622F"/>
    <w:rsid w:val="0081179E"/>
    <w:rsid w:val="008157AA"/>
    <w:rsid w:val="008248B5"/>
    <w:rsid w:val="0083401A"/>
    <w:rsid w:val="008350B2"/>
    <w:rsid w:val="00835A2C"/>
    <w:rsid w:val="008367BC"/>
    <w:rsid w:val="008373D1"/>
    <w:rsid w:val="0085312E"/>
    <w:rsid w:val="008531B2"/>
    <w:rsid w:val="00853202"/>
    <w:rsid w:val="008540EA"/>
    <w:rsid w:val="00854FB3"/>
    <w:rsid w:val="008550A1"/>
    <w:rsid w:val="00856D2A"/>
    <w:rsid w:val="008707B0"/>
    <w:rsid w:val="0087098B"/>
    <w:rsid w:val="00870DD7"/>
    <w:rsid w:val="00877470"/>
    <w:rsid w:val="00877DBE"/>
    <w:rsid w:val="00880449"/>
    <w:rsid w:val="00880D39"/>
    <w:rsid w:val="00881180"/>
    <w:rsid w:val="008852DB"/>
    <w:rsid w:val="00892362"/>
    <w:rsid w:val="008963AF"/>
    <w:rsid w:val="008A2749"/>
    <w:rsid w:val="008A3BC0"/>
    <w:rsid w:val="008A6C6B"/>
    <w:rsid w:val="008B1AC9"/>
    <w:rsid w:val="008B3277"/>
    <w:rsid w:val="008B40FE"/>
    <w:rsid w:val="008D04B3"/>
    <w:rsid w:val="008D092B"/>
    <w:rsid w:val="008D13EF"/>
    <w:rsid w:val="008D42CF"/>
    <w:rsid w:val="008D5640"/>
    <w:rsid w:val="008D764D"/>
    <w:rsid w:val="008D78CB"/>
    <w:rsid w:val="008E2E07"/>
    <w:rsid w:val="008E39BB"/>
    <w:rsid w:val="008E4C05"/>
    <w:rsid w:val="008E7369"/>
    <w:rsid w:val="008F02AF"/>
    <w:rsid w:val="008F053E"/>
    <w:rsid w:val="008F1553"/>
    <w:rsid w:val="0090170E"/>
    <w:rsid w:val="00904738"/>
    <w:rsid w:val="00911603"/>
    <w:rsid w:val="00911629"/>
    <w:rsid w:val="00911DB2"/>
    <w:rsid w:val="00913C76"/>
    <w:rsid w:val="009176FF"/>
    <w:rsid w:val="00917804"/>
    <w:rsid w:val="00920C0D"/>
    <w:rsid w:val="00922339"/>
    <w:rsid w:val="00932B61"/>
    <w:rsid w:val="00932E08"/>
    <w:rsid w:val="009501A0"/>
    <w:rsid w:val="00952705"/>
    <w:rsid w:val="00955000"/>
    <w:rsid w:val="00955CDC"/>
    <w:rsid w:val="0095784D"/>
    <w:rsid w:val="00957AA8"/>
    <w:rsid w:val="00960631"/>
    <w:rsid w:val="0096411E"/>
    <w:rsid w:val="00965C14"/>
    <w:rsid w:val="009663D5"/>
    <w:rsid w:val="00970A98"/>
    <w:rsid w:val="009715F8"/>
    <w:rsid w:val="00980993"/>
    <w:rsid w:val="00982D04"/>
    <w:rsid w:val="00986DF5"/>
    <w:rsid w:val="0098790B"/>
    <w:rsid w:val="00992A89"/>
    <w:rsid w:val="00992EDA"/>
    <w:rsid w:val="009935D2"/>
    <w:rsid w:val="009A0108"/>
    <w:rsid w:val="009A0EEE"/>
    <w:rsid w:val="009A1A2E"/>
    <w:rsid w:val="009B1145"/>
    <w:rsid w:val="009B2BBF"/>
    <w:rsid w:val="009B6CCA"/>
    <w:rsid w:val="009C414D"/>
    <w:rsid w:val="009C66AD"/>
    <w:rsid w:val="009C72F8"/>
    <w:rsid w:val="009D1EE9"/>
    <w:rsid w:val="009D222C"/>
    <w:rsid w:val="009D751E"/>
    <w:rsid w:val="009F00C2"/>
    <w:rsid w:val="009F4A62"/>
    <w:rsid w:val="009F5AE4"/>
    <w:rsid w:val="00A06BDC"/>
    <w:rsid w:val="00A117A5"/>
    <w:rsid w:val="00A11C50"/>
    <w:rsid w:val="00A145B4"/>
    <w:rsid w:val="00A24237"/>
    <w:rsid w:val="00A31960"/>
    <w:rsid w:val="00A35BA1"/>
    <w:rsid w:val="00A35ECD"/>
    <w:rsid w:val="00A371B0"/>
    <w:rsid w:val="00A40B24"/>
    <w:rsid w:val="00A418F7"/>
    <w:rsid w:val="00A4225A"/>
    <w:rsid w:val="00A42EF8"/>
    <w:rsid w:val="00A44E04"/>
    <w:rsid w:val="00A50BFD"/>
    <w:rsid w:val="00A55994"/>
    <w:rsid w:val="00A57892"/>
    <w:rsid w:val="00A57E97"/>
    <w:rsid w:val="00A63DC5"/>
    <w:rsid w:val="00A64322"/>
    <w:rsid w:val="00A72343"/>
    <w:rsid w:val="00A73516"/>
    <w:rsid w:val="00A75C2F"/>
    <w:rsid w:val="00A76667"/>
    <w:rsid w:val="00A76A83"/>
    <w:rsid w:val="00A76BBF"/>
    <w:rsid w:val="00A773A5"/>
    <w:rsid w:val="00A77DCB"/>
    <w:rsid w:val="00A83707"/>
    <w:rsid w:val="00A9349F"/>
    <w:rsid w:val="00A93885"/>
    <w:rsid w:val="00AB1EB0"/>
    <w:rsid w:val="00AB22C7"/>
    <w:rsid w:val="00AB2E0B"/>
    <w:rsid w:val="00AB3F20"/>
    <w:rsid w:val="00AB5A5F"/>
    <w:rsid w:val="00AC4778"/>
    <w:rsid w:val="00AC478C"/>
    <w:rsid w:val="00AC6195"/>
    <w:rsid w:val="00AC700B"/>
    <w:rsid w:val="00AC76D5"/>
    <w:rsid w:val="00AD0D39"/>
    <w:rsid w:val="00AE16D2"/>
    <w:rsid w:val="00AE2957"/>
    <w:rsid w:val="00AE3AC0"/>
    <w:rsid w:val="00AE47F7"/>
    <w:rsid w:val="00AE6547"/>
    <w:rsid w:val="00AF1BE6"/>
    <w:rsid w:val="00AF277F"/>
    <w:rsid w:val="00AF2928"/>
    <w:rsid w:val="00AF2BCF"/>
    <w:rsid w:val="00AF3650"/>
    <w:rsid w:val="00AF7373"/>
    <w:rsid w:val="00B02DF9"/>
    <w:rsid w:val="00B03275"/>
    <w:rsid w:val="00B11381"/>
    <w:rsid w:val="00B1333C"/>
    <w:rsid w:val="00B17D9D"/>
    <w:rsid w:val="00B20445"/>
    <w:rsid w:val="00B2061C"/>
    <w:rsid w:val="00B210A5"/>
    <w:rsid w:val="00B219A6"/>
    <w:rsid w:val="00B30592"/>
    <w:rsid w:val="00B31717"/>
    <w:rsid w:val="00B32448"/>
    <w:rsid w:val="00B50C9B"/>
    <w:rsid w:val="00B531ED"/>
    <w:rsid w:val="00B53429"/>
    <w:rsid w:val="00B54C5E"/>
    <w:rsid w:val="00B54D46"/>
    <w:rsid w:val="00B577E4"/>
    <w:rsid w:val="00B63395"/>
    <w:rsid w:val="00B70AFD"/>
    <w:rsid w:val="00B74968"/>
    <w:rsid w:val="00B853B5"/>
    <w:rsid w:val="00B94FCC"/>
    <w:rsid w:val="00B95F4B"/>
    <w:rsid w:val="00B96BF5"/>
    <w:rsid w:val="00B97922"/>
    <w:rsid w:val="00BA20D1"/>
    <w:rsid w:val="00BA3708"/>
    <w:rsid w:val="00BB0D17"/>
    <w:rsid w:val="00BB51AF"/>
    <w:rsid w:val="00BB5756"/>
    <w:rsid w:val="00BC007D"/>
    <w:rsid w:val="00BC18F2"/>
    <w:rsid w:val="00BC5EE2"/>
    <w:rsid w:val="00BD0CA8"/>
    <w:rsid w:val="00BD2BB4"/>
    <w:rsid w:val="00BD40F7"/>
    <w:rsid w:val="00BD784E"/>
    <w:rsid w:val="00BE23AE"/>
    <w:rsid w:val="00BE62CA"/>
    <w:rsid w:val="00BE7F68"/>
    <w:rsid w:val="00BF1110"/>
    <w:rsid w:val="00BF247A"/>
    <w:rsid w:val="00C00D53"/>
    <w:rsid w:val="00C020E0"/>
    <w:rsid w:val="00C025CC"/>
    <w:rsid w:val="00C05818"/>
    <w:rsid w:val="00C1379A"/>
    <w:rsid w:val="00C17D48"/>
    <w:rsid w:val="00C20992"/>
    <w:rsid w:val="00C22AA0"/>
    <w:rsid w:val="00C325AF"/>
    <w:rsid w:val="00C3387D"/>
    <w:rsid w:val="00C34971"/>
    <w:rsid w:val="00C40D1C"/>
    <w:rsid w:val="00C411AB"/>
    <w:rsid w:val="00C433A1"/>
    <w:rsid w:val="00C44E88"/>
    <w:rsid w:val="00C45287"/>
    <w:rsid w:val="00C4565A"/>
    <w:rsid w:val="00C52CC2"/>
    <w:rsid w:val="00C5409F"/>
    <w:rsid w:val="00C56442"/>
    <w:rsid w:val="00C60784"/>
    <w:rsid w:val="00C60C49"/>
    <w:rsid w:val="00C61B6B"/>
    <w:rsid w:val="00C64619"/>
    <w:rsid w:val="00C715B2"/>
    <w:rsid w:val="00C76B51"/>
    <w:rsid w:val="00C80D05"/>
    <w:rsid w:val="00C836E0"/>
    <w:rsid w:val="00C86939"/>
    <w:rsid w:val="00CA21B1"/>
    <w:rsid w:val="00CA66EE"/>
    <w:rsid w:val="00CB6192"/>
    <w:rsid w:val="00CB7477"/>
    <w:rsid w:val="00CC05DC"/>
    <w:rsid w:val="00CC1FD0"/>
    <w:rsid w:val="00CC2F34"/>
    <w:rsid w:val="00CC46EE"/>
    <w:rsid w:val="00CD0C97"/>
    <w:rsid w:val="00CD3E43"/>
    <w:rsid w:val="00CD58D2"/>
    <w:rsid w:val="00CE0270"/>
    <w:rsid w:val="00CE0E26"/>
    <w:rsid w:val="00CE748D"/>
    <w:rsid w:val="00CE7D5B"/>
    <w:rsid w:val="00CF007B"/>
    <w:rsid w:val="00CF30A4"/>
    <w:rsid w:val="00D139B7"/>
    <w:rsid w:val="00D20379"/>
    <w:rsid w:val="00D24176"/>
    <w:rsid w:val="00D242E3"/>
    <w:rsid w:val="00D31208"/>
    <w:rsid w:val="00D322FD"/>
    <w:rsid w:val="00D414AA"/>
    <w:rsid w:val="00D42807"/>
    <w:rsid w:val="00D430FD"/>
    <w:rsid w:val="00D4440F"/>
    <w:rsid w:val="00D44F7E"/>
    <w:rsid w:val="00D50434"/>
    <w:rsid w:val="00D515C2"/>
    <w:rsid w:val="00D53B5E"/>
    <w:rsid w:val="00D53D9F"/>
    <w:rsid w:val="00D560F8"/>
    <w:rsid w:val="00D57345"/>
    <w:rsid w:val="00D57988"/>
    <w:rsid w:val="00D6394D"/>
    <w:rsid w:val="00D66F2A"/>
    <w:rsid w:val="00D717FC"/>
    <w:rsid w:val="00D76170"/>
    <w:rsid w:val="00D80789"/>
    <w:rsid w:val="00D93375"/>
    <w:rsid w:val="00D93945"/>
    <w:rsid w:val="00D9486A"/>
    <w:rsid w:val="00D94936"/>
    <w:rsid w:val="00D9553E"/>
    <w:rsid w:val="00DA54D1"/>
    <w:rsid w:val="00DB4057"/>
    <w:rsid w:val="00DC073F"/>
    <w:rsid w:val="00DC1BC8"/>
    <w:rsid w:val="00DC4A87"/>
    <w:rsid w:val="00DC721A"/>
    <w:rsid w:val="00DC7CE6"/>
    <w:rsid w:val="00DD2E13"/>
    <w:rsid w:val="00DD603B"/>
    <w:rsid w:val="00DF0251"/>
    <w:rsid w:val="00DF041A"/>
    <w:rsid w:val="00DF3F33"/>
    <w:rsid w:val="00E01EF9"/>
    <w:rsid w:val="00E14EBA"/>
    <w:rsid w:val="00E15CA8"/>
    <w:rsid w:val="00E20C29"/>
    <w:rsid w:val="00E259AD"/>
    <w:rsid w:val="00E26EE8"/>
    <w:rsid w:val="00E31057"/>
    <w:rsid w:val="00E3149D"/>
    <w:rsid w:val="00E352A0"/>
    <w:rsid w:val="00E35CC4"/>
    <w:rsid w:val="00E41E2F"/>
    <w:rsid w:val="00E436F5"/>
    <w:rsid w:val="00E43FF6"/>
    <w:rsid w:val="00E4572F"/>
    <w:rsid w:val="00E461D0"/>
    <w:rsid w:val="00E4644C"/>
    <w:rsid w:val="00E47B07"/>
    <w:rsid w:val="00E55773"/>
    <w:rsid w:val="00E574AB"/>
    <w:rsid w:val="00E62BC9"/>
    <w:rsid w:val="00E77247"/>
    <w:rsid w:val="00E81C0C"/>
    <w:rsid w:val="00E828AC"/>
    <w:rsid w:val="00E842F9"/>
    <w:rsid w:val="00E87E6C"/>
    <w:rsid w:val="00EA1D8A"/>
    <w:rsid w:val="00EA337F"/>
    <w:rsid w:val="00EA3AEE"/>
    <w:rsid w:val="00EA4A98"/>
    <w:rsid w:val="00EB184A"/>
    <w:rsid w:val="00EB6993"/>
    <w:rsid w:val="00ED4DAA"/>
    <w:rsid w:val="00EE69B2"/>
    <w:rsid w:val="00EE7643"/>
    <w:rsid w:val="00EF00B2"/>
    <w:rsid w:val="00EF2E90"/>
    <w:rsid w:val="00F01DBD"/>
    <w:rsid w:val="00F02FF6"/>
    <w:rsid w:val="00F0319D"/>
    <w:rsid w:val="00F04116"/>
    <w:rsid w:val="00F05876"/>
    <w:rsid w:val="00F07E67"/>
    <w:rsid w:val="00F12567"/>
    <w:rsid w:val="00F133D8"/>
    <w:rsid w:val="00F15767"/>
    <w:rsid w:val="00F16D9B"/>
    <w:rsid w:val="00F21422"/>
    <w:rsid w:val="00F26261"/>
    <w:rsid w:val="00F301AC"/>
    <w:rsid w:val="00F30930"/>
    <w:rsid w:val="00F309DE"/>
    <w:rsid w:val="00F335FC"/>
    <w:rsid w:val="00F34A88"/>
    <w:rsid w:val="00F5550D"/>
    <w:rsid w:val="00F55DC4"/>
    <w:rsid w:val="00F60E2A"/>
    <w:rsid w:val="00F702AE"/>
    <w:rsid w:val="00F712BE"/>
    <w:rsid w:val="00F725F8"/>
    <w:rsid w:val="00F91DD9"/>
    <w:rsid w:val="00F92D2A"/>
    <w:rsid w:val="00F958D7"/>
    <w:rsid w:val="00F96B4B"/>
    <w:rsid w:val="00FA1CA6"/>
    <w:rsid w:val="00FB24D7"/>
    <w:rsid w:val="00FC2662"/>
    <w:rsid w:val="00FC2B3C"/>
    <w:rsid w:val="00FC7B22"/>
    <w:rsid w:val="00FD0A10"/>
    <w:rsid w:val="00FD0FCB"/>
    <w:rsid w:val="00FD2875"/>
    <w:rsid w:val="00FD3BDD"/>
    <w:rsid w:val="00FE49B3"/>
    <w:rsid w:val="00FE5728"/>
    <w:rsid w:val="00FE7381"/>
    <w:rsid w:val="00FF0A95"/>
    <w:rsid w:val="00FF3043"/>
    <w:rsid w:val="00FF4953"/>
    <w:rsid w:val="00FF62BD"/>
    <w:rsid w:val="00FF756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42"/>
    <w:rPr>
      <w:rFonts w:ascii="Times New Roman" w:eastAsia="Times New Roman" w:hAnsi="Times New Roman"/>
      <w:color w:val="000000"/>
      <w:sz w:val="24"/>
    </w:rPr>
  </w:style>
  <w:style w:type="paragraph" w:styleId="Heading2">
    <w:name w:val="heading 2"/>
    <w:basedOn w:val="Normal"/>
    <w:next w:val="Normal"/>
    <w:link w:val="Heading2Char"/>
    <w:qFormat/>
    <w:rsid w:val="001D5442"/>
    <w:pPr>
      <w:keepNext/>
      <w:spacing w:before="240" w:after="60" w:line="276" w:lineRule="auto"/>
      <w:outlineLvl w:val="1"/>
    </w:pPr>
    <w:rPr>
      <w:rFonts w:ascii="Arial" w:eastAsia="Calibri" w:hAnsi="Arial" w:cs="Arial"/>
      <w:b/>
      <w:bCs/>
      <w:i/>
      <w:i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5442"/>
    <w:rPr>
      <w:rFonts w:ascii="Arial" w:eastAsia="Calibri" w:hAnsi="Arial" w:cs="Arial"/>
      <w:b/>
      <w:bCs/>
      <w:i/>
      <w:iCs/>
      <w:color w:val="365F91"/>
      <w:sz w:val="28"/>
      <w:szCs w:val="28"/>
    </w:rPr>
  </w:style>
  <w:style w:type="paragraph" w:customStyle="1" w:styleId="Default">
    <w:name w:val="Default"/>
    <w:rsid w:val="001D5442"/>
    <w:pPr>
      <w:widowControl w:val="0"/>
      <w:autoSpaceDE w:val="0"/>
      <w:autoSpaceDN w:val="0"/>
      <w:adjustRightInd w:val="0"/>
    </w:pPr>
    <w:rPr>
      <w:rFonts w:ascii="Univers 55" w:eastAsia="Times New Roman" w:hAnsi="Univers 55" w:cs="Univers 55"/>
      <w:color w:val="000000"/>
      <w:sz w:val="24"/>
      <w:szCs w:val="24"/>
    </w:rPr>
  </w:style>
  <w:style w:type="paragraph" w:customStyle="1" w:styleId="Pa0">
    <w:name w:val="Pa0"/>
    <w:basedOn w:val="Default"/>
    <w:next w:val="Default"/>
    <w:uiPriority w:val="99"/>
    <w:rsid w:val="001D5442"/>
    <w:pPr>
      <w:spacing w:line="241" w:lineRule="atLeast"/>
    </w:pPr>
    <w:rPr>
      <w:rFonts w:cs="Times New Roman"/>
      <w:color w:val="auto"/>
    </w:rPr>
  </w:style>
  <w:style w:type="character" w:customStyle="1" w:styleId="A0">
    <w:name w:val="A0"/>
    <w:uiPriority w:val="99"/>
    <w:rsid w:val="001D5442"/>
    <w:rPr>
      <w:rFonts w:cs="Univers 55"/>
      <w:color w:val="4A62AE"/>
      <w:sz w:val="17"/>
      <w:szCs w:val="17"/>
    </w:rPr>
  </w:style>
  <w:style w:type="paragraph" w:styleId="Header">
    <w:name w:val="header"/>
    <w:basedOn w:val="Normal"/>
    <w:link w:val="HeaderChar"/>
    <w:rsid w:val="001D5442"/>
    <w:pPr>
      <w:tabs>
        <w:tab w:val="center" w:pos="4153"/>
        <w:tab w:val="right" w:pos="8306"/>
      </w:tabs>
    </w:pPr>
  </w:style>
  <w:style w:type="character" w:customStyle="1" w:styleId="HeaderChar">
    <w:name w:val="Header Char"/>
    <w:link w:val="Header"/>
    <w:rsid w:val="001D5442"/>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rsid w:val="001D5442"/>
    <w:pPr>
      <w:tabs>
        <w:tab w:val="center" w:pos="4153"/>
        <w:tab w:val="right" w:pos="8306"/>
      </w:tabs>
    </w:pPr>
  </w:style>
  <w:style w:type="character" w:customStyle="1" w:styleId="FooterChar">
    <w:name w:val="Footer Char"/>
    <w:link w:val="Footer"/>
    <w:uiPriority w:val="99"/>
    <w:rsid w:val="001D5442"/>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553A41"/>
    <w:rPr>
      <w:rFonts w:ascii="Tahoma" w:hAnsi="Tahoma" w:cs="Tahoma"/>
      <w:sz w:val="16"/>
      <w:szCs w:val="16"/>
    </w:rPr>
  </w:style>
  <w:style w:type="character" w:customStyle="1" w:styleId="BalloonTextChar">
    <w:name w:val="Balloon Text Char"/>
    <w:basedOn w:val="DefaultParagraphFont"/>
    <w:link w:val="BalloonText"/>
    <w:uiPriority w:val="99"/>
    <w:semiHidden/>
    <w:rsid w:val="00553A41"/>
    <w:rPr>
      <w:rFonts w:ascii="Tahoma" w:eastAsia="Times New Roman" w:hAnsi="Tahoma" w:cs="Tahoma"/>
      <w:color w:val="000000"/>
      <w:sz w:val="16"/>
      <w:szCs w:val="16"/>
    </w:rPr>
  </w:style>
  <w:style w:type="paragraph" w:styleId="ListParagraph">
    <w:name w:val="List Paragraph"/>
    <w:basedOn w:val="Normal"/>
    <w:uiPriority w:val="34"/>
    <w:qFormat/>
    <w:rsid w:val="007C792C"/>
    <w:pPr>
      <w:ind w:left="720"/>
      <w:contextualSpacing/>
    </w:pPr>
  </w:style>
  <w:style w:type="paragraph" w:styleId="NormalWeb">
    <w:name w:val="Normal (Web)"/>
    <w:basedOn w:val="Normal"/>
    <w:uiPriority w:val="99"/>
    <w:unhideWhenUsed/>
    <w:rsid w:val="00590624"/>
    <w:pPr>
      <w:spacing w:before="100" w:beforeAutospacing="1" w:after="100" w:afterAutospacing="1"/>
    </w:pPr>
    <w:rPr>
      <w:color w:val="auto"/>
      <w:szCs w:val="24"/>
    </w:rPr>
  </w:style>
  <w:style w:type="paragraph" w:styleId="FootnoteText">
    <w:name w:val="footnote text"/>
    <w:basedOn w:val="Normal"/>
    <w:link w:val="FootnoteTextChar"/>
    <w:uiPriority w:val="99"/>
    <w:unhideWhenUsed/>
    <w:rsid w:val="00920C0D"/>
    <w:rPr>
      <w:sz w:val="20"/>
    </w:rPr>
  </w:style>
  <w:style w:type="character" w:customStyle="1" w:styleId="FootnoteTextChar">
    <w:name w:val="Footnote Text Char"/>
    <w:basedOn w:val="DefaultParagraphFont"/>
    <w:link w:val="FootnoteText"/>
    <w:uiPriority w:val="99"/>
    <w:rsid w:val="00920C0D"/>
    <w:rPr>
      <w:rFonts w:ascii="Times New Roman" w:eastAsia="Times New Roman" w:hAnsi="Times New Roman"/>
      <w:color w:val="000000"/>
    </w:rPr>
  </w:style>
  <w:style w:type="character" w:styleId="FootnoteReference">
    <w:name w:val="footnote reference"/>
    <w:basedOn w:val="DefaultParagraphFont"/>
    <w:uiPriority w:val="99"/>
    <w:unhideWhenUsed/>
    <w:rsid w:val="00920C0D"/>
    <w:rPr>
      <w:vertAlign w:val="superscript"/>
    </w:rPr>
  </w:style>
  <w:style w:type="table" w:styleId="TableGrid">
    <w:name w:val="Table Grid"/>
    <w:basedOn w:val="TableNormal"/>
    <w:uiPriority w:val="59"/>
    <w:rsid w:val="0022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
    <w:name w:val="Rec"/>
    <w:basedOn w:val="BodyText"/>
    <w:link w:val="RecChar"/>
    <w:rsid w:val="000646A6"/>
    <w:pPr>
      <w:keepLines/>
      <w:spacing w:before="180" w:after="0" w:line="320" w:lineRule="atLeast"/>
      <w:jc w:val="both"/>
    </w:pPr>
    <w:rPr>
      <w:b/>
      <w:i/>
      <w:sz w:val="26"/>
    </w:rPr>
  </w:style>
  <w:style w:type="paragraph" w:customStyle="1" w:styleId="RecBullet">
    <w:name w:val="Rec Bullet"/>
    <w:basedOn w:val="Rec"/>
    <w:link w:val="RecBulletChar"/>
    <w:rsid w:val="000646A6"/>
    <w:pPr>
      <w:numPr>
        <w:numId w:val="4"/>
      </w:numPr>
      <w:spacing w:before="80"/>
    </w:pPr>
  </w:style>
  <w:style w:type="character" w:customStyle="1" w:styleId="RecChar">
    <w:name w:val="Rec Char"/>
    <w:basedOn w:val="BodyTextChar"/>
    <w:link w:val="Rec"/>
    <w:rsid w:val="000646A6"/>
    <w:rPr>
      <w:rFonts w:ascii="Times New Roman" w:eastAsia="Times New Roman" w:hAnsi="Times New Roman"/>
      <w:b/>
      <w:i/>
      <w:color w:val="000000"/>
      <w:sz w:val="26"/>
    </w:rPr>
  </w:style>
  <w:style w:type="character" w:customStyle="1" w:styleId="RecBulletChar">
    <w:name w:val="Rec Bullet Char"/>
    <w:basedOn w:val="RecChar"/>
    <w:link w:val="RecBullet"/>
    <w:rsid w:val="000646A6"/>
    <w:rPr>
      <w:rFonts w:ascii="Times New Roman" w:eastAsia="Times New Roman" w:hAnsi="Times New Roman"/>
      <w:b/>
      <w:i/>
      <w:color w:val="000000"/>
      <w:sz w:val="26"/>
    </w:rPr>
  </w:style>
  <w:style w:type="paragraph" w:styleId="BodyText">
    <w:name w:val="Body Text"/>
    <w:basedOn w:val="Normal"/>
    <w:link w:val="BodyTextChar"/>
    <w:uiPriority w:val="99"/>
    <w:semiHidden/>
    <w:unhideWhenUsed/>
    <w:rsid w:val="000646A6"/>
    <w:pPr>
      <w:spacing w:after="120"/>
    </w:pPr>
  </w:style>
  <w:style w:type="character" w:customStyle="1" w:styleId="BodyTextChar">
    <w:name w:val="Body Text Char"/>
    <w:basedOn w:val="DefaultParagraphFont"/>
    <w:link w:val="BodyText"/>
    <w:uiPriority w:val="99"/>
    <w:semiHidden/>
    <w:rsid w:val="000646A6"/>
    <w:rPr>
      <w:rFonts w:ascii="Times New Roman" w:eastAsia="Times New Roman" w:hAnsi="Times New Roman"/>
      <w:color w:val="000000"/>
      <w:sz w:val="24"/>
    </w:rPr>
  </w:style>
  <w:style w:type="character" w:styleId="Strong">
    <w:name w:val="Strong"/>
    <w:basedOn w:val="DefaultParagraphFont"/>
    <w:uiPriority w:val="22"/>
    <w:qFormat/>
    <w:rsid w:val="005125D4"/>
    <w:rPr>
      <w:b/>
      <w:bCs/>
    </w:rPr>
  </w:style>
  <w:style w:type="character" w:styleId="Hyperlink">
    <w:name w:val="Hyperlink"/>
    <w:basedOn w:val="DefaultParagraphFont"/>
    <w:uiPriority w:val="99"/>
    <w:unhideWhenUsed/>
    <w:rsid w:val="008550A1"/>
    <w:rPr>
      <w:color w:val="0000FF"/>
      <w:u w:val="single"/>
    </w:rPr>
  </w:style>
  <w:style w:type="character" w:customStyle="1" w:styleId="st">
    <w:name w:val="st"/>
    <w:basedOn w:val="DefaultParagraphFont"/>
    <w:rsid w:val="00413D83"/>
  </w:style>
  <w:style w:type="character" w:styleId="CommentReference">
    <w:name w:val="annotation reference"/>
    <w:basedOn w:val="DefaultParagraphFont"/>
    <w:uiPriority w:val="99"/>
    <w:semiHidden/>
    <w:unhideWhenUsed/>
    <w:rsid w:val="005F20F8"/>
    <w:rPr>
      <w:sz w:val="16"/>
      <w:szCs w:val="16"/>
    </w:rPr>
  </w:style>
  <w:style w:type="paragraph" w:styleId="CommentText">
    <w:name w:val="annotation text"/>
    <w:basedOn w:val="Normal"/>
    <w:link w:val="CommentTextChar"/>
    <w:uiPriority w:val="99"/>
    <w:semiHidden/>
    <w:unhideWhenUsed/>
    <w:rsid w:val="005F20F8"/>
    <w:rPr>
      <w:sz w:val="20"/>
    </w:rPr>
  </w:style>
  <w:style w:type="character" w:customStyle="1" w:styleId="CommentTextChar">
    <w:name w:val="Comment Text Char"/>
    <w:basedOn w:val="DefaultParagraphFont"/>
    <w:link w:val="CommentText"/>
    <w:uiPriority w:val="99"/>
    <w:semiHidden/>
    <w:rsid w:val="005F20F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5F20F8"/>
    <w:rPr>
      <w:b/>
      <w:bCs/>
    </w:rPr>
  </w:style>
  <w:style w:type="character" w:customStyle="1" w:styleId="CommentSubjectChar">
    <w:name w:val="Comment Subject Char"/>
    <w:basedOn w:val="CommentTextChar"/>
    <w:link w:val="CommentSubject"/>
    <w:uiPriority w:val="99"/>
    <w:semiHidden/>
    <w:rsid w:val="005F20F8"/>
    <w:rPr>
      <w:rFonts w:ascii="Times New Roman" w:eastAsia="Times New Roman" w:hAnsi="Times New Roman"/>
      <w:b/>
      <w:bCs/>
      <w:color w:val="000000"/>
    </w:rPr>
  </w:style>
  <w:style w:type="character" w:customStyle="1" w:styleId="contentspan">
    <w:name w:val="contentspan"/>
    <w:basedOn w:val="DefaultParagraphFont"/>
    <w:rsid w:val="00C56442"/>
  </w:style>
  <w:style w:type="character" w:customStyle="1" w:styleId="apple-converted-space">
    <w:name w:val="apple-converted-space"/>
    <w:basedOn w:val="DefaultParagraphFont"/>
    <w:rsid w:val="00320E14"/>
  </w:style>
  <w:style w:type="paragraph" w:customStyle="1" w:styleId="Body">
    <w:name w:val="Body"/>
    <w:rsid w:val="00877470"/>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character" w:customStyle="1" w:styleId="None">
    <w:name w:val="None"/>
    <w:rsid w:val="00877470"/>
  </w:style>
</w:styles>
</file>

<file path=word/webSettings.xml><?xml version="1.0" encoding="utf-8"?>
<w:webSettings xmlns:r="http://schemas.openxmlformats.org/officeDocument/2006/relationships" xmlns:w="http://schemas.openxmlformats.org/wordprocessingml/2006/main">
  <w:divs>
    <w:div w:id="39526176">
      <w:bodyDiv w:val="1"/>
      <w:marLeft w:val="0"/>
      <w:marRight w:val="0"/>
      <w:marTop w:val="0"/>
      <w:marBottom w:val="0"/>
      <w:divBdr>
        <w:top w:val="none" w:sz="0" w:space="0" w:color="auto"/>
        <w:left w:val="none" w:sz="0" w:space="0" w:color="auto"/>
        <w:bottom w:val="none" w:sz="0" w:space="0" w:color="auto"/>
        <w:right w:val="none" w:sz="0" w:space="0" w:color="auto"/>
      </w:divBdr>
    </w:div>
    <w:div w:id="44456426">
      <w:bodyDiv w:val="1"/>
      <w:marLeft w:val="0"/>
      <w:marRight w:val="0"/>
      <w:marTop w:val="0"/>
      <w:marBottom w:val="0"/>
      <w:divBdr>
        <w:top w:val="none" w:sz="0" w:space="0" w:color="auto"/>
        <w:left w:val="none" w:sz="0" w:space="0" w:color="auto"/>
        <w:bottom w:val="none" w:sz="0" w:space="0" w:color="auto"/>
        <w:right w:val="none" w:sz="0" w:space="0" w:color="auto"/>
      </w:divBdr>
    </w:div>
    <w:div w:id="93399554">
      <w:bodyDiv w:val="1"/>
      <w:marLeft w:val="0"/>
      <w:marRight w:val="0"/>
      <w:marTop w:val="0"/>
      <w:marBottom w:val="0"/>
      <w:divBdr>
        <w:top w:val="none" w:sz="0" w:space="0" w:color="auto"/>
        <w:left w:val="none" w:sz="0" w:space="0" w:color="auto"/>
        <w:bottom w:val="none" w:sz="0" w:space="0" w:color="auto"/>
        <w:right w:val="none" w:sz="0" w:space="0" w:color="auto"/>
      </w:divBdr>
    </w:div>
    <w:div w:id="231895643">
      <w:bodyDiv w:val="1"/>
      <w:marLeft w:val="0"/>
      <w:marRight w:val="0"/>
      <w:marTop w:val="0"/>
      <w:marBottom w:val="0"/>
      <w:divBdr>
        <w:top w:val="none" w:sz="0" w:space="0" w:color="auto"/>
        <w:left w:val="none" w:sz="0" w:space="0" w:color="auto"/>
        <w:bottom w:val="none" w:sz="0" w:space="0" w:color="auto"/>
        <w:right w:val="none" w:sz="0" w:space="0" w:color="auto"/>
      </w:divBdr>
    </w:div>
    <w:div w:id="418067696">
      <w:bodyDiv w:val="1"/>
      <w:marLeft w:val="0"/>
      <w:marRight w:val="0"/>
      <w:marTop w:val="0"/>
      <w:marBottom w:val="0"/>
      <w:divBdr>
        <w:top w:val="none" w:sz="0" w:space="0" w:color="auto"/>
        <w:left w:val="none" w:sz="0" w:space="0" w:color="auto"/>
        <w:bottom w:val="none" w:sz="0" w:space="0" w:color="auto"/>
        <w:right w:val="none" w:sz="0" w:space="0" w:color="auto"/>
      </w:divBdr>
    </w:div>
    <w:div w:id="439571217">
      <w:bodyDiv w:val="1"/>
      <w:marLeft w:val="0"/>
      <w:marRight w:val="0"/>
      <w:marTop w:val="0"/>
      <w:marBottom w:val="0"/>
      <w:divBdr>
        <w:top w:val="none" w:sz="0" w:space="0" w:color="auto"/>
        <w:left w:val="none" w:sz="0" w:space="0" w:color="auto"/>
        <w:bottom w:val="none" w:sz="0" w:space="0" w:color="auto"/>
        <w:right w:val="none" w:sz="0" w:space="0" w:color="auto"/>
      </w:divBdr>
    </w:div>
    <w:div w:id="440301133">
      <w:bodyDiv w:val="1"/>
      <w:marLeft w:val="0"/>
      <w:marRight w:val="0"/>
      <w:marTop w:val="0"/>
      <w:marBottom w:val="0"/>
      <w:divBdr>
        <w:top w:val="none" w:sz="0" w:space="0" w:color="auto"/>
        <w:left w:val="none" w:sz="0" w:space="0" w:color="auto"/>
        <w:bottom w:val="none" w:sz="0" w:space="0" w:color="auto"/>
        <w:right w:val="none" w:sz="0" w:space="0" w:color="auto"/>
      </w:divBdr>
    </w:div>
    <w:div w:id="558595870">
      <w:bodyDiv w:val="1"/>
      <w:marLeft w:val="0"/>
      <w:marRight w:val="0"/>
      <w:marTop w:val="0"/>
      <w:marBottom w:val="0"/>
      <w:divBdr>
        <w:top w:val="none" w:sz="0" w:space="0" w:color="auto"/>
        <w:left w:val="none" w:sz="0" w:space="0" w:color="auto"/>
        <w:bottom w:val="none" w:sz="0" w:space="0" w:color="auto"/>
        <w:right w:val="none" w:sz="0" w:space="0" w:color="auto"/>
      </w:divBdr>
    </w:div>
    <w:div w:id="714473752">
      <w:bodyDiv w:val="1"/>
      <w:marLeft w:val="0"/>
      <w:marRight w:val="0"/>
      <w:marTop w:val="0"/>
      <w:marBottom w:val="0"/>
      <w:divBdr>
        <w:top w:val="none" w:sz="0" w:space="0" w:color="auto"/>
        <w:left w:val="none" w:sz="0" w:space="0" w:color="auto"/>
        <w:bottom w:val="none" w:sz="0" w:space="0" w:color="auto"/>
        <w:right w:val="none" w:sz="0" w:space="0" w:color="auto"/>
      </w:divBdr>
    </w:div>
    <w:div w:id="870723298">
      <w:bodyDiv w:val="1"/>
      <w:marLeft w:val="0"/>
      <w:marRight w:val="0"/>
      <w:marTop w:val="0"/>
      <w:marBottom w:val="0"/>
      <w:divBdr>
        <w:top w:val="none" w:sz="0" w:space="0" w:color="auto"/>
        <w:left w:val="none" w:sz="0" w:space="0" w:color="auto"/>
        <w:bottom w:val="none" w:sz="0" w:space="0" w:color="auto"/>
        <w:right w:val="none" w:sz="0" w:space="0" w:color="auto"/>
      </w:divBdr>
    </w:div>
    <w:div w:id="1103305103">
      <w:bodyDiv w:val="1"/>
      <w:marLeft w:val="0"/>
      <w:marRight w:val="0"/>
      <w:marTop w:val="0"/>
      <w:marBottom w:val="0"/>
      <w:divBdr>
        <w:top w:val="none" w:sz="0" w:space="0" w:color="auto"/>
        <w:left w:val="none" w:sz="0" w:space="0" w:color="auto"/>
        <w:bottom w:val="none" w:sz="0" w:space="0" w:color="auto"/>
        <w:right w:val="none" w:sz="0" w:space="0" w:color="auto"/>
      </w:divBdr>
    </w:div>
    <w:div w:id="1103963607">
      <w:bodyDiv w:val="1"/>
      <w:marLeft w:val="0"/>
      <w:marRight w:val="0"/>
      <w:marTop w:val="0"/>
      <w:marBottom w:val="0"/>
      <w:divBdr>
        <w:top w:val="none" w:sz="0" w:space="0" w:color="auto"/>
        <w:left w:val="none" w:sz="0" w:space="0" w:color="auto"/>
        <w:bottom w:val="none" w:sz="0" w:space="0" w:color="auto"/>
        <w:right w:val="none" w:sz="0" w:space="0" w:color="auto"/>
      </w:divBdr>
    </w:div>
    <w:div w:id="1108432468">
      <w:bodyDiv w:val="1"/>
      <w:marLeft w:val="0"/>
      <w:marRight w:val="0"/>
      <w:marTop w:val="0"/>
      <w:marBottom w:val="0"/>
      <w:divBdr>
        <w:top w:val="none" w:sz="0" w:space="0" w:color="auto"/>
        <w:left w:val="none" w:sz="0" w:space="0" w:color="auto"/>
        <w:bottom w:val="none" w:sz="0" w:space="0" w:color="auto"/>
        <w:right w:val="none" w:sz="0" w:space="0" w:color="auto"/>
      </w:divBdr>
    </w:div>
    <w:div w:id="1117260493">
      <w:bodyDiv w:val="1"/>
      <w:marLeft w:val="0"/>
      <w:marRight w:val="0"/>
      <w:marTop w:val="0"/>
      <w:marBottom w:val="0"/>
      <w:divBdr>
        <w:top w:val="none" w:sz="0" w:space="0" w:color="auto"/>
        <w:left w:val="none" w:sz="0" w:space="0" w:color="auto"/>
        <w:bottom w:val="none" w:sz="0" w:space="0" w:color="auto"/>
        <w:right w:val="none" w:sz="0" w:space="0" w:color="auto"/>
      </w:divBdr>
    </w:div>
    <w:div w:id="1122924300">
      <w:bodyDiv w:val="1"/>
      <w:marLeft w:val="0"/>
      <w:marRight w:val="0"/>
      <w:marTop w:val="0"/>
      <w:marBottom w:val="0"/>
      <w:divBdr>
        <w:top w:val="none" w:sz="0" w:space="0" w:color="auto"/>
        <w:left w:val="none" w:sz="0" w:space="0" w:color="auto"/>
        <w:bottom w:val="none" w:sz="0" w:space="0" w:color="auto"/>
        <w:right w:val="none" w:sz="0" w:space="0" w:color="auto"/>
      </w:divBdr>
    </w:div>
    <w:div w:id="1356806983">
      <w:bodyDiv w:val="1"/>
      <w:marLeft w:val="0"/>
      <w:marRight w:val="0"/>
      <w:marTop w:val="0"/>
      <w:marBottom w:val="0"/>
      <w:divBdr>
        <w:top w:val="none" w:sz="0" w:space="0" w:color="auto"/>
        <w:left w:val="none" w:sz="0" w:space="0" w:color="auto"/>
        <w:bottom w:val="none" w:sz="0" w:space="0" w:color="auto"/>
        <w:right w:val="none" w:sz="0" w:space="0" w:color="auto"/>
      </w:divBdr>
    </w:div>
    <w:div w:id="1521122811">
      <w:bodyDiv w:val="1"/>
      <w:marLeft w:val="0"/>
      <w:marRight w:val="0"/>
      <w:marTop w:val="0"/>
      <w:marBottom w:val="0"/>
      <w:divBdr>
        <w:top w:val="none" w:sz="0" w:space="0" w:color="auto"/>
        <w:left w:val="none" w:sz="0" w:space="0" w:color="auto"/>
        <w:bottom w:val="none" w:sz="0" w:space="0" w:color="auto"/>
        <w:right w:val="none" w:sz="0" w:space="0" w:color="auto"/>
      </w:divBdr>
      <w:divsChild>
        <w:div w:id="150489616">
          <w:marLeft w:val="0"/>
          <w:marRight w:val="0"/>
          <w:marTop w:val="0"/>
          <w:marBottom w:val="0"/>
          <w:divBdr>
            <w:top w:val="none" w:sz="0" w:space="0" w:color="auto"/>
            <w:left w:val="none" w:sz="0" w:space="0" w:color="auto"/>
            <w:bottom w:val="none" w:sz="0" w:space="0" w:color="auto"/>
            <w:right w:val="none" w:sz="0" w:space="0" w:color="auto"/>
          </w:divBdr>
        </w:div>
      </w:divsChild>
    </w:div>
    <w:div w:id="1593776738">
      <w:bodyDiv w:val="1"/>
      <w:marLeft w:val="0"/>
      <w:marRight w:val="0"/>
      <w:marTop w:val="0"/>
      <w:marBottom w:val="0"/>
      <w:divBdr>
        <w:top w:val="none" w:sz="0" w:space="0" w:color="auto"/>
        <w:left w:val="none" w:sz="0" w:space="0" w:color="auto"/>
        <w:bottom w:val="none" w:sz="0" w:space="0" w:color="auto"/>
        <w:right w:val="none" w:sz="0" w:space="0" w:color="auto"/>
      </w:divBdr>
    </w:div>
    <w:div w:id="1600020890">
      <w:bodyDiv w:val="1"/>
      <w:marLeft w:val="0"/>
      <w:marRight w:val="0"/>
      <w:marTop w:val="0"/>
      <w:marBottom w:val="0"/>
      <w:divBdr>
        <w:top w:val="none" w:sz="0" w:space="0" w:color="auto"/>
        <w:left w:val="none" w:sz="0" w:space="0" w:color="auto"/>
        <w:bottom w:val="none" w:sz="0" w:space="0" w:color="auto"/>
        <w:right w:val="none" w:sz="0" w:space="0" w:color="auto"/>
      </w:divBdr>
    </w:div>
    <w:div w:id="1885017122">
      <w:bodyDiv w:val="1"/>
      <w:marLeft w:val="0"/>
      <w:marRight w:val="0"/>
      <w:marTop w:val="0"/>
      <w:marBottom w:val="0"/>
      <w:divBdr>
        <w:top w:val="none" w:sz="0" w:space="0" w:color="auto"/>
        <w:left w:val="none" w:sz="0" w:space="0" w:color="auto"/>
        <w:bottom w:val="none" w:sz="0" w:space="0" w:color="auto"/>
        <w:right w:val="none" w:sz="0" w:space="0" w:color="auto"/>
      </w:divBdr>
    </w:div>
    <w:div w:id="21451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nssrn.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uides.dss.gov.au/guide-social-security-law/9/2/2/360" TargetMode="External"/><Relationship Id="rId2" Type="http://schemas.openxmlformats.org/officeDocument/2006/relationships/hyperlink" Target="http://guides.dss.gov.au/guide-social-security-law/9/4/6/10" TargetMode="External"/><Relationship Id="rId1" Type="http://schemas.openxmlformats.org/officeDocument/2006/relationships/hyperlink" Target="https://www.border.gov.au/about/reports-publications/reports/annual/immigration-2014-15" TargetMode="External"/><Relationship Id="rId6" Type="http://schemas.openxmlformats.org/officeDocument/2006/relationships/hyperlink" Target="http://www.aph.gov.au/Parliamentary_Business/Senate_Estimates/clacctte/estimates/sup1516/SocialServices/index" TargetMode="External"/><Relationship Id="rId5" Type="http://schemas.openxmlformats.org/officeDocument/2006/relationships/hyperlink" Target="http://guides.dss.gov.au/guide-social-security-law/9/4/7" TargetMode="External"/><Relationship Id="rId4" Type="http://schemas.openxmlformats.org/officeDocument/2006/relationships/hyperlink" Target="http://guides.dss.gov.au/guide-social-security-law/9/4/1/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 ma:contentTypeDescription="Create a new document." ma:contentTypeScope="" ma:versionID="5c9d76248a20e27706ef64dbbf679650">
  <xsd:schema xmlns:xsd="http://www.w3.org/2001/XMLSchema" xmlns:xs="http://www.w3.org/2001/XMLSchema" xmlns:p="http://schemas.microsoft.com/office/2006/metadata/properties" xmlns:ns2="571c91d1-02d8-4661-b904-efa2be2ecd18" targetNamespace="http://schemas.microsoft.com/office/2006/metadata/properties" ma:root="true" ma:fieldsID="bad70795d527261a9430aaa8625d903f" ns2:_="">
    <xsd:import namespace="571c91d1-02d8-4661-b904-efa2be2ecd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6CB8-12BC-48A4-BD04-8FD9345A756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71c91d1-02d8-4661-b904-efa2be2ecd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89ACB2-D654-4F6F-8687-52B0DD953787}">
  <ds:schemaRefs>
    <ds:schemaRef ds:uri="http://schemas.microsoft.com/sharepoint/v3/contenttype/forms"/>
  </ds:schemaRefs>
</ds:datastoreItem>
</file>

<file path=customXml/itemProps3.xml><?xml version="1.0" encoding="utf-8"?>
<ds:datastoreItem xmlns:ds="http://schemas.openxmlformats.org/officeDocument/2006/customXml" ds:itemID="{3AC5A183-4AE4-4FE2-8725-B5DA105C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0B685-5AAC-4E11-9AA0-5838CE9A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marie-claire.muir</cp:lastModifiedBy>
  <cp:revision>2</cp:revision>
  <cp:lastPrinted>2015-08-06T21:55:00Z</cp:lastPrinted>
  <dcterms:created xsi:type="dcterms:W3CDTF">2017-02-28T05:56:00Z</dcterms:created>
  <dcterms:modified xsi:type="dcterms:W3CDTF">2017-02-28T05:56:00Z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0x01010015701EE36447A54C938588281439AABB</vt:lpwstr>
  </property>
</Properties>
</file>