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12"/>
        </w:rPr>
        <w:id w:val="-1359656391"/>
        <w:docPartObj>
          <w:docPartGallery w:val="Cover Pages"/>
          <w:docPartUnique/>
        </w:docPartObj>
      </w:sdtPr>
      <w:sdtEndPr>
        <w:rPr>
          <w:b/>
          <w:sz w:val="22"/>
          <w:szCs w:val="22"/>
        </w:rPr>
      </w:sdtEndPr>
      <w:sdtContent>
        <w:p w:rsidR="00664DE9" w:rsidRPr="002A4198" w:rsidRDefault="00664DE9">
          <w:pPr>
            <w:rPr>
              <w:sz w:val="12"/>
            </w:rPr>
          </w:pPr>
        </w:p>
        <w:p w:rsidR="00664DE9" w:rsidRPr="002A4198" w:rsidRDefault="00084E96">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sdt>
            <w:sdtPr>
              <w:rPr>
                <w:rFonts w:asciiTheme="majorHAnsi" w:eastAsiaTheme="majorEastAsia" w:hAnsiTheme="majorHAnsi" w:cstheme="majorBidi"/>
                <w:b/>
                <w:color w:val="365F91" w:themeColor="accent1" w:themeShade="BF"/>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Content>
              <w:r w:rsidR="00F04BE9">
                <w:rPr>
                  <w:rFonts w:asciiTheme="majorHAnsi" w:eastAsiaTheme="majorEastAsia" w:hAnsiTheme="majorHAnsi" w:cstheme="majorBidi"/>
                  <w:b/>
                  <w:color w:val="365F91" w:themeColor="accent1" w:themeShade="BF"/>
                  <w:sz w:val="48"/>
                  <w:szCs w:val="48"/>
                </w:rPr>
                <w:t>The Illusion of Protection: Why Reform is needed to ensure the Elderly are Free from Abuse</w:t>
              </w:r>
            </w:sdtContent>
          </w:sdt>
        </w:p>
        <w:sdt>
          <w:sdtPr>
            <w:rPr>
              <w:rFonts w:asciiTheme="majorHAnsi" w:hAnsiTheme="majorHAnsi"/>
              <w:noProof/>
              <w:color w:val="365F91" w:themeColor="accent1" w:themeShade="BF"/>
              <w:sz w:val="36"/>
              <w:szCs w:val="32"/>
            </w:rPr>
            <w:alias w:val="Subtitle"/>
            <w:tag w:val="Subtitle"/>
            <w:id w:val="30555238"/>
            <w:text/>
          </w:sdtPr>
          <w:sdtContent>
            <w:p w:rsidR="00664DE9" w:rsidRPr="002A4198" w:rsidRDefault="00403CF6">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sidRPr="002A4198">
                <w:rPr>
                  <w:rFonts w:asciiTheme="majorHAnsi" w:hAnsiTheme="majorHAnsi"/>
                  <w:noProof/>
                  <w:color w:val="365F91" w:themeColor="accent1" w:themeShade="BF"/>
                  <w:sz w:val="36"/>
                  <w:szCs w:val="32"/>
                </w:rPr>
                <w:t>6000</w:t>
              </w:r>
              <w:r w:rsidR="00664DE9" w:rsidRPr="002A4198">
                <w:rPr>
                  <w:rFonts w:asciiTheme="majorHAnsi" w:hAnsiTheme="majorHAnsi"/>
                  <w:noProof/>
                  <w:color w:val="365F91" w:themeColor="accent1" w:themeShade="BF"/>
                  <w:sz w:val="36"/>
                  <w:szCs w:val="32"/>
                </w:rPr>
                <w:t xml:space="preserve">LAW Law Reform </w:t>
              </w:r>
            </w:p>
          </w:sdtContent>
        </w:sdt>
        <w:p w:rsidR="00664DE9" w:rsidRPr="002A4198" w:rsidRDefault="00084E96">
          <w:pPr>
            <w:pBdr>
              <w:left w:val="single" w:sz="24" w:space="4" w:color="D99594" w:themeColor="accent2" w:themeTint="99"/>
            </w:pBdr>
            <w:spacing w:before="120" w:after="120"/>
            <w:rPr>
              <w:rFonts w:asciiTheme="majorHAnsi" w:hAnsiTheme="majorHAnsi"/>
              <w:noProof/>
              <w:color w:val="000000" w:themeColor="text1"/>
              <w:sz w:val="28"/>
            </w:rPr>
          </w:pPr>
          <w:sdt>
            <w:sdtPr>
              <w:rPr>
                <w:rFonts w:asciiTheme="majorHAnsi" w:hAnsiTheme="majorHAnsi"/>
                <w:noProof/>
                <w:color w:val="000000" w:themeColor="text1"/>
                <w:sz w:val="28"/>
              </w:rPr>
              <w:alias w:val="Author"/>
              <w:id w:val="30555239"/>
              <w:dataBinding w:prefixMappings="xmlns:ns0='http://purl.org/dc/elements/1.1/' xmlns:ns1='http://schemas.openxmlformats.org/package/2006/metadata/core-properties' " w:xpath="/ns1:coreProperties[1]/ns0:creator[1]" w:storeItemID="{6C3C8BC8-F283-45AE-878A-BAB7291924A1}"/>
              <w:text/>
            </w:sdtPr>
            <w:sdtContent>
              <w:r w:rsidR="00CA2659" w:rsidRPr="002A4198">
                <w:rPr>
                  <w:rFonts w:asciiTheme="majorHAnsi" w:hAnsiTheme="majorHAnsi"/>
                  <w:noProof/>
                  <w:color w:val="000000" w:themeColor="text1"/>
                  <w:sz w:val="28"/>
                  <w:lang w:val="en-US" w:eastAsia="ja-JP"/>
                </w:rPr>
                <w:t>Bianca Fernandez,</w:t>
              </w:r>
              <w:r w:rsidR="00CA2659" w:rsidRPr="002A4198">
                <w:rPr>
                  <w:rFonts w:asciiTheme="majorHAnsi" w:hAnsiTheme="majorHAnsi"/>
                  <w:noProof/>
                  <w:color w:val="000000" w:themeColor="text1"/>
                  <w:sz w:val="28"/>
                </w:rPr>
                <w:t xml:space="preserve"> Daniel Owen, Emma Barff, </w:t>
              </w:r>
              <w:r w:rsidR="00CA2659" w:rsidRPr="002A4198">
                <w:rPr>
                  <w:rFonts w:asciiTheme="majorHAnsi" w:hAnsiTheme="majorHAnsi"/>
                  <w:noProof/>
                  <w:color w:val="000000" w:themeColor="text1"/>
                  <w:sz w:val="28"/>
                  <w:lang w:val="en-US" w:eastAsia="ja-JP"/>
                </w:rPr>
                <w:t>Glen Dykstra</w:t>
              </w:r>
            </w:sdtContent>
          </w:sdt>
        </w:p>
        <w:p w:rsidR="00664DE9" w:rsidRPr="002A4198" w:rsidRDefault="00664DE9">
          <w:pPr>
            <w:spacing w:before="4400" w:after="120"/>
            <w:rPr>
              <w:rFonts w:asciiTheme="majorHAnsi" w:hAnsiTheme="majorHAnsi"/>
              <w:b/>
              <w:caps/>
              <w:color w:val="365F91" w:themeColor="accent1" w:themeShade="BF"/>
              <w:sz w:val="28"/>
              <w:szCs w:val="20"/>
            </w:rPr>
          </w:pPr>
          <w:r w:rsidRPr="002A4198">
            <w:rPr>
              <w:rFonts w:asciiTheme="majorHAnsi" w:hAnsiTheme="majorHAnsi"/>
              <w:b/>
              <w:caps/>
              <w:color w:val="365F91" w:themeColor="accent1" w:themeShade="BF"/>
              <w:sz w:val="28"/>
              <w:szCs w:val="20"/>
            </w:rPr>
            <w:t>Submission in response to the inquiry into elder abuse</w:t>
          </w:r>
        </w:p>
        <w:sdt>
          <w:sdtPr>
            <w:rPr>
              <w:rFonts w:asciiTheme="majorHAnsi" w:hAnsiTheme="majorHAnsi"/>
              <w:color w:val="000000" w:themeColor="text1"/>
              <w:sz w:val="28"/>
            </w:rPr>
            <w:alias w:val="Abstract"/>
            <w:id w:val="1556273158"/>
            <w:dataBinding w:prefixMappings="xmlns:ns0='http://schemas.microsoft.com/office/2006/coverPageProps' " w:xpath="/ns0:CoverPageProperties[1]/ns0:Abstract[1]" w:storeItemID="{55AF091B-3C7A-41E3-B477-F2FDAA23CFDA}"/>
            <w:text/>
          </w:sdtPr>
          <w:sdtContent>
            <w:p w:rsidR="00664DE9" w:rsidRPr="002A4198" w:rsidRDefault="00664DE9">
              <w:pPr>
                <w:pBdr>
                  <w:left w:val="single" w:sz="24" w:space="4" w:color="8DB3E2" w:themeColor="text2" w:themeTint="66"/>
                </w:pBdr>
                <w:contextualSpacing/>
                <w:rPr>
                  <w:rFonts w:asciiTheme="majorHAnsi" w:hAnsiTheme="majorHAnsi"/>
                  <w:color w:val="000000" w:themeColor="text1"/>
                  <w:sz w:val="28"/>
                </w:rPr>
              </w:pPr>
              <w:r w:rsidRPr="002A4198">
                <w:rPr>
                  <w:rFonts w:asciiTheme="majorHAnsi" w:hAnsiTheme="majorHAnsi"/>
                  <w:color w:val="000000" w:themeColor="text1"/>
                  <w:sz w:val="28"/>
                </w:rPr>
                <w:t xml:space="preserve">This submission examines the role financial institutions play in the identification and management of elder financial abuse. It is concluded that the current regulatory framework operates ineffectively and does not </w:t>
              </w:r>
              <w:r w:rsidR="001132E7" w:rsidRPr="002A4198">
                <w:rPr>
                  <w:rFonts w:asciiTheme="majorHAnsi" w:hAnsiTheme="majorHAnsi"/>
                  <w:color w:val="000000" w:themeColor="text1"/>
                  <w:sz w:val="28"/>
                </w:rPr>
                <w:t>provide adequate</w:t>
              </w:r>
              <w:r w:rsidRPr="002A4198">
                <w:rPr>
                  <w:rFonts w:asciiTheme="majorHAnsi" w:hAnsiTheme="majorHAnsi"/>
                  <w:color w:val="000000" w:themeColor="text1"/>
                  <w:sz w:val="28"/>
                </w:rPr>
                <w:t xml:space="preserve"> pro</w:t>
              </w:r>
              <w:r w:rsidR="005D7F24" w:rsidRPr="002A4198">
                <w:rPr>
                  <w:rFonts w:asciiTheme="majorHAnsi" w:hAnsiTheme="majorHAnsi"/>
                  <w:color w:val="000000" w:themeColor="text1"/>
                  <w:sz w:val="28"/>
                </w:rPr>
                <w:t>tection</w:t>
              </w:r>
              <w:r w:rsidR="00442A07" w:rsidRPr="002A4198">
                <w:rPr>
                  <w:rFonts w:asciiTheme="majorHAnsi" w:hAnsiTheme="majorHAnsi"/>
                  <w:color w:val="000000" w:themeColor="text1"/>
                  <w:sz w:val="28"/>
                </w:rPr>
                <w:t xml:space="preserve">. </w:t>
              </w:r>
              <w:r w:rsidR="0093442A" w:rsidRPr="002A4198">
                <w:rPr>
                  <w:rFonts w:asciiTheme="majorHAnsi" w:hAnsiTheme="majorHAnsi"/>
                  <w:color w:val="000000" w:themeColor="text1"/>
                  <w:sz w:val="28"/>
                </w:rPr>
                <w:t>This</w:t>
              </w:r>
              <w:r w:rsidR="00442A07" w:rsidRPr="002A4198">
                <w:rPr>
                  <w:rFonts w:asciiTheme="majorHAnsi" w:hAnsiTheme="majorHAnsi"/>
                  <w:color w:val="000000" w:themeColor="text1"/>
                  <w:sz w:val="28"/>
                </w:rPr>
                <w:t xml:space="preserve"> submission advocates a</w:t>
              </w:r>
              <w:r w:rsidRPr="002A4198">
                <w:rPr>
                  <w:rFonts w:asciiTheme="majorHAnsi" w:hAnsiTheme="majorHAnsi"/>
                  <w:color w:val="000000" w:themeColor="text1"/>
                  <w:sz w:val="28"/>
                </w:rPr>
                <w:t xml:space="preserve"> preventative approach and </w:t>
              </w:r>
              <w:r w:rsidR="00442A07" w:rsidRPr="002A4198">
                <w:rPr>
                  <w:rFonts w:asciiTheme="majorHAnsi" w:hAnsiTheme="majorHAnsi"/>
                  <w:color w:val="000000" w:themeColor="text1"/>
                  <w:sz w:val="28"/>
                </w:rPr>
                <w:t xml:space="preserve">recommends that the development of training protocols, reporting procedures and a national awareness campaign is necessary. </w:t>
              </w:r>
            </w:p>
          </w:sdtContent>
        </w:sdt>
        <w:p w:rsidR="00664DE9" w:rsidRPr="002A4198" w:rsidRDefault="00664DE9"/>
        <w:p w:rsidR="00837FD1" w:rsidRPr="002A4198" w:rsidRDefault="00084E96">
          <w:pPr>
            <w:rPr>
              <w:b/>
              <w:sz w:val="22"/>
              <w:szCs w:val="22"/>
            </w:rPr>
          </w:pPr>
        </w:p>
      </w:sdtContent>
    </w:sdt>
    <w:p w:rsidR="00664DE9" w:rsidRPr="002A4198" w:rsidRDefault="00664DE9">
      <w:pPr>
        <w:rPr>
          <w:b/>
          <w:sz w:val="22"/>
          <w:szCs w:val="22"/>
        </w:rPr>
      </w:pPr>
      <w:r w:rsidRPr="002A4198">
        <w:rPr>
          <w:b/>
          <w:sz w:val="22"/>
          <w:szCs w:val="22"/>
        </w:rPr>
        <w:br w:type="page"/>
      </w:r>
    </w:p>
    <w:sdt>
      <w:sdtPr>
        <w:rPr>
          <w:rFonts w:ascii="Times New Roman" w:eastAsiaTheme="minorEastAsia" w:hAnsi="Times New Roman" w:cstheme="minorBidi"/>
          <w:b w:val="0"/>
          <w:bCs w:val="0"/>
          <w:color w:val="auto"/>
          <w:sz w:val="24"/>
          <w:szCs w:val="24"/>
          <w:lang w:val="en-AU"/>
        </w:rPr>
        <w:id w:val="-1781799012"/>
        <w:docPartObj>
          <w:docPartGallery w:val="Table of Contents"/>
          <w:docPartUnique/>
        </w:docPartObj>
      </w:sdtPr>
      <w:sdtEndPr>
        <w:rPr>
          <w:noProof/>
        </w:rPr>
      </w:sdtEndPr>
      <w:sdtContent>
        <w:p w:rsidR="00664DE9" w:rsidRPr="002A4198" w:rsidRDefault="00664DE9">
          <w:pPr>
            <w:pStyle w:val="TOCHeading"/>
          </w:pPr>
          <w:r w:rsidRPr="002A4198">
            <w:t xml:space="preserve">Table </w:t>
          </w:r>
          <w:proofErr w:type="gramStart"/>
          <w:r w:rsidR="006A5851" w:rsidRPr="002A4198">
            <w:t>Of</w:t>
          </w:r>
          <w:proofErr w:type="gramEnd"/>
          <w:r w:rsidR="006A5851" w:rsidRPr="002A4198">
            <w:t xml:space="preserve"> </w:t>
          </w:r>
          <w:r w:rsidRPr="002A4198">
            <w:t>Contents</w:t>
          </w:r>
        </w:p>
        <w:p w:rsidR="00DB3FB2" w:rsidRDefault="00084E96">
          <w:pPr>
            <w:pStyle w:val="TOC1"/>
            <w:tabs>
              <w:tab w:val="left" w:pos="600"/>
            </w:tabs>
            <w:rPr>
              <w:b w:val="0"/>
              <w:caps w:val="0"/>
              <w:sz w:val="24"/>
              <w:szCs w:val="24"/>
              <w:lang w:val="en-US" w:eastAsia="ja-JP"/>
            </w:rPr>
          </w:pPr>
          <w:r w:rsidRPr="00084E96">
            <w:rPr>
              <w:noProof w:val="0"/>
              <w:u w:val="single"/>
            </w:rPr>
            <w:fldChar w:fldCharType="begin"/>
          </w:r>
          <w:r w:rsidR="00664DE9" w:rsidRPr="002A4198">
            <w:instrText xml:space="preserve"> TOC \o "1-3" \h \z \u </w:instrText>
          </w:r>
          <w:r w:rsidRPr="00084E96">
            <w:rPr>
              <w:noProof w:val="0"/>
              <w:u w:val="single"/>
            </w:rPr>
            <w:fldChar w:fldCharType="separate"/>
          </w:r>
          <w:r w:rsidR="00DB3FB2">
            <w:t xml:space="preserve">1.0 </w:t>
          </w:r>
          <w:r w:rsidR="00DB3FB2">
            <w:rPr>
              <w:b w:val="0"/>
              <w:caps w:val="0"/>
              <w:sz w:val="24"/>
              <w:szCs w:val="24"/>
              <w:lang w:val="en-US" w:eastAsia="ja-JP"/>
            </w:rPr>
            <w:tab/>
          </w:r>
          <w:r w:rsidR="00DB3FB2">
            <w:t>Introduction</w:t>
          </w:r>
          <w:r w:rsidR="00DB3FB2">
            <w:tab/>
          </w:r>
          <w:r>
            <w:fldChar w:fldCharType="begin"/>
          </w:r>
          <w:r w:rsidR="00DB3FB2">
            <w:instrText xml:space="preserve"> PAGEREF _Toc328376985 \h </w:instrText>
          </w:r>
          <w:r>
            <w:fldChar w:fldCharType="separate"/>
          </w:r>
          <w:r w:rsidR="00DB3FB2">
            <w:t>3</w:t>
          </w:r>
          <w:r>
            <w:fldChar w:fldCharType="end"/>
          </w:r>
        </w:p>
        <w:p w:rsidR="00DB3FB2" w:rsidRDefault="00DB3FB2">
          <w:pPr>
            <w:pStyle w:val="TOC1"/>
            <w:tabs>
              <w:tab w:val="left" w:pos="600"/>
            </w:tabs>
            <w:rPr>
              <w:b w:val="0"/>
              <w:caps w:val="0"/>
              <w:sz w:val="24"/>
              <w:szCs w:val="24"/>
              <w:lang w:val="en-US" w:eastAsia="ja-JP"/>
            </w:rPr>
          </w:pPr>
          <w:r>
            <w:t xml:space="preserve">2.0 </w:t>
          </w:r>
          <w:r>
            <w:rPr>
              <w:b w:val="0"/>
              <w:caps w:val="0"/>
              <w:sz w:val="24"/>
              <w:szCs w:val="24"/>
              <w:lang w:val="en-US" w:eastAsia="ja-JP"/>
            </w:rPr>
            <w:tab/>
          </w:r>
          <w:r>
            <w:t>Scope of Submission</w:t>
          </w:r>
          <w:r>
            <w:tab/>
          </w:r>
          <w:r w:rsidR="00084E96">
            <w:fldChar w:fldCharType="begin"/>
          </w:r>
          <w:r>
            <w:instrText xml:space="preserve"> PAGEREF _Toc328376986 \h </w:instrText>
          </w:r>
          <w:r w:rsidR="00084E96">
            <w:fldChar w:fldCharType="separate"/>
          </w:r>
          <w:r>
            <w:t>4</w:t>
          </w:r>
          <w:r w:rsidR="00084E96">
            <w:fldChar w:fldCharType="end"/>
          </w:r>
        </w:p>
        <w:p w:rsidR="00DB3FB2" w:rsidRDefault="00DB3FB2">
          <w:pPr>
            <w:pStyle w:val="TOC1"/>
            <w:tabs>
              <w:tab w:val="left" w:pos="600"/>
            </w:tabs>
            <w:rPr>
              <w:b w:val="0"/>
              <w:caps w:val="0"/>
              <w:sz w:val="24"/>
              <w:szCs w:val="24"/>
              <w:lang w:val="en-US" w:eastAsia="ja-JP"/>
            </w:rPr>
          </w:pPr>
          <w:r>
            <w:t xml:space="preserve">3.0 </w:t>
          </w:r>
          <w:r>
            <w:rPr>
              <w:b w:val="0"/>
              <w:caps w:val="0"/>
              <w:sz w:val="24"/>
              <w:szCs w:val="24"/>
              <w:lang w:val="en-US" w:eastAsia="ja-JP"/>
            </w:rPr>
            <w:tab/>
          </w:r>
          <w:r>
            <w:t>Definitional Limitations</w:t>
          </w:r>
          <w:r>
            <w:tab/>
          </w:r>
          <w:r w:rsidR="00084E96">
            <w:fldChar w:fldCharType="begin"/>
          </w:r>
          <w:r>
            <w:instrText xml:space="preserve"> PAGEREF _Toc328376987 \h </w:instrText>
          </w:r>
          <w:r w:rsidR="00084E96">
            <w:fldChar w:fldCharType="separate"/>
          </w:r>
          <w:r>
            <w:t>5</w:t>
          </w:r>
          <w:r w:rsidR="00084E96">
            <w:fldChar w:fldCharType="end"/>
          </w:r>
        </w:p>
        <w:p w:rsidR="00DB3FB2" w:rsidRDefault="00DB3FB2">
          <w:pPr>
            <w:pStyle w:val="TOC1"/>
            <w:tabs>
              <w:tab w:val="left" w:pos="600"/>
            </w:tabs>
            <w:rPr>
              <w:b w:val="0"/>
              <w:caps w:val="0"/>
              <w:sz w:val="24"/>
              <w:szCs w:val="24"/>
              <w:lang w:val="en-US" w:eastAsia="ja-JP"/>
            </w:rPr>
          </w:pPr>
          <w:r>
            <w:t xml:space="preserve">4.0 </w:t>
          </w:r>
          <w:r>
            <w:rPr>
              <w:b w:val="0"/>
              <w:caps w:val="0"/>
              <w:sz w:val="24"/>
              <w:szCs w:val="24"/>
              <w:lang w:val="en-US" w:eastAsia="ja-JP"/>
            </w:rPr>
            <w:tab/>
          </w:r>
          <w:r>
            <w:t>Current Regulatory Framework</w:t>
          </w:r>
          <w:r>
            <w:tab/>
          </w:r>
          <w:r w:rsidR="00084E96">
            <w:fldChar w:fldCharType="begin"/>
          </w:r>
          <w:r>
            <w:instrText xml:space="preserve"> PAGEREF _Toc328376988 \h </w:instrText>
          </w:r>
          <w:r w:rsidR="00084E96">
            <w:fldChar w:fldCharType="separate"/>
          </w:r>
          <w:r>
            <w:t>7</w:t>
          </w:r>
          <w:r w:rsidR="00084E96">
            <w:fldChar w:fldCharType="end"/>
          </w:r>
        </w:p>
        <w:p w:rsidR="00DB3FB2" w:rsidRDefault="00DB3FB2">
          <w:pPr>
            <w:pStyle w:val="TOC2"/>
            <w:tabs>
              <w:tab w:val="left" w:pos="591"/>
              <w:tab w:val="right" w:pos="8290"/>
            </w:tabs>
            <w:rPr>
              <w:b w:val="0"/>
              <w:smallCaps w:val="0"/>
              <w:noProof/>
              <w:sz w:val="24"/>
              <w:szCs w:val="24"/>
              <w:lang w:val="en-US" w:eastAsia="ja-JP"/>
            </w:rPr>
          </w:pPr>
          <w:r>
            <w:rPr>
              <w:noProof/>
            </w:rPr>
            <w:t xml:space="preserve">4.1 </w:t>
          </w:r>
          <w:r>
            <w:rPr>
              <w:b w:val="0"/>
              <w:smallCaps w:val="0"/>
              <w:noProof/>
              <w:sz w:val="24"/>
              <w:szCs w:val="24"/>
              <w:lang w:val="en-US" w:eastAsia="ja-JP"/>
            </w:rPr>
            <w:tab/>
          </w:r>
          <w:r>
            <w:rPr>
              <w:noProof/>
            </w:rPr>
            <w:t>Code of Banking Practice</w:t>
          </w:r>
          <w:r>
            <w:rPr>
              <w:noProof/>
            </w:rPr>
            <w:tab/>
          </w:r>
          <w:r w:rsidR="00084E96">
            <w:rPr>
              <w:noProof/>
            </w:rPr>
            <w:fldChar w:fldCharType="begin"/>
          </w:r>
          <w:r>
            <w:rPr>
              <w:noProof/>
            </w:rPr>
            <w:instrText xml:space="preserve"> PAGEREF _Toc328376989 \h </w:instrText>
          </w:r>
          <w:r w:rsidR="00084E96">
            <w:rPr>
              <w:noProof/>
            </w:rPr>
          </w:r>
          <w:r w:rsidR="00084E96">
            <w:rPr>
              <w:noProof/>
            </w:rPr>
            <w:fldChar w:fldCharType="separate"/>
          </w:r>
          <w:r>
            <w:rPr>
              <w:noProof/>
            </w:rPr>
            <w:t>7</w:t>
          </w:r>
          <w:r w:rsidR="00084E96">
            <w:rPr>
              <w:noProof/>
            </w:rPr>
            <w:fldChar w:fldCharType="end"/>
          </w:r>
        </w:p>
        <w:p w:rsidR="00DB3FB2" w:rsidRDefault="00DB3FB2">
          <w:pPr>
            <w:pStyle w:val="TOC2"/>
            <w:tabs>
              <w:tab w:val="left" w:pos="591"/>
              <w:tab w:val="right" w:pos="8290"/>
            </w:tabs>
            <w:rPr>
              <w:b w:val="0"/>
              <w:smallCaps w:val="0"/>
              <w:noProof/>
              <w:sz w:val="24"/>
              <w:szCs w:val="24"/>
              <w:lang w:val="en-US" w:eastAsia="ja-JP"/>
            </w:rPr>
          </w:pPr>
          <w:r>
            <w:rPr>
              <w:noProof/>
            </w:rPr>
            <w:t xml:space="preserve">4.2 </w:t>
          </w:r>
          <w:r>
            <w:rPr>
              <w:b w:val="0"/>
              <w:smallCaps w:val="0"/>
              <w:noProof/>
              <w:sz w:val="24"/>
              <w:szCs w:val="24"/>
              <w:lang w:val="en-US" w:eastAsia="ja-JP"/>
            </w:rPr>
            <w:tab/>
          </w:r>
          <w:r>
            <w:rPr>
              <w:noProof/>
            </w:rPr>
            <w:t>Office of the Public Advocate and Enduring Power of Attorney</w:t>
          </w:r>
          <w:r>
            <w:rPr>
              <w:noProof/>
            </w:rPr>
            <w:tab/>
          </w:r>
          <w:r w:rsidR="00084E96">
            <w:rPr>
              <w:noProof/>
            </w:rPr>
            <w:fldChar w:fldCharType="begin"/>
          </w:r>
          <w:r>
            <w:rPr>
              <w:noProof/>
            </w:rPr>
            <w:instrText xml:space="preserve"> PAGEREF _Toc328376990 \h </w:instrText>
          </w:r>
          <w:r w:rsidR="00084E96">
            <w:rPr>
              <w:noProof/>
            </w:rPr>
          </w:r>
          <w:r w:rsidR="00084E96">
            <w:rPr>
              <w:noProof/>
            </w:rPr>
            <w:fldChar w:fldCharType="separate"/>
          </w:r>
          <w:r>
            <w:rPr>
              <w:noProof/>
            </w:rPr>
            <w:t>8</w:t>
          </w:r>
          <w:r w:rsidR="00084E96">
            <w:rPr>
              <w:noProof/>
            </w:rPr>
            <w:fldChar w:fldCharType="end"/>
          </w:r>
        </w:p>
        <w:p w:rsidR="00DB3FB2" w:rsidRDefault="00DB3FB2">
          <w:pPr>
            <w:pStyle w:val="TOC2"/>
            <w:tabs>
              <w:tab w:val="left" w:pos="591"/>
              <w:tab w:val="right" w:pos="8290"/>
            </w:tabs>
            <w:rPr>
              <w:b w:val="0"/>
              <w:smallCaps w:val="0"/>
              <w:noProof/>
              <w:sz w:val="24"/>
              <w:szCs w:val="24"/>
              <w:lang w:val="en-US" w:eastAsia="ja-JP"/>
            </w:rPr>
          </w:pPr>
          <w:r>
            <w:rPr>
              <w:noProof/>
            </w:rPr>
            <w:t xml:space="preserve">4.3 </w:t>
          </w:r>
          <w:r>
            <w:rPr>
              <w:b w:val="0"/>
              <w:smallCaps w:val="0"/>
              <w:noProof/>
              <w:sz w:val="24"/>
              <w:szCs w:val="24"/>
              <w:lang w:val="en-US" w:eastAsia="ja-JP"/>
            </w:rPr>
            <w:tab/>
          </w:r>
          <w:r>
            <w:rPr>
              <w:noProof/>
            </w:rPr>
            <w:t>Privacy Law</w:t>
          </w:r>
          <w:r>
            <w:rPr>
              <w:noProof/>
            </w:rPr>
            <w:tab/>
          </w:r>
          <w:r w:rsidR="00084E96">
            <w:rPr>
              <w:noProof/>
            </w:rPr>
            <w:fldChar w:fldCharType="begin"/>
          </w:r>
          <w:r>
            <w:rPr>
              <w:noProof/>
            </w:rPr>
            <w:instrText xml:space="preserve"> PAGEREF _Toc328376991 \h </w:instrText>
          </w:r>
          <w:r w:rsidR="00084E96">
            <w:rPr>
              <w:noProof/>
            </w:rPr>
          </w:r>
          <w:r w:rsidR="00084E96">
            <w:rPr>
              <w:noProof/>
            </w:rPr>
            <w:fldChar w:fldCharType="separate"/>
          </w:r>
          <w:r>
            <w:rPr>
              <w:noProof/>
            </w:rPr>
            <w:t>9</w:t>
          </w:r>
          <w:r w:rsidR="00084E96">
            <w:rPr>
              <w:noProof/>
            </w:rPr>
            <w:fldChar w:fldCharType="end"/>
          </w:r>
        </w:p>
        <w:p w:rsidR="00DB3FB2" w:rsidRDefault="00DB3FB2">
          <w:pPr>
            <w:pStyle w:val="TOC2"/>
            <w:tabs>
              <w:tab w:val="left" w:pos="591"/>
              <w:tab w:val="right" w:pos="8290"/>
            </w:tabs>
            <w:rPr>
              <w:b w:val="0"/>
              <w:smallCaps w:val="0"/>
              <w:noProof/>
              <w:sz w:val="24"/>
              <w:szCs w:val="24"/>
              <w:lang w:val="en-US" w:eastAsia="ja-JP"/>
            </w:rPr>
          </w:pPr>
          <w:r>
            <w:rPr>
              <w:noProof/>
            </w:rPr>
            <w:t xml:space="preserve">4.4 </w:t>
          </w:r>
          <w:r>
            <w:rPr>
              <w:b w:val="0"/>
              <w:smallCaps w:val="0"/>
              <w:noProof/>
              <w:sz w:val="24"/>
              <w:szCs w:val="24"/>
              <w:lang w:val="en-US" w:eastAsia="ja-JP"/>
            </w:rPr>
            <w:tab/>
          </w:r>
          <w:r>
            <w:rPr>
              <w:noProof/>
            </w:rPr>
            <w:t>Confidentiality</w:t>
          </w:r>
          <w:r>
            <w:rPr>
              <w:noProof/>
            </w:rPr>
            <w:tab/>
          </w:r>
          <w:r w:rsidR="00084E96">
            <w:rPr>
              <w:noProof/>
            </w:rPr>
            <w:fldChar w:fldCharType="begin"/>
          </w:r>
          <w:r>
            <w:rPr>
              <w:noProof/>
            </w:rPr>
            <w:instrText xml:space="preserve"> PAGEREF _Toc328376992 \h </w:instrText>
          </w:r>
          <w:r w:rsidR="00084E96">
            <w:rPr>
              <w:noProof/>
            </w:rPr>
          </w:r>
          <w:r w:rsidR="00084E96">
            <w:rPr>
              <w:noProof/>
            </w:rPr>
            <w:fldChar w:fldCharType="separate"/>
          </w:r>
          <w:r>
            <w:rPr>
              <w:noProof/>
            </w:rPr>
            <w:t>10</w:t>
          </w:r>
          <w:r w:rsidR="00084E96">
            <w:rPr>
              <w:noProof/>
            </w:rPr>
            <w:fldChar w:fldCharType="end"/>
          </w:r>
        </w:p>
        <w:p w:rsidR="00DB3FB2" w:rsidRDefault="00DB3FB2">
          <w:pPr>
            <w:pStyle w:val="TOC2"/>
            <w:tabs>
              <w:tab w:val="left" w:pos="591"/>
              <w:tab w:val="right" w:pos="8290"/>
            </w:tabs>
            <w:rPr>
              <w:b w:val="0"/>
              <w:smallCaps w:val="0"/>
              <w:noProof/>
              <w:sz w:val="24"/>
              <w:szCs w:val="24"/>
              <w:lang w:val="en-US" w:eastAsia="ja-JP"/>
            </w:rPr>
          </w:pPr>
          <w:r>
            <w:rPr>
              <w:noProof/>
            </w:rPr>
            <w:t xml:space="preserve">4.5 </w:t>
          </w:r>
          <w:r>
            <w:rPr>
              <w:b w:val="0"/>
              <w:smallCaps w:val="0"/>
              <w:noProof/>
              <w:sz w:val="24"/>
              <w:szCs w:val="24"/>
              <w:lang w:val="en-US" w:eastAsia="ja-JP"/>
            </w:rPr>
            <w:tab/>
          </w:r>
          <w:r>
            <w:rPr>
              <w:noProof/>
            </w:rPr>
            <w:t>Banker-Customer Relationship</w:t>
          </w:r>
          <w:r>
            <w:rPr>
              <w:noProof/>
            </w:rPr>
            <w:tab/>
          </w:r>
          <w:r w:rsidR="00084E96">
            <w:rPr>
              <w:noProof/>
            </w:rPr>
            <w:fldChar w:fldCharType="begin"/>
          </w:r>
          <w:r>
            <w:rPr>
              <w:noProof/>
            </w:rPr>
            <w:instrText xml:space="preserve"> PAGEREF _Toc328376993 \h </w:instrText>
          </w:r>
          <w:r w:rsidR="00084E96">
            <w:rPr>
              <w:noProof/>
            </w:rPr>
          </w:r>
          <w:r w:rsidR="00084E96">
            <w:rPr>
              <w:noProof/>
            </w:rPr>
            <w:fldChar w:fldCharType="separate"/>
          </w:r>
          <w:r>
            <w:rPr>
              <w:noProof/>
            </w:rPr>
            <w:t>11</w:t>
          </w:r>
          <w:r w:rsidR="00084E96">
            <w:rPr>
              <w:noProof/>
            </w:rPr>
            <w:fldChar w:fldCharType="end"/>
          </w:r>
        </w:p>
        <w:p w:rsidR="00DB3FB2" w:rsidRDefault="00DB3FB2">
          <w:pPr>
            <w:pStyle w:val="TOC2"/>
            <w:tabs>
              <w:tab w:val="left" w:pos="552"/>
              <w:tab w:val="right" w:pos="8290"/>
            </w:tabs>
            <w:rPr>
              <w:b w:val="0"/>
              <w:smallCaps w:val="0"/>
              <w:noProof/>
              <w:sz w:val="24"/>
              <w:szCs w:val="24"/>
              <w:lang w:val="en-US" w:eastAsia="ja-JP"/>
            </w:rPr>
          </w:pPr>
          <w:r>
            <w:rPr>
              <w:noProof/>
            </w:rPr>
            <w:t>4.6</w:t>
          </w:r>
          <w:r>
            <w:rPr>
              <w:b w:val="0"/>
              <w:smallCaps w:val="0"/>
              <w:noProof/>
              <w:sz w:val="24"/>
              <w:szCs w:val="24"/>
              <w:lang w:val="en-US" w:eastAsia="ja-JP"/>
            </w:rPr>
            <w:tab/>
          </w:r>
          <w:r>
            <w:rPr>
              <w:noProof/>
            </w:rPr>
            <w:t>Defamation</w:t>
          </w:r>
          <w:r>
            <w:rPr>
              <w:noProof/>
            </w:rPr>
            <w:tab/>
          </w:r>
          <w:r w:rsidR="00084E96">
            <w:rPr>
              <w:noProof/>
            </w:rPr>
            <w:fldChar w:fldCharType="begin"/>
          </w:r>
          <w:r>
            <w:rPr>
              <w:noProof/>
            </w:rPr>
            <w:instrText xml:space="preserve"> PAGEREF _Toc328376994 \h </w:instrText>
          </w:r>
          <w:r w:rsidR="00084E96">
            <w:rPr>
              <w:noProof/>
            </w:rPr>
          </w:r>
          <w:r w:rsidR="00084E96">
            <w:rPr>
              <w:noProof/>
            </w:rPr>
            <w:fldChar w:fldCharType="separate"/>
          </w:r>
          <w:r>
            <w:rPr>
              <w:noProof/>
            </w:rPr>
            <w:t>13</w:t>
          </w:r>
          <w:r w:rsidR="00084E96">
            <w:rPr>
              <w:noProof/>
            </w:rPr>
            <w:fldChar w:fldCharType="end"/>
          </w:r>
        </w:p>
        <w:p w:rsidR="00DB3FB2" w:rsidRDefault="00DB3FB2">
          <w:pPr>
            <w:pStyle w:val="TOC2"/>
            <w:tabs>
              <w:tab w:val="left" w:pos="552"/>
              <w:tab w:val="right" w:pos="8290"/>
            </w:tabs>
            <w:rPr>
              <w:b w:val="0"/>
              <w:smallCaps w:val="0"/>
              <w:noProof/>
              <w:sz w:val="24"/>
              <w:szCs w:val="24"/>
              <w:lang w:val="en-US" w:eastAsia="ja-JP"/>
            </w:rPr>
          </w:pPr>
          <w:r>
            <w:rPr>
              <w:noProof/>
            </w:rPr>
            <w:t>4.7</w:t>
          </w:r>
          <w:r>
            <w:rPr>
              <w:b w:val="0"/>
              <w:smallCaps w:val="0"/>
              <w:noProof/>
              <w:sz w:val="24"/>
              <w:szCs w:val="24"/>
              <w:lang w:val="en-US" w:eastAsia="ja-JP"/>
            </w:rPr>
            <w:tab/>
          </w:r>
          <w:r>
            <w:rPr>
              <w:noProof/>
            </w:rPr>
            <w:t>Current Liability</w:t>
          </w:r>
          <w:r>
            <w:rPr>
              <w:noProof/>
            </w:rPr>
            <w:tab/>
          </w:r>
          <w:r w:rsidR="00084E96">
            <w:rPr>
              <w:noProof/>
            </w:rPr>
            <w:fldChar w:fldCharType="begin"/>
          </w:r>
          <w:r>
            <w:rPr>
              <w:noProof/>
            </w:rPr>
            <w:instrText xml:space="preserve"> PAGEREF _Toc328376995 \h </w:instrText>
          </w:r>
          <w:r w:rsidR="00084E96">
            <w:rPr>
              <w:noProof/>
            </w:rPr>
          </w:r>
          <w:r w:rsidR="00084E96">
            <w:rPr>
              <w:noProof/>
            </w:rPr>
            <w:fldChar w:fldCharType="separate"/>
          </w:r>
          <w:r>
            <w:rPr>
              <w:noProof/>
            </w:rPr>
            <w:t>14</w:t>
          </w:r>
          <w:r w:rsidR="00084E96">
            <w:rPr>
              <w:noProof/>
            </w:rPr>
            <w:fldChar w:fldCharType="end"/>
          </w:r>
        </w:p>
        <w:p w:rsidR="00DB3FB2" w:rsidRDefault="00DB3FB2">
          <w:pPr>
            <w:pStyle w:val="TOC1"/>
            <w:tabs>
              <w:tab w:val="left" w:pos="600"/>
            </w:tabs>
            <w:rPr>
              <w:b w:val="0"/>
              <w:caps w:val="0"/>
              <w:sz w:val="24"/>
              <w:szCs w:val="24"/>
              <w:lang w:val="en-US" w:eastAsia="ja-JP"/>
            </w:rPr>
          </w:pPr>
          <w:r>
            <w:t xml:space="preserve">5.0 </w:t>
          </w:r>
          <w:r>
            <w:rPr>
              <w:b w:val="0"/>
              <w:caps w:val="0"/>
              <w:sz w:val="24"/>
              <w:szCs w:val="24"/>
              <w:lang w:val="en-US" w:eastAsia="ja-JP"/>
            </w:rPr>
            <w:tab/>
          </w:r>
          <w:r>
            <w:t>Recommendations</w:t>
          </w:r>
          <w:r>
            <w:tab/>
          </w:r>
          <w:r w:rsidR="00084E96">
            <w:fldChar w:fldCharType="begin"/>
          </w:r>
          <w:r>
            <w:instrText xml:space="preserve"> PAGEREF _Toc328376996 \h </w:instrText>
          </w:r>
          <w:r w:rsidR="00084E96">
            <w:fldChar w:fldCharType="separate"/>
          </w:r>
          <w:r>
            <w:t>15</w:t>
          </w:r>
          <w:r w:rsidR="00084E96">
            <w:fldChar w:fldCharType="end"/>
          </w:r>
        </w:p>
        <w:p w:rsidR="00DB3FB2" w:rsidRDefault="00DB3FB2">
          <w:pPr>
            <w:pStyle w:val="TOC2"/>
            <w:tabs>
              <w:tab w:val="right" w:pos="8290"/>
            </w:tabs>
            <w:rPr>
              <w:b w:val="0"/>
              <w:smallCaps w:val="0"/>
              <w:noProof/>
              <w:sz w:val="24"/>
              <w:szCs w:val="24"/>
              <w:lang w:val="en-US" w:eastAsia="ja-JP"/>
            </w:rPr>
          </w:pPr>
          <w:r>
            <w:rPr>
              <w:noProof/>
            </w:rPr>
            <w:t>Legislative Reform</w:t>
          </w:r>
          <w:r>
            <w:rPr>
              <w:noProof/>
            </w:rPr>
            <w:tab/>
          </w:r>
          <w:r w:rsidR="00084E96">
            <w:rPr>
              <w:noProof/>
            </w:rPr>
            <w:fldChar w:fldCharType="begin"/>
          </w:r>
          <w:r>
            <w:rPr>
              <w:noProof/>
            </w:rPr>
            <w:instrText xml:space="preserve"> PAGEREF _Toc328376997 \h </w:instrText>
          </w:r>
          <w:r w:rsidR="00084E96">
            <w:rPr>
              <w:noProof/>
            </w:rPr>
          </w:r>
          <w:r w:rsidR="00084E96">
            <w:rPr>
              <w:noProof/>
            </w:rPr>
            <w:fldChar w:fldCharType="separate"/>
          </w:r>
          <w:r>
            <w:rPr>
              <w:noProof/>
            </w:rPr>
            <w:t>15</w:t>
          </w:r>
          <w:r w:rsidR="00084E96">
            <w:rPr>
              <w:noProof/>
            </w:rPr>
            <w:fldChar w:fldCharType="end"/>
          </w:r>
        </w:p>
        <w:p w:rsidR="00DB3FB2" w:rsidRDefault="00DB3FB2">
          <w:pPr>
            <w:pStyle w:val="TOC3"/>
            <w:tabs>
              <w:tab w:val="left" w:pos="568"/>
              <w:tab w:val="right" w:pos="8290"/>
            </w:tabs>
            <w:rPr>
              <w:smallCaps w:val="0"/>
              <w:noProof/>
              <w:sz w:val="24"/>
              <w:szCs w:val="24"/>
              <w:lang w:val="en-US" w:eastAsia="ja-JP"/>
            </w:rPr>
          </w:pPr>
          <w:r>
            <w:rPr>
              <w:noProof/>
            </w:rPr>
            <w:t xml:space="preserve">5.1 </w:t>
          </w:r>
          <w:r>
            <w:rPr>
              <w:smallCaps w:val="0"/>
              <w:noProof/>
              <w:sz w:val="24"/>
              <w:szCs w:val="24"/>
              <w:lang w:val="en-US" w:eastAsia="ja-JP"/>
            </w:rPr>
            <w:tab/>
          </w:r>
          <w:r>
            <w:rPr>
              <w:noProof/>
            </w:rPr>
            <w:t>Mandatory Reporting Scheme</w:t>
          </w:r>
          <w:r>
            <w:rPr>
              <w:noProof/>
            </w:rPr>
            <w:tab/>
          </w:r>
          <w:r w:rsidR="00084E96">
            <w:rPr>
              <w:noProof/>
            </w:rPr>
            <w:fldChar w:fldCharType="begin"/>
          </w:r>
          <w:r>
            <w:rPr>
              <w:noProof/>
            </w:rPr>
            <w:instrText xml:space="preserve"> PAGEREF _Toc328376998 \h </w:instrText>
          </w:r>
          <w:r w:rsidR="00084E96">
            <w:rPr>
              <w:noProof/>
            </w:rPr>
          </w:r>
          <w:r w:rsidR="00084E96">
            <w:rPr>
              <w:noProof/>
            </w:rPr>
            <w:fldChar w:fldCharType="separate"/>
          </w:r>
          <w:r>
            <w:rPr>
              <w:noProof/>
            </w:rPr>
            <w:t>15</w:t>
          </w:r>
          <w:r w:rsidR="00084E96">
            <w:rPr>
              <w:noProof/>
            </w:rPr>
            <w:fldChar w:fldCharType="end"/>
          </w:r>
        </w:p>
        <w:p w:rsidR="00DB3FB2" w:rsidRDefault="00DB3FB2">
          <w:pPr>
            <w:pStyle w:val="TOC2"/>
            <w:tabs>
              <w:tab w:val="right" w:pos="8290"/>
            </w:tabs>
            <w:rPr>
              <w:b w:val="0"/>
              <w:smallCaps w:val="0"/>
              <w:noProof/>
              <w:sz w:val="24"/>
              <w:szCs w:val="24"/>
              <w:lang w:val="en-US" w:eastAsia="ja-JP"/>
            </w:rPr>
          </w:pPr>
          <w:r>
            <w:rPr>
              <w:noProof/>
            </w:rPr>
            <w:t>Policy Reform</w:t>
          </w:r>
          <w:r>
            <w:rPr>
              <w:noProof/>
            </w:rPr>
            <w:tab/>
          </w:r>
          <w:r w:rsidR="00084E96">
            <w:rPr>
              <w:noProof/>
            </w:rPr>
            <w:fldChar w:fldCharType="begin"/>
          </w:r>
          <w:r>
            <w:rPr>
              <w:noProof/>
            </w:rPr>
            <w:instrText xml:space="preserve"> PAGEREF _Toc328376999 \h </w:instrText>
          </w:r>
          <w:r w:rsidR="00084E96">
            <w:rPr>
              <w:noProof/>
            </w:rPr>
          </w:r>
          <w:r w:rsidR="00084E96">
            <w:rPr>
              <w:noProof/>
            </w:rPr>
            <w:fldChar w:fldCharType="separate"/>
          </w:r>
          <w:r>
            <w:rPr>
              <w:noProof/>
            </w:rPr>
            <w:t>18</w:t>
          </w:r>
          <w:r w:rsidR="00084E96">
            <w:rPr>
              <w:noProof/>
            </w:rPr>
            <w:fldChar w:fldCharType="end"/>
          </w:r>
        </w:p>
        <w:p w:rsidR="00DB3FB2" w:rsidRDefault="00DB3FB2">
          <w:pPr>
            <w:pStyle w:val="TOC3"/>
            <w:tabs>
              <w:tab w:val="right" w:pos="8290"/>
            </w:tabs>
            <w:rPr>
              <w:smallCaps w:val="0"/>
              <w:noProof/>
              <w:sz w:val="24"/>
              <w:szCs w:val="24"/>
              <w:lang w:val="en-US" w:eastAsia="ja-JP"/>
            </w:rPr>
          </w:pPr>
          <w:r>
            <w:rPr>
              <w:noProof/>
            </w:rPr>
            <w:t>5.2 National Training Program</w:t>
          </w:r>
          <w:r>
            <w:rPr>
              <w:noProof/>
            </w:rPr>
            <w:tab/>
          </w:r>
          <w:r w:rsidR="00084E96">
            <w:rPr>
              <w:noProof/>
            </w:rPr>
            <w:fldChar w:fldCharType="begin"/>
          </w:r>
          <w:r>
            <w:rPr>
              <w:noProof/>
            </w:rPr>
            <w:instrText xml:space="preserve"> PAGEREF _Toc328377000 \h </w:instrText>
          </w:r>
          <w:r w:rsidR="00084E96">
            <w:rPr>
              <w:noProof/>
            </w:rPr>
          </w:r>
          <w:r w:rsidR="00084E96">
            <w:rPr>
              <w:noProof/>
            </w:rPr>
            <w:fldChar w:fldCharType="separate"/>
          </w:r>
          <w:r>
            <w:rPr>
              <w:noProof/>
            </w:rPr>
            <w:t>18</w:t>
          </w:r>
          <w:r w:rsidR="00084E96">
            <w:rPr>
              <w:noProof/>
            </w:rPr>
            <w:fldChar w:fldCharType="end"/>
          </w:r>
        </w:p>
        <w:p w:rsidR="00DB3FB2" w:rsidRDefault="00DB3FB2">
          <w:pPr>
            <w:pStyle w:val="TOC2"/>
            <w:tabs>
              <w:tab w:val="left" w:pos="591"/>
              <w:tab w:val="right" w:pos="8290"/>
            </w:tabs>
            <w:rPr>
              <w:b w:val="0"/>
              <w:smallCaps w:val="0"/>
              <w:noProof/>
              <w:sz w:val="24"/>
              <w:szCs w:val="24"/>
              <w:lang w:val="en-US" w:eastAsia="ja-JP"/>
            </w:rPr>
          </w:pPr>
          <w:r>
            <w:rPr>
              <w:noProof/>
            </w:rPr>
            <w:t xml:space="preserve">5.3 </w:t>
          </w:r>
          <w:r>
            <w:rPr>
              <w:b w:val="0"/>
              <w:smallCaps w:val="0"/>
              <w:noProof/>
              <w:sz w:val="24"/>
              <w:szCs w:val="24"/>
              <w:lang w:val="en-US" w:eastAsia="ja-JP"/>
            </w:rPr>
            <w:tab/>
          </w:r>
          <w:r>
            <w:rPr>
              <w:noProof/>
            </w:rPr>
            <w:t>Community Awareness Program</w:t>
          </w:r>
          <w:r>
            <w:rPr>
              <w:noProof/>
            </w:rPr>
            <w:tab/>
          </w:r>
          <w:r w:rsidR="00084E96">
            <w:rPr>
              <w:noProof/>
            </w:rPr>
            <w:fldChar w:fldCharType="begin"/>
          </w:r>
          <w:r>
            <w:rPr>
              <w:noProof/>
            </w:rPr>
            <w:instrText xml:space="preserve"> PAGEREF _Toc328377001 \h </w:instrText>
          </w:r>
          <w:r w:rsidR="00084E96">
            <w:rPr>
              <w:noProof/>
            </w:rPr>
          </w:r>
          <w:r w:rsidR="00084E96">
            <w:rPr>
              <w:noProof/>
            </w:rPr>
            <w:fldChar w:fldCharType="separate"/>
          </w:r>
          <w:r>
            <w:rPr>
              <w:noProof/>
            </w:rPr>
            <w:t>20</w:t>
          </w:r>
          <w:r w:rsidR="00084E96">
            <w:rPr>
              <w:noProof/>
            </w:rPr>
            <w:fldChar w:fldCharType="end"/>
          </w:r>
        </w:p>
        <w:p w:rsidR="00DB3FB2" w:rsidRDefault="00DB3FB2">
          <w:pPr>
            <w:pStyle w:val="TOC1"/>
            <w:tabs>
              <w:tab w:val="left" w:pos="600"/>
            </w:tabs>
            <w:rPr>
              <w:b w:val="0"/>
              <w:caps w:val="0"/>
              <w:sz w:val="24"/>
              <w:szCs w:val="24"/>
              <w:lang w:val="en-US" w:eastAsia="ja-JP"/>
            </w:rPr>
          </w:pPr>
          <w:r>
            <w:t xml:space="preserve">6.0 </w:t>
          </w:r>
          <w:r>
            <w:rPr>
              <w:b w:val="0"/>
              <w:caps w:val="0"/>
              <w:sz w:val="24"/>
              <w:szCs w:val="24"/>
              <w:lang w:val="en-US" w:eastAsia="ja-JP"/>
            </w:rPr>
            <w:tab/>
          </w:r>
          <w:r>
            <w:t>Conclusion</w:t>
          </w:r>
          <w:r>
            <w:tab/>
          </w:r>
          <w:r w:rsidR="00084E96">
            <w:fldChar w:fldCharType="begin"/>
          </w:r>
          <w:r>
            <w:instrText xml:space="preserve"> PAGEREF _Toc328377002 \h </w:instrText>
          </w:r>
          <w:r w:rsidR="00084E96">
            <w:fldChar w:fldCharType="separate"/>
          </w:r>
          <w:r>
            <w:t>22</w:t>
          </w:r>
          <w:r w:rsidR="00084E96">
            <w:fldChar w:fldCharType="end"/>
          </w:r>
        </w:p>
        <w:p w:rsidR="00DB3FB2" w:rsidRDefault="00DB3FB2">
          <w:pPr>
            <w:pStyle w:val="TOC1"/>
            <w:rPr>
              <w:b w:val="0"/>
              <w:caps w:val="0"/>
              <w:sz w:val="24"/>
              <w:szCs w:val="24"/>
              <w:lang w:val="en-US" w:eastAsia="ja-JP"/>
            </w:rPr>
          </w:pPr>
          <w:r>
            <w:t>7.0 References</w:t>
          </w:r>
          <w:r>
            <w:tab/>
          </w:r>
          <w:r w:rsidR="00084E96">
            <w:fldChar w:fldCharType="begin"/>
          </w:r>
          <w:r>
            <w:instrText xml:space="preserve"> PAGEREF _Toc328377003 \h </w:instrText>
          </w:r>
          <w:r w:rsidR="00084E96">
            <w:fldChar w:fldCharType="separate"/>
          </w:r>
          <w:r>
            <w:t>23</w:t>
          </w:r>
          <w:r w:rsidR="00084E96">
            <w:fldChar w:fldCharType="end"/>
          </w:r>
        </w:p>
        <w:p w:rsidR="00664DE9" w:rsidRPr="002A4198" w:rsidRDefault="00084E96">
          <w:r w:rsidRPr="002A4198">
            <w:rPr>
              <w:b/>
              <w:bCs/>
              <w:noProof/>
            </w:rPr>
            <w:fldChar w:fldCharType="end"/>
          </w:r>
        </w:p>
      </w:sdtContent>
    </w:sdt>
    <w:p w:rsidR="00E9689A" w:rsidRPr="002A4198" w:rsidRDefault="00664DE9" w:rsidP="00664DE9">
      <w:pPr>
        <w:pStyle w:val="Heading1"/>
        <w:rPr>
          <w:sz w:val="22"/>
          <w:szCs w:val="22"/>
        </w:rPr>
      </w:pPr>
      <w:r w:rsidRPr="002A4198">
        <w:rPr>
          <w:sz w:val="22"/>
          <w:szCs w:val="22"/>
        </w:rPr>
        <w:br w:type="page"/>
      </w:r>
      <w:bookmarkStart w:id="0" w:name="_Toc328376985"/>
      <w:r w:rsidR="002977E2">
        <w:lastRenderedPageBreak/>
        <w:t xml:space="preserve">1.0 </w:t>
      </w:r>
      <w:r w:rsidR="00E9693E">
        <w:tab/>
      </w:r>
      <w:r w:rsidR="00E9689A" w:rsidRPr="002A4198">
        <w:t>Introduction</w:t>
      </w:r>
      <w:bookmarkEnd w:id="0"/>
    </w:p>
    <w:p w:rsidR="00347129" w:rsidRPr="002A4198" w:rsidRDefault="00347129">
      <w:pPr>
        <w:rPr>
          <w:b/>
          <w:sz w:val="22"/>
          <w:szCs w:val="22"/>
        </w:rPr>
      </w:pPr>
    </w:p>
    <w:p w:rsidR="007B2750" w:rsidRPr="00AD2F9B" w:rsidRDefault="00AD2F9B" w:rsidP="00AD2F9B">
      <w:pPr>
        <w:ind w:left="720" w:hanging="720"/>
        <w:rPr>
          <w:rFonts w:cs="Times New Roman"/>
        </w:rPr>
      </w:pPr>
      <w:r>
        <w:rPr>
          <w:rFonts w:cs="Times New Roman"/>
        </w:rPr>
        <w:t xml:space="preserve">1.1 </w:t>
      </w:r>
      <w:r>
        <w:rPr>
          <w:rFonts w:cs="Times New Roman"/>
        </w:rPr>
        <w:tab/>
      </w:r>
      <w:r w:rsidR="00E47EC7" w:rsidRPr="00AD2F9B">
        <w:rPr>
          <w:rFonts w:cs="Times New Roman"/>
        </w:rPr>
        <w:t xml:space="preserve">This submission is made by four Griffith University students in their final year of study participating in a Law Reform subject. It responds to the terms of reference </w:t>
      </w:r>
      <w:r w:rsidR="00073EF7" w:rsidRPr="00AD2F9B">
        <w:rPr>
          <w:rFonts w:cs="Times New Roman"/>
        </w:rPr>
        <w:t xml:space="preserve">in the Australian Law Reform Commission Inquiry into protecting the rights of older Australians from abuse. </w:t>
      </w:r>
      <w:r w:rsidR="0003291F" w:rsidRPr="00AD2F9B">
        <w:rPr>
          <w:rFonts w:cs="Times New Roman"/>
        </w:rPr>
        <w:t>The submission</w:t>
      </w:r>
      <w:r w:rsidR="00616783" w:rsidRPr="00AD2F9B">
        <w:rPr>
          <w:rFonts w:cs="Times New Roman"/>
        </w:rPr>
        <w:t xml:space="preserve"> focuses on the role that financial institutions can play in preventing financial elder </w:t>
      </w:r>
      <w:r w:rsidR="006F41DC" w:rsidRPr="00AD2F9B">
        <w:rPr>
          <w:rFonts w:cs="Times New Roman"/>
        </w:rPr>
        <w:t>abuse at first instance</w:t>
      </w:r>
      <w:r w:rsidR="0061621A" w:rsidRPr="00AD2F9B">
        <w:rPr>
          <w:rFonts w:cs="Times New Roman"/>
        </w:rPr>
        <w:t>.</w:t>
      </w:r>
      <w:r w:rsidR="000905C3" w:rsidRPr="00AD2F9B">
        <w:rPr>
          <w:rFonts w:cs="Times New Roman"/>
        </w:rPr>
        <w:t xml:space="preserve"> </w:t>
      </w:r>
    </w:p>
    <w:p w:rsidR="007B2750" w:rsidRPr="00F626E5" w:rsidRDefault="007B2750" w:rsidP="007B2750">
      <w:pPr>
        <w:pStyle w:val="ListParagraph"/>
        <w:ind w:left="360"/>
        <w:rPr>
          <w:rFonts w:cs="Times New Roman"/>
        </w:rPr>
      </w:pPr>
    </w:p>
    <w:p w:rsidR="00971905" w:rsidRPr="00AD2F9B" w:rsidRDefault="00AD2F9B" w:rsidP="00AD2F9B">
      <w:pPr>
        <w:ind w:left="720" w:hanging="720"/>
        <w:rPr>
          <w:rFonts w:cs="Times New Roman"/>
        </w:rPr>
      </w:pPr>
      <w:r>
        <w:rPr>
          <w:rFonts w:cs="Times New Roman"/>
        </w:rPr>
        <w:t xml:space="preserve">1.2 </w:t>
      </w:r>
      <w:r>
        <w:rPr>
          <w:rFonts w:cs="Times New Roman"/>
        </w:rPr>
        <w:tab/>
      </w:r>
      <w:r w:rsidR="00AB5026" w:rsidRPr="00AD2F9B">
        <w:rPr>
          <w:rFonts w:cs="Times New Roman"/>
        </w:rPr>
        <w:t>We recognise that the current regulatory f</w:t>
      </w:r>
      <w:r w:rsidR="0058434B" w:rsidRPr="00AD2F9B">
        <w:rPr>
          <w:rFonts w:cs="Times New Roman"/>
        </w:rPr>
        <w:t>ramework operates ineffectively and</w:t>
      </w:r>
      <w:r w:rsidR="00971905" w:rsidRPr="00AD2F9B">
        <w:rPr>
          <w:rFonts w:cs="Times New Roman"/>
        </w:rPr>
        <w:t xml:space="preserve"> leaves</w:t>
      </w:r>
      <w:r w:rsidR="00AB5026" w:rsidRPr="00AD2F9B">
        <w:rPr>
          <w:rFonts w:cs="Times New Roman"/>
        </w:rPr>
        <w:t xml:space="preserve"> banks without sufficient incentive or protection to report financial elder abuse</w:t>
      </w:r>
      <w:r w:rsidR="008C4EDE">
        <w:rPr>
          <w:rFonts w:cs="Times New Roman"/>
        </w:rPr>
        <w:t>.</w:t>
      </w:r>
      <w:r w:rsidR="00573D2D" w:rsidRPr="00AD2F9B">
        <w:rPr>
          <w:rFonts w:cs="Times New Roman"/>
        </w:rPr>
        <w:t xml:space="preserve"> </w:t>
      </w:r>
      <w:r w:rsidR="0058434B" w:rsidRPr="00AD2F9B">
        <w:rPr>
          <w:rFonts w:cs="Times New Roman"/>
        </w:rPr>
        <w:t>W</w:t>
      </w:r>
      <w:r w:rsidR="009403D4" w:rsidRPr="00AD2F9B">
        <w:rPr>
          <w:rFonts w:cs="Times New Roman"/>
        </w:rPr>
        <w:t xml:space="preserve">hile recourse is available to victims, it is ineffective in light of the complexity of elder financial abuse and the general reluctance of victims to </w:t>
      </w:r>
      <w:r w:rsidR="00971905" w:rsidRPr="00F626E5">
        <w:t>pursue legal action against their abusers</w:t>
      </w:r>
      <w:r w:rsidR="00573D2D" w:rsidRPr="00F626E5">
        <w:t xml:space="preserve">. </w:t>
      </w:r>
    </w:p>
    <w:p w:rsidR="00971905" w:rsidRPr="00F626E5" w:rsidRDefault="00971905" w:rsidP="007A0E5A">
      <w:pPr>
        <w:rPr>
          <w:rFonts w:cs="Times New Roman"/>
        </w:rPr>
      </w:pPr>
    </w:p>
    <w:p w:rsidR="002977E2" w:rsidRPr="00AD2F9B" w:rsidRDefault="00AD2F9B" w:rsidP="00AD2F9B">
      <w:pPr>
        <w:ind w:left="720" w:hanging="720"/>
        <w:rPr>
          <w:rFonts w:cs="Times New Roman"/>
        </w:rPr>
      </w:pPr>
      <w:r>
        <w:rPr>
          <w:rFonts w:cs="Times New Roman"/>
        </w:rPr>
        <w:t xml:space="preserve">1.3 </w:t>
      </w:r>
      <w:r>
        <w:rPr>
          <w:rFonts w:cs="Times New Roman"/>
        </w:rPr>
        <w:tab/>
      </w:r>
      <w:r w:rsidR="00246BCD" w:rsidRPr="00AD2F9B">
        <w:rPr>
          <w:rFonts w:cs="Times New Roman"/>
        </w:rPr>
        <w:t xml:space="preserve">Due to these factors, we have adopted a preventative approach to reform. </w:t>
      </w:r>
      <w:r w:rsidR="00FA18E8" w:rsidRPr="00AD2F9B">
        <w:rPr>
          <w:rFonts w:cs="Times New Roman"/>
        </w:rPr>
        <w:t xml:space="preserve">We advocate for a reform package that combines the development of </w:t>
      </w:r>
      <w:r w:rsidR="002977E2" w:rsidRPr="00AD2F9B">
        <w:rPr>
          <w:rFonts w:cs="Times New Roman"/>
        </w:rPr>
        <w:t>both legislative and policy reform. The need for a multi-facet</w:t>
      </w:r>
      <w:r w:rsidR="00605D65">
        <w:rPr>
          <w:rFonts w:cs="Times New Roman"/>
        </w:rPr>
        <w:t>ed</w:t>
      </w:r>
      <w:r w:rsidR="002977E2" w:rsidRPr="00AD2F9B">
        <w:rPr>
          <w:rFonts w:cs="Times New Roman"/>
        </w:rPr>
        <w:t xml:space="preserve"> approach is emphasised in order to provide the utmost protection </w:t>
      </w:r>
      <w:r w:rsidR="00605D65">
        <w:rPr>
          <w:rFonts w:cs="Times New Roman"/>
        </w:rPr>
        <w:t>for the</w:t>
      </w:r>
      <w:r w:rsidR="002977E2" w:rsidRPr="00AD2F9B">
        <w:rPr>
          <w:rFonts w:cs="Times New Roman"/>
        </w:rPr>
        <w:t xml:space="preserve"> elderly people. </w:t>
      </w:r>
    </w:p>
    <w:p w:rsidR="002977E2" w:rsidRPr="00F626E5" w:rsidRDefault="002977E2" w:rsidP="002977E2">
      <w:pPr>
        <w:rPr>
          <w:rFonts w:cs="Times New Roman"/>
        </w:rPr>
      </w:pPr>
    </w:p>
    <w:p w:rsidR="001A7FDD" w:rsidRPr="00AD2F9B" w:rsidRDefault="00AD2F9B" w:rsidP="00AD2F9B">
      <w:pPr>
        <w:rPr>
          <w:rFonts w:cs="Times New Roman"/>
          <w:b/>
        </w:rPr>
      </w:pPr>
      <w:r>
        <w:rPr>
          <w:rFonts w:cs="Times New Roman"/>
          <w:b/>
        </w:rPr>
        <w:t xml:space="preserve">1.4 </w:t>
      </w:r>
      <w:r>
        <w:rPr>
          <w:rFonts w:cs="Times New Roman"/>
          <w:b/>
        </w:rPr>
        <w:tab/>
      </w:r>
      <w:r w:rsidR="002977E2" w:rsidRPr="00AD2F9B">
        <w:rPr>
          <w:rFonts w:cs="Times New Roman"/>
          <w:b/>
        </w:rPr>
        <w:t>Recommended Reforms:</w:t>
      </w:r>
    </w:p>
    <w:p w:rsidR="002977E2" w:rsidRPr="008643E7" w:rsidRDefault="002977E2" w:rsidP="00E72812">
      <w:pPr>
        <w:rPr>
          <w:rFonts w:cs="Times New Roman"/>
        </w:rPr>
      </w:pPr>
    </w:p>
    <w:p w:rsidR="002977E2" w:rsidRPr="008643E7" w:rsidRDefault="002977E2" w:rsidP="00E72812">
      <w:pPr>
        <w:pStyle w:val="ListParagraph"/>
        <w:numPr>
          <w:ilvl w:val="0"/>
          <w:numId w:val="8"/>
        </w:numPr>
        <w:rPr>
          <w:rFonts w:cs="Times New Roman"/>
        </w:rPr>
      </w:pPr>
      <w:r w:rsidRPr="008643E7">
        <w:rPr>
          <w:rFonts w:cs="Times New Roman"/>
        </w:rPr>
        <w:t>Mandatory Reporting Scheme</w:t>
      </w:r>
    </w:p>
    <w:p w:rsidR="002977E2" w:rsidRPr="008643E7" w:rsidRDefault="002977E2" w:rsidP="00E72812">
      <w:pPr>
        <w:pStyle w:val="ListParagraph"/>
        <w:numPr>
          <w:ilvl w:val="0"/>
          <w:numId w:val="8"/>
        </w:numPr>
        <w:rPr>
          <w:rFonts w:cs="Times New Roman"/>
        </w:rPr>
      </w:pPr>
      <w:r w:rsidRPr="008643E7">
        <w:rPr>
          <w:rFonts w:cs="Times New Roman"/>
        </w:rPr>
        <w:t>National Training Procedures</w:t>
      </w:r>
    </w:p>
    <w:p w:rsidR="002977E2" w:rsidRPr="008643E7" w:rsidRDefault="002977E2" w:rsidP="00E72812">
      <w:pPr>
        <w:pStyle w:val="ListParagraph"/>
        <w:numPr>
          <w:ilvl w:val="0"/>
          <w:numId w:val="8"/>
        </w:numPr>
        <w:rPr>
          <w:rFonts w:cs="Times New Roman"/>
        </w:rPr>
      </w:pPr>
      <w:r w:rsidRPr="008643E7">
        <w:rPr>
          <w:rFonts w:cs="Times New Roman"/>
        </w:rPr>
        <w:t xml:space="preserve">National </w:t>
      </w:r>
      <w:r w:rsidR="003C0697" w:rsidRPr="008643E7">
        <w:rPr>
          <w:rFonts w:cs="Times New Roman"/>
        </w:rPr>
        <w:t xml:space="preserve">Education and Awareness Program. </w:t>
      </w:r>
    </w:p>
    <w:p w:rsidR="00F626E5" w:rsidRPr="008643E7" w:rsidRDefault="00F626E5" w:rsidP="00E72812">
      <w:pPr>
        <w:rPr>
          <w:rFonts w:asciiTheme="majorHAnsi" w:eastAsiaTheme="majorEastAsia" w:hAnsiTheme="majorHAnsi" w:cstheme="majorBidi"/>
          <w:bCs/>
          <w:color w:val="345A8A" w:themeColor="accent1" w:themeShade="B5"/>
          <w:sz w:val="32"/>
          <w:szCs w:val="32"/>
        </w:rPr>
      </w:pPr>
      <w:r w:rsidRPr="008643E7">
        <w:br w:type="page"/>
      </w:r>
    </w:p>
    <w:p w:rsidR="00E9689A" w:rsidRPr="002A4198" w:rsidRDefault="002977E2" w:rsidP="00664DE9">
      <w:pPr>
        <w:pStyle w:val="Heading1"/>
      </w:pPr>
      <w:bookmarkStart w:id="1" w:name="_Toc328376986"/>
      <w:r>
        <w:lastRenderedPageBreak/>
        <w:t xml:space="preserve">2.0 </w:t>
      </w:r>
      <w:r w:rsidR="00E9693E">
        <w:tab/>
      </w:r>
      <w:r w:rsidR="00E9689A" w:rsidRPr="002A4198">
        <w:t>Scope of Submission</w:t>
      </w:r>
      <w:bookmarkEnd w:id="1"/>
    </w:p>
    <w:p w:rsidR="002977E2" w:rsidRDefault="002977E2" w:rsidP="002977E2">
      <w:pPr>
        <w:rPr>
          <w:sz w:val="22"/>
          <w:szCs w:val="22"/>
        </w:rPr>
      </w:pPr>
    </w:p>
    <w:p w:rsidR="008B15D8" w:rsidRPr="00F626E5" w:rsidRDefault="003A60AC" w:rsidP="003A60AC">
      <w:pPr>
        <w:ind w:left="720" w:hanging="720"/>
      </w:pPr>
      <w:r>
        <w:t xml:space="preserve">2.1 </w:t>
      </w:r>
      <w:r>
        <w:tab/>
      </w:r>
      <w:r w:rsidR="002977E2" w:rsidRPr="00F626E5">
        <w:t xml:space="preserve">This submission focuses on the expectations that should be placed on financial institutions to ensure their customer’s transactions are free from abuse. Financial institutions have the ability to act as </w:t>
      </w:r>
      <w:r w:rsidR="002977E2" w:rsidRPr="003A60AC">
        <w:rPr>
          <w:rFonts w:cs="Times New Roman"/>
        </w:rPr>
        <w:t xml:space="preserve">a </w:t>
      </w:r>
      <w:r w:rsidR="00494906" w:rsidRPr="003A60AC">
        <w:rPr>
          <w:rFonts w:cs="Times New Roman"/>
        </w:rPr>
        <w:t xml:space="preserve">first line of defence by identifying the abuse at the </w:t>
      </w:r>
      <w:r w:rsidR="002977E2" w:rsidRPr="003A60AC">
        <w:rPr>
          <w:rFonts w:cs="Times New Roman"/>
        </w:rPr>
        <w:t xml:space="preserve">outset. Preliminary identification of financial abuse allows for intervention </w:t>
      </w:r>
      <w:r w:rsidR="00494906" w:rsidRPr="003A60AC">
        <w:rPr>
          <w:rFonts w:cs="Times New Roman"/>
        </w:rPr>
        <w:t>before the elder person’s assets have dissipated.</w:t>
      </w:r>
      <w:r w:rsidR="00494906" w:rsidRPr="00F626E5">
        <w:rPr>
          <w:rStyle w:val="FootnoteReference"/>
          <w:rFonts w:cs="Times New Roman"/>
        </w:rPr>
        <w:footnoteReference w:id="1"/>
      </w:r>
      <w:r w:rsidR="00494906" w:rsidRPr="003A60AC">
        <w:rPr>
          <w:rFonts w:cs="Times New Roman"/>
        </w:rPr>
        <w:t xml:space="preserve"> </w:t>
      </w:r>
    </w:p>
    <w:p w:rsidR="008B15D8" w:rsidRPr="00F626E5" w:rsidRDefault="008B15D8" w:rsidP="008B15D8">
      <w:pPr>
        <w:pStyle w:val="ListParagraph"/>
        <w:ind w:left="360"/>
      </w:pPr>
    </w:p>
    <w:p w:rsidR="00494906" w:rsidRPr="00F626E5" w:rsidRDefault="003A60AC" w:rsidP="003A60AC">
      <w:pPr>
        <w:ind w:left="720" w:hanging="720"/>
      </w:pPr>
      <w:r>
        <w:rPr>
          <w:rFonts w:cs="Times New Roman"/>
        </w:rPr>
        <w:t xml:space="preserve">2.2 </w:t>
      </w:r>
      <w:r>
        <w:rPr>
          <w:rFonts w:cs="Times New Roman"/>
        </w:rPr>
        <w:tab/>
      </w:r>
      <w:r w:rsidR="008B15D8" w:rsidRPr="003A60AC">
        <w:rPr>
          <w:rFonts w:cs="Times New Roman"/>
        </w:rPr>
        <w:t xml:space="preserve">Banks </w:t>
      </w:r>
      <w:r w:rsidR="00494906" w:rsidRPr="003A60AC">
        <w:rPr>
          <w:rFonts w:cs="Times New Roman"/>
        </w:rPr>
        <w:t>have the capacity to identify a number of behaviours that indicate financial abuse such as unusual volumes of banking activity, inconsistent banking practices, sudden increases in debt, or withdrawals by a third party that do not have an apparent benefit to the elderly person.</w:t>
      </w:r>
      <w:r w:rsidR="00494906" w:rsidRPr="00F626E5">
        <w:rPr>
          <w:rStyle w:val="FootnoteReference"/>
          <w:rFonts w:cs="Times New Roman"/>
        </w:rPr>
        <w:footnoteReference w:id="2"/>
      </w:r>
      <w:r w:rsidR="008B15D8" w:rsidRPr="003A60AC">
        <w:rPr>
          <w:rFonts w:cs="Times New Roman"/>
        </w:rPr>
        <w:t xml:space="preserve"> </w:t>
      </w:r>
      <w:r w:rsidR="00494906" w:rsidRPr="003A60AC">
        <w:rPr>
          <w:rFonts w:cs="Times New Roman"/>
        </w:rPr>
        <w:t>Most cases of financial abuse involve the abuse of bank accounts, which can only occur with the cooperation of financial institutions.</w:t>
      </w:r>
      <w:r w:rsidR="00494906" w:rsidRPr="00F626E5">
        <w:rPr>
          <w:rStyle w:val="FootnoteReference"/>
          <w:rFonts w:cs="Times New Roman"/>
        </w:rPr>
        <w:footnoteReference w:id="3"/>
      </w:r>
    </w:p>
    <w:p w:rsidR="001801B6" w:rsidRPr="00F626E5" w:rsidRDefault="001801B6" w:rsidP="002977E2"/>
    <w:p w:rsidR="00C74A80" w:rsidRDefault="003074B1" w:rsidP="003074B1">
      <w:pPr>
        <w:ind w:left="720" w:hanging="720"/>
      </w:pPr>
      <w:r>
        <w:t xml:space="preserve">2.3 </w:t>
      </w:r>
      <w:r>
        <w:tab/>
      </w:r>
      <w:r w:rsidR="00A13F74" w:rsidRPr="00F626E5">
        <w:t xml:space="preserve">This submission </w:t>
      </w:r>
      <w:r w:rsidR="004145B2" w:rsidRPr="00F626E5">
        <w:t>outlines</w:t>
      </w:r>
      <w:r w:rsidR="005A3AC1" w:rsidRPr="00F626E5">
        <w:t xml:space="preserve"> the </w:t>
      </w:r>
      <w:r w:rsidR="00124129" w:rsidRPr="00F626E5">
        <w:t xml:space="preserve">current legal framework </w:t>
      </w:r>
      <w:r w:rsidR="004145B2" w:rsidRPr="00F626E5">
        <w:t>surrounding</w:t>
      </w:r>
      <w:r w:rsidR="00124129" w:rsidRPr="00F626E5">
        <w:t xml:space="preserve"> financial elder abuse, especially in regards to the potential liability of </w:t>
      </w:r>
      <w:r w:rsidR="002977E2" w:rsidRPr="00F626E5">
        <w:t xml:space="preserve">financial institutions. Following an analysis of the current liability framework, a combination of legislative and policy reforms are recommended. </w:t>
      </w:r>
    </w:p>
    <w:p w:rsidR="00622372" w:rsidRPr="00F626E5" w:rsidRDefault="00622372" w:rsidP="00622372"/>
    <w:p w:rsidR="00C74A80" w:rsidRPr="00F626E5" w:rsidRDefault="003074B1" w:rsidP="003074B1">
      <w:pPr>
        <w:ind w:left="720" w:hanging="720"/>
      </w:pPr>
      <w:r>
        <w:t>2.4</w:t>
      </w:r>
      <w:r>
        <w:tab/>
      </w:r>
      <w:r w:rsidR="00C74A80" w:rsidRPr="00F626E5">
        <w:t xml:space="preserve">In doing so, we have </w:t>
      </w:r>
      <w:r w:rsidR="001D3796" w:rsidRPr="00F626E5">
        <w:t xml:space="preserve">frequently </w:t>
      </w:r>
      <w:r w:rsidR="005144B8" w:rsidRPr="00F626E5">
        <w:t xml:space="preserve">referred to </w:t>
      </w:r>
      <w:r w:rsidR="00E729A1" w:rsidRPr="00F626E5">
        <w:t xml:space="preserve">the reports identified in the </w:t>
      </w:r>
      <w:r w:rsidR="008451F6" w:rsidRPr="00F626E5">
        <w:t>Attorney General</w:t>
      </w:r>
      <w:r w:rsidR="00E729A1" w:rsidRPr="00F626E5">
        <w:t xml:space="preserve">’s Terms of </w:t>
      </w:r>
      <w:proofErr w:type="gramStart"/>
      <w:r w:rsidR="00E729A1" w:rsidRPr="00F626E5">
        <w:t>Reference</w:t>
      </w:r>
      <w:r w:rsidR="00E45BF1" w:rsidRPr="00F626E5">
        <w:t>,</w:t>
      </w:r>
      <w:proofErr w:type="gramEnd"/>
      <w:r w:rsidR="00E729A1" w:rsidRPr="00F626E5">
        <w:t xml:space="preserve"> </w:t>
      </w:r>
      <w:r w:rsidR="00237916" w:rsidRPr="00F626E5">
        <w:t xml:space="preserve">however we have also had recourse to a diverse range of other </w:t>
      </w:r>
      <w:r w:rsidR="008451F6" w:rsidRPr="00F626E5">
        <w:t>materials</w:t>
      </w:r>
      <w:r w:rsidR="0060151A" w:rsidRPr="00F626E5">
        <w:t>.</w:t>
      </w:r>
      <w:r w:rsidR="00292E02" w:rsidRPr="00F626E5">
        <w:t xml:space="preserve"> </w:t>
      </w:r>
    </w:p>
    <w:p w:rsidR="00F626E5" w:rsidRDefault="00F626E5">
      <w:pPr>
        <w:rPr>
          <w:rFonts w:asciiTheme="majorHAnsi" w:eastAsiaTheme="majorEastAsia" w:hAnsiTheme="majorHAnsi" w:cstheme="majorBidi"/>
          <w:b/>
          <w:bCs/>
          <w:color w:val="345A8A" w:themeColor="accent1" w:themeShade="B5"/>
          <w:sz w:val="32"/>
          <w:szCs w:val="32"/>
        </w:rPr>
      </w:pPr>
      <w:r>
        <w:br w:type="page"/>
      </w:r>
    </w:p>
    <w:p w:rsidR="00594A5C" w:rsidRPr="002A4198" w:rsidRDefault="002977E2" w:rsidP="00594A5C">
      <w:pPr>
        <w:pStyle w:val="Heading1"/>
      </w:pPr>
      <w:bookmarkStart w:id="2" w:name="_Toc328376987"/>
      <w:r>
        <w:lastRenderedPageBreak/>
        <w:t xml:space="preserve">3.0 </w:t>
      </w:r>
      <w:r w:rsidR="00D53087">
        <w:tab/>
      </w:r>
      <w:r w:rsidR="00594A5C" w:rsidRPr="002A4198">
        <w:t>Definitional Limitations</w:t>
      </w:r>
      <w:bookmarkEnd w:id="2"/>
    </w:p>
    <w:p w:rsidR="00494906" w:rsidRPr="002A4198" w:rsidRDefault="00494906" w:rsidP="00494906">
      <w:pPr>
        <w:rPr>
          <w:sz w:val="22"/>
          <w:szCs w:val="22"/>
        </w:rPr>
      </w:pPr>
    </w:p>
    <w:p w:rsidR="001272A7" w:rsidRPr="00F626E5" w:rsidRDefault="003074B1" w:rsidP="003074B1">
      <w:pPr>
        <w:ind w:left="720" w:hanging="720"/>
      </w:pPr>
      <w:r>
        <w:rPr>
          <w:rFonts w:cs="Times New Roman"/>
        </w:rPr>
        <w:t xml:space="preserve">3.1 </w:t>
      </w:r>
      <w:r>
        <w:rPr>
          <w:rFonts w:cs="Times New Roman"/>
        </w:rPr>
        <w:tab/>
      </w:r>
      <w:r w:rsidR="003924E3" w:rsidRPr="003074B1">
        <w:rPr>
          <w:rFonts w:cs="Times New Roman"/>
        </w:rPr>
        <w:t>The prevalence of elder abuse can appear varied based on the interpretation given to</w:t>
      </w:r>
      <w:r w:rsidR="008A248F">
        <w:rPr>
          <w:rFonts w:cs="Times New Roman"/>
        </w:rPr>
        <w:t xml:space="preserve"> the</w:t>
      </w:r>
      <w:r w:rsidR="003924E3" w:rsidRPr="003074B1">
        <w:rPr>
          <w:rFonts w:cs="Times New Roman"/>
        </w:rPr>
        <w:t xml:space="preserve"> terms </w:t>
      </w:r>
      <w:r w:rsidR="00B62DB2" w:rsidRPr="003074B1">
        <w:rPr>
          <w:rFonts w:cs="Times New Roman"/>
        </w:rPr>
        <w:t>‘elder’ and ‘abuse.</w:t>
      </w:r>
      <w:r w:rsidR="00067384" w:rsidRPr="003074B1">
        <w:rPr>
          <w:rFonts w:cs="Times New Roman"/>
        </w:rPr>
        <w:t>’</w:t>
      </w:r>
      <w:r w:rsidR="00141D23" w:rsidRPr="00F626E5">
        <w:rPr>
          <w:rStyle w:val="FootnoteReference"/>
          <w:rFonts w:cs="Times New Roman"/>
        </w:rPr>
        <w:footnoteReference w:id="4"/>
      </w:r>
      <w:r w:rsidR="00067384" w:rsidRPr="003074B1">
        <w:rPr>
          <w:rFonts w:cs="Times New Roman"/>
        </w:rPr>
        <w:t xml:space="preserve">  </w:t>
      </w:r>
      <w:r w:rsidR="00107491" w:rsidRPr="003074B1">
        <w:rPr>
          <w:rFonts w:cs="Times New Roman"/>
        </w:rPr>
        <w:t>Most research qualifies individuals either 60 or 65 years and over as elderly</w:t>
      </w:r>
      <w:r w:rsidR="0088637B" w:rsidRPr="003074B1">
        <w:rPr>
          <w:rFonts w:cs="Times New Roman"/>
        </w:rPr>
        <w:t xml:space="preserve">, though </w:t>
      </w:r>
      <w:r w:rsidR="00107491" w:rsidRPr="003074B1">
        <w:rPr>
          <w:rFonts w:cs="Times New Roman"/>
        </w:rPr>
        <w:t>individual differences exist in terms of aging and subsequent vulnerability.</w:t>
      </w:r>
      <w:r w:rsidR="00107491" w:rsidRPr="00F626E5">
        <w:rPr>
          <w:rStyle w:val="FootnoteReference"/>
          <w:rFonts w:cs="Times New Roman"/>
        </w:rPr>
        <w:footnoteReference w:id="5"/>
      </w:r>
      <w:r w:rsidR="00107491" w:rsidRPr="003074B1">
        <w:rPr>
          <w:rFonts w:cs="Times New Roman"/>
        </w:rPr>
        <w:t xml:space="preserve"> </w:t>
      </w:r>
      <w:r w:rsidR="00482A91">
        <w:rPr>
          <w:rFonts w:cs="Times New Roman"/>
        </w:rPr>
        <w:t>The</w:t>
      </w:r>
      <w:r w:rsidR="007E080A" w:rsidRPr="003074B1">
        <w:rPr>
          <w:rFonts w:cs="Times New Roman"/>
        </w:rPr>
        <w:t xml:space="preserve"> most </w:t>
      </w:r>
      <w:r w:rsidR="001272A7" w:rsidRPr="003074B1">
        <w:rPr>
          <w:rFonts w:cs="Times New Roman"/>
        </w:rPr>
        <w:t>common definition is a person over 60-65 years of age.</w:t>
      </w:r>
      <w:r w:rsidR="00F637AA" w:rsidRPr="00F626E5">
        <w:rPr>
          <w:rStyle w:val="FootnoteReference"/>
          <w:rFonts w:cs="Times New Roman"/>
        </w:rPr>
        <w:footnoteReference w:id="6"/>
      </w:r>
      <w:r w:rsidR="001272A7" w:rsidRPr="003074B1">
        <w:rPr>
          <w:rFonts w:cs="Times New Roman"/>
        </w:rPr>
        <w:t xml:space="preserve"> </w:t>
      </w:r>
    </w:p>
    <w:p w:rsidR="007E080A" w:rsidRPr="003A3A61" w:rsidRDefault="007E080A" w:rsidP="003A3A61">
      <w:pPr>
        <w:rPr>
          <w:rFonts w:cs="Times New Roman"/>
        </w:rPr>
      </w:pPr>
    </w:p>
    <w:p w:rsidR="00504272" w:rsidRPr="00F626E5" w:rsidRDefault="003A3A61" w:rsidP="003074B1">
      <w:pPr>
        <w:ind w:left="720" w:hanging="720"/>
      </w:pPr>
      <w:r>
        <w:rPr>
          <w:rFonts w:cs="Times New Roman"/>
        </w:rPr>
        <w:t>3.2</w:t>
      </w:r>
      <w:r w:rsidR="003074B1">
        <w:rPr>
          <w:rFonts w:cs="Times New Roman"/>
        </w:rPr>
        <w:tab/>
      </w:r>
      <w:r w:rsidR="00CB25CD" w:rsidRPr="003074B1">
        <w:rPr>
          <w:rFonts w:cs="Times New Roman"/>
        </w:rPr>
        <w:t>The World Health Organisation</w:t>
      </w:r>
      <w:r w:rsidR="003924E3" w:rsidRPr="003074B1">
        <w:rPr>
          <w:rFonts w:cs="Times New Roman"/>
        </w:rPr>
        <w:t xml:space="preserve"> (WHO</w:t>
      </w:r>
      <w:r w:rsidR="006F5757">
        <w:rPr>
          <w:rFonts w:cs="Times New Roman"/>
        </w:rPr>
        <w:t>)</w:t>
      </w:r>
      <w:r w:rsidR="00CB25CD" w:rsidRPr="003074B1">
        <w:rPr>
          <w:rFonts w:cs="Times New Roman"/>
        </w:rPr>
        <w:t xml:space="preserve"> defines </w:t>
      </w:r>
      <w:r w:rsidR="00A5078A" w:rsidRPr="003074B1">
        <w:rPr>
          <w:rFonts w:cs="Times New Roman"/>
        </w:rPr>
        <w:t>‘</w:t>
      </w:r>
      <w:r w:rsidR="00CB25CD" w:rsidRPr="003074B1">
        <w:rPr>
          <w:rFonts w:cs="Times New Roman"/>
        </w:rPr>
        <w:t>e</w:t>
      </w:r>
      <w:r w:rsidR="00141D23" w:rsidRPr="003074B1">
        <w:rPr>
          <w:rFonts w:cs="Times New Roman"/>
        </w:rPr>
        <w:t>lder abuse</w:t>
      </w:r>
      <w:r w:rsidR="00A5078A" w:rsidRPr="003074B1">
        <w:rPr>
          <w:rFonts w:cs="Times New Roman"/>
        </w:rPr>
        <w:t>’</w:t>
      </w:r>
      <w:r w:rsidR="00141D23" w:rsidRPr="003074B1">
        <w:rPr>
          <w:rFonts w:cs="Times New Roman"/>
        </w:rPr>
        <w:t xml:space="preserve"> </w:t>
      </w:r>
      <w:r w:rsidR="00A5078A" w:rsidRPr="003074B1">
        <w:rPr>
          <w:rFonts w:cs="Times New Roman"/>
        </w:rPr>
        <w:t>as</w:t>
      </w:r>
      <w:r w:rsidR="00C36C92">
        <w:rPr>
          <w:rFonts w:cs="Times New Roman"/>
        </w:rPr>
        <w:t xml:space="preserve"> an</w:t>
      </w:r>
      <w:r w:rsidR="00B62DB2" w:rsidRPr="003074B1">
        <w:rPr>
          <w:rFonts w:cs="Times New Roman"/>
        </w:rPr>
        <w:t xml:space="preserve"> act, or lack of appropriate action, by a person in whom an older person has placed an expectation of trust </w:t>
      </w:r>
      <w:r w:rsidR="00E971B7" w:rsidRPr="003074B1">
        <w:rPr>
          <w:rFonts w:cs="Times New Roman"/>
        </w:rPr>
        <w:t>that</w:t>
      </w:r>
      <w:r w:rsidR="00B62DB2" w:rsidRPr="003074B1">
        <w:rPr>
          <w:rFonts w:cs="Times New Roman"/>
        </w:rPr>
        <w:t xml:space="preserve"> causes them distress.</w:t>
      </w:r>
      <w:r w:rsidR="001A737A" w:rsidRPr="00F626E5">
        <w:rPr>
          <w:rStyle w:val="FootnoteReference"/>
          <w:rFonts w:cs="Times New Roman"/>
        </w:rPr>
        <w:footnoteReference w:id="7"/>
      </w:r>
      <w:r w:rsidR="001A737A" w:rsidRPr="003074B1">
        <w:rPr>
          <w:rFonts w:cs="Times New Roman"/>
        </w:rPr>
        <w:t xml:space="preserve"> </w:t>
      </w:r>
      <w:r w:rsidR="00504272" w:rsidRPr="003074B1">
        <w:rPr>
          <w:rFonts w:cs="Times New Roman"/>
        </w:rPr>
        <w:t>They recognise financial abuse as the illegal or improper exploitation or use of funds or resources that belong to an older person.</w:t>
      </w:r>
      <w:r w:rsidR="00C3531E" w:rsidRPr="00F626E5">
        <w:rPr>
          <w:rStyle w:val="FootnoteReference"/>
          <w:rFonts w:cs="Times New Roman"/>
        </w:rPr>
        <w:footnoteReference w:id="8"/>
      </w:r>
    </w:p>
    <w:p w:rsidR="00370F94" w:rsidRPr="00F626E5" w:rsidRDefault="00370F94" w:rsidP="00370F94">
      <w:pPr>
        <w:pStyle w:val="ListParagraph"/>
        <w:ind w:left="360"/>
      </w:pPr>
    </w:p>
    <w:p w:rsidR="00B87241" w:rsidRPr="00F626E5" w:rsidRDefault="003A3A61" w:rsidP="003074B1">
      <w:pPr>
        <w:ind w:left="720" w:hanging="720"/>
      </w:pPr>
      <w:r>
        <w:t>3.3</w:t>
      </w:r>
      <w:r w:rsidR="003074B1">
        <w:t xml:space="preserve"> </w:t>
      </w:r>
      <w:r w:rsidR="003074B1">
        <w:tab/>
      </w:r>
      <w:r w:rsidR="003924E3" w:rsidRPr="00F626E5">
        <w:t>The WHO</w:t>
      </w:r>
      <w:r w:rsidR="00E47B0E" w:rsidRPr="00F626E5">
        <w:t xml:space="preserve"> </w:t>
      </w:r>
      <w:r w:rsidR="003924E3" w:rsidRPr="00F626E5">
        <w:t>definition presents a challenge</w:t>
      </w:r>
      <w:r w:rsidR="008B39EC" w:rsidRPr="00F626E5">
        <w:t xml:space="preserve"> </w:t>
      </w:r>
      <w:r w:rsidR="00B87241" w:rsidRPr="00F626E5">
        <w:t xml:space="preserve">in separating legitimate financial elder abuse from decisions that, while unwise, </w:t>
      </w:r>
      <w:r w:rsidR="001665AB" w:rsidRPr="003074B1">
        <w:rPr>
          <w:rFonts w:cs="Times New Roman"/>
        </w:rPr>
        <w:t>are legitimate decisions that instead simply amount to poor financial management rather than a calculated and deliberate attempt to misappropriate the funds.</w:t>
      </w:r>
      <w:r w:rsidR="001665AB" w:rsidRPr="00F626E5">
        <w:rPr>
          <w:rStyle w:val="FootnoteReference"/>
          <w:rFonts w:cs="Times New Roman"/>
        </w:rPr>
        <w:footnoteReference w:id="9"/>
      </w:r>
      <w:r w:rsidR="006D586C" w:rsidRPr="003074B1">
        <w:rPr>
          <w:rFonts w:cs="Times New Roman"/>
        </w:rPr>
        <w:t xml:space="preserve"> </w:t>
      </w:r>
    </w:p>
    <w:p w:rsidR="00B87241" w:rsidRPr="00F626E5" w:rsidRDefault="00B87241" w:rsidP="00B87241">
      <w:pPr>
        <w:pStyle w:val="ListParagraph"/>
        <w:ind w:left="360"/>
      </w:pPr>
    </w:p>
    <w:p w:rsidR="001665AB" w:rsidRPr="00F626E5" w:rsidRDefault="003A3A61" w:rsidP="003074B1">
      <w:pPr>
        <w:ind w:left="720" w:hanging="720"/>
      </w:pPr>
      <w:r>
        <w:rPr>
          <w:rFonts w:cs="Times New Roman"/>
        </w:rPr>
        <w:t>3.4</w:t>
      </w:r>
      <w:r w:rsidR="003074B1">
        <w:rPr>
          <w:rFonts w:cs="Times New Roman"/>
        </w:rPr>
        <w:tab/>
      </w:r>
      <w:r w:rsidR="003924E3" w:rsidRPr="003074B1">
        <w:rPr>
          <w:rFonts w:cs="Times New Roman"/>
        </w:rPr>
        <w:t xml:space="preserve">A number of factors such as generational, attitudinal and cultural differences </w:t>
      </w:r>
      <w:r w:rsidR="003E79F0">
        <w:rPr>
          <w:rFonts w:cs="Times New Roman"/>
        </w:rPr>
        <w:t>affect</w:t>
      </w:r>
      <w:r w:rsidR="003924E3" w:rsidRPr="003074B1">
        <w:rPr>
          <w:rFonts w:cs="Times New Roman"/>
        </w:rPr>
        <w:t xml:space="preserve"> the perception of financial abuse in a familial context</w:t>
      </w:r>
      <w:r w:rsidR="00B87241" w:rsidRPr="003074B1">
        <w:rPr>
          <w:rFonts w:cs="Times New Roman"/>
        </w:rPr>
        <w:t>.</w:t>
      </w:r>
      <w:r w:rsidR="00B87241" w:rsidRPr="00F626E5">
        <w:rPr>
          <w:rStyle w:val="FootnoteReference"/>
          <w:rFonts w:cs="Times New Roman"/>
        </w:rPr>
        <w:footnoteReference w:id="10"/>
      </w:r>
      <w:r w:rsidR="00BA6A1E" w:rsidRPr="003074B1">
        <w:rPr>
          <w:rFonts w:cs="Times New Roman"/>
        </w:rPr>
        <w:t xml:space="preserve"> F</w:t>
      </w:r>
      <w:r w:rsidR="009E2072" w:rsidRPr="003074B1">
        <w:rPr>
          <w:rFonts w:cs="Times New Roman"/>
        </w:rPr>
        <w:t xml:space="preserve">amily members may believe they are entitled to funds they are improperly using, often viewing their behaviour as advancing what they will inherit, or </w:t>
      </w:r>
      <w:r w:rsidR="003924E3" w:rsidRPr="003074B1">
        <w:rPr>
          <w:rFonts w:cs="Times New Roman"/>
        </w:rPr>
        <w:t xml:space="preserve">assuming </w:t>
      </w:r>
      <w:r w:rsidR="009E2072" w:rsidRPr="003074B1">
        <w:rPr>
          <w:rFonts w:cs="Times New Roman"/>
        </w:rPr>
        <w:t>elderly relatives do not need the money.</w:t>
      </w:r>
      <w:r w:rsidR="009E2072" w:rsidRPr="00F626E5">
        <w:rPr>
          <w:rStyle w:val="FootnoteReference"/>
          <w:rFonts w:cs="Times New Roman"/>
        </w:rPr>
        <w:footnoteReference w:id="11"/>
      </w:r>
      <w:r w:rsidR="009E2072" w:rsidRPr="003074B1">
        <w:rPr>
          <w:rFonts w:cs="Times New Roman"/>
        </w:rPr>
        <w:t xml:space="preserve"> </w:t>
      </w:r>
    </w:p>
    <w:p w:rsidR="00302E64" w:rsidRPr="00F626E5" w:rsidRDefault="00302E64" w:rsidP="00302E64">
      <w:pPr>
        <w:pStyle w:val="ListParagraph"/>
        <w:ind w:left="360"/>
      </w:pPr>
    </w:p>
    <w:p w:rsidR="002876C1" w:rsidRPr="002A1094" w:rsidRDefault="003A3A61" w:rsidP="002A1094">
      <w:pPr>
        <w:ind w:left="720" w:hanging="720"/>
        <w:rPr>
          <w:rFonts w:cs="Times New Roman"/>
        </w:rPr>
      </w:pPr>
      <w:r>
        <w:rPr>
          <w:rFonts w:cs="Times New Roman"/>
        </w:rPr>
        <w:t>3.5</w:t>
      </w:r>
      <w:r w:rsidR="002A1094">
        <w:rPr>
          <w:rFonts w:cs="Times New Roman"/>
        </w:rPr>
        <w:t xml:space="preserve"> </w:t>
      </w:r>
      <w:r w:rsidR="002A1094">
        <w:rPr>
          <w:rFonts w:cs="Times New Roman"/>
        </w:rPr>
        <w:tab/>
      </w:r>
      <w:r w:rsidR="002876C1" w:rsidRPr="002A1094">
        <w:rPr>
          <w:rFonts w:cs="Times New Roman"/>
        </w:rPr>
        <w:t>The Banking and</w:t>
      </w:r>
      <w:r w:rsidR="006F5757">
        <w:rPr>
          <w:rFonts w:cs="Times New Roman"/>
        </w:rPr>
        <w:t xml:space="preserve"> Financial Services Ombudsman (BFSO</w:t>
      </w:r>
      <w:r w:rsidR="002876C1" w:rsidRPr="002A1094">
        <w:rPr>
          <w:rFonts w:cs="Times New Roman"/>
        </w:rPr>
        <w:t>) made an extensive list of possible examples of financial exploitation that occur among the elderly population, amounting to financial elder abuse.</w:t>
      </w:r>
      <w:r w:rsidR="002876C1" w:rsidRPr="00F626E5">
        <w:rPr>
          <w:rStyle w:val="FootnoteReference"/>
          <w:rFonts w:cs="Times New Roman"/>
        </w:rPr>
        <w:footnoteReference w:id="12"/>
      </w:r>
      <w:r w:rsidR="002876C1" w:rsidRPr="002A1094">
        <w:rPr>
          <w:rFonts w:cs="Times New Roman"/>
        </w:rPr>
        <w:t xml:space="preserve"> </w:t>
      </w:r>
      <w:r w:rsidR="00BA0FEB" w:rsidRPr="002A1094">
        <w:rPr>
          <w:rFonts w:cs="Times New Roman"/>
        </w:rPr>
        <w:t>These include</w:t>
      </w:r>
      <w:r w:rsidR="002876C1" w:rsidRPr="002A1094">
        <w:rPr>
          <w:rFonts w:cs="Times New Roman"/>
        </w:rPr>
        <w:t>:</w:t>
      </w:r>
    </w:p>
    <w:p w:rsidR="006B4294" w:rsidRPr="00F626E5" w:rsidRDefault="006B4294" w:rsidP="002928FC">
      <w:pPr>
        <w:pStyle w:val="ListParagraph"/>
        <w:ind w:left="360"/>
        <w:rPr>
          <w:rFonts w:cs="Times New Roman"/>
        </w:rPr>
      </w:pPr>
    </w:p>
    <w:p w:rsidR="002876C1" w:rsidRPr="00F626E5" w:rsidRDefault="002876C1" w:rsidP="00D20D9C">
      <w:pPr>
        <w:pStyle w:val="ListParagraph"/>
        <w:numPr>
          <w:ilvl w:val="0"/>
          <w:numId w:val="2"/>
        </w:numPr>
        <w:autoSpaceDE w:val="0"/>
        <w:autoSpaceDN w:val="0"/>
        <w:adjustRightInd w:val="0"/>
        <w:rPr>
          <w:rFonts w:cs="Times New Roman"/>
        </w:rPr>
      </w:pPr>
      <w:r w:rsidRPr="00F626E5">
        <w:rPr>
          <w:rFonts w:cs="Times New Roman"/>
        </w:rPr>
        <w:t>Forging or forcing an older person’s signature or misleading them about what they are signing, including blank withdrawal forms;</w:t>
      </w:r>
    </w:p>
    <w:p w:rsidR="002876C1" w:rsidRPr="00F626E5" w:rsidRDefault="002876C1" w:rsidP="00D20D9C">
      <w:pPr>
        <w:pStyle w:val="ListParagraph"/>
        <w:numPr>
          <w:ilvl w:val="0"/>
          <w:numId w:val="2"/>
        </w:numPr>
        <w:autoSpaceDE w:val="0"/>
        <w:autoSpaceDN w:val="0"/>
        <w:adjustRightInd w:val="0"/>
        <w:rPr>
          <w:rFonts w:cs="Times New Roman"/>
        </w:rPr>
      </w:pPr>
      <w:r w:rsidRPr="00F626E5">
        <w:rPr>
          <w:rFonts w:cs="Times New Roman"/>
        </w:rPr>
        <w:t>Cashing an older person’s cheque without permission or authorisation or withholding portions of the cheque funds;</w:t>
      </w:r>
    </w:p>
    <w:p w:rsidR="002876C1" w:rsidRPr="00F626E5" w:rsidRDefault="002876C1" w:rsidP="00D20D9C">
      <w:pPr>
        <w:pStyle w:val="ListParagraph"/>
        <w:numPr>
          <w:ilvl w:val="0"/>
          <w:numId w:val="2"/>
        </w:numPr>
        <w:autoSpaceDE w:val="0"/>
        <w:autoSpaceDN w:val="0"/>
        <w:adjustRightInd w:val="0"/>
        <w:rPr>
          <w:rFonts w:cs="Times New Roman"/>
        </w:rPr>
      </w:pPr>
      <w:r w:rsidRPr="00F626E5">
        <w:rPr>
          <w:rFonts w:cs="Times New Roman"/>
        </w:rPr>
        <w:t>Getting an older person to sign a will, deed, contract or power of attorney through deception, coercion or undue influence;</w:t>
      </w:r>
    </w:p>
    <w:p w:rsidR="002876C1" w:rsidRPr="00F626E5" w:rsidRDefault="002876C1" w:rsidP="00D20D9C">
      <w:pPr>
        <w:pStyle w:val="ListParagraph"/>
        <w:numPr>
          <w:ilvl w:val="0"/>
          <w:numId w:val="2"/>
        </w:numPr>
        <w:autoSpaceDE w:val="0"/>
        <w:autoSpaceDN w:val="0"/>
        <w:adjustRightInd w:val="0"/>
        <w:rPr>
          <w:rFonts w:cs="Times New Roman"/>
        </w:rPr>
      </w:pPr>
      <w:r w:rsidRPr="00F626E5">
        <w:rPr>
          <w:rFonts w:cs="Times New Roman"/>
        </w:rPr>
        <w:t>Using a Power of Attorney in a way contrary to the interests of the donor or for direct personal gain;</w:t>
      </w:r>
    </w:p>
    <w:p w:rsidR="002876C1" w:rsidRPr="00F626E5" w:rsidRDefault="002876C1" w:rsidP="00D20D9C">
      <w:pPr>
        <w:pStyle w:val="ListParagraph"/>
        <w:numPr>
          <w:ilvl w:val="0"/>
          <w:numId w:val="2"/>
        </w:numPr>
        <w:autoSpaceDE w:val="0"/>
        <w:autoSpaceDN w:val="0"/>
        <w:adjustRightInd w:val="0"/>
        <w:rPr>
          <w:rFonts w:cs="Times New Roman"/>
        </w:rPr>
      </w:pPr>
      <w:r w:rsidRPr="00F626E5">
        <w:rPr>
          <w:rFonts w:cs="Times New Roman"/>
        </w:rPr>
        <w:lastRenderedPageBreak/>
        <w:t>Pressuring an older person to take out a loan or a product which is not for their benefit – for example a shared equity loan or a reverse mortgage to pay for a relative’s debts or expenses;</w:t>
      </w:r>
    </w:p>
    <w:p w:rsidR="00BB3F15" w:rsidRPr="00F626E5" w:rsidRDefault="002876C1" w:rsidP="00D20D9C">
      <w:pPr>
        <w:pStyle w:val="ListParagraph"/>
        <w:numPr>
          <w:ilvl w:val="0"/>
          <w:numId w:val="2"/>
        </w:numPr>
        <w:autoSpaceDE w:val="0"/>
        <w:autoSpaceDN w:val="0"/>
        <w:adjustRightInd w:val="0"/>
        <w:rPr>
          <w:rFonts w:cs="Times New Roman"/>
        </w:rPr>
      </w:pPr>
      <w:r w:rsidRPr="00F626E5">
        <w:rPr>
          <w:rFonts w:cs="Times New Roman"/>
        </w:rPr>
        <w:t>Managing, without permission or legal authority, the finan</w:t>
      </w:r>
      <w:r w:rsidR="00F746A8" w:rsidRPr="00F626E5">
        <w:rPr>
          <w:rFonts w:cs="Times New Roman"/>
        </w:rPr>
        <w:t xml:space="preserve">ces of a competent older person. </w:t>
      </w:r>
    </w:p>
    <w:p w:rsidR="00F626E5" w:rsidRPr="00F626E5" w:rsidRDefault="00F626E5">
      <w:pPr>
        <w:rPr>
          <w:rFonts w:asciiTheme="majorHAnsi" w:eastAsiaTheme="majorEastAsia" w:hAnsiTheme="majorHAnsi" w:cstheme="majorBidi"/>
          <w:b/>
          <w:bCs/>
          <w:color w:val="345A8A" w:themeColor="accent1" w:themeShade="B5"/>
        </w:rPr>
      </w:pPr>
      <w:r w:rsidRPr="00F626E5">
        <w:br w:type="page"/>
      </w:r>
    </w:p>
    <w:p w:rsidR="002B45C2" w:rsidRPr="002A4198" w:rsidRDefault="003924E3" w:rsidP="00664DE9">
      <w:pPr>
        <w:pStyle w:val="Heading1"/>
      </w:pPr>
      <w:bookmarkStart w:id="3" w:name="_Toc328376988"/>
      <w:r>
        <w:lastRenderedPageBreak/>
        <w:t xml:space="preserve">4.0 </w:t>
      </w:r>
      <w:r w:rsidR="00D53087">
        <w:tab/>
      </w:r>
      <w:r w:rsidR="008C2FF7" w:rsidRPr="002A4198">
        <w:t>Current Regulatory Framework</w:t>
      </w:r>
      <w:bookmarkEnd w:id="3"/>
      <w:r w:rsidR="00A85579" w:rsidRPr="002A4198">
        <w:t xml:space="preserve"> </w:t>
      </w:r>
    </w:p>
    <w:p w:rsidR="00C016CC" w:rsidRDefault="00C016CC" w:rsidP="00C016CC">
      <w:pPr>
        <w:rPr>
          <w:sz w:val="22"/>
          <w:szCs w:val="22"/>
        </w:rPr>
      </w:pPr>
    </w:p>
    <w:p w:rsidR="00526BD3" w:rsidRPr="00F626E5" w:rsidRDefault="00C016CC" w:rsidP="00C016CC">
      <w:pPr>
        <w:ind w:left="720" w:hanging="720"/>
      </w:pPr>
      <w:r>
        <w:rPr>
          <w:sz w:val="22"/>
          <w:szCs w:val="22"/>
        </w:rPr>
        <w:t>4.01</w:t>
      </w:r>
      <w:r>
        <w:rPr>
          <w:sz w:val="22"/>
          <w:szCs w:val="22"/>
        </w:rPr>
        <w:tab/>
      </w:r>
      <w:r w:rsidR="00C803B3" w:rsidRPr="00F626E5">
        <w:t>Most cases of financial abuse involve the abuse of bank accounts, which can only occur with the cooperation of financial institutions</w:t>
      </w:r>
      <w:r w:rsidR="00C15631" w:rsidRPr="00F626E5">
        <w:t>.</w:t>
      </w:r>
      <w:r w:rsidR="00C15631" w:rsidRPr="00F626E5">
        <w:rPr>
          <w:rStyle w:val="FootnoteReference"/>
          <w:rFonts w:cs="Times New Roman"/>
        </w:rPr>
        <w:footnoteReference w:id="13"/>
      </w:r>
      <w:r w:rsidR="00C803B3" w:rsidRPr="00F626E5">
        <w:t xml:space="preserve"> </w:t>
      </w:r>
      <w:r w:rsidR="00146F1B" w:rsidRPr="00F626E5">
        <w:t>Under the current regulatory regime, banks are not offered adequate protections and obligations relating to the reporting of financial elder abuse</w:t>
      </w:r>
      <w:r w:rsidR="00DF56F4" w:rsidRPr="00F626E5">
        <w:t>.</w:t>
      </w:r>
      <w:r w:rsidR="00146F1B" w:rsidRPr="00F626E5">
        <w:rPr>
          <w:rStyle w:val="FootnoteReference"/>
        </w:rPr>
        <w:footnoteReference w:id="14"/>
      </w:r>
      <w:r w:rsidR="00DF56F4" w:rsidRPr="00F626E5">
        <w:t xml:space="preserve"> </w:t>
      </w:r>
      <w:r w:rsidR="00146F1B" w:rsidRPr="00F626E5">
        <w:t>F</w:t>
      </w:r>
      <w:r w:rsidR="00C803B3" w:rsidRPr="00F626E5">
        <w:t>inancial institutions are incentivised to turn a ‘blind eye’ as opposed to exercising cautious concern due to the difficulties associated with reporting financial elder abuse.</w:t>
      </w:r>
      <w:r w:rsidR="00C803B3" w:rsidRPr="00F626E5">
        <w:rPr>
          <w:rStyle w:val="FootnoteReference"/>
        </w:rPr>
        <w:footnoteReference w:id="15"/>
      </w:r>
      <w:r w:rsidR="00C803B3" w:rsidRPr="00F626E5">
        <w:t xml:space="preserve"> </w:t>
      </w:r>
    </w:p>
    <w:p w:rsidR="00526BD3" w:rsidRPr="00F626E5" w:rsidRDefault="00526BD3" w:rsidP="00526BD3">
      <w:pPr>
        <w:pStyle w:val="ListParagraph"/>
        <w:ind w:left="360"/>
      </w:pPr>
    </w:p>
    <w:p w:rsidR="00DA6210" w:rsidRPr="00F626E5" w:rsidRDefault="00C016CC" w:rsidP="00C016CC">
      <w:pPr>
        <w:ind w:left="720" w:hanging="720"/>
      </w:pPr>
      <w:r>
        <w:t>4.02</w:t>
      </w:r>
      <w:r>
        <w:tab/>
      </w:r>
      <w:r w:rsidR="003924E3" w:rsidRPr="00F626E5">
        <w:t>Financial institutions</w:t>
      </w:r>
      <w:r w:rsidR="00C803B3" w:rsidRPr="00F626E5">
        <w:t xml:space="preserve"> have a choice between alerting customers of potential abuse and creating potential liability for themselves, </w:t>
      </w:r>
      <w:proofErr w:type="gramStart"/>
      <w:r w:rsidR="00C803B3" w:rsidRPr="00F626E5">
        <w:t>or</w:t>
      </w:r>
      <w:proofErr w:type="gramEnd"/>
      <w:r w:rsidR="00C803B3" w:rsidRPr="00F626E5">
        <w:t xml:space="preserve"> instead opting not to get involved in family controversies.</w:t>
      </w:r>
      <w:r w:rsidR="00C77A19" w:rsidRPr="00F626E5">
        <w:rPr>
          <w:rStyle w:val="FootnoteReference"/>
        </w:rPr>
        <w:footnoteReference w:id="16"/>
      </w:r>
      <w:r w:rsidR="00C803B3" w:rsidRPr="00F626E5">
        <w:t xml:space="preserve"> Banks have a tendency to adopt a more conservative line in decision-</w:t>
      </w:r>
      <w:proofErr w:type="gramStart"/>
      <w:r w:rsidR="00C803B3" w:rsidRPr="00F626E5">
        <w:t>making,</w:t>
      </w:r>
      <w:proofErr w:type="gramEnd"/>
      <w:r w:rsidR="00C803B3" w:rsidRPr="00F626E5">
        <w:t xml:space="preserve"> however, not acting to inform clients of suspected abuse could potentially create liability for an action in negligence.</w:t>
      </w:r>
      <w:r w:rsidR="00B76F8A" w:rsidRPr="00F626E5">
        <w:rPr>
          <w:rStyle w:val="FootnoteReference"/>
        </w:rPr>
        <w:footnoteReference w:id="17"/>
      </w:r>
      <w:r w:rsidR="00C803B3" w:rsidRPr="00F626E5">
        <w:t xml:space="preserve"> </w:t>
      </w:r>
    </w:p>
    <w:p w:rsidR="00DA6210" w:rsidRPr="00F626E5" w:rsidRDefault="00DA6210" w:rsidP="00DA6210">
      <w:pPr>
        <w:pStyle w:val="ListParagraph"/>
        <w:ind w:left="360"/>
      </w:pPr>
    </w:p>
    <w:p w:rsidR="00E6084F" w:rsidRPr="00F626E5" w:rsidRDefault="00D53087" w:rsidP="00D53087">
      <w:pPr>
        <w:ind w:left="720" w:hanging="720"/>
      </w:pPr>
      <w:r>
        <w:rPr>
          <w:rFonts w:cs="Times New Roman"/>
        </w:rPr>
        <w:t xml:space="preserve">4.03 </w:t>
      </w:r>
      <w:r>
        <w:rPr>
          <w:rFonts w:cs="Times New Roman"/>
        </w:rPr>
        <w:tab/>
      </w:r>
      <w:r w:rsidR="002C4487" w:rsidRPr="00D53087">
        <w:rPr>
          <w:rFonts w:cs="Times New Roman"/>
        </w:rPr>
        <w:t>Elder abuse raises unique obstacles to prevention, particularly for policing, judicial and health systems given the hidden nature of the abuse.</w:t>
      </w:r>
      <w:r w:rsidR="002C4487" w:rsidRPr="00F626E5">
        <w:rPr>
          <w:rStyle w:val="FootnoteReference"/>
          <w:rFonts w:cs="Times New Roman"/>
        </w:rPr>
        <w:footnoteReference w:id="18"/>
      </w:r>
      <w:r w:rsidR="002C4487" w:rsidRPr="00D53087">
        <w:rPr>
          <w:rFonts w:cs="Times New Roman"/>
        </w:rPr>
        <w:t xml:space="preserve"> In addition, a combination of a need for evidence and the impact of family attitudes have resulted in low levels of prosecution against offenders.</w:t>
      </w:r>
      <w:r w:rsidR="002C4487" w:rsidRPr="00F626E5">
        <w:rPr>
          <w:rStyle w:val="FootnoteReference"/>
          <w:rFonts w:cs="Times New Roman"/>
        </w:rPr>
        <w:footnoteReference w:id="19"/>
      </w:r>
      <w:r w:rsidR="002C4487" w:rsidRPr="00D53087">
        <w:rPr>
          <w:rFonts w:cs="Times New Roman"/>
        </w:rPr>
        <w:t xml:space="preserve"> </w:t>
      </w:r>
      <w:r w:rsidR="0094632C" w:rsidRPr="00F626E5">
        <w:t>Below we have detailed the important elements of the current regime in order to illustrate the current gap in the law.</w:t>
      </w:r>
    </w:p>
    <w:p w:rsidR="00812E0E" w:rsidRPr="002A4198" w:rsidRDefault="00D20D9C" w:rsidP="00EC5697">
      <w:pPr>
        <w:pStyle w:val="Heading2"/>
      </w:pPr>
      <w:bookmarkStart w:id="4" w:name="_Toc328376989"/>
      <w:r>
        <w:t xml:space="preserve">4.1 </w:t>
      </w:r>
      <w:r w:rsidR="0008590E">
        <w:tab/>
      </w:r>
      <w:r w:rsidR="002F1597" w:rsidRPr="002A4198">
        <w:t>Code of Banking Practice</w:t>
      </w:r>
      <w:bookmarkEnd w:id="4"/>
    </w:p>
    <w:p w:rsidR="0099051E" w:rsidRPr="002A4198" w:rsidRDefault="0099051E" w:rsidP="0099051E"/>
    <w:p w:rsidR="00241D2F" w:rsidRPr="00F626E5" w:rsidRDefault="0008590E" w:rsidP="0008590E">
      <w:pPr>
        <w:ind w:left="720" w:hanging="720"/>
      </w:pPr>
      <w:r>
        <w:t>4.1.1</w:t>
      </w:r>
      <w:r>
        <w:tab/>
      </w:r>
      <w:r w:rsidR="00C85756" w:rsidRPr="00F626E5">
        <w:t>The Code of Banking Practice is a voluntary instrument that governs what constitutes good banking practice.</w:t>
      </w:r>
      <w:r w:rsidR="00C85756" w:rsidRPr="00F626E5">
        <w:rPr>
          <w:rStyle w:val="FootnoteReference"/>
        </w:rPr>
        <w:footnoteReference w:id="20"/>
      </w:r>
      <w:r w:rsidR="00C85756" w:rsidRPr="00F626E5">
        <w:t xml:space="preserve"> Most Australian banks have adopted the Code, though some have done so on a conditional basis.</w:t>
      </w:r>
      <w:r w:rsidR="00E70AC7" w:rsidRPr="00F626E5">
        <w:rPr>
          <w:rStyle w:val="FootnoteReference"/>
        </w:rPr>
        <w:footnoteReference w:id="21"/>
      </w:r>
      <w:r w:rsidR="00C85756" w:rsidRPr="00F626E5">
        <w:t xml:space="preserve"> </w:t>
      </w:r>
      <w:r w:rsidR="000834ED" w:rsidRPr="00F626E5">
        <w:t>No</w:t>
      </w:r>
      <w:r w:rsidR="00E70AC7" w:rsidRPr="00F626E5">
        <w:t xml:space="preserve"> provisions of the Code impose specific positive obligations on </w:t>
      </w:r>
      <w:r w:rsidR="008C2FF7" w:rsidRPr="00F626E5">
        <w:t xml:space="preserve">financial institutions </w:t>
      </w:r>
      <w:r w:rsidR="00175B66" w:rsidRPr="00F626E5">
        <w:t>to identify or repo</w:t>
      </w:r>
      <w:r w:rsidR="008C2FF7" w:rsidRPr="00F626E5">
        <w:t>rt instances of abuse</w:t>
      </w:r>
      <w:r w:rsidR="004C07BD" w:rsidRPr="00F626E5">
        <w:t>.</w:t>
      </w:r>
      <w:r w:rsidR="004C07BD" w:rsidRPr="00F626E5">
        <w:rPr>
          <w:rStyle w:val="FootnoteReference"/>
        </w:rPr>
        <w:footnoteReference w:id="22"/>
      </w:r>
      <w:r w:rsidR="00175B66" w:rsidRPr="00F626E5">
        <w:t xml:space="preserve"> </w:t>
      </w:r>
    </w:p>
    <w:p w:rsidR="00241D2F" w:rsidRPr="00F626E5" w:rsidRDefault="00241D2F" w:rsidP="00241D2F">
      <w:pPr>
        <w:pStyle w:val="ListParagraph"/>
        <w:ind w:left="360"/>
      </w:pPr>
    </w:p>
    <w:p w:rsidR="00244A67" w:rsidRPr="00F626E5" w:rsidRDefault="0008590E" w:rsidP="0008590E">
      <w:pPr>
        <w:ind w:left="720" w:hanging="720"/>
      </w:pPr>
      <w:r>
        <w:t>4.1.2</w:t>
      </w:r>
      <w:r>
        <w:tab/>
      </w:r>
      <w:r w:rsidR="004637E7" w:rsidRPr="00F626E5">
        <w:t>T</w:t>
      </w:r>
      <w:r w:rsidR="005613F8" w:rsidRPr="00F626E5">
        <w:t>he Code of Banking Practice could potentially imply a duty to report suspected abuse</w:t>
      </w:r>
      <w:r w:rsidR="001625F3" w:rsidRPr="00F626E5">
        <w:t>.</w:t>
      </w:r>
      <w:r w:rsidR="001625F3" w:rsidRPr="00F626E5">
        <w:rPr>
          <w:rStyle w:val="FootnoteReference"/>
        </w:rPr>
        <w:footnoteReference w:id="23"/>
      </w:r>
      <w:r w:rsidR="001625F3" w:rsidRPr="00F626E5">
        <w:t xml:space="preserve"> </w:t>
      </w:r>
      <w:r w:rsidR="00040143" w:rsidRPr="00F626E5">
        <w:t>Paragraph 6</w:t>
      </w:r>
      <w:r w:rsidR="005613F8" w:rsidRPr="00F626E5">
        <w:t xml:space="preserve"> within the Code </w:t>
      </w:r>
      <w:r w:rsidR="00040143" w:rsidRPr="00F626E5">
        <w:t xml:space="preserve">dictates that elderly and disabled customers require </w:t>
      </w:r>
      <w:r w:rsidR="00D20D9C" w:rsidRPr="00F626E5">
        <w:t>the</w:t>
      </w:r>
      <w:r w:rsidR="00040143" w:rsidRPr="00F626E5">
        <w:t xml:space="preserve"> banks </w:t>
      </w:r>
      <w:r w:rsidR="00D20D9C" w:rsidRPr="00F626E5">
        <w:t xml:space="preserve">to </w:t>
      </w:r>
      <w:r w:rsidR="00040143" w:rsidRPr="00F626E5">
        <w:t xml:space="preserve">take reasonable measures to enhance access to transition services. While there is an arguable point that this implies the need for </w:t>
      </w:r>
      <w:r w:rsidR="00C36C92">
        <w:t>banks to report suspected abuse</w:t>
      </w:r>
      <w:r w:rsidR="00040143" w:rsidRPr="00F626E5">
        <w:t xml:space="preserve">, this </w:t>
      </w:r>
      <w:r w:rsidR="001E288B">
        <w:t xml:space="preserve">is not the preferred </w:t>
      </w:r>
      <w:r w:rsidR="00040143" w:rsidRPr="00F626E5">
        <w:t>interpretation</w:t>
      </w:r>
      <w:r w:rsidR="001E288B">
        <w:t xml:space="preserve"> as the paragraph was intended </w:t>
      </w:r>
      <w:r w:rsidR="00040143" w:rsidRPr="00F626E5">
        <w:t xml:space="preserve">to address the difficulties of </w:t>
      </w:r>
      <w:r w:rsidR="00D46A38" w:rsidRPr="00F626E5">
        <w:t xml:space="preserve">physically </w:t>
      </w:r>
      <w:r w:rsidR="00040143" w:rsidRPr="00F626E5">
        <w:t>accessing technology such as ATMs, telephone and Internet banking</w:t>
      </w:r>
      <w:r w:rsidR="000E7FE3" w:rsidRPr="00F626E5">
        <w:t>.</w:t>
      </w:r>
      <w:r w:rsidR="000E7FE3" w:rsidRPr="00F626E5">
        <w:rPr>
          <w:rStyle w:val="FootnoteReference"/>
        </w:rPr>
        <w:footnoteReference w:id="24"/>
      </w:r>
      <w:r w:rsidR="00040143" w:rsidRPr="00F626E5">
        <w:t xml:space="preserve"> </w:t>
      </w:r>
    </w:p>
    <w:p w:rsidR="005041C4" w:rsidRPr="00F626E5" w:rsidRDefault="00441862" w:rsidP="00441862">
      <w:pPr>
        <w:ind w:left="720" w:hanging="720"/>
      </w:pPr>
      <w:r>
        <w:lastRenderedPageBreak/>
        <w:t>4.1.3</w:t>
      </w:r>
      <w:r>
        <w:tab/>
      </w:r>
      <w:r w:rsidR="00027231" w:rsidRPr="00F626E5">
        <w:t xml:space="preserve">The Code has further </w:t>
      </w:r>
      <w:r w:rsidR="00C25FE6" w:rsidRPr="00F626E5">
        <w:t>general provisions</w:t>
      </w:r>
      <w:r w:rsidR="00772BB0" w:rsidRPr="00F626E5">
        <w:t xml:space="preserve"> that could be construed as covering financial elder abuse. These include the duty to act fairly and reasonably</w:t>
      </w:r>
      <w:r w:rsidR="00F27347" w:rsidRPr="00F626E5">
        <w:t>,</w:t>
      </w:r>
      <w:r w:rsidR="00772BB0" w:rsidRPr="00F626E5">
        <w:t xml:space="preserve"> comply with the law, exercise due care and skill in the offering or giving of credit, and that the bank refrain from accepting a person as a co-debtor where it is clear they do not stand to benefit.</w:t>
      </w:r>
      <w:r w:rsidR="00B9672E" w:rsidRPr="00F626E5">
        <w:rPr>
          <w:rStyle w:val="FootnoteReference"/>
        </w:rPr>
        <w:footnoteReference w:id="25"/>
      </w:r>
      <w:r w:rsidR="00B9672E" w:rsidRPr="00F626E5">
        <w:t xml:space="preserve"> </w:t>
      </w:r>
    </w:p>
    <w:p w:rsidR="005041C4" w:rsidRPr="00F626E5" w:rsidRDefault="005041C4" w:rsidP="005041C4">
      <w:pPr>
        <w:pStyle w:val="ListParagraph"/>
        <w:ind w:left="360"/>
      </w:pPr>
    </w:p>
    <w:p w:rsidR="00DE0084" w:rsidRPr="00F626E5" w:rsidRDefault="00441862" w:rsidP="00441862">
      <w:pPr>
        <w:ind w:left="720" w:hanging="720"/>
      </w:pPr>
      <w:r>
        <w:t>4.1.4</w:t>
      </w:r>
      <w:r>
        <w:tab/>
      </w:r>
      <w:r w:rsidR="00C25FE6" w:rsidRPr="00F626E5">
        <w:t xml:space="preserve">The result of these provisions in relation to financial elder abuse may </w:t>
      </w:r>
      <w:r w:rsidR="00EF2DC4" w:rsidRPr="00F626E5">
        <w:t>achieve</w:t>
      </w:r>
      <w:r w:rsidR="00C25FE6" w:rsidRPr="00F626E5">
        <w:t xml:space="preserve"> the following: </w:t>
      </w:r>
    </w:p>
    <w:p w:rsidR="00C25FE6" w:rsidRPr="00F626E5" w:rsidRDefault="00C25FE6" w:rsidP="00D20D9C">
      <w:pPr>
        <w:pStyle w:val="ListParagraph"/>
        <w:numPr>
          <w:ilvl w:val="0"/>
          <w:numId w:val="1"/>
        </w:numPr>
      </w:pPr>
      <w:r w:rsidRPr="00F626E5">
        <w:t>A duty to investigate an apparently valid mandate where a withdrawal is made by an elderly customer who is accompanied by</w:t>
      </w:r>
      <w:r w:rsidR="00C354BA" w:rsidRPr="00F626E5">
        <w:t>,</w:t>
      </w:r>
      <w:r w:rsidRPr="00F626E5">
        <w:t xml:space="preserve"> and directly influenced by</w:t>
      </w:r>
      <w:r w:rsidR="00C354BA" w:rsidRPr="00F626E5">
        <w:t>,</w:t>
      </w:r>
      <w:r w:rsidRPr="00F626E5">
        <w:t xml:space="preserve"> a carer or family member; </w:t>
      </w:r>
    </w:p>
    <w:p w:rsidR="00C25FE6" w:rsidRPr="00F626E5" w:rsidRDefault="00C25FE6" w:rsidP="00D20D9C">
      <w:pPr>
        <w:pStyle w:val="ListParagraph"/>
        <w:numPr>
          <w:ilvl w:val="0"/>
          <w:numId w:val="1"/>
        </w:numPr>
      </w:pPr>
      <w:r w:rsidRPr="00F626E5">
        <w:t xml:space="preserve">A bank may not be exercising the requisite level of care if it lends to an elderly customer in circumstances involving abuse and limited capacity to repay the loan; </w:t>
      </w:r>
    </w:p>
    <w:p w:rsidR="005041C4" w:rsidRPr="00F626E5" w:rsidRDefault="00C25FE6" w:rsidP="00D20D9C">
      <w:pPr>
        <w:pStyle w:val="ListParagraph"/>
        <w:numPr>
          <w:ilvl w:val="0"/>
          <w:numId w:val="1"/>
        </w:numPr>
      </w:pPr>
      <w:r w:rsidRPr="00F626E5">
        <w:t>A bank may have to refrain from accepting an elderly person as a co-borrower where the elderly person’s child receives the direct and only benefit.</w:t>
      </w:r>
      <w:r w:rsidR="00C354BA" w:rsidRPr="00F626E5">
        <w:rPr>
          <w:rStyle w:val="FootnoteReference"/>
        </w:rPr>
        <w:footnoteReference w:id="26"/>
      </w:r>
    </w:p>
    <w:p w:rsidR="005041C4" w:rsidRPr="00F626E5" w:rsidRDefault="005041C4" w:rsidP="005041C4"/>
    <w:p w:rsidR="0017661E" w:rsidRPr="00F626E5" w:rsidRDefault="00862011" w:rsidP="00862011">
      <w:pPr>
        <w:ind w:left="720" w:hanging="720"/>
      </w:pPr>
      <w:r>
        <w:t>4.1.5</w:t>
      </w:r>
      <w:r>
        <w:tab/>
      </w:r>
      <w:r w:rsidR="00454EA3" w:rsidRPr="00F626E5">
        <w:t>The Code fails to impose specific positive obligations.</w:t>
      </w:r>
      <w:r w:rsidR="00987429" w:rsidRPr="00F626E5">
        <w:rPr>
          <w:rStyle w:val="FootnoteReference"/>
        </w:rPr>
        <w:footnoteReference w:id="27"/>
      </w:r>
      <w:r w:rsidR="00454EA3" w:rsidRPr="00F626E5">
        <w:t xml:space="preserve"> However, it does serve to reinforce the existing legal obligations of banks, and arguments have been raised that they could </w:t>
      </w:r>
      <w:proofErr w:type="spellStart"/>
      <w:r w:rsidR="00454EA3" w:rsidRPr="00F626E5">
        <w:t>foreseeably</w:t>
      </w:r>
      <w:proofErr w:type="spellEnd"/>
      <w:r w:rsidR="00454EA3" w:rsidRPr="00F626E5">
        <w:t xml:space="preserve"> undergo an expansion to cover financial elder abuse</w:t>
      </w:r>
      <w:r w:rsidR="00FE6654" w:rsidRPr="00F626E5">
        <w:t>.</w:t>
      </w:r>
      <w:r w:rsidR="00FE6654" w:rsidRPr="00F626E5">
        <w:rPr>
          <w:rStyle w:val="FootnoteReference"/>
        </w:rPr>
        <w:footnoteReference w:id="28"/>
      </w:r>
      <w:r w:rsidR="00664DE9" w:rsidRPr="00F626E5">
        <w:t xml:space="preserve"> </w:t>
      </w:r>
    </w:p>
    <w:p w:rsidR="00C25FE6" w:rsidRPr="002A4198" w:rsidRDefault="00D20D9C" w:rsidP="00EC5697">
      <w:pPr>
        <w:pStyle w:val="Heading2"/>
      </w:pPr>
      <w:bookmarkStart w:id="5" w:name="_Toc328376990"/>
      <w:r>
        <w:t xml:space="preserve">4.2 </w:t>
      </w:r>
      <w:r w:rsidR="00862011">
        <w:tab/>
      </w:r>
      <w:r w:rsidR="00900F81" w:rsidRPr="002A4198">
        <w:t>Office of the Public Advocate</w:t>
      </w:r>
      <w:r w:rsidR="00E172E6" w:rsidRPr="002A4198">
        <w:t xml:space="preserve"> </w:t>
      </w:r>
      <w:r w:rsidR="00B404EB" w:rsidRPr="002A4198">
        <w:t>and Enduring Power of Attorney</w:t>
      </w:r>
      <w:bookmarkEnd w:id="5"/>
    </w:p>
    <w:p w:rsidR="00F95C90" w:rsidRPr="002A4198" w:rsidRDefault="00F95C90" w:rsidP="00C25FE6"/>
    <w:p w:rsidR="0060563B" w:rsidRPr="00F626E5" w:rsidRDefault="007F0441" w:rsidP="007F0441">
      <w:pPr>
        <w:ind w:left="720" w:hanging="720"/>
      </w:pPr>
      <w:r>
        <w:t>4.2.1</w:t>
      </w:r>
      <w:r>
        <w:tab/>
      </w:r>
      <w:r w:rsidR="00361A10" w:rsidRPr="00F626E5">
        <w:t>There is an increased vulnerability for the elderly when they are subject to an Enduring Power of Attorney or Administration Order</w:t>
      </w:r>
      <w:r w:rsidR="00C36C92">
        <w:t>. T</w:t>
      </w:r>
      <w:r w:rsidR="003A4D43" w:rsidRPr="00F626E5">
        <w:t xml:space="preserve">he Office of the Public Advocate </w:t>
      </w:r>
      <w:r w:rsidR="00D20D9C" w:rsidRPr="00F626E5">
        <w:t xml:space="preserve">(OPA) </w:t>
      </w:r>
      <w:r w:rsidR="003A4D43" w:rsidRPr="00F626E5">
        <w:t>plays a role in responding to this risk.</w:t>
      </w:r>
      <w:r w:rsidR="00361A10" w:rsidRPr="00F626E5">
        <w:rPr>
          <w:rStyle w:val="FootnoteReference"/>
        </w:rPr>
        <w:footnoteReference w:id="29"/>
      </w:r>
      <w:r w:rsidR="00361A10" w:rsidRPr="00F626E5">
        <w:t xml:space="preserve"> </w:t>
      </w:r>
      <w:r w:rsidR="0060563B" w:rsidRPr="00F626E5">
        <w:t>An Enduring P</w:t>
      </w:r>
      <w:r w:rsidR="00C36C92">
        <w:t>ower of Attorney (f</w:t>
      </w:r>
      <w:r w:rsidR="0060563B" w:rsidRPr="00F626E5">
        <w:t>inancial) allows a Donor to appoint another person to have the power to make financial and legal decisions on their behalf, and unless revoked, continues after the Donor has lost the capacity to make these decisions independently.</w:t>
      </w:r>
      <w:r w:rsidR="0060563B" w:rsidRPr="00F626E5">
        <w:rPr>
          <w:rStyle w:val="FootnoteReference"/>
        </w:rPr>
        <w:footnoteReference w:id="30"/>
      </w:r>
      <w:r w:rsidR="0060563B" w:rsidRPr="00F626E5">
        <w:t xml:space="preserve"> While useful instruments, they do not provide a guarantee against abuse and are highly susceptible to misuse through a lack of formal monitoring and reporting structure.</w:t>
      </w:r>
      <w:r w:rsidR="0060563B" w:rsidRPr="00F626E5">
        <w:rPr>
          <w:rStyle w:val="FootnoteReference"/>
        </w:rPr>
        <w:footnoteReference w:id="31"/>
      </w:r>
      <w:r w:rsidR="0060563B" w:rsidRPr="00F626E5">
        <w:t xml:space="preserve">  </w:t>
      </w:r>
    </w:p>
    <w:p w:rsidR="0060563B" w:rsidRPr="00F626E5" w:rsidRDefault="0060563B" w:rsidP="00CB1325"/>
    <w:p w:rsidR="00DF3CC5" w:rsidRPr="00F626E5" w:rsidRDefault="00927E2F" w:rsidP="007F0441">
      <w:pPr>
        <w:ind w:left="720" w:hanging="720"/>
      </w:pPr>
      <w:r>
        <w:t>4.2.2</w:t>
      </w:r>
      <w:r>
        <w:tab/>
      </w:r>
      <w:r w:rsidR="00361A10" w:rsidRPr="00F626E5">
        <w:t>There are also informal relationships of trust that are a potential source of financial abuse for older members of communities</w:t>
      </w:r>
      <w:r w:rsidR="00E46076">
        <w:t>, which actually outnumber those receiving formal assistance</w:t>
      </w:r>
      <w:r w:rsidR="00692774" w:rsidRPr="00F626E5">
        <w:t>.</w:t>
      </w:r>
      <w:r w:rsidR="00692774" w:rsidRPr="00F626E5">
        <w:rPr>
          <w:rStyle w:val="FootnoteReference"/>
        </w:rPr>
        <w:footnoteReference w:id="32"/>
      </w:r>
      <w:r w:rsidR="00692774" w:rsidRPr="00F626E5">
        <w:t xml:space="preserve"> </w:t>
      </w:r>
    </w:p>
    <w:p w:rsidR="00D20D9C" w:rsidRPr="00F626E5" w:rsidRDefault="00D20D9C" w:rsidP="00D20D9C"/>
    <w:p w:rsidR="00DF3CC5" w:rsidRPr="00F626E5" w:rsidRDefault="00927E2F" w:rsidP="00927E2F">
      <w:pPr>
        <w:ind w:left="720" w:hanging="720"/>
      </w:pPr>
      <w:r>
        <w:t>4.2.3</w:t>
      </w:r>
      <w:r>
        <w:tab/>
      </w:r>
      <w:r w:rsidR="00361A10" w:rsidRPr="00F626E5">
        <w:t xml:space="preserve">The OPA has the power to investigate and intervene in cases of exploitation, neglect and abuse of people who have a disability. The OPA can respond to </w:t>
      </w:r>
      <w:r w:rsidR="00361A10" w:rsidRPr="00F626E5">
        <w:lastRenderedPageBreak/>
        <w:t>financial elder abuse through investigations or raising it at tribunals.</w:t>
      </w:r>
      <w:r w:rsidR="00361A10" w:rsidRPr="00F626E5">
        <w:rPr>
          <w:rStyle w:val="FootnoteReference"/>
        </w:rPr>
        <w:footnoteReference w:id="33"/>
      </w:r>
      <w:r w:rsidR="00361A10" w:rsidRPr="00F626E5">
        <w:t xml:space="preserve"> Donors can also apply to have conduct investigated or audited after which recommendations or alterations can be made.</w:t>
      </w:r>
      <w:r w:rsidR="00361A10" w:rsidRPr="00F626E5">
        <w:rPr>
          <w:rStyle w:val="FootnoteReference"/>
        </w:rPr>
        <w:footnoteReference w:id="34"/>
      </w:r>
    </w:p>
    <w:p w:rsidR="00DF3CC5" w:rsidRPr="00F626E5" w:rsidRDefault="00ED10FB" w:rsidP="00ED10FB">
      <w:pPr>
        <w:pStyle w:val="ListParagraph"/>
        <w:tabs>
          <w:tab w:val="left" w:pos="1857"/>
        </w:tabs>
        <w:ind w:left="360"/>
      </w:pPr>
      <w:r w:rsidRPr="00F626E5">
        <w:tab/>
      </w:r>
    </w:p>
    <w:p w:rsidR="00361A10" w:rsidRPr="00F626E5" w:rsidRDefault="00927E2F" w:rsidP="00927E2F">
      <w:pPr>
        <w:ind w:left="720" w:hanging="720"/>
      </w:pPr>
      <w:r>
        <w:t>4.2.4</w:t>
      </w:r>
      <w:r>
        <w:tab/>
      </w:r>
      <w:r w:rsidR="008A51C3">
        <w:t>There</w:t>
      </w:r>
      <w:r w:rsidR="00D20D9C" w:rsidRPr="00F626E5">
        <w:t xml:space="preserve"> is a barrier to reporting suspected abuse due to concerns regarding the upholding of privacy </w:t>
      </w:r>
      <w:r w:rsidR="00361A10" w:rsidRPr="00F626E5">
        <w:t xml:space="preserve">and confidentiality obligations </w:t>
      </w:r>
      <w:r w:rsidR="00D20D9C" w:rsidRPr="00F626E5">
        <w:t xml:space="preserve">on </w:t>
      </w:r>
      <w:r w:rsidR="00507920">
        <w:t xml:space="preserve">the </w:t>
      </w:r>
      <w:r w:rsidR="00D20D9C" w:rsidRPr="00F626E5">
        <w:t>part of financial institutions</w:t>
      </w:r>
      <w:r w:rsidR="000C281C" w:rsidRPr="00F626E5">
        <w:t>.</w:t>
      </w:r>
      <w:r w:rsidR="000C281C" w:rsidRPr="00F626E5">
        <w:rPr>
          <w:rStyle w:val="FootnoteReference"/>
        </w:rPr>
        <w:footnoteReference w:id="35"/>
      </w:r>
      <w:r w:rsidR="00361A10" w:rsidRPr="00F626E5">
        <w:t xml:space="preserve"> </w:t>
      </w:r>
      <w:r w:rsidR="001D4EBF" w:rsidRPr="00F626E5">
        <w:t>T</w:t>
      </w:r>
      <w:r w:rsidR="00361A10" w:rsidRPr="00F626E5">
        <w:t>he capacity of the OPA to investigate does not sufficiently compel or encourage reporting, though there is an argument that there is a public duty to disclose the abuse.</w:t>
      </w:r>
      <w:r w:rsidR="00361A10" w:rsidRPr="00F626E5">
        <w:rPr>
          <w:rStyle w:val="FootnoteReference"/>
        </w:rPr>
        <w:footnoteReference w:id="36"/>
      </w:r>
      <w:r w:rsidR="00361A10" w:rsidRPr="00F626E5">
        <w:t xml:space="preserve"> </w:t>
      </w:r>
    </w:p>
    <w:p w:rsidR="00BC11AE" w:rsidRPr="002A4198" w:rsidRDefault="00F626E5" w:rsidP="00EC5697">
      <w:pPr>
        <w:pStyle w:val="Heading2"/>
      </w:pPr>
      <w:bookmarkStart w:id="6" w:name="_Toc328376991"/>
      <w:r>
        <w:t xml:space="preserve">4.3 </w:t>
      </w:r>
      <w:r w:rsidR="00927E2F">
        <w:tab/>
      </w:r>
      <w:r w:rsidR="00EC5697">
        <w:t>Privacy L</w:t>
      </w:r>
      <w:r w:rsidR="00C25FE6" w:rsidRPr="002A4198">
        <w:t>aw</w:t>
      </w:r>
      <w:bookmarkEnd w:id="6"/>
    </w:p>
    <w:p w:rsidR="00F626E5" w:rsidRDefault="00F626E5" w:rsidP="00F626E5"/>
    <w:p w:rsidR="00CD02EF" w:rsidRPr="00F626E5" w:rsidRDefault="00F626E5" w:rsidP="00345683">
      <w:pPr>
        <w:ind w:left="720" w:hanging="720"/>
      </w:pPr>
      <w:r w:rsidRPr="00F626E5">
        <w:t>4</w:t>
      </w:r>
      <w:r w:rsidRPr="00505EAC">
        <w:t xml:space="preserve">.31 </w:t>
      </w:r>
      <w:r w:rsidR="00345683">
        <w:tab/>
      </w:r>
      <w:r w:rsidR="008456F1" w:rsidRPr="00505EAC">
        <w:t>Privacy law</w:t>
      </w:r>
      <w:r w:rsidR="008456F1" w:rsidRPr="00F626E5">
        <w:t xml:space="preserve"> becomes relevant where a financial institution seeks to disclose the personal information of a customer to a third party</w:t>
      </w:r>
      <w:r w:rsidR="00522CA6" w:rsidRPr="00F626E5">
        <w:t>, such as to report suspected abuse</w:t>
      </w:r>
      <w:r w:rsidR="008456F1" w:rsidRPr="00F626E5">
        <w:t xml:space="preserve">. The </w:t>
      </w:r>
      <w:r w:rsidR="008456F1" w:rsidRPr="006B09A6">
        <w:rPr>
          <w:i/>
        </w:rPr>
        <w:t>Privacy Act</w:t>
      </w:r>
      <w:r w:rsidR="00D239EF" w:rsidRPr="006B09A6">
        <w:rPr>
          <w:i/>
        </w:rPr>
        <w:t xml:space="preserve"> 1988</w:t>
      </w:r>
      <w:r w:rsidR="00D239EF" w:rsidRPr="00F626E5">
        <w:t xml:space="preserve"> (</w:t>
      </w:r>
      <w:proofErr w:type="spellStart"/>
      <w:r w:rsidR="00D239EF" w:rsidRPr="00F626E5">
        <w:t>Cth</w:t>
      </w:r>
      <w:proofErr w:type="spellEnd"/>
      <w:r w:rsidR="001334DC" w:rsidRPr="00F626E5">
        <w:t>)</w:t>
      </w:r>
      <w:r w:rsidR="008456F1" w:rsidRPr="00F626E5">
        <w:t xml:space="preserve"> regulates the handling of ‘personal information,’ which is defined as, </w:t>
      </w:r>
    </w:p>
    <w:p w:rsidR="00F624C9" w:rsidRPr="00F626E5" w:rsidRDefault="00F624C9" w:rsidP="00CD02EF">
      <w:pPr>
        <w:pStyle w:val="ListParagraph"/>
        <w:ind w:left="1080"/>
      </w:pPr>
    </w:p>
    <w:p w:rsidR="00CD02EF" w:rsidRPr="00F626E5" w:rsidRDefault="008456F1" w:rsidP="00CD02EF">
      <w:pPr>
        <w:pStyle w:val="ListParagraph"/>
        <w:ind w:left="1080"/>
      </w:pPr>
      <w:r w:rsidRPr="00F626E5">
        <w:t>“</w:t>
      </w:r>
      <w:r w:rsidR="00CD02EF" w:rsidRPr="00F626E5">
        <w:t>I</w:t>
      </w:r>
      <w:r w:rsidRPr="00F626E5">
        <w:t>nformation or an opinion … whether true or not, and whether recorded in a material form or not, about an individual whose identity is apparent, or can reasonably be ascertained, from the information or opinion.”</w:t>
      </w:r>
      <w:r w:rsidRPr="00F626E5">
        <w:rPr>
          <w:rStyle w:val="FootnoteReference"/>
        </w:rPr>
        <w:footnoteReference w:id="37"/>
      </w:r>
      <w:r w:rsidRPr="00F626E5">
        <w:t xml:space="preserve"> </w:t>
      </w:r>
    </w:p>
    <w:p w:rsidR="00F624C9" w:rsidRPr="00F626E5" w:rsidRDefault="00F624C9" w:rsidP="00CD02EF">
      <w:pPr>
        <w:pStyle w:val="ListParagraph"/>
        <w:ind w:left="1080"/>
      </w:pPr>
    </w:p>
    <w:p w:rsidR="004F322F" w:rsidRPr="00F626E5" w:rsidRDefault="008456F1" w:rsidP="00B63FCD">
      <w:pPr>
        <w:pStyle w:val="ListParagraph"/>
      </w:pPr>
      <w:r w:rsidRPr="00F626E5">
        <w:t>The Act also regulates how credit providers disclose personal information contained in ‘reports</w:t>
      </w:r>
      <w:r w:rsidR="008B2CDD" w:rsidRPr="00F626E5">
        <w:t>.</w:t>
      </w:r>
      <w:r w:rsidRPr="00F626E5">
        <w:t>’</w:t>
      </w:r>
      <w:r w:rsidR="000B2898" w:rsidRPr="00F626E5">
        <w:rPr>
          <w:rStyle w:val="FootnoteReference"/>
        </w:rPr>
        <w:footnoteReference w:id="38"/>
      </w:r>
      <w:r w:rsidRPr="00F626E5">
        <w:t xml:space="preserve"> </w:t>
      </w:r>
    </w:p>
    <w:p w:rsidR="004F322F" w:rsidRPr="00F626E5" w:rsidRDefault="004F322F" w:rsidP="004F322F">
      <w:pPr>
        <w:pStyle w:val="ListParagraph"/>
        <w:ind w:left="360"/>
      </w:pPr>
    </w:p>
    <w:p w:rsidR="004F322F" w:rsidRPr="00F626E5" w:rsidRDefault="009E1B2C" w:rsidP="009E1B2C">
      <w:pPr>
        <w:ind w:left="720" w:hanging="720"/>
      </w:pPr>
      <w:r>
        <w:t>4.3.2</w:t>
      </w:r>
      <w:r>
        <w:tab/>
      </w:r>
      <w:r w:rsidR="008456F1" w:rsidRPr="00F626E5">
        <w:t>The National Privacy Principles potentially apply where financial institutions seek to disclose personal information about customers to a third party where they suspect financial abuse.</w:t>
      </w:r>
      <w:r w:rsidR="008456F1" w:rsidRPr="00F626E5">
        <w:rPr>
          <w:rStyle w:val="FootnoteReference"/>
        </w:rPr>
        <w:footnoteReference w:id="39"/>
      </w:r>
      <w:r w:rsidR="008456F1" w:rsidRPr="00F626E5">
        <w:t xml:space="preserve"> </w:t>
      </w:r>
      <w:r w:rsidR="008456F1" w:rsidRPr="009E1B2C">
        <w:rPr>
          <w:rFonts w:cs="Times New Roman"/>
        </w:rPr>
        <w:t>Any perceived vulnerability or abuse identified in the ‘opinion’ of the financial institution or its staff abo</w:t>
      </w:r>
      <w:r w:rsidR="00BF1279">
        <w:rPr>
          <w:rFonts w:cs="Times New Roman"/>
        </w:rPr>
        <w:t xml:space="preserve">ut an elderly customer would be </w:t>
      </w:r>
      <w:r w:rsidR="008456F1" w:rsidRPr="009E1B2C">
        <w:rPr>
          <w:rFonts w:cs="Times New Roman"/>
        </w:rPr>
        <w:t xml:space="preserve">‘personal information’ </w:t>
      </w:r>
      <w:r w:rsidR="00505EAC" w:rsidRPr="009E1B2C">
        <w:rPr>
          <w:rFonts w:cs="Times New Roman"/>
        </w:rPr>
        <w:t>when</w:t>
      </w:r>
      <w:r w:rsidR="008456F1" w:rsidRPr="009E1B2C">
        <w:rPr>
          <w:rFonts w:cs="Times New Roman"/>
        </w:rPr>
        <w:t xml:space="preserve"> disclosing that information to a third party.</w:t>
      </w:r>
      <w:r w:rsidR="008456F1" w:rsidRPr="00F626E5">
        <w:rPr>
          <w:rStyle w:val="FootnoteReference"/>
          <w:rFonts w:ascii="Times" w:hAnsi="Times" w:cs="Times"/>
          <w:color w:val="1A1718"/>
          <w:lang w:val="en-US"/>
        </w:rPr>
        <w:footnoteReference w:id="40"/>
      </w:r>
      <w:r w:rsidR="008456F1" w:rsidRPr="009E1B2C">
        <w:rPr>
          <w:rFonts w:cs="Times New Roman"/>
        </w:rPr>
        <w:t xml:space="preserve"> </w:t>
      </w:r>
    </w:p>
    <w:p w:rsidR="004F322F" w:rsidRPr="00F626E5" w:rsidRDefault="004F322F" w:rsidP="004F322F">
      <w:pPr>
        <w:pStyle w:val="ListParagraph"/>
        <w:ind w:left="360"/>
      </w:pPr>
    </w:p>
    <w:p w:rsidR="00580BA5" w:rsidRPr="00F626E5" w:rsidRDefault="009E1B2C" w:rsidP="009E1B2C">
      <w:pPr>
        <w:ind w:left="720" w:hanging="720"/>
      </w:pPr>
      <w:r>
        <w:rPr>
          <w:rFonts w:cs="Times New Roman"/>
        </w:rPr>
        <w:t>4.3.3</w:t>
      </w:r>
      <w:r>
        <w:rPr>
          <w:rFonts w:cs="Times New Roman"/>
        </w:rPr>
        <w:tab/>
      </w:r>
      <w:r w:rsidR="008456F1" w:rsidRPr="009E1B2C">
        <w:rPr>
          <w:rFonts w:cs="Times New Roman"/>
        </w:rPr>
        <w:t>National Privacy Principle 2 relates to ‘use and disclosure’ and dictates that an organisation must not use or disclose personal information for a purpose other than the primary purpose of collection, unless an exception applies.</w:t>
      </w:r>
      <w:r w:rsidR="008456F1" w:rsidRPr="00F626E5">
        <w:rPr>
          <w:rStyle w:val="FootnoteReference"/>
          <w:rFonts w:cs="Times New Roman"/>
        </w:rPr>
        <w:footnoteReference w:id="41"/>
      </w:r>
      <w:r w:rsidR="008456F1" w:rsidRPr="009E1B2C">
        <w:rPr>
          <w:rFonts w:cs="Times New Roman"/>
        </w:rPr>
        <w:t xml:space="preserve"> The possible exceptions are that the disclosure is a</w:t>
      </w:r>
      <w:r w:rsidR="00C36C92">
        <w:rPr>
          <w:rFonts w:cs="Times New Roman"/>
        </w:rPr>
        <w:t xml:space="preserve"> permitted related purpose,</w:t>
      </w:r>
      <w:r w:rsidR="008456F1" w:rsidRPr="009E1B2C">
        <w:rPr>
          <w:rFonts w:cs="Times New Roman"/>
        </w:rPr>
        <w:t xml:space="preserve"> prior cus</w:t>
      </w:r>
      <w:r w:rsidR="00C36C92">
        <w:rPr>
          <w:rFonts w:cs="Times New Roman"/>
        </w:rPr>
        <w:t xml:space="preserve">tomer consent is obtained, </w:t>
      </w:r>
      <w:r w:rsidR="008456F1" w:rsidRPr="009E1B2C">
        <w:rPr>
          <w:rFonts w:cs="Times New Roman"/>
        </w:rPr>
        <w:t>it is due to the reporting of su</w:t>
      </w:r>
      <w:r w:rsidR="00C36C92">
        <w:rPr>
          <w:rFonts w:cs="Times New Roman"/>
        </w:rPr>
        <w:t xml:space="preserve">spected unlawful activity, </w:t>
      </w:r>
      <w:r w:rsidR="008456F1" w:rsidRPr="009E1B2C">
        <w:rPr>
          <w:rFonts w:cs="Times New Roman"/>
        </w:rPr>
        <w:t xml:space="preserve">it is required or authorised by law, or if the disclosure is to </w:t>
      </w:r>
      <w:proofErr w:type="gramStart"/>
      <w:r w:rsidR="008456F1" w:rsidRPr="009E1B2C">
        <w:rPr>
          <w:rFonts w:cs="Times New Roman"/>
        </w:rPr>
        <w:t>an enforcement</w:t>
      </w:r>
      <w:proofErr w:type="gramEnd"/>
      <w:r w:rsidR="008456F1" w:rsidRPr="009E1B2C">
        <w:rPr>
          <w:rFonts w:cs="Times New Roman"/>
        </w:rPr>
        <w:t xml:space="preserve"> body and relates to criminal activity.</w:t>
      </w:r>
      <w:r w:rsidR="008456F1" w:rsidRPr="00F626E5">
        <w:rPr>
          <w:rStyle w:val="FootnoteReference"/>
          <w:rFonts w:cs="Times New Roman"/>
        </w:rPr>
        <w:footnoteReference w:id="42"/>
      </w:r>
      <w:r w:rsidR="008456F1" w:rsidRPr="009E1B2C">
        <w:rPr>
          <w:rFonts w:cs="Times New Roman"/>
        </w:rPr>
        <w:t xml:space="preserve"> The </w:t>
      </w:r>
      <w:r w:rsidR="00BB07BA" w:rsidRPr="009E1B2C">
        <w:rPr>
          <w:rFonts w:cs="Times New Roman"/>
        </w:rPr>
        <w:t xml:space="preserve">consequences </w:t>
      </w:r>
      <w:r w:rsidR="00BB07BA">
        <w:rPr>
          <w:rFonts w:cs="Times New Roman"/>
        </w:rPr>
        <w:t>of</w:t>
      </w:r>
      <w:r w:rsidR="00BB07BA" w:rsidRPr="009E1B2C">
        <w:rPr>
          <w:rFonts w:cs="Times New Roman"/>
        </w:rPr>
        <w:t xml:space="preserve"> a breach include</w:t>
      </w:r>
      <w:r w:rsidR="008456F1" w:rsidRPr="009E1B2C">
        <w:rPr>
          <w:rFonts w:cs="Times New Roman"/>
        </w:rPr>
        <w:t xml:space="preserve"> the Privacy Commissioner declaring that a privacy complainant is entitled to compensation.</w:t>
      </w:r>
      <w:r w:rsidR="008456F1" w:rsidRPr="00F626E5">
        <w:rPr>
          <w:rStyle w:val="FootnoteReference"/>
          <w:rFonts w:cs="Times New Roman"/>
        </w:rPr>
        <w:footnoteReference w:id="43"/>
      </w:r>
      <w:r w:rsidR="008456F1" w:rsidRPr="009E1B2C">
        <w:rPr>
          <w:rFonts w:cs="Times New Roman"/>
        </w:rPr>
        <w:t xml:space="preserve">   </w:t>
      </w:r>
    </w:p>
    <w:p w:rsidR="00580BA5" w:rsidRPr="00F626E5" w:rsidRDefault="00580BA5" w:rsidP="00580BA5">
      <w:pPr>
        <w:pStyle w:val="ListParagraph"/>
        <w:ind w:left="360"/>
      </w:pPr>
    </w:p>
    <w:p w:rsidR="00BB4BC4" w:rsidRPr="00F626E5" w:rsidRDefault="00786B45" w:rsidP="00786B45">
      <w:pPr>
        <w:ind w:left="720" w:hanging="720"/>
      </w:pPr>
      <w:r>
        <w:rPr>
          <w:rFonts w:cs="Times New Roman"/>
        </w:rPr>
        <w:lastRenderedPageBreak/>
        <w:t>4.3.4</w:t>
      </w:r>
      <w:r>
        <w:rPr>
          <w:rFonts w:cs="Times New Roman"/>
        </w:rPr>
        <w:tab/>
      </w:r>
      <w:r w:rsidR="008456F1" w:rsidRPr="00786B45">
        <w:rPr>
          <w:rFonts w:cs="Times New Roman"/>
        </w:rPr>
        <w:t>While in some cases an exception can apply, this can only be determined on a case-by-case basis.</w:t>
      </w:r>
      <w:r w:rsidR="008456F1" w:rsidRPr="00F626E5">
        <w:rPr>
          <w:rStyle w:val="FootnoteReference"/>
          <w:rFonts w:cs="Times New Roman"/>
        </w:rPr>
        <w:footnoteReference w:id="44"/>
      </w:r>
      <w:r w:rsidR="008456F1" w:rsidRPr="00786B45">
        <w:rPr>
          <w:rFonts w:cs="Times New Roman"/>
        </w:rPr>
        <w:t xml:space="preserve"> Under the current Australian privacy framework, financial institutions have a positive obligation not to breach privacy laws but do not have any </w:t>
      </w:r>
      <w:r w:rsidR="00505EAC" w:rsidRPr="00786B45">
        <w:rPr>
          <w:rFonts w:cs="Times New Roman"/>
        </w:rPr>
        <w:t>clear</w:t>
      </w:r>
      <w:r w:rsidR="008456F1" w:rsidRPr="00786B45">
        <w:rPr>
          <w:rFonts w:cs="Times New Roman"/>
        </w:rPr>
        <w:t xml:space="preserve"> protection from liability for disclosing a customer’s personal information to third parties </w:t>
      </w:r>
      <w:r w:rsidR="00505EAC" w:rsidRPr="00786B45">
        <w:rPr>
          <w:rFonts w:cs="Times New Roman"/>
        </w:rPr>
        <w:t>when reporting</w:t>
      </w:r>
      <w:r w:rsidR="008456F1" w:rsidRPr="00786B45">
        <w:rPr>
          <w:rFonts w:cs="Times New Roman"/>
        </w:rPr>
        <w:t xml:space="preserve"> suspected cases of abuse.</w:t>
      </w:r>
      <w:r w:rsidR="008456F1" w:rsidRPr="00F626E5">
        <w:rPr>
          <w:rStyle w:val="FootnoteReference"/>
          <w:rFonts w:cs="Times New Roman"/>
        </w:rPr>
        <w:footnoteReference w:id="45"/>
      </w:r>
      <w:r w:rsidR="008456F1" w:rsidRPr="00786B45">
        <w:rPr>
          <w:rFonts w:cs="Times New Roman"/>
        </w:rPr>
        <w:t xml:space="preserve"> </w:t>
      </w:r>
    </w:p>
    <w:p w:rsidR="00D2161D" w:rsidRDefault="00F626E5" w:rsidP="00EC5697">
      <w:pPr>
        <w:pStyle w:val="Heading2"/>
      </w:pPr>
      <w:bookmarkStart w:id="7" w:name="_Toc328376992"/>
      <w:r>
        <w:t xml:space="preserve">4.4 </w:t>
      </w:r>
      <w:r w:rsidR="00786B45">
        <w:tab/>
      </w:r>
      <w:r w:rsidR="007C078B">
        <w:t>Confidentiality</w:t>
      </w:r>
      <w:bookmarkEnd w:id="7"/>
      <w:r w:rsidR="007C078B">
        <w:t xml:space="preserve"> </w:t>
      </w:r>
    </w:p>
    <w:p w:rsidR="007C078B" w:rsidRDefault="007C078B" w:rsidP="007C078B"/>
    <w:p w:rsidR="00C65287" w:rsidRPr="00F626E5" w:rsidRDefault="00786B45" w:rsidP="00A530BC">
      <w:pPr>
        <w:ind w:left="718" w:hanging="718"/>
      </w:pPr>
      <w:r>
        <w:t>4.4.1</w:t>
      </w:r>
      <w:r>
        <w:tab/>
      </w:r>
      <w:r w:rsidR="00DF2E11" w:rsidRPr="00F626E5">
        <w:t xml:space="preserve">In addition to the voluntary obligations a bank may owe </w:t>
      </w:r>
      <w:r w:rsidR="0032556D">
        <w:t>under</w:t>
      </w:r>
      <w:r w:rsidR="00DF2E11" w:rsidRPr="00F626E5">
        <w:t xml:space="preserve"> the Code </w:t>
      </w:r>
      <w:r w:rsidRPr="00F626E5">
        <w:t xml:space="preserve">of </w:t>
      </w:r>
      <w:r>
        <w:t>Banking</w:t>
      </w:r>
      <w:r w:rsidR="00DF2E11" w:rsidRPr="00F626E5">
        <w:t xml:space="preserve"> Practice, banks owe obligations </w:t>
      </w:r>
      <w:r w:rsidR="00C65287" w:rsidRPr="00F626E5">
        <w:t>of confide</w:t>
      </w:r>
      <w:r w:rsidR="0032556D">
        <w:t xml:space="preserve">ntiality to their customers. </w:t>
      </w:r>
      <w:r w:rsidR="002A02A8" w:rsidRPr="00F626E5">
        <w:t xml:space="preserve">Confidentiality is also reinforced under </w:t>
      </w:r>
      <w:r w:rsidR="005C7783" w:rsidRPr="00F626E5">
        <w:t>consumer protection laws within the</w:t>
      </w:r>
      <w:r w:rsidR="006B09A6">
        <w:t xml:space="preserve"> </w:t>
      </w:r>
      <w:r w:rsidR="006B09A6" w:rsidRPr="00505EAC">
        <w:rPr>
          <w:i/>
        </w:rPr>
        <w:t>Australian Securities and Investments Commission Act 2001</w:t>
      </w:r>
      <w:r w:rsidR="002A02A8" w:rsidRPr="00F626E5">
        <w:t xml:space="preserve"> </w:t>
      </w:r>
      <w:r w:rsidR="006B09A6">
        <w:t>(</w:t>
      </w:r>
      <w:proofErr w:type="spellStart"/>
      <w:r w:rsidR="006B09A6">
        <w:t>Cth</w:t>
      </w:r>
      <w:proofErr w:type="spellEnd"/>
      <w:r w:rsidR="006B09A6">
        <w:t>) (</w:t>
      </w:r>
      <w:r w:rsidR="00C36C92">
        <w:t>“</w:t>
      </w:r>
      <w:r w:rsidR="006B09A6">
        <w:t>ASIC Act</w:t>
      </w:r>
      <w:r w:rsidR="00C36C92">
        <w:t>”</w:t>
      </w:r>
      <w:r w:rsidR="006B09A6">
        <w:t>)</w:t>
      </w:r>
      <w:r w:rsidR="00C65287" w:rsidRPr="00F626E5">
        <w:t>.</w:t>
      </w:r>
      <w:r w:rsidR="00C65287" w:rsidRPr="00F626E5">
        <w:rPr>
          <w:rStyle w:val="FootnoteReference"/>
        </w:rPr>
        <w:footnoteReference w:id="46"/>
      </w:r>
      <w:r w:rsidR="009E7790" w:rsidRPr="00F626E5">
        <w:t xml:space="preserve"> </w:t>
      </w:r>
      <w:r w:rsidR="00C65287" w:rsidRPr="00F626E5">
        <w:t xml:space="preserve"> </w:t>
      </w:r>
    </w:p>
    <w:p w:rsidR="00C65287" w:rsidRPr="00F626E5" w:rsidRDefault="00C65287" w:rsidP="007C078B"/>
    <w:p w:rsidR="00FB5102" w:rsidRPr="00F626E5" w:rsidRDefault="00324A66" w:rsidP="00BB07BA">
      <w:pPr>
        <w:ind w:firstLine="718"/>
        <w:rPr>
          <w:u w:val="single"/>
        </w:rPr>
      </w:pPr>
      <w:r w:rsidRPr="00F626E5">
        <w:rPr>
          <w:u w:val="single"/>
        </w:rPr>
        <w:t>Implied Contractual Duty</w:t>
      </w:r>
    </w:p>
    <w:p w:rsidR="00A530BC" w:rsidRDefault="00A530BC" w:rsidP="00A530BC"/>
    <w:p w:rsidR="00F578FA" w:rsidRPr="00F626E5" w:rsidRDefault="00A530BC" w:rsidP="00A530BC">
      <w:pPr>
        <w:ind w:left="718" w:hanging="718"/>
      </w:pPr>
      <w:r>
        <w:t>4.4.2</w:t>
      </w:r>
      <w:r>
        <w:tab/>
      </w:r>
      <w:r w:rsidR="00F578FA" w:rsidRPr="00F626E5">
        <w:t>The relationship between a bank and its customer is contractual.</w:t>
      </w:r>
      <w:r w:rsidR="00F578FA" w:rsidRPr="00F626E5">
        <w:rPr>
          <w:rStyle w:val="FootnoteReference"/>
        </w:rPr>
        <w:footnoteReference w:id="47"/>
      </w:r>
      <w:r w:rsidR="00F578FA" w:rsidRPr="00F626E5">
        <w:t xml:space="preserve"> However, imparted into this relationship is</w:t>
      </w:r>
      <w:r w:rsidR="0032556D">
        <w:t xml:space="preserve"> a common law duty of </w:t>
      </w:r>
      <w:proofErr w:type="gramStart"/>
      <w:r w:rsidR="0032556D">
        <w:t>confidence</w:t>
      </w:r>
      <w:r w:rsidR="00F578FA" w:rsidRPr="00F626E5">
        <w:t>.</w:t>
      </w:r>
      <w:proofErr w:type="gramEnd"/>
      <w:r w:rsidR="00F578FA" w:rsidRPr="00F626E5">
        <w:t xml:space="preserve"> It is founded on the expectation that banks will keep their customer’s personal and financial information secret.</w:t>
      </w:r>
      <w:r w:rsidR="00F578FA" w:rsidRPr="00F626E5">
        <w:rPr>
          <w:rStyle w:val="FootnoteReference"/>
        </w:rPr>
        <w:footnoteReference w:id="48"/>
      </w:r>
      <w:r w:rsidR="0032556D">
        <w:t xml:space="preserve"> </w:t>
      </w:r>
      <w:r w:rsidR="00F578FA" w:rsidRPr="00F626E5">
        <w:t xml:space="preserve">Concerns have been raised that by reporting suspected financial elder abuse, a bank opens itself to liability </w:t>
      </w:r>
      <w:r w:rsidR="0032556D">
        <w:t>regarding breach of</w:t>
      </w:r>
      <w:r w:rsidR="00F578FA" w:rsidRPr="00F626E5">
        <w:t xml:space="preserve"> confidentiality. </w:t>
      </w:r>
    </w:p>
    <w:p w:rsidR="00F578FA" w:rsidRPr="00F626E5" w:rsidRDefault="00F578FA" w:rsidP="00F578FA">
      <w:pPr>
        <w:pStyle w:val="ListParagraph"/>
        <w:ind w:left="360"/>
      </w:pPr>
    </w:p>
    <w:p w:rsidR="0052525B" w:rsidRDefault="00A530BC" w:rsidP="0052525B">
      <w:pPr>
        <w:ind w:left="718" w:hanging="718"/>
      </w:pPr>
      <w:r>
        <w:t>4.4.3</w:t>
      </w:r>
      <w:r>
        <w:tab/>
      </w:r>
      <w:r w:rsidR="00F578FA" w:rsidRPr="00F626E5">
        <w:t>Only four exceptions are available</w:t>
      </w:r>
      <w:r w:rsidR="0032556D">
        <w:t xml:space="preserve"> as a defence to a possible breach of confidence</w:t>
      </w:r>
      <w:r w:rsidR="00F578FA" w:rsidRPr="00F626E5">
        <w:t xml:space="preserve">. These include: </w:t>
      </w:r>
    </w:p>
    <w:p w:rsidR="0052525B" w:rsidRDefault="0052525B" w:rsidP="0052525B">
      <w:pPr>
        <w:ind w:left="718" w:hanging="718"/>
      </w:pPr>
    </w:p>
    <w:p w:rsidR="0052525B" w:rsidRDefault="00F578FA" w:rsidP="0052525B">
      <w:pPr>
        <w:pStyle w:val="ListParagraph"/>
        <w:numPr>
          <w:ilvl w:val="0"/>
          <w:numId w:val="40"/>
        </w:numPr>
      </w:pPr>
      <w:r w:rsidRPr="00F626E5">
        <w:t>Disclosure compulsory under law;</w:t>
      </w:r>
    </w:p>
    <w:p w:rsidR="0052525B" w:rsidRDefault="00F578FA" w:rsidP="0052525B">
      <w:pPr>
        <w:pStyle w:val="ListParagraph"/>
        <w:numPr>
          <w:ilvl w:val="0"/>
          <w:numId w:val="40"/>
        </w:numPr>
      </w:pPr>
      <w:r w:rsidRPr="00F626E5">
        <w:t xml:space="preserve">Public duty to disclose; </w:t>
      </w:r>
    </w:p>
    <w:p w:rsidR="0052525B" w:rsidRDefault="00F578FA" w:rsidP="0052525B">
      <w:pPr>
        <w:pStyle w:val="ListParagraph"/>
        <w:numPr>
          <w:ilvl w:val="0"/>
          <w:numId w:val="40"/>
        </w:numPr>
      </w:pPr>
      <w:r w:rsidRPr="00F626E5">
        <w:t xml:space="preserve">The bank’s interests require disclosure; or </w:t>
      </w:r>
    </w:p>
    <w:p w:rsidR="00F578FA" w:rsidRPr="00F626E5" w:rsidRDefault="00F578FA" w:rsidP="0052525B">
      <w:pPr>
        <w:pStyle w:val="ListParagraph"/>
        <w:numPr>
          <w:ilvl w:val="0"/>
          <w:numId w:val="40"/>
        </w:numPr>
      </w:pPr>
      <w:r w:rsidRPr="00F626E5">
        <w:t>The disclosure is made with express or implied consent from the customer.</w:t>
      </w:r>
      <w:r w:rsidRPr="00F626E5">
        <w:rPr>
          <w:rStyle w:val="FootnoteReference"/>
        </w:rPr>
        <w:footnoteReference w:id="49"/>
      </w:r>
      <w:r w:rsidRPr="00F626E5">
        <w:t xml:space="preserve"> </w:t>
      </w:r>
    </w:p>
    <w:p w:rsidR="00F578FA" w:rsidRPr="00F626E5" w:rsidRDefault="00F578FA" w:rsidP="00F578FA"/>
    <w:p w:rsidR="00F578FA" w:rsidRPr="00F626E5" w:rsidRDefault="00A530BC" w:rsidP="00A530BC">
      <w:pPr>
        <w:ind w:left="720" w:hanging="720"/>
      </w:pPr>
      <w:r>
        <w:t>4.4.4</w:t>
      </w:r>
      <w:r>
        <w:tab/>
      </w:r>
      <w:r w:rsidR="00F578FA" w:rsidRPr="00F626E5">
        <w:t xml:space="preserve">It is likely that banks would be able to </w:t>
      </w:r>
      <w:r w:rsidR="0032556D">
        <w:t>rely on a</w:t>
      </w:r>
      <w:r w:rsidR="00F578FA" w:rsidRPr="00F626E5">
        <w:t xml:space="preserve"> defence under at least one of the above, particularly exceptions two, three and four.</w:t>
      </w:r>
      <w:r w:rsidR="00F578FA" w:rsidRPr="00F626E5">
        <w:rPr>
          <w:rStyle w:val="FootnoteReference"/>
        </w:rPr>
        <w:footnoteReference w:id="50"/>
      </w:r>
      <w:r w:rsidR="00F578FA" w:rsidRPr="00F626E5">
        <w:t xml:space="preserve"> However, the possibility of liability under the bank’s contractual duty to its customer does not aid in incentivising reporting.</w:t>
      </w:r>
      <w:r w:rsidR="00F578FA" w:rsidRPr="00F626E5">
        <w:rPr>
          <w:rStyle w:val="FootnoteReference"/>
        </w:rPr>
        <w:footnoteReference w:id="51"/>
      </w:r>
    </w:p>
    <w:p w:rsidR="0032556D" w:rsidRDefault="0032556D" w:rsidP="007C078B">
      <w:pPr>
        <w:rPr>
          <w:u w:val="single"/>
        </w:rPr>
      </w:pPr>
    </w:p>
    <w:p w:rsidR="00324A66" w:rsidRPr="0032556D" w:rsidRDefault="00EF4042" w:rsidP="005C2226">
      <w:pPr>
        <w:ind w:firstLine="720"/>
        <w:rPr>
          <w:u w:val="single"/>
        </w:rPr>
      </w:pPr>
      <w:r w:rsidRPr="0032556D">
        <w:rPr>
          <w:u w:val="single"/>
        </w:rPr>
        <w:t>Equity</w:t>
      </w:r>
    </w:p>
    <w:p w:rsidR="00A53034" w:rsidRPr="0032556D" w:rsidRDefault="00A53034" w:rsidP="007C078B"/>
    <w:p w:rsidR="00F578FA" w:rsidRPr="005C2226" w:rsidRDefault="005C2226" w:rsidP="005C2226">
      <w:pPr>
        <w:ind w:left="720" w:hanging="720"/>
        <w:rPr>
          <w:rFonts w:cs="Times New Roman"/>
        </w:rPr>
      </w:pPr>
      <w:r>
        <w:rPr>
          <w:rFonts w:cs="Times New Roman"/>
        </w:rPr>
        <w:t>4.4.5</w:t>
      </w:r>
      <w:r>
        <w:rPr>
          <w:rFonts w:cs="Times New Roman"/>
        </w:rPr>
        <w:tab/>
      </w:r>
      <w:r w:rsidR="0032556D" w:rsidRPr="005C2226">
        <w:rPr>
          <w:rFonts w:cs="Times New Roman"/>
        </w:rPr>
        <w:t>Financial institutions</w:t>
      </w:r>
      <w:r w:rsidR="00F578FA" w:rsidRPr="005C2226">
        <w:rPr>
          <w:rFonts w:cs="Times New Roman"/>
        </w:rPr>
        <w:t xml:space="preserve"> must also be mindful </w:t>
      </w:r>
      <w:r w:rsidR="0032556D" w:rsidRPr="005C2226">
        <w:rPr>
          <w:rFonts w:cs="Times New Roman"/>
        </w:rPr>
        <w:t xml:space="preserve">of their equitable duty stipulating </w:t>
      </w:r>
      <w:r w:rsidR="00F578FA" w:rsidRPr="005C2226">
        <w:rPr>
          <w:rFonts w:cs="Times New Roman"/>
        </w:rPr>
        <w:t xml:space="preserve">that a person who receives information in confidence shall not take unfair </w:t>
      </w:r>
      <w:r w:rsidR="00F578FA" w:rsidRPr="005C2226">
        <w:rPr>
          <w:rFonts w:cs="Times New Roman"/>
        </w:rPr>
        <w:lastRenderedPageBreak/>
        <w:t>advantage of it.</w:t>
      </w:r>
      <w:r w:rsidR="00F578FA" w:rsidRPr="0032556D">
        <w:rPr>
          <w:rStyle w:val="FootnoteReference"/>
          <w:rFonts w:cs="Times New Roman"/>
        </w:rPr>
        <w:footnoteReference w:id="52"/>
      </w:r>
      <w:r w:rsidR="00F578FA" w:rsidRPr="005C2226">
        <w:rPr>
          <w:rFonts w:cs="Times New Roman"/>
        </w:rPr>
        <w:t xml:space="preserve"> In the case of financial elder abuse, this would require unauthorised use of confidential information, combined with said use being detrimental to the elderly customer.</w:t>
      </w:r>
      <w:r w:rsidR="00F578FA" w:rsidRPr="0032556D">
        <w:rPr>
          <w:rStyle w:val="FootnoteReference"/>
          <w:rFonts w:cs="Times New Roman"/>
        </w:rPr>
        <w:footnoteReference w:id="53"/>
      </w:r>
      <w:r w:rsidR="00F578FA" w:rsidRPr="005C2226">
        <w:rPr>
          <w:rFonts w:cs="Times New Roman"/>
        </w:rPr>
        <w:t xml:space="preserve"> </w:t>
      </w:r>
    </w:p>
    <w:p w:rsidR="00F578FA" w:rsidRPr="0032556D" w:rsidRDefault="00F578FA" w:rsidP="00F578FA">
      <w:pPr>
        <w:pStyle w:val="ListParagraph"/>
        <w:ind w:left="360"/>
        <w:rPr>
          <w:rFonts w:cs="Times New Roman"/>
        </w:rPr>
      </w:pPr>
    </w:p>
    <w:p w:rsidR="00F578FA" w:rsidRPr="005C2226" w:rsidRDefault="005C2226" w:rsidP="005C2226">
      <w:pPr>
        <w:ind w:left="720" w:hanging="720"/>
        <w:rPr>
          <w:rFonts w:cs="Times New Roman"/>
        </w:rPr>
      </w:pPr>
      <w:r>
        <w:rPr>
          <w:rFonts w:cs="Times New Roman"/>
        </w:rPr>
        <w:t>4.4.6</w:t>
      </w:r>
      <w:r>
        <w:rPr>
          <w:rFonts w:cs="Times New Roman"/>
        </w:rPr>
        <w:tab/>
      </w:r>
      <w:r w:rsidR="00F578FA" w:rsidRPr="005C2226">
        <w:rPr>
          <w:rFonts w:cs="Times New Roman"/>
        </w:rPr>
        <w:t>While authorised use is generally restrained to the purpose for which the information was disclosed, which would exclude the purpose of reporting suspected abuse, there is some authority to suggest that public safety can be taken into account.</w:t>
      </w:r>
      <w:r w:rsidR="00F578FA" w:rsidRPr="0032556D">
        <w:rPr>
          <w:rStyle w:val="FootnoteReference"/>
          <w:rFonts w:cs="Times New Roman"/>
        </w:rPr>
        <w:footnoteReference w:id="54"/>
      </w:r>
      <w:r w:rsidR="00F578FA" w:rsidRPr="005C2226">
        <w:rPr>
          <w:rFonts w:cs="Times New Roman"/>
        </w:rPr>
        <w:t xml:space="preserve"> However, it is considered more likely that the reporting of suspected abuse would constitute an unauthorised disclosure unless the bank has obtained prior consent. This creates an additional source of potential liability for banks that de-incentivises taking action against suspected abuse.</w:t>
      </w:r>
      <w:r w:rsidR="00F578FA" w:rsidRPr="0032556D">
        <w:rPr>
          <w:rStyle w:val="FootnoteReference"/>
          <w:rFonts w:cs="Times New Roman"/>
        </w:rPr>
        <w:footnoteReference w:id="55"/>
      </w:r>
      <w:r w:rsidR="00F578FA" w:rsidRPr="005C2226">
        <w:rPr>
          <w:rFonts w:cs="Times New Roman"/>
        </w:rPr>
        <w:t xml:space="preserve"> </w:t>
      </w:r>
    </w:p>
    <w:p w:rsidR="00730274" w:rsidRPr="0032556D" w:rsidRDefault="00730274" w:rsidP="00A53034"/>
    <w:p w:rsidR="00730274" w:rsidRPr="0032556D" w:rsidRDefault="002D3755" w:rsidP="00535556">
      <w:pPr>
        <w:ind w:left="720"/>
        <w:rPr>
          <w:u w:val="single"/>
        </w:rPr>
      </w:pPr>
      <w:r w:rsidRPr="0032556D">
        <w:rPr>
          <w:u w:val="single"/>
        </w:rPr>
        <w:t>E</w:t>
      </w:r>
      <w:r w:rsidR="0032556D">
        <w:rPr>
          <w:u w:val="single"/>
        </w:rPr>
        <w:t>lectronic Funds Transfer</w:t>
      </w:r>
      <w:r w:rsidRPr="0032556D">
        <w:rPr>
          <w:u w:val="single"/>
        </w:rPr>
        <w:t xml:space="preserve"> Code</w:t>
      </w:r>
      <w:r w:rsidR="001A1DCD">
        <w:rPr>
          <w:u w:val="single"/>
        </w:rPr>
        <w:t xml:space="preserve"> of Conduct</w:t>
      </w:r>
      <w:r w:rsidRPr="0032556D">
        <w:rPr>
          <w:u w:val="single"/>
        </w:rPr>
        <w:t xml:space="preserve">, </w:t>
      </w:r>
      <w:r w:rsidR="00730274" w:rsidRPr="0032556D">
        <w:rPr>
          <w:u w:val="single"/>
        </w:rPr>
        <w:t>ASIC Act</w:t>
      </w:r>
      <w:r w:rsidRPr="0032556D">
        <w:rPr>
          <w:u w:val="single"/>
        </w:rPr>
        <w:t xml:space="preserve">, </w:t>
      </w:r>
      <w:r w:rsidR="0032556D">
        <w:rPr>
          <w:u w:val="single"/>
        </w:rPr>
        <w:t>Banking and Financial Ombudsman</w:t>
      </w:r>
      <w:r w:rsidRPr="0032556D">
        <w:rPr>
          <w:u w:val="single"/>
        </w:rPr>
        <w:t xml:space="preserve"> Scheme</w:t>
      </w:r>
      <w:r w:rsidR="00F0474B" w:rsidRPr="0032556D">
        <w:rPr>
          <w:u w:val="single"/>
        </w:rPr>
        <w:t xml:space="preserve"> </w:t>
      </w:r>
    </w:p>
    <w:p w:rsidR="00D41849" w:rsidRPr="0032556D" w:rsidRDefault="00D41849" w:rsidP="00A53034">
      <w:pPr>
        <w:rPr>
          <w:highlight w:val="yellow"/>
          <w:u w:val="single"/>
        </w:rPr>
      </w:pPr>
    </w:p>
    <w:p w:rsidR="00BA32E9" w:rsidRPr="0032556D" w:rsidRDefault="00535556" w:rsidP="00535556">
      <w:pPr>
        <w:ind w:left="720" w:hanging="720"/>
      </w:pPr>
      <w:r>
        <w:t>4.4.7</w:t>
      </w:r>
      <w:r>
        <w:tab/>
      </w:r>
      <w:r w:rsidR="00341093" w:rsidRPr="0032556D">
        <w:t xml:space="preserve">There is additional legislation that reinforces the obligations of banks to protect customer confidentiality. </w:t>
      </w:r>
    </w:p>
    <w:p w:rsidR="00BA32E9" w:rsidRPr="0032556D" w:rsidRDefault="00215720" w:rsidP="00215720">
      <w:pPr>
        <w:pStyle w:val="ListParagraph"/>
        <w:tabs>
          <w:tab w:val="left" w:pos="6747"/>
        </w:tabs>
        <w:ind w:left="360"/>
      </w:pPr>
      <w:r>
        <w:tab/>
        <w:t xml:space="preserve"> </w:t>
      </w:r>
    </w:p>
    <w:p w:rsidR="00D41849" w:rsidRPr="0032556D" w:rsidRDefault="0052525B" w:rsidP="0052525B">
      <w:pPr>
        <w:ind w:left="720" w:hanging="720"/>
      </w:pPr>
      <w:r>
        <w:t>4.4.8</w:t>
      </w:r>
      <w:r>
        <w:tab/>
      </w:r>
      <w:r w:rsidR="00BA32E9" w:rsidRPr="0032556D">
        <w:t xml:space="preserve">The </w:t>
      </w:r>
      <w:r w:rsidR="001A1DCD">
        <w:t>Electronic Funds Transfer (EFT)</w:t>
      </w:r>
      <w:r w:rsidR="00BA32E9" w:rsidRPr="0032556D">
        <w:t xml:space="preserve"> Code</w:t>
      </w:r>
      <w:r w:rsidR="001A1DCD">
        <w:t xml:space="preserve"> of Conduct</w:t>
      </w:r>
      <w:r w:rsidR="00BA32E9" w:rsidRPr="0032556D">
        <w:t xml:space="preserve"> requires participating institutions to protect consumer privacy.</w:t>
      </w:r>
      <w:r w:rsidR="00C91BCC" w:rsidRPr="0032556D">
        <w:rPr>
          <w:rStyle w:val="FootnoteReference"/>
        </w:rPr>
        <w:footnoteReference w:id="56"/>
      </w:r>
      <w:r w:rsidR="002A4622">
        <w:t xml:space="preserve"> </w:t>
      </w:r>
      <w:r w:rsidR="002D3755" w:rsidRPr="0032556D">
        <w:t>The ASIC Act prevents unconscionable conduct in relation to financial services.</w:t>
      </w:r>
      <w:r w:rsidR="00BA32E9" w:rsidRPr="0032556D">
        <w:rPr>
          <w:rStyle w:val="FootnoteReference"/>
        </w:rPr>
        <w:footnoteReference w:id="57"/>
      </w:r>
      <w:r w:rsidR="002D3755" w:rsidRPr="0032556D">
        <w:t xml:space="preserve"> It also requires </w:t>
      </w:r>
      <w:r w:rsidR="00BA32E9" w:rsidRPr="0032556D">
        <w:t>that banks promote the protection of consumer interests generally.</w:t>
      </w:r>
      <w:r w:rsidR="00BA32E9" w:rsidRPr="0032556D">
        <w:rPr>
          <w:rStyle w:val="FootnoteReference"/>
        </w:rPr>
        <w:footnoteReference w:id="58"/>
      </w:r>
    </w:p>
    <w:p w:rsidR="00122D37" w:rsidRPr="0032556D" w:rsidRDefault="00122D37" w:rsidP="00122D37">
      <w:pPr>
        <w:pStyle w:val="ListParagraph"/>
        <w:ind w:left="360"/>
      </w:pPr>
    </w:p>
    <w:p w:rsidR="00116B92" w:rsidRPr="0032556D" w:rsidRDefault="0052525B" w:rsidP="0052525B">
      <w:pPr>
        <w:ind w:left="720" w:hanging="720"/>
      </w:pPr>
      <w:r>
        <w:t>4.4.9</w:t>
      </w:r>
      <w:r>
        <w:tab/>
      </w:r>
      <w:r w:rsidR="00493AFF" w:rsidRPr="0032556D">
        <w:t>A</w:t>
      </w:r>
      <w:r w:rsidR="00017215" w:rsidRPr="0032556D">
        <w:t xml:space="preserve">SIC also offers </w:t>
      </w:r>
      <w:r w:rsidR="00B00E68" w:rsidRPr="0032556D">
        <w:t xml:space="preserve">the </w:t>
      </w:r>
      <w:r w:rsidR="0032556D">
        <w:t>Banking and Financial Ombudsman (BFSO)</w:t>
      </w:r>
      <w:r w:rsidR="00B00E68" w:rsidRPr="0032556D">
        <w:t xml:space="preserve"> self-regulatory scheme, which provides an independent service for banking customers to report complaints about their banks, which </w:t>
      </w:r>
      <w:r w:rsidR="003D1590" w:rsidRPr="0032556D">
        <w:t xml:space="preserve">could </w:t>
      </w:r>
      <w:proofErr w:type="spellStart"/>
      <w:r w:rsidR="003D1590" w:rsidRPr="0032556D">
        <w:t>foreseeably</w:t>
      </w:r>
      <w:proofErr w:type="spellEnd"/>
      <w:r w:rsidR="003D1590" w:rsidRPr="0032556D">
        <w:t xml:space="preserve"> include circumstances where banks either wrongly suspected, or failed to report, financial elder abuse. </w:t>
      </w:r>
      <w:r w:rsidR="00D05E0A" w:rsidRPr="0032556D">
        <w:t>This fails to provide a positive obligation for banks to reports s</w:t>
      </w:r>
      <w:r w:rsidR="0032556D">
        <w:t>uspected abuse</w:t>
      </w:r>
      <w:r w:rsidR="00F30654" w:rsidRPr="0032556D">
        <w:t>.</w:t>
      </w:r>
      <w:r w:rsidR="00F30654" w:rsidRPr="0032556D">
        <w:rPr>
          <w:rStyle w:val="FootnoteReference"/>
        </w:rPr>
        <w:footnoteReference w:id="59"/>
      </w:r>
    </w:p>
    <w:p w:rsidR="00116B92" w:rsidRPr="0032556D" w:rsidRDefault="00116B92" w:rsidP="00A53034"/>
    <w:p w:rsidR="006F5757" w:rsidRPr="0032556D" w:rsidRDefault="00A447BF" w:rsidP="006F5757">
      <w:pPr>
        <w:ind w:left="720" w:hanging="720"/>
      </w:pPr>
      <w:r>
        <w:t>4.4.10</w:t>
      </w:r>
      <w:r>
        <w:tab/>
      </w:r>
      <w:r w:rsidR="00A53034" w:rsidRPr="0032556D">
        <w:t xml:space="preserve">The ASIC Act prevents unconscionable </w:t>
      </w:r>
      <w:proofErr w:type="gramStart"/>
      <w:r w:rsidR="00A53034" w:rsidRPr="0032556D">
        <w:t>conduct</w:t>
      </w:r>
      <w:proofErr w:type="gramEnd"/>
      <w:r w:rsidR="00A53034" w:rsidRPr="0032556D">
        <w:t xml:space="preserve"> in relation to financial services.</w:t>
      </w:r>
      <w:r w:rsidR="00A53034" w:rsidRPr="0032556D">
        <w:rPr>
          <w:rStyle w:val="FootnoteReference"/>
        </w:rPr>
        <w:footnoteReference w:id="60"/>
      </w:r>
      <w:r w:rsidR="00A53034" w:rsidRPr="0032556D">
        <w:t xml:space="preserve"> The BFSO regulato</w:t>
      </w:r>
      <w:r w:rsidR="0032556D">
        <w:t>ry scheme is monitored by ASIC and provides an</w:t>
      </w:r>
      <w:r w:rsidR="00A53034" w:rsidRPr="0032556D">
        <w:t xml:space="preserve"> independent way to address the complaints of bank</w:t>
      </w:r>
      <w:r w:rsidR="0032556D">
        <w:t>ing</w:t>
      </w:r>
      <w:r w:rsidR="00A53034" w:rsidRPr="0032556D">
        <w:t xml:space="preserve"> customers.</w:t>
      </w:r>
      <w:r w:rsidR="00A53034" w:rsidRPr="0032556D">
        <w:rPr>
          <w:rStyle w:val="FootnoteReference"/>
        </w:rPr>
        <w:footnoteReference w:id="61"/>
      </w:r>
      <w:r w:rsidR="00A53034" w:rsidRPr="0032556D">
        <w:t xml:space="preserve"> It is at the bank’s discretion as to whether they will adopt this. The BFSO is of the opinion that it is arguably in the bank’s best interests to disclose confidential information where fraud is a real possibility. </w:t>
      </w:r>
    </w:p>
    <w:p w:rsidR="004B4066" w:rsidRPr="0032556D" w:rsidRDefault="00A447BF" w:rsidP="00EC5697">
      <w:pPr>
        <w:pStyle w:val="Heading2"/>
        <w:rPr>
          <w:sz w:val="24"/>
          <w:szCs w:val="24"/>
        </w:rPr>
      </w:pPr>
      <w:bookmarkStart w:id="8" w:name="_Toc328376993"/>
      <w:r>
        <w:rPr>
          <w:sz w:val="24"/>
          <w:szCs w:val="24"/>
        </w:rPr>
        <w:t>4.5</w:t>
      </w:r>
      <w:r w:rsidR="00493AFF" w:rsidRPr="0032556D">
        <w:rPr>
          <w:sz w:val="24"/>
          <w:szCs w:val="24"/>
        </w:rPr>
        <w:t xml:space="preserve"> </w:t>
      </w:r>
      <w:r>
        <w:rPr>
          <w:sz w:val="24"/>
          <w:szCs w:val="24"/>
        </w:rPr>
        <w:tab/>
      </w:r>
      <w:r w:rsidR="004B4066" w:rsidRPr="0032556D">
        <w:rPr>
          <w:sz w:val="24"/>
          <w:szCs w:val="24"/>
        </w:rPr>
        <w:t>Banker-Customer Relationship</w:t>
      </w:r>
      <w:bookmarkEnd w:id="8"/>
    </w:p>
    <w:p w:rsidR="00233274" w:rsidRPr="0032556D" w:rsidRDefault="00233274" w:rsidP="004B4066"/>
    <w:p w:rsidR="00C93CC4" w:rsidRPr="0032556D" w:rsidRDefault="00A447BF" w:rsidP="00A447BF">
      <w:pPr>
        <w:ind w:left="720" w:hanging="720"/>
      </w:pPr>
      <w:r>
        <w:t>4.5.1</w:t>
      </w:r>
      <w:r>
        <w:tab/>
      </w:r>
      <w:r w:rsidR="00233274" w:rsidRPr="0032556D">
        <w:t xml:space="preserve">While the relationship between a banker and a customer is inherently contractual, there is potentially a fiduciary duty that arises in some </w:t>
      </w:r>
      <w:r w:rsidR="00233274" w:rsidRPr="0032556D">
        <w:lastRenderedPageBreak/>
        <w:t>circum</w:t>
      </w:r>
      <w:r w:rsidR="00505EAC" w:rsidRPr="0032556D">
        <w:t xml:space="preserve">stances. These include </w:t>
      </w:r>
      <w:r w:rsidR="003D0C15" w:rsidRPr="0032556D">
        <w:rPr>
          <w:rFonts w:cs="Times New Roman"/>
        </w:rPr>
        <w:t>len</w:t>
      </w:r>
      <w:r w:rsidR="00505EAC" w:rsidRPr="0032556D">
        <w:rPr>
          <w:rFonts w:cs="Times New Roman"/>
        </w:rPr>
        <w:t xml:space="preserve">ding or guarantee transactions </w:t>
      </w:r>
      <w:r w:rsidR="003D0C15" w:rsidRPr="0032556D">
        <w:rPr>
          <w:rFonts w:cs="Times New Roman"/>
        </w:rPr>
        <w:t>or where the bank advises customers on the merit of particular transactions.</w:t>
      </w:r>
      <w:r w:rsidR="0005097A" w:rsidRPr="0032556D">
        <w:rPr>
          <w:rStyle w:val="FootnoteReference"/>
          <w:rFonts w:cs="Times New Roman"/>
        </w:rPr>
        <w:footnoteReference w:id="62"/>
      </w:r>
      <w:r w:rsidR="003D0C15" w:rsidRPr="0032556D">
        <w:rPr>
          <w:rFonts w:cs="Times New Roman"/>
        </w:rPr>
        <w:t xml:space="preserve"> </w:t>
      </w:r>
    </w:p>
    <w:p w:rsidR="00C93CC4" w:rsidRPr="0032556D" w:rsidRDefault="00C93CC4" w:rsidP="00C93CC4">
      <w:pPr>
        <w:pStyle w:val="ListParagraph"/>
        <w:ind w:left="360"/>
      </w:pPr>
    </w:p>
    <w:p w:rsidR="003D0C15" w:rsidRPr="0032556D" w:rsidRDefault="00A447BF" w:rsidP="00A447BF">
      <w:pPr>
        <w:ind w:left="720" w:hanging="720"/>
      </w:pPr>
      <w:r>
        <w:rPr>
          <w:rFonts w:cs="Times New Roman"/>
        </w:rPr>
        <w:t>4.5.2</w:t>
      </w:r>
      <w:r>
        <w:rPr>
          <w:rFonts w:cs="Times New Roman"/>
        </w:rPr>
        <w:tab/>
      </w:r>
      <w:r w:rsidR="003D0C15" w:rsidRPr="00A447BF">
        <w:rPr>
          <w:rFonts w:cs="Times New Roman"/>
        </w:rPr>
        <w:t xml:space="preserve">A test for fiduciary relations has been described in </w:t>
      </w:r>
      <w:proofErr w:type="spellStart"/>
      <w:r w:rsidR="003D0C15" w:rsidRPr="00A447BF">
        <w:rPr>
          <w:rFonts w:cs="Times New Roman"/>
          <w:i/>
          <w:iCs/>
        </w:rPr>
        <w:t>Timms</w:t>
      </w:r>
      <w:proofErr w:type="spellEnd"/>
      <w:r w:rsidR="003D0C15" w:rsidRPr="00A447BF">
        <w:rPr>
          <w:rFonts w:cs="Times New Roman"/>
          <w:i/>
          <w:iCs/>
        </w:rPr>
        <w:t xml:space="preserve"> v Comm</w:t>
      </w:r>
      <w:r w:rsidR="00D739DA" w:rsidRPr="00A447BF">
        <w:rPr>
          <w:rFonts w:cs="Times New Roman"/>
          <w:i/>
          <w:iCs/>
        </w:rPr>
        <w:t>onwealth Bank of Australia</w:t>
      </w:r>
      <w:r w:rsidR="003D0C15" w:rsidRPr="0032556D">
        <w:rPr>
          <w:rStyle w:val="FootnoteReference"/>
          <w:rFonts w:cs="Times New Roman"/>
        </w:rPr>
        <w:footnoteReference w:id="63"/>
      </w:r>
      <w:r w:rsidR="003D0C15" w:rsidRPr="00A447BF">
        <w:rPr>
          <w:rFonts w:cs="Times New Roman"/>
        </w:rPr>
        <w:t xml:space="preserve"> as</w:t>
      </w:r>
      <w:r w:rsidR="007D3765" w:rsidRPr="00A447BF">
        <w:rPr>
          <w:rFonts w:cs="Times New Roman"/>
        </w:rPr>
        <w:t>:</w:t>
      </w:r>
      <w:r w:rsidR="003D0C15" w:rsidRPr="00A447BF">
        <w:rPr>
          <w:rFonts w:cs="Times New Roman"/>
        </w:rPr>
        <w:t xml:space="preserve"> </w:t>
      </w:r>
    </w:p>
    <w:p w:rsidR="003D0C15" w:rsidRPr="0032556D" w:rsidRDefault="003D0C15" w:rsidP="003D0C15">
      <w:pPr>
        <w:rPr>
          <w:rFonts w:cs="Times New Roman"/>
        </w:rPr>
      </w:pPr>
    </w:p>
    <w:p w:rsidR="007D3765" w:rsidRPr="0032556D" w:rsidRDefault="003D0C15" w:rsidP="00A447BF">
      <w:pPr>
        <w:ind w:left="1440"/>
        <w:rPr>
          <w:rFonts w:cs="Times New Roman"/>
        </w:rPr>
      </w:pPr>
      <w:r w:rsidRPr="0032556D">
        <w:rPr>
          <w:rFonts w:cs="Times New Roman"/>
        </w:rPr>
        <w:t>‘Whether the bank has, by its actions, engendered in the customer an expectation inconsistent with the bank’s acting in its own interests to protect its position as lender. Such an expectation may arise where the customer may fairly take it that to a significant extent his interest is consistent with that of the bank in financing the customer f</w:t>
      </w:r>
      <w:r w:rsidR="00917562" w:rsidRPr="0032556D">
        <w:rPr>
          <w:rFonts w:cs="Times New Roman"/>
        </w:rPr>
        <w:t>or a prudent business venture.’</w:t>
      </w:r>
      <w:r w:rsidRPr="0032556D">
        <w:rPr>
          <w:rFonts w:cs="Times New Roman"/>
        </w:rPr>
        <w:t xml:space="preserve"> </w:t>
      </w:r>
    </w:p>
    <w:p w:rsidR="007D3765" w:rsidRPr="0032556D" w:rsidRDefault="007D3765" w:rsidP="007D3765">
      <w:pPr>
        <w:rPr>
          <w:rFonts w:cs="Times New Roman"/>
        </w:rPr>
      </w:pPr>
    </w:p>
    <w:p w:rsidR="00971F24" w:rsidRPr="00A447BF" w:rsidRDefault="00A447BF" w:rsidP="00A447BF">
      <w:pPr>
        <w:ind w:left="720" w:hanging="720"/>
        <w:rPr>
          <w:rFonts w:cs="Times New Roman"/>
        </w:rPr>
      </w:pPr>
      <w:r>
        <w:rPr>
          <w:rFonts w:cs="Times New Roman"/>
        </w:rPr>
        <w:t>4.5.3</w:t>
      </w:r>
      <w:r>
        <w:rPr>
          <w:rFonts w:cs="Times New Roman"/>
        </w:rPr>
        <w:tab/>
      </w:r>
      <w:r w:rsidR="000D46C4" w:rsidRPr="00A447BF">
        <w:rPr>
          <w:rFonts w:cs="Times New Roman"/>
        </w:rPr>
        <w:t>M</w:t>
      </w:r>
      <w:r w:rsidR="003D0C15" w:rsidRPr="00A447BF">
        <w:rPr>
          <w:rFonts w:cs="Times New Roman"/>
        </w:rPr>
        <w:t xml:space="preserve">ore recently it was reaffirmed in </w:t>
      </w:r>
      <w:r w:rsidR="003D0C15" w:rsidRPr="00A447BF">
        <w:rPr>
          <w:rFonts w:cs="Times New Roman"/>
          <w:i/>
          <w:iCs/>
        </w:rPr>
        <w:t>Finding v Commonwealth Bank of Australia</w:t>
      </w:r>
      <w:r w:rsidR="00D739DA" w:rsidRPr="00A447BF">
        <w:rPr>
          <w:rFonts w:cs="Times New Roman"/>
        </w:rPr>
        <w:t>,</w:t>
      </w:r>
      <w:r w:rsidR="003D0C15" w:rsidRPr="0032556D">
        <w:rPr>
          <w:rStyle w:val="FootnoteReference"/>
          <w:rFonts w:cs="Times New Roman"/>
        </w:rPr>
        <w:footnoteReference w:id="64"/>
      </w:r>
      <w:r w:rsidR="003D0C15" w:rsidRPr="00A447BF">
        <w:rPr>
          <w:rFonts w:cs="Times New Roman"/>
        </w:rPr>
        <w:t xml:space="preserve"> that the ordinary relationship between banks and customers is not fiduciary in nature, unless the circumstances give rise to a fiduciary relationship. </w:t>
      </w:r>
    </w:p>
    <w:p w:rsidR="00971F24" w:rsidRPr="0032556D" w:rsidRDefault="00971F24" w:rsidP="00971F24">
      <w:pPr>
        <w:pStyle w:val="ListParagraph"/>
        <w:ind w:left="360"/>
        <w:rPr>
          <w:rFonts w:cs="Times New Roman"/>
        </w:rPr>
      </w:pPr>
    </w:p>
    <w:p w:rsidR="00185CE1" w:rsidRPr="00A447BF" w:rsidRDefault="00A447BF" w:rsidP="00A447BF">
      <w:pPr>
        <w:ind w:left="720" w:hanging="720"/>
        <w:rPr>
          <w:rFonts w:cs="Times New Roman"/>
        </w:rPr>
      </w:pPr>
      <w:r>
        <w:rPr>
          <w:rFonts w:cs="Times New Roman"/>
        </w:rPr>
        <w:t>4.5.4</w:t>
      </w:r>
      <w:r>
        <w:rPr>
          <w:rFonts w:cs="Times New Roman"/>
        </w:rPr>
        <w:tab/>
      </w:r>
      <w:r w:rsidR="003D0C15" w:rsidRPr="00A447BF">
        <w:rPr>
          <w:rFonts w:cs="Times New Roman"/>
        </w:rPr>
        <w:t>Depending on the circumstances of the case, a bank’s duty to act on suspicious behaviour may outweigh its duty to carry out a customer’s valid manda</w:t>
      </w:r>
      <w:r w:rsidR="006F5757">
        <w:rPr>
          <w:rFonts w:cs="Times New Roman"/>
        </w:rPr>
        <w:t>te. The BFSO</w:t>
      </w:r>
      <w:r w:rsidR="003D0C15" w:rsidRPr="00A447BF">
        <w:rPr>
          <w:rFonts w:cs="Times New Roman"/>
        </w:rPr>
        <w:t xml:space="preserve"> highlights that conflicts of duties may be prevalent where there is tension between a bank’s obligation to make payment on a customer’s unambiguous written order, and their duty to question an apparently valid mandate. </w:t>
      </w:r>
    </w:p>
    <w:p w:rsidR="00185CE1" w:rsidRPr="0032556D" w:rsidRDefault="00185CE1" w:rsidP="00185CE1">
      <w:pPr>
        <w:pStyle w:val="ListParagraph"/>
        <w:ind w:left="360"/>
        <w:rPr>
          <w:rFonts w:cs="Times New Roman"/>
        </w:rPr>
      </w:pPr>
    </w:p>
    <w:p w:rsidR="00185CE1" w:rsidRPr="00A447BF" w:rsidRDefault="00A447BF" w:rsidP="00A447BF">
      <w:pPr>
        <w:ind w:left="720" w:hanging="720"/>
        <w:rPr>
          <w:rFonts w:cs="Times New Roman"/>
        </w:rPr>
      </w:pPr>
      <w:r>
        <w:rPr>
          <w:rFonts w:cs="Times New Roman"/>
        </w:rPr>
        <w:t>4.5.5</w:t>
      </w:r>
      <w:r>
        <w:rPr>
          <w:rFonts w:cs="Times New Roman"/>
        </w:rPr>
        <w:tab/>
      </w:r>
      <w:r w:rsidR="003D0C15" w:rsidRPr="00A447BF">
        <w:rPr>
          <w:rFonts w:cs="Times New Roman"/>
        </w:rPr>
        <w:t>On the one hand, under its contractual duties</w:t>
      </w:r>
      <w:r w:rsidR="00505EAC" w:rsidRPr="00A447BF">
        <w:rPr>
          <w:rFonts w:cs="Times New Roman"/>
        </w:rPr>
        <w:t>,</w:t>
      </w:r>
      <w:r w:rsidR="003D0C15" w:rsidRPr="00A447BF">
        <w:rPr>
          <w:rFonts w:cs="Times New Roman"/>
        </w:rPr>
        <w:t xml:space="preserve"> a bank must repay the cus</w:t>
      </w:r>
      <w:r w:rsidR="00505EAC" w:rsidRPr="00A447BF">
        <w:rPr>
          <w:rFonts w:cs="Times New Roman"/>
        </w:rPr>
        <w:t>tomer on the customer’s mandate. H</w:t>
      </w:r>
      <w:r w:rsidR="003D0C15" w:rsidRPr="00A447BF">
        <w:rPr>
          <w:rFonts w:cs="Times New Roman"/>
        </w:rPr>
        <w:t>owever</w:t>
      </w:r>
      <w:r w:rsidR="00505EAC" w:rsidRPr="00A447BF">
        <w:rPr>
          <w:rFonts w:cs="Times New Roman"/>
        </w:rPr>
        <w:t>,</w:t>
      </w:r>
      <w:r w:rsidR="003D0C15" w:rsidRPr="00A447BF">
        <w:rPr>
          <w:rFonts w:cs="Times New Roman"/>
        </w:rPr>
        <w:t xml:space="preserve"> on the other hand</w:t>
      </w:r>
      <w:r w:rsidR="00505EAC" w:rsidRPr="00A447BF">
        <w:rPr>
          <w:rFonts w:cs="Times New Roman"/>
        </w:rPr>
        <w:t>,</w:t>
      </w:r>
      <w:r w:rsidR="003D0C15" w:rsidRPr="00A447BF">
        <w:rPr>
          <w:rFonts w:cs="Times New Roman"/>
        </w:rPr>
        <w:t xml:space="preserve"> the bank has a duty to ensure reasonable care is exercised when carrying out that mandate, such as questioning the validity of the order. </w:t>
      </w:r>
    </w:p>
    <w:p w:rsidR="00185CE1" w:rsidRPr="0032556D" w:rsidRDefault="00185CE1" w:rsidP="00185CE1">
      <w:pPr>
        <w:pStyle w:val="ListParagraph"/>
        <w:ind w:left="360"/>
        <w:rPr>
          <w:rFonts w:cs="Times New Roman"/>
        </w:rPr>
      </w:pPr>
    </w:p>
    <w:p w:rsidR="0035552A" w:rsidRPr="00A447BF" w:rsidRDefault="00A447BF" w:rsidP="00A447BF">
      <w:pPr>
        <w:ind w:left="720" w:hanging="720"/>
        <w:rPr>
          <w:rFonts w:cs="Times New Roman"/>
        </w:rPr>
      </w:pPr>
      <w:r>
        <w:rPr>
          <w:rFonts w:cs="Times New Roman"/>
        </w:rPr>
        <w:t>4.5.6</w:t>
      </w:r>
      <w:r>
        <w:rPr>
          <w:rFonts w:cs="Times New Roman"/>
        </w:rPr>
        <w:tab/>
      </w:r>
      <w:r w:rsidR="003D0C15" w:rsidRPr="00A447BF">
        <w:rPr>
          <w:rFonts w:cs="Times New Roman"/>
        </w:rPr>
        <w:t xml:space="preserve">The BFSO made suggestions that the bank officers are not expected to be ‘detectives’ and can make the prima facie assumption that unless otherwise proven; they are dealing with honest people. However, they must not turn a blind eye where evidence indicates that there is a serious possibility of fraudulent activity. The complexity of the situation for </w:t>
      </w:r>
      <w:r w:rsidR="00505EAC" w:rsidRPr="00A447BF">
        <w:rPr>
          <w:rFonts w:cs="Times New Roman"/>
        </w:rPr>
        <w:t>financial institutions</w:t>
      </w:r>
      <w:r w:rsidR="003D0C15" w:rsidRPr="00A447BF">
        <w:rPr>
          <w:rFonts w:cs="Times New Roman"/>
        </w:rPr>
        <w:t xml:space="preserve"> to identify potential fraudulent behaviour and question a suspicious yet valid mandate causes banks </w:t>
      </w:r>
      <w:r w:rsidR="006F5757">
        <w:rPr>
          <w:rFonts w:cs="Times New Roman"/>
        </w:rPr>
        <w:t>to act cautiously when doing so.</w:t>
      </w:r>
      <w:r w:rsidR="003D0C15" w:rsidRPr="00A447BF">
        <w:rPr>
          <w:rFonts w:cs="Times New Roman"/>
        </w:rPr>
        <w:t xml:space="preserve"> </w:t>
      </w:r>
      <w:r w:rsidR="006F5757">
        <w:rPr>
          <w:rFonts w:cs="Times New Roman"/>
        </w:rPr>
        <w:t>This</w:t>
      </w:r>
      <w:r w:rsidR="003D0C15" w:rsidRPr="00A447BF">
        <w:rPr>
          <w:rFonts w:cs="Times New Roman"/>
        </w:rPr>
        <w:t xml:space="preserve"> may result in less challenges from the banks to possible cases of abuse, thus less abuse is identified. </w:t>
      </w:r>
    </w:p>
    <w:p w:rsidR="0035552A" w:rsidRPr="0032556D" w:rsidRDefault="0035552A" w:rsidP="0035552A">
      <w:pPr>
        <w:pStyle w:val="ListParagraph"/>
        <w:ind w:left="360"/>
        <w:rPr>
          <w:rFonts w:cs="Times New Roman"/>
        </w:rPr>
      </w:pPr>
    </w:p>
    <w:p w:rsidR="00505EAC" w:rsidRPr="00505EAC" w:rsidRDefault="00A447BF" w:rsidP="00A82929">
      <w:pPr>
        <w:ind w:left="720" w:hanging="720"/>
        <w:rPr>
          <w:rFonts w:cs="Times New Roman"/>
        </w:rPr>
      </w:pPr>
      <w:r>
        <w:rPr>
          <w:rFonts w:cs="Times New Roman"/>
        </w:rPr>
        <w:t>4.5.7</w:t>
      </w:r>
      <w:r>
        <w:rPr>
          <w:rFonts w:cs="Times New Roman"/>
        </w:rPr>
        <w:tab/>
      </w:r>
      <w:r w:rsidR="003D0C15" w:rsidRPr="00A447BF">
        <w:rPr>
          <w:rFonts w:cs="Times New Roman"/>
        </w:rPr>
        <w:t xml:space="preserve">The </w:t>
      </w:r>
      <w:r w:rsidR="003D0C15" w:rsidRPr="00A447BF">
        <w:rPr>
          <w:rFonts w:cs="Times New Roman"/>
          <w:i/>
        </w:rPr>
        <w:t>Anti-Money Laundering and Counter-Terrorism Financing Act 2006</w:t>
      </w:r>
      <w:r w:rsidR="003D0C15" w:rsidRPr="00A447BF">
        <w:rPr>
          <w:rFonts w:cs="Times New Roman"/>
        </w:rPr>
        <w:t xml:space="preserve"> (</w:t>
      </w:r>
      <w:proofErr w:type="spellStart"/>
      <w:r w:rsidR="003D0C15" w:rsidRPr="00A447BF">
        <w:rPr>
          <w:rFonts w:cs="Times New Roman"/>
        </w:rPr>
        <w:t>Cth</w:t>
      </w:r>
      <w:proofErr w:type="spellEnd"/>
      <w:r w:rsidR="003D0C15" w:rsidRPr="00A447BF">
        <w:rPr>
          <w:rFonts w:cs="Times New Roman"/>
        </w:rPr>
        <w:t xml:space="preserve">) stipulates that the banks are required to verify the identity of anyone operating an account, including representatives and powers of attorneys. The generalisation is that a bank must assume they are dealing with honest </w:t>
      </w:r>
      <w:proofErr w:type="gramStart"/>
      <w:r w:rsidR="003D0C15" w:rsidRPr="00A447BF">
        <w:rPr>
          <w:rFonts w:cs="Times New Roman"/>
        </w:rPr>
        <w:t>people,</w:t>
      </w:r>
      <w:proofErr w:type="gramEnd"/>
      <w:r w:rsidR="003D0C15" w:rsidRPr="00A447BF">
        <w:rPr>
          <w:rFonts w:cs="Times New Roman"/>
        </w:rPr>
        <w:t xml:space="preserve"> however it is common for them to require an additional signatory to ensure maximum protection is upheld. </w:t>
      </w:r>
      <w:bookmarkStart w:id="9" w:name="_Toc327141539"/>
    </w:p>
    <w:p w:rsidR="00D739DA" w:rsidRPr="00D739DA" w:rsidRDefault="00015E9E" w:rsidP="00D739DA">
      <w:pPr>
        <w:pStyle w:val="Heading2"/>
      </w:pPr>
      <w:bookmarkStart w:id="10" w:name="_Toc328376994"/>
      <w:r>
        <w:lastRenderedPageBreak/>
        <w:t>4.6</w:t>
      </w:r>
      <w:r>
        <w:tab/>
      </w:r>
      <w:r w:rsidR="00D739DA" w:rsidRPr="00D739DA">
        <w:t>Defamation</w:t>
      </w:r>
      <w:bookmarkEnd w:id="9"/>
      <w:bookmarkEnd w:id="10"/>
    </w:p>
    <w:p w:rsidR="00D739DA" w:rsidRPr="00D739DA" w:rsidRDefault="00D739DA" w:rsidP="00D739DA"/>
    <w:p w:rsidR="00D739DA" w:rsidRPr="00015E9E" w:rsidRDefault="00015E9E" w:rsidP="00015E9E">
      <w:pPr>
        <w:ind w:left="720" w:hanging="720"/>
        <w:rPr>
          <w:rFonts w:cs="Times New Roman"/>
        </w:rPr>
      </w:pPr>
      <w:r>
        <w:rPr>
          <w:rFonts w:cs="Times New Roman"/>
        </w:rPr>
        <w:t>4.6.1</w:t>
      </w:r>
      <w:r>
        <w:rPr>
          <w:rFonts w:cs="Times New Roman"/>
        </w:rPr>
        <w:tab/>
      </w:r>
      <w:r w:rsidR="00BB23D9" w:rsidRPr="00015E9E">
        <w:rPr>
          <w:rFonts w:cs="Times New Roman"/>
        </w:rPr>
        <w:t xml:space="preserve">The issue of defamation as a basis for legal action against financial institutions arises where a false allegation of abuse is </w:t>
      </w:r>
      <w:r w:rsidR="00EC5697" w:rsidRPr="00015E9E">
        <w:rPr>
          <w:rFonts w:cs="Times New Roman"/>
        </w:rPr>
        <w:t>publicised or communicated to</w:t>
      </w:r>
      <w:r w:rsidR="00BB23D9" w:rsidRPr="00015E9E">
        <w:rPr>
          <w:rFonts w:cs="Times New Roman"/>
        </w:rPr>
        <w:t xml:space="preserve"> a third party.</w:t>
      </w:r>
      <w:r w:rsidR="00D739DA" w:rsidRPr="00DD5401">
        <w:rPr>
          <w:rStyle w:val="FootnoteReference"/>
          <w:rFonts w:cs="Times New Roman"/>
        </w:rPr>
        <w:footnoteReference w:id="65"/>
      </w:r>
      <w:r w:rsidR="00D739DA" w:rsidRPr="00015E9E">
        <w:rPr>
          <w:rFonts w:cs="Times New Roman"/>
        </w:rPr>
        <w:t xml:space="preserve"> The test for establishing a publication is an objective </w:t>
      </w:r>
      <w:r w:rsidR="00EC5697" w:rsidRPr="00015E9E">
        <w:rPr>
          <w:rFonts w:cs="Times New Roman"/>
        </w:rPr>
        <w:t>one and looks to</w:t>
      </w:r>
      <w:r w:rsidR="00D739DA" w:rsidRPr="00015E9E">
        <w:rPr>
          <w:rFonts w:cs="Times New Roman"/>
        </w:rPr>
        <w:t xml:space="preserve"> whether the publication would have been likely to cause a reasonable person to have thought less of the plaintiff. </w:t>
      </w:r>
    </w:p>
    <w:p w:rsidR="00D739DA" w:rsidRPr="00DD5401" w:rsidRDefault="00D739DA" w:rsidP="00D739DA">
      <w:pPr>
        <w:pStyle w:val="ListParagraph"/>
        <w:ind w:left="360"/>
        <w:rPr>
          <w:rFonts w:cs="Times New Roman"/>
        </w:rPr>
      </w:pPr>
    </w:p>
    <w:p w:rsidR="00D739DA" w:rsidRPr="00015E9E" w:rsidRDefault="00015E9E" w:rsidP="00015E9E">
      <w:pPr>
        <w:ind w:left="720" w:hanging="720"/>
        <w:rPr>
          <w:rFonts w:cs="Times New Roman"/>
        </w:rPr>
      </w:pPr>
      <w:r>
        <w:rPr>
          <w:rFonts w:cs="Times New Roman"/>
        </w:rPr>
        <w:t>4.6.2</w:t>
      </w:r>
      <w:r>
        <w:rPr>
          <w:rFonts w:cs="Times New Roman"/>
        </w:rPr>
        <w:tab/>
      </w:r>
      <w:r w:rsidR="00EC5697" w:rsidRPr="00015E9E">
        <w:rPr>
          <w:rFonts w:cs="Times New Roman"/>
        </w:rPr>
        <w:t>Financial institutions can be found liable for defamation if they make an</w:t>
      </w:r>
      <w:r w:rsidR="00D739DA" w:rsidRPr="00015E9E">
        <w:rPr>
          <w:rFonts w:cs="Times New Roman"/>
        </w:rPr>
        <w:t xml:space="preserve"> incorrect allegation of </w:t>
      </w:r>
      <w:r w:rsidR="00EC5697" w:rsidRPr="00015E9E">
        <w:rPr>
          <w:rFonts w:cs="Times New Roman"/>
        </w:rPr>
        <w:t xml:space="preserve">abuse, which subsequently causes damage to the </w:t>
      </w:r>
      <w:r w:rsidR="00D739DA" w:rsidRPr="00015E9E">
        <w:rPr>
          <w:rFonts w:cs="Times New Roman"/>
        </w:rPr>
        <w:t xml:space="preserve">accused person’s reputation. When making allegations of abuse, banks must be cautious, so as to avoid giving rise to an action in defamation. There are, however, a number of defences that are available for banks should they face a defamation charge. </w:t>
      </w:r>
    </w:p>
    <w:p w:rsidR="00D739DA" w:rsidRPr="00DD5401" w:rsidRDefault="00D739DA" w:rsidP="00D739DA">
      <w:pPr>
        <w:rPr>
          <w:rFonts w:cs="Times New Roman"/>
          <w:u w:val="single"/>
        </w:rPr>
      </w:pPr>
    </w:p>
    <w:p w:rsidR="00D739DA" w:rsidRPr="00015E9E" w:rsidRDefault="00015E9E" w:rsidP="00015E9E">
      <w:pPr>
        <w:ind w:left="720" w:hanging="720"/>
        <w:rPr>
          <w:rFonts w:cs="Times New Roman"/>
          <w:u w:val="single"/>
        </w:rPr>
      </w:pPr>
      <w:r>
        <w:rPr>
          <w:rFonts w:cs="Times New Roman"/>
        </w:rPr>
        <w:t>4.6.3</w:t>
      </w:r>
      <w:r>
        <w:rPr>
          <w:rFonts w:cs="Times New Roman"/>
        </w:rPr>
        <w:tab/>
      </w:r>
      <w:r w:rsidR="00D739DA" w:rsidRPr="00015E9E">
        <w:rPr>
          <w:rFonts w:cs="Times New Roman"/>
        </w:rPr>
        <w:t xml:space="preserve">A defence of honest opinion is available where the defendant is able to demonstrate one of the following three circumstances: </w:t>
      </w:r>
    </w:p>
    <w:p w:rsidR="00D739DA" w:rsidRPr="00DD5401" w:rsidRDefault="00D739DA" w:rsidP="00D739DA">
      <w:pPr>
        <w:pStyle w:val="ListParagraph"/>
        <w:ind w:left="360"/>
        <w:rPr>
          <w:rFonts w:cs="Times New Roman"/>
          <w:u w:val="single"/>
        </w:rPr>
      </w:pPr>
    </w:p>
    <w:p w:rsidR="00D739DA" w:rsidRPr="00DD5401" w:rsidRDefault="00D739DA" w:rsidP="00EC5697">
      <w:pPr>
        <w:pStyle w:val="ListParagraph"/>
        <w:numPr>
          <w:ilvl w:val="0"/>
          <w:numId w:val="4"/>
        </w:numPr>
        <w:ind w:left="1418"/>
        <w:rPr>
          <w:rFonts w:cs="Times New Roman"/>
        </w:rPr>
      </w:pPr>
      <w:r w:rsidRPr="00DD5401">
        <w:rPr>
          <w:rFonts w:cs="Times New Roman"/>
        </w:rPr>
        <w:t>That the material published was an expression of opinion rather than a statement of fact, that it is related to public interest, and the opinion is based on proper material;</w:t>
      </w:r>
    </w:p>
    <w:p w:rsidR="00D739DA" w:rsidRPr="00DD5401" w:rsidRDefault="00D739DA" w:rsidP="00EC5697">
      <w:pPr>
        <w:pStyle w:val="ListParagraph"/>
        <w:numPr>
          <w:ilvl w:val="0"/>
          <w:numId w:val="4"/>
        </w:numPr>
        <w:ind w:left="1418"/>
        <w:rPr>
          <w:rFonts w:cs="Times New Roman"/>
        </w:rPr>
      </w:pPr>
      <w:r w:rsidRPr="00DD5401">
        <w:rPr>
          <w:rFonts w:cs="Times New Roman"/>
        </w:rPr>
        <w:t xml:space="preserve">That the matter was an expression of opinion by an employee or agent of the defendant rather than a statement of fact, it was a matter of public interest and the opinion is based on proper material; </w:t>
      </w:r>
    </w:p>
    <w:p w:rsidR="00D739DA" w:rsidRPr="00DD5401" w:rsidRDefault="00D739DA" w:rsidP="00EC5697">
      <w:pPr>
        <w:pStyle w:val="ListParagraph"/>
        <w:numPr>
          <w:ilvl w:val="0"/>
          <w:numId w:val="4"/>
        </w:numPr>
        <w:ind w:left="1418"/>
        <w:rPr>
          <w:rFonts w:cs="Times New Roman"/>
        </w:rPr>
      </w:pPr>
      <w:r w:rsidRPr="00DD5401">
        <w:rPr>
          <w:rFonts w:cs="Times New Roman"/>
        </w:rPr>
        <w:t>The matter was an expression of opinion of a person (commentator) other than the defendant rather than a statement of fact, it was a matter of public interest and the opinion is based on proper material.</w:t>
      </w:r>
      <w:r w:rsidR="004762A5" w:rsidRPr="00DD5401">
        <w:rPr>
          <w:rStyle w:val="FootnoteReference"/>
          <w:rFonts w:cs="Times New Roman"/>
        </w:rPr>
        <w:footnoteReference w:id="66"/>
      </w:r>
      <w:r w:rsidRPr="00DD5401">
        <w:rPr>
          <w:rFonts w:cs="Times New Roman"/>
        </w:rPr>
        <w:t xml:space="preserve"> </w:t>
      </w:r>
    </w:p>
    <w:p w:rsidR="00D739DA" w:rsidRPr="00DD5401" w:rsidRDefault="00D739DA" w:rsidP="00D739DA">
      <w:pPr>
        <w:ind w:left="720"/>
        <w:rPr>
          <w:rFonts w:cs="Times New Roman"/>
        </w:rPr>
      </w:pPr>
    </w:p>
    <w:p w:rsidR="00D739DA" w:rsidRPr="00532BB3" w:rsidRDefault="00532BB3" w:rsidP="00532BB3">
      <w:pPr>
        <w:ind w:left="720" w:hanging="720"/>
        <w:rPr>
          <w:rFonts w:cs="Times New Roman"/>
        </w:rPr>
      </w:pPr>
      <w:r>
        <w:rPr>
          <w:rFonts w:cs="Times New Roman"/>
        </w:rPr>
        <w:t>4.6.4</w:t>
      </w:r>
      <w:r>
        <w:rPr>
          <w:rFonts w:cs="Times New Roman"/>
        </w:rPr>
        <w:tab/>
      </w:r>
      <w:r w:rsidR="00EC5697" w:rsidRPr="00532BB3">
        <w:rPr>
          <w:rFonts w:cs="Times New Roman"/>
        </w:rPr>
        <w:t xml:space="preserve">Therefore the defence of honest opinion would be available to financial institutions in cases where the </w:t>
      </w:r>
      <w:r w:rsidR="00D739DA" w:rsidRPr="00532BB3">
        <w:rPr>
          <w:rFonts w:cs="Times New Roman"/>
        </w:rPr>
        <w:t>matter was an expression of opinion by an empl</w:t>
      </w:r>
      <w:r w:rsidR="00EC5697" w:rsidRPr="00532BB3">
        <w:rPr>
          <w:rFonts w:cs="Times New Roman"/>
        </w:rPr>
        <w:t xml:space="preserve">oyee or agent of the bank. Further, the employee expressed their opinion on the materials provided and found that the client was acting fraudulently. </w:t>
      </w:r>
    </w:p>
    <w:p w:rsidR="00D739DA" w:rsidRPr="00DD5401" w:rsidRDefault="00D739DA" w:rsidP="00D739DA">
      <w:pPr>
        <w:rPr>
          <w:rFonts w:cs="Times New Roman"/>
          <w:u w:val="single"/>
        </w:rPr>
      </w:pPr>
    </w:p>
    <w:p w:rsidR="00D739DA" w:rsidRPr="00845B89" w:rsidRDefault="00845B89" w:rsidP="00845B89">
      <w:pPr>
        <w:ind w:left="720" w:hanging="720"/>
        <w:rPr>
          <w:rFonts w:cs="Times New Roman"/>
          <w:u w:val="single"/>
        </w:rPr>
      </w:pPr>
      <w:r>
        <w:rPr>
          <w:rFonts w:cs="Times New Roman"/>
        </w:rPr>
        <w:t>4.6.5</w:t>
      </w:r>
      <w:r>
        <w:rPr>
          <w:rFonts w:cs="Times New Roman"/>
        </w:rPr>
        <w:tab/>
      </w:r>
      <w:r w:rsidR="00D739DA" w:rsidRPr="00845B89">
        <w:rPr>
          <w:rFonts w:cs="Times New Roman"/>
        </w:rPr>
        <w:t xml:space="preserve">A defence of qualified privilege may be available where it was necessary to make defamatory statements in </w:t>
      </w:r>
      <w:r w:rsidR="00EC5697" w:rsidRPr="00845B89">
        <w:rPr>
          <w:rFonts w:cs="Times New Roman"/>
        </w:rPr>
        <w:t>order to properly discharge the financial institution’s</w:t>
      </w:r>
      <w:r w:rsidR="00D739DA" w:rsidRPr="00845B89">
        <w:rPr>
          <w:rFonts w:cs="Times New Roman"/>
        </w:rPr>
        <w:t xml:space="preserve"> legal, social or moral obligations.</w:t>
      </w:r>
      <w:r w:rsidR="00D739DA" w:rsidRPr="00DD5401">
        <w:rPr>
          <w:rStyle w:val="FootnoteReference"/>
          <w:rFonts w:cs="Times New Roman"/>
        </w:rPr>
        <w:footnoteReference w:id="67"/>
      </w:r>
      <w:r w:rsidR="00D739DA" w:rsidRPr="00845B89">
        <w:rPr>
          <w:rFonts w:cs="Times New Roman"/>
        </w:rPr>
        <w:t xml:space="preserve"> This defence is the most pertinent to the banker-customer relationship.</w:t>
      </w:r>
      <w:r w:rsidR="00D739DA" w:rsidRPr="00DD5401">
        <w:rPr>
          <w:rStyle w:val="FootnoteReference"/>
          <w:rFonts w:cs="Times New Roman"/>
        </w:rPr>
        <w:footnoteReference w:id="68"/>
      </w:r>
      <w:r w:rsidR="00D739DA" w:rsidRPr="00845B89">
        <w:rPr>
          <w:rFonts w:cs="Times New Roman"/>
        </w:rPr>
        <w:t xml:space="preserve"> </w:t>
      </w:r>
    </w:p>
    <w:p w:rsidR="00D739DA" w:rsidRPr="00DD5401" w:rsidRDefault="00D739DA" w:rsidP="00D739DA">
      <w:pPr>
        <w:rPr>
          <w:rFonts w:cs="Times New Roman"/>
          <w:b/>
          <w:iCs/>
          <w:color w:val="1A1718"/>
        </w:rPr>
      </w:pPr>
    </w:p>
    <w:p w:rsidR="00D739DA" w:rsidRPr="00845B89" w:rsidRDefault="00845B89" w:rsidP="00845B89">
      <w:pPr>
        <w:ind w:left="720" w:hanging="720"/>
        <w:rPr>
          <w:rFonts w:cs="Times New Roman"/>
          <w:iCs/>
          <w:color w:val="1A1718"/>
        </w:rPr>
      </w:pPr>
      <w:r>
        <w:rPr>
          <w:rFonts w:cs="Times New Roman"/>
          <w:iCs/>
          <w:color w:val="1A1718"/>
        </w:rPr>
        <w:t>4.6.6</w:t>
      </w:r>
      <w:r>
        <w:rPr>
          <w:rFonts w:cs="Times New Roman"/>
          <w:iCs/>
          <w:color w:val="1A1718"/>
        </w:rPr>
        <w:tab/>
      </w:r>
      <w:r w:rsidR="00D739DA" w:rsidRPr="00845B89">
        <w:rPr>
          <w:rFonts w:cs="Times New Roman"/>
          <w:iCs/>
          <w:color w:val="1A1718"/>
        </w:rPr>
        <w:t xml:space="preserve">The defence of qualified privilege is a strong defence for </w:t>
      </w:r>
      <w:r w:rsidR="008543E3" w:rsidRPr="00845B89">
        <w:rPr>
          <w:rFonts w:cs="Times New Roman"/>
          <w:iCs/>
          <w:color w:val="1A1718"/>
        </w:rPr>
        <w:t>financial institutions, provided</w:t>
      </w:r>
      <w:r w:rsidR="00D739DA" w:rsidRPr="00845B89">
        <w:rPr>
          <w:rFonts w:cs="Times New Roman"/>
          <w:iCs/>
          <w:color w:val="1A1718"/>
        </w:rPr>
        <w:t xml:space="preserve"> the information </w:t>
      </w:r>
      <w:r w:rsidR="008543E3" w:rsidRPr="00845B89">
        <w:rPr>
          <w:rFonts w:cs="Times New Roman"/>
          <w:iCs/>
          <w:color w:val="1A1718"/>
        </w:rPr>
        <w:t>has</w:t>
      </w:r>
      <w:r w:rsidR="00D739DA" w:rsidRPr="00845B89">
        <w:rPr>
          <w:rFonts w:cs="Times New Roman"/>
          <w:iCs/>
          <w:color w:val="1A1718"/>
        </w:rPr>
        <w:t xml:space="preserve"> only been communicated to another directly for business purposes. Where a bank officer suspects fraudulent activity, it is their duty to report such findings. </w:t>
      </w:r>
      <w:r w:rsidR="008543E3" w:rsidRPr="00845B89">
        <w:rPr>
          <w:rFonts w:cs="Times New Roman"/>
          <w:iCs/>
          <w:color w:val="1A1718"/>
        </w:rPr>
        <w:t xml:space="preserve">Where procedures are followed </w:t>
      </w:r>
      <w:r w:rsidR="00D739DA" w:rsidRPr="00845B89">
        <w:rPr>
          <w:rFonts w:cs="Times New Roman"/>
          <w:iCs/>
          <w:color w:val="1A1718"/>
        </w:rPr>
        <w:t xml:space="preserve">and the person/s </w:t>
      </w:r>
      <w:r w:rsidR="00D739DA" w:rsidRPr="00845B89">
        <w:rPr>
          <w:rFonts w:cs="Times New Roman"/>
          <w:iCs/>
          <w:color w:val="1A1718"/>
        </w:rPr>
        <w:lastRenderedPageBreak/>
        <w:t xml:space="preserve">to whom </w:t>
      </w:r>
      <w:r w:rsidR="008543E3" w:rsidRPr="00845B89">
        <w:rPr>
          <w:rFonts w:cs="Times New Roman"/>
          <w:iCs/>
          <w:color w:val="1A1718"/>
        </w:rPr>
        <w:t>the information</w:t>
      </w:r>
      <w:r w:rsidR="00D739DA" w:rsidRPr="00845B89">
        <w:rPr>
          <w:rFonts w:cs="Times New Roman"/>
          <w:iCs/>
          <w:color w:val="1A1718"/>
        </w:rPr>
        <w:t xml:space="preserve"> was communicated to </w:t>
      </w:r>
      <w:proofErr w:type="gramStart"/>
      <w:r w:rsidR="00D739DA" w:rsidRPr="00845B89">
        <w:rPr>
          <w:rFonts w:cs="Times New Roman"/>
          <w:iCs/>
          <w:color w:val="1A1718"/>
        </w:rPr>
        <w:t>had</w:t>
      </w:r>
      <w:proofErr w:type="gramEnd"/>
      <w:r w:rsidR="00D739DA" w:rsidRPr="00845B89">
        <w:rPr>
          <w:rFonts w:cs="Times New Roman"/>
          <w:iCs/>
          <w:color w:val="1A1718"/>
        </w:rPr>
        <w:t xml:space="preserve"> a duty to receive such information, there is a strong defence. </w:t>
      </w:r>
    </w:p>
    <w:p w:rsidR="00D739DA" w:rsidRPr="00DD5401" w:rsidRDefault="00D739DA" w:rsidP="00D739DA">
      <w:pPr>
        <w:rPr>
          <w:rFonts w:cs="Times New Roman"/>
          <w:iCs/>
          <w:color w:val="1A1718"/>
        </w:rPr>
      </w:pPr>
    </w:p>
    <w:p w:rsidR="00D739DA" w:rsidRPr="00845B89" w:rsidRDefault="00845B89" w:rsidP="00845B89">
      <w:pPr>
        <w:ind w:left="720" w:hanging="720"/>
        <w:rPr>
          <w:rFonts w:cs="Times New Roman"/>
        </w:rPr>
      </w:pPr>
      <w:r>
        <w:rPr>
          <w:rFonts w:cs="Times New Roman"/>
          <w:iCs/>
          <w:color w:val="1A1718"/>
        </w:rPr>
        <w:t>4.6.7</w:t>
      </w:r>
      <w:r>
        <w:rPr>
          <w:rFonts w:cs="Times New Roman"/>
          <w:iCs/>
          <w:color w:val="1A1718"/>
        </w:rPr>
        <w:tab/>
      </w:r>
      <w:r w:rsidR="008543E3" w:rsidRPr="00845B89">
        <w:rPr>
          <w:rFonts w:cs="Times New Roman"/>
          <w:iCs/>
          <w:color w:val="1A1718"/>
        </w:rPr>
        <w:t xml:space="preserve">To ensure protection against liability for defamation, financial institutions should endeavour to take care when reporting suspected financial abuse. This should not stop financial institutions from reporting such abuse; however they should </w:t>
      </w:r>
      <w:r w:rsidR="00D739DA" w:rsidRPr="00845B89">
        <w:rPr>
          <w:rFonts w:cs="Times New Roman"/>
          <w:iCs/>
          <w:color w:val="1A1718"/>
        </w:rPr>
        <w:t xml:space="preserve">ensure that any information reported about possible abuse/fraudulent behaviour is substantially </w:t>
      </w:r>
      <w:r w:rsidR="008543E3" w:rsidRPr="00845B89">
        <w:rPr>
          <w:rFonts w:cs="Times New Roman"/>
          <w:iCs/>
          <w:color w:val="1A1718"/>
        </w:rPr>
        <w:t>true</w:t>
      </w:r>
      <w:r w:rsidR="00D739DA" w:rsidRPr="00845B89">
        <w:rPr>
          <w:rFonts w:cs="Times New Roman"/>
          <w:iCs/>
          <w:color w:val="1A1718"/>
        </w:rPr>
        <w:t xml:space="preserve"> and based on valid material. </w:t>
      </w:r>
    </w:p>
    <w:p w:rsidR="002B45C2" w:rsidRPr="002A4198" w:rsidRDefault="00845B89" w:rsidP="008543E3">
      <w:pPr>
        <w:pStyle w:val="Heading2"/>
      </w:pPr>
      <w:bookmarkStart w:id="11" w:name="_Toc328376995"/>
      <w:r>
        <w:t>4.7</w:t>
      </w:r>
      <w:r>
        <w:tab/>
      </w:r>
      <w:r w:rsidR="00DD3141" w:rsidRPr="002A4198">
        <w:t>Current Liability</w:t>
      </w:r>
      <w:bookmarkEnd w:id="11"/>
    </w:p>
    <w:p w:rsidR="00CE778F" w:rsidRPr="002A4198" w:rsidRDefault="00CE778F" w:rsidP="00CE778F"/>
    <w:p w:rsidR="00DC1BA1" w:rsidRPr="00DD5401" w:rsidRDefault="00845B89" w:rsidP="00845B89">
      <w:pPr>
        <w:ind w:left="720" w:hanging="720"/>
      </w:pPr>
      <w:r>
        <w:t>4.7.1</w:t>
      </w:r>
      <w:r>
        <w:tab/>
      </w:r>
      <w:r w:rsidR="008543E3" w:rsidRPr="00DD5401">
        <w:t>This submission has examined a</w:t>
      </w:r>
      <w:r w:rsidR="00D95045" w:rsidRPr="00DD5401">
        <w:t xml:space="preserve"> variety of instruments </w:t>
      </w:r>
      <w:r w:rsidR="008543E3" w:rsidRPr="00DD5401">
        <w:t>in operation, which</w:t>
      </w:r>
      <w:r w:rsidR="00D95045" w:rsidRPr="00DD5401">
        <w:t xml:space="preserve"> require financial institutions to ensure that their </w:t>
      </w:r>
      <w:r w:rsidR="008543E3" w:rsidRPr="00DD5401">
        <w:t>customers</w:t>
      </w:r>
      <w:r w:rsidR="00D95045" w:rsidRPr="00DD5401">
        <w:t xml:space="preserve"> make financial decisions free from fraud. These include the Code of Banking Practice, the ASIC Act and the common law duties that govern contractual relationships between banks and their customers. However</w:t>
      </w:r>
      <w:r w:rsidR="00FF2B91">
        <w:t>,</w:t>
      </w:r>
      <w:r w:rsidR="00D95045" w:rsidRPr="00DD5401">
        <w:t xml:space="preserve"> none of these instruments place positive obligations on the financial institutions to identify possible instances of elder financial abuse</w:t>
      </w:r>
      <w:r w:rsidR="00FF2B91">
        <w:t>,</w:t>
      </w:r>
      <w:r w:rsidR="00D95045" w:rsidRPr="00DD5401">
        <w:t xml:space="preserve"> nor do they make the banks accountable if they fail to report the transaction. </w:t>
      </w:r>
    </w:p>
    <w:p w:rsidR="00DC1BA1" w:rsidRPr="00DD5401" w:rsidRDefault="00DC1BA1" w:rsidP="00DC1BA1">
      <w:pPr>
        <w:pStyle w:val="ListParagraph"/>
        <w:ind w:left="360"/>
      </w:pPr>
    </w:p>
    <w:p w:rsidR="00DC1BA1" w:rsidRPr="00DD5401" w:rsidRDefault="00845B89" w:rsidP="00845B89">
      <w:pPr>
        <w:ind w:left="720" w:hanging="720"/>
      </w:pPr>
      <w:r>
        <w:t>4.7.2</w:t>
      </w:r>
      <w:r>
        <w:tab/>
      </w:r>
      <w:r w:rsidR="00D95045" w:rsidRPr="00DD5401">
        <w:t xml:space="preserve">Whilst a duty to ensure clients are free from financial abuse could be implied in the Code of Banking Practice, the Code is a </w:t>
      </w:r>
      <w:r w:rsidR="008543E3" w:rsidRPr="00DD5401">
        <w:t xml:space="preserve">merely a </w:t>
      </w:r>
      <w:r w:rsidR="00D95045" w:rsidRPr="00DD5401">
        <w:t>voluntary instrument</w:t>
      </w:r>
      <w:r w:rsidR="008543E3" w:rsidRPr="00DD5401">
        <w:t>.</w:t>
      </w:r>
      <w:r w:rsidR="00D95045" w:rsidRPr="00DD5401">
        <w:t xml:space="preserve"> Further, those banks </w:t>
      </w:r>
      <w:r w:rsidR="00C14AF1" w:rsidRPr="00DD5401">
        <w:t>that</w:t>
      </w:r>
      <w:r w:rsidR="00D95045" w:rsidRPr="00DD5401">
        <w:t xml:space="preserve"> have adopted the Code are hesitant to report suspected instances of abuse for fear of legal action being commenced against the bank for breaches of privacy</w:t>
      </w:r>
      <w:r w:rsidR="008543E3" w:rsidRPr="00DD5401">
        <w:t xml:space="preserve"> or defamation</w:t>
      </w:r>
      <w:r w:rsidR="00D95045" w:rsidRPr="00DD5401">
        <w:t xml:space="preserve">. The </w:t>
      </w:r>
      <w:r w:rsidR="00D95045" w:rsidRPr="00845B89">
        <w:rPr>
          <w:i/>
        </w:rPr>
        <w:t>Privacy Act</w:t>
      </w:r>
      <w:r w:rsidR="008543E3" w:rsidRPr="00DD5401">
        <w:rPr>
          <w:rStyle w:val="FootnoteReference"/>
          <w:i/>
        </w:rPr>
        <w:footnoteReference w:id="69"/>
      </w:r>
      <w:r w:rsidR="00D95045" w:rsidRPr="00DD5401">
        <w:t xml:space="preserve"> does allow for disclosu</w:t>
      </w:r>
      <w:r w:rsidR="00ED6E23" w:rsidRPr="00DD5401">
        <w:t>re in instances required by law</w:t>
      </w:r>
      <w:r w:rsidR="00FF2B91">
        <w:t>, for example criminal activity. H</w:t>
      </w:r>
      <w:r w:rsidR="00D95045" w:rsidRPr="00DD5401">
        <w:t>owever</w:t>
      </w:r>
      <w:r w:rsidR="00FF2B91">
        <w:t>,</w:t>
      </w:r>
      <w:r w:rsidR="00D95045" w:rsidRPr="00DD5401">
        <w:t xml:space="preserve"> it does not specifically state that disclosure is permitted where there is suspected instances of financial abuse of an elderly person.</w:t>
      </w:r>
    </w:p>
    <w:p w:rsidR="00DC1BA1" w:rsidRPr="00DD5401" w:rsidRDefault="00DC1BA1" w:rsidP="00DC1BA1">
      <w:pPr>
        <w:pStyle w:val="ListParagraph"/>
        <w:ind w:left="360"/>
      </w:pPr>
    </w:p>
    <w:p w:rsidR="00C61785" w:rsidRPr="00DD5401" w:rsidRDefault="00845B89" w:rsidP="00845B89">
      <w:pPr>
        <w:ind w:left="720" w:hanging="720"/>
      </w:pPr>
      <w:r>
        <w:t>4.7.3</w:t>
      </w:r>
      <w:r>
        <w:tab/>
      </w:r>
      <w:r w:rsidR="00D95045" w:rsidRPr="00DD5401">
        <w:t>Financial institutions can be held liable where they have failed to ensure their customer’s banking activities are free from abuse. However</w:t>
      </w:r>
      <w:r w:rsidR="00FF2B91">
        <w:t>,</w:t>
      </w:r>
      <w:r w:rsidR="00D95045" w:rsidRPr="00DD5401">
        <w:t xml:space="preserve"> given the complex natu</w:t>
      </w:r>
      <w:r w:rsidR="00ED6E23" w:rsidRPr="00DD5401">
        <w:t>re of elder financial abuse,</w:t>
      </w:r>
      <w:r w:rsidR="00D95045" w:rsidRPr="00DD5401">
        <w:t xml:space="preserve"> most victims are </w:t>
      </w:r>
      <w:r w:rsidR="00ED6E23" w:rsidRPr="00DD5401">
        <w:t>hesitant</w:t>
      </w:r>
      <w:r w:rsidR="00D95045" w:rsidRPr="00DD5401">
        <w:t xml:space="preserve"> to report abuse and do not wish to pursue legal action against their abusers </w:t>
      </w:r>
      <w:r w:rsidR="00FF2B91">
        <w:t>for a number of reasons. This</w:t>
      </w:r>
      <w:r w:rsidR="00ED6E23" w:rsidRPr="00DD5401">
        <w:t xml:space="preserve"> include</w:t>
      </w:r>
      <w:r w:rsidR="00FF2B91">
        <w:t>s</w:t>
      </w:r>
      <w:r w:rsidR="00ED6E23" w:rsidRPr="00DD5401">
        <w:t xml:space="preserve"> the fact many victims do not know they are being abused</w:t>
      </w:r>
      <w:r w:rsidR="00FF2B91">
        <w:t>,</w:t>
      </w:r>
      <w:r w:rsidR="00ED6E23" w:rsidRPr="00DD5401">
        <w:t xml:space="preserve"> and in instances where they do, they are not aware of the support </w:t>
      </w:r>
      <w:r w:rsidR="009F2A41" w:rsidRPr="00DD5401">
        <w:t>available</w:t>
      </w:r>
      <w:r w:rsidR="00ED6E23" w:rsidRPr="00DD5401">
        <w:t xml:space="preserve"> to them and lack the desire, capacity and opportunity to report the abuse.</w:t>
      </w:r>
      <w:r w:rsidR="00ED6E23" w:rsidRPr="00DD5401">
        <w:rPr>
          <w:rStyle w:val="FootnoteReference"/>
        </w:rPr>
        <w:footnoteReference w:id="70"/>
      </w:r>
      <w:r w:rsidR="00ED6E23" w:rsidRPr="00DD5401">
        <w:t xml:space="preserve"> </w:t>
      </w:r>
    </w:p>
    <w:p w:rsidR="00C61785" w:rsidRPr="00DD5401" w:rsidRDefault="00C61785" w:rsidP="00C61785">
      <w:pPr>
        <w:pStyle w:val="ListParagraph"/>
        <w:ind w:left="360"/>
      </w:pPr>
    </w:p>
    <w:p w:rsidR="00D739DA" w:rsidRPr="00DD5401" w:rsidRDefault="00845B89" w:rsidP="00845B89">
      <w:pPr>
        <w:ind w:left="720" w:hanging="720"/>
      </w:pPr>
      <w:r>
        <w:t>4.7.4</w:t>
      </w:r>
      <w:r>
        <w:tab/>
      </w:r>
      <w:r w:rsidR="00D95045" w:rsidRPr="00DD5401">
        <w:t xml:space="preserve">It is concluded that whilst a regulatory framework is in place, there is no legislation or policies developed at a national </w:t>
      </w:r>
      <w:r w:rsidR="00537CE9" w:rsidRPr="00DD5401">
        <w:t>level, which</w:t>
      </w:r>
      <w:r w:rsidR="00D95045" w:rsidRPr="00DD5401">
        <w:t xml:space="preserve"> impose positive obligations on financial institutions to report and manage financial abuse. </w:t>
      </w:r>
      <w:r w:rsidR="00537CE9" w:rsidRPr="00DD5401">
        <w:t xml:space="preserve">Given the complex nature of elder financial abuse and the general reluctance for victims to pursue legal action against their abusers, legislative and policy reform is required to ensure that victims are protected at the outset from abuse. Therefore a preventative approach to reform is recommended, in particular the development of national training protocols, a procedure for reporting abuse and the roll out of a national awareness campaign. </w:t>
      </w:r>
      <w:r w:rsidR="00D739DA">
        <w:br w:type="page"/>
      </w:r>
    </w:p>
    <w:p w:rsidR="00B07491" w:rsidRDefault="00DD5401" w:rsidP="00B07491">
      <w:pPr>
        <w:pStyle w:val="Heading1"/>
      </w:pPr>
      <w:bookmarkStart w:id="12" w:name="_Toc328376996"/>
      <w:r>
        <w:lastRenderedPageBreak/>
        <w:t xml:space="preserve">5.0 </w:t>
      </w:r>
      <w:r w:rsidR="00C20B5E">
        <w:tab/>
      </w:r>
      <w:r w:rsidR="004F46A8" w:rsidRPr="002A4198">
        <w:t>Recommendations</w:t>
      </w:r>
      <w:bookmarkEnd w:id="12"/>
    </w:p>
    <w:p w:rsidR="00B07491" w:rsidRPr="00BC5BE7" w:rsidRDefault="00B07491" w:rsidP="00C20B5E">
      <w:pPr>
        <w:pStyle w:val="Heading2"/>
        <w:ind w:left="720"/>
      </w:pPr>
      <w:bookmarkStart w:id="13" w:name="_Toc328376997"/>
      <w:r w:rsidRPr="00BC5BE7">
        <w:t>Legislative Reform</w:t>
      </w:r>
      <w:bookmarkEnd w:id="13"/>
      <w:r w:rsidRPr="00BC5BE7">
        <w:t xml:space="preserve"> </w:t>
      </w:r>
    </w:p>
    <w:p w:rsidR="00C4265C" w:rsidRPr="00BC5BE7" w:rsidRDefault="00DD5401" w:rsidP="00B07491">
      <w:pPr>
        <w:pStyle w:val="Heading3"/>
      </w:pPr>
      <w:bookmarkStart w:id="14" w:name="_Toc328376998"/>
      <w:r w:rsidRPr="00BC5BE7">
        <w:t xml:space="preserve">5.1 </w:t>
      </w:r>
      <w:r w:rsidR="00C20B5E">
        <w:tab/>
      </w:r>
      <w:r w:rsidR="00403CF6" w:rsidRPr="00BC5BE7">
        <w:t>Mandatory Reporting Scheme</w:t>
      </w:r>
      <w:bookmarkEnd w:id="14"/>
      <w:r w:rsidR="00403CF6" w:rsidRPr="00BC5BE7">
        <w:t xml:space="preserve"> </w:t>
      </w:r>
    </w:p>
    <w:p w:rsidR="008505B7" w:rsidRPr="00505EAC" w:rsidRDefault="008505B7" w:rsidP="009404E2">
      <w:pPr>
        <w:rPr>
          <w:highlight w:val="yellow"/>
        </w:rPr>
      </w:pPr>
    </w:p>
    <w:p w:rsidR="008B2D8F" w:rsidRDefault="00BC5BE7" w:rsidP="00297CFF">
      <w:pPr>
        <w:ind w:left="720" w:hanging="720"/>
      </w:pPr>
      <w:r>
        <w:t xml:space="preserve">5.11 </w:t>
      </w:r>
      <w:r w:rsidR="00C20B5E">
        <w:tab/>
      </w:r>
      <w:r w:rsidR="008B2D8F">
        <w:t>In order to address the shortcomings of the current regulatory framework</w:t>
      </w:r>
      <w:r w:rsidR="00923E69">
        <w:t xml:space="preserve"> in Australia</w:t>
      </w:r>
      <w:r w:rsidR="008B2D8F">
        <w:t xml:space="preserve">, regard must be had to both voluntary and mandatory reporting schemes developed internationally. </w:t>
      </w:r>
    </w:p>
    <w:p w:rsidR="00BC5BE7" w:rsidRPr="006F6A84" w:rsidRDefault="00BC5BE7" w:rsidP="00C20B5E"/>
    <w:p w:rsidR="00BC5BE7" w:rsidRPr="006F6A84" w:rsidRDefault="00C20B5E" w:rsidP="00C20B5E">
      <w:pPr>
        <w:ind w:left="720" w:hanging="720"/>
      </w:pPr>
      <w:r>
        <w:t>5.12</w:t>
      </w:r>
      <w:r>
        <w:tab/>
      </w:r>
      <w:r w:rsidR="00923E69">
        <w:t xml:space="preserve">The United States and Canada are both international jurisdictions that have implemented </w:t>
      </w:r>
      <w:r w:rsidR="00184D69" w:rsidRPr="006F6A84">
        <w:t>long-standing</w:t>
      </w:r>
      <w:r w:rsidR="00BC5BE7" w:rsidRPr="006F6A84">
        <w:t xml:space="preserve"> and pre-existing expatriate schemes</w:t>
      </w:r>
      <w:r w:rsidR="00923E69">
        <w:t>.</w:t>
      </w:r>
      <w:r w:rsidR="00BC5BE7" w:rsidRPr="006F6A84">
        <w:t xml:space="preserve"> In the United States, forty-two states require mandatory reporting, while the </w:t>
      </w:r>
      <w:r w:rsidR="006911E8">
        <w:t>remaining states</w:t>
      </w:r>
      <w:r w:rsidR="00BC5BE7" w:rsidRPr="006F6A84">
        <w:t xml:space="preserve"> have voluntary reporting laws</w:t>
      </w:r>
      <w:r w:rsidR="006911E8">
        <w:t>.</w:t>
      </w:r>
      <w:r w:rsidR="00BC5BE7" w:rsidRPr="006F6A84">
        <w:rPr>
          <w:rStyle w:val="FootnoteReference"/>
          <w:rFonts w:cs="Arial"/>
        </w:rPr>
        <w:footnoteReference w:id="71"/>
      </w:r>
      <w:r w:rsidR="00BC5BE7" w:rsidRPr="006F6A84">
        <w:t xml:space="preserve"> It is recommended that for an effective implementation in Australia</w:t>
      </w:r>
      <w:r w:rsidR="008152D0">
        <w:t>,</w:t>
      </w:r>
      <w:r w:rsidR="00BC5BE7" w:rsidRPr="006F6A84">
        <w:t xml:space="preserve"> a balance between these two systems </w:t>
      </w:r>
      <w:r w:rsidR="00F74FC8">
        <w:t xml:space="preserve">must be struck. </w:t>
      </w:r>
    </w:p>
    <w:p w:rsidR="00BC5BE7" w:rsidRPr="006F6A84" w:rsidRDefault="000D5FC7" w:rsidP="000D5FC7">
      <w:pPr>
        <w:tabs>
          <w:tab w:val="left" w:pos="2799"/>
        </w:tabs>
      </w:pPr>
      <w:r>
        <w:tab/>
      </w:r>
    </w:p>
    <w:p w:rsidR="00BC5BE7" w:rsidRPr="006F6A84" w:rsidRDefault="00BC5BE7" w:rsidP="00C20B5E">
      <w:pPr>
        <w:ind w:left="720" w:hanging="720"/>
      </w:pPr>
      <w:r>
        <w:t xml:space="preserve">5.13 </w:t>
      </w:r>
      <w:r w:rsidR="00C20B5E">
        <w:tab/>
      </w:r>
      <w:r w:rsidR="00F74FC8">
        <w:t>California’s mandatory</w:t>
      </w:r>
      <w:r w:rsidRPr="006F6A84">
        <w:t xml:space="preserve"> reporting has highlighted the role banks play in elder </w:t>
      </w:r>
      <w:r w:rsidR="00923E69">
        <w:t xml:space="preserve">financial </w:t>
      </w:r>
      <w:r w:rsidRPr="006F6A84">
        <w:t xml:space="preserve">abuse. </w:t>
      </w:r>
      <w:r w:rsidR="00923E69">
        <w:t>L</w:t>
      </w:r>
      <w:r w:rsidRPr="006F6A84">
        <w:t xml:space="preserve">egislation </w:t>
      </w:r>
      <w:r w:rsidR="00F74FC8">
        <w:t>has been</w:t>
      </w:r>
      <w:r w:rsidRPr="006F6A84">
        <w:t xml:space="preserve"> developed to </w:t>
      </w:r>
      <w:r w:rsidR="00923E69">
        <w:t>outline</w:t>
      </w:r>
      <w:r w:rsidRPr="006F6A84">
        <w:t xml:space="preserve"> </w:t>
      </w:r>
      <w:r w:rsidR="00F74FC8">
        <w:t xml:space="preserve">the </w:t>
      </w:r>
      <w:r w:rsidR="00923E69">
        <w:t>obligations</w:t>
      </w:r>
      <w:r w:rsidR="00F74FC8">
        <w:t xml:space="preserve"> of reporting suspected abuse</w:t>
      </w:r>
      <w:r w:rsidR="00184D69">
        <w:t>.</w:t>
      </w:r>
      <w:r w:rsidRPr="006F6A84">
        <w:rPr>
          <w:rStyle w:val="FootnoteReference"/>
          <w:rFonts w:cs="Arial"/>
        </w:rPr>
        <w:footnoteReference w:id="72"/>
      </w:r>
      <w:r w:rsidR="00BC2FAF">
        <w:t xml:space="preserve"> The </w:t>
      </w:r>
      <w:r w:rsidR="00923E69" w:rsidRPr="00923E69">
        <w:rPr>
          <w:i/>
          <w:iCs/>
        </w:rPr>
        <w:t xml:space="preserve">Financial Abuse Reporting Act </w:t>
      </w:r>
      <w:r w:rsidR="00923E69" w:rsidRPr="00923E69">
        <w:rPr>
          <w:color w:val="000000"/>
          <w:shd w:val="clear" w:color="auto" w:fill="FFFFFF"/>
        </w:rPr>
        <w:t>§</w:t>
      </w:r>
      <w:r w:rsidR="00923E69" w:rsidRPr="006F6A84">
        <w:rPr>
          <w:color w:val="000000"/>
          <w:sz w:val="16"/>
          <w:szCs w:val="16"/>
          <w:shd w:val="clear" w:color="auto" w:fill="FFFFFF"/>
        </w:rPr>
        <w:t xml:space="preserve"> </w:t>
      </w:r>
      <w:r w:rsidRPr="006F6A84">
        <w:t xml:space="preserve">requires employees of banks and credit unions </w:t>
      </w:r>
      <w:r w:rsidR="00923E69">
        <w:t xml:space="preserve">to </w:t>
      </w:r>
      <w:r w:rsidRPr="006F6A84">
        <w:t>report any suspected financial elder abu</w:t>
      </w:r>
      <w:r w:rsidR="00923E69">
        <w:t>se to adult protective services. I</w:t>
      </w:r>
      <w:r w:rsidRPr="006F6A84">
        <w:t xml:space="preserve">n </w:t>
      </w:r>
      <w:r w:rsidR="004D5057">
        <w:t>certain</w:t>
      </w:r>
      <w:r w:rsidRPr="006F6A84">
        <w:t xml:space="preserve"> circumstances </w:t>
      </w:r>
      <w:r w:rsidR="00923E69">
        <w:t xml:space="preserve">the Act mandates </w:t>
      </w:r>
      <w:r w:rsidRPr="006F6A84">
        <w:t>a report to law enforcement</w:t>
      </w:r>
      <w:r w:rsidR="00AE534C">
        <w:t>.</w:t>
      </w:r>
      <w:r w:rsidR="00AE534C" w:rsidRPr="006F6A84">
        <w:rPr>
          <w:rStyle w:val="FootnoteReference"/>
          <w:rFonts w:cs="Arial"/>
        </w:rPr>
        <w:footnoteReference w:id="73"/>
      </w:r>
      <w:r w:rsidRPr="006F6A84">
        <w:t xml:space="preserve"> </w:t>
      </w:r>
    </w:p>
    <w:p w:rsidR="00BC5BE7" w:rsidRPr="006F6A84" w:rsidRDefault="00BC5BE7" w:rsidP="00C20B5E"/>
    <w:p w:rsidR="00BC5BE7" w:rsidRPr="006F6A84" w:rsidRDefault="00BC5BE7" w:rsidP="00C20B5E">
      <w:pPr>
        <w:ind w:left="720" w:hanging="720"/>
      </w:pPr>
      <w:r>
        <w:t xml:space="preserve">5.14 </w:t>
      </w:r>
      <w:r w:rsidR="00C20B5E">
        <w:tab/>
      </w:r>
      <w:r w:rsidR="00923E69">
        <w:t>In the case of mandatory reporting, the correct identification of the abuse is paramount. T</w:t>
      </w:r>
      <w:r w:rsidRPr="006F6A84">
        <w:t xml:space="preserve">he legislative framework </w:t>
      </w:r>
      <w:r w:rsidR="00923E69">
        <w:t xml:space="preserve">requires </w:t>
      </w:r>
      <w:r w:rsidRPr="006F6A84">
        <w:t>front line banking associates to undertake compulsory training programs.</w:t>
      </w:r>
      <w:r w:rsidR="00102CA0" w:rsidRPr="006F6A84">
        <w:rPr>
          <w:rStyle w:val="FootnoteReference"/>
          <w:rFonts w:cs="Arial"/>
        </w:rPr>
        <w:footnoteReference w:id="74"/>
      </w:r>
      <w:r w:rsidRPr="006F6A84">
        <w:t xml:space="preserve"> This training helps associates effectively recognise abuse</w:t>
      </w:r>
      <w:r w:rsidR="00923E69">
        <w:t xml:space="preserve"> </w:t>
      </w:r>
      <w:r w:rsidRPr="006F6A84">
        <w:t xml:space="preserve">and most importantly </w:t>
      </w:r>
      <w:r w:rsidR="009D0BB7">
        <w:t>creates familiarity with</w:t>
      </w:r>
      <w:r w:rsidRPr="006F6A84">
        <w:t xml:space="preserve"> </w:t>
      </w:r>
      <w:r w:rsidR="009D0BB7">
        <w:t>reporting processes</w:t>
      </w:r>
      <w:r w:rsidR="00102CA0">
        <w:t>.</w:t>
      </w:r>
      <w:r w:rsidRPr="006F6A84">
        <w:rPr>
          <w:rStyle w:val="FootnoteReference"/>
          <w:rFonts w:cs="Arial"/>
        </w:rPr>
        <w:footnoteReference w:id="75"/>
      </w:r>
      <w:r w:rsidRPr="006F6A84">
        <w:t xml:space="preserve">  </w:t>
      </w:r>
    </w:p>
    <w:p w:rsidR="00BC5BE7" w:rsidRPr="006F6A84" w:rsidRDefault="00BC5BE7" w:rsidP="00C20B5E"/>
    <w:p w:rsidR="00672A77" w:rsidRDefault="00C20B5E" w:rsidP="00C20B5E">
      <w:pPr>
        <w:ind w:left="720" w:hanging="720"/>
      </w:pPr>
      <w:r>
        <w:t>5.1.5</w:t>
      </w:r>
      <w:r>
        <w:tab/>
      </w:r>
      <w:r w:rsidR="00BC5BE7" w:rsidRPr="006F6A84">
        <w:t>The</w:t>
      </w:r>
      <w:r w:rsidR="00923E69">
        <w:t xml:space="preserve"> legislative</w:t>
      </w:r>
      <w:r w:rsidR="00BC5BE7" w:rsidRPr="006F6A84">
        <w:t xml:space="preserve"> framework within California defines what is deemed to be ‘suspect’ elder abuse</w:t>
      </w:r>
      <w:r w:rsidR="00923E69">
        <w:t xml:space="preserve"> for identification purposes. The A</w:t>
      </w:r>
      <w:r w:rsidR="00BC5BE7" w:rsidRPr="006F6A84">
        <w:t>ct states that when a bank employee encounters</w:t>
      </w:r>
      <w:r w:rsidR="00672A77">
        <w:t>,</w:t>
      </w:r>
    </w:p>
    <w:p w:rsidR="00672A77" w:rsidRDefault="00672A77" w:rsidP="00C20B5E">
      <w:pPr>
        <w:ind w:left="720" w:hanging="720"/>
      </w:pPr>
    </w:p>
    <w:p w:rsidR="00672A77" w:rsidRDefault="00BC5BE7" w:rsidP="00672A77">
      <w:pPr>
        <w:ind w:left="1440" w:firstLine="60"/>
      </w:pPr>
      <w:r w:rsidRPr="006F6A84">
        <w:t>“</w:t>
      </w:r>
      <w:r w:rsidR="00672A77">
        <w:t>…B</w:t>
      </w:r>
      <w:r w:rsidRPr="006F6A84">
        <w:t>ehaviour or a transaction/s that would lead a person with similar training to form a reasonable belief that an elder is a victim of financial abuse then they are held liable to report such behaviour and the corresponding transactions</w:t>
      </w:r>
      <w:r w:rsidR="00672A77">
        <w:t>.</w:t>
      </w:r>
      <w:r w:rsidRPr="006F6A84">
        <w:t>”</w:t>
      </w:r>
      <w:r w:rsidR="00C9613F">
        <w:t xml:space="preserve"> </w:t>
      </w:r>
      <w:r w:rsidRPr="006F6A84">
        <w:rPr>
          <w:rStyle w:val="FootnoteReference"/>
          <w:rFonts w:cs="Arial"/>
        </w:rPr>
        <w:footnoteReference w:id="76"/>
      </w:r>
      <w:r w:rsidRPr="006F6A84">
        <w:t xml:space="preserve"> </w:t>
      </w:r>
    </w:p>
    <w:p w:rsidR="00672A77" w:rsidRDefault="00672A77" w:rsidP="00672A77">
      <w:pPr>
        <w:ind w:left="1440" w:firstLine="60"/>
      </w:pPr>
    </w:p>
    <w:p w:rsidR="00BC5BE7" w:rsidRPr="006F6A84" w:rsidRDefault="00CD4746" w:rsidP="00CD4746">
      <w:pPr>
        <w:ind w:left="720"/>
      </w:pPr>
      <w:r>
        <w:t>Employees are required to report the behaviour as soon as practicable via telephone reporting</w:t>
      </w:r>
      <w:r w:rsidR="00D105B2">
        <w:t>.</w:t>
      </w:r>
      <w:r w:rsidR="00BC5BE7" w:rsidRPr="006F6A84">
        <w:rPr>
          <w:rStyle w:val="FootnoteReference"/>
          <w:rFonts w:cs="Arial"/>
        </w:rPr>
        <w:footnoteReference w:id="77"/>
      </w:r>
      <w:r>
        <w:t xml:space="preserve"> </w:t>
      </w:r>
      <w:r w:rsidR="00D105B2">
        <w:t xml:space="preserve">Following the phone call, </w:t>
      </w:r>
      <w:r>
        <w:t xml:space="preserve">a written report </w:t>
      </w:r>
      <w:r w:rsidR="00D105B2">
        <w:t>must be provided to adult protective services or law enforcement agencies within two working days</w:t>
      </w:r>
      <w:r w:rsidR="009C2439">
        <w:t>.</w:t>
      </w:r>
      <w:r w:rsidR="00BC5BE7" w:rsidRPr="006F6A84">
        <w:rPr>
          <w:rStyle w:val="FootnoteReference"/>
          <w:rFonts w:cs="Arial"/>
        </w:rPr>
        <w:footnoteReference w:id="78"/>
      </w:r>
      <w:r w:rsidR="00BC5BE7" w:rsidRPr="006F6A84">
        <w:t xml:space="preserve"> </w:t>
      </w:r>
    </w:p>
    <w:p w:rsidR="00BC5BE7" w:rsidRPr="006F6A84" w:rsidRDefault="00BC5BE7" w:rsidP="00C20B5E"/>
    <w:p w:rsidR="00BC5BE7" w:rsidRPr="006F6A84" w:rsidRDefault="00C20B5E" w:rsidP="00551206">
      <w:pPr>
        <w:ind w:left="720" w:hanging="720"/>
      </w:pPr>
      <w:r>
        <w:lastRenderedPageBreak/>
        <w:t>5.1.6</w:t>
      </w:r>
      <w:r>
        <w:tab/>
      </w:r>
      <w:r w:rsidR="00D105B2">
        <w:t>The mandatory reporting schemes stipulate that failure to report suspected abuse will result in the financial institution being held liable. T</w:t>
      </w:r>
      <w:r w:rsidR="007776C8">
        <w:t xml:space="preserve">his remains controversial due to </w:t>
      </w:r>
      <w:r w:rsidR="00D105B2">
        <w:t>severe</w:t>
      </w:r>
      <w:r w:rsidR="007776C8">
        <w:t xml:space="preserve"> consequences for the employee</w:t>
      </w:r>
      <w:r w:rsidR="00D105B2">
        <w:t>.</w:t>
      </w:r>
      <w:r w:rsidR="007776C8" w:rsidRPr="006F6A84">
        <w:rPr>
          <w:rStyle w:val="FootnoteReference"/>
          <w:rFonts w:cs="Arial"/>
        </w:rPr>
        <w:footnoteReference w:id="79"/>
      </w:r>
      <w:r w:rsidR="00D105B2">
        <w:t xml:space="preserve"> </w:t>
      </w:r>
      <w:r w:rsidR="007776C8">
        <w:t xml:space="preserve"> </w:t>
      </w:r>
      <w:proofErr w:type="gramStart"/>
      <w:r w:rsidR="00D105B2">
        <w:t>If found liable, the banking employee’s practising rights could be restricted as well as disciplinary action being taken.</w:t>
      </w:r>
      <w:proofErr w:type="gramEnd"/>
      <w:r w:rsidR="007776C8" w:rsidRPr="006F6A84">
        <w:rPr>
          <w:rStyle w:val="FootnoteReference"/>
          <w:rFonts w:cs="Arial"/>
        </w:rPr>
        <w:footnoteReference w:id="80"/>
      </w:r>
      <w:r w:rsidR="00BC5BE7" w:rsidRPr="006F6A84">
        <w:t xml:space="preserve">  </w:t>
      </w:r>
    </w:p>
    <w:p w:rsidR="00BC5BE7" w:rsidRPr="006F6A84" w:rsidRDefault="00BC5BE7" w:rsidP="00C20B5E"/>
    <w:p w:rsidR="00BC5BE7" w:rsidRPr="006F6A84" w:rsidRDefault="00C20B5E" w:rsidP="00D105B2">
      <w:pPr>
        <w:ind w:left="720" w:hanging="720"/>
      </w:pPr>
      <w:r>
        <w:t>5.1.8</w:t>
      </w:r>
      <w:r>
        <w:tab/>
      </w:r>
      <w:r w:rsidR="00BC5BE7" w:rsidRPr="006F6A84">
        <w:t xml:space="preserve">Canada has </w:t>
      </w:r>
      <w:r w:rsidR="00D105B2">
        <w:t xml:space="preserve">implemented a different scheme to respond to elder financial abuse, </w:t>
      </w:r>
      <w:r w:rsidR="00BC5BE7" w:rsidRPr="006F6A84">
        <w:t>known as Saskatchewan system.</w:t>
      </w:r>
      <w:r w:rsidR="00BC5BE7" w:rsidRPr="006F6A84">
        <w:rPr>
          <w:rStyle w:val="FootnoteReference"/>
          <w:rFonts w:cs="Arial"/>
        </w:rPr>
        <w:footnoteReference w:id="81"/>
      </w:r>
      <w:r w:rsidR="00C20A4A">
        <w:t xml:space="preserve"> </w:t>
      </w:r>
      <w:r w:rsidR="00D105B2">
        <w:t>The model provides financial</w:t>
      </w:r>
      <w:r w:rsidR="00D105B2" w:rsidRPr="006F6A84">
        <w:t xml:space="preserve"> institution with the authority to contact the elder before processing a transaction</w:t>
      </w:r>
      <w:r w:rsidR="00D105B2">
        <w:t xml:space="preserve"> provided the customer has signed the appropriate documentation</w:t>
      </w:r>
      <w:r w:rsidR="00BC5BE7" w:rsidRPr="006F6A84">
        <w:t>.</w:t>
      </w:r>
      <w:r w:rsidR="00A9079D" w:rsidRPr="006F6A84">
        <w:rPr>
          <w:rStyle w:val="FootnoteReference"/>
          <w:rFonts w:cs="Arial"/>
        </w:rPr>
        <w:footnoteReference w:id="82"/>
      </w:r>
      <w:r w:rsidR="00BC5BE7" w:rsidRPr="006F6A84">
        <w:t xml:space="preserve"> </w:t>
      </w:r>
      <w:r w:rsidR="00D105B2">
        <w:t xml:space="preserve">The </w:t>
      </w:r>
      <w:r w:rsidR="00BC5BE7" w:rsidRPr="006F6A84">
        <w:t xml:space="preserve">financial institution and its employees </w:t>
      </w:r>
      <w:r w:rsidR="00D105B2">
        <w:t>are then capable of monitoring accounts and transactions and have the obligation to contact the elder</w:t>
      </w:r>
      <w:r w:rsidR="00DE4AB0">
        <w:t xml:space="preserve"> </w:t>
      </w:r>
      <w:r w:rsidR="00BC5BE7" w:rsidRPr="006F6A84">
        <w:t>should any transactions raise concern.</w:t>
      </w:r>
      <w:r w:rsidR="00A9079D" w:rsidRPr="006F6A84">
        <w:rPr>
          <w:rStyle w:val="FootnoteReference"/>
          <w:rFonts w:cs="Arial"/>
        </w:rPr>
        <w:footnoteReference w:id="83"/>
      </w:r>
      <w:r w:rsidR="00BC5BE7" w:rsidRPr="006F6A84">
        <w:t xml:space="preserve"> </w:t>
      </w:r>
      <w:r w:rsidR="00DE4AB0">
        <w:t>The system</w:t>
      </w:r>
      <w:r w:rsidR="00BC5BE7" w:rsidRPr="006F6A84">
        <w:t xml:space="preserve"> also provides authority for the financial institution to report </w:t>
      </w:r>
      <w:r w:rsidR="00DE4AB0">
        <w:t>suspect</w:t>
      </w:r>
      <w:r w:rsidR="00BC5BE7" w:rsidRPr="006F6A84">
        <w:t xml:space="preserve"> transactions to t</w:t>
      </w:r>
      <w:r w:rsidR="00DE4AB0">
        <w:t>he appropriate authorities</w:t>
      </w:r>
      <w:r w:rsidR="00BC5BE7" w:rsidRPr="006F6A84">
        <w:t>.</w:t>
      </w:r>
      <w:r w:rsidR="00BC5BE7" w:rsidRPr="006F6A84">
        <w:rPr>
          <w:rStyle w:val="FootnoteReference"/>
          <w:rFonts w:cs="Arial"/>
        </w:rPr>
        <w:footnoteReference w:id="84"/>
      </w:r>
      <w:r w:rsidR="00BC5BE7" w:rsidRPr="006F6A84">
        <w:t xml:space="preserve">     </w:t>
      </w:r>
    </w:p>
    <w:p w:rsidR="00BC5BE7" w:rsidRPr="006F6A84" w:rsidRDefault="00BC5BE7" w:rsidP="00D80277">
      <w:r w:rsidRPr="006F6A84">
        <w:t xml:space="preserve"> </w:t>
      </w:r>
    </w:p>
    <w:p w:rsidR="00BC5BE7" w:rsidRPr="006F6A84" w:rsidRDefault="00BC5BE7" w:rsidP="00C20B5E"/>
    <w:p w:rsidR="00BC5BE7" w:rsidRDefault="00C20B5E" w:rsidP="00013FD9">
      <w:pPr>
        <w:ind w:left="720" w:hanging="720"/>
      </w:pPr>
      <w:r>
        <w:t>5.1.10</w:t>
      </w:r>
      <w:r>
        <w:tab/>
      </w:r>
      <w:proofErr w:type="gramStart"/>
      <w:r w:rsidR="00DE4AB0">
        <w:t>To</w:t>
      </w:r>
      <w:proofErr w:type="gramEnd"/>
      <w:r w:rsidR="00DE4AB0">
        <w:t xml:space="preserve"> implement a mandatory reporting scheme in Australia</w:t>
      </w:r>
      <w:r w:rsidR="008152D0">
        <w:t>,</w:t>
      </w:r>
      <w:r w:rsidR="00BC5BE7" w:rsidRPr="006F6A84">
        <w:t xml:space="preserve"> the establishment of a separate body would be required </w:t>
      </w:r>
      <w:r w:rsidR="00DE4AB0">
        <w:t>similar to</w:t>
      </w:r>
      <w:r w:rsidR="00BC5BE7" w:rsidRPr="006F6A84">
        <w:t xml:space="preserve"> the Adult Protective Service</w:t>
      </w:r>
      <w:r w:rsidR="00DE4AB0">
        <w:t>s body</w:t>
      </w:r>
      <w:r w:rsidR="00BC5BE7" w:rsidRPr="006F6A84">
        <w:t xml:space="preserve"> in California</w:t>
      </w:r>
      <w:r w:rsidR="002919A0">
        <w:t>.</w:t>
      </w:r>
      <w:r w:rsidR="00BC5BE7" w:rsidRPr="006F6A84">
        <w:rPr>
          <w:rStyle w:val="FootnoteReference"/>
          <w:rFonts w:cs="Arial"/>
        </w:rPr>
        <w:footnoteReference w:id="85"/>
      </w:r>
      <w:r w:rsidR="00BC5BE7" w:rsidRPr="006F6A84">
        <w:t xml:space="preserve"> This paper does not support such a creation,</w:t>
      </w:r>
      <w:r w:rsidR="00DE4AB0">
        <w:t xml:space="preserve"> due to the funds required to establish the organisation and provide investigative resources. T</w:t>
      </w:r>
      <w:r w:rsidR="00BC5BE7" w:rsidRPr="006F6A84">
        <w:t xml:space="preserve">his </w:t>
      </w:r>
      <w:r w:rsidR="00DE4AB0">
        <w:t>submission</w:t>
      </w:r>
      <w:r w:rsidR="00BC5BE7" w:rsidRPr="006F6A84">
        <w:t xml:space="preserve"> suggests </w:t>
      </w:r>
      <w:r w:rsidR="00DE4AB0">
        <w:t xml:space="preserve">such funding </w:t>
      </w:r>
      <w:r w:rsidR="00BC5BE7" w:rsidRPr="006F6A84">
        <w:t xml:space="preserve">would be better focused on training and community awareness.   </w:t>
      </w:r>
    </w:p>
    <w:p w:rsidR="00013FD9" w:rsidRPr="006F6A84" w:rsidRDefault="00013FD9" w:rsidP="00013FD9">
      <w:pPr>
        <w:ind w:left="720" w:hanging="720"/>
      </w:pPr>
    </w:p>
    <w:p w:rsidR="00BC5BE7" w:rsidRPr="006F6A84" w:rsidRDefault="00C20B5E" w:rsidP="00C20B5E">
      <w:pPr>
        <w:ind w:left="720" w:hanging="720"/>
        <w:rPr>
          <w:b/>
          <w:bCs/>
        </w:rPr>
      </w:pPr>
      <w:r>
        <w:t>5.1.11</w:t>
      </w:r>
      <w:r>
        <w:tab/>
      </w:r>
      <w:r w:rsidR="00DE4AB0">
        <w:t>In order for an</w:t>
      </w:r>
      <w:r w:rsidR="00BC5BE7" w:rsidRPr="006F6A84">
        <w:t xml:space="preserve"> Austral</w:t>
      </w:r>
      <w:r w:rsidR="00126B53">
        <w:t xml:space="preserve">ian </w:t>
      </w:r>
      <w:r w:rsidR="00DE4AB0">
        <w:t xml:space="preserve">reporting </w:t>
      </w:r>
      <w:r w:rsidR="00126B53">
        <w:t>system to be successful,</w:t>
      </w:r>
      <w:r w:rsidR="00BC5BE7" w:rsidRPr="006F6A84">
        <w:t xml:space="preserve"> a balance must be reached between the voluntary a</w:t>
      </w:r>
      <w:r w:rsidR="00126B53">
        <w:t xml:space="preserve">nd mandatory reporting schemes. There are </w:t>
      </w:r>
      <w:r w:rsidR="00DE4AB0">
        <w:t>currently</w:t>
      </w:r>
      <w:r w:rsidR="00BC5BE7" w:rsidRPr="006F6A84">
        <w:t xml:space="preserve"> government </w:t>
      </w:r>
      <w:r w:rsidR="00DE4AB0">
        <w:t>agencies</w:t>
      </w:r>
      <w:r w:rsidR="00BC5BE7" w:rsidRPr="006F6A84">
        <w:t xml:space="preserve"> that </w:t>
      </w:r>
      <w:r w:rsidR="00DE4AB0">
        <w:t>could</w:t>
      </w:r>
      <w:r w:rsidR="00BC5BE7" w:rsidRPr="006F6A84">
        <w:t xml:space="preserve"> be </w:t>
      </w:r>
      <w:r w:rsidR="00DE4AB0">
        <w:t xml:space="preserve">vested with additional powers to manage the influx of reporting of abuse. </w:t>
      </w:r>
    </w:p>
    <w:p w:rsidR="00BC5BE7" w:rsidRPr="006F6A84" w:rsidRDefault="00BC5BE7" w:rsidP="00C20B5E">
      <w:pPr>
        <w:rPr>
          <w:b/>
          <w:bCs/>
        </w:rPr>
      </w:pPr>
    </w:p>
    <w:p w:rsidR="00736188" w:rsidRDefault="00C20B5E" w:rsidP="00546654">
      <w:pPr>
        <w:ind w:left="720" w:hanging="720"/>
      </w:pPr>
      <w:r>
        <w:t>5.1.12</w:t>
      </w:r>
      <w:r>
        <w:tab/>
      </w:r>
      <w:proofErr w:type="gramStart"/>
      <w:r w:rsidR="00BC5BE7" w:rsidRPr="006F6A84">
        <w:t>This</w:t>
      </w:r>
      <w:proofErr w:type="gramEnd"/>
      <w:r w:rsidR="00BC5BE7" w:rsidRPr="006F6A84">
        <w:t xml:space="preserve"> </w:t>
      </w:r>
      <w:r w:rsidR="00DE4AB0">
        <w:t>submission</w:t>
      </w:r>
      <w:r w:rsidR="00BC5BE7" w:rsidRPr="006F6A84">
        <w:t xml:space="preserve"> suggests that a threshold test would be the most </w:t>
      </w:r>
      <w:r w:rsidR="008A477E">
        <w:t>appropriate</w:t>
      </w:r>
      <w:r w:rsidR="00BC5BE7" w:rsidRPr="006F6A84">
        <w:t xml:space="preserve"> solution in creating a </w:t>
      </w:r>
      <w:r w:rsidR="009E3EE5">
        <w:t>quasi-</w:t>
      </w:r>
      <w:r w:rsidR="00BC5BE7" w:rsidRPr="006F6A84">
        <w:t>mandatory scheme</w:t>
      </w:r>
      <w:r w:rsidR="00DE4AB0">
        <w:t xml:space="preserve">. This would involve imposing obligations on financial institutions to report </w:t>
      </w:r>
      <w:r w:rsidR="00736188">
        <w:t xml:space="preserve">transactions over a certain amount rather than in every </w:t>
      </w:r>
      <w:r w:rsidR="00DE4AB0">
        <w:t xml:space="preserve">suspected </w:t>
      </w:r>
      <w:r w:rsidR="00736188">
        <w:t xml:space="preserve">instance. </w:t>
      </w:r>
    </w:p>
    <w:p w:rsidR="00BC5BE7" w:rsidRPr="006F6A84" w:rsidRDefault="00BC5BE7" w:rsidP="00C20B5E"/>
    <w:p w:rsidR="00BC5BE7" w:rsidRPr="006F6A84" w:rsidRDefault="00C20B5E" w:rsidP="00546654">
      <w:pPr>
        <w:ind w:left="720" w:hanging="720"/>
      </w:pPr>
      <w:r>
        <w:t>5.1.13</w:t>
      </w:r>
      <w:r>
        <w:tab/>
      </w:r>
      <w:proofErr w:type="gramStart"/>
      <w:r w:rsidR="00DE4AB0">
        <w:t>A</w:t>
      </w:r>
      <w:proofErr w:type="gramEnd"/>
      <w:r w:rsidR="00546654">
        <w:t xml:space="preserve"> dollar </w:t>
      </w:r>
      <w:r w:rsidR="00DE4AB0">
        <w:t>figure</w:t>
      </w:r>
      <w:r w:rsidR="00546654">
        <w:t xml:space="preserve"> would not adequately account for the differences in individual </w:t>
      </w:r>
      <w:r w:rsidR="00DE4AB0">
        <w:t>wealth</w:t>
      </w:r>
      <w:r w:rsidR="00546654">
        <w:t xml:space="preserve"> of the elderly</w:t>
      </w:r>
      <w:r w:rsidR="00DE4AB0">
        <w:t xml:space="preserve"> person</w:t>
      </w:r>
      <w:r w:rsidR="00546654">
        <w:t xml:space="preserve">, </w:t>
      </w:r>
      <w:r w:rsidR="00DE4AB0">
        <w:t xml:space="preserve">therefore </w:t>
      </w:r>
      <w:r w:rsidR="00546654">
        <w:t>a threshold based upon a percentage of an individual’s net worth provide</w:t>
      </w:r>
      <w:r w:rsidR="00DE4AB0">
        <w:t xml:space="preserve">s a </w:t>
      </w:r>
      <w:r w:rsidR="00546654">
        <w:t>solution.</w:t>
      </w:r>
      <w:r w:rsidR="00BC5BE7" w:rsidRPr="006F6A84">
        <w:t xml:space="preserve"> It is that </w:t>
      </w:r>
      <w:r w:rsidR="00B000E6">
        <w:t>the</w:t>
      </w:r>
      <w:r w:rsidR="00BC5BE7" w:rsidRPr="006F6A84">
        <w:t xml:space="preserve"> threshold </w:t>
      </w:r>
      <w:r w:rsidR="00B000E6">
        <w:t xml:space="preserve">for triggering a mandatory report </w:t>
      </w:r>
      <w:r w:rsidR="00BC5BE7" w:rsidRPr="006F6A84">
        <w:t>be placed at 20% of the net worth of an elder</w:t>
      </w:r>
      <w:r w:rsidR="00DE4AB0">
        <w:t>ly customer</w:t>
      </w:r>
      <w:r w:rsidR="00BC5BE7" w:rsidRPr="006F6A84">
        <w:t xml:space="preserve">. Transactions that fall under the trigger threshold need only be reported if the financial institution and its </w:t>
      </w:r>
      <w:r w:rsidR="00D862EF">
        <w:t xml:space="preserve">trained </w:t>
      </w:r>
      <w:r w:rsidR="00BC5BE7" w:rsidRPr="006F6A84">
        <w:t xml:space="preserve">employees suspect elder </w:t>
      </w:r>
      <w:r w:rsidR="00BC5BE7" w:rsidRPr="006F6A84">
        <w:lastRenderedPageBreak/>
        <w:t xml:space="preserve">abuse. The financial institutions would be required to report </w:t>
      </w:r>
      <w:proofErr w:type="gramStart"/>
      <w:r w:rsidR="00BC5BE7" w:rsidRPr="006F6A84">
        <w:t>these</w:t>
      </w:r>
      <w:proofErr w:type="gramEnd"/>
      <w:r w:rsidR="00BC5BE7" w:rsidRPr="006F6A84">
        <w:t xml:space="preserve"> transaction/s to the external body to ensure adequate</w:t>
      </w:r>
      <w:r w:rsidR="00586BB4">
        <w:t xml:space="preserve"> and impartial</w:t>
      </w:r>
      <w:r w:rsidR="00BC5BE7" w:rsidRPr="006F6A84">
        <w:t xml:space="preserve"> investigation</w:t>
      </w:r>
      <w:r w:rsidR="00586BB4">
        <w:t>s</w:t>
      </w:r>
      <w:r w:rsidR="00BC5BE7" w:rsidRPr="006F6A84">
        <w:t xml:space="preserve">. </w:t>
      </w:r>
    </w:p>
    <w:p w:rsidR="00BC5BE7" w:rsidRPr="006F6A84" w:rsidRDefault="00BC5BE7" w:rsidP="00C20B5E"/>
    <w:p w:rsidR="00BC5BE7" w:rsidRPr="006F6A84" w:rsidRDefault="00C20B5E" w:rsidP="00C20B5E">
      <w:pPr>
        <w:ind w:left="720" w:hanging="720"/>
      </w:pPr>
      <w:r>
        <w:t>5.1.14</w:t>
      </w:r>
      <w:r>
        <w:tab/>
      </w:r>
      <w:proofErr w:type="gramStart"/>
      <w:r w:rsidR="00DE4AB0">
        <w:t>When</w:t>
      </w:r>
      <w:proofErr w:type="gramEnd"/>
      <w:r w:rsidR="00DE4AB0">
        <w:t xml:space="preserve"> a report has been made, the suspect transaction has often </w:t>
      </w:r>
      <w:r w:rsidR="00606B97">
        <w:t xml:space="preserve">already been processed </w:t>
      </w:r>
      <w:r w:rsidR="00BC5BE7" w:rsidRPr="006F6A84">
        <w:t>and the funds allowed to pass through the accounts. Elders are often reluctant to take further action after the</w:t>
      </w:r>
      <w:r w:rsidR="00DE4AB0">
        <w:t xml:space="preserve"> fact for a variety of reasons. This highlights the need </w:t>
      </w:r>
      <w:r w:rsidR="00BC5BE7" w:rsidRPr="006F6A84">
        <w:t>for</w:t>
      </w:r>
      <w:r w:rsidR="00606B97">
        <w:t xml:space="preserve"> financial institutions to hold or </w:t>
      </w:r>
      <w:proofErr w:type="spellStart"/>
      <w:r w:rsidR="00BC5BE7" w:rsidRPr="006F6A84">
        <w:t>pend</w:t>
      </w:r>
      <w:proofErr w:type="spellEnd"/>
      <w:r w:rsidR="00BC5BE7" w:rsidRPr="006F6A84">
        <w:t xml:space="preserve"> transactions until the outcome of the reporting process has been finalised.  </w:t>
      </w:r>
    </w:p>
    <w:p w:rsidR="00BC5BE7" w:rsidRPr="006F6A84" w:rsidRDefault="00BC5BE7" w:rsidP="00C20B5E"/>
    <w:p w:rsidR="00BC5BE7" w:rsidRPr="006F6A84" w:rsidRDefault="00C20B5E" w:rsidP="00D80277">
      <w:pPr>
        <w:ind w:left="720" w:hanging="720"/>
      </w:pPr>
      <w:r>
        <w:t>5.1.15</w:t>
      </w:r>
      <w:r>
        <w:tab/>
      </w:r>
      <w:r w:rsidR="00551206">
        <w:t xml:space="preserve">Following the implementation of a mandatory scheme in Australia, it is recommended an additional power to </w:t>
      </w:r>
      <w:proofErr w:type="spellStart"/>
      <w:r w:rsidR="00551206">
        <w:t>pend</w:t>
      </w:r>
      <w:proofErr w:type="spellEnd"/>
      <w:r w:rsidR="00551206">
        <w:t xml:space="preserve"> suspect transactions be afforded to financial institutions. </w:t>
      </w:r>
      <w:r w:rsidR="00BC5BE7" w:rsidRPr="006F6A84">
        <w:t xml:space="preserve">This power would </w:t>
      </w:r>
      <w:r w:rsidR="00551206">
        <w:t xml:space="preserve">allow the bank to suspend </w:t>
      </w:r>
      <w:r w:rsidR="00551206" w:rsidRPr="006F6A84">
        <w:t>transaction</w:t>
      </w:r>
      <w:r w:rsidR="00551206">
        <w:t xml:space="preserve">s until a determination of suspected abuse is reached </w:t>
      </w:r>
      <w:r w:rsidR="00551206" w:rsidRPr="006F6A84">
        <w:t>via the reporting process</w:t>
      </w:r>
      <w:r w:rsidR="00551206">
        <w:t xml:space="preserve">.  </w:t>
      </w:r>
      <w:r w:rsidR="00BC5BE7" w:rsidRPr="006F6A84">
        <w:t xml:space="preserve">This would eliminate the need for civil proceedings to recover funds that have been taken by way of abuse, effectively removing the responsibility of the </w:t>
      </w:r>
      <w:r w:rsidR="00551206">
        <w:t>victim</w:t>
      </w:r>
      <w:r w:rsidR="00BC5BE7" w:rsidRPr="006F6A84">
        <w:t xml:space="preserve"> to take action. </w:t>
      </w:r>
      <w:r w:rsidR="00551206">
        <w:t xml:space="preserve">The effectiveness of such a scheme relies on the premise that given financial institution employees are often the </w:t>
      </w:r>
      <w:r w:rsidR="00BC5BE7" w:rsidRPr="006F6A84">
        <w:t xml:space="preserve">first </w:t>
      </w:r>
      <w:r w:rsidR="00551206">
        <w:t>to encounter these transactions</w:t>
      </w:r>
      <w:r w:rsidR="00BC5BE7" w:rsidRPr="006F6A84">
        <w:t xml:space="preserve"> </w:t>
      </w:r>
      <w:r w:rsidR="00551206">
        <w:t>they are in the best position to identify and manage the abuse</w:t>
      </w:r>
      <w:r w:rsidR="00BC5BE7" w:rsidRPr="006F6A84">
        <w:t xml:space="preserve">.   </w:t>
      </w:r>
    </w:p>
    <w:p w:rsidR="00BC5BE7" w:rsidRPr="006F6A84" w:rsidRDefault="00BC5BE7" w:rsidP="00C20B5E"/>
    <w:p w:rsidR="00D80277" w:rsidRDefault="00C20B5E" w:rsidP="003A66F3">
      <w:pPr>
        <w:ind w:left="720" w:hanging="720"/>
      </w:pPr>
      <w:r>
        <w:t>5.1.17</w:t>
      </w:r>
      <w:r>
        <w:tab/>
      </w:r>
      <w:proofErr w:type="gramStart"/>
      <w:r w:rsidR="00D80277">
        <w:t>This</w:t>
      </w:r>
      <w:proofErr w:type="gramEnd"/>
      <w:r w:rsidR="00D80277">
        <w:t xml:space="preserve"> submission argued that the greatest issue with respect to financial elder abuse is the lack of positive obligations imposed on financial institutions to identify, manage and report suspected instances of abuse. It is recommended that a quasi-mandatory reporting scheme be introduced in Australia to ensure not only </w:t>
      </w:r>
      <w:proofErr w:type="gramStart"/>
      <w:r w:rsidR="00D80277">
        <w:t>that banks</w:t>
      </w:r>
      <w:proofErr w:type="gramEnd"/>
      <w:r w:rsidR="00D80277">
        <w:t xml:space="preserve"> are obligated to make such reports but they are also protected from potential liability of </w:t>
      </w:r>
      <w:r w:rsidR="00DB3FB2">
        <w:t xml:space="preserve">improper </w:t>
      </w:r>
      <w:r w:rsidR="00D80277">
        <w:t xml:space="preserve">disclosure. It is further recommended that financial institutions be afforded additional powers to </w:t>
      </w:r>
      <w:r w:rsidR="00DB3FB2">
        <w:t xml:space="preserve">place </w:t>
      </w:r>
      <w:r w:rsidR="00D80277">
        <w:t xml:space="preserve">transactions </w:t>
      </w:r>
      <w:r w:rsidR="00DB3FB2">
        <w:t xml:space="preserve">on hold </w:t>
      </w:r>
      <w:r w:rsidR="00D80277">
        <w:t xml:space="preserve">pending investigation of the alleged abuse by an external body. Theoretically this practice would minimise the need for the victim of abuse to take legal action to recover dispersed funds. </w:t>
      </w:r>
      <w:bookmarkStart w:id="15" w:name="_GoBack"/>
      <w:bookmarkEnd w:id="15"/>
    </w:p>
    <w:p w:rsidR="00D80277" w:rsidRDefault="00D80277" w:rsidP="003A66F3">
      <w:pPr>
        <w:ind w:left="720" w:hanging="720"/>
      </w:pPr>
    </w:p>
    <w:p w:rsidR="00BC5BE7" w:rsidRPr="006F6A84" w:rsidRDefault="00BC5BE7" w:rsidP="00C20B5E"/>
    <w:p w:rsidR="00BC5BE7" w:rsidRPr="006F6A84" w:rsidRDefault="00BC5BE7" w:rsidP="00C20B5E"/>
    <w:p w:rsidR="00BC5BE7" w:rsidRPr="006F6A84" w:rsidRDefault="00BC5BE7" w:rsidP="00C20B5E"/>
    <w:p w:rsidR="00BC5BE7" w:rsidRPr="006F6A84" w:rsidRDefault="00BC5BE7" w:rsidP="00C20B5E"/>
    <w:p w:rsidR="00BC5BE7" w:rsidRPr="006F6A84" w:rsidRDefault="00BC5BE7" w:rsidP="00C20B5E"/>
    <w:p w:rsidR="00BC5BE7" w:rsidRPr="006F6A84" w:rsidRDefault="00BC5BE7" w:rsidP="00C20B5E"/>
    <w:p w:rsidR="00BC5BE7" w:rsidRPr="006F6A84" w:rsidRDefault="00BC5BE7" w:rsidP="00C20B5E"/>
    <w:p w:rsidR="00BC5BE7" w:rsidRPr="006F6A84" w:rsidRDefault="00BC5BE7" w:rsidP="00C20B5E"/>
    <w:p w:rsidR="00BC5BE7" w:rsidRPr="006F6A84" w:rsidRDefault="00BC5BE7" w:rsidP="00C20B5E"/>
    <w:p w:rsidR="00BC5BE7" w:rsidRPr="006F6A84" w:rsidRDefault="00BC5BE7" w:rsidP="00C20B5E"/>
    <w:p w:rsidR="00D739DA" w:rsidRDefault="00D739DA" w:rsidP="00C20B5E"/>
    <w:p w:rsidR="00BC5BE7" w:rsidRDefault="00BC5BE7" w:rsidP="00C20B5E">
      <w:pPr>
        <w:rPr>
          <w:rFonts w:asciiTheme="majorHAnsi" w:eastAsiaTheme="majorEastAsia" w:hAnsiTheme="majorHAnsi" w:cstheme="majorBidi"/>
          <w:b/>
          <w:bCs/>
          <w:color w:val="4F81BD" w:themeColor="accent1"/>
          <w:sz w:val="26"/>
          <w:szCs w:val="26"/>
        </w:rPr>
      </w:pPr>
      <w:r>
        <w:br w:type="page"/>
      </w:r>
    </w:p>
    <w:p w:rsidR="00B07491" w:rsidRPr="00B07491" w:rsidRDefault="00B07491" w:rsidP="00013FD9">
      <w:pPr>
        <w:pStyle w:val="Heading2"/>
        <w:ind w:firstLine="720"/>
      </w:pPr>
      <w:bookmarkStart w:id="16" w:name="_Toc328376999"/>
      <w:r>
        <w:lastRenderedPageBreak/>
        <w:t>Policy Reform</w:t>
      </w:r>
      <w:bookmarkEnd w:id="16"/>
      <w:r>
        <w:t xml:space="preserve"> </w:t>
      </w:r>
    </w:p>
    <w:p w:rsidR="00403CF6" w:rsidRPr="002A4198" w:rsidRDefault="00DD5401" w:rsidP="00013FD9">
      <w:pPr>
        <w:pStyle w:val="Heading3"/>
        <w:ind w:firstLine="720"/>
      </w:pPr>
      <w:bookmarkStart w:id="17" w:name="_Toc328377000"/>
      <w:r>
        <w:t xml:space="preserve">5.2 </w:t>
      </w:r>
      <w:r w:rsidR="00403CF6" w:rsidRPr="002A4198">
        <w:t>National Training Program</w:t>
      </w:r>
      <w:bookmarkEnd w:id="17"/>
    </w:p>
    <w:p w:rsidR="000E12E0" w:rsidRPr="002A4198" w:rsidRDefault="000E12E0" w:rsidP="00C20B5E"/>
    <w:p w:rsidR="00EF470E" w:rsidRDefault="00013FD9" w:rsidP="00013FD9">
      <w:pPr>
        <w:ind w:left="720" w:hanging="720"/>
      </w:pPr>
      <w:r>
        <w:t>5.2.1</w:t>
      </w:r>
      <w:r>
        <w:tab/>
      </w:r>
      <w:r w:rsidR="00EF470E">
        <w:t xml:space="preserve">A collective model of reform is recommended, including both legislative and policy reform. In the form of policy reform, the development of a national training program is required. Further, it is recommended the Australian Government introduce a national education campaign to ensure potential victims of abuse and the general population are aware and educated on the issue of elder abuse. </w:t>
      </w:r>
    </w:p>
    <w:p w:rsidR="00EF470E" w:rsidRPr="00EF470E" w:rsidRDefault="00EF470E" w:rsidP="00C20B5E">
      <w:pPr>
        <w:rPr>
          <w:rFonts w:cs="Times New Roman"/>
        </w:rPr>
      </w:pPr>
    </w:p>
    <w:p w:rsidR="00537CE9" w:rsidRPr="00013FD9" w:rsidRDefault="00013FD9" w:rsidP="00013FD9">
      <w:pPr>
        <w:ind w:left="720" w:hanging="720"/>
        <w:rPr>
          <w:rFonts w:cs="Times New Roman"/>
        </w:rPr>
      </w:pPr>
      <w:r>
        <w:rPr>
          <w:rFonts w:cs="Times New Roman"/>
        </w:rPr>
        <w:t>5.2.2</w:t>
      </w:r>
      <w:r>
        <w:rPr>
          <w:rFonts w:cs="Times New Roman"/>
        </w:rPr>
        <w:tab/>
      </w:r>
      <w:r w:rsidR="00403CF6" w:rsidRPr="00013FD9">
        <w:rPr>
          <w:rFonts w:cs="Times New Roman"/>
        </w:rPr>
        <w:t>Central t</w:t>
      </w:r>
      <w:r w:rsidR="00126B53">
        <w:rPr>
          <w:rFonts w:cs="Times New Roman"/>
        </w:rPr>
        <w:t>o the notion of reporting abuse</w:t>
      </w:r>
      <w:r w:rsidR="00403CF6" w:rsidRPr="00013FD9">
        <w:rPr>
          <w:rFonts w:cs="Times New Roman"/>
        </w:rPr>
        <w:t xml:space="preserve"> is the preliminary identification of such abuse. </w:t>
      </w:r>
      <w:r w:rsidR="00537CE9" w:rsidRPr="00013FD9">
        <w:rPr>
          <w:rFonts w:cs="Times New Roman"/>
        </w:rPr>
        <w:t xml:space="preserve">This submission has </w:t>
      </w:r>
      <w:r w:rsidR="00663642" w:rsidRPr="00013FD9">
        <w:rPr>
          <w:rFonts w:cs="Times New Roman"/>
        </w:rPr>
        <w:t>recommended</w:t>
      </w:r>
      <w:r w:rsidR="00537CE9" w:rsidRPr="00013FD9">
        <w:rPr>
          <w:rFonts w:cs="Times New Roman"/>
        </w:rPr>
        <w:t xml:space="preserve"> a mandatory reporting </w:t>
      </w:r>
      <w:proofErr w:type="gramStart"/>
      <w:r w:rsidR="00537CE9" w:rsidRPr="00013FD9">
        <w:rPr>
          <w:rFonts w:cs="Times New Roman"/>
        </w:rPr>
        <w:t>scheme,</w:t>
      </w:r>
      <w:proofErr w:type="gramEnd"/>
      <w:r w:rsidR="00537CE9" w:rsidRPr="00013FD9">
        <w:rPr>
          <w:rFonts w:cs="Times New Roman"/>
        </w:rPr>
        <w:t xml:space="preserve"> however for such a scheme to work effectively, banking </w:t>
      </w:r>
      <w:r w:rsidR="007A6ABA" w:rsidRPr="00013FD9">
        <w:rPr>
          <w:rFonts w:cs="Times New Roman"/>
        </w:rPr>
        <w:t>employees</w:t>
      </w:r>
      <w:r w:rsidR="00537CE9" w:rsidRPr="00013FD9">
        <w:rPr>
          <w:rFonts w:cs="Times New Roman"/>
        </w:rPr>
        <w:t xml:space="preserve"> </w:t>
      </w:r>
      <w:r w:rsidR="00654605" w:rsidRPr="00013FD9">
        <w:rPr>
          <w:rFonts w:cs="Times New Roman"/>
        </w:rPr>
        <w:t>require the skills</w:t>
      </w:r>
      <w:r w:rsidR="00537CE9" w:rsidRPr="00013FD9">
        <w:rPr>
          <w:rFonts w:cs="Times New Roman"/>
        </w:rPr>
        <w:t xml:space="preserve"> to </w:t>
      </w:r>
      <w:r w:rsidR="007A02FD" w:rsidRPr="00013FD9">
        <w:rPr>
          <w:rFonts w:cs="Times New Roman"/>
        </w:rPr>
        <w:t>identify</w:t>
      </w:r>
      <w:r w:rsidR="00537CE9" w:rsidRPr="00013FD9">
        <w:rPr>
          <w:rFonts w:cs="Times New Roman"/>
        </w:rPr>
        <w:t xml:space="preserve"> the abuse. Therefore it is recommended that </w:t>
      </w:r>
      <w:r w:rsidR="00663642" w:rsidRPr="00013FD9">
        <w:rPr>
          <w:rFonts w:cs="Times New Roman"/>
        </w:rPr>
        <w:t xml:space="preserve">national </w:t>
      </w:r>
      <w:r w:rsidR="00537CE9" w:rsidRPr="00013FD9">
        <w:rPr>
          <w:rFonts w:cs="Times New Roman"/>
        </w:rPr>
        <w:t xml:space="preserve">training protocols be developed. This will ensure that </w:t>
      </w:r>
      <w:r w:rsidR="005A74C2" w:rsidRPr="00013FD9">
        <w:rPr>
          <w:rFonts w:cs="Times New Roman"/>
        </w:rPr>
        <w:t>employees</w:t>
      </w:r>
      <w:r w:rsidR="00537CE9" w:rsidRPr="00013FD9">
        <w:rPr>
          <w:rFonts w:cs="Times New Roman"/>
        </w:rPr>
        <w:t xml:space="preserve"> are prepared to identify the ‘red flags’ of abuse</w:t>
      </w:r>
      <w:r w:rsidR="00535984" w:rsidRPr="00013FD9">
        <w:rPr>
          <w:rFonts w:cs="Times New Roman"/>
        </w:rPr>
        <w:t>,</w:t>
      </w:r>
      <w:r w:rsidR="00537CE9" w:rsidRPr="00013FD9">
        <w:rPr>
          <w:rFonts w:cs="Times New Roman"/>
        </w:rPr>
        <w:t xml:space="preserve"> thus increasin</w:t>
      </w:r>
      <w:r w:rsidR="00663642" w:rsidRPr="00013FD9">
        <w:rPr>
          <w:rFonts w:cs="Times New Roman"/>
        </w:rPr>
        <w:t xml:space="preserve">g their confidence in reporting. </w:t>
      </w:r>
    </w:p>
    <w:p w:rsidR="00663642" w:rsidRPr="00663642" w:rsidRDefault="00663642" w:rsidP="00C20B5E">
      <w:pPr>
        <w:rPr>
          <w:rFonts w:cs="Times New Roman"/>
        </w:rPr>
      </w:pPr>
    </w:p>
    <w:p w:rsidR="00403CF6" w:rsidRPr="00013FD9" w:rsidRDefault="00013FD9" w:rsidP="00013FD9">
      <w:pPr>
        <w:ind w:left="720" w:hanging="720"/>
        <w:rPr>
          <w:rFonts w:cs="Times New Roman"/>
        </w:rPr>
      </w:pPr>
      <w:r>
        <w:rPr>
          <w:rFonts w:cs="Times New Roman"/>
        </w:rPr>
        <w:t>5.2.3</w:t>
      </w:r>
      <w:r>
        <w:rPr>
          <w:rFonts w:cs="Times New Roman"/>
        </w:rPr>
        <w:tab/>
      </w:r>
      <w:r w:rsidR="00403CF6" w:rsidRPr="00013FD9">
        <w:rPr>
          <w:rFonts w:cs="Times New Roman"/>
        </w:rPr>
        <w:t>The Western Australian Government has been working with the banking and financial sector to discuss how the Government can aid recognition and subsequent response to situations of abuse.</w:t>
      </w:r>
      <w:r w:rsidR="00403CF6" w:rsidRPr="003456D7">
        <w:rPr>
          <w:rStyle w:val="FootnoteReference"/>
          <w:rFonts w:cs="Times New Roman"/>
        </w:rPr>
        <w:footnoteReference w:id="86"/>
      </w:r>
      <w:r w:rsidR="00403CF6" w:rsidRPr="00013FD9">
        <w:rPr>
          <w:rFonts w:cs="Times New Roman"/>
        </w:rPr>
        <w:t xml:space="preserve"> The financial institutions that cooperated </w:t>
      </w:r>
      <w:r w:rsidR="00F25373" w:rsidRPr="00013FD9">
        <w:rPr>
          <w:rFonts w:cs="Times New Roman"/>
        </w:rPr>
        <w:t>indicated that</w:t>
      </w:r>
      <w:r w:rsidR="00403CF6" w:rsidRPr="00013FD9">
        <w:rPr>
          <w:rFonts w:cs="Times New Roman"/>
        </w:rPr>
        <w:t xml:space="preserve"> introducing training of this type would be far too difficult at a state level and thus advocated the need for a consistent national approach. </w:t>
      </w:r>
    </w:p>
    <w:p w:rsidR="007B7F85" w:rsidRPr="003456D7" w:rsidRDefault="007B7F85" w:rsidP="00C20B5E">
      <w:pPr>
        <w:pStyle w:val="ListParagraph"/>
        <w:ind w:left="360"/>
        <w:rPr>
          <w:rFonts w:cs="Times New Roman"/>
        </w:rPr>
      </w:pPr>
    </w:p>
    <w:p w:rsidR="00403CF6" w:rsidRPr="00013FD9" w:rsidRDefault="00013FD9" w:rsidP="00013FD9">
      <w:pPr>
        <w:ind w:left="720" w:hanging="720"/>
        <w:rPr>
          <w:rFonts w:cs="Times New Roman"/>
        </w:rPr>
      </w:pPr>
      <w:r>
        <w:rPr>
          <w:rFonts w:cs="Times New Roman"/>
        </w:rPr>
        <w:t>5.2.4</w:t>
      </w:r>
      <w:r>
        <w:rPr>
          <w:rFonts w:cs="Times New Roman"/>
        </w:rPr>
        <w:tab/>
      </w:r>
      <w:r w:rsidR="00403CF6" w:rsidRPr="00013FD9">
        <w:rPr>
          <w:rFonts w:cs="Times New Roman"/>
        </w:rPr>
        <w:t xml:space="preserve">In California, legislation has been introduced which imposes compulsory reporting obligations on banking and financial staff. They are required to report any suspected cases of financial </w:t>
      </w:r>
      <w:r w:rsidR="00126B53">
        <w:rPr>
          <w:rFonts w:cs="Times New Roman"/>
        </w:rPr>
        <w:t>abuse, which are</w:t>
      </w:r>
      <w:r w:rsidR="00F25373" w:rsidRPr="00013FD9">
        <w:rPr>
          <w:rFonts w:cs="Times New Roman"/>
        </w:rPr>
        <w:t xml:space="preserve"> subsequently investigated by adult</w:t>
      </w:r>
      <w:r w:rsidR="00403CF6" w:rsidRPr="00013FD9">
        <w:rPr>
          <w:rFonts w:cs="Times New Roman"/>
        </w:rPr>
        <w:t xml:space="preserve"> protective services.</w:t>
      </w:r>
      <w:r w:rsidR="00403CF6" w:rsidRPr="003456D7">
        <w:rPr>
          <w:rStyle w:val="FootnoteReference"/>
          <w:rFonts w:cs="Times New Roman"/>
        </w:rPr>
        <w:footnoteReference w:id="87"/>
      </w:r>
      <w:r w:rsidR="00403CF6" w:rsidRPr="00013FD9">
        <w:rPr>
          <w:rFonts w:cs="Times New Roman"/>
        </w:rPr>
        <w:t xml:space="preserve"> </w:t>
      </w:r>
      <w:r w:rsidR="00F25373" w:rsidRPr="00013FD9">
        <w:rPr>
          <w:rFonts w:cs="Times New Roman"/>
        </w:rPr>
        <w:t>T</w:t>
      </w:r>
      <w:r w:rsidR="00403CF6" w:rsidRPr="00013FD9">
        <w:rPr>
          <w:rFonts w:cs="Times New Roman"/>
        </w:rPr>
        <w:t>he focus in the North American jurisdiction has been on the development of training resources for the staff of financial institutions to enable them to identify and subsequently report instances of financial elder abuse.</w:t>
      </w:r>
    </w:p>
    <w:p w:rsidR="00403CF6" w:rsidRPr="003456D7" w:rsidRDefault="00403CF6" w:rsidP="00C20B5E">
      <w:pPr>
        <w:rPr>
          <w:rFonts w:cs="Times New Roman"/>
        </w:rPr>
      </w:pPr>
    </w:p>
    <w:p w:rsidR="00403CF6" w:rsidRPr="00013FD9" w:rsidRDefault="00013FD9" w:rsidP="00013FD9">
      <w:pPr>
        <w:ind w:left="720" w:hanging="720"/>
        <w:rPr>
          <w:rFonts w:cs="Times New Roman"/>
        </w:rPr>
      </w:pPr>
      <w:r>
        <w:rPr>
          <w:rFonts w:cs="Times New Roman"/>
        </w:rPr>
        <w:t>5.2.5</w:t>
      </w:r>
      <w:r>
        <w:rPr>
          <w:rFonts w:cs="Times New Roman"/>
        </w:rPr>
        <w:tab/>
      </w:r>
      <w:r w:rsidR="00403CF6" w:rsidRPr="00013FD9">
        <w:rPr>
          <w:rFonts w:cs="Times New Roman"/>
        </w:rPr>
        <w:t>Massachusetts has had training protocols in operation for banking staff since 1996.</w:t>
      </w:r>
      <w:r w:rsidR="00403CF6" w:rsidRPr="003456D7">
        <w:rPr>
          <w:rStyle w:val="FootnoteReference"/>
          <w:rFonts w:cs="Times New Roman"/>
        </w:rPr>
        <w:footnoteReference w:id="88"/>
      </w:r>
      <w:r w:rsidR="00403CF6" w:rsidRPr="00013FD9">
        <w:rPr>
          <w:rFonts w:cs="Times New Roman"/>
        </w:rPr>
        <w:t xml:space="preserve"> The training program has been developed collaboratively with communit</w:t>
      </w:r>
      <w:r w:rsidR="00F25373" w:rsidRPr="00013FD9">
        <w:rPr>
          <w:rFonts w:cs="Times New Roman"/>
        </w:rPr>
        <w:t xml:space="preserve">y organisations, government, </w:t>
      </w:r>
      <w:r w:rsidR="00403CF6" w:rsidRPr="00013FD9">
        <w:rPr>
          <w:rFonts w:cs="Times New Roman"/>
        </w:rPr>
        <w:t xml:space="preserve">adult protective services </w:t>
      </w:r>
      <w:r w:rsidR="00F25373" w:rsidRPr="00013FD9">
        <w:rPr>
          <w:rFonts w:cs="Times New Roman"/>
        </w:rPr>
        <w:t>and</w:t>
      </w:r>
      <w:r w:rsidR="00403CF6" w:rsidRPr="00013FD9">
        <w:rPr>
          <w:rFonts w:cs="Times New Roman"/>
        </w:rPr>
        <w:t xml:space="preserve"> the Attorney General’s office. The program has trained over 2,000 bank personnel and distributed 1,900 trainer reference manuals and 3,000 employee training manuals.</w:t>
      </w:r>
      <w:r w:rsidR="00403CF6" w:rsidRPr="003456D7">
        <w:rPr>
          <w:rStyle w:val="FootnoteReference"/>
          <w:rFonts w:cs="Times New Roman"/>
        </w:rPr>
        <w:footnoteReference w:id="89"/>
      </w:r>
      <w:r w:rsidR="00403CF6" w:rsidRPr="00013FD9">
        <w:rPr>
          <w:rFonts w:cs="Times New Roman"/>
        </w:rPr>
        <w:t xml:space="preserve"> The program provides financial institutions with a protocol to follow and has now become a national model.</w:t>
      </w:r>
      <w:r w:rsidR="00403CF6" w:rsidRPr="003456D7">
        <w:rPr>
          <w:rStyle w:val="FootnoteReference"/>
          <w:rFonts w:cs="Times New Roman"/>
        </w:rPr>
        <w:footnoteReference w:id="90"/>
      </w:r>
      <w:r w:rsidR="00403CF6" w:rsidRPr="00013FD9">
        <w:rPr>
          <w:rFonts w:cs="Times New Roman"/>
        </w:rPr>
        <w:t xml:space="preserve"> The training model has allowed for early intervention and reporting of suspected and actual abuse. A good example of the success of the program was an instance where a customer service representative was able to intervene on an occasion where a senior citizen was about to transfer $3,700 to cover the taxes on a supposed $100,000 </w:t>
      </w:r>
      <w:r w:rsidR="00403CF6" w:rsidRPr="00013FD9">
        <w:rPr>
          <w:rFonts w:cs="Times New Roman"/>
        </w:rPr>
        <w:lastRenderedPageBreak/>
        <w:t>cash prize that she received notice of over the telephone.</w:t>
      </w:r>
      <w:r w:rsidR="00403CF6" w:rsidRPr="003456D7">
        <w:rPr>
          <w:rStyle w:val="FootnoteReference"/>
          <w:rFonts w:cs="Times New Roman"/>
        </w:rPr>
        <w:footnoteReference w:id="91"/>
      </w:r>
      <w:r w:rsidR="00403CF6" w:rsidRPr="00013FD9">
        <w:rPr>
          <w:rFonts w:cs="Times New Roman"/>
        </w:rPr>
        <w:t xml:space="preserve"> Whilst this is merely one example, it is an instance that shows how the implementation of standardised guidelines can help the prevention of financial abuse of the elderly. </w:t>
      </w:r>
    </w:p>
    <w:p w:rsidR="00403CF6" w:rsidRPr="003456D7" w:rsidRDefault="00403CF6" w:rsidP="00C20B5E">
      <w:pPr>
        <w:rPr>
          <w:rFonts w:cs="Times New Roman"/>
        </w:rPr>
      </w:pPr>
    </w:p>
    <w:p w:rsidR="00403CF6" w:rsidRPr="00013FD9" w:rsidRDefault="00013FD9" w:rsidP="00013FD9">
      <w:pPr>
        <w:ind w:left="720" w:hanging="720"/>
        <w:rPr>
          <w:rFonts w:cs="Times New Roman"/>
        </w:rPr>
      </w:pPr>
      <w:r>
        <w:rPr>
          <w:rFonts w:cs="Times New Roman"/>
        </w:rPr>
        <w:t>5.2.6</w:t>
      </w:r>
      <w:r>
        <w:rPr>
          <w:rFonts w:cs="Times New Roman"/>
        </w:rPr>
        <w:tab/>
      </w:r>
      <w:r w:rsidR="00403CF6" w:rsidRPr="00013FD9">
        <w:rPr>
          <w:rFonts w:cs="Times New Roman"/>
        </w:rPr>
        <w:t xml:space="preserve">In the </w:t>
      </w:r>
      <w:r w:rsidR="00126B53">
        <w:rPr>
          <w:rFonts w:cs="Times New Roman"/>
        </w:rPr>
        <w:t>BFSO</w:t>
      </w:r>
      <w:r w:rsidR="00403CF6" w:rsidRPr="00013FD9">
        <w:rPr>
          <w:rFonts w:cs="Times New Roman"/>
        </w:rPr>
        <w:t xml:space="preserve"> Bulletin on financial abuse, the Ombudsman analysed the main components of the North American training resources.</w:t>
      </w:r>
      <w:r w:rsidR="00403CF6" w:rsidRPr="003456D7">
        <w:rPr>
          <w:rStyle w:val="FootnoteReference"/>
          <w:rFonts w:cs="Times New Roman"/>
        </w:rPr>
        <w:footnoteReference w:id="92"/>
      </w:r>
      <w:r w:rsidR="00403CF6" w:rsidRPr="00013FD9">
        <w:rPr>
          <w:rFonts w:cs="Times New Roman"/>
        </w:rPr>
        <w:t xml:space="preserve"> The Ombudsman believed the training resources would be relatively easy to adapt for the Australian banking environment and forms a useful basis for the development of a training template.</w:t>
      </w:r>
      <w:r w:rsidR="00403CF6" w:rsidRPr="003456D7">
        <w:rPr>
          <w:rStyle w:val="FootnoteReference"/>
          <w:rFonts w:cs="Times New Roman"/>
        </w:rPr>
        <w:footnoteReference w:id="93"/>
      </w:r>
      <w:r w:rsidR="00403CF6" w:rsidRPr="00013FD9">
        <w:rPr>
          <w:rFonts w:cs="Times New Roman"/>
        </w:rPr>
        <w:t xml:space="preserve"> </w:t>
      </w:r>
    </w:p>
    <w:p w:rsidR="00403CF6" w:rsidRPr="003456D7" w:rsidRDefault="00403CF6" w:rsidP="00C20B5E">
      <w:pPr>
        <w:rPr>
          <w:rFonts w:cs="Times New Roman"/>
        </w:rPr>
      </w:pPr>
    </w:p>
    <w:p w:rsidR="00403CF6" w:rsidRPr="00013FD9" w:rsidRDefault="00013FD9" w:rsidP="00013FD9">
      <w:pPr>
        <w:ind w:left="720" w:hanging="720"/>
        <w:rPr>
          <w:rFonts w:cs="Times New Roman"/>
        </w:rPr>
      </w:pPr>
      <w:r>
        <w:rPr>
          <w:rFonts w:cs="Times New Roman"/>
        </w:rPr>
        <w:t>5.2.7</w:t>
      </w:r>
      <w:r>
        <w:rPr>
          <w:rFonts w:cs="Times New Roman"/>
        </w:rPr>
        <w:tab/>
      </w:r>
      <w:r w:rsidR="00403CF6" w:rsidRPr="00013FD9">
        <w:rPr>
          <w:rFonts w:cs="Times New Roman"/>
        </w:rPr>
        <w:t>Whilst training resources implemented in North American detailed how to identify common ‘red flags’ of financial abuse, much of the resources focused on developing a clear response protocol for acting on concerns.</w:t>
      </w:r>
      <w:r w:rsidR="00403CF6" w:rsidRPr="003456D7">
        <w:rPr>
          <w:rStyle w:val="FootnoteReference"/>
          <w:rFonts w:cs="Times New Roman"/>
        </w:rPr>
        <w:footnoteReference w:id="94"/>
      </w:r>
      <w:r w:rsidR="00403CF6" w:rsidRPr="00013FD9">
        <w:rPr>
          <w:rFonts w:cs="Times New Roman"/>
        </w:rPr>
        <w:t xml:space="preserve"> It is recommended that in the adaptation of the North American training protocol to an Australian banking context, a clear response protocol should be developed. This allows financial institution staff to follow a clear procedure when they suspect financial abuse has occurred or is disclosed to them. The procedure should detail who has the </w:t>
      </w:r>
      <w:r w:rsidR="00126B53">
        <w:rPr>
          <w:rFonts w:cs="Times New Roman"/>
        </w:rPr>
        <w:t xml:space="preserve">authority to make decisions, </w:t>
      </w:r>
      <w:r w:rsidR="00403CF6" w:rsidRPr="00013FD9">
        <w:rPr>
          <w:rFonts w:cs="Times New Roman"/>
        </w:rPr>
        <w:t>whom the abuse should be reported to and when.</w:t>
      </w:r>
      <w:r w:rsidR="00403CF6" w:rsidRPr="003456D7">
        <w:rPr>
          <w:rStyle w:val="FootnoteReference"/>
          <w:rFonts w:cs="Times New Roman"/>
        </w:rPr>
        <w:footnoteReference w:id="95"/>
      </w:r>
      <w:r w:rsidR="00403CF6" w:rsidRPr="00013FD9">
        <w:rPr>
          <w:rFonts w:cs="Times New Roman"/>
        </w:rPr>
        <w:t xml:space="preserve"> Further</w:t>
      </w:r>
      <w:r w:rsidR="00F25373" w:rsidRPr="00013FD9">
        <w:rPr>
          <w:rFonts w:cs="Times New Roman"/>
        </w:rPr>
        <w:t>,</w:t>
      </w:r>
      <w:r w:rsidR="00403CF6" w:rsidRPr="00013FD9">
        <w:rPr>
          <w:rFonts w:cs="Times New Roman"/>
        </w:rPr>
        <w:t xml:space="preserve"> a clear documentation procedure should be developed to ensure the most accurate information is recorded and capable of being referred onwards, in the instance of third party reporting. </w:t>
      </w:r>
    </w:p>
    <w:p w:rsidR="00403CF6" w:rsidRPr="003456D7" w:rsidRDefault="00403CF6" w:rsidP="00C20B5E">
      <w:pPr>
        <w:rPr>
          <w:rFonts w:cs="Times New Roman"/>
          <w:b/>
        </w:rPr>
      </w:pPr>
    </w:p>
    <w:p w:rsidR="003B07EC" w:rsidRPr="00013FD9" w:rsidRDefault="00013FD9" w:rsidP="00013FD9">
      <w:pPr>
        <w:ind w:left="720" w:hanging="720"/>
        <w:rPr>
          <w:rFonts w:cs="Times New Roman"/>
        </w:rPr>
      </w:pPr>
      <w:r>
        <w:rPr>
          <w:rFonts w:cs="Times New Roman"/>
        </w:rPr>
        <w:t>5.2.8</w:t>
      </w:r>
      <w:r>
        <w:rPr>
          <w:rFonts w:cs="Times New Roman"/>
        </w:rPr>
        <w:tab/>
      </w:r>
      <w:r w:rsidR="00537CE9" w:rsidRPr="00013FD9">
        <w:rPr>
          <w:rFonts w:cs="Times New Roman"/>
        </w:rPr>
        <w:t>The complex and hidden nature of elder financial abuse makes instances of abuse difficult to identify to the untrained eye. Financial institutions are well positioned to witness instances of abuse as most forms of financial abuse occur by misuse of bank accounts.</w:t>
      </w:r>
      <w:r w:rsidR="00537CE9" w:rsidRPr="003456D7">
        <w:rPr>
          <w:rStyle w:val="FootnoteReference"/>
          <w:rFonts w:cs="Times New Roman"/>
        </w:rPr>
        <w:footnoteReference w:id="96"/>
      </w:r>
      <w:r w:rsidR="00537CE9" w:rsidRPr="00013FD9">
        <w:rPr>
          <w:rFonts w:cs="Times New Roman"/>
        </w:rPr>
        <w:t xml:space="preserve"> The development </w:t>
      </w:r>
      <w:r w:rsidR="003B07EC" w:rsidRPr="00013FD9">
        <w:rPr>
          <w:rFonts w:cs="Times New Roman"/>
        </w:rPr>
        <w:t xml:space="preserve">and implementation </w:t>
      </w:r>
      <w:r w:rsidR="00537CE9" w:rsidRPr="00013FD9">
        <w:rPr>
          <w:rFonts w:cs="Times New Roman"/>
        </w:rPr>
        <w:t xml:space="preserve">of a national level training program </w:t>
      </w:r>
      <w:r w:rsidR="003B07EC" w:rsidRPr="00013FD9">
        <w:rPr>
          <w:rFonts w:cs="Times New Roman"/>
        </w:rPr>
        <w:t xml:space="preserve">would equip staff with the knowledge and skills to identify abuse at the outset and by that notion work as a preventative measure. </w:t>
      </w:r>
    </w:p>
    <w:p w:rsidR="003456D7" w:rsidRDefault="003456D7" w:rsidP="00C20B5E">
      <w:pPr>
        <w:rPr>
          <w:rFonts w:asciiTheme="majorHAnsi" w:eastAsiaTheme="majorEastAsia" w:hAnsiTheme="majorHAnsi" w:cstheme="majorBidi"/>
          <w:b/>
          <w:bCs/>
          <w:color w:val="4F81BD" w:themeColor="accent1"/>
          <w:sz w:val="26"/>
          <w:szCs w:val="26"/>
        </w:rPr>
      </w:pPr>
      <w:r>
        <w:br w:type="page"/>
      </w:r>
    </w:p>
    <w:p w:rsidR="00403CF6" w:rsidRPr="002A4198" w:rsidRDefault="00DD5401" w:rsidP="00C20B5E">
      <w:pPr>
        <w:pStyle w:val="Heading2"/>
        <w:rPr>
          <w:rFonts w:cs="Times New Roman"/>
          <w:sz w:val="22"/>
          <w:szCs w:val="22"/>
          <w:u w:val="single"/>
        </w:rPr>
      </w:pPr>
      <w:bookmarkStart w:id="18" w:name="_Toc328377001"/>
      <w:r>
        <w:lastRenderedPageBreak/>
        <w:t xml:space="preserve">5.3 </w:t>
      </w:r>
      <w:r w:rsidR="00013FD9">
        <w:tab/>
      </w:r>
      <w:r w:rsidR="00403CF6" w:rsidRPr="002A4198">
        <w:t>Community Awareness Program</w:t>
      </w:r>
      <w:bookmarkEnd w:id="18"/>
      <w:r w:rsidR="00403CF6" w:rsidRPr="002A4198">
        <w:t xml:space="preserve">         </w:t>
      </w:r>
    </w:p>
    <w:p w:rsidR="001A58FE" w:rsidRPr="002A4198" w:rsidRDefault="001A58FE" w:rsidP="00C20B5E">
      <w:pPr>
        <w:rPr>
          <w:rFonts w:cs="Times New Roman"/>
          <w:sz w:val="22"/>
          <w:szCs w:val="22"/>
        </w:rPr>
      </w:pPr>
    </w:p>
    <w:p w:rsidR="00403CF6" w:rsidRPr="00013FD9" w:rsidRDefault="00013FD9" w:rsidP="00013FD9">
      <w:pPr>
        <w:ind w:left="720" w:hanging="720"/>
        <w:rPr>
          <w:rFonts w:cs="Times New Roman"/>
        </w:rPr>
      </w:pPr>
      <w:r>
        <w:rPr>
          <w:rFonts w:cs="Times New Roman"/>
        </w:rPr>
        <w:t>5.3.1</w:t>
      </w:r>
      <w:r>
        <w:rPr>
          <w:rFonts w:cs="Times New Roman"/>
        </w:rPr>
        <w:tab/>
      </w:r>
      <w:r w:rsidR="00403CF6" w:rsidRPr="00013FD9">
        <w:rPr>
          <w:rFonts w:cs="Times New Roman"/>
        </w:rPr>
        <w:t>The current poor identification and management of elder financial abuse stems from a lack of education and awareness of the issue.</w:t>
      </w:r>
      <w:r w:rsidR="00403CF6" w:rsidRPr="003456D7">
        <w:rPr>
          <w:rStyle w:val="FootnoteReference"/>
          <w:rFonts w:cs="Times New Roman"/>
        </w:rPr>
        <w:footnoteReference w:id="97"/>
      </w:r>
      <w:r w:rsidR="00403CF6" w:rsidRPr="00013FD9">
        <w:rPr>
          <w:rFonts w:cs="Times New Roman"/>
        </w:rPr>
        <w:t xml:space="preserve"> In the Inquiry R</w:t>
      </w:r>
      <w:r w:rsidR="003F50BB" w:rsidRPr="00013FD9">
        <w:rPr>
          <w:rFonts w:cs="Times New Roman"/>
        </w:rPr>
        <w:t>eport Older people and the Law</w:t>
      </w:r>
      <w:r w:rsidR="00403CF6" w:rsidRPr="00013FD9">
        <w:rPr>
          <w:rFonts w:cs="Times New Roman"/>
        </w:rPr>
        <w:t>,</w:t>
      </w:r>
      <w:r w:rsidR="00403CF6" w:rsidRPr="003456D7">
        <w:rPr>
          <w:rStyle w:val="FootnoteReference"/>
          <w:rFonts w:cs="Times New Roman"/>
        </w:rPr>
        <w:footnoteReference w:id="98"/>
      </w:r>
      <w:r w:rsidR="00403CF6" w:rsidRPr="00013FD9">
        <w:rPr>
          <w:rFonts w:cs="Times New Roman"/>
        </w:rPr>
        <w:t xml:space="preserve"> the committee recommended the implementation of a National Education and Awareness Program similar to that of the Domestic Violence Awareness Campaign.</w:t>
      </w:r>
      <w:r w:rsidR="00403CF6" w:rsidRPr="003456D7">
        <w:rPr>
          <w:rStyle w:val="FootnoteReference"/>
          <w:rFonts w:cs="Times New Roman"/>
        </w:rPr>
        <w:footnoteReference w:id="99"/>
      </w:r>
      <w:r w:rsidR="00403CF6" w:rsidRPr="00013FD9">
        <w:rPr>
          <w:rFonts w:cs="Times New Roman"/>
        </w:rPr>
        <w:t xml:space="preserve"> It was suggested the program should focus on both older people vulnerable to financial abuse and potential abusers.</w:t>
      </w:r>
      <w:r w:rsidR="00403CF6" w:rsidRPr="003456D7">
        <w:rPr>
          <w:rStyle w:val="FootnoteReference"/>
          <w:rFonts w:cs="Times New Roman"/>
        </w:rPr>
        <w:footnoteReference w:id="100"/>
      </w:r>
      <w:r w:rsidR="00403CF6" w:rsidRPr="00013FD9">
        <w:rPr>
          <w:rFonts w:cs="Times New Roman"/>
        </w:rPr>
        <w:t xml:space="preserve"> </w:t>
      </w:r>
    </w:p>
    <w:p w:rsidR="002374EE" w:rsidRPr="002374EE" w:rsidRDefault="002374EE" w:rsidP="00C20B5E">
      <w:pPr>
        <w:pStyle w:val="ListParagraph"/>
        <w:ind w:left="380"/>
        <w:rPr>
          <w:rFonts w:cs="Times New Roman"/>
        </w:rPr>
      </w:pPr>
    </w:p>
    <w:p w:rsidR="00403CF6" w:rsidRPr="003B28B8" w:rsidRDefault="00013FD9" w:rsidP="00013FD9">
      <w:pPr>
        <w:ind w:left="720" w:hanging="720"/>
        <w:rPr>
          <w:rFonts w:cs="Times New Roman"/>
        </w:rPr>
      </w:pPr>
      <w:r>
        <w:rPr>
          <w:rFonts w:cs="Times New Roman"/>
        </w:rPr>
        <w:t>5.3.2</w:t>
      </w:r>
      <w:r>
        <w:rPr>
          <w:rFonts w:cs="Times New Roman"/>
        </w:rPr>
        <w:tab/>
      </w:r>
      <w:r w:rsidR="00403CF6" w:rsidRPr="00013FD9">
        <w:rPr>
          <w:rFonts w:cs="Times New Roman"/>
        </w:rPr>
        <w:t xml:space="preserve">The </w:t>
      </w:r>
      <w:r w:rsidR="00725B3A" w:rsidRPr="00013FD9">
        <w:rPr>
          <w:rFonts w:cs="Times New Roman"/>
        </w:rPr>
        <w:t>successes of primary prevention programs are</w:t>
      </w:r>
      <w:r w:rsidR="00403CF6" w:rsidRPr="00013FD9">
        <w:rPr>
          <w:rFonts w:cs="Times New Roman"/>
        </w:rPr>
        <w:t xml:space="preserve"> often difficult to quantify.</w:t>
      </w:r>
      <w:r w:rsidR="00403CF6" w:rsidRPr="003456D7">
        <w:rPr>
          <w:rStyle w:val="FootnoteReference"/>
          <w:rFonts w:cs="Times New Roman"/>
        </w:rPr>
        <w:footnoteReference w:id="101"/>
      </w:r>
      <w:r w:rsidR="00403CF6" w:rsidRPr="00013FD9">
        <w:rPr>
          <w:rFonts w:cs="Times New Roman"/>
        </w:rPr>
        <w:t xml:space="preserve"> The Australian Institute of Family Studies published a report; “Reflecting on the Current State of Primary Prevention in Australia”</w:t>
      </w:r>
      <w:r w:rsidR="00403CF6" w:rsidRPr="003456D7">
        <w:rPr>
          <w:rStyle w:val="FootnoteReference"/>
          <w:rFonts w:cs="Times New Roman"/>
        </w:rPr>
        <w:footnoteReference w:id="102"/>
      </w:r>
      <w:r w:rsidR="00403CF6" w:rsidRPr="00013FD9">
        <w:rPr>
          <w:rFonts w:cs="Times New Roman"/>
        </w:rPr>
        <w:t xml:space="preserve"> where particular Domestic Violence Campaigns were evaluated. Community-based </w:t>
      </w:r>
      <w:r w:rsidR="00403CF6" w:rsidRPr="003B28B8">
        <w:rPr>
          <w:rFonts w:cs="Times New Roman"/>
        </w:rPr>
        <w:t>education programs attempt to prepare people with the knowledge and skills they may need when they are transitioning into different types of relationships for example motherhood.</w:t>
      </w:r>
      <w:r w:rsidR="00403CF6" w:rsidRPr="003B28B8">
        <w:rPr>
          <w:rStyle w:val="FootnoteReference"/>
          <w:rFonts w:cs="Times New Roman"/>
        </w:rPr>
        <w:footnoteReference w:id="103"/>
      </w:r>
      <w:r w:rsidR="00403CF6" w:rsidRPr="003B28B8">
        <w:rPr>
          <w:rFonts w:cs="Times New Roman"/>
        </w:rPr>
        <w:t xml:space="preserve"> The “Baby Makes 3”</w:t>
      </w:r>
      <w:r w:rsidR="002374EE" w:rsidRPr="003B28B8">
        <w:rPr>
          <w:rFonts w:cs="Times New Roman"/>
        </w:rPr>
        <w:t xml:space="preserve"> </w:t>
      </w:r>
      <w:r w:rsidR="00403CF6" w:rsidRPr="003B28B8">
        <w:rPr>
          <w:rFonts w:cs="Times New Roman"/>
        </w:rPr>
        <w:t>Program focused on promoting equal relationships during the transition to parenthood and was assessed as readily replicable and easily integrated into existing maternal child health services.</w:t>
      </w:r>
      <w:r w:rsidR="00403CF6" w:rsidRPr="003B28B8">
        <w:rPr>
          <w:rStyle w:val="FootnoteReference"/>
          <w:rFonts w:cs="Times New Roman"/>
        </w:rPr>
        <w:footnoteReference w:id="104"/>
      </w:r>
      <w:r w:rsidR="00403CF6" w:rsidRPr="003B28B8">
        <w:rPr>
          <w:rFonts w:cs="Times New Roman"/>
        </w:rPr>
        <w:t xml:space="preserve"> </w:t>
      </w:r>
    </w:p>
    <w:p w:rsidR="00403CF6" w:rsidRPr="003B28B8" w:rsidRDefault="00403CF6" w:rsidP="00C20B5E">
      <w:pPr>
        <w:rPr>
          <w:rFonts w:cs="Times New Roman"/>
        </w:rPr>
      </w:pPr>
    </w:p>
    <w:p w:rsidR="00403CF6" w:rsidRPr="00013FD9" w:rsidRDefault="00013FD9" w:rsidP="00013FD9">
      <w:pPr>
        <w:ind w:left="720" w:hanging="720"/>
        <w:rPr>
          <w:rFonts w:cs="Times New Roman"/>
        </w:rPr>
      </w:pPr>
      <w:r w:rsidRPr="003B28B8">
        <w:rPr>
          <w:rFonts w:cs="Times New Roman"/>
        </w:rPr>
        <w:t>5.3.3</w:t>
      </w:r>
      <w:r w:rsidRPr="003B28B8">
        <w:rPr>
          <w:rFonts w:cs="Times New Roman"/>
        </w:rPr>
        <w:tab/>
      </w:r>
      <w:r w:rsidR="00403CF6" w:rsidRPr="003B28B8">
        <w:rPr>
          <w:rFonts w:cs="Times New Roman"/>
        </w:rPr>
        <w:t>The Australian Government also experienced success from the implementation of the “It’s Not Our Game”</w:t>
      </w:r>
      <w:r w:rsidR="002374EE" w:rsidRPr="003B28B8">
        <w:rPr>
          <w:rFonts w:cs="Times New Roman"/>
        </w:rPr>
        <w:t xml:space="preserve"> </w:t>
      </w:r>
      <w:r w:rsidR="00403CF6" w:rsidRPr="003B28B8">
        <w:rPr>
          <w:rFonts w:cs="Times New Roman"/>
        </w:rPr>
        <w:t>community action campaign. The campaign focused on the Normanton Stingers AFL club who imposed strict player sanctions for involvement in domestic violence.</w:t>
      </w:r>
      <w:r w:rsidR="00403CF6" w:rsidRPr="003B28B8">
        <w:rPr>
          <w:rStyle w:val="FootnoteReference"/>
          <w:rFonts w:cs="Times New Roman"/>
        </w:rPr>
        <w:footnoteReference w:id="105"/>
      </w:r>
      <w:r w:rsidR="00403CF6" w:rsidRPr="003B28B8">
        <w:rPr>
          <w:rFonts w:cs="Times New Roman"/>
        </w:rPr>
        <w:t xml:space="preserve"> The campaign was linked to a reduction in domestic violence incidents, including a 64% reduction in breaches of domestic violence orders.</w:t>
      </w:r>
      <w:r w:rsidR="00403CF6" w:rsidRPr="003B28B8">
        <w:rPr>
          <w:rStyle w:val="FootnoteReference"/>
          <w:rFonts w:cs="Times New Roman"/>
        </w:rPr>
        <w:footnoteReference w:id="106"/>
      </w:r>
      <w:r w:rsidR="00403CF6" w:rsidRPr="00013FD9">
        <w:rPr>
          <w:rFonts w:cs="Times New Roman"/>
        </w:rPr>
        <w:t xml:space="preserve"> </w:t>
      </w:r>
    </w:p>
    <w:p w:rsidR="00403CF6" w:rsidRPr="003456D7" w:rsidRDefault="00403CF6" w:rsidP="00C20B5E">
      <w:pPr>
        <w:rPr>
          <w:rFonts w:cs="Times New Roman"/>
        </w:rPr>
      </w:pPr>
    </w:p>
    <w:p w:rsidR="00403CF6" w:rsidRPr="00013FD9" w:rsidRDefault="00013FD9" w:rsidP="00013FD9">
      <w:pPr>
        <w:ind w:left="720" w:hanging="720"/>
        <w:rPr>
          <w:rFonts w:cs="Times New Roman"/>
        </w:rPr>
      </w:pPr>
      <w:r>
        <w:rPr>
          <w:rFonts w:cs="Times New Roman"/>
        </w:rPr>
        <w:t>5.3.4</w:t>
      </w:r>
      <w:r>
        <w:rPr>
          <w:rFonts w:cs="Times New Roman"/>
        </w:rPr>
        <w:tab/>
      </w:r>
      <w:r w:rsidR="00403CF6" w:rsidRPr="00013FD9">
        <w:rPr>
          <w:rFonts w:cs="Times New Roman"/>
        </w:rPr>
        <w:t>The Canadian Government introduced an awareness campaign in 2009 focusing on educating the public on elder abuse.</w:t>
      </w:r>
      <w:r w:rsidR="00403CF6" w:rsidRPr="003456D7">
        <w:rPr>
          <w:rStyle w:val="FootnoteReference"/>
          <w:rFonts w:cs="Times New Roman"/>
        </w:rPr>
        <w:footnoteReference w:id="107"/>
      </w:r>
      <w:r w:rsidR="00403CF6" w:rsidRPr="00013FD9">
        <w:rPr>
          <w:rFonts w:cs="Times New Roman"/>
        </w:rPr>
        <w:t xml:space="preserve"> The advertising program; “Elder Abuse- It’s Time to Face Reality”</w:t>
      </w:r>
      <w:r w:rsidR="00403CF6" w:rsidRPr="003456D7">
        <w:rPr>
          <w:rStyle w:val="FootnoteReference"/>
          <w:rFonts w:cs="Times New Roman"/>
        </w:rPr>
        <w:footnoteReference w:id="108"/>
      </w:r>
      <w:r w:rsidR="00403CF6" w:rsidRPr="00013FD9">
        <w:rPr>
          <w:rFonts w:cs="Times New Roman"/>
        </w:rPr>
        <w:t xml:space="preserve"> aired on television and included print and online components.</w:t>
      </w:r>
      <w:r w:rsidR="00403CF6" w:rsidRPr="003456D7">
        <w:rPr>
          <w:rStyle w:val="FootnoteReference"/>
          <w:rFonts w:cs="Times New Roman"/>
        </w:rPr>
        <w:footnoteReference w:id="109"/>
      </w:r>
      <w:r w:rsidR="00403CF6" w:rsidRPr="00013FD9">
        <w:rPr>
          <w:rFonts w:cs="Times New Roman"/>
        </w:rPr>
        <w:t xml:space="preserve"> The Canadian Government examined the effectiveness of the program, resulting in a 2011 public opinion survey indicating the campaign had significantly increased awareness of elder abuse among Canadians.</w:t>
      </w:r>
      <w:r w:rsidR="00403CF6" w:rsidRPr="003456D7">
        <w:rPr>
          <w:rStyle w:val="FootnoteReference"/>
          <w:rFonts w:cs="Times New Roman"/>
        </w:rPr>
        <w:footnoteReference w:id="110"/>
      </w:r>
      <w:r w:rsidR="00403CF6" w:rsidRPr="00013FD9">
        <w:rPr>
          <w:rFonts w:cs="Times New Roman"/>
        </w:rPr>
        <w:t xml:space="preserve"> </w:t>
      </w:r>
    </w:p>
    <w:p w:rsidR="00403CF6" w:rsidRPr="003456D7" w:rsidRDefault="00403CF6" w:rsidP="00C20B5E">
      <w:pPr>
        <w:rPr>
          <w:rFonts w:cs="Times New Roman"/>
        </w:rPr>
      </w:pPr>
    </w:p>
    <w:p w:rsidR="00403CF6" w:rsidRPr="00CB1A8E" w:rsidRDefault="00CB1A8E" w:rsidP="00CB1A8E">
      <w:pPr>
        <w:ind w:left="720" w:hanging="720"/>
        <w:rPr>
          <w:rFonts w:cs="Times New Roman"/>
        </w:rPr>
      </w:pPr>
      <w:r>
        <w:rPr>
          <w:rFonts w:cs="Times New Roman"/>
        </w:rPr>
        <w:t>5.3.5</w:t>
      </w:r>
      <w:r>
        <w:rPr>
          <w:rFonts w:cs="Times New Roman"/>
        </w:rPr>
        <w:tab/>
      </w:r>
      <w:r w:rsidR="00403CF6" w:rsidRPr="00CB1A8E">
        <w:rPr>
          <w:rFonts w:cs="Times New Roman"/>
        </w:rPr>
        <w:t xml:space="preserve">Despite the challenges </w:t>
      </w:r>
      <w:r w:rsidR="002374EE" w:rsidRPr="00CB1A8E">
        <w:rPr>
          <w:rFonts w:cs="Times New Roman"/>
        </w:rPr>
        <w:t>in evaluating</w:t>
      </w:r>
      <w:r w:rsidR="00403CF6" w:rsidRPr="00CB1A8E">
        <w:rPr>
          <w:rFonts w:cs="Times New Roman"/>
        </w:rPr>
        <w:t xml:space="preserve"> community educat</w:t>
      </w:r>
      <w:r w:rsidR="002374EE" w:rsidRPr="00CB1A8E">
        <w:rPr>
          <w:rFonts w:cs="Times New Roman"/>
        </w:rPr>
        <w:t>ion and awareness programs, t</w:t>
      </w:r>
      <w:r w:rsidR="00403CF6" w:rsidRPr="00CB1A8E">
        <w:rPr>
          <w:rFonts w:cs="Times New Roman"/>
        </w:rPr>
        <w:t xml:space="preserve">here is evidence to </w:t>
      </w:r>
      <w:r w:rsidR="002374EE" w:rsidRPr="00CB1A8E">
        <w:rPr>
          <w:rFonts w:cs="Times New Roman"/>
        </w:rPr>
        <w:t>show they are effective.</w:t>
      </w:r>
      <w:r w:rsidR="00403CF6" w:rsidRPr="00CB1A8E">
        <w:rPr>
          <w:rFonts w:cs="Times New Roman"/>
        </w:rPr>
        <w:t xml:space="preserve"> In 2005, Donovan and </w:t>
      </w:r>
      <w:proofErr w:type="spellStart"/>
      <w:r w:rsidR="00403CF6" w:rsidRPr="00CB1A8E">
        <w:rPr>
          <w:rFonts w:cs="Times New Roman"/>
        </w:rPr>
        <w:t>Vlais</w:t>
      </w:r>
      <w:proofErr w:type="spellEnd"/>
      <w:r w:rsidR="00403CF6" w:rsidRPr="003456D7">
        <w:rPr>
          <w:rStyle w:val="FootnoteReference"/>
          <w:rFonts w:cs="Times New Roman"/>
        </w:rPr>
        <w:footnoteReference w:id="111"/>
      </w:r>
      <w:r w:rsidR="00403CF6" w:rsidRPr="00CB1A8E">
        <w:rPr>
          <w:rFonts w:cs="Times New Roman"/>
        </w:rPr>
        <w:t xml:space="preserve"> conducted a review of Australian and international social marketing and education campaigns and specified a number of important components that should be included. </w:t>
      </w:r>
      <w:r w:rsidR="00C54145" w:rsidRPr="00CB1A8E">
        <w:rPr>
          <w:rFonts w:cs="Times New Roman"/>
        </w:rPr>
        <w:t>They</w:t>
      </w:r>
      <w:r w:rsidR="00403CF6" w:rsidRPr="00CB1A8E">
        <w:rPr>
          <w:rFonts w:cs="Times New Roman"/>
        </w:rPr>
        <w:t xml:space="preserve"> advocated </w:t>
      </w:r>
      <w:r w:rsidR="002374EE" w:rsidRPr="00CB1A8E">
        <w:rPr>
          <w:rFonts w:cs="Times New Roman"/>
        </w:rPr>
        <w:t xml:space="preserve">the need for </w:t>
      </w:r>
      <w:r w:rsidR="00403CF6" w:rsidRPr="00CB1A8E">
        <w:rPr>
          <w:rFonts w:cs="Times New Roman"/>
        </w:rPr>
        <w:t xml:space="preserve">a </w:t>
      </w:r>
      <w:r w:rsidR="002374EE" w:rsidRPr="00CB1A8E">
        <w:rPr>
          <w:rFonts w:cs="Times New Roman"/>
        </w:rPr>
        <w:t xml:space="preserve">comprehensive </w:t>
      </w:r>
      <w:r w:rsidR="00403CF6" w:rsidRPr="00CB1A8E">
        <w:rPr>
          <w:rFonts w:cs="Times New Roman"/>
        </w:rPr>
        <w:t xml:space="preserve">theoretical </w:t>
      </w:r>
      <w:r w:rsidR="002374EE" w:rsidRPr="00CB1A8E">
        <w:rPr>
          <w:rFonts w:cs="Times New Roman"/>
        </w:rPr>
        <w:t xml:space="preserve">foundation of the programs. </w:t>
      </w:r>
      <w:r w:rsidR="00403CF6" w:rsidRPr="00CB1A8E">
        <w:rPr>
          <w:rFonts w:cs="Times New Roman"/>
        </w:rPr>
        <w:t xml:space="preserve">Following this, the implementation of an Elder Abuse awareness program should address the theoretical reasons behind financial abuse and how it occurs in the familial context. </w:t>
      </w:r>
    </w:p>
    <w:p w:rsidR="00403CF6" w:rsidRPr="003456D7" w:rsidRDefault="00403CF6" w:rsidP="00C20B5E">
      <w:pPr>
        <w:rPr>
          <w:rFonts w:cs="Times New Roman"/>
        </w:rPr>
      </w:pPr>
    </w:p>
    <w:p w:rsidR="00403CF6" w:rsidRPr="00CB1A8E" w:rsidRDefault="00CB1A8E" w:rsidP="00CB1A8E">
      <w:pPr>
        <w:ind w:left="720" w:hanging="720"/>
        <w:rPr>
          <w:rFonts w:cs="Times New Roman"/>
        </w:rPr>
      </w:pPr>
      <w:r>
        <w:rPr>
          <w:rFonts w:cs="Times New Roman"/>
        </w:rPr>
        <w:t>5.3.6</w:t>
      </w:r>
      <w:r>
        <w:rPr>
          <w:rFonts w:cs="Times New Roman"/>
        </w:rPr>
        <w:tab/>
      </w:r>
      <w:r w:rsidR="00403CF6" w:rsidRPr="00CB1A8E">
        <w:rPr>
          <w:rFonts w:cs="Times New Roman"/>
        </w:rPr>
        <w:t xml:space="preserve">The Australian campaign, “Violence </w:t>
      </w:r>
      <w:proofErr w:type="gramStart"/>
      <w:r w:rsidR="00403CF6" w:rsidRPr="00CB1A8E">
        <w:rPr>
          <w:rFonts w:cs="Times New Roman"/>
        </w:rPr>
        <w:t>Against</w:t>
      </w:r>
      <w:proofErr w:type="gramEnd"/>
      <w:r w:rsidR="00403CF6" w:rsidRPr="00CB1A8E">
        <w:rPr>
          <w:rFonts w:cs="Times New Roman"/>
        </w:rPr>
        <w:t xml:space="preserve"> Women- Australia Say No” included a new domestic violence hotline in the rollout of the campaign</w:t>
      </w:r>
      <w:r w:rsidR="00403CF6" w:rsidRPr="003456D7">
        <w:rPr>
          <w:rStyle w:val="FootnoteReference"/>
          <w:rFonts w:cs="Times New Roman"/>
        </w:rPr>
        <w:footnoteReference w:id="112"/>
      </w:r>
      <w:r w:rsidR="00403CF6" w:rsidRPr="00CB1A8E">
        <w:rPr>
          <w:rFonts w:cs="Times New Roman"/>
        </w:rPr>
        <w:t>. Similarly, an abuse hotline for both victims and potential perpetrators of elder financial abuse could be developed and implemented</w:t>
      </w:r>
      <w:r w:rsidR="00243AE1" w:rsidRPr="00CB1A8E">
        <w:rPr>
          <w:rFonts w:cs="Times New Roman"/>
        </w:rPr>
        <w:t>.</w:t>
      </w:r>
      <w:r w:rsidR="00403CF6" w:rsidRPr="00CB1A8E">
        <w:rPr>
          <w:rFonts w:cs="Times New Roman"/>
        </w:rPr>
        <w:t xml:space="preserve"> Another component of a successful campaign is a method of continued monitoring and evaluation to determine how well the material is accepted by the public.</w:t>
      </w:r>
      <w:r w:rsidR="00403CF6" w:rsidRPr="003456D7">
        <w:rPr>
          <w:rStyle w:val="FootnoteReference"/>
          <w:rFonts w:cs="Times New Roman"/>
        </w:rPr>
        <w:footnoteReference w:id="113"/>
      </w:r>
      <w:r w:rsidR="00403CF6" w:rsidRPr="00CB1A8E">
        <w:rPr>
          <w:rFonts w:cs="Times New Roman"/>
        </w:rPr>
        <w:t xml:space="preserve"> </w:t>
      </w:r>
      <w:r w:rsidR="00126B53">
        <w:rPr>
          <w:rFonts w:cs="Times New Roman"/>
        </w:rPr>
        <w:t>Strong evaluation procedures were</w:t>
      </w:r>
      <w:r w:rsidR="00403CF6" w:rsidRPr="00CB1A8E">
        <w:rPr>
          <w:rFonts w:cs="Times New Roman"/>
        </w:rPr>
        <w:t xml:space="preserve"> a key element of one of the most successful domestic violence awareness campaigns conducted by the Soul City non-government organisation in South Africa.</w:t>
      </w:r>
      <w:r w:rsidR="00403CF6" w:rsidRPr="003456D7">
        <w:rPr>
          <w:rStyle w:val="FootnoteReference"/>
          <w:rFonts w:cs="Times New Roman"/>
        </w:rPr>
        <w:footnoteReference w:id="114"/>
      </w:r>
      <w:r w:rsidR="00403CF6" w:rsidRPr="00CB1A8E">
        <w:rPr>
          <w:rFonts w:cs="Times New Roman"/>
        </w:rPr>
        <w:t xml:space="preserve"> </w:t>
      </w:r>
    </w:p>
    <w:p w:rsidR="00725B3A" w:rsidRPr="003456D7" w:rsidRDefault="00725B3A" w:rsidP="00C20B5E">
      <w:pPr>
        <w:rPr>
          <w:rFonts w:cs="Times New Roman"/>
        </w:rPr>
      </w:pPr>
    </w:p>
    <w:p w:rsidR="00403CF6" w:rsidRPr="00CB1A8E" w:rsidRDefault="00CB1A8E" w:rsidP="00CB1A8E">
      <w:pPr>
        <w:ind w:left="720" w:hanging="720"/>
        <w:rPr>
          <w:rFonts w:cs="Times New Roman"/>
        </w:rPr>
      </w:pPr>
      <w:r>
        <w:rPr>
          <w:rFonts w:cs="Times New Roman"/>
        </w:rPr>
        <w:t>5.3.7</w:t>
      </w:r>
      <w:r>
        <w:rPr>
          <w:rFonts w:cs="Times New Roman"/>
        </w:rPr>
        <w:tab/>
      </w:r>
      <w:r w:rsidR="00403CF6" w:rsidRPr="00CB1A8E">
        <w:rPr>
          <w:rFonts w:cs="Times New Roman"/>
        </w:rPr>
        <w:t xml:space="preserve">The implementation of an Elder Abuse Awareness campaign in Australia should include a component focusing on the education of older adults. WHO reported that around 26% of countries worldwide have taken steps to implement such </w:t>
      </w:r>
      <w:proofErr w:type="gramStart"/>
      <w:r w:rsidR="00403CF6" w:rsidRPr="00CB1A8E">
        <w:rPr>
          <w:rFonts w:cs="Times New Roman"/>
        </w:rPr>
        <w:t>programs.</w:t>
      </w:r>
      <w:proofErr w:type="gramEnd"/>
      <w:r w:rsidR="00403CF6" w:rsidRPr="003456D7">
        <w:rPr>
          <w:rStyle w:val="FootnoteReference"/>
          <w:rFonts w:cs="Times New Roman"/>
        </w:rPr>
        <w:footnoteReference w:id="115"/>
      </w:r>
      <w:r w:rsidR="00403CF6" w:rsidRPr="00CB1A8E">
        <w:rPr>
          <w:rFonts w:cs="Times New Roman"/>
        </w:rPr>
        <w:t xml:space="preserve"> Many of these include the provision of information with the purpose of assisting older adults in understanding financial issues and their legal rights.</w:t>
      </w:r>
      <w:r w:rsidR="00403CF6" w:rsidRPr="003456D7">
        <w:rPr>
          <w:rStyle w:val="FootnoteReference"/>
          <w:rFonts w:cs="Times New Roman"/>
        </w:rPr>
        <w:footnoteReference w:id="116"/>
      </w:r>
      <w:r w:rsidR="00403CF6" w:rsidRPr="00CB1A8E">
        <w:rPr>
          <w:rFonts w:cs="Times New Roman"/>
        </w:rPr>
        <w:t xml:space="preserve"> This component of the campaign focuses on individual empowerment stemming from better education and awareness.</w:t>
      </w:r>
      <w:r w:rsidR="00403CF6" w:rsidRPr="003456D7">
        <w:rPr>
          <w:rStyle w:val="FootnoteReference"/>
          <w:rFonts w:cs="Times New Roman"/>
        </w:rPr>
        <w:footnoteReference w:id="117"/>
      </w:r>
      <w:r w:rsidR="00403CF6" w:rsidRPr="00CB1A8E">
        <w:rPr>
          <w:rFonts w:cs="Times New Roman"/>
        </w:rPr>
        <w:t xml:space="preserve"> </w:t>
      </w:r>
    </w:p>
    <w:p w:rsidR="001A05A5" w:rsidRPr="003456D7" w:rsidRDefault="001A05A5" w:rsidP="00C20B5E">
      <w:pPr>
        <w:rPr>
          <w:rFonts w:cs="Times New Roman"/>
        </w:rPr>
      </w:pPr>
    </w:p>
    <w:p w:rsidR="00D739DA" w:rsidRPr="003456D7" w:rsidRDefault="00CB1A8E" w:rsidP="00011887">
      <w:pPr>
        <w:ind w:left="720" w:hanging="720"/>
        <w:rPr>
          <w:rFonts w:cs="Times New Roman"/>
        </w:rPr>
      </w:pPr>
      <w:r>
        <w:rPr>
          <w:rFonts w:cs="Times New Roman"/>
        </w:rPr>
        <w:t>5.3.8</w:t>
      </w:r>
      <w:r>
        <w:rPr>
          <w:rFonts w:cs="Times New Roman"/>
        </w:rPr>
        <w:tab/>
      </w:r>
      <w:r w:rsidR="00176C90" w:rsidRPr="00CB1A8E">
        <w:rPr>
          <w:rFonts w:cs="Times New Roman"/>
        </w:rPr>
        <w:t xml:space="preserve">Financial abuse of the elderly is complex in nature and generally hidden in familial relationships. Central to the understanding of such abuse is the requirement of education. Similar to that of the “Violence against women, Australia says no” campaign, it is recommended that the Australian Government rollout an education campaign relating to elder financial abuse. Such a campaign </w:t>
      </w:r>
      <w:r w:rsidR="00243AE1" w:rsidRPr="00CB1A8E">
        <w:rPr>
          <w:rFonts w:cs="Times New Roman"/>
        </w:rPr>
        <w:t>can</w:t>
      </w:r>
      <w:r w:rsidR="00176C90" w:rsidRPr="00CB1A8E">
        <w:rPr>
          <w:rFonts w:cs="Times New Roman"/>
        </w:rPr>
        <w:t xml:space="preserve"> educate the general public about elder abuse </w:t>
      </w:r>
      <w:r w:rsidR="00243AE1" w:rsidRPr="00CB1A8E">
        <w:rPr>
          <w:rFonts w:cs="Times New Roman"/>
        </w:rPr>
        <w:t>and</w:t>
      </w:r>
      <w:r w:rsidR="00176C90" w:rsidRPr="00CB1A8E">
        <w:rPr>
          <w:rFonts w:cs="Times New Roman"/>
        </w:rPr>
        <w:t xml:space="preserve"> also educate Older Australians so they can better understand their legal rights relating to their financial decisions. The desired result of such a campaign would be individual empowerment of those susceptible to abuse and an increased awareness among the Australian public. </w:t>
      </w:r>
    </w:p>
    <w:p w:rsidR="003335CF" w:rsidRPr="002A4198" w:rsidRDefault="00DD5401" w:rsidP="00C20B5E">
      <w:pPr>
        <w:pStyle w:val="Heading1"/>
        <w:rPr>
          <w:rFonts w:cs="Times New Roman"/>
          <w:sz w:val="22"/>
          <w:szCs w:val="22"/>
        </w:rPr>
      </w:pPr>
      <w:bookmarkStart w:id="19" w:name="_Toc328377002"/>
      <w:r>
        <w:lastRenderedPageBreak/>
        <w:t xml:space="preserve">6.0 </w:t>
      </w:r>
      <w:r w:rsidR="00CB1A8E">
        <w:tab/>
      </w:r>
      <w:r w:rsidR="003335CF" w:rsidRPr="002A4198">
        <w:t>Conclusion</w:t>
      </w:r>
      <w:bookmarkEnd w:id="19"/>
    </w:p>
    <w:p w:rsidR="003B07EC" w:rsidRPr="002A4198" w:rsidRDefault="003B07EC" w:rsidP="00C20B5E">
      <w:pPr>
        <w:rPr>
          <w:sz w:val="22"/>
          <w:szCs w:val="22"/>
        </w:rPr>
      </w:pPr>
    </w:p>
    <w:p w:rsidR="00563CDD" w:rsidRPr="00CB1A8E" w:rsidRDefault="00CB1A8E" w:rsidP="00CB1A8E">
      <w:pPr>
        <w:ind w:left="720" w:hanging="720"/>
        <w:rPr>
          <w:rFonts w:asciiTheme="majorHAnsi" w:eastAsiaTheme="majorEastAsia" w:hAnsiTheme="majorHAnsi" w:cstheme="majorBidi"/>
          <w:b/>
          <w:bCs/>
          <w:color w:val="345A8A" w:themeColor="accent1" w:themeShade="B5"/>
        </w:rPr>
      </w:pPr>
      <w:r>
        <w:t>6.1</w:t>
      </w:r>
      <w:r>
        <w:tab/>
      </w:r>
      <w:r w:rsidR="003B07EC" w:rsidRPr="00D739DA">
        <w:t>This submission examined the role financial institutions play in the identification and management of financial abuse of the elderly. The current regulatory framework surrounding financial institutions was examined</w:t>
      </w:r>
      <w:r w:rsidR="00011887">
        <w:t>,</w:t>
      </w:r>
      <w:r w:rsidR="003B07EC" w:rsidRPr="00D739DA">
        <w:t xml:space="preserve"> and it was concluded that whilst recourse was available for victims of financial abuse, the framework did not operate effectively. This was largely due the complex nature of elder financial abuse and the general reluctance by victims to pursue legal action against their abusers, who in most instances were family members. </w:t>
      </w:r>
    </w:p>
    <w:p w:rsidR="00563CDD" w:rsidRPr="00563CDD" w:rsidRDefault="00563CDD" w:rsidP="00C20B5E">
      <w:pPr>
        <w:pStyle w:val="ListParagraph"/>
        <w:ind w:left="360"/>
        <w:rPr>
          <w:rFonts w:asciiTheme="majorHAnsi" w:eastAsiaTheme="majorEastAsia" w:hAnsiTheme="majorHAnsi" w:cstheme="majorBidi"/>
          <w:b/>
          <w:bCs/>
          <w:color w:val="345A8A" w:themeColor="accent1" w:themeShade="B5"/>
        </w:rPr>
      </w:pPr>
    </w:p>
    <w:p w:rsidR="00CB1A8E" w:rsidRDefault="00CB1A8E" w:rsidP="00CB1A8E">
      <w:pPr>
        <w:ind w:left="720" w:hanging="720"/>
        <w:rPr>
          <w:rFonts w:asciiTheme="majorHAnsi" w:eastAsiaTheme="majorEastAsia" w:hAnsiTheme="majorHAnsi" w:cstheme="majorBidi"/>
          <w:b/>
          <w:bCs/>
          <w:color w:val="345A8A" w:themeColor="accent1" w:themeShade="B5"/>
        </w:rPr>
      </w:pPr>
      <w:r>
        <w:t>6.2</w:t>
      </w:r>
      <w:r>
        <w:tab/>
      </w:r>
      <w:r w:rsidR="003B07EC" w:rsidRPr="00D739DA">
        <w:t>Therefore</w:t>
      </w:r>
      <w:r w:rsidR="00011887">
        <w:t>,</w:t>
      </w:r>
      <w:r w:rsidR="003B07EC" w:rsidRPr="00D739DA">
        <w:t xml:space="preserve"> a preventative approach to elder financial abuse was recommended with a focus placed on the development of a </w:t>
      </w:r>
      <w:r w:rsidR="003B07EC" w:rsidRPr="00CB1A8E">
        <w:rPr>
          <w:b/>
          <w:u w:val="single"/>
        </w:rPr>
        <w:t>mandatory reporting scheme,</w:t>
      </w:r>
      <w:r w:rsidR="003B07EC" w:rsidRPr="00D739DA">
        <w:t xml:space="preserve"> which places positive obligations on the financial sector to identify and report abuse. To complement such a scheme, it was recommended that </w:t>
      </w:r>
      <w:r w:rsidR="003B07EC" w:rsidRPr="00CB1A8E">
        <w:rPr>
          <w:b/>
          <w:u w:val="single"/>
        </w:rPr>
        <w:t>uniform training protocols</w:t>
      </w:r>
      <w:r w:rsidR="003B07EC" w:rsidRPr="00D739DA">
        <w:t xml:space="preserve"> be implemented at a national level </w:t>
      </w:r>
      <w:r w:rsidR="00011887">
        <w:t>along with</w:t>
      </w:r>
      <w:r w:rsidR="003B07EC" w:rsidRPr="00D739DA">
        <w:t xml:space="preserve"> the rollout of an </w:t>
      </w:r>
      <w:r w:rsidR="003B07EC" w:rsidRPr="00CB1A8E">
        <w:rPr>
          <w:b/>
          <w:u w:val="single"/>
        </w:rPr>
        <w:t xml:space="preserve">education and awareness campaign. </w:t>
      </w:r>
    </w:p>
    <w:p w:rsidR="00CB1A8E" w:rsidRDefault="00CB1A8E" w:rsidP="00CB1A8E">
      <w:pPr>
        <w:ind w:left="720" w:hanging="720"/>
      </w:pPr>
    </w:p>
    <w:p w:rsidR="00A47D45" w:rsidRPr="00CB1A8E" w:rsidRDefault="00CB1A8E" w:rsidP="00CB1A8E">
      <w:pPr>
        <w:ind w:left="720" w:hanging="720"/>
        <w:rPr>
          <w:rFonts w:asciiTheme="majorHAnsi" w:eastAsiaTheme="majorEastAsia" w:hAnsiTheme="majorHAnsi" w:cstheme="majorBidi"/>
          <w:b/>
          <w:bCs/>
          <w:color w:val="345A8A" w:themeColor="accent1" w:themeShade="B5"/>
        </w:rPr>
      </w:pPr>
      <w:r>
        <w:t>6.3</w:t>
      </w:r>
      <w:r>
        <w:tab/>
      </w:r>
      <w:r w:rsidR="00563CDD">
        <w:t>W</w:t>
      </w:r>
      <w:r w:rsidR="003B07EC" w:rsidRPr="00D739DA">
        <w:t xml:space="preserve">hilst three separate reforms have been suggested, a combination of all in the form of a </w:t>
      </w:r>
      <w:r w:rsidR="003B07EC" w:rsidRPr="00CB1A8E">
        <w:rPr>
          <w:b/>
          <w:u w:val="single"/>
        </w:rPr>
        <w:t>best pract</w:t>
      </w:r>
      <w:r w:rsidR="00D85CA0" w:rsidRPr="00CB1A8E">
        <w:rPr>
          <w:b/>
          <w:u w:val="single"/>
        </w:rPr>
        <w:t>ice approach model</w:t>
      </w:r>
      <w:r w:rsidR="00D85CA0" w:rsidRPr="00D739DA">
        <w:t xml:space="preserve"> is required to ensure the best protection of society’s vulnerable from financial abuse.</w:t>
      </w:r>
    </w:p>
    <w:p w:rsidR="00A47D45" w:rsidRDefault="00A47D45" w:rsidP="00C20B5E"/>
    <w:p w:rsidR="001D2227" w:rsidRDefault="001D2227" w:rsidP="00C20B5E"/>
    <w:p w:rsidR="001D2227" w:rsidRDefault="001D2227" w:rsidP="00C20B5E"/>
    <w:p w:rsidR="001D2227" w:rsidRDefault="001D2227" w:rsidP="00C20B5E"/>
    <w:p w:rsidR="001D2227" w:rsidRDefault="001D2227" w:rsidP="00C20B5E"/>
    <w:p w:rsidR="001D2227" w:rsidRDefault="001D2227" w:rsidP="00C20B5E"/>
    <w:p w:rsidR="001D2227" w:rsidRDefault="001D2227" w:rsidP="00C20B5E"/>
    <w:p w:rsidR="001D2227" w:rsidRDefault="001D2227" w:rsidP="00C20B5E"/>
    <w:p w:rsidR="001D2227" w:rsidRDefault="001D2227" w:rsidP="00C20B5E"/>
    <w:p w:rsidR="001D2227" w:rsidRDefault="001D2227" w:rsidP="00C20B5E"/>
    <w:p w:rsidR="001D2227" w:rsidRDefault="001D2227" w:rsidP="00C20B5E"/>
    <w:p w:rsidR="001D2227" w:rsidRDefault="001D2227" w:rsidP="00C20B5E"/>
    <w:p w:rsidR="001D2227" w:rsidRDefault="001D2227" w:rsidP="00C20B5E"/>
    <w:p w:rsidR="001D2227" w:rsidRDefault="001D2227" w:rsidP="00C20B5E"/>
    <w:p w:rsidR="001D2227" w:rsidRDefault="001D2227" w:rsidP="00C20B5E"/>
    <w:p w:rsidR="001D2227" w:rsidRDefault="001D2227" w:rsidP="00C20B5E"/>
    <w:p w:rsidR="001D2227" w:rsidRDefault="001D2227" w:rsidP="00C20B5E"/>
    <w:p w:rsidR="001D2227" w:rsidRDefault="001D2227" w:rsidP="00C20B5E"/>
    <w:p w:rsidR="00371C5A" w:rsidRDefault="00371C5A" w:rsidP="00C20B5E"/>
    <w:p w:rsidR="00371C5A" w:rsidRDefault="00371C5A" w:rsidP="00C20B5E"/>
    <w:p w:rsidR="00371C5A" w:rsidRDefault="00371C5A" w:rsidP="00C20B5E"/>
    <w:p w:rsidR="00371C5A" w:rsidRDefault="00371C5A" w:rsidP="00C20B5E"/>
    <w:p w:rsidR="00371C5A" w:rsidRDefault="00371C5A" w:rsidP="00C20B5E"/>
    <w:p w:rsidR="00371C5A" w:rsidRDefault="00371C5A" w:rsidP="00C20B5E"/>
    <w:p w:rsidR="00371C5A" w:rsidRDefault="00371C5A" w:rsidP="00C20B5E"/>
    <w:p w:rsidR="00371C5A" w:rsidRDefault="00371C5A" w:rsidP="00C20B5E"/>
    <w:p w:rsidR="00A47D45" w:rsidRDefault="00DD5401" w:rsidP="00C20B5E">
      <w:pPr>
        <w:pStyle w:val="Heading1"/>
      </w:pPr>
      <w:bookmarkStart w:id="20" w:name="_Toc328377003"/>
      <w:r>
        <w:lastRenderedPageBreak/>
        <w:t>7.0 References</w:t>
      </w:r>
      <w:bookmarkEnd w:id="20"/>
    </w:p>
    <w:p w:rsidR="00DD5401" w:rsidRDefault="00DD5401" w:rsidP="00C20B5E"/>
    <w:p w:rsidR="00DD5401" w:rsidRPr="00EE6416" w:rsidRDefault="00DD5401" w:rsidP="00C20B5E">
      <w:pPr>
        <w:rPr>
          <w:b/>
        </w:rPr>
      </w:pPr>
      <w:r w:rsidRPr="00EE6416">
        <w:rPr>
          <w:b/>
        </w:rPr>
        <w:t>Legislation</w:t>
      </w:r>
    </w:p>
    <w:p w:rsidR="006B09A6" w:rsidRPr="00EE6416" w:rsidRDefault="006B09A6" w:rsidP="00C20B5E"/>
    <w:p w:rsidR="00505EAC" w:rsidRPr="00EE6416" w:rsidRDefault="00505EAC" w:rsidP="00C20B5E">
      <w:pPr>
        <w:rPr>
          <w:rFonts w:cs="Times New Roman"/>
        </w:rPr>
      </w:pPr>
      <w:r w:rsidRPr="00EE6416">
        <w:rPr>
          <w:rFonts w:cs="Times New Roman"/>
          <w:i/>
        </w:rPr>
        <w:t>Anti-Money Laundering and Counter-Terrorism Financing Act 2006</w:t>
      </w:r>
      <w:r w:rsidRPr="00EE6416">
        <w:rPr>
          <w:rFonts w:cs="Times New Roman"/>
        </w:rPr>
        <w:t xml:space="preserve"> (</w:t>
      </w:r>
      <w:proofErr w:type="spellStart"/>
      <w:r w:rsidRPr="00EE6416">
        <w:rPr>
          <w:rFonts w:cs="Times New Roman"/>
        </w:rPr>
        <w:t>Cth</w:t>
      </w:r>
      <w:proofErr w:type="spellEnd"/>
      <w:r w:rsidRPr="00EE6416">
        <w:rPr>
          <w:rFonts w:cs="Times New Roman"/>
        </w:rPr>
        <w:t>)</w:t>
      </w:r>
    </w:p>
    <w:p w:rsidR="00505EAC" w:rsidRPr="00EE6416" w:rsidRDefault="00505EAC" w:rsidP="00C20B5E">
      <w:pPr>
        <w:rPr>
          <w:i/>
        </w:rPr>
      </w:pPr>
    </w:p>
    <w:p w:rsidR="006B09A6" w:rsidRDefault="006B09A6" w:rsidP="00C20B5E">
      <w:r w:rsidRPr="00EE6416">
        <w:rPr>
          <w:i/>
        </w:rPr>
        <w:t>Australian Securities and Investments Commission Act 2001</w:t>
      </w:r>
      <w:r w:rsidRPr="00EE6416">
        <w:t xml:space="preserve"> (</w:t>
      </w:r>
      <w:proofErr w:type="spellStart"/>
      <w:r w:rsidRPr="00EE6416">
        <w:t>Cth</w:t>
      </w:r>
      <w:proofErr w:type="spellEnd"/>
      <w:r w:rsidRPr="00EE6416">
        <w:t xml:space="preserve">) </w:t>
      </w:r>
    </w:p>
    <w:p w:rsidR="00146913" w:rsidRDefault="00146913" w:rsidP="00C20B5E"/>
    <w:p w:rsidR="00146913" w:rsidRDefault="00146913" w:rsidP="00C20B5E">
      <w:r w:rsidRPr="00146913">
        <w:rPr>
          <w:rFonts w:cs="Times New Roman"/>
          <w:i/>
          <w:iCs/>
          <w:color w:val="1A1718"/>
          <w:lang w:val="en-US"/>
        </w:rPr>
        <w:t xml:space="preserve">Civil Law (Wrongs) Act </w:t>
      </w:r>
      <w:r w:rsidRPr="00146913">
        <w:rPr>
          <w:rFonts w:cs="Times New Roman"/>
          <w:i/>
          <w:color w:val="1A1718"/>
          <w:lang w:val="en-US"/>
        </w:rPr>
        <w:t>2002</w:t>
      </w:r>
      <w:r w:rsidRPr="00146913">
        <w:rPr>
          <w:rFonts w:cs="Times New Roman"/>
          <w:color w:val="1A1718"/>
          <w:lang w:val="en-US"/>
        </w:rPr>
        <w:t xml:space="preserve"> (ACT)</w:t>
      </w:r>
    </w:p>
    <w:p w:rsidR="00146913" w:rsidRDefault="00146913" w:rsidP="00C20B5E"/>
    <w:p w:rsidR="00146913" w:rsidRDefault="00146913" w:rsidP="00146913">
      <w:pPr>
        <w:rPr>
          <w:rFonts w:cs="Times New Roman"/>
          <w:color w:val="1A1718"/>
          <w:lang w:val="en-US"/>
        </w:rPr>
      </w:pPr>
      <w:r w:rsidRPr="00146913">
        <w:rPr>
          <w:rFonts w:cs="Times New Roman"/>
          <w:i/>
          <w:iCs/>
          <w:color w:val="1A1718"/>
          <w:lang w:val="en-US"/>
        </w:rPr>
        <w:t xml:space="preserve">Defamation Act </w:t>
      </w:r>
      <w:r w:rsidRPr="00146913">
        <w:rPr>
          <w:rFonts w:cs="Times New Roman"/>
          <w:i/>
          <w:color w:val="1A1718"/>
          <w:lang w:val="en-US"/>
        </w:rPr>
        <w:t xml:space="preserve">2005 </w:t>
      </w:r>
      <w:r>
        <w:rPr>
          <w:rFonts w:cs="Times New Roman"/>
          <w:color w:val="1A1718"/>
          <w:lang w:val="en-US"/>
        </w:rPr>
        <w:t xml:space="preserve">(NSW) </w:t>
      </w:r>
    </w:p>
    <w:p w:rsidR="00146913" w:rsidRDefault="00146913" w:rsidP="00146913">
      <w:pPr>
        <w:rPr>
          <w:rFonts w:cs="Times New Roman"/>
          <w:color w:val="1A1718"/>
          <w:lang w:val="en-US"/>
        </w:rPr>
      </w:pPr>
    </w:p>
    <w:p w:rsidR="00146913" w:rsidRDefault="00146913" w:rsidP="00146913">
      <w:pPr>
        <w:rPr>
          <w:rFonts w:cs="Times New Roman"/>
          <w:color w:val="1A1718"/>
          <w:lang w:val="en-US"/>
        </w:rPr>
      </w:pPr>
      <w:r w:rsidRPr="00146913">
        <w:rPr>
          <w:rFonts w:cs="Times New Roman"/>
          <w:i/>
          <w:iCs/>
          <w:color w:val="1A1718"/>
          <w:lang w:val="en-US"/>
        </w:rPr>
        <w:t xml:space="preserve">Defamation Act </w:t>
      </w:r>
      <w:r w:rsidRPr="00146913">
        <w:rPr>
          <w:rFonts w:cs="Times New Roman"/>
          <w:i/>
          <w:color w:val="1A1718"/>
          <w:lang w:val="en-US"/>
        </w:rPr>
        <w:t>2006</w:t>
      </w:r>
      <w:r w:rsidRPr="00146913">
        <w:rPr>
          <w:rFonts w:cs="Times New Roman"/>
          <w:color w:val="1A1718"/>
          <w:lang w:val="en-US"/>
        </w:rPr>
        <w:t xml:space="preserve"> (NT)</w:t>
      </w:r>
    </w:p>
    <w:p w:rsidR="00146913" w:rsidRDefault="00146913" w:rsidP="00146913">
      <w:pPr>
        <w:rPr>
          <w:rFonts w:cs="Times New Roman"/>
          <w:color w:val="1A1718"/>
          <w:lang w:val="en-US"/>
        </w:rPr>
      </w:pPr>
    </w:p>
    <w:p w:rsidR="00146913" w:rsidRDefault="00146913" w:rsidP="00146913">
      <w:pPr>
        <w:rPr>
          <w:rFonts w:cs="Times New Roman"/>
          <w:color w:val="1A1718"/>
          <w:lang w:val="en-US"/>
        </w:rPr>
      </w:pPr>
      <w:r w:rsidRPr="00146913">
        <w:rPr>
          <w:rFonts w:cs="Times New Roman"/>
          <w:i/>
          <w:iCs/>
          <w:color w:val="1A1718"/>
          <w:lang w:val="en-US"/>
        </w:rPr>
        <w:t xml:space="preserve">Defamation Act </w:t>
      </w:r>
      <w:r w:rsidRPr="00146913">
        <w:rPr>
          <w:rFonts w:cs="Times New Roman"/>
          <w:i/>
          <w:color w:val="1A1718"/>
          <w:lang w:val="en-US"/>
        </w:rPr>
        <w:t>2005</w:t>
      </w:r>
      <w:r>
        <w:rPr>
          <w:rFonts w:cs="Times New Roman"/>
          <w:color w:val="1A1718"/>
          <w:lang w:val="en-US"/>
        </w:rPr>
        <w:t xml:space="preserve"> (</w:t>
      </w:r>
      <w:proofErr w:type="spellStart"/>
      <w:r>
        <w:rPr>
          <w:rFonts w:cs="Times New Roman"/>
          <w:color w:val="1A1718"/>
          <w:lang w:val="en-US"/>
        </w:rPr>
        <w:t>Qld</w:t>
      </w:r>
      <w:proofErr w:type="spellEnd"/>
      <w:r>
        <w:rPr>
          <w:rFonts w:cs="Times New Roman"/>
          <w:color w:val="1A1718"/>
          <w:lang w:val="en-US"/>
        </w:rPr>
        <w:t xml:space="preserve">) </w:t>
      </w:r>
    </w:p>
    <w:p w:rsidR="00146913" w:rsidRDefault="00146913" w:rsidP="00146913">
      <w:pPr>
        <w:rPr>
          <w:rFonts w:cs="Times New Roman"/>
          <w:color w:val="1A1718"/>
          <w:lang w:val="en-US"/>
        </w:rPr>
      </w:pPr>
    </w:p>
    <w:p w:rsidR="00146913" w:rsidRDefault="00146913" w:rsidP="00146913">
      <w:pPr>
        <w:rPr>
          <w:rFonts w:cs="Times New Roman"/>
          <w:color w:val="1A1718"/>
          <w:lang w:val="en-US"/>
        </w:rPr>
      </w:pPr>
      <w:r w:rsidRPr="00146913">
        <w:rPr>
          <w:rFonts w:cs="Times New Roman"/>
          <w:i/>
          <w:iCs/>
          <w:color w:val="1A1718"/>
          <w:lang w:val="en-US"/>
        </w:rPr>
        <w:t xml:space="preserve">Defamation Act </w:t>
      </w:r>
      <w:r w:rsidRPr="00146913">
        <w:rPr>
          <w:rFonts w:cs="Times New Roman"/>
          <w:i/>
          <w:color w:val="1A1718"/>
          <w:lang w:val="en-US"/>
        </w:rPr>
        <w:t xml:space="preserve">2005 </w:t>
      </w:r>
      <w:r w:rsidRPr="00146913">
        <w:rPr>
          <w:rFonts w:cs="Times New Roman"/>
          <w:color w:val="1A1718"/>
          <w:lang w:val="en-US"/>
        </w:rPr>
        <w:t>(SA)</w:t>
      </w:r>
    </w:p>
    <w:p w:rsidR="00146913" w:rsidRDefault="00146913" w:rsidP="00146913">
      <w:pPr>
        <w:rPr>
          <w:rFonts w:cs="Times New Roman"/>
          <w:color w:val="1A1718"/>
          <w:lang w:val="en-US"/>
        </w:rPr>
      </w:pPr>
    </w:p>
    <w:p w:rsidR="00146913" w:rsidRDefault="00146913" w:rsidP="00146913">
      <w:pPr>
        <w:rPr>
          <w:rFonts w:cs="Times New Roman"/>
          <w:color w:val="1A1718"/>
          <w:lang w:val="en-US"/>
        </w:rPr>
      </w:pPr>
      <w:r w:rsidRPr="00146913">
        <w:rPr>
          <w:rFonts w:cs="Times New Roman"/>
          <w:i/>
          <w:iCs/>
          <w:color w:val="1A1718"/>
          <w:lang w:val="en-US"/>
        </w:rPr>
        <w:t xml:space="preserve">Defamation Act </w:t>
      </w:r>
      <w:r w:rsidRPr="00146913">
        <w:rPr>
          <w:rFonts w:cs="Times New Roman"/>
          <w:i/>
          <w:color w:val="1A1718"/>
          <w:lang w:val="en-US"/>
        </w:rPr>
        <w:t>2005</w:t>
      </w:r>
      <w:r w:rsidRPr="00146913">
        <w:rPr>
          <w:rFonts w:cs="Times New Roman"/>
          <w:color w:val="1A1718"/>
          <w:lang w:val="en-US"/>
        </w:rPr>
        <w:t xml:space="preserve"> (</w:t>
      </w:r>
      <w:proofErr w:type="spellStart"/>
      <w:proofErr w:type="gramStart"/>
      <w:r w:rsidRPr="00146913">
        <w:rPr>
          <w:rFonts w:cs="Times New Roman"/>
          <w:color w:val="1A1718"/>
          <w:lang w:val="en-US"/>
        </w:rPr>
        <w:t>Tas</w:t>
      </w:r>
      <w:proofErr w:type="spellEnd"/>
      <w:proofErr w:type="gramEnd"/>
      <w:r w:rsidRPr="00146913">
        <w:rPr>
          <w:rFonts w:cs="Times New Roman"/>
          <w:color w:val="1A1718"/>
          <w:lang w:val="en-US"/>
        </w:rPr>
        <w:t>)</w:t>
      </w:r>
    </w:p>
    <w:p w:rsidR="00146913" w:rsidRDefault="00146913" w:rsidP="00146913">
      <w:pPr>
        <w:rPr>
          <w:rFonts w:cs="Times New Roman"/>
          <w:color w:val="1A1718"/>
          <w:lang w:val="en-US"/>
        </w:rPr>
      </w:pPr>
    </w:p>
    <w:p w:rsidR="00146913" w:rsidRDefault="00146913" w:rsidP="00146913">
      <w:pPr>
        <w:rPr>
          <w:rFonts w:cs="Times New Roman"/>
          <w:color w:val="1A1718"/>
          <w:lang w:val="en-US"/>
        </w:rPr>
      </w:pPr>
      <w:r w:rsidRPr="00146913">
        <w:rPr>
          <w:rFonts w:cs="Times New Roman"/>
          <w:i/>
          <w:iCs/>
          <w:color w:val="1A1718"/>
          <w:lang w:val="en-US"/>
        </w:rPr>
        <w:t xml:space="preserve">Defamation Act </w:t>
      </w:r>
      <w:r w:rsidRPr="00146913">
        <w:rPr>
          <w:rFonts w:cs="Times New Roman"/>
          <w:i/>
          <w:color w:val="1A1718"/>
          <w:lang w:val="en-US"/>
        </w:rPr>
        <w:t xml:space="preserve">2005 </w:t>
      </w:r>
      <w:r>
        <w:rPr>
          <w:rFonts w:cs="Times New Roman"/>
          <w:color w:val="1A1718"/>
          <w:lang w:val="en-US"/>
        </w:rPr>
        <w:t>(Vic)</w:t>
      </w:r>
      <w:r w:rsidRPr="00146913">
        <w:rPr>
          <w:rFonts w:cs="Times New Roman"/>
          <w:color w:val="1A1718"/>
          <w:lang w:val="en-US"/>
        </w:rPr>
        <w:t xml:space="preserve"> </w:t>
      </w:r>
    </w:p>
    <w:p w:rsidR="00146913" w:rsidRDefault="00146913" w:rsidP="00146913">
      <w:pPr>
        <w:rPr>
          <w:rFonts w:cs="Times New Roman"/>
          <w:color w:val="1A1718"/>
          <w:lang w:val="en-US"/>
        </w:rPr>
      </w:pPr>
    </w:p>
    <w:p w:rsidR="00146913" w:rsidRPr="00146913" w:rsidRDefault="00146913" w:rsidP="00C20B5E">
      <w:pPr>
        <w:rPr>
          <w:rFonts w:cs="Times New Roman"/>
        </w:rPr>
      </w:pPr>
      <w:r w:rsidRPr="00146913">
        <w:rPr>
          <w:rFonts w:cs="Times New Roman"/>
          <w:i/>
          <w:iCs/>
          <w:color w:val="1A1718"/>
          <w:lang w:val="en-US"/>
        </w:rPr>
        <w:t xml:space="preserve">Defamation Act </w:t>
      </w:r>
      <w:r w:rsidRPr="00146913">
        <w:rPr>
          <w:rFonts w:cs="Times New Roman"/>
          <w:i/>
          <w:color w:val="1A1718"/>
          <w:lang w:val="en-US"/>
        </w:rPr>
        <w:t>2005</w:t>
      </w:r>
      <w:r>
        <w:rPr>
          <w:rFonts w:cs="Times New Roman"/>
          <w:color w:val="1A1718"/>
          <w:lang w:val="en-US"/>
        </w:rPr>
        <w:t xml:space="preserve"> (WA) </w:t>
      </w:r>
    </w:p>
    <w:p w:rsidR="006B09A6" w:rsidRPr="00EE6416" w:rsidRDefault="006B09A6" w:rsidP="006B09A6">
      <w:pPr>
        <w:rPr>
          <w:i/>
        </w:rPr>
      </w:pPr>
    </w:p>
    <w:p w:rsidR="00EE6416" w:rsidRPr="00EE6416" w:rsidRDefault="00EE6416" w:rsidP="00EE6416">
      <w:r w:rsidRPr="00EE6416">
        <w:rPr>
          <w:i/>
          <w:iCs/>
        </w:rPr>
        <w:t xml:space="preserve">Financial Abuse Reporting Act </w:t>
      </w:r>
      <w:r w:rsidRPr="00EE6416">
        <w:rPr>
          <w:shd w:val="clear" w:color="auto" w:fill="FFFFFF"/>
        </w:rPr>
        <w:t>§ 1018</w:t>
      </w:r>
    </w:p>
    <w:p w:rsidR="00EE6416" w:rsidRPr="00EE6416" w:rsidRDefault="00EE6416" w:rsidP="006B09A6">
      <w:pPr>
        <w:rPr>
          <w:i/>
        </w:rPr>
      </w:pPr>
    </w:p>
    <w:p w:rsidR="006B09A6" w:rsidRPr="00EE6416" w:rsidRDefault="006B09A6" w:rsidP="006B09A6">
      <w:r w:rsidRPr="00EE6416">
        <w:rPr>
          <w:i/>
        </w:rPr>
        <w:t>Privacy Act 1988</w:t>
      </w:r>
      <w:r w:rsidRPr="00EE6416">
        <w:t xml:space="preserve"> (</w:t>
      </w:r>
      <w:proofErr w:type="spellStart"/>
      <w:r w:rsidRPr="00EE6416">
        <w:t>Cth</w:t>
      </w:r>
      <w:proofErr w:type="spellEnd"/>
      <w:r w:rsidRPr="00EE6416">
        <w:t>)</w:t>
      </w:r>
    </w:p>
    <w:p w:rsidR="00EE6416" w:rsidRPr="00EE6416" w:rsidRDefault="00EE6416" w:rsidP="006B09A6"/>
    <w:p w:rsidR="00EE6416" w:rsidRPr="00EE6416" w:rsidRDefault="00EE6416" w:rsidP="00EE6416">
      <w:pPr>
        <w:pStyle w:val="FootnoteText"/>
      </w:pPr>
      <w:r w:rsidRPr="00EE6416">
        <w:rPr>
          <w:i/>
        </w:rPr>
        <w:t>Privacy Amendment</w:t>
      </w:r>
      <w:r w:rsidRPr="00EE6416">
        <w:t xml:space="preserve"> </w:t>
      </w:r>
      <w:r w:rsidRPr="00146913">
        <w:rPr>
          <w:i/>
        </w:rPr>
        <w:t>(Enhancing Privacy Protection) Act 2012</w:t>
      </w:r>
      <w:r w:rsidRPr="00EE6416">
        <w:t xml:space="preserve"> (</w:t>
      </w:r>
      <w:proofErr w:type="spellStart"/>
      <w:r w:rsidRPr="00EE6416">
        <w:t>Cth</w:t>
      </w:r>
      <w:proofErr w:type="spellEnd"/>
      <w:r w:rsidRPr="00EE6416">
        <w:t>)</w:t>
      </w:r>
    </w:p>
    <w:p w:rsidR="006B09A6" w:rsidRPr="00EE6416" w:rsidRDefault="006B09A6" w:rsidP="00DD5401"/>
    <w:p w:rsidR="00DD5401" w:rsidRPr="00EE6416" w:rsidRDefault="00DD5401" w:rsidP="00DD5401"/>
    <w:p w:rsidR="00DD5401" w:rsidRPr="00EE6416" w:rsidRDefault="00DD5401" w:rsidP="00DD5401">
      <w:pPr>
        <w:rPr>
          <w:b/>
        </w:rPr>
      </w:pPr>
      <w:r w:rsidRPr="00EE6416">
        <w:rPr>
          <w:b/>
        </w:rPr>
        <w:t>Cases</w:t>
      </w:r>
    </w:p>
    <w:p w:rsidR="006B09A6" w:rsidRPr="00EE6416" w:rsidRDefault="006B09A6" w:rsidP="006B09A6">
      <w:pPr>
        <w:rPr>
          <w:rFonts w:cs="Times New Roman"/>
          <w:i/>
          <w:iCs/>
        </w:rPr>
      </w:pPr>
    </w:p>
    <w:p w:rsidR="00EE6416" w:rsidRPr="00EE6416" w:rsidRDefault="00EE6416" w:rsidP="00EE6416">
      <w:r w:rsidRPr="00EE6416">
        <w:rPr>
          <w:i/>
        </w:rPr>
        <w:t>Carroll v Carroll</w:t>
      </w:r>
      <w:r w:rsidRPr="00EE6416">
        <w:t xml:space="preserve"> [1999] 4IR</w:t>
      </w:r>
    </w:p>
    <w:p w:rsidR="00EE6416" w:rsidRPr="00EE6416" w:rsidRDefault="00EE6416" w:rsidP="006B09A6">
      <w:pPr>
        <w:rPr>
          <w:rFonts w:cs="Times New Roman"/>
          <w:i/>
          <w:iCs/>
        </w:rPr>
      </w:pPr>
    </w:p>
    <w:p w:rsidR="006B09A6" w:rsidRPr="00EE6416" w:rsidRDefault="006B09A6" w:rsidP="006B09A6">
      <w:pPr>
        <w:rPr>
          <w:rFonts w:cs="Times New Roman"/>
          <w:iCs/>
        </w:rPr>
      </w:pPr>
      <w:proofErr w:type="gramStart"/>
      <w:r w:rsidRPr="00EE6416">
        <w:rPr>
          <w:rFonts w:cs="Times New Roman"/>
          <w:i/>
          <w:iCs/>
        </w:rPr>
        <w:t xml:space="preserve">Finding v Commonwealth Bank of Australia </w:t>
      </w:r>
      <w:r w:rsidRPr="00EE6416">
        <w:rPr>
          <w:rFonts w:cs="Times New Roman"/>
          <w:iCs/>
        </w:rPr>
        <w:t>[2001] 1 Qd R 168.</w:t>
      </w:r>
      <w:proofErr w:type="gramEnd"/>
      <w:r w:rsidRPr="00EE6416">
        <w:rPr>
          <w:rFonts w:cs="Times New Roman"/>
          <w:iCs/>
        </w:rPr>
        <w:t xml:space="preserve"> </w:t>
      </w:r>
    </w:p>
    <w:p w:rsidR="00505EAC" w:rsidRPr="00EE6416" w:rsidRDefault="00505EAC" w:rsidP="006B09A6">
      <w:pPr>
        <w:rPr>
          <w:rFonts w:cs="Times New Roman"/>
          <w:iCs/>
        </w:rPr>
      </w:pPr>
    </w:p>
    <w:p w:rsidR="00EE6416" w:rsidRPr="00EE6416" w:rsidRDefault="00EE6416" w:rsidP="006B09A6">
      <w:proofErr w:type="gramStart"/>
      <w:r w:rsidRPr="00EE6416">
        <w:rPr>
          <w:i/>
        </w:rPr>
        <w:t xml:space="preserve">Gorman v </w:t>
      </w:r>
      <w:proofErr w:type="spellStart"/>
      <w:r w:rsidRPr="00EE6416">
        <w:rPr>
          <w:i/>
        </w:rPr>
        <w:t>Karnale</w:t>
      </w:r>
      <w:proofErr w:type="spellEnd"/>
      <w:r w:rsidRPr="00EE6416">
        <w:rPr>
          <w:i/>
        </w:rPr>
        <w:t xml:space="preserve"> and Lloyd’s Bank</w:t>
      </w:r>
      <w:r w:rsidRPr="00EE6416">
        <w:t xml:space="preserve"> [1991] 2 AC 548.</w:t>
      </w:r>
      <w:proofErr w:type="gramEnd"/>
    </w:p>
    <w:p w:rsidR="00EE6416" w:rsidRPr="00EE6416" w:rsidRDefault="00EE6416" w:rsidP="006B09A6">
      <w:pPr>
        <w:rPr>
          <w:rFonts w:cs="Times New Roman"/>
          <w:iCs/>
        </w:rPr>
      </w:pPr>
    </w:p>
    <w:p w:rsidR="00EE6416" w:rsidRPr="00EE6416" w:rsidRDefault="00EE6416" w:rsidP="00EE6416">
      <w:proofErr w:type="gramStart"/>
      <w:r w:rsidRPr="00EE6416">
        <w:rPr>
          <w:i/>
        </w:rPr>
        <w:t xml:space="preserve">Macmillan Inc v </w:t>
      </w:r>
      <w:proofErr w:type="spellStart"/>
      <w:r w:rsidRPr="00EE6416">
        <w:rPr>
          <w:i/>
        </w:rPr>
        <w:t>Bishopgate</w:t>
      </w:r>
      <w:proofErr w:type="spellEnd"/>
      <w:r w:rsidRPr="00EE6416">
        <w:rPr>
          <w:i/>
        </w:rPr>
        <w:t xml:space="preserve"> Investment Trust plc (No 3)</w:t>
      </w:r>
      <w:r w:rsidRPr="00EE6416">
        <w:t xml:space="preserve"> [1995] 1 WLR 978.</w:t>
      </w:r>
      <w:proofErr w:type="gramEnd"/>
    </w:p>
    <w:p w:rsidR="00EE6416" w:rsidRPr="00EE6416" w:rsidRDefault="00EE6416" w:rsidP="006B09A6">
      <w:pPr>
        <w:rPr>
          <w:rFonts w:cs="Times New Roman"/>
          <w:i/>
          <w:lang w:val="en-US"/>
        </w:rPr>
      </w:pPr>
    </w:p>
    <w:p w:rsidR="00505EAC" w:rsidRPr="00EE6416" w:rsidRDefault="00505EAC" w:rsidP="006B09A6">
      <w:proofErr w:type="spellStart"/>
      <w:proofErr w:type="gramStart"/>
      <w:r w:rsidRPr="00EE6416">
        <w:rPr>
          <w:rFonts w:cs="Times New Roman"/>
          <w:i/>
          <w:lang w:val="en-US"/>
        </w:rPr>
        <w:t>Seager</w:t>
      </w:r>
      <w:proofErr w:type="spellEnd"/>
      <w:r w:rsidRPr="00EE6416">
        <w:rPr>
          <w:rFonts w:cs="Times New Roman"/>
          <w:i/>
          <w:lang w:val="en-US"/>
        </w:rPr>
        <w:t xml:space="preserve"> v </w:t>
      </w:r>
      <w:proofErr w:type="spellStart"/>
      <w:r w:rsidRPr="00EE6416">
        <w:rPr>
          <w:rFonts w:cs="Times New Roman"/>
          <w:i/>
          <w:lang w:val="en-US"/>
        </w:rPr>
        <w:t>Copudex</w:t>
      </w:r>
      <w:proofErr w:type="spellEnd"/>
      <w:r w:rsidRPr="00EE6416">
        <w:rPr>
          <w:rFonts w:cs="Times New Roman"/>
          <w:i/>
          <w:lang w:val="en-US"/>
        </w:rPr>
        <w:t xml:space="preserve"> Ltd</w:t>
      </w:r>
      <w:r w:rsidRPr="00EE6416">
        <w:rPr>
          <w:rFonts w:cs="Times New Roman"/>
          <w:lang w:val="en-US"/>
        </w:rPr>
        <w:t xml:space="preserve"> [1967] 1 WLR 923.</w:t>
      </w:r>
      <w:proofErr w:type="gramEnd"/>
    </w:p>
    <w:p w:rsidR="006B09A6" w:rsidRPr="00EE6416" w:rsidRDefault="006B09A6" w:rsidP="00DD5401">
      <w:pPr>
        <w:rPr>
          <w:b/>
        </w:rPr>
      </w:pPr>
    </w:p>
    <w:p w:rsidR="00505EAC" w:rsidRPr="00EE6416" w:rsidRDefault="00505EAC" w:rsidP="00505EAC">
      <w:pPr>
        <w:rPr>
          <w:rFonts w:cs="Times New Roman"/>
          <w:iCs/>
        </w:rPr>
      </w:pPr>
      <w:proofErr w:type="spellStart"/>
      <w:r w:rsidRPr="00EE6416">
        <w:rPr>
          <w:rFonts w:cs="Times New Roman"/>
          <w:i/>
          <w:iCs/>
        </w:rPr>
        <w:t>Timms</w:t>
      </w:r>
      <w:proofErr w:type="spellEnd"/>
      <w:r w:rsidRPr="00EE6416">
        <w:rPr>
          <w:rFonts w:cs="Times New Roman"/>
          <w:i/>
          <w:iCs/>
        </w:rPr>
        <w:t xml:space="preserve"> v Commonwealth Bank of Australia </w:t>
      </w:r>
      <w:r w:rsidRPr="00EE6416">
        <w:rPr>
          <w:rFonts w:cs="Times New Roman"/>
          <w:iCs/>
        </w:rPr>
        <w:t>[2004] NSWSC 76.</w:t>
      </w:r>
    </w:p>
    <w:p w:rsidR="00505EAC" w:rsidRPr="00EE6416" w:rsidRDefault="00505EAC" w:rsidP="00DD5401">
      <w:pPr>
        <w:rPr>
          <w:b/>
        </w:rPr>
      </w:pPr>
    </w:p>
    <w:p w:rsidR="00DD5401" w:rsidRPr="00EE6416" w:rsidRDefault="00DD5401" w:rsidP="00DD5401"/>
    <w:p w:rsidR="00DD5401" w:rsidRPr="00EE6416" w:rsidRDefault="00DD5401" w:rsidP="00DD5401">
      <w:pPr>
        <w:rPr>
          <w:b/>
        </w:rPr>
      </w:pPr>
      <w:r w:rsidRPr="00EE6416">
        <w:rPr>
          <w:b/>
        </w:rPr>
        <w:t xml:space="preserve">Secondary Sources </w:t>
      </w:r>
    </w:p>
    <w:p w:rsidR="00DD5401" w:rsidRPr="00EE6416" w:rsidRDefault="00DD5401" w:rsidP="00A47D45"/>
    <w:p w:rsidR="00EE6416" w:rsidRPr="00EE6416" w:rsidRDefault="00EE6416" w:rsidP="00EE6416">
      <w:proofErr w:type="spellStart"/>
      <w:r w:rsidRPr="00EE6416">
        <w:rPr>
          <w:color w:val="000000"/>
          <w:shd w:val="clear" w:color="auto" w:fill="FFFFFF"/>
        </w:rPr>
        <w:t>Anetzberger</w:t>
      </w:r>
      <w:proofErr w:type="spellEnd"/>
      <w:r w:rsidRPr="00EE6416">
        <w:rPr>
          <w:color w:val="000000"/>
          <w:shd w:val="clear" w:color="auto" w:fill="FFFFFF"/>
        </w:rPr>
        <w:t>, G. (2004).</w:t>
      </w:r>
      <w:r w:rsidRPr="00EE6416">
        <w:rPr>
          <w:rStyle w:val="apple-converted-space"/>
          <w:rFonts w:cs="Arial"/>
          <w:color w:val="000000"/>
          <w:shd w:val="clear" w:color="auto" w:fill="FFFFFF"/>
        </w:rPr>
        <w:t> </w:t>
      </w:r>
      <w:proofErr w:type="gramStart"/>
      <w:r w:rsidRPr="00EE6416">
        <w:rPr>
          <w:rStyle w:val="Emphasis"/>
          <w:rFonts w:cs="Arial"/>
          <w:color w:val="000000"/>
          <w:shd w:val="clear" w:color="auto" w:fill="FFFFFF"/>
        </w:rPr>
        <w:t>The Clinical Management of Elder Abuse.</w:t>
      </w:r>
      <w:proofErr w:type="gramEnd"/>
      <w:r w:rsidRPr="00EE6416">
        <w:rPr>
          <w:rStyle w:val="apple-converted-space"/>
          <w:rFonts w:cs="Arial"/>
          <w:i/>
          <w:iCs/>
          <w:color w:val="000000"/>
          <w:shd w:val="clear" w:color="auto" w:fill="FFFFFF"/>
        </w:rPr>
        <w:t> </w:t>
      </w:r>
      <w:r w:rsidRPr="00EE6416">
        <w:rPr>
          <w:color w:val="000000"/>
          <w:shd w:val="clear" w:color="auto" w:fill="FFFFFF"/>
        </w:rPr>
        <w:t>New York, NY: Hawthorne Press.</w:t>
      </w:r>
    </w:p>
    <w:p w:rsidR="00EE6416" w:rsidRPr="00146913" w:rsidRDefault="00146913" w:rsidP="00EE6416">
      <w:pPr>
        <w:rPr>
          <w:rFonts w:cs="Times New Roman"/>
        </w:rPr>
      </w:pPr>
      <w:r w:rsidRPr="00146913">
        <w:rPr>
          <w:rFonts w:cs="Times New Roman"/>
        </w:rPr>
        <w:lastRenderedPageBreak/>
        <w:t xml:space="preserve">Australian Securities and Investments Commission, ASIC’s </w:t>
      </w:r>
      <w:proofErr w:type="spellStart"/>
      <w:proofErr w:type="gramStart"/>
      <w:r w:rsidRPr="00146913">
        <w:rPr>
          <w:rFonts w:cs="Times New Roman"/>
          <w:i/>
        </w:rPr>
        <w:t>MoneySmart</w:t>
      </w:r>
      <w:proofErr w:type="spellEnd"/>
      <w:r w:rsidRPr="00146913">
        <w:rPr>
          <w:rFonts w:cs="Times New Roman"/>
          <w:i/>
        </w:rPr>
        <w:t xml:space="preserve"> ,</w:t>
      </w:r>
      <w:proofErr w:type="gramEnd"/>
      <w:r w:rsidRPr="00146913">
        <w:rPr>
          <w:rFonts w:cs="Times New Roman"/>
        </w:rPr>
        <w:t xml:space="preserve"> (viewed 20/06/2016)</w:t>
      </w:r>
      <w:r w:rsidRPr="00146913">
        <w:rPr>
          <w:rFonts w:cs="Times New Roman"/>
          <w:i/>
        </w:rPr>
        <w:t xml:space="preserve"> </w:t>
      </w:r>
      <w:hyperlink r:id="rId9" w:history="1">
        <w:r w:rsidRPr="00146913">
          <w:rPr>
            <w:rStyle w:val="Hyperlink"/>
            <w:rFonts w:cs="Times New Roman"/>
          </w:rPr>
          <w:t>https://www.moneysmart.gov.au</w:t>
        </w:r>
      </w:hyperlink>
      <w:r w:rsidRPr="00146913">
        <w:rPr>
          <w:rFonts w:cs="Times New Roman"/>
        </w:rPr>
        <w:t>.</w:t>
      </w:r>
    </w:p>
    <w:p w:rsidR="00146913" w:rsidRPr="00EE6416" w:rsidRDefault="00146913" w:rsidP="00EE6416"/>
    <w:p w:rsidR="00EE6416" w:rsidRPr="00EE6416" w:rsidRDefault="00EE6416" w:rsidP="00EE6416">
      <w:pPr>
        <w:pStyle w:val="FootnoteText"/>
      </w:pPr>
      <w:r w:rsidRPr="00EE6416">
        <w:t xml:space="preserve">Californian Government, </w:t>
      </w:r>
      <w:r w:rsidRPr="00EE6416">
        <w:rPr>
          <w:i/>
        </w:rPr>
        <w:t>Manual of Policies &amp; Procedures</w:t>
      </w:r>
      <w:r w:rsidRPr="00EE6416">
        <w:t xml:space="preserve"> – State of California Health and Services Agency: Department of Social Services 2001-2016.</w:t>
      </w:r>
    </w:p>
    <w:p w:rsidR="00EE6416" w:rsidRPr="00EE6416" w:rsidRDefault="00EE6416" w:rsidP="00EB0DA6"/>
    <w:p w:rsidR="00EE6416" w:rsidRPr="00EE6416" w:rsidRDefault="00EE6416" w:rsidP="00EE6416">
      <w:pPr>
        <w:pStyle w:val="FootnoteText"/>
      </w:pPr>
      <w:r w:rsidRPr="00EE6416">
        <w:t xml:space="preserve">Canadian Government, </w:t>
      </w:r>
      <w:proofErr w:type="gramStart"/>
      <w:r w:rsidRPr="00EE6416">
        <w:rPr>
          <w:i/>
        </w:rPr>
        <w:t>A</w:t>
      </w:r>
      <w:proofErr w:type="gramEnd"/>
      <w:r w:rsidRPr="00EE6416">
        <w:rPr>
          <w:i/>
        </w:rPr>
        <w:t xml:space="preserve"> Practical Guide to Elder Abuse &amp; Neglect Law in Canada</w:t>
      </w:r>
      <w:r w:rsidRPr="00EE6416">
        <w:t>- Canadian Centre for Elder Abuse 2011: University of British Columbia 2011</w:t>
      </w:r>
    </w:p>
    <w:p w:rsidR="00EE6416" w:rsidRPr="00EE6416" w:rsidRDefault="00EE6416" w:rsidP="00EB0DA6"/>
    <w:p w:rsidR="00EB0DA6" w:rsidRPr="00EE6416" w:rsidRDefault="00EB0DA6" w:rsidP="00EB0DA6">
      <w:r w:rsidRPr="00EE6416">
        <w:t xml:space="preserve">Donovan R, </w:t>
      </w:r>
      <w:proofErr w:type="spellStart"/>
      <w:r w:rsidRPr="00EE6416">
        <w:t>Vlais</w:t>
      </w:r>
      <w:proofErr w:type="spellEnd"/>
      <w:r w:rsidRPr="00EE6416">
        <w:t xml:space="preserve"> R, ‘</w:t>
      </w:r>
      <w:proofErr w:type="spellStart"/>
      <w:r w:rsidRPr="00EE6416">
        <w:t>VicHealth</w:t>
      </w:r>
      <w:proofErr w:type="spellEnd"/>
      <w:r w:rsidRPr="00EE6416">
        <w:t xml:space="preserve"> Review of Communication Components of Social Marketing/Public Education Campaigns Focused on Violence </w:t>
      </w:r>
      <w:proofErr w:type="gramStart"/>
      <w:r w:rsidRPr="00EE6416">
        <w:t>Against</w:t>
      </w:r>
      <w:proofErr w:type="gramEnd"/>
      <w:r w:rsidRPr="00EE6416">
        <w:t xml:space="preserve"> Women’ (2005) </w:t>
      </w:r>
      <w:r w:rsidRPr="00EE6416">
        <w:rPr>
          <w:i/>
        </w:rPr>
        <w:t>Victorian Health Promotion Foundation.</w:t>
      </w:r>
      <w:r w:rsidRPr="00EE6416">
        <w:t xml:space="preserve"> </w:t>
      </w:r>
    </w:p>
    <w:p w:rsidR="00EB0DA6" w:rsidRPr="00EE6416" w:rsidRDefault="00EB0DA6" w:rsidP="006B09A6">
      <w:pPr>
        <w:rPr>
          <w:rFonts w:cs="Times New Roman"/>
        </w:rPr>
      </w:pPr>
    </w:p>
    <w:p w:rsidR="006B09A6" w:rsidRPr="00EE6416" w:rsidRDefault="006B09A6" w:rsidP="006B09A6">
      <w:pPr>
        <w:rPr>
          <w:rFonts w:cs="Times New Roman"/>
        </w:rPr>
      </w:pPr>
      <w:proofErr w:type="gramStart"/>
      <w:r w:rsidRPr="00EE6416">
        <w:rPr>
          <w:rFonts w:cs="Times New Roman"/>
        </w:rPr>
        <w:t xml:space="preserve">Financial Ombudsman Service, Parliament of Australia, </w:t>
      </w:r>
      <w:r w:rsidRPr="00EE6416">
        <w:rPr>
          <w:rFonts w:cs="Times New Roman"/>
          <w:i/>
          <w:iCs/>
        </w:rPr>
        <w:t>Banking &amp; Finance Bulletin</w:t>
      </w:r>
      <w:r w:rsidR="00146913">
        <w:rPr>
          <w:rFonts w:cs="Times New Roman"/>
          <w:i/>
          <w:iCs/>
        </w:rPr>
        <w:t xml:space="preserve"> 56</w:t>
      </w:r>
      <w:r w:rsidRPr="00EE6416">
        <w:rPr>
          <w:rFonts w:cs="Times New Roman"/>
          <w:i/>
          <w:iCs/>
        </w:rPr>
        <w:t xml:space="preserve"> </w:t>
      </w:r>
      <w:r w:rsidR="00146913">
        <w:rPr>
          <w:rFonts w:cs="Times New Roman"/>
        </w:rPr>
        <w:t>(2007)</w:t>
      </w:r>
      <w:r w:rsidRPr="00EE6416">
        <w:rPr>
          <w:rFonts w:cs="Times New Roman"/>
        </w:rPr>
        <w:t>.</w:t>
      </w:r>
      <w:proofErr w:type="gramEnd"/>
    </w:p>
    <w:p w:rsidR="006B09A6" w:rsidRPr="00EE6416" w:rsidRDefault="006B09A6" w:rsidP="006B09A6">
      <w:pPr>
        <w:rPr>
          <w:rFonts w:cs="Times New Roman"/>
        </w:rPr>
      </w:pPr>
    </w:p>
    <w:p w:rsidR="00EE6416" w:rsidRPr="00EE6416" w:rsidRDefault="00EE6416" w:rsidP="00EE6416">
      <w:pPr>
        <w:pStyle w:val="FootnoteText"/>
      </w:pPr>
      <w:r w:rsidRPr="00EE6416">
        <w:rPr>
          <w:shd w:val="clear" w:color="auto" w:fill="FFFFFF"/>
        </w:rPr>
        <w:t xml:space="preserve">George </w:t>
      </w:r>
      <w:proofErr w:type="spellStart"/>
      <w:r w:rsidRPr="00EE6416">
        <w:rPr>
          <w:shd w:val="clear" w:color="auto" w:fill="FFFFFF"/>
        </w:rPr>
        <w:t>Huba</w:t>
      </w:r>
      <w:proofErr w:type="spellEnd"/>
      <w:r w:rsidRPr="00EE6416">
        <w:rPr>
          <w:shd w:val="clear" w:color="auto" w:fill="FFFFFF"/>
        </w:rPr>
        <w:t xml:space="preserve"> &amp; Lisa Melchior, </w:t>
      </w:r>
      <w:r w:rsidRPr="00EE6416">
        <w:rPr>
          <w:i/>
          <w:shd w:val="clear" w:color="auto" w:fill="FFFFFF"/>
        </w:rPr>
        <w:t xml:space="preserve">The </w:t>
      </w:r>
      <w:proofErr w:type="spellStart"/>
      <w:r w:rsidRPr="00EE6416">
        <w:rPr>
          <w:i/>
          <w:shd w:val="clear" w:color="auto" w:fill="FFFFFF"/>
        </w:rPr>
        <w:t>Archstone</w:t>
      </w:r>
      <w:proofErr w:type="spellEnd"/>
      <w:r w:rsidRPr="00EE6416">
        <w:rPr>
          <w:i/>
          <w:shd w:val="clear" w:color="auto" w:fill="FFFFFF"/>
        </w:rPr>
        <w:t xml:space="preserve"> Foundation: Elder Abuse &amp; Neglect Initiate Evaluation of Phase 1 &amp; 2</w:t>
      </w:r>
      <w:r w:rsidRPr="00EE6416">
        <w:rPr>
          <w:shd w:val="clear" w:color="auto" w:fill="FFFFFF"/>
        </w:rPr>
        <w:t>: Measurement Group 2011.</w:t>
      </w:r>
    </w:p>
    <w:p w:rsidR="00EE6416" w:rsidRPr="00EE6416" w:rsidRDefault="00EE6416" w:rsidP="006B09A6">
      <w:pPr>
        <w:rPr>
          <w:rFonts w:cs="Times New Roman"/>
        </w:rPr>
      </w:pPr>
    </w:p>
    <w:p w:rsidR="00EE6416" w:rsidRPr="00EE6416" w:rsidRDefault="00EE6416" w:rsidP="00EE6416">
      <w:r w:rsidRPr="00EE6416">
        <w:t xml:space="preserve">Goldstein MZ. </w:t>
      </w:r>
      <w:proofErr w:type="gramStart"/>
      <w:r w:rsidRPr="00EE6416">
        <w:t>Maltreatment of elderly persons.</w:t>
      </w:r>
      <w:proofErr w:type="gramEnd"/>
      <w:r w:rsidRPr="00EE6416">
        <w:t xml:space="preserve"> </w:t>
      </w:r>
      <w:proofErr w:type="gramStart"/>
      <w:r w:rsidRPr="00EE6416">
        <w:t>Psychiatry Serve 1995; 46:1219-1225.</w:t>
      </w:r>
      <w:proofErr w:type="gramEnd"/>
    </w:p>
    <w:p w:rsidR="00EE6416" w:rsidRPr="00EE6416" w:rsidRDefault="00EE6416" w:rsidP="006B09A6">
      <w:pPr>
        <w:rPr>
          <w:rFonts w:cs="Times New Roman"/>
        </w:rPr>
      </w:pPr>
    </w:p>
    <w:p w:rsidR="006B09A6" w:rsidRPr="00EE6416" w:rsidRDefault="006B09A6" w:rsidP="006B09A6">
      <w:pPr>
        <w:rPr>
          <w:rFonts w:cs="Times New Roman"/>
        </w:rPr>
      </w:pPr>
      <w:r w:rsidRPr="00EE6416">
        <w:rPr>
          <w:rFonts w:cs="Times New Roman"/>
        </w:rPr>
        <w:t xml:space="preserve">Government of Canada (2014) </w:t>
      </w:r>
      <w:r w:rsidRPr="00EE6416">
        <w:rPr>
          <w:rFonts w:cs="Times New Roman"/>
          <w:i/>
          <w:iCs/>
        </w:rPr>
        <w:t>Action for Seniors Report</w:t>
      </w:r>
      <w:r w:rsidRPr="00EE6416">
        <w:rPr>
          <w:rFonts w:cs="Times New Roman"/>
        </w:rPr>
        <w:t xml:space="preserve"> </w:t>
      </w:r>
      <w:proofErr w:type="gramStart"/>
      <w:r w:rsidRPr="00EE6416">
        <w:rPr>
          <w:rFonts w:cs="Times New Roman"/>
        </w:rPr>
        <w:t>Retrieved</w:t>
      </w:r>
      <w:proofErr w:type="gramEnd"/>
      <w:r w:rsidRPr="00EE6416">
        <w:rPr>
          <w:rFonts w:cs="Times New Roman"/>
        </w:rPr>
        <w:t xml:space="preserve"> from </w:t>
      </w:r>
      <w:hyperlink r:id="rId10" w:history="1">
        <w:r w:rsidRPr="00EE6416">
          <w:rPr>
            <w:rStyle w:val="Hyperlink"/>
            <w:rFonts w:cs="Times New Roman"/>
          </w:rPr>
          <w:t>www.seniors.gc.ca/eng/report/index.shtml</w:t>
        </w:r>
      </w:hyperlink>
    </w:p>
    <w:p w:rsidR="006B09A6" w:rsidRPr="00EE6416" w:rsidRDefault="006B09A6" w:rsidP="006B09A6">
      <w:pPr>
        <w:rPr>
          <w:rFonts w:cs="Times New Roman"/>
        </w:rPr>
      </w:pPr>
    </w:p>
    <w:p w:rsidR="00146913" w:rsidRDefault="00146913" w:rsidP="006B09A6">
      <w:pPr>
        <w:rPr>
          <w:rFonts w:cs="Times New Roman"/>
        </w:rPr>
      </w:pPr>
      <w:proofErr w:type="gramStart"/>
      <w:r w:rsidRPr="002F6993">
        <w:rPr>
          <w:rFonts w:cs="Times New Roman"/>
        </w:rPr>
        <w:t xml:space="preserve">House of Representatives Committee, (2010), </w:t>
      </w:r>
      <w:r w:rsidRPr="002F6993">
        <w:rPr>
          <w:rFonts w:cs="Times New Roman"/>
          <w:i/>
        </w:rPr>
        <w:t xml:space="preserve">Fraud and Financial Abuse, </w:t>
      </w:r>
      <w:r w:rsidRPr="002F6993">
        <w:rPr>
          <w:rFonts w:cs="Times New Roman"/>
        </w:rPr>
        <w:t>Parliament of the Commonwealth of Australia</w:t>
      </w:r>
      <w:r>
        <w:rPr>
          <w:rFonts w:cs="Times New Roman"/>
        </w:rPr>
        <w:t>.</w:t>
      </w:r>
      <w:proofErr w:type="gramEnd"/>
    </w:p>
    <w:p w:rsidR="00146913" w:rsidRDefault="00146913" w:rsidP="006B09A6">
      <w:pPr>
        <w:rPr>
          <w:rFonts w:cs="Times New Roman"/>
        </w:rPr>
      </w:pPr>
    </w:p>
    <w:p w:rsidR="006B09A6" w:rsidRPr="00EE6416" w:rsidRDefault="006B09A6" w:rsidP="006B09A6">
      <w:pPr>
        <w:rPr>
          <w:rFonts w:cs="Times New Roman"/>
        </w:rPr>
      </w:pPr>
      <w:r w:rsidRPr="00EE6416">
        <w:rPr>
          <w:rFonts w:cs="Times New Roman"/>
        </w:rPr>
        <w:t xml:space="preserve">House of Representatives Standing Committee on Legal and Constitutional Affairs, Parliament of Australia, </w:t>
      </w:r>
      <w:r w:rsidRPr="00EE6416">
        <w:rPr>
          <w:rFonts w:cs="Times New Roman"/>
          <w:i/>
          <w:iCs/>
        </w:rPr>
        <w:t xml:space="preserve">Older people and the law </w:t>
      </w:r>
      <w:r w:rsidRPr="00EE6416">
        <w:rPr>
          <w:rFonts w:cs="Times New Roman"/>
        </w:rPr>
        <w:t>(2007).</w:t>
      </w:r>
    </w:p>
    <w:p w:rsidR="006B09A6" w:rsidRPr="00EE6416" w:rsidRDefault="006B09A6" w:rsidP="006B09A6">
      <w:pPr>
        <w:rPr>
          <w:rFonts w:cs="Times New Roman"/>
        </w:rPr>
      </w:pPr>
    </w:p>
    <w:p w:rsidR="006B09A6" w:rsidRDefault="006B09A6" w:rsidP="006B09A6">
      <w:pPr>
        <w:rPr>
          <w:rFonts w:cs="Times New Roman"/>
        </w:rPr>
      </w:pPr>
      <w:proofErr w:type="spellStart"/>
      <w:r w:rsidRPr="00EE6416">
        <w:rPr>
          <w:rFonts w:cs="Times New Roman"/>
        </w:rPr>
        <w:t>Kaspiew</w:t>
      </w:r>
      <w:proofErr w:type="spellEnd"/>
      <w:r w:rsidRPr="00EE6416">
        <w:rPr>
          <w:rFonts w:cs="Times New Roman"/>
        </w:rPr>
        <w:t xml:space="preserve"> et al, ‘Elder Abuse: Understanding issues, frameworks and responses’ (Research Paper No 35, Australian Institute of Family Studies, Parliament of Australia, 2016). </w:t>
      </w:r>
    </w:p>
    <w:p w:rsidR="00146913" w:rsidRDefault="00146913" w:rsidP="006B09A6">
      <w:pPr>
        <w:rPr>
          <w:rFonts w:cs="Times New Roman"/>
        </w:rPr>
      </w:pPr>
    </w:p>
    <w:p w:rsidR="00146913" w:rsidRPr="00EE6416" w:rsidRDefault="00146913" w:rsidP="00146913">
      <w:pPr>
        <w:pStyle w:val="FootnoteText"/>
        <w:rPr>
          <w:rFonts w:cs="Times New Roman"/>
        </w:rPr>
      </w:pPr>
      <w:r w:rsidRPr="002F6993">
        <w:rPr>
          <w:rFonts w:cs="Times New Roman"/>
        </w:rPr>
        <w:t xml:space="preserve">Kyle, Louise, 2013. </w:t>
      </w:r>
      <w:proofErr w:type="gramStart"/>
      <w:r w:rsidRPr="002F6993">
        <w:rPr>
          <w:rFonts w:cs="Times New Roman"/>
        </w:rPr>
        <w:t xml:space="preserve">‘Out of the Shadows – A Discussion on Law Reform for the Prevention of Financial Abuse of Older People’, 7 </w:t>
      </w:r>
      <w:r w:rsidRPr="002F6993">
        <w:rPr>
          <w:rFonts w:cs="Times New Roman"/>
          <w:i/>
        </w:rPr>
        <w:t>Elder Law Review</w:t>
      </w:r>
      <w:r w:rsidRPr="002F6993">
        <w:rPr>
          <w:rFonts w:cs="Times New Roman"/>
        </w:rPr>
        <w:t>.</w:t>
      </w:r>
      <w:proofErr w:type="gramEnd"/>
      <w:r w:rsidRPr="002F6993">
        <w:rPr>
          <w:rFonts w:cs="Times New Roman"/>
        </w:rPr>
        <w:t xml:space="preserve"> </w:t>
      </w:r>
    </w:p>
    <w:p w:rsidR="00EE6416" w:rsidRPr="00EE6416" w:rsidRDefault="00EE6416" w:rsidP="00EE6416">
      <w:pPr>
        <w:pStyle w:val="FootnoteText"/>
      </w:pPr>
    </w:p>
    <w:p w:rsidR="00EE6416" w:rsidRPr="00EE6416" w:rsidRDefault="00EE6416" w:rsidP="00EE6416">
      <w:pPr>
        <w:pStyle w:val="FootnoteText"/>
      </w:pPr>
      <w:r w:rsidRPr="00EE6416">
        <w:t xml:space="preserve">Leslie Callaway &amp; Jerry Becker, ABA Bank Compliance, </w:t>
      </w:r>
      <w:r w:rsidRPr="00EE6416">
        <w:rPr>
          <w:i/>
        </w:rPr>
        <w:t xml:space="preserve">Stopping Financial Abuse of </w:t>
      </w:r>
      <w:proofErr w:type="gramStart"/>
      <w:r w:rsidRPr="00EE6416">
        <w:rPr>
          <w:i/>
        </w:rPr>
        <w:t>Seniors</w:t>
      </w:r>
      <w:proofErr w:type="gramEnd"/>
      <w:r w:rsidRPr="00EE6416">
        <w:t xml:space="preserve"> (2011)1-17. </w:t>
      </w:r>
    </w:p>
    <w:p w:rsidR="00EE6416" w:rsidRPr="00EE6416" w:rsidRDefault="00EE6416" w:rsidP="006B09A6">
      <w:pPr>
        <w:rPr>
          <w:rFonts w:cs="Times New Roman"/>
        </w:rPr>
      </w:pPr>
    </w:p>
    <w:p w:rsidR="006B09A6" w:rsidRPr="00EE6416" w:rsidRDefault="006B09A6" w:rsidP="006B09A6">
      <w:pPr>
        <w:pStyle w:val="FootnoteText"/>
        <w:rPr>
          <w:rFonts w:cs="Times New Roman"/>
        </w:rPr>
      </w:pPr>
      <w:r w:rsidRPr="00EE6416">
        <w:rPr>
          <w:rFonts w:cs="Times New Roman"/>
        </w:rPr>
        <w:t xml:space="preserve">Loddon Campaspe Community Legal Centre, ‘Responding to the financial abuse of older people: Understanding the challenges faced by the banking and financial services sector’ (2008) </w:t>
      </w:r>
      <w:r w:rsidRPr="00EE6416">
        <w:rPr>
          <w:rFonts w:cs="Times New Roman"/>
          <w:i/>
        </w:rPr>
        <w:t>Advocacy &amp; Rights Centre Ltd</w:t>
      </w:r>
      <w:r w:rsidRPr="00EE6416">
        <w:rPr>
          <w:rFonts w:cs="Times New Roman"/>
        </w:rPr>
        <w:t xml:space="preserve">. </w:t>
      </w:r>
    </w:p>
    <w:p w:rsidR="006B09A6" w:rsidRPr="00EE6416" w:rsidRDefault="006B09A6" w:rsidP="006B09A6">
      <w:pPr>
        <w:rPr>
          <w:rFonts w:cs="Times New Roman"/>
        </w:rPr>
      </w:pPr>
    </w:p>
    <w:p w:rsidR="006B09A6" w:rsidRPr="00EE6416" w:rsidRDefault="006B09A6" w:rsidP="006B09A6">
      <w:pPr>
        <w:pStyle w:val="FootnoteText"/>
        <w:rPr>
          <w:rFonts w:cs="Times New Roman"/>
        </w:rPr>
      </w:pPr>
      <w:proofErr w:type="spellStart"/>
      <w:r w:rsidRPr="00EE6416">
        <w:rPr>
          <w:rFonts w:cs="Times New Roman"/>
        </w:rPr>
        <w:t>Lowndes</w:t>
      </w:r>
      <w:proofErr w:type="spellEnd"/>
      <w:r w:rsidRPr="00EE6416">
        <w:rPr>
          <w:rFonts w:cs="Times New Roman"/>
        </w:rPr>
        <w:t xml:space="preserve"> G, </w:t>
      </w:r>
      <w:proofErr w:type="spellStart"/>
      <w:r w:rsidRPr="00EE6416">
        <w:rPr>
          <w:rFonts w:cs="Times New Roman"/>
        </w:rPr>
        <w:t>Darzins</w:t>
      </w:r>
      <w:proofErr w:type="spellEnd"/>
      <w:r w:rsidRPr="00EE6416">
        <w:rPr>
          <w:rFonts w:cs="Times New Roman"/>
        </w:rPr>
        <w:t xml:space="preserve"> P, </w:t>
      </w:r>
      <w:proofErr w:type="spellStart"/>
      <w:r w:rsidRPr="00EE6416">
        <w:rPr>
          <w:rFonts w:cs="Times New Roman"/>
        </w:rPr>
        <w:t>Wainer</w:t>
      </w:r>
      <w:proofErr w:type="spellEnd"/>
      <w:r w:rsidRPr="00EE6416">
        <w:rPr>
          <w:rFonts w:cs="Times New Roman"/>
        </w:rPr>
        <w:t xml:space="preserve"> J, </w:t>
      </w:r>
      <w:proofErr w:type="spellStart"/>
      <w:r w:rsidRPr="00EE6416">
        <w:rPr>
          <w:rFonts w:cs="Times New Roman"/>
        </w:rPr>
        <w:t>Owada</w:t>
      </w:r>
      <w:proofErr w:type="spellEnd"/>
      <w:r w:rsidRPr="00EE6416">
        <w:rPr>
          <w:rFonts w:cs="Times New Roman"/>
        </w:rPr>
        <w:t xml:space="preserve"> K and </w:t>
      </w:r>
      <w:proofErr w:type="spellStart"/>
      <w:r w:rsidRPr="00EE6416">
        <w:rPr>
          <w:rFonts w:cs="Times New Roman"/>
        </w:rPr>
        <w:t>Mihaljcic</w:t>
      </w:r>
      <w:proofErr w:type="spellEnd"/>
      <w:r w:rsidRPr="00EE6416">
        <w:rPr>
          <w:rFonts w:cs="Times New Roman"/>
        </w:rPr>
        <w:t xml:space="preserve"> T, ‘Financial Abuse of elders: a review of the evidence’ (2009)</w:t>
      </w:r>
      <w:r w:rsidRPr="00EE6416">
        <w:rPr>
          <w:rFonts w:cs="Times New Roman"/>
          <w:i/>
        </w:rPr>
        <w:t>, Melbourne Monash University</w:t>
      </w:r>
      <w:r w:rsidRPr="00EE6416">
        <w:rPr>
          <w:rFonts w:cs="Times New Roman"/>
        </w:rPr>
        <w:t xml:space="preserve">.  </w:t>
      </w:r>
    </w:p>
    <w:p w:rsidR="006B09A6" w:rsidRPr="00EE6416" w:rsidRDefault="006B09A6" w:rsidP="006B09A6">
      <w:pPr>
        <w:rPr>
          <w:rFonts w:cs="Times New Roman"/>
        </w:rPr>
      </w:pPr>
    </w:p>
    <w:p w:rsidR="00EE6416" w:rsidRPr="00EE6416" w:rsidRDefault="00EE6416" w:rsidP="006B09A6">
      <w:pPr>
        <w:rPr>
          <w:rStyle w:val="apple-converted-space"/>
          <w:rFonts w:cs="Arial"/>
          <w:shd w:val="clear" w:color="auto" w:fill="FFFFFF"/>
        </w:rPr>
      </w:pPr>
      <w:r w:rsidRPr="00EE6416">
        <w:rPr>
          <w:color w:val="000000"/>
          <w:shd w:val="clear" w:color="auto" w:fill="FFFFFF"/>
        </w:rPr>
        <w:t xml:space="preserve">Mature Market Institute, The National Committee for the Prevention of Elder Abuse, The </w:t>
      </w:r>
      <w:proofErr w:type="spellStart"/>
      <w:r w:rsidRPr="00EE6416">
        <w:rPr>
          <w:color w:val="000000"/>
          <w:shd w:val="clear" w:color="auto" w:fill="FFFFFF"/>
        </w:rPr>
        <w:t>C</w:t>
      </w:r>
      <w:r w:rsidRPr="00EE6416">
        <w:rPr>
          <w:shd w:val="clear" w:color="auto" w:fill="FFFFFF"/>
        </w:rPr>
        <w:t>enter</w:t>
      </w:r>
      <w:proofErr w:type="spellEnd"/>
      <w:r w:rsidRPr="00EE6416">
        <w:rPr>
          <w:shd w:val="clear" w:color="auto" w:fill="FFFFFF"/>
        </w:rPr>
        <w:t xml:space="preserve"> for Gerontology at Virginia Polytechnic Institute and State University.</w:t>
      </w:r>
      <w:r w:rsidRPr="00EE6416">
        <w:rPr>
          <w:rStyle w:val="apple-converted-space"/>
          <w:rFonts w:cs="Arial"/>
          <w:shd w:val="clear" w:color="auto" w:fill="FFFFFF"/>
        </w:rPr>
        <w:t> </w:t>
      </w:r>
    </w:p>
    <w:p w:rsidR="00EE6416" w:rsidRPr="00EE6416" w:rsidRDefault="00EE6416" w:rsidP="006B09A6">
      <w:pPr>
        <w:rPr>
          <w:rFonts w:cs="Times New Roman"/>
        </w:rPr>
      </w:pPr>
    </w:p>
    <w:p w:rsidR="00EB0DA6" w:rsidRPr="00EE6416" w:rsidRDefault="00EB0DA6" w:rsidP="00EB0DA6">
      <w:pPr>
        <w:rPr>
          <w:rFonts w:cs="Arial"/>
          <w:shd w:val="clear" w:color="auto" w:fill="FFFFFF"/>
        </w:rPr>
      </w:pPr>
      <w:r w:rsidRPr="00EE6416">
        <w:rPr>
          <w:rFonts w:cs="Arial"/>
          <w:shd w:val="clear" w:color="auto" w:fill="FFFFFF"/>
        </w:rPr>
        <w:t xml:space="preserve">NSW Department of Premier and Cabinet, Parliament of NSW, </w:t>
      </w:r>
      <w:r w:rsidRPr="00EE6416">
        <w:rPr>
          <w:i/>
        </w:rPr>
        <w:t xml:space="preserve">Selected domestic and family violence prevention programs: An Evidence Check rapid review brokered by the Sax Institute </w:t>
      </w:r>
      <w:r w:rsidRPr="00EE6416">
        <w:t xml:space="preserve">(2008). </w:t>
      </w:r>
    </w:p>
    <w:p w:rsidR="00EB0DA6" w:rsidRPr="00EE6416" w:rsidRDefault="00EB0DA6" w:rsidP="006B09A6">
      <w:pPr>
        <w:rPr>
          <w:rFonts w:cs="Times New Roman"/>
          <w:lang w:val="en-US"/>
        </w:rPr>
      </w:pPr>
    </w:p>
    <w:p w:rsidR="00EE6416" w:rsidRPr="00EE6416" w:rsidRDefault="00EE6416" w:rsidP="00EE6416">
      <w:pPr>
        <w:pStyle w:val="FootnoteText"/>
      </w:pPr>
      <w:r w:rsidRPr="00EE6416">
        <w:t>Saskatchewan's Provincial Policy Framework and Action Plan/or Older Persons (May 2003), Saskatchewan Provincial Advisory Committee of Older Persons</w:t>
      </w:r>
    </w:p>
    <w:p w:rsidR="00EE6416" w:rsidRPr="00EE6416" w:rsidRDefault="00EE6416" w:rsidP="006B09A6">
      <w:pPr>
        <w:rPr>
          <w:rFonts w:cs="Times New Roman"/>
          <w:lang w:val="en-US"/>
        </w:rPr>
      </w:pPr>
    </w:p>
    <w:p w:rsidR="00EB0DA6" w:rsidRPr="00EE6416" w:rsidRDefault="00EB0DA6" w:rsidP="00EB0DA6">
      <w:proofErr w:type="spellStart"/>
      <w:r w:rsidRPr="00EE6416">
        <w:t>Scheepers</w:t>
      </w:r>
      <w:proofErr w:type="spellEnd"/>
      <w:r w:rsidRPr="00EE6416">
        <w:t xml:space="preserve"> E, </w:t>
      </w:r>
      <w:proofErr w:type="spellStart"/>
      <w:r w:rsidRPr="00EE6416">
        <w:t>Christofides</w:t>
      </w:r>
      <w:proofErr w:type="spellEnd"/>
      <w:r w:rsidRPr="00EE6416">
        <w:t xml:space="preserve"> NJ, Goldstein S, </w:t>
      </w:r>
      <w:proofErr w:type="spellStart"/>
      <w:r w:rsidRPr="00EE6416">
        <w:t>Usdin</w:t>
      </w:r>
      <w:proofErr w:type="spellEnd"/>
      <w:r w:rsidRPr="00EE6416">
        <w:t xml:space="preserve"> S, Patel DS, </w:t>
      </w:r>
      <w:proofErr w:type="spellStart"/>
      <w:r w:rsidRPr="00EE6416">
        <w:t>Japhet</w:t>
      </w:r>
      <w:proofErr w:type="spellEnd"/>
      <w:r w:rsidRPr="00EE6416">
        <w:t xml:space="preserve"> G, ‘Evaluating health communication - A holistic overview of the impact of Soul City IV’ (2004) 15 </w:t>
      </w:r>
      <w:r w:rsidRPr="00EE6416">
        <w:rPr>
          <w:i/>
        </w:rPr>
        <w:t xml:space="preserve">Health Promotion Journal of Australia, </w:t>
      </w:r>
      <w:r w:rsidRPr="00EE6416">
        <w:t xml:space="preserve">121. </w:t>
      </w:r>
    </w:p>
    <w:p w:rsidR="00EB0DA6" w:rsidRPr="00EE6416" w:rsidRDefault="00EB0DA6" w:rsidP="006B09A6">
      <w:pPr>
        <w:rPr>
          <w:rFonts w:cs="Times New Roman"/>
          <w:lang w:val="en-US"/>
        </w:rPr>
      </w:pPr>
    </w:p>
    <w:p w:rsidR="006B09A6" w:rsidRPr="00EE6416" w:rsidRDefault="006B09A6" w:rsidP="006B09A6">
      <w:pPr>
        <w:rPr>
          <w:rFonts w:cs="Times New Roman"/>
          <w:lang w:val="en-US"/>
        </w:rPr>
      </w:pPr>
      <w:r w:rsidRPr="00EE6416">
        <w:rPr>
          <w:rFonts w:cs="Times New Roman"/>
          <w:lang w:val="en-US"/>
        </w:rPr>
        <w:t xml:space="preserve">Terrie Lewis, ‘Fifty ways to exploit your grandmother: the status of financial abuse of the elderly in Minnesota’ (2001) 28 </w:t>
      </w:r>
      <w:r w:rsidRPr="00EE6416">
        <w:rPr>
          <w:rFonts w:cs="Times New Roman"/>
          <w:i/>
          <w:lang w:val="en-US"/>
        </w:rPr>
        <w:t xml:space="preserve">William Mitchell Law Review </w:t>
      </w:r>
      <w:r w:rsidRPr="00EE6416">
        <w:rPr>
          <w:rFonts w:cs="Times New Roman"/>
          <w:lang w:val="en-US"/>
        </w:rPr>
        <w:t>911.</w:t>
      </w:r>
    </w:p>
    <w:p w:rsidR="006B09A6" w:rsidRPr="00EE6416" w:rsidRDefault="006B09A6" w:rsidP="006B09A6">
      <w:pPr>
        <w:rPr>
          <w:rFonts w:cs="Times New Roman"/>
        </w:rPr>
      </w:pPr>
    </w:p>
    <w:p w:rsidR="00EE6416" w:rsidRPr="00EE6416" w:rsidRDefault="00EE6416" w:rsidP="00EE6416">
      <w:proofErr w:type="gramStart"/>
      <w:r w:rsidRPr="00EE6416">
        <w:rPr>
          <w:shd w:val="clear" w:color="auto" w:fill="FFFFFF"/>
        </w:rPr>
        <w:t>U.S. Dept. of Commerce, U.S. Census Bureau.</w:t>
      </w:r>
      <w:proofErr w:type="gramEnd"/>
      <w:r w:rsidRPr="00EE6416">
        <w:rPr>
          <w:shd w:val="clear" w:color="auto" w:fill="FFFFFF"/>
        </w:rPr>
        <w:t xml:space="preserve"> (2014).</w:t>
      </w:r>
      <w:r w:rsidRPr="00EE6416">
        <w:rPr>
          <w:rStyle w:val="apple-converted-space"/>
          <w:rFonts w:cs="Arial"/>
          <w:shd w:val="clear" w:color="auto" w:fill="FFFFFF"/>
        </w:rPr>
        <w:t> </w:t>
      </w:r>
      <w:proofErr w:type="gramStart"/>
      <w:r w:rsidRPr="00EE6416">
        <w:rPr>
          <w:rStyle w:val="Emphasis"/>
          <w:rFonts w:cs="Arial"/>
          <w:shd w:val="clear" w:color="auto" w:fill="FFFFFF"/>
        </w:rPr>
        <w:t>An</w:t>
      </w:r>
      <w:proofErr w:type="gramEnd"/>
      <w:r w:rsidRPr="00EE6416">
        <w:rPr>
          <w:rStyle w:val="Emphasis"/>
          <w:rFonts w:cs="Arial"/>
          <w:shd w:val="clear" w:color="auto" w:fill="FFFFFF"/>
        </w:rPr>
        <w:t xml:space="preserve"> Aging Nation: The Older Population in the United States</w:t>
      </w:r>
      <w:r w:rsidRPr="00EE6416">
        <w:rPr>
          <w:shd w:val="clear" w:color="auto" w:fill="FFFFFF"/>
        </w:rPr>
        <w:t>.</w:t>
      </w:r>
    </w:p>
    <w:p w:rsidR="00EE6416" w:rsidRPr="00EE6416" w:rsidRDefault="00EE6416" w:rsidP="006B09A6">
      <w:pPr>
        <w:rPr>
          <w:rFonts w:cs="Times New Roman"/>
        </w:rPr>
      </w:pPr>
    </w:p>
    <w:p w:rsidR="00EB0DA6" w:rsidRPr="00EE6416" w:rsidRDefault="00EB0DA6" w:rsidP="00EB0DA6">
      <w:pPr>
        <w:rPr>
          <w:rFonts w:cs="Arial"/>
          <w:shd w:val="clear" w:color="auto" w:fill="FFFFFF"/>
        </w:rPr>
      </w:pPr>
      <w:r w:rsidRPr="00EE6416">
        <w:rPr>
          <w:rFonts w:cs="Arial"/>
          <w:shd w:val="clear" w:color="auto" w:fill="FFFFFF"/>
        </w:rPr>
        <w:t>Walden, I., &amp; Wall, L,</w:t>
      </w:r>
      <w:r w:rsidRPr="00EE6416">
        <w:rPr>
          <w:rStyle w:val="apple-converted-space"/>
          <w:rFonts w:cs="Arial"/>
          <w:shd w:val="clear" w:color="auto" w:fill="FFFFFF"/>
        </w:rPr>
        <w:t xml:space="preserve"> ‘</w:t>
      </w:r>
      <w:r w:rsidRPr="00EE6416">
        <w:rPr>
          <w:rStyle w:val="Emphasis"/>
          <w:rFonts w:cs="Arial"/>
          <w:i w:val="0"/>
          <w:shd w:val="clear" w:color="auto" w:fill="FFFFFF"/>
        </w:rPr>
        <w:t>Reflecting on primary prevention of violence against women: The public health approach’ (2014)</w:t>
      </w:r>
      <w:r w:rsidRPr="00EE6416">
        <w:rPr>
          <w:rStyle w:val="apple-converted-space"/>
          <w:rFonts w:cs="Arial"/>
          <w:shd w:val="clear" w:color="auto" w:fill="FFFFFF"/>
        </w:rPr>
        <w:t> </w:t>
      </w:r>
      <w:r w:rsidRPr="00EE6416">
        <w:rPr>
          <w:rFonts w:cs="Arial"/>
          <w:i/>
          <w:shd w:val="clear" w:color="auto" w:fill="FFFFFF"/>
        </w:rPr>
        <w:t>Melbourne: Australian Centre for the Study of Sexual Assault, Australian Institute of Family Studies.</w:t>
      </w:r>
    </w:p>
    <w:p w:rsidR="00EB0DA6" w:rsidRPr="00EE6416" w:rsidRDefault="00EB0DA6" w:rsidP="006B09A6">
      <w:pPr>
        <w:rPr>
          <w:rFonts w:cs="Times New Roman"/>
        </w:rPr>
      </w:pPr>
    </w:p>
    <w:p w:rsidR="00EE6416" w:rsidRPr="00EE6416" w:rsidRDefault="00EE6416" w:rsidP="00EE6416">
      <w:pPr>
        <w:pStyle w:val="FootnoteText"/>
      </w:pPr>
      <w:r w:rsidRPr="00EE6416">
        <w:t>Why is it so difficult to combat elder abuse and, in particular, financial exploitation of the elderly</w:t>
      </w:r>
      <w:proofErr w:type="gramStart"/>
      <w:r w:rsidRPr="00EE6416">
        <w:t>?,</w:t>
      </w:r>
      <w:proofErr w:type="gramEnd"/>
      <w:r w:rsidRPr="00EE6416">
        <w:t xml:space="preserve"> Older Adults Personal Relationships, Law Commission of Canada (1999)</w:t>
      </w:r>
    </w:p>
    <w:p w:rsidR="00EE6416" w:rsidRPr="00EE6416" w:rsidRDefault="00EE6416" w:rsidP="006B09A6">
      <w:pPr>
        <w:rPr>
          <w:rFonts w:cs="Times New Roman"/>
        </w:rPr>
      </w:pPr>
    </w:p>
    <w:p w:rsidR="006B09A6" w:rsidRPr="00EE6416" w:rsidRDefault="006B09A6" w:rsidP="006B09A6">
      <w:pPr>
        <w:rPr>
          <w:rStyle w:val="Hyperlink"/>
          <w:rFonts w:cs="Times New Roman"/>
        </w:rPr>
      </w:pPr>
      <w:proofErr w:type="gramStart"/>
      <w:r w:rsidRPr="00EE6416">
        <w:rPr>
          <w:rFonts w:cs="Times New Roman"/>
        </w:rPr>
        <w:t xml:space="preserve">World Health Organisation (2014) </w:t>
      </w:r>
      <w:r w:rsidRPr="00EE6416">
        <w:rPr>
          <w:rFonts w:cs="Times New Roman"/>
          <w:i/>
          <w:iCs/>
        </w:rPr>
        <w:t>Global status report on violence prevention.</w:t>
      </w:r>
      <w:proofErr w:type="gramEnd"/>
      <w:r w:rsidRPr="00EE6416">
        <w:rPr>
          <w:rFonts w:cs="Times New Roman"/>
          <w:i/>
          <w:iCs/>
        </w:rPr>
        <w:t xml:space="preserve"> </w:t>
      </w:r>
      <w:r w:rsidRPr="00EE6416">
        <w:rPr>
          <w:rFonts w:cs="Times New Roman"/>
        </w:rPr>
        <w:t xml:space="preserve">Geneva: WHO retrieved from </w:t>
      </w:r>
      <w:hyperlink r:id="rId11" w:history="1">
        <w:r w:rsidRPr="00EE6416">
          <w:rPr>
            <w:rStyle w:val="Hyperlink"/>
            <w:rFonts w:cs="Times New Roman"/>
          </w:rPr>
          <w:t>www.who.int/violence_injury_prevention/violence/status_report/2014/en/</w:t>
        </w:r>
      </w:hyperlink>
    </w:p>
    <w:p w:rsidR="006B09A6" w:rsidRPr="00EE6416" w:rsidRDefault="006B09A6" w:rsidP="00A47D45"/>
    <w:p w:rsidR="00864581" w:rsidRPr="00A47D45" w:rsidRDefault="00864581" w:rsidP="00A47D45">
      <w:pPr>
        <w:rPr>
          <w:rFonts w:asciiTheme="majorHAnsi" w:eastAsiaTheme="majorEastAsia" w:hAnsiTheme="majorHAnsi" w:cstheme="majorBidi"/>
          <w:b/>
          <w:bCs/>
          <w:color w:val="345A8A" w:themeColor="accent1" w:themeShade="B5"/>
        </w:rPr>
      </w:pPr>
    </w:p>
    <w:sectPr w:rsidR="00864581" w:rsidRPr="00A47D45" w:rsidSect="00664DE9">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277" w:rsidRDefault="00D80277" w:rsidP="00324D0D">
      <w:r>
        <w:separator/>
      </w:r>
    </w:p>
  </w:endnote>
  <w:endnote w:type="continuationSeparator" w:id="0">
    <w:p w:rsidR="00D80277" w:rsidRDefault="00D80277" w:rsidP="00324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charset w:val="4E"/>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77" w:rsidRDefault="00084E96" w:rsidP="00664DE9">
    <w:pPr>
      <w:pStyle w:val="Footer"/>
      <w:framePr w:wrap="around" w:vAnchor="text" w:hAnchor="margin" w:xAlign="right" w:y="1"/>
      <w:rPr>
        <w:rStyle w:val="PageNumber"/>
      </w:rPr>
    </w:pPr>
    <w:r>
      <w:rPr>
        <w:rStyle w:val="PageNumber"/>
      </w:rPr>
      <w:fldChar w:fldCharType="begin"/>
    </w:r>
    <w:r w:rsidR="00D80277">
      <w:rPr>
        <w:rStyle w:val="PageNumber"/>
      </w:rPr>
      <w:instrText xml:space="preserve">PAGE  </w:instrText>
    </w:r>
    <w:r>
      <w:rPr>
        <w:rStyle w:val="PageNumber"/>
      </w:rPr>
      <w:fldChar w:fldCharType="end"/>
    </w:r>
  </w:p>
  <w:p w:rsidR="00D80277" w:rsidRDefault="00D80277" w:rsidP="00664D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77" w:rsidRDefault="00084E96" w:rsidP="006A5851">
    <w:pPr>
      <w:pStyle w:val="Footer"/>
      <w:framePr w:wrap="around" w:vAnchor="text" w:hAnchor="page" w:x="9721" w:y="-15"/>
      <w:rPr>
        <w:rStyle w:val="PageNumber"/>
      </w:rPr>
    </w:pPr>
    <w:r>
      <w:rPr>
        <w:rStyle w:val="PageNumber"/>
      </w:rPr>
      <w:fldChar w:fldCharType="begin"/>
    </w:r>
    <w:r w:rsidR="00D80277">
      <w:rPr>
        <w:rStyle w:val="PageNumber"/>
      </w:rPr>
      <w:instrText xml:space="preserve">PAGE  </w:instrText>
    </w:r>
    <w:r>
      <w:rPr>
        <w:rStyle w:val="PageNumber"/>
      </w:rPr>
      <w:fldChar w:fldCharType="separate"/>
    </w:r>
    <w:r w:rsidR="00877FC4">
      <w:rPr>
        <w:rStyle w:val="PageNumber"/>
        <w:noProof/>
      </w:rPr>
      <w:t>21</w:t>
    </w:r>
    <w:r>
      <w:rPr>
        <w:rStyle w:val="PageNumber"/>
      </w:rPr>
      <w:fldChar w:fldCharType="end"/>
    </w:r>
  </w:p>
  <w:p w:rsidR="00D80277" w:rsidRDefault="00D80277" w:rsidP="00664DE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8D" w:rsidRDefault="00C155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277" w:rsidRDefault="00D80277" w:rsidP="00324D0D">
      <w:r>
        <w:separator/>
      </w:r>
    </w:p>
  </w:footnote>
  <w:footnote w:type="continuationSeparator" w:id="0">
    <w:p w:rsidR="00D80277" w:rsidRDefault="00D80277" w:rsidP="00324D0D">
      <w:r>
        <w:continuationSeparator/>
      </w:r>
    </w:p>
  </w:footnote>
  <w:footnote w:id="1">
    <w:p w:rsidR="00D80277" w:rsidRPr="002977E2" w:rsidRDefault="00D80277" w:rsidP="00494906">
      <w:pPr>
        <w:pStyle w:val="FootnoteText"/>
        <w:rPr>
          <w:rFonts w:cs="Times New Roman"/>
          <w:sz w:val="16"/>
          <w:szCs w:val="16"/>
          <w:highlight w:val="yellow"/>
          <w:lang w:val="en-US"/>
        </w:rPr>
      </w:pPr>
      <w:r w:rsidRPr="00F30654">
        <w:rPr>
          <w:rStyle w:val="FootnoteReference"/>
          <w:rFonts w:cs="Times New Roman"/>
          <w:sz w:val="16"/>
          <w:szCs w:val="16"/>
        </w:rPr>
        <w:footnoteRef/>
      </w:r>
      <w:r w:rsidRPr="00F30654">
        <w:rPr>
          <w:rFonts w:cs="Times New Roman"/>
          <w:sz w:val="16"/>
          <w:szCs w:val="16"/>
        </w:rPr>
        <w:t xml:space="preserve"> </w:t>
      </w:r>
      <w:proofErr w:type="gramStart"/>
      <w:r w:rsidRPr="00F30654">
        <w:rPr>
          <w:rFonts w:cs="Times New Roman"/>
          <w:sz w:val="16"/>
          <w:szCs w:val="16"/>
        </w:rPr>
        <w:t>Loddon Campaspe Community Legal Centre.</w:t>
      </w:r>
      <w:proofErr w:type="gramEnd"/>
      <w:r w:rsidRPr="00F30654">
        <w:rPr>
          <w:rFonts w:cs="Times New Roman"/>
          <w:sz w:val="16"/>
          <w:szCs w:val="16"/>
        </w:rPr>
        <w:t xml:space="preserve"> 2008. ‘Responding to the financial abuse of older people: Understanding the challenges faced by the banking and financial services sector.’ </w:t>
      </w:r>
      <w:r w:rsidRPr="00F30654">
        <w:rPr>
          <w:rFonts w:cs="Times New Roman"/>
          <w:i/>
          <w:sz w:val="16"/>
          <w:szCs w:val="16"/>
        </w:rPr>
        <w:t>Advocacy &amp; Rights Centre Ltd</w:t>
      </w:r>
      <w:r w:rsidRPr="00F30654">
        <w:rPr>
          <w:rFonts w:cs="Times New Roman"/>
          <w:sz w:val="16"/>
          <w:szCs w:val="16"/>
        </w:rPr>
        <w:t xml:space="preserve">, (Viewed 10/06/16), </w:t>
      </w:r>
      <w:hyperlink r:id="rId1" w:history="1">
        <w:r w:rsidRPr="00F30654">
          <w:rPr>
            <w:rStyle w:val="Hyperlink"/>
            <w:rFonts w:cs="Times New Roman"/>
            <w:sz w:val="16"/>
            <w:szCs w:val="16"/>
          </w:rPr>
          <w:t>http://seniorsrights.org.au/wp-content/uploads/2014/03/A4-financial-abuse-of-older-persons-small-for-websites.pdf</w:t>
        </w:r>
      </w:hyperlink>
      <w:r w:rsidRPr="00F30654">
        <w:rPr>
          <w:rFonts w:cs="Times New Roman"/>
          <w:sz w:val="16"/>
          <w:szCs w:val="16"/>
        </w:rPr>
        <w:t>, p. v.</w:t>
      </w:r>
    </w:p>
  </w:footnote>
  <w:footnote w:id="2">
    <w:p w:rsidR="00D80277" w:rsidRPr="00F30654" w:rsidRDefault="00D80277" w:rsidP="00494906">
      <w:pPr>
        <w:pStyle w:val="FootnoteText"/>
        <w:rPr>
          <w:rFonts w:cs="Times New Roman"/>
          <w:sz w:val="16"/>
          <w:szCs w:val="16"/>
          <w:lang w:val="en-US"/>
        </w:rPr>
      </w:pPr>
      <w:r w:rsidRPr="00AF4806">
        <w:rPr>
          <w:rStyle w:val="FootnoteReference"/>
          <w:rFonts w:cs="Times New Roman"/>
          <w:sz w:val="16"/>
          <w:szCs w:val="16"/>
        </w:rPr>
        <w:footnoteRef/>
      </w:r>
      <w:r w:rsidRPr="00AF4806">
        <w:rPr>
          <w:rFonts w:cs="Times New Roman"/>
          <w:sz w:val="16"/>
          <w:szCs w:val="16"/>
        </w:rPr>
        <w:t xml:space="preserve"> </w:t>
      </w:r>
      <w:proofErr w:type="gramStart"/>
      <w:r w:rsidRPr="00AF4806">
        <w:rPr>
          <w:rFonts w:cs="Times New Roman"/>
          <w:sz w:val="16"/>
          <w:szCs w:val="16"/>
        </w:rPr>
        <w:t>Ibid, p. 14.</w:t>
      </w:r>
      <w:proofErr w:type="gramEnd"/>
      <w:r w:rsidRPr="00F30654">
        <w:rPr>
          <w:rFonts w:cs="Times New Roman"/>
          <w:sz w:val="16"/>
          <w:szCs w:val="16"/>
        </w:rPr>
        <w:t xml:space="preserve"> </w:t>
      </w:r>
    </w:p>
  </w:footnote>
  <w:footnote w:id="3">
    <w:p w:rsidR="00D80277" w:rsidRPr="00F30654" w:rsidRDefault="00D80277" w:rsidP="00494906">
      <w:pPr>
        <w:pStyle w:val="FootnoteText"/>
        <w:rPr>
          <w:rFonts w:cs="Times New Roman"/>
          <w:sz w:val="16"/>
          <w:szCs w:val="16"/>
        </w:rPr>
      </w:pPr>
      <w:r w:rsidRPr="00F30654">
        <w:rPr>
          <w:rStyle w:val="FootnoteReference"/>
          <w:rFonts w:cs="Times New Roman"/>
          <w:sz w:val="16"/>
          <w:szCs w:val="16"/>
        </w:rPr>
        <w:footnoteRef/>
      </w:r>
      <w:r w:rsidRPr="00F30654">
        <w:rPr>
          <w:rFonts w:cs="Times New Roman"/>
          <w:sz w:val="16"/>
          <w:szCs w:val="16"/>
        </w:rPr>
        <w:t xml:space="preserve"> House of Representatives Standing Committee on Legal and Constitutional Affairs, Parliament of Australia, </w:t>
      </w:r>
      <w:r w:rsidRPr="00F30654">
        <w:rPr>
          <w:rFonts w:cs="Times New Roman"/>
          <w:i/>
          <w:iCs/>
          <w:sz w:val="16"/>
          <w:szCs w:val="16"/>
        </w:rPr>
        <w:t xml:space="preserve">Older people and the law </w:t>
      </w:r>
      <w:r>
        <w:rPr>
          <w:rFonts w:cs="Times New Roman"/>
          <w:sz w:val="16"/>
          <w:szCs w:val="16"/>
        </w:rPr>
        <w:t xml:space="preserve">(2007). </w:t>
      </w:r>
      <w:r w:rsidRPr="00F30654">
        <w:rPr>
          <w:rFonts w:cs="Times New Roman"/>
          <w:sz w:val="16"/>
          <w:szCs w:val="16"/>
        </w:rPr>
        <w:t xml:space="preserve">40. </w:t>
      </w:r>
    </w:p>
  </w:footnote>
  <w:footnote w:id="4">
    <w:p w:rsidR="00D80277" w:rsidRPr="00F30654" w:rsidRDefault="00D80277" w:rsidP="00141D23">
      <w:pPr>
        <w:pStyle w:val="FootnoteText"/>
        <w:rPr>
          <w:rFonts w:cs="Times New Roman"/>
          <w:sz w:val="16"/>
          <w:szCs w:val="16"/>
        </w:rPr>
      </w:pPr>
      <w:r w:rsidRPr="00F30654">
        <w:rPr>
          <w:rStyle w:val="FootnoteReference"/>
          <w:rFonts w:cs="Times New Roman"/>
          <w:sz w:val="16"/>
          <w:szCs w:val="16"/>
        </w:rPr>
        <w:footnoteRef/>
      </w:r>
      <w:r w:rsidRPr="00F30654">
        <w:rPr>
          <w:rFonts w:cs="Times New Roman"/>
          <w:sz w:val="16"/>
          <w:szCs w:val="16"/>
        </w:rPr>
        <w:t xml:space="preserve"> </w:t>
      </w:r>
      <w:proofErr w:type="spellStart"/>
      <w:r w:rsidRPr="00006ACF">
        <w:rPr>
          <w:rFonts w:cs="Times New Roman"/>
          <w:sz w:val="16"/>
          <w:szCs w:val="16"/>
        </w:rPr>
        <w:t>Lowndes</w:t>
      </w:r>
      <w:proofErr w:type="spellEnd"/>
      <w:r w:rsidRPr="00006ACF">
        <w:rPr>
          <w:rFonts w:cs="Times New Roman"/>
          <w:sz w:val="16"/>
          <w:szCs w:val="16"/>
        </w:rPr>
        <w:t xml:space="preserve"> G, </w:t>
      </w:r>
      <w:proofErr w:type="spellStart"/>
      <w:r w:rsidRPr="00006ACF">
        <w:rPr>
          <w:rFonts w:cs="Times New Roman"/>
          <w:sz w:val="16"/>
          <w:szCs w:val="16"/>
        </w:rPr>
        <w:t>Darzins</w:t>
      </w:r>
      <w:proofErr w:type="spellEnd"/>
      <w:r w:rsidRPr="00006ACF">
        <w:rPr>
          <w:rFonts w:cs="Times New Roman"/>
          <w:sz w:val="16"/>
          <w:szCs w:val="16"/>
        </w:rPr>
        <w:t xml:space="preserve"> P, </w:t>
      </w:r>
      <w:proofErr w:type="spellStart"/>
      <w:r w:rsidRPr="00006ACF">
        <w:rPr>
          <w:rFonts w:cs="Times New Roman"/>
          <w:sz w:val="16"/>
          <w:szCs w:val="16"/>
        </w:rPr>
        <w:t>Wainer</w:t>
      </w:r>
      <w:proofErr w:type="spellEnd"/>
      <w:r w:rsidRPr="00006ACF">
        <w:rPr>
          <w:rFonts w:cs="Times New Roman"/>
          <w:sz w:val="16"/>
          <w:szCs w:val="16"/>
        </w:rPr>
        <w:t xml:space="preserve"> J, </w:t>
      </w:r>
      <w:proofErr w:type="spellStart"/>
      <w:r w:rsidRPr="00006ACF">
        <w:rPr>
          <w:rFonts w:cs="Times New Roman"/>
          <w:sz w:val="16"/>
          <w:szCs w:val="16"/>
        </w:rPr>
        <w:t>Owada</w:t>
      </w:r>
      <w:proofErr w:type="spellEnd"/>
      <w:r w:rsidRPr="00006ACF">
        <w:rPr>
          <w:rFonts w:cs="Times New Roman"/>
          <w:sz w:val="16"/>
          <w:szCs w:val="16"/>
        </w:rPr>
        <w:t xml:space="preserve"> K and </w:t>
      </w:r>
      <w:proofErr w:type="spellStart"/>
      <w:r w:rsidRPr="00006ACF">
        <w:rPr>
          <w:rFonts w:cs="Times New Roman"/>
          <w:sz w:val="16"/>
          <w:szCs w:val="16"/>
        </w:rPr>
        <w:t>Mihaljcic</w:t>
      </w:r>
      <w:proofErr w:type="spellEnd"/>
      <w:r w:rsidRPr="00006ACF">
        <w:rPr>
          <w:rFonts w:cs="Times New Roman"/>
          <w:sz w:val="16"/>
          <w:szCs w:val="16"/>
        </w:rPr>
        <w:t xml:space="preserve"> T, ‘Financial Abuse of elders: a review of the evidence’ (2009)</w:t>
      </w:r>
      <w:r w:rsidRPr="00006ACF">
        <w:rPr>
          <w:rFonts w:cs="Times New Roman"/>
          <w:i/>
          <w:sz w:val="16"/>
          <w:szCs w:val="16"/>
        </w:rPr>
        <w:t>, Melbourne Monash University</w:t>
      </w:r>
      <w:r>
        <w:rPr>
          <w:rFonts w:cs="Times New Roman"/>
          <w:sz w:val="16"/>
          <w:szCs w:val="16"/>
        </w:rPr>
        <w:t xml:space="preserve">, 5. </w:t>
      </w:r>
    </w:p>
  </w:footnote>
  <w:footnote w:id="5">
    <w:p w:rsidR="00D80277" w:rsidRPr="00F30654" w:rsidRDefault="00D80277" w:rsidP="00107491">
      <w:pPr>
        <w:pStyle w:val="FootnoteText"/>
        <w:rPr>
          <w:rFonts w:cs="Times New Roman"/>
          <w:sz w:val="16"/>
          <w:szCs w:val="16"/>
        </w:rPr>
      </w:pPr>
      <w:r w:rsidRPr="00F30654">
        <w:rPr>
          <w:rStyle w:val="FootnoteReference"/>
          <w:rFonts w:cs="Times New Roman"/>
          <w:sz w:val="16"/>
          <w:szCs w:val="16"/>
        </w:rPr>
        <w:footnoteRef/>
      </w:r>
      <w:r>
        <w:rPr>
          <w:rFonts w:cs="Times New Roman"/>
          <w:sz w:val="16"/>
          <w:szCs w:val="16"/>
        </w:rPr>
        <w:t xml:space="preserve"> </w:t>
      </w:r>
      <w:proofErr w:type="spellStart"/>
      <w:r w:rsidRPr="00006ACF">
        <w:rPr>
          <w:rFonts w:cs="Times New Roman"/>
          <w:sz w:val="16"/>
          <w:szCs w:val="16"/>
        </w:rPr>
        <w:t>Lowndes</w:t>
      </w:r>
      <w:proofErr w:type="spellEnd"/>
      <w:r w:rsidRPr="00006ACF">
        <w:rPr>
          <w:rFonts w:cs="Times New Roman"/>
          <w:sz w:val="16"/>
          <w:szCs w:val="16"/>
        </w:rPr>
        <w:t xml:space="preserve"> G, </w:t>
      </w:r>
      <w:proofErr w:type="spellStart"/>
      <w:r w:rsidRPr="00006ACF">
        <w:rPr>
          <w:rFonts w:cs="Times New Roman"/>
          <w:sz w:val="16"/>
          <w:szCs w:val="16"/>
        </w:rPr>
        <w:t>Darzins</w:t>
      </w:r>
      <w:proofErr w:type="spellEnd"/>
      <w:r w:rsidRPr="00006ACF">
        <w:rPr>
          <w:rFonts w:cs="Times New Roman"/>
          <w:sz w:val="16"/>
          <w:szCs w:val="16"/>
        </w:rPr>
        <w:t xml:space="preserve"> P, </w:t>
      </w:r>
      <w:proofErr w:type="spellStart"/>
      <w:r w:rsidRPr="00006ACF">
        <w:rPr>
          <w:rFonts w:cs="Times New Roman"/>
          <w:sz w:val="16"/>
          <w:szCs w:val="16"/>
        </w:rPr>
        <w:t>Wainer</w:t>
      </w:r>
      <w:proofErr w:type="spellEnd"/>
      <w:r w:rsidRPr="00006ACF">
        <w:rPr>
          <w:rFonts w:cs="Times New Roman"/>
          <w:sz w:val="16"/>
          <w:szCs w:val="16"/>
        </w:rPr>
        <w:t xml:space="preserve"> J, </w:t>
      </w:r>
      <w:proofErr w:type="spellStart"/>
      <w:r w:rsidRPr="00006ACF">
        <w:rPr>
          <w:rFonts w:cs="Times New Roman"/>
          <w:sz w:val="16"/>
          <w:szCs w:val="16"/>
        </w:rPr>
        <w:t>Owada</w:t>
      </w:r>
      <w:proofErr w:type="spellEnd"/>
      <w:r w:rsidRPr="00006ACF">
        <w:rPr>
          <w:rFonts w:cs="Times New Roman"/>
          <w:sz w:val="16"/>
          <w:szCs w:val="16"/>
        </w:rPr>
        <w:t xml:space="preserve"> K and </w:t>
      </w:r>
      <w:proofErr w:type="spellStart"/>
      <w:r w:rsidRPr="00006ACF">
        <w:rPr>
          <w:rFonts w:cs="Times New Roman"/>
          <w:sz w:val="16"/>
          <w:szCs w:val="16"/>
        </w:rPr>
        <w:t>Mihaljcic</w:t>
      </w:r>
      <w:proofErr w:type="spellEnd"/>
      <w:r w:rsidRPr="00006ACF">
        <w:rPr>
          <w:rFonts w:cs="Times New Roman"/>
          <w:sz w:val="16"/>
          <w:szCs w:val="16"/>
        </w:rPr>
        <w:t xml:space="preserve"> T, ‘Financial Abuse of elders: a review of the evidence’ (2009)</w:t>
      </w:r>
      <w:r w:rsidRPr="00006ACF">
        <w:rPr>
          <w:rFonts w:cs="Times New Roman"/>
          <w:i/>
          <w:sz w:val="16"/>
          <w:szCs w:val="16"/>
        </w:rPr>
        <w:t>, Melbourne Monash University</w:t>
      </w:r>
      <w:r>
        <w:rPr>
          <w:rFonts w:cs="Times New Roman"/>
          <w:sz w:val="16"/>
          <w:szCs w:val="16"/>
        </w:rPr>
        <w:t>, 5.</w:t>
      </w:r>
    </w:p>
  </w:footnote>
  <w:footnote w:id="6">
    <w:p w:rsidR="00D80277" w:rsidRPr="00F30654" w:rsidRDefault="00D80277" w:rsidP="00F637AA">
      <w:pPr>
        <w:pStyle w:val="FootnoteText"/>
        <w:rPr>
          <w:rFonts w:cs="Times New Roman"/>
          <w:sz w:val="16"/>
          <w:szCs w:val="16"/>
          <w:lang w:val="en-US"/>
        </w:rPr>
      </w:pPr>
      <w:r w:rsidRPr="00F30654">
        <w:rPr>
          <w:rStyle w:val="FootnoteReference"/>
          <w:rFonts w:cs="Times New Roman"/>
          <w:sz w:val="16"/>
          <w:szCs w:val="16"/>
        </w:rPr>
        <w:footnoteRef/>
      </w:r>
      <w:r>
        <w:rPr>
          <w:rFonts w:cs="Times New Roman"/>
          <w:sz w:val="16"/>
          <w:szCs w:val="16"/>
        </w:rPr>
        <w:t xml:space="preserve"> Ibid.</w:t>
      </w:r>
    </w:p>
  </w:footnote>
  <w:footnote w:id="7">
    <w:p w:rsidR="00D80277" w:rsidRPr="00F30654" w:rsidRDefault="00D80277">
      <w:pPr>
        <w:pStyle w:val="FootnoteText"/>
        <w:rPr>
          <w:rFonts w:cs="Times New Roman"/>
          <w:sz w:val="16"/>
          <w:szCs w:val="16"/>
          <w:lang w:val="en-US"/>
        </w:rPr>
      </w:pPr>
      <w:r w:rsidRPr="00F30654">
        <w:rPr>
          <w:rStyle w:val="FootnoteReference"/>
          <w:rFonts w:cs="Times New Roman"/>
          <w:sz w:val="16"/>
          <w:szCs w:val="16"/>
        </w:rPr>
        <w:footnoteRef/>
      </w:r>
      <w:r w:rsidRPr="00F30654">
        <w:rPr>
          <w:rFonts w:cs="Times New Roman"/>
          <w:sz w:val="16"/>
          <w:szCs w:val="16"/>
        </w:rPr>
        <w:t xml:space="preserve"> </w:t>
      </w:r>
      <w:proofErr w:type="spellStart"/>
      <w:r w:rsidRPr="00006ACF">
        <w:rPr>
          <w:rFonts w:cs="Times New Roman"/>
          <w:sz w:val="16"/>
          <w:szCs w:val="16"/>
        </w:rPr>
        <w:t>Lowndes</w:t>
      </w:r>
      <w:proofErr w:type="spellEnd"/>
      <w:r w:rsidRPr="00006ACF">
        <w:rPr>
          <w:rFonts w:cs="Times New Roman"/>
          <w:sz w:val="16"/>
          <w:szCs w:val="16"/>
        </w:rPr>
        <w:t xml:space="preserve"> G, </w:t>
      </w:r>
      <w:proofErr w:type="spellStart"/>
      <w:r w:rsidRPr="00006ACF">
        <w:rPr>
          <w:rFonts w:cs="Times New Roman"/>
          <w:sz w:val="16"/>
          <w:szCs w:val="16"/>
        </w:rPr>
        <w:t>Darzins</w:t>
      </w:r>
      <w:proofErr w:type="spellEnd"/>
      <w:r w:rsidRPr="00006ACF">
        <w:rPr>
          <w:rFonts w:cs="Times New Roman"/>
          <w:sz w:val="16"/>
          <w:szCs w:val="16"/>
        </w:rPr>
        <w:t xml:space="preserve"> P, </w:t>
      </w:r>
      <w:proofErr w:type="spellStart"/>
      <w:r w:rsidRPr="00006ACF">
        <w:rPr>
          <w:rFonts w:cs="Times New Roman"/>
          <w:sz w:val="16"/>
          <w:szCs w:val="16"/>
        </w:rPr>
        <w:t>Wainer</w:t>
      </w:r>
      <w:proofErr w:type="spellEnd"/>
      <w:r w:rsidRPr="00006ACF">
        <w:rPr>
          <w:rFonts w:cs="Times New Roman"/>
          <w:sz w:val="16"/>
          <w:szCs w:val="16"/>
        </w:rPr>
        <w:t xml:space="preserve"> J, </w:t>
      </w:r>
      <w:proofErr w:type="spellStart"/>
      <w:r w:rsidRPr="00006ACF">
        <w:rPr>
          <w:rFonts w:cs="Times New Roman"/>
          <w:sz w:val="16"/>
          <w:szCs w:val="16"/>
        </w:rPr>
        <w:t>Owada</w:t>
      </w:r>
      <w:proofErr w:type="spellEnd"/>
      <w:r w:rsidRPr="00006ACF">
        <w:rPr>
          <w:rFonts w:cs="Times New Roman"/>
          <w:sz w:val="16"/>
          <w:szCs w:val="16"/>
        </w:rPr>
        <w:t xml:space="preserve"> K and </w:t>
      </w:r>
      <w:proofErr w:type="spellStart"/>
      <w:r w:rsidRPr="00006ACF">
        <w:rPr>
          <w:rFonts w:cs="Times New Roman"/>
          <w:sz w:val="16"/>
          <w:szCs w:val="16"/>
        </w:rPr>
        <w:t>Mihaljcic</w:t>
      </w:r>
      <w:proofErr w:type="spellEnd"/>
      <w:r w:rsidRPr="00006ACF">
        <w:rPr>
          <w:rFonts w:cs="Times New Roman"/>
          <w:sz w:val="16"/>
          <w:szCs w:val="16"/>
        </w:rPr>
        <w:t xml:space="preserve"> T, ‘Financial Abuse of elders: a review of the evidence’ (2009)</w:t>
      </w:r>
      <w:r w:rsidRPr="00006ACF">
        <w:rPr>
          <w:rFonts w:cs="Times New Roman"/>
          <w:i/>
          <w:sz w:val="16"/>
          <w:szCs w:val="16"/>
        </w:rPr>
        <w:t>, Melbourne Monash University</w:t>
      </w:r>
      <w:r>
        <w:rPr>
          <w:rFonts w:cs="Times New Roman"/>
          <w:sz w:val="16"/>
          <w:szCs w:val="16"/>
        </w:rPr>
        <w:t>, 5.</w:t>
      </w:r>
    </w:p>
  </w:footnote>
  <w:footnote w:id="8">
    <w:p w:rsidR="00D80277" w:rsidRPr="00F30654" w:rsidRDefault="00D80277">
      <w:pPr>
        <w:pStyle w:val="FootnoteText"/>
        <w:rPr>
          <w:rFonts w:cs="Times New Roman"/>
          <w:sz w:val="16"/>
          <w:szCs w:val="16"/>
          <w:lang w:val="en-US"/>
        </w:rPr>
      </w:pPr>
      <w:r w:rsidRPr="00F30654">
        <w:rPr>
          <w:rStyle w:val="FootnoteReference"/>
          <w:rFonts w:cs="Times New Roman"/>
          <w:sz w:val="16"/>
          <w:szCs w:val="16"/>
        </w:rPr>
        <w:footnoteRef/>
      </w:r>
      <w:r>
        <w:rPr>
          <w:rFonts w:cs="Times New Roman"/>
          <w:sz w:val="16"/>
          <w:szCs w:val="16"/>
        </w:rPr>
        <w:t xml:space="preserve"> Ibid.</w:t>
      </w:r>
    </w:p>
  </w:footnote>
  <w:footnote w:id="9">
    <w:p w:rsidR="00D80277" w:rsidRPr="00F30654" w:rsidRDefault="00D80277" w:rsidP="001665AB">
      <w:pPr>
        <w:pStyle w:val="FootnoteText"/>
        <w:rPr>
          <w:rFonts w:cs="Times New Roman"/>
          <w:sz w:val="16"/>
          <w:szCs w:val="16"/>
          <w:lang w:val="en-US"/>
        </w:rPr>
      </w:pPr>
      <w:r w:rsidRPr="00F30654">
        <w:rPr>
          <w:rStyle w:val="FootnoteReference"/>
          <w:rFonts w:cs="Times New Roman"/>
          <w:sz w:val="16"/>
          <w:szCs w:val="16"/>
        </w:rPr>
        <w:footnoteRef/>
      </w:r>
      <w:r>
        <w:rPr>
          <w:rFonts w:cs="Times New Roman"/>
          <w:sz w:val="16"/>
          <w:szCs w:val="16"/>
        </w:rPr>
        <w:t xml:space="preserve"> Ibid.</w:t>
      </w:r>
    </w:p>
  </w:footnote>
  <w:footnote w:id="10">
    <w:p w:rsidR="00D80277" w:rsidRPr="00F30654" w:rsidRDefault="00D80277" w:rsidP="00B87241">
      <w:pPr>
        <w:pStyle w:val="FootnoteText"/>
        <w:rPr>
          <w:rFonts w:cs="Times New Roman"/>
          <w:sz w:val="16"/>
          <w:szCs w:val="16"/>
          <w:lang w:val="en-US"/>
        </w:rPr>
      </w:pPr>
      <w:r w:rsidRPr="00F30654">
        <w:rPr>
          <w:rStyle w:val="FootnoteReference"/>
          <w:rFonts w:cs="Times New Roman"/>
          <w:sz w:val="16"/>
          <w:szCs w:val="16"/>
        </w:rPr>
        <w:footnoteRef/>
      </w:r>
      <w:r w:rsidRPr="00F30654">
        <w:rPr>
          <w:rFonts w:cs="Times New Roman"/>
          <w:sz w:val="16"/>
          <w:szCs w:val="16"/>
        </w:rPr>
        <w:t xml:space="preserve"> </w:t>
      </w:r>
      <w:proofErr w:type="spellStart"/>
      <w:r w:rsidRPr="00006ACF">
        <w:rPr>
          <w:rFonts w:cs="Times New Roman"/>
          <w:sz w:val="16"/>
          <w:szCs w:val="16"/>
        </w:rPr>
        <w:t>Lowndes</w:t>
      </w:r>
      <w:proofErr w:type="spellEnd"/>
      <w:r w:rsidRPr="00006ACF">
        <w:rPr>
          <w:rFonts w:cs="Times New Roman"/>
          <w:sz w:val="16"/>
          <w:szCs w:val="16"/>
        </w:rPr>
        <w:t xml:space="preserve"> G, </w:t>
      </w:r>
      <w:proofErr w:type="spellStart"/>
      <w:r w:rsidRPr="00006ACF">
        <w:rPr>
          <w:rFonts w:cs="Times New Roman"/>
          <w:sz w:val="16"/>
          <w:szCs w:val="16"/>
        </w:rPr>
        <w:t>Darzins</w:t>
      </w:r>
      <w:proofErr w:type="spellEnd"/>
      <w:r w:rsidRPr="00006ACF">
        <w:rPr>
          <w:rFonts w:cs="Times New Roman"/>
          <w:sz w:val="16"/>
          <w:szCs w:val="16"/>
        </w:rPr>
        <w:t xml:space="preserve"> P, </w:t>
      </w:r>
      <w:proofErr w:type="spellStart"/>
      <w:r w:rsidRPr="00006ACF">
        <w:rPr>
          <w:rFonts w:cs="Times New Roman"/>
          <w:sz w:val="16"/>
          <w:szCs w:val="16"/>
        </w:rPr>
        <w:t>Wainer</w:t>
      </w:r>
      <w:proofErr w:type="spellEnd"/>
      <w:r w:rsidRPr="00006ACF">
        <w:rPr>
          <w:rFonts w:cs="Times New Roman"/>
          <w:sz w:val="16"/>
          <w:szCs w:val="16"/>
        </w:rPr>
        <w:t xml:space="preserve"> J, </w:t>
      </w:r>
      <w:proofErr w:type="spellStart"/>
      <w:r w:rsidRPr="00006ACF">
        <w:rPr>
          <w:rFonts w:cs="Times New Roman"/>
          <w:sz w:val="16"/>
          <w:szCs w:val="16"/>
        </w:rPr>
        <w:t>Owada</w:t>
      </w:r>
      <w:proofErr w:type="spellEnd"/>
      <w:r w:rsidRPr="00006ACF">
        <w:rPr>
          <w:rFonts w:cs="Times New Roman"/>
          <w:sz w:val="16"/>
          <w:szCs w:val="16"/>
        </w:rPr>
        <w:t xml:space="preserve"> K and </w:t>
      </w:r>
      <w:proofErr w:type="spellStart"/>
      <w:r w:rsidRPr="00006ACF">
        <w:rPr>
          <w:rFonts w:cs="Times New Roman"/>
          <w:sz w:val="16"/>
          <w:szCs w:val="16"/>
        </w:rPr>
        <w:t>Mihaljcic</w:t>
      </w:r>
      <w:proofErr w:type="spellEnd"/>
      <w:r w:rsidRPr="00006ACF">
        <w:rPr>
          <w:rFonts w:cs="Times New Roman"/>
          <w:sz w:val="16"/>
          <w:szCs w:val="16"/>
        </w:rPr>
        <w:t xml:space="preserve"> T, ‘Financial Abuse of elders: a review of the evidence’ (2009)</w:t>
      </w:r>
      <w:r w:rsidRPr="00006ACF">
        <w:rPr>
          <w:rFonts w:cs="Times New Roman"/>
          <w:i/>
          <w:sz w:val="16"/>
          <w:szCs w:val="16"/>
        </w:rPr>
        <w:t>, Melbourne Monash University</w:t>
      </w:r>
      <w:r>
        <w:rPr>
          <w:rFonts w:cs="Times New Roman"/>
          <w:sz w:val="16"/>
          <w:szCs w:val="16"/>
        </w:rPr>
        <w:t>, 16.</w:t>
      </w:r>
    </w:p>
  </w:footnote>
  <w:footnote w:id="11">
    <w:p w:rsidR="00D80277" w:rsidRPr="00F30654" w:rsidRDefault="00D80277">
      <w:pPr>
        <w:pStyle w:val="FootnoteText"/>
        <w:rPr>
          <w:rFonts w:cs="Times New Roman"/>
          <w:sz w:val="16"/>
          <w:szCs w:val="16"/>
          <w:lang w:val="en-US"/>
        </w:rPr>
      </w:pPr>
      <w:r w:rsidRPr="00F30654">
        <w:rPr>
          <w:rStyle w:val="FootnoteReference"/>
          <w:rFonts w:cs="Times New Roman"/>
          <w:sz w:val="16"/>
          <w:szCs w:val="16"/>
        </w:rPr>
        <w:footnoteRef/>
      </w:r>
      <w:r>
        <w:rPr>
          <w:rFonts w:cs="Times New Roman"/>
          <w:sz w:val="16"/>
          <w:szCs w:val="16"/>
        </w:rPr>
        <w:t xml:space="preserve"> Ibid.</w:t>
      </w:r>
    </w:p>
  </w:footnote>
  <w:footnote w:id="12">
    <w:p w:rsidR="00D80277" w:rsidRPr="00F30654" w:rsidRDefault="00D80277" w:rsidP="00F04BE9">
      <w:pPr>
        <w:pStyle w:val="FootnoteText"/>
        <w:rPr>
          <w:rFonts w:cs="Times New Roman"/>
          <w:sz w:val="16"/>
          <w:szCs w:val="16"/>
        </w:rPr>
      </w:pPr>
      <w:r w:rsidRPr="00F30654">
        <w:rPr>
          <w:rStyle w:val="FootnoteReference"/>
          <w:rFonts w:cs="Times New Roman"/>
          <w:sz w:val="16"/>
          <w:szCs w:val="16"/>
        </w:rPr>
        <w:footnoteRef/>
      </w:r>
      <w:r w:rsidRPr="00F30654">
        <w:rPr>
          <w:rFonts w:cs="Times New Roman"/>
          <w:sz w:val="16"/>
          <w:szCs w:val="16"/>
        </w:rPr>
        <w:t xml:space="preserve"> </w:t>
      </w:r>
      <w:proofErr w:type="gramStart"/>
      <w:r w:rsidRPr="00F30654">
        <w:rPr>
          <w:rFonts w:cs="Times New Roman"/>
          <w:sz w:val="16"/>
          <w:szCs w:val="16"/>
        </w:rPr>
        <w:t>Financial Ombudsman Service.</w:t>
      </w:r>
      <w:proofErr w:type="gramEnd"/>
      <w:r w:rsidRPr="00F30654">
        <w:rPr>
          <w:rFonts w:cs="Times New Roman"/>
          <w:sz w:val="16"/>
          <w:szCs w:val="16"/>
        </w:rPr>
        <w:t xml:space="preserve"> 2007. </w:t>
      </w:r>
      <w:r w:rsidRPr="00F30654">
        <w:rPr>
          <w:rFonts w:cs="Times New Roman"/>
          <w:i/>
          <w:sz w:val="16"/>
          <w:szCs w:val="16"/>
        </w:rPr>
        <w:t xml:space="preserve">Banking and Finance – Bulletin 56, </w:t>
      </w:r>
      <w:r w:rsidRPr="00F30654">
        <w:rPr>
          <w:rFonts w:cs="Times New Roman"/>
          <w:sz w:val="16"/>
          <w:szCs w:val="16"/>
        </w:rPr>
        <w:t>(December, 2007),</w:t>
      </w:r>
      <w:r w:rsidRPr="00F30654">
        <w:rPr>
          <w:rFonts w:cs="Times New Roman"/>
          <w:i/>
          <w:sz w:val="16"/>
          <w:szCs w:val="16"/>
        </w:rPr>
        <w:t xml:space="preserve"> </w:t>
      </w:r>
      <w:r w:rsidRPr="00F30654">
        <w:rPr>
          <w:rFonts w:cs="Times New Roman"/>
          <w:sz w:val="16"/>
          <w:szCs w:val="16"/>
        </w:rPr>
        <w:t xml:space="preserve">Parliament of Australia, </w:t>
      </w:r>
      <w:hyperlink r:id="rId2" w:history="1">
        <w:r w:rsidRPr="00F30654">
          <w:rPr>
            <w:rStyle w:val="Hyperlink"/>
            <w:rFonts w:cs="Times New Roman"/>
            <w:sz w:val="16"/>
            <w:szCs w:val="16"/>
          </w:rPr>
          <w:t>https://www.fos.org.au/custom/files/docs/fos_banking_finance_bulletin_56.pdf</w:t>
        </w:r>
      </w:hyperlink>
      <w:r w:rsidRPr="00F30654">
        <w:rPr>
          <w:rFonts w:cs="Times New Roman"/>
          <w:sz w:val="16"/>
          <w:szCs w:val="16"/>
        </w:rPr>
        <w:t xml:space="preserve">, p. 6.  </w:t>
      </w:r>
    </w:p>
  </w:footnote>
  <w:footnote w:id="13">
    <w:p w:rsidR="00D80277" w:rsidRPr="00F30654" w:rsidRDefault="00D80277" w:rsidP="00C15631">
      <w:pPr>
        <w:pStyle w:val="FootnoteText"/>
        <w:rPr>
          <w:rFonts w:cs="Times New Roman"/>
          <w:sz w:val="16"/>
          <w:szCs w:val="16"/>
        </w:rPr>
      </w:pPr>
      <w:r w:rsidRPr="00F30654">
        <w:rPr>
          <w:rStyle w:val="FootnoteReference"/>
          <w:rFonts w:cs="Times New Roman"/>
          <w:sz w:val="16"/>
          <w:szCs w:val="16"/>
        </w:rPr>
        <w:footnoteRef/>
      </w:r>
      <w:r w:rsidRPr="00F30654">
        <w:rPr>
          <w:rFonts w:cs="Times New Roman"/>
          <w:sz w:val="16"/>
          <w:szCs w:val="16"/>
        </w:rPr>
        <w:t xml:space="preserve"> House of Representatives Standing Committee on Legal and Constitutional Affairs, Parliament of Australia, </w:t>
      </w:r>
      <w:r w:rsidRPr="00F30654">
        <w:rPr>
          <w:rFonts w:cs="Times New Roman"/>
          <w:i/>
          <w:iCs/>
          <w:sz w:val="16"/>
          <w:szCs w:val="16"/>
        </w:rPr>
        <w:t xml:space="preserve">Older people and the law </w:t>
      </w:r>
      <w:r>
        <w:rPr>
          <w:rFonts w:cs="Times New Roman"/>
          <w:sz w:val="16"/>
          <w:szCs w:val="16"/>
        </w:rPr>
        <w:t xml:space="preserve">(2007). </w:t>
      </w:r>
      <w:r w:rsidRPr="00F30654">
        <w:rPr>
          <w:rFonts w:cs="Times New Roman"/>
          <w:sz w:val="16"/>
          <w:szCs w:val="16"/>
        </w:rPr>
        <w:t xml:space="preserve">40. </w:t>
      </w:r>
    </w:p>
  </w:footnote>
  <w:footnote w:id="14">
    <w:p w:rsidR="00D80277" w:rsidRPr="00F30654" w:rsidRDefault="00D80277" w:rsidP="00F04BE9">
      <w:pPr>
        <w:pStyle w:val="FootnoteText"/>
        <w:rPr>
          <w:rFonts w:cs="Times New Roman"/>
          <w:sz w:val="16"/>
          <w:szCs w:val="16"/>
        </w:rPr>
      </w:pPr>
      <w:r w:rsidRPr="00F30654">
        <w:rPr>
          <w:rStyle w:val="FootnoteReference"/>
          <w:rFonts w:cs="Times New Roman"/>
          <w:sz w:val="16"/>
          <w:szCs w:val="16"/>
        </w:rPr>
        <w:footnoteRef/>
      </w:r>
      <w:r w:rsidRPr="00F30654">
        <w:rPr>
          <w:rFonts w:cs="Times New Roman"/>
          <w:sz w:val="16"/>
          <w:szCs w:val="16"/>
        </w:rPr>
        <w:t xml:space="preserve"> </w:t>
      </w:r>
      <w:proofErr w:type="gramStart"/>
      <w:r w:rsidRPr="00F30654">
        <w:rPr>
          <w:rFonts w:cs="Times New Roman"/>
          <w:sz w:val="16"/>
          <w:szCs w:val="16"/>
        </w:rPr>
        <w:t>Ibid, 18.</w:t>
      </w:r>
      <w:proofErr w:type="gramEnd"/>
    </w:p>
  </w:footnote>
  <w:footnote w:id="15">
    <w:p w:rsidR="00D80277" w:rsidRPr="00F30654" w:rsidRDefault="00D80277" w:rsidP="00D739DA">
      <w:pPr>
        <w:pStyle w:val="FootnoteText"/>
        <w:rPr>
          <w:rFonts w:cs="Times New Roman"/>
          <w:sz w:val="16"/>
          <w:szCs w:val="16"/>
          <w:lang w:val="en-US"/>
        </w:rPr>
      </w:pPr>
      <w:r w:rsidRPr="00F30654">
        <w:rPr>
          <w:rStyle w:val="FootnoteReference"/>
          <w:rFonts w:cs="Times New Roman"/>
          <w:sz w:val="16"/>
          <w:szCs w:val="16"/>
        </w:rPr>
        <w:footnoteRef/>
      </w:r>
      <w:r w:rsidRPr="00F30654">
        <w:rPr>
          <w:rFonts w:cs="Times New Roman"/>
          <w:sz w:val="16"/>
          <w:szCs w:val="16"/>
        </w:rPr>
        <w:t xml:space="preserve"> House of Representatives Standing Committee on Legal and Constitutional Affairs, Parliament of Australia, </w:t>
      </w:r>
      <w:r w:rsidRPr="00F30654">
        <w:rPr>
          <w:rFonts w:cs="Times New Roman"/>
          <w:i/>
          <w:iCs/>
          <w:sz w:val="16"/>
          <w:szCs w:val="16"/>
        </w:rPr>
        <w:t xml:space="preserve">Older people and the law </w:t>
      </w:r>
      <w:r>
        <w:rPr>
          <w:rFonts w:cs="Times New Roman"/>
          <w:sz w:val="16"/>
          <w:szCs w:val="16"/>
        </w:rPr>
        <w:t>(2007).</w:t>
      </w:r>
    </w:p>
  </w:footnote>
  <w:footnote w:id="16">
    <w:p w:rsidR="00D80277" w:rsidRPr="00F30654" w:rsidRDefault="00D80277" w:rsidP="00C77A19">
      <w:pPr>
        <w:pStyle w:val="FootnoteText"/>
        <w:rPr>
          <w:rFonts w:cs="Times New Roman"/>
          <w:sz w:val="16"/>
          <w:szCs w:val="16"/>
          <w:lang w:val="en-US"/>
        </w:rPr>
      </w:pPr>
      <w:r w:rsidRPr="00F30654">
        <w:rPr>
          <w:rStyle w:val="FootnoteReference"/>
          <w:rFonts w:cs="Times New Roman"/>
          <w:sz w:val="16"/>
          <w:szCs w:val="16"/>
        </w:rPr>
        <w:footnoteRef/>
      </w:r>
      <w:r w:rsidRPr="00F30654">
        <w:rPr>
          <w:rFonts w:cs="Times New Roman"/>
          <w:sz w:val="16"/>
          <w:szCs w:val="16"/>
        </w:rPr>
        <w:t xml:space="preserve"> </w:t>
      </w:r>
      <w:proofErr w:type="gramStart"/>
      <w:r>
        <w:rPr>
          <w:rFonts w:cs="Times New Roman"/>
          <w:sz w:val="16"/>
          <w:szCs w:val="16"/>
        </w:rPr>
        <w:t>Ibid.</w:t>
      </w:r>
      <w:proofErr w:type="gramEnd"/>
      <w:r w:rsidRPr="00F30654">
        <w:rPr>
          <w:rFonts w:cs="Times New Roman"/>
          <w:sz w:val="16"/>
          <w:szCs w:val="16"/>
        </w:rPr>
        <w:t xml:space="preserve"> </w:t>
      </w:r>
    </w:p>
  </w:footnote>
  <w:footnote w:id="17">
    <w:p w:rsidR="00D80277" w:rsidRPr="00F30654" w:rsidRDefault="00D80277" w:rsidP="00B76F8A">
      <w:pPr>
        <w:pStyle w:val="FootnoteText"/>
        <w:rPr>
          <w:rFonts w:cs="Times New Roman"/>
          <w:sz w:val="16"/>
          <w:szCs w:val="16"/>
          <w:lang w:val="en-US"/>
        </w:rPr>
      </w:pPr>
      <w:r w:rsidRPr="00F30654">
        <w:rPr>
          <w:rStyle w:val="FootnoteReference"/>
          <w:rFonts w:cs="Times New Roman"/>
          <w:sz w:val="16"/>
          <w:szCs w:val="16"/>
        </w:rPr>
        <w:footnoteRef/>
      </w:r>
      <w:r w:rsidRPr="00F30654">
        <w:rPr>
          <w:rFonts w:cs="Times New Roman"/>
          <w:sz w:val="16"/>
          <w:szCs w:val="16"/>
        </w:rPr>
        <w:t xml:space="preserve"> </w:t>
      </w:r>
      <w:proofErr w:type="gramStart"/>
      <w:r>
        <w:rPr>
          <w:rFonts w:cs="Times New Roman"/>
          <w:sz w:val="16"/>
          <w:szCs w:val="16"/>
        </w:rPr>
        <w:t>Ibid.</w:t>
      </w:r>
      <w:proofErr w:type="gramEnd"/>
      <w:r w:rsidRPr="00F30654">
        <w:rPr>
          <w:rFonts w:cs="Times New Roman"/>
          <w:sz w:val="16"/>
          <w:szCs w:val="16"/>
        </w:rPr>
        <w:t xml:space="preserve"> </w:t>
      </w:r>
    </w:p>
  </w:footnote>
  <w:footnote w:id="18">
    <w:p w:rsidR="00D80277" w:rsidRPr="00006ACF" w:rsidRDefault="00D80277" w:rsidP="002C4487">
      <w:pPr>
        <w:pStyle w:val="FootnoteText"/>
        <w:rPr>
          <w:rFonts w:cs="Times New Roman"/>
          <w:sz w:val="16"/>
          <w:szCs w:val="16"/>
        </w:rPr>
      </w:pPr>
      <w:r w:rsidRPr="00006ACF">
        <w:rPr>
          <w:rStyle w:val="FootnoteReference"/>
          <w:rFonts w:cs="Times New Roman"/>
          <w:sz w:val="16"/>
          <w:szCs w:val="16"/>
        </w:rPr>
        <w:footnoteRef/>
      </w:r>
      <w:r w:rsidRPr="00006ACF">
        <w:rPr>
          <w:rFonts w:cs="Times New Roman"/>
          <w:sz w:val="16"/>
          <w:szCs w:val="16"/>
        </w:rPr>
        <w:t xml:space="preserve"> Loddon Campaspe Community Legal Centre, ‘Responding to the financial abuse of older people: Understanding the challenges faced by the banking and financial services sector’ (2008) </w:t>
      </w:r>
      <w:r w:rsidRPr="00006ACF">
        <w:rPr>
          <w:rFonts w:cs="Times New Roman"/>
          <w:i/>
          <w:sz w:val="16"/>
          <w:szCs w:val="16"/>
        </w:rPr>
        <w:t>Advocacy &amp; Rights Centre Ltd</w:t>
      </w:r>
      <w:r w:rsidRPr="00006ACF">
        <w:rPr>
          <w:rFonts w:cs="Times New Roman"/>
          <w:sz w:val="16"/>
          <w:szCs w:val="16"/>
        </w:rPr>
        <w:t xml:space="preserve">. </w:t>
      </w:r>
    </w:p>
  </w:footnote>
  <w:footnote w:id="19">
    <w:p w:rsidR="00D80277" w:rsidRPr="00F30654" w:rsidRDefault="00D80277" w:rsidP="002C4487">
      <w:pPr>
        <w:pStyle w:val="FootnoteText"/>
        <w:rPr>
          <w:rFonts w:cs="Times New Roman"/>
          <w:sz w:val="16"/>
          <w:szCs w:val="16"/>
          <w:lang w:val="en-US"/>
        </w:rPr>
      </w:pPr>
      <w:r w:rsidRPr="00F30654">
        <w:rPr>
          <w:rStyle w:val="FootnoteReference"/>
          <w:rFonts w:cs="Times New Roman"/>
          <w:sz w:val="16"/>
          <w:szCs w:val="16"/>
        </w:rPr>
        <w:footnoteRef/>
      </w:r>
      <w:r w:rsidRPr="00F30654">
        <w:rPr>
          <w:rFonts w:cs="Times New Roman"/>
          <w:sz w:val="16"/>
          <w:szCs w:val="16"/>
        </w:rPr>
        <w:t xml:space="preserve"> </w:t>
      </w:r>
      <w:proofErr w:type="gramStart"/>
      <w:r w:rsidRPr="00F30654">
        <w:rPr>
          <w:rFonts w:cs="Times New Roman"/>
          <w:sz w:val="16"/>
          <w:szCs w:val="16"/>
        </w:rPr>
        <w:t>Ibid.</w:t>
      </w:r>
      <w:proofErr w:type="gramEnd"/>
      <w:r w:rsidRPr="00F30654">
        <w:rPr>
          <w:rFonts w:cs="Times New Roman"/>
          <w:sz w:val="16"/>
          <w:szCs w:val="16"/>
        </w:rPr>
        <w:t xml:space="preserve"> </w:t>
      </w:r>
    </w:p>
  </w:footnote>
  <w:footnote w:id="20">
    <w:p w:rsidR="00D80277" w:rsidRPr="00F30654" w:rsidRDefault="00D80277" w:rsidP="00C85756">
      <w:pPr>
        <w:pStyle w:val="FootnoteText"/>
        <w:rPr>
          <w:rFonts w:cs="Times New Roman"/>
          <w:sz w:val="16"/>
          <w:szCs w:val="16"/>
          <w:lang w:val="en-US"/>
        </w:rPr>
      </w:pPr>
      <w:r w:rsidRPr="00F30654">
        <w:rPr>
          <w:rStyle w:val="FootnoteReference"/>
          <w:rFonts w:cs="Times New Roman"/>
          <w:sz w:val="16"/>
          <w:szCs w:val="16"/>
        </w:rPr>
        <w:footnoteRef/>
      </w:r>
      <w:r>
        <w:rPr>
          <w:rFonts w:cs="Times New Roman"/>
          <w:sz w:val="16"/>
          <w:szCs w:val="16"/>
        </w:rPr>
        <w:t xml:space="preserve"> </w:t>
      </w:r>
      <w:proofErr w:type="gramStart"/>
      <w:r>
        <w:rPr>
          <w:rFonts w:cs="Times New Roman"/>
          <w:sz w:val="16"/>
          <w:szCs w:val="16"/>
        </w:rPr>
        <w:t xml:space="preserve">Ibid, </w:t>
      </w:r>
      <w:r w:rsidRPr="00F30654">
        <w:rPr>
          <w:rFonts w:cs="Times New Roman"/>
          <w:sz w:val="16"/>
          <w:szCs w:val="16"/>
        </w:rPr>
        <w:t>7.</w:t>
      </w:r>
      <w:proofErr w:type="gramEnd"/>
      <w:r w:rsidRPr="00F30654">
        <w:rPr>
          <w:rFonts w:cs="Times New Roman"/>
          <w:sz w:val="16"/>
          <w:szCs w:val="16"/>
        </w:rPr>
        <w:t xml:space="preserve"> </w:t>
      </w:r>
    </w:p>
  </w:footnote>
  <w:footnote w:id="21">
    <w:p w:rsidR="00D80277" w:rsidRPr="00F30654" w:rsidRDefault="00D80277">
      <w:pPr>
        <w:pStyle w:val="FootnoteText"/>
        <w:rPr>
          <w:rFonts w:cs="Times New Roman"/>
          <w:sz w:val="16"/>
          <w:szCs w:val="16"/>
        </w:rPr>
      </w:pPr>
      <w:r w:rsidRPr="00F30654">
        <w:rPr>
          <w:rStyle w:val="FootnoteReference"/>
          <w:rFonts w:cs="Times New Roman"/>
          <w:sz w:val="16"/>
          <w:szCs w:val="16"/>
        </w:rPr>
        <w:footnoteRef/>
      </w:r>
      <w:r w:rsidRPr="00F30654">
        <w:rPr>
          <w:rFonts w:cs="Times New Roman"/>
          <w:sz w:val="16"/>
          <w:szCs w:val="16"/>
        </w:rPr>
        <w:t xml:space="preserve"> </w:t>
      </w:r>
      <w:r w:rsidRPr="00006ACF">
        <w:rPr>
          <w:rFonts w:cs="Times New Roman"/>
          <w:sz w:val="16"/>
          <w:szCs w:val="16"/>
        </w:rPr>
        <w:t xml:space="preserve">Loddon Campaspe Community Legal Centre, ‘Responding to the financial abuse of older people: Understanding the challenges faced by the banking and financial services sector’ (2008) </w:t>
      </w:r>
      <w:r w:rsidRPr="00006ACF">
        <w:rPr>
          <w:rFonts w:cs="Times New Roman"/>
          <w:i/>
          <w:sz w:val="16"/>
          <w:szCs w:val="16"/>
        </w:rPr>
        <w:t>Advocacy &amp; Rights Centre Ltd</w:t>
      </w:r>
      <w:r>
        <w:rPr>
          <w:rFonts w:cs="Times New Roman"/>
          <w:sz w:val="16"/>
          <w:szCs w:val="16"/>
        </w:rPr>
        <w:t xml:space="preserve">, </w:t>
      </w:r>
      <w:r w:rsidRPr="00F30654">
        <w:rPr>
          <w:rFonts w:cs="Times New Roman"/>
          <w:sz w:val="16"/>
          <w:szCs w:val="16"/>
        </w:rPr>
        <w:t xml:space="preserve">7. </w:t>
      </w:r>
    </w:p>
  </w:footnote>
  <w:footnote w:id="22">
    <w:p w:rsidR="00D80277" w:rsidRPr="00F30654" w:rsidRDefault="00D80277" w:rsidP="004C07BD">
      <w:pPr>
        <w:pStyle w:val="FootnoteText"/>
        <w:rPr>
          <w:rFonts w:cs="Times New Roman"/>
          <w:sz w:val="16"/>
          <w:szCs w:val="16"/>
        </w:rPr>
      </w:pPr>
      <w:r w:rsidRPr="00F30654">
        <w:rPr>
          <w:rStyle w:val="FootnoteReference"/>
          <w:rFonts w:cs="Times New Roman"/>
          <w:sz w:val="16"/>
          <w:szCs w:val="16"/>
        </w:rPr>
        <w:footnoteRef/>
      </w:r>
      <w:r w:rsidRPr="00F30654">
        <w:rPr>
          <w:rFonts w:cs="Times New Roman"/>
          <w:sz w:val="16"/>
          <w:szCs w:val="16"/>
        </w:rPr>
        <w:t xml:space="preserve"> </w:t>
      </w:r>
      <w:proofErr w:type="gramStart"/>
      <w:r w:rsidRPr="00F30654">
        <w:rPr>
          <w:rFonts w:cs="Times New Roman"/>
          <w:sz w:val="16"/>
          <w:szCs w:val="16"/>
        </w:rPr>
        <w:t>Ibid.</w:t>
      </w:r>
      <w:proofErr w:type="gramEnd"/>
      <w:r w:rsidRPr="00F30654">
        <w:rPr>
          <w:rFonts w:cs="Times New Roman"/>
          <w:sz w:val="16"/>
          <w:szCs w:val="16"/>
        </w:rPr>
        <w:t xml:space="preserve">  </w:t>
      </w:r>
    </w:p>
  </w:footnote>
  <w:footnote w:id="23">
    <w:p w:rsidR="00D80277" w:rsidRPr="00F30654" w:rsidRDefault="00D80277" w:rsidP="001625F3">
      <w:pPr>
        <w:pStyle w:val="FootnoteText"/>
        <w:rPr>
          <w:rFonts w:cs="Times New Roman"/>
          <w:sz w:val="16"/>
          <w:szCs w:val="16"/>
        </w:rPr>
      </w:pPr>
      <w:r w:rsidRPr="00F30654">
        <w:rPr>
          <w:rStyle w:val="FootnoteReference"/>
          <w:rFonts w:cs="Times New Roman"/>
          <w:sz w:val="16"/>
          <w:szCs w:val="16"/>
        </w:rPr>
        <w:footnoteRef/>
      </w:r>
      <w:r w:rsidRPr="00F30654">
        <w:rPr>
          <w:rFonts w:cs="Times New Roman"/>
          <w:sz w:val="16"/>
          <w:szCs w:val="16"/>
        </w:rPr>
        <w:t xml:space="preserve"> </w:t>
      </w:r>
      <w:proofErr w:type="gramStart"/>
      <w:r w:rsidRPr="00F30654">
        <w:rPr>
          <w:rFonts w:cs="Times New Roman"/>
          <w:sz w:val="16"/>
          <w:szCs w:val="16"/>
        </w:rPr>
        <w:t>Ibid.</w:t>
      </w:r>
      <w:proofErr w:type="gramEnd"/>
      <w:r w:rsidRPr="00F30654">
        <w:rPr>
          <w:rFonts w:cs="Times New Roman"/>
          <w:sz w:val="16"/>
          <w:szCs w:val="16"/>
        </w:rPr>
        <w:t xml:space="preserve">  </w:t>
      </w:r>
    </w:p>
  </w:footnote>
  <w:footnote w:id="24">
    <w:p w:rsidR="00D80277" w:rsidRPr="00F30654" w:rsidRDefault="00D80277" w:rsidP="000E7FE3">
      <w:pPr>
        <w:pStyle w:val="FootnoteText"/>
        <w:rPr>
          <w:rFonts w:cs="Times New Roman"/>
          <w:sz w:val="16"/>
          <w:szCs w:val="16"/>
        </w:rPr>
      </w:pPr>
      <w:r w:rsidRPr="00F30654">
        <w:rPr>
          <w:rStyle w:val="FootnoteReference"/>
          <w:rFonts w:cs="Times New Roman"/>
          <w:sz w:val="16"/>
          <w:szCs w:val="16"/>
        </w:rPr>
        <w:footnoteRef/>
      </w:r>
      <w:r w:rsidRPr="00F30654">
        <w:rPr>
          <w:rFonts w:cs="Times New Roman"/>
          <w:sz w:val="16"/>
          <w:szCs w:val="16"/>
        </w:rPr>
        <w:t xml:space="preserve"> </w:t>
      </w:r>
      <w:proofErr w:type="gramStart"/>
      <w:r w:rsidRPr="00F30654">
        <w:rPr>
          <w:rFonts w:cs="Times New Roman"/>
          <w:sz w:val="16"/>
          <w:szCs w:val="16"/>
        </w:rPr>
        <w:t>Ibid.</w:t>
      </w:r>
      <w:proofErr w:type="gramEnd"/>
      <w:r w:rsidRPr="00F30654">
        <w:rPr>
          <w:rFonts w:cs="Times New Roman"/>
          <w:sz w:val="16"/>
          <w:szCs w:val="16"/>
        </w:rPr>
        <w:t xml:space="preserve">  </w:t>
      </w:r>
    </w:p>
  </w:footnote>
  <w:footnote w:id="25">
    <w:p w:rsidR="00D80277" w:rsidRPr="00F30654" w:rsidRDefault="00D80277" w:rsidP="00B9672E">
      <w:pPr>
        <w:pStyle w:val="FootnoteText"/>
        <w:rPr>
          <w:rFonts w:cs="Times New Roman"/>
          <w:sz w:val="16"/>
          <w:szCs w:val="16"/>
          <w:lang w:val="en-US"/>
        </w:rPr>
      </w:pPr>
      <w:r w:rsidRPr="00F30654">
        <w:rPr>
          <w:rStyle w:val="FootnoteReference"/>
          <w:rFonts w:cs="Times New Roman"/>
          <w:sz w:val="16"/>
          <w:szCs w:val="16"/>
        </w:rPr>
        <w:footnoteRef/>
      </w:r>
      <w:r>
        <w:rPr>
          <w:rFonts w:cs="Times New Roman"/>
          <w:sz w:val="16"/>
          <w:szCs w:val="16"/>
        </w:rPr>
        <w:t xml:space="preserve"> </w:t>
      </w:r>
      <w:r w:rsidRPr="00006ACF">
        <w:rPr>
          <w:rFonts w:cs="Times New Roman"/>
          <w:sz w:val="16"/>
          <w:szCs w:val="16"/>
        </w:rPr>
        <w:t xml:space="preserve">Loddon Campaspe Community Legal Centre, ‘Responding to the financial abuse of older people: Understanding the challenges faced by the banking and financial services sector’ (2008) </w:t>
      </w:r>
      <w:r w:rsidRPr="00006ACF">
        <w:rPr>
          <w:rFonts w:cs="Times New Roman"/>
          <w:i/>
          <w:sz w:val="16"/>
          <w:szCs w:val="16"/>
        </w:rPr>
        <w:t>Advocacy &amp; Rights Centre Ltd</w:t>
      </w:r>
      <w:r>
        <w:rPr>
          <w:rFonts w:cs="Times New Roman"/>
          <w:sz w:val="16"/>
          <w:szCs w:val="16"/>
        </w:rPr>
        <w:t xml:space="preserve">, </w:t>
      </w:r>
      <w:r w:rsidRPr="00F30654">
        <w:rPr>
          <w:rFonts w:cs="Times New Roman"/>
          <w:sz w:val="16"/>
          <w:szCs w:val="16"/>
        </w:rPr>
        <w:t xml:space="preserve">8. </w:t>
      </w:r>
    </w:p>
  </w:footnote>
  <w:footnote w:id="26">
    <w:p w:rsidR="00D80277" w:rsidRPr="00F30654" w:rsidRDefault="00D80277">
      <w:pPr>
        <w:pStyle w:val="FootnoteText"/>
        <w:rPr>
          <w:rFonts w:cs="Times New Roman"/>
          <w:sz w:val="16"/>
          <w:szCs w:val="16"/>
          <w:lang w:val="en-US"/>
        </w:rPr>
      </w:pPr>
      <w:r w:rsidRPr="00F30654">
        <w:rPr>
          <w:rStyle w:val="FootnoteReference"/>
          <w:rFonts w:cs="Times New Roman"/>
          <w:sz w:val="16"/>
          <w:szCs w:val="16"/>
        </w:rPr>
        <w:footnoteRef/>
      </w:r>
      <w:r>
        <w:rPr>
          <w:rFonts w:cs="Times New Roman"/>
          <w:sz w:val="16"/>
          <w:szCs w:val="16"/>
        </w:rPr>
        <w:t xml:space="preserve"> </w:t>
      </w:r>
      <w:proofErr w:type="gramStart"/>
      <w:r>
        <w:rPr>
          <w:rFonts w:cs="Times New Roman"/>
          <w:sz w:val="16"/>
          <w:szCs w:val="16"/>
        </w:rPr>
        <w:t>Ibid.</w:t>
      </w:r>
      <w:proofErr w:type="gramEnd"/>
      <w:r w:rsidRPr="00F30654">
        <w:rPr>
          <w:rFonts w:cs="Times New Roman"/>
          <w:sz w:val="16"/>
          <w:szCs w:val="16"/>
        </w:rPr>
        <w:t xml:space="preserve">  </w:t>
      </w:r>
    </w:p>
  </w:footnote>
  <w:footnote w:id="27">
    <w:p w:rsidR="00D80277" w:rsidRPr="00F30654" w:rsidRDefault="00D80277" w:rsidP="00987429">
      <w:pPr>
        <w:pStyle w:val="FootnoteText"/>
        <w:rPr>
          <w:rFonts w:cs="Times New Roman"/>
          <w:sz w:val="16"/>
          <w:szCs w:val="16"/>
          <w:lang w:val="en-US"/>
        </w:rPr>
      </w:pPr>
      <w:r w:rsidRPr="00F30654">
        <w:rPr>
          <w:rStyle w:val="FootnoteReference"/>
          <w:rFonts w:cs="Times New Roman"/>
          <w:sz w:val="16"/>
          <w:szCs w:val="16"/>
        </w:rPr>
        <w:footnoteRef/>
      </w:r>
      <w:r>
        <w:rPr>
          <w:rFonts w:cs="Times New Roman"/>
          <w:sz w:val="16"/>
          <w:szCs w:val="16"/>
        </w:rPr>
        <w:t xml:space="preserve"> Ibid.</w:t>
      </w:r>
    </w:p>
  </w:footnote>
  <w:footnote w:id="28">
    <w:p w:rsidR="00D80277" w:rsidRPr="00F30654" w:rsidRDefault="00D80277" w:rsidP="00FE6654">
      <w:pPr>
        <w:pStyle w:val="FootnoteText"/>
        <w:rPr>
          <w:rFonts w:cs="Times New Roman"/>
          <w:sz w:val="16"/>
          <w:szCs w:val="16"/>
          <w:lang w:val="en-US"/>
        </w:rPr>
      </w:pPr>
      <w:r w:rsidRPr="00F30654">
        <w:rPr>
          <w:rStyle w:val="FootnoteReference"/>
          <w:rFonts w:cs="Times New Roman"/>
          <w:sz w:val="16"/>
          <w:szCs w:val="16"/>
        </w:rPr>
        <w:footnoteRef/>
      </w:r>
      <w:r>
        <w:rPr>
          <w:rFonts w:cs="Times New Roman"/>
          <w:sz w:val="16"/>
          <w:szCs w:val="16"/>
        </w:rPr>
        <w:t xml:space="preserve"> Ibid.</w:t>
      </w:r>
    </w:p>
  </w:footnote>
  <w:footnote w:id="29">
    <w:p w:rsidR="00D80277" w:rsidRPr="00F30654" w:rsidRDefault="00D80277" w:rsidP="00361A10">
      <w:pPr>
        <w:pStyle w:val="FootnoteText"/>
        <w:rPr>
          <w:rFonts w:cs="Times New Roman"/>
          <w:sz w:val="16"/>
          <w:szCs w:val="16"/>
          <w:lang w:val="en-US"/>
        </w:rPr>
      </w:pPr>
      <w:r w:rsidRPr="00F30654">
        <w:rPr>
          <w:rStyle w:val="FootnoteReference"/>
          <w:rFonts w:cs="Times New Roman"/>
          <w:sz w:val="16"/>
          <w:szCs w:val="16"/>
        </w:rPr>
        <w:footnoteRef/>
      </w:r>
      <w:r>
        <w:rPr>
          <w:rFonts w:cs="Times New Roman"/>
          <w:sz w:val="16"/>
          <w:szCs w:val="16"/>
        </w:rPr>
        <w:t xml:space="preserve"> </w:t>
      </w:r>
      <w:r w:rsidRPr="00006ACF">
        <w:rPr>
          <w:rFonts w:cs="Times New Roman"/>
          <w:sz w:val="16"/>
          <w:szCs w:val="16"/>
        </w:rPr>
        <w:t xml:space="preserve">Loddon Campaspe Community Legal Centre, ‘Responding to the financial abuse of older people: Understanding the challenges faced by the banking and financial services sector’ (2008) </w:t>
      </w:r>
      <w:r w:rsidRPr="00006ACF">
        <w:rPr>
          <w:rFonts w:cs="Times New Roman"/>
          <w:i/>
          <w:sz w:val="16"/>
          <w:szCs w:val="16"/>
        </w:rPr>
        <w:t>Advocacy &amp; Rights Centre Ltd</w:t>
      </w:r>
      <w:r>
        <w:rPr>
          <w:rFonts w:cs="Times New Roman"/>
          <w:sz w:val="16"/>
          <w:szCs w:val="16"/>
        </w:rPr>
        <w:t>, 9.</w:t>
      </w:r>
    </w:p>
  </w:footnote>
  <w:footnote w:id="30">
    <w:p w:rsidR="00D80277" w:rsidRPr="00F30654" w:rsidRDefault="00D80277" w:rsidP="0060563B">
      <w:pPr>
        <w:pStyle w:val="FootnoteText"/>
        <w:rPr>
          <w:rFonts w:cs="Times New Roman"/>
          <w:sz w:val="16"/>
          <w:szCs w:val="16"/>
          <w:lang w:val="en-US"/>
        </w:rPr>
      </w:pPr>
      <w:r w:rsidRPr="00F30654">
        <w:rPr>
          <w:rStyle w:val="FootnoteReference"/>
          <w:rFonts w:cs="Times New Roman"/>
          <w:sz w:val="16"/>
          <w:szCs w:val="16"/>
        </w:rPr>
        <w:footnoteRef/>
      </w:r>
      <w:r>
        <w:rPr>
          <w:rFonts w:cs="Times New Roman"/>
          <w:sz w:val="16"/>
          <w:szCs w:val="16"/>
        </w:rPr>
        <w:t xml:space="preserve"> Ibid.</w:t>
      </w:r>
    </w:p>
  </w:footnote>
  <w:footnote w:id="31">
    <w:p w:rsidR="00D80277" w:rsidRPr="00F30654" w:rsidRDefault="00D80277" w:rsidP="0060563B">
      <w:pPr>
        <w:pStyle w:val="FootnoteText"/>
        <w:rPr>
          <w:rFonts w:cs="Times New Roman"/>
          <w:sz w:val="16"/>
          <w:szCs w:val="16"/>
          <w:lang w:val="en-US"/>
        </w:rPr>
      </w:pPr>
      <w:r w:rsidRPr="00F30654">
        <w:rPr>
          <w:rStyle w:val="FootnoteReference"/>
          <w:rFonts w:cs="Times New Roman"/>
          <w:sz w:val="16"/>
          <w:szCs w:val="16"/>
        </w:rPr>
        <w:footnoteRef/>
      </w:r>
      <w:r>
        <w:rPr>
          <w:rFonts w:cs="Times New Roman"/>
          <w:sz w:val="16"/>
          <w:szCs w:val="16"/>
        </w:rPr>
        <w:t xml:space="preserve"> </w:t>
      </w:r>
      <w:r w:rsidRPr="00006ACF">
        <w:rPr>
          <w:rFonts w:cs="Times New Roman"/>
          <w:sz w:val="16"/>
          <w:szCs w:val="16"/>
        </w:rPr>
        <w:t xml:space="preserve">Loddon Campaspe Community Legal Centre, ‘Responding to the financial abuse of older people: Understanding the challenges faced by the banking and financial services sector’ (2008) </w:t>
      </w:r>
      <w:r w:rsidRPr="00006ACF">
        <w:rPr>
          <w:rFonts w:cs="Times New Roman"/>
          <w:i/>
          <w:sz w:val="16"/>
          <w:szCs w:val="16"/>
        </w:rPr>
        <w:t>Advocacy &amp; Rights Centre Ltd</w:t>
      </w:r>
      <w:r>
        <w:rPr>
          <w:rFonts w:cs="Times New Roman"/>
          <w:sz w:val="16"/>
          <w:szCs w:val="16"/>
        </w:rPr>
        <w:t>, 10.</w:t>
      </w:r>
    </w:p>
  </w:footnote>
  <w:footnote w:id="32">
    <w:p w:rsidR="00D80277" w:rsidRPr="00F30654" w:rsidRDefault="00D80277" w:rsidP="00692774">
      <w:pPr>
        <w:pStyle w:val="FootnoteText"/>
        <w:rPr>
          <w:rFonts w:cs="Times New Roman"/>
          <w:sz w:val="16"/>
          <w:szCs w:val="16"/>
          <w:lang w:val="en-US"/>
        </w:rPr>
      </w:pPr>
      <w:r w:rsidRPr="00F30654">
        <w:rPr>
          <w:rStyle w:val="FootnoteReference"/>
          <w:rFonts w:cs="Times New Roman"/>
          <w:sz w:val="16"/>
          <w:szCs w:val="16"/>
        </w:rPr>
        <w:footnoteRef/>
      </w:r>
      <w:r>
        <w:rPr>
          <w:rFonts w:cs="Times New Roman"/>
          <w:sz w:val="16"/>
          <w:szCs w:val="16"/>
        </w:rPr>
        <w:t xml:space="preserve"> Ibid.</w:t>
      </w:r>
    </w:p>
  </w:footnote>
  <w:footnote w:id="33">
    <w:p w:rsidR="00D80277" w:rsidRPr="00F30654" w:rsidRDefault="00D80277" w:rsidP="00361A10">
      <w:pPr>
        <w:pStyle w:val="FootnoteText"/>
        <w:rPr>
          <w:rFonts w:cs="Times New Roman"/>
          <w:sz w:val="16"/>
          <w:szCs w:val="16"/>
          <w:lang w:val="en-US"/>
        </w:rPr>
      </w:pPr>
      <w:r w:rsidRPr="00F30654">
        <w:rPr>
          <w:rStyle w:val="FootnoteReference"/>
          <w:rFonts w:cs="Times New Roman"/>
          <w:sz w:val="16"/>
          <w:szCs w:val="16"/>
        </w:rPr>
        <w:footnoteRef/>
      </w:r>
      <w:r w:rsidRPr="00F30654">
        <w:rPr>
          <w:rFonts w:cs="Times New Roman"/>
          <w:sz w:val="16"/>
          <w:szCs w:val="16"/>
        </w:rPr>
        <w:t xml:space="preserve"> </w:t>
      </w:r>
      <w:r w:rsidRPr="00006ACF">
        <w:rPr>
          <w:rFonts w:cs="Times New Roman"/>
          <w:sz w:val="16"/>
          <w:szCs w:val="16"/>
        </w:rPr>
        <w:t xml:space="preserve">Loddon Campaspe Community Legal Centre, ‘Responding to the financial abuse of older people: Understanding the challenges faced by the banking and financial services sector’ (2008) </w:t>
      </w:r>
      <w:r w:rsidRPr="00006ACF">
        <w:rPr>
          <w:rFonts w:cs="Times New Roman"/>
          <w:i/>
          <w:sz w:val="16"/>
          <w:szCs w:val="16"/>
        </w:rPr>
        <w:t>Advocacy &amp; Rights Centre Ltd</w:t>
      </w:r>
      <w:r>
        <w:rPr>
          <w:rFonts w:cs="Times New Roman"/>
          <w:sz w:val="16"/>
          <w:szCs w:val="16"/>
        </w:rPr>
        <w:t xml:space="preserve">, </w:t>
      </w:r>
      <w:r w:rsidRPr="00F30654">
        <w:rPr>
          <w:rFonts w:cs="Times New Roman"/>
          <w:sz w:val="16"/>
          <w:szCs w:val="16"/>
        </w:rPr>
        <w:t>8.</w:t>
      </w:r>
    </w:p>
  </w:footnote>
  <w:footnote w:id="34">
    <w:p w:rsidR="00D80277" w:rsidRPr="00F30654" w:rsidRDefault="00D80277" w:rsidP="00361A10">
      <w:pPr>
        <w:pStyle w:val="FootnoteText"/>
        <w:rPr>
          <w:rFonts w:cs="Times New Roman"/>
          <w:sz w:val="16"/>
          <w:szCs w:val="16"/>
          <w:lang w:val="en-US"/>
        </w:rPr>
      </w:pPr>
      <w:r w:rsidRPr="00F30654">
        <w:rPr>
          <w:rStyle w:val="FootnoteReference"/>
          <w:rFonts w:cs="Times New Roman"/>
          <w:sz w:val="16"/>
          <w:szCs w:val="16"/>
        </w:rPr>
        <w:footnoteRef/>
      </w:r>
      <w:r w:rsidRPr="00F30654">
        <w:rPr>
          <w:rFonts w:cs="Times New Roman"/>
          <w:sz w:val="16"/>
          <w:szCs w:val="16"/>
        </w:rPr>
        <w:t xml:space="preserve"> </w:t>
      </w:r>
      <w:proofErr w:type="gramStart"/>
      <w:r w:rsidRPr="00F30654">
        <w:rPr>
          <w:rFonts w:cs="Times New Roman"/>
          <w:sz w:val="16"/>
          <w:szCs w:val="16"/>
        </w:rPr>
        <w:t>Ibid, 9.</w:t>
      </w:r>
      <w:proofErr w:type="gramEnd"/>
    </w:p>
  </w:footnote>
  <w:footnote w:id="35">
    <w:p w:rsidR="00D80277" w:rsidRPr="00F30654" w:rsidRDefault="00D80277" w:rsidP="000C281C">
      <w:pPr>
        <w:pStyle w:val="FootnoteText"/>
        <w:rPr>
          <w:rFonts w:cs="Times New Roman"/>
          <w:sz w:val="16"/>
          <w:szCs w:val="16"/>
        </w:rPr>
      </w:pPr>
      <w:r w:rsidRPr="00F30654">
        <w:rPr>
          <w:rStyle w:val="FootnoteReference"/>
          <w:rFonts w:cs="Times New Roman"/>
          <w:sz w:val="16"/>
          <w:szCs w:val="16"/>
        </w:rPr>
        <w:footnoteRef/>
      </w:r>
      <w:r>
        <w:rPr>
          <w:rFonts w:cs="Times New Roman"/>
          <w:sz w:val="16"/>
          <w:szCs w:val="16"/>
        </w:rPr>
        <w:t xml:space="preserve"> </w:t>
      </w:r>
      <w:proofErr w:type="gramStart"/>
      <w:r>
        <w:rPr>
          <w:rFonts w:cs="Times New Roman"/>
          <w:sz w:val="16"/>
          <w:szCs w:val="16"/>
        </w:rPr>
        <w:t xml:space="preserve">Ibid, </w:t>
      </w:r>
      <w:r w:rsidRPr="00F30654">
        <w:rPr>
          <w:rFonts w:cs="Times New Roman"/>
          <w:sz w:val="16"/>
          <w:szCs w:val="16"/>
        </w:rPr>
        <w:t>14.</w:t>
      </w:r>
      <w:proofErr w:type="gramEnd"/>
      <w:r w:rsidRPr="00F30654">
        <w:rPr>
          <w:rFonts w:cs="Times New Roman"/>
          <w:sz w:val="16"/>
          <w:szCs w:val="16"/>
        </w:rPr>
        <w:t xml:space="preserve"> </w:t>
      </w:r>
    </w:p>
  </w:footnote>
  <w:footnote w:id="36">
    <w:p w:rsidR="00D80277" w:rsidRPr="00F30654" w:rsidRDefault="00D80277" w:rsidP="00361A10">
      <w:pPr>
        <w:pStyle w:val="FootnoteText"/>
        <w:rPr>
          <w:rFonts w:cs="Times New Roman"/>
          <w:sz w:val="16"/>
          <w:szCs w:val="16"/>
        </w:rPr>
      </w:pPr>
      <w:r w:rsidRPr="00F30654">
        <w:rPr>
          <w:rStyle w:val="FootnoteReference"/>
          <w:rFonts w:cs="Times New Roman"/>
          <w:sz w:val="16"/>
          <w:szCs w:val="16"/>
        </w:rPr>
        <w:footnoteRef/>
      </w:r>
      <w:r>
        <w:rPr>
          <w:rFonts w:cs="Times New Roman"/>
          <w:sz w:val="16"/>
          <w:szCs w:val="16"/>
        </w:rPr>
        <w:t xml:space="preserve"> </w:t>
      </w:r>
      <w:proofErr w:type="gramStart"/>
      <w:r>
        <w:rPr>
          <w:rFonts w:cs="Times New Roman"/>
          <w:sz w:val="16"/>
          <w:szCs w:val="16"/>
        </w:rPr>
        <w:t xml:space="preserve">Ibid, </w:t>
      </w:r>
      <w:r w:rsidRPr="00F30654">
        <w:rPr>
          <w:rFonts w:cs="Times New Roman"/>
          <w:sz w:val="16"/>
          <w:szCs w:val="16"/>
        </w:rPr>
        <w:t>14.</w:t>
      </w:r>
      <w:proofErr w:type="gramEnd"/>
      <w:r w:rsidRPr="00F30654">
        <w:rPr>
          <w:rFonts w:cs="Times New Roman"/>
          <w:sz w:val="16"/>
          <w:szCs w:val="16"/>
        </w:rPr>
        <w:t xml:space="preserve"> </w:t>
      </w:r>
    </w:p>
  </w:footnote>
  <w:footnote w:id="37">
    <w:p w:rsidR="00D80277" w:rsidRPr="00F30654" w:rsidRDefault="00D80277" w:rsidP="008456F1">
      <w:pPr>
        <w:pStyle w:val="FootnoteText"/>
        <w:rPr>
          <w:rFonts w:cs="Times New Roman"/>
          <w:sz w:val="16"/>
          <w:szCs w:val="16"/>
          <w:lang w:val="en-US"/>
        </w:rPr>
      </w:pPr>
      <w:r w:rsidRPr="00F30654">
        <w:rPr>
          <w:rStyle w:val="FootnoteReference"/>
          <w:rFonts w:cs="Times New Roman"/>
          <w:sz w:val="16"/>
          <w:szCs w:val="16"/>
        </w:rPr>
        <w:footnoteRef/>
      </w:r>
      <w:r>
        <w:rPr>
          <w:rFonts w:cs="Times New Roman"/>
          <w:sz w:val="16"/>
          <w:szCs w:val="16"/>
        </w:rPr>
        <w:t xml:space="preserve"> </w:t>
      </w:r>
      <w:proofErr w:type="gramStart"/>
      <w:r>
        <w:rPr>
          <w:rFonts w:cs="Times New Roman"/>
          <w:sz w:val="16"/>
          <w:szCs w:val="16"/>
        </w:rPr>
        <w:t xml:space="preserve">Ibid, </w:t>
      </w:r>
      <w:r w:rsidRPr="00F30654">
        <w:rPr>
          <w:rFonts w:cs="Times New Roman"/>
          <w:sz w:val="16"/>
          <w:szCs w:val="16"/>
        </w:rPr>
        <w:t>16.</w:t>
      </w:r>
      <w:proofErr w:type="gramEnd"/>
      <w:r w:rsidRPr="00F30654">
        <w:rPr>
          <w:rFonts w:cs="Times New Roman"/>
          <w:sz w:val="16"/>
          <w:szCs w:val="16"/>
        </w:rPr>
        <w:t xml:space="preserve"> </w:t>
      </w:r>
    </w:p>
  </w:footnote>
  <w:footnote w:id="38">
    <w:p w:rsidR="00D80277" w:rsidRPr="00F30654" w:rsidRDefault="00D80277" w:rsidP="000B2898">
      <w:pPr>
        <w:pStyle w:val="FootnoteText"/>
        <w:rPr>
          <w:rFonts w:cs="Times New Roman"/>
          <w:sz w:val="16"/>
          <w:szCs w:val="16"/>
          <w:lang w:val="en-US"/>
        </w:rPr>
      </w:pPr>
      <w:r w:rsidRPr="00F30654">
        <w:rPr>
          <w:rStyle w:val="FootnoteReference"/>
          <w:rFonts w:cs="Times New Roman"/>
          <w:sz w:val="16"/>
          <w:szCs w:val="16"/>
        </w:rPr>
        <w:footnoteRef/>
      </w:r>
      <w:r>
        <w:rPr>
          <w:rFonts w:cs="Times New Roman"/>
          <w:sz w:val="16"/>
          <w:szCs w:val="16"/>
        </w:rPr>
        <w:t xml:space="preserve"> </w:t>
      </w:r>
      <w:proofErr w:type="gramStart"/>
      <w:r>
        <w:rPr>
          <w:rFonts w:cs="Times New Roman"/>
          <w:sz w:val="16"/>
          <w:szCs w:val="16"/>
        </w:rPr>
        <w:t xml:space="preserve">Ibid, </w:t>
      </w:r>
      <w:r w:rsidRPr="00F30654">
        <w:rPr>
          <w:rFonts w:cs="Times New Roman"/>
          <w:sz w:val="16"/>
          <w:szCs w:val="16"/>
        </w:rPr>
        <w:t>16.</w:t>
      </w:r>
      <w:proofErr w:type="gramEnd"/>
    </w:p>
  </w:footnote>
  <w:footnote w:id="39">
    <w:p w:rsidR="00D80277" w:rsidRPr="00F30654" w:rsidRDefault="00D80277" w:rsidP="008456F1">
      <w:pPr>
        <w:pStyle w:val="FootnoteText"/>
        <w:rPr>
          <w:rFonts w:cs="Times New Roman"/>
          <w:sz w:val="16"/>
          <w:szCs w:val="16"/>
          <w:lang w:val="en-US"/>
        </w:rPr>
      </w:pPr>
      <w:r w:rsidRPr="00F30654">
        <w:rPr>
          <w:rStyle w:val="FootnoteReference"/>
          <w:rFonts w:cs="Times New Roman"/>
          <w:sz w:val="16"/>
          <w:szCs w:val="16"/>
        </w:rPr>
        <w:footnoteRef/>
      </w:r>
      <w:r>
        <w:rPr>
          <w:rFonts w:cs="Times New Roman"/>
          <w:sz w:val="16"/>
          <w:szCs w:val="16"/>
        </w:rPr>
        <w:t xml:space="preserve"> </w:t>
      </w:r>
      <w:proofErr w:type="gramStart"/>
      <w:r>
        <w:rPr>
          <w:rFonts w:cs="Times New Roman"/>
          <w:sz w:val="16"/>
          <w:szCs w:val="16"/>
        </w:rPr>
        <w:t xml:space="preserve">Ibid, </w:t>
      </w:r>
      <w:r w:rsidRPr="00F30654">
        <w:rPr>
          <w:rFonts w:cs="Times New Roman"/>
          <w:sz w:val="16"/>
          <w:szCs w:val="16"/>
        </w:rPr>
        <w:t>16.</w:t>
      </w:r>
      <w:proofErr w:type="gramEnd"/>
    </w:p>
  </w:footnote>
  <w:footnote w:id="40">
    <w:p w:rsidR="00D80277" w:rsidRPr="00F30654" w:rsidRDefault="00D80277" w:rsidP="008456F1">
      <w:pPr>
        <w:pStyle w:val="FootnoteText"/>
        <w:rPr>
          <w:rFonts w:cs="Times New Roman"/>
          <w:sz w:val="16"/>
          <w:szCs w:val="16"/>
          <w:lang w:val="en-US"/>
        </w:rPr>
      </w:pPr>
      <w:r w:rsidRPr="00F30654">
        <w:rPr>
          <w:rStyle w:val="FootnoteReference"/>
          <w:rFonts w:cs="Times New Roman"/>
          <w:sz w:val="16"/>
          <w:szCs w:val="16"/>
        </w:rPr>
        <w:footnoteRef/>
      </w:r>
      <w:r>
        <w:rPr>
          <w:rFonts w:cs="Times New Roman"/>
          <w:sz w:val="16"/>
          <w:szCs w:val="16"/>
        </w:rPr>
        <w:t xml:space="preserve"> </w:t>
      </w:r>
      <w:proofErr w:type="gramStart"/>
      <w:r>
        <w:rPr>
          <w:rFonts w:cs="Times New Roman"/>
          <w:sz w:val="16"/>
          <w:szCs w:val="16"/>
        </w:rPr>
        <w:t xml:space="preserve">Ibid, </w:t>
      </w:r>
      <w:r w:rsidRPr="00F30654">
        <w:rPr>
          <w:rFonts w:cs="Times New Roman"/>
          <w:sz w:val="16"/>
          <w:szCs w:val="16"/>
        </w:rPr>
        <w:t>16.</w:t>
      </w:r>
      <w:proofErr w:type="gramEnd"/>
      <w:r w:rsidRPr="00F30654">
        <w:rPr>
          <w:rFonts w:cs="Times New Roman"/>
          <w:sz w:val="16"/>
          <w:szCs w:val="16"/>
        </w:rPr>
        <w:t xml:space="preserve"> </w:t>
      </w:r>
    </w:p>
  </w:footnote>
  <w:footnote w:id="41">
    <w:p w:rsidR="00D80277" w:rsidRPr="00F30654" w:rsidRDefault="00D80277" w:rsidP="008456F1">
      <w:pPr>
        <w:pStyle w:val="FootnoteText"/>
        <w:rPr>
          <w:rFonts w:cs="Times New Roman"/>
          <w:sz w:val="16"/>
          <w:szCs w:val="16"/>
          <w:lang w:val="en-US"/>
        </w:rPr>
      </w:pPr>
      <w:r w:rsidRPr="00F30654">
        <w:rPr>
          <w:rStyle w:val="FootnoteReference"/>
          <w:rFonts w:cs="Times New Roman"/>
          <w:sz w:val="16"/>
          <w:szCs w:val="16"/>
        </w:rPr>
        <w:footnoteRef/>
      </w:r>
      <w:r>
        <w:rPr>
          <w:rFonts w:cs="Times New Roman"/>
          <w:sz w:val="16"/>
          <w:szCs w:val="16"/>
        </w:rPr>
        <w:t xml:space="preserve"> </w:t>
      </w:r>
      <w:proofErr w:type="gramStart"/>
      <w:r>
        <w:rPr>
          <w:rFonts w:cs="Times New Roman"/>
          <w:sz w:val="16"/>
          <w:szCs w:val="16"/>
        </w:rPr>
        <w:t xml:space="preserve">Ibid, </w:t>
      </w:r>
      <w:r w:rsidRPr="00F30654">
        <w:rPr>
          <w:rFonts w:cs="Times New Roman"/>
          <w:sz w:val="16"/>
          <w:szCs w:val="16"/>
        </w:rPr>
        <w:t>17.</w:t>
      </w:r>
      <w:proofErr w:type="gramEnd"/>
      <w:r w:rsidRPr="00F30654">
        <w:rPr>
          <w:rFonts w:cs="Times New Roman"/>
          <w:sz w:val="16"/>
          <w:szCs w:val="16"/>
        </w:rPr>
        <w:t xml:space="preserve"> </w:t>
      </w:r>
    </w:p>
  </w:footnote>
  <w:footnote w:id="42">
    <w:p w:rsidR="00D80277" w:rsidRPr="00F30654" w:rsidRDefault="00D80277" w:rsidP="008456F1">
      <w:pPr>
        <w:pStyle w:val="FootnoteText"/>
        <w:rPr>
          <w:rFonts w:cs="Times New Roman"/>
          <w:sz w:val="16"/>
          <w:szCs w:val="16"/>
          <w:lang w:val="en-US"/>
        </w:rPr>
      </w:pPr>
      <w:r w:rsidRPr="00F30654">
        <w:rPr>
          <w:rStyle w:val="FootnoteReference"/>
          <w:rFonts w:cs="Times New Roman"/>
          <w:sz w:val="16"/>
          <w:szCs w:val="16"/>
        </w:rPr>
        <w:footnoteRef/>
      </w:r>
      <w:r>
        <w:rPr>
          <w:rFonts w:cs="Times New Roman"/>
          <w:sz w:val="16"/>
          <w:szCs w:val="16"/>
        </w:rPr>
        <w:t xml:space="preserve"> </w:t>
      </w:r>
      <w:proofErr w:type="gramStart"/>
      <w:r>
        <w:rPr>
          <w:rFonts w:cs="Times New Roman"/>
          <w:sz w:val="16"/>
          <w:szCs w:val="16"/>
        </w:rPr>
        <w:t xml:space="preserve">Ibid, </w:t>
      </w:r>
      <w:r w:rsidRPr="00F30654">
        <w:rPr>
          <w:rFonts w:cs="Times New Roman"/>
          <w:sz w:val="16"/>
          <w:szCs w:val="16"/>
        </w:rPr>
        <w:t>18.</w:t>
      </w:r>
      <w:proofErr w:type="gramEnd"/>
      <w:r w:rsidRPr="00F30654">
        <w:rPr>
          <w:rFonts w:cs="Times New Roman"/>
          <w:sz w:val="16"/>
          <w:szCs w:val="16"/>
        </w:rPr>
        <w:t xml:space="preserve"> </w:t>
      </w:r>
    </w:p>
  </w:footnote>
  <w:footnote w:id="43">
    <w:p w:rsidR="00D80277" w:rsidRPr="00F30654" w:rsidRDefault="00D80277" w:rsidP="008456F1">
      <w:pPr>
        <w:pStyle w:val="FootnoteText"/>
        <w:rPr>
          <w:rFonts w:cs="Times New Roman"/>
          <w:sz w:val="16"/>
          <w:szCs w:val="16"/>
          <w:lang w:val="en-US"/>
        </w:rPr>
      </w:pPr>
      <w:r w:rsidRPr="00F30654">
        <w:rPr>
          <w:rStyle w:val="FootnoteReference"/>
          <w:rFonts w:cs="Times New Roman"/>
          <w:sz w:val="16"/>
          <w:szCs w:val="16"/>
        </w:rPr>
        <w:footnoteRef/>
      </w:r>
      <w:r>
        <w:rPr>
          <w:rFonts w:cs="Times New Roman"/>
          <w:sz w:val="16"/>
          <w:szCs w:val="16"/>
        </w:rPr>
        <w:t xml:space="preserve"> </w:t>
      </w:r>
      <w:proofErr w:type="gramStart"/>
      <w:r>
        <w:rPr>
          <w:rFonts w:cs="Times New Roman"/>
          <w:sz w:val="16"/>
          <w:szCs w:val="16"/>
        </w:rPr>
        <w:t xml:space="preserve">Ibid, </w:t>
      </w:r>
      <w:r w:rsidRPr="00F30654">
        <w:rPr>
          <w:rFonts w:cs="Times New Roman"/>
          <w:sz w:val="16"/>
          <w:szCs w:val="16"/>
        </w:rPr>
        <w:t>22.</w:t>
      </w:r>
      <w:proofErr w:type="gramEnd"/>
      <w:r w:rsidRPr="00F30654">
        <w:rPr>
          <w:rFonts w:cs="Times New Roman"/>
          <w:sz w:val="16"/>
          <w:szCs w:val="16"/>
        </w:rPr>
        <w:t xml:space="preserve"> </w:t>
      </w:r>
    </w:p>
  </w:footnote>
  <w:footnote w:id="44">
    <w:p w:rsidR="00D80277" w:rsidRPr="00F30654" w:rsidRDefault="00D80277" w:rsidP="008456F1">
      <w:pPr>
        <w:pStyle w:val="FootnoteText"/>
        <w:rPr>
          <w:rFonts w:cs="Times New Roman"/>
          <w:sz w:val="16"/>
          <w:szCs w:val="16"/>
          <w:lang w:val="en-US"/>
        </w:rPr>
      </w:pPr>
      <w:r w:rsidRPr="00F30654">
        <w:rPr>
          <w:rStyle w:val="FootnoteReference"/>
          <w:rFonts w:cs="Times New Roman"/>
          <w:sz w:val="16"/>
          <w:szCs w:val="16"/>
        </w:rPr>
        <w:footnoteRef/>
      </w:r>
      <w:r>
        <w:rPr>
          <w:rFonts w:cs="Times New Roman"/>
          <w:sz w:val="16"/>
          <w:szCs w:val="16"/>
        </w:rPr>
        <w:t xml:space="preserve"> </w:t>
      </w:r>
      <w:proofErr w:type="gramStart"/>
      <w:r>
        <w:rPr>
          <w:rFonts w:cs="Times New Roman"/>
          <w:sz w:val="16"/>
          <w:szCs w:val="16"/>
        </w:rPr>
        <w:t xml:space="preserve">Ibid, </w:t>
      </w:r>
      <w:r w:rsidRPr="00F30654">
        <w:rPr>
          <w:rFonts w:cs="Times New Roman"/>
          <w:sz w:val="16"/>
          <w:szCs w:val="16"/>
        </w:rPr>
        <w:t>22.</w:t>
      </w:r>
      <w:proofErr w:type="gramEnd"/>
    </w:p>
  </w:footnote>
  <w:footnote w:id="45">
    <w:p w:rsidR="00D80277" w:rsidRPr="00F30654" w:rsidRDefault="00D80277" w:rsidP="008456F1">
      <w:pPr>
        <w:pStyle w:val="FootnoteText"/>
        <w:rPr>
          <w:rFonts w:cs="Times New Roman"/>
          <w:sz w:val="16"/>
          <w:szCs w:val="16"/>
          <w:lang w:val="en-US"/>
        </w:rPr>
      </w:pPr>
      <w:r w:rsidRPr="00F30654">
        <w:rPr>
          <w:rStyle w:val="FootnoteReference"/>
          <w:rFonts w:cs="Times New Roman"/>
          <w:sz w:val="16"/>
          <w:szCs w:val="16"/>
        </w:rPr>
        <w:footnoteRef/>
      </w:r>
      <w:r w:rsidRPr="00F30654">
        <w:rPr>
          <w:rFonts w:cs="Times New Roman"/>
          <w:sz w:val="16"/>
          <w:szCs w:val="16"/>
        </w:rPr>
        <w:t xml:space="preserve"> </w:t>
      </w:r>
      <w:r w:rsidRPr="00006ACF">
        <w:rPr>
          <w:rFonts w:cs="Times New Roman"/>
          <w:sz w:val="16"/>
          <w:szCs w:val="16"/>
        </w:rPr>
        <w:t xml:space="preserve">Loddon Campaspe Community Legal Centre, ‘Responding to the financial abuse of older people: Understanding the challenges faced by the banking and financial services sector’ (2008) </w:t>
      </w:r>
      <w:r w:rsidRPr="00006ACF">
        <w:rPr>
          <w:rFonts w:cs="Times New Roman"/>
          <w:i/>
          <w:sz w:val="16"/>
          <w:szCs w:val="16"/>
        </w:rPr>
        <w:t>Advocacy &amp; Rights Centre Ltd</w:t>
      </w:r>
      <w:r>
        <w:rPr>
          <w:rFonts w:cs="Times New Roman"/>
          <w:sz w:val="16"/>
          <w:szCs w:val="16"/>
        </w:rPr>
        <w:t xml:space="preserve">, </w:t>
      </w:r>
      <w:r w:rsidRPr="00F30654">
        <w:rPr>
          <w:rFonts w:cs="Times New Roman"/>
          <w:sz w:val="16"/>
          <w:szCs w:val="16"/>
        </w:rPr>
        <w:t>17.</w:t>
      </w:r>
    </w:p>
  </w:footnote>
  <w:footnote w:id="46">
    <w:p w:rsidR="00D80277" w:rsidRPr="00F30654" w:rsidRDefault="00D80277">
      <w:pPr>
        <w:pStyle w:val="FootnoteText"/>
        <w:rPr>
          <w:sz w:val="16"/>
          <w:szCs w:val="16"/>
          <w:lang w:val="en-US"/>
        </w:rPr>
      </w:pPr>
      <w:r w:rsidRPr="00F30654">
        <w:rPr>
          <w:rStyle w:val="FootnoteReference"/>
          <w:sz w:val="16"/>
          <w:szCs w:val="16"/>
        </w:rPr>
        <w:footnoteRef/>
      </w:r>
      <w:r w:rsidRPr="00F30654">
        <w:rPr>
          <w:sz w:val="16"/>
          <w:szCs w:val="16"/>
        </w:rPr>
        <w:t xml:space="preserve"> </w:t>
      </w:r>
      <w:proofErr w:type="gramStart"/>
      <w:r w:rsidRPr="00F30654">
        <w:rPr>
          <w:sz w:val="16"/>
          <w:szCs w:val="16"/>
        </w:rPr>
        <w:t xml:space="preserve">Ibid, </w:t>
      </w:r>
      <w:r w:rsidRPr="00F30654">
        <w:rPr>
          <w:sz w:val="16"/>
          <w:szCs w:val="16"/>
          <w:lang w:val="en-US"/>
        </w:rPr>
        <w:t>26.</w:t>
      </w:r>
      <w:proofErr w:type="gramEnd"/>
    </w:p>
  </w:footnote>
  <w:footnote w:id="47">
    <w:p w:rsidR="00D80277" w:rsidRPr="00F30654" w:rsidRDefault="00D80277" w:rsidP="00F578FA">
      <w:pPr>
        <w:pStyle w:val="FootnoteText"/>
        <w:rPr>
          <w:sz w:val="16"/>
          <w:szCs w:val="16"/>
        </w:rPr>
      </w:pPr>
      <w:r w:rsidRPr="00F30654">
        <w:rPr>
          <w:rStyle w:val="FootnoteReference"/>
          <w:sz w:val="16"/>
          <w:szCs w:val="16"/>
        </w:rPr>
        <w:footnoteRef/>
      </w:r>
      <w:r>
        <w:rPr>
          <w:sz w:val="16"/>
          <w:szCs w:val="16"/>
        </w:rPr>
        <w:t xml:space="preserve"> </w:t>
      </w:r>
      <w:proofErr w:type="gramStart"/>
      <w:r>
        <w:rPr>
          <w:sz w:val="16"/>
          <w:szCs w:val="16"/>
        </w:rPr>
        <w:t xml:space="preserve">Ibid, </w:t>
      </w:r>
      <w:r w:rsidRPr="00F30654">
        <w:rPr>
          <w:sz w:val="16"/>
          <w:szCs w:val="16"/>
        </w:rPr>
        <w:t>33.</w:t>
      </w:r>
      <w:proofErr w:type="gramEnd"/>
    </w:p>
  </w:footnote>
  <w:footnote w:id="48">
    <w:p w:rsidR="00D80277" w:rsidRPr="00F30654" w:rsidRDefault="00D80277" w:rsidP="00F578FA">
      <w:pPr>
        <w:pStyle w:val="FootnoteText"/>
        <w:rPr>
          <w:sz w:val="16"/>
          <w:szCs w:val="16"/>
          <w:highlight w:val="yellow"/>
          <w:lang w:val="en-US"/>
        </w:rPr>
      </w:pPr>
      <w:r w:rsidRPr="00F30654">
        <w:rPr>
          <w:rStyle w:val="FootnoteReference"/>
          <w:sz w:val="16"/>
          <w:szCs w:val="16"/>
        </w:rPr>
        <w:footnoteRef/>
      </w:r>
      <w:r w:rsidRPr="00F30654">
        <w:rPr>
          <w:sz w:val="16"/>
          <w:szCs w:val="16"/>
        </w:rPr>
        <w:t xml:space="preserve"> </w:t>
      </w:r>
      <w:proofErr w:type="gramStart"/>
      <w:r w:rsidRPr="00F30654">
        <w:rPr>
          <w:sz w:val="16"/>
          <w:szCs w:val="16"/>
        </w:rPr>
        <w:t>Ibid.</w:t>
      </w:r>
      <w:proofErr w:type="gramEnd"/>
      <w:r w:rsidRPr="00F30654">
        <w:rPr>
          <w:sz w:val="16"/>
          <w:szCs w:val="16"/>
        </w:rPr>
        <w:t xml:space="preserve"> </w:t>
      </w:r>
    </w:p>
  </w:footnote>
  <w:footnote w:id="49">
    <w:p w:rsidR="00D80277" w:rsidRPr="00F30654" w:rsidRDefault="00D80277" w:rsidP="00F578FA">
      <w:pPr>
        <w:pStyle w:val="FootnoteText"/>
        <w:rPr>
          <w:sz w:val="16"/>
          <w:szCs w:val="16"/>
          <w:highlight w:val="yellow"/>
          <w:lang w:val="en-US"/>
        </w:rPr>
      </w:pPr>
      <w:r w:rsidRPr="00F30654">
        <w:rPr>
          <w:rStyle w:val="FootnoteReference"/>
          <w:sz w:val="16"/>
          <w:szCs w:val="16"/>
        </w:rPr>
        <w:footnoteRef/>
      </w:r>
      <w:r w:rsidRPr="00F30654">
        <w:rPr>
          <w:sz w:val="16"/>
          <w:szCs w:val="16"/>
        </w:rPr>
        <w:t xml:space="preserve"> </w:t>
      </w:r>
      <w:r w:rsidRPr="00006ACF">
        <w:rPr>
          <w:rFonts w:cs="Times New Roman"/>
          <w:sz w:val="16"/>
          <w:szCs w:val="16"/>
        </w:rPr>
        <w:t xml:space="preserve">Loddon Campaspe Community Legal Centre, ‘Responding to the financial abuse of older people: Understanding the challenges faced by the banking and financial services sector’ (2008) </w:t>
      </w:r>
      <w:r w:rsidRPr="00006ACF">
        <w:rPr>
          <w:rFonts w:cs="Times New Roman"/>
          <w:i/>
          <w:sz w:val="16"/>
          <w:szCs w:val="16"/>
        </w:rPr>
        <w:t>Advocacy &amp; Rights Centre Ltd</w:t>
      </w:r>
      <w:r>
        <w:rPr>
          <w:rFonts w:cs="Times New Roman"/>
          <w:sz w:val="16"/>
          <w:szCs w:val="16"/>
        </w:rPr>
        <w:t>, 27.</w:t>
      </w:r>
    </w:p>
  </w:footnote>
  <w:footnote w:id="50">
    <w:p w:rsidR="00D80277" w:rsidRPr="00F30654" w:rsidRDefault="00D80277" w:rsidP="00F578FA">
      <w:pPr>
        <w:pStyle w:val="FootnoteText"/>
        <w:rPr>
          <w:sz w:val="16"/>
          <w:szCs w:val="16"/>
          <w:lang w:val="en-US"/>
        </w:rPr>
      </w:pPr>
      <w:r w:rsidRPr="00F30654">
        <w:rPr>
          <w:rStyle w:val="FootnoteReference"/>
          <w:sz w:val="16"/>
          <w:szCs w:val="16"/>
        </w:rPr>
        <w:footnoteRef/>
      </w:r>
      <w:r w:rsidRPr="00F30654">
        <w:rPr>
          <w:sz w:val="16"/>
          <w:szCs w:val="16"/>
        </w:rPr>
        <w:t xml:space="preserve"> </w:t>
      </w:r>
      <w:proofErr w:type="gramStart"/>
      <w:r w:rsidRPr="00F30654">
        <w:rPr>
          <w:sz w:val="16"/>
          <w:szCs w:val="16"/>
        </w:rPr>
        <w:t>Ibid.</w:t>
      </w:r>
      <w:proofErr w:type="gramEnd"/>
      <w:r w:rsidRPr="00F30654">
        <w:rPr>
          <w:sz w:val="16"/>
          <w:szCs w:val="16"/>
        </w:rPr>
        <w:t xml:space="preserve"> </w:t>
      </w:r>
    </w:p>
  </w:footnote>
  <w:footnote w:id="51">
    <w:p w:rsidR="00D80277" w:rsidRPr="00F30654" w:rsidRDefault="00D80277" w:rsidP="00F578FA">
      <w:pPr>
        <w:pStyle w:val="FootnoteText"/>
        <w:rPr>
          <w:rFonts w:cs="Times New Roman"/>
          <w:sz w:val="16"/>
          <w:szCs w:val="16"/>
          <w:lang w:val="en-US"/>
        </w:rPr>
      </w:pPr>
      <w:r w:rsidRPr="00F30654">
        <w:rPr>
          <w:rStyle w:val="FootnoteReference"/>
          <w:rFonts w:cs="Times New Roman"/>
          <w:sz w:val="16"/>
          <w:szCs w:val="16"/>
        </w:rPr>
        <w:footnoteRef/>
      </w:r>
      <w:r w:rsidRPr="00F30654">
        <w:rPr>
          <w:rFonts w:cs="Times New Roman"/>
          <w:sz w:val="16"/>
          <w:szCs w:val="16"/>
        </w:rPr>
        <w:t xml:space="preserve"> </w:t>
      </w:r>
      <w:r w:rsidRPr="00006ACF">
        <w:rPr>
          <w:rFonts w:cs="Times New Roman"/>
          <w:sz w:val="16"/>
          <w:szCs w:val="16"/>
        </w:rPr>
        <w:t xml:space="preserve">Loddon Campaspe Community Legal Centre, ‘Responding to the financial abuse of older people: Understanding the challenges faced by the banking and financial services sector’ (2008) </w:t>
      </w:r>
      <w:r w:rsidRPr="00006ACF">
        <w:rPr>
          <w:rFonts w:cs="Times New Roman"/>
          <w:i/>
          <w:sz w:val="16"/>
          <w:szCs w:val="16"/>
        </w:rPr>
        <w:t>Advocacy &amp; Rights Centre Ltd</w:t>
      </w:r>
      <w:r>
        <w:rPr>
          <w:rFonts w:cs="Times New Roman"/>
          <w:sz w:val="16"/>
          <w:szCs w:val="16"/>
        </w:rPr>
        <w:t xml:space="preserve">, </w:t>
      </w:r>
      <w:r w:rsidRPr="00F30654">
        <w:rPr>
          <w:rFonts w:cs="Times New Roman"/>
          <w:sz w:val="16"/>
          <w:szCs w:val="16"/>
        </w:rPr>
        <w:t>14.</w:t>
      </w:r>
    </w:p>
  </w:footnote>
  <w:footnote w:id="52">
    <w:p w:rsidR="00D80277" w:rsidRPr="00F30654" w:rsidRDefault="00D80277" w:rsidP="00F578FA">
      <w:pPr>
        <w:pStyle w:val="FootnoteText"/>
        <w:rPr>
          <w:rFonts w:cs="Times New Roman"/>
          <w:sz w:val="16"/>
          <w:szCs w:val="16"/>
          <w:lang w:val="en-US"/>
        </w:rPr>
      </w:pPr>
      <w:r w:rsidRPr="00F30654">
        <w:rPr>
          <w:rStyle w:val="FootnoteReference"/>
          <w:rFonts w:cs="Times New Roman"/>
          <w:sz w:val="16"/>
          <w:szCs w:val="16"/>
        </w:rPr>
        <w:footnoteRef/>
      </w:r>
      <w:r w:rsidRPr="00F30654">
        <w:rPr>
          <w:rFonts w:cs="Times New Roman"/>
          <w:sz w:val="16"/>
          <w:szCs w:val="16"/>
        </w:rPr>
        <w:t xml:space="preserve"> </w:t>
      </w:r>
      <w:proofErr w:type="spellStart"/>
      <w:proofErr w:type="gramStart"/>
      <w:r w:rsidRPr="00F30654">
        <w:rPr>
          <w:rFonts w:cs="Times New Roman"/>
          <w:i/>
          <w:sz w:val="16"/>
          <w:szCs w:val="16"/>
          <w:lang w:val="en-US"/>
        </w:rPr>
        <w:t>Seager</w:t>
      </w:r>
      <w:proofErr w:type="spellEnd"/>
      <w:r w:rsidRPr="00F30654">
        <w:rPr>
          <w:rFonts w:cs="Times New Roman"/>
          <w:i/>
          <w:sz w:val="16"/>
          <w:szCs w:val="16"/>
          <w:lang w:val="en-US"/>
        </w:rPr>
        <w:t xml:space="preserve"> v </w:t>
      </w:r>
      <w:proofErr w:type="spellStart"/>
      <w:r w:rsidRPr="00F30654">
        <w:rPr>
          <w:rFonts w:cs="Times New Roman"/>
          <w:i/>
          <w:sz w:val="16"/>
          <w:szCs w:val="16"/>
          <w:lang w:val="en-US"/>
        </w:rPr>
        <w:t>Copudex</w:t>
      </w:r>
      <w:proofErr w:type="spellEnd"/>
      <w:r w:rsidRPr="00F30654">
        <w:rPr>
          <w:rFonts w:cs="Times New Roman"/>
          <w:i/>
          <w:sz w:val="16"/>
          <w:szCs w:val="16"/>
          <w:lang w:val="en-US"/>
        </w:rPr>
        <w:t xml:space="preserve"> Ltd</w:t>
      </w:r>
      <w:r w:rsidRPr="00F30654">
        <w:rPr>
          <w:rFonts w:cs="Times New Roman"/>
          <w:sz w:val="16"/>
          <w:szCs w:val="16"/>
          <w:lang w:val="en-US"/>
        </w:rPr>
        <w:t xml:space="preserve"> [1967] 1 WLR 923.</w:t>
      </w:r>
      <w:proofErr w:type="gramEnd"/>
      <w:r w:rsidRPr="00F30654">
        <w:rPr>
          <w:rFonts w:cs="Times New Roman"/>
          <w:sz w:val="16"/>
          <w:szCs w:val="16"/>
          <w:lang w:val="en-US"/>
        </w:rPr>
        <w:t xml:space="preserve"> </w:t>
      </w:r>
    </w:p>
  </w:footnote>
  <w:footnote w:id="53">
    <w:p w:rsidR="00D80277" w:rsidRPr="00F30654" w:rsidRDefault="00D80277" w:rsidP="00F578FA">
      <w:pPr>
        <w:pStyle w:val="FootnoteText"/>
        <w:rPr>
          <w:rFonts w:cs="Times New Roman"/>
          <w:sz w:val="16"/>
          <w:szCs w:val="16"/>
        </w:rPr>
      </w:pPr>
      <w:r w:rsidRPr="00F30654">
        <w:rPr>
          <w:rStyle w:val="FootnoteReference"/>
          <w:rFonts w:cs="Times New Roman"/>
          <w:sz w:val="16"/>
          <w:szCs w:val="16"/>
        </w:rPr>
        <w:footnoteRef/>
      </w:r>
      <w:r w:rsidRPr="00F30654">
        <w:rPr>
          <w:rFonts w:cs="Times New Roman"/>
          <w:sz w:val="16"/>
          <w:szCs w:val="16"/>
        </w:rPr>
        <w:t xml:space="preserve"> </w:t>
      </w:r>
      <w:r w:rsidRPr="00006ACF">
        <w:rPr>
          <w:rFonts w:cs="Times New Roman"/>
          <w:sz w:val="16"/>
          <w:szCs w:val="16"/>
        </w:rPr>
        <w:t xml:space="preserve">Loddon Campaspe Community Legal Centre, ‘Responding to the financial abuse of older people: Understanding the challenges faced by the banking and financial services sector’ (2008) </w:t>
      </w:r>
      <w:r w:rsidRPr="00006ACF">
        <w:rPr>
          <w:rFonts w:cs="Times New Roman"/>
          <w:i/>
          <w:sz w:val="16"/>
          <w:szCs w:val="16"/>
        </w:rPr>
        <w:t>Advocacy &amp; Rights Centre Ltd</w:t>
      </w:r>
      <w:r>
        <w:rPr>
          <w:rFonts w:cs="Times New Roman"/>
          <w:sz w:val="16"/>
          <w:szCs w:val="16"/>
        </w:rPr>
        <w:t xml:space="preserve">, </w:t>
      </w:r>
      <w:r w:rsidRPr="00F30654">
        <w:rPr>
          <w:rFonts w:cs="Times New Roman"/>
          <w:sz w:val="16"/>
          <w:szCs w:val="16"/>
        </w:rPr>
        <w:t>14.</w:t>
      </w:r>
    </w:p>
  </w:footnote>
  <w:footnote w:id="54">
    <w:p w:rsidR="00D80277" w:rsidRPr="00F30654" w:rsidRDefault="00D80277" w:rsidP="00F578FA">
      <w:pPr>
        <w:pStyle w:val="FootnoteText"/>
        <w:rPr>
          <w:rFonts w:cs="Times New Roman"/>
          <w:sz w:val="16"/>
          <w:szCs w:val="16"/>
          <w:highlight w:val="yellow"/>
          <w:lang w:val="en-US"/>
        </w:rPr>
      </w:pPr>
      <w:r w:rsidRPr="00F30654">
        <w:rPr>
          <w:rStyle w:val="FootnoteReference"/>
          <w:rFonts w:cs="Times New Roman"/>
          <w:sz w:val="16"/>
          <w:szCs w:val="16"/>
        </w:rPr>
        <w:footnoteRef/>
      </w:r>
      <w:r>
        <w:rPr>
          <w:rFonts w:cs="Times New Roman"/>
          <w:sz w:val="16"/>
          <w:szCs w:val="16"/>
        </w:rPr>
        <w:t xml:space="preserve"> </w:t>
      </w:r>
      <w:proofErr w:type="gramStart"/>
      <w:r>
        <w:rPr>
          <w:rFonts w:cs="Times New Roman"/>
          <w:sz w:val="16"/>
          <w:szCs w:val="16"/>
        </w:rPr>
        <w:t xml:space="preserve">Ibid, </w:t>
      </w:r>
      <w:r w:rsidRPr="00F30654">
        <w:rPr>
          <w:rFonts w:cs="Times New Roman"/>
          <w:sz w:val="16"/>
          <w:szCs w:val="16"/>
        </w:rPr>
        <w:t>28.</w:t>
      </w:r>
      <w:proofErr w:type="gramEnd"/>
    </w:p>
  </w:footnote>
  <w:footnote w:id="55">
    <w:p w:rsidR="00D80277" w:rsidRPr="00F30654" w:rsidRDefault="00D80277" w:rsidP="00F578FA">
      <w:pPr>
        <w:pStyle w:val="FootnoteText"/>
        <w:rPr>
          <w:rFonts w:cs="Times New Roman"/>
          <w:sz w:val="16"/>
          <w:szCs w:val="16"/>
          <w:lang w:val="en-US"/>
        </w:rPr>
      </w:pPr>
      <w:r w:rsidRPr="00F30654">
        <w:rPr>
          <w:rStyle w:val="FootnoteReference"/>
          <w:rFonts w:cs="Times New Roman"/>
          <w:sz w:val="16"/>
          <w:szCs w:val="16"/>
        </w:rPr>
        <w:footnoteRef/>
      </w:r>
      <w:r w:rsidRPr="00F30654">
        <w:rPr>
          <w:rFonts w:cs="Times New Roman"/>
          <w:sz w:val="16"/>
          <w:szCs w:val="16"/>
        </w:rPr>
        <w:t xml:space="preserve"> </w:t>
      </w:r>
      <w:proofErr w:type="gramStart"/>
      <w:r w:rsidRPr="00F30654">
        <w:rPr>
          <w:rFonts w:cs="Times New Roman"/>
          <w:sz w:val="16"/>
          <w:szCs w:val="16"/>
        </w:rPr>
        <w:t>Ibid.</w:t>
      </w:r>
      <w:proofErr w:type="gramEnd"/>
      <w:r w:rsidRPr="00F30654">
        <w:rPr>
          <w:rFonts w:cs="Times New Roman"/>
          <w:sz w:val="16"/>
          <w:szCs w:val="16"/>
        </w:rPr>
        <w:t xml:space="preserve">   </w:t>
      </w:r>
    </w:p>
  </w:footnote>
  <w:footnote w:id="56">
    <w:p w:rsidR="00D80277" w:rsidRPr="00F30654" w:rsidRDefault="00D80277">
      <w:pPr>
        <w:pStyle w:val="FootnoteText"/>
        <w:rPr>
          <w:sz w:val="16"/>
          <w:szCs w:val="16"/>
          <w:lang w:val="en-US"/>
        </w:rPr>
      </w:pPr>
      <w:r w:rsidRPr="00F30654">
        <w:rPr>
          <w:rStyle w:val="FootnoteReference"/>
          <w:sz w:val="16"/>
          <w:szCs w:val="16"/>
        </w:rPr>
        <w:footnoteRef/>
      </w:r>
      <w:r w:rsidRPr="00F30654">
        <w:rPr>
          <w:sz w:val="16"/>
          <w:szCs w:val="16"/>
        </w:rPr>
        <w:t xml:space="preserve"> </w:t>
      </w:r>
      <w:proofErr w:type="gramStart"/>
      <w:r>
        <w:rPr>
          <w:sz w:val="16"/>
          <w:szCs w:val="16"/>
          <w:lang w:val="en-US"/>
        </w:rPr>
        <w:t xml:space="preserve">Ibid, </w:t>
      </w:r>
      <w:r w:rsidRPr="00F30654">
        <w:rPr>
          <w:sz w:val="16"/>
          <w:szCs w:val="16"/>
          <w:lang w:val="en-US"/>
        </w:rPr>
        <w:t>31.</w:t>
      </w:r>
      <w:proofErr w:type="gramEnd"/>
      <w:r w:rsidRPr="00F30654">
        <w:rPr>
          <w:sz w:val="16"/>
          <w:szCs w:val="16"/>
          <w:lang w:val="en-US"/>
        </w:rPr>
        <w:t xml:space="preserve"> </w:t>
      </w:r>
    </w:p>
  </w:footnote>
  <w:footnote w:id="57">
    <w:p w:rsidR="00D80277" w:rsidRPr="00F30654" w:rsidRDefault="00D80277" w:rsidP="00BA32E9">
      <w:pPr>
        <w:pStyle w:val="FootnoteText"/>
        <w:rPr>
          <w:rFonts w:asciiTheme="majorBidi" w:hAnsiTheme="majorBidi" w:cstheme="majorBidi"/>
          <w:sz w:val="16"/>
          <w:szCs w:val="16"/>
          <w:highlight w:val="yellow"/>
          <w:lang w:val="en-US"/>
        </w:rPr>
      </w:pPr>
      <w:r w:rsidRPr="00F30654">
        <w:rPr>
          <w:rStyle w:val="FootnoteReference"/>
          <w:rFonts w:asciiTheme="majorBidi" w:hAnsiTheme="majorBidi" w:cstheme="majorBidi"/>
          <w:sz w:val="16"/>
          <w:szCs w:val="16"/>
        </w:rPr>
        <w:footnoteRef/>
      </w:r>
      <w:r w:rsidRPr="00F30654">
        <w:rPr>
          <w:rFonts w:asciiTheme="majorBidi" w:hAnsiTheme="majorBidi" w:cstheme="majorBidi"/>
          <w:sz w:val="16"/>
          <w:szCs w:val="16"/>
        </w:rPr>
        <w:t xml:space="preserve"> </w:t>
      </w:r>
      <w:proofErr w:type="gramStart"/>
      <w:r w:rsidRPr="00F30654">
        <w:rPr>
          <w:rFonts w:asciiTheme="majorBidi" w:hAnsiTheme="majorBidi" w:cstheme="majorBidi"/>
          <w:sz w:val="16"/>
          <w:szCs w:val="16"/>
        </w:rPr>
        <w:t>Ibid.</w:t>
      </w:r>
      <w:proofErr w:type="gramEnd"/>
      <w:r w:rsidRPr="00F30654">
        <w:rPr>
          <w:rFonts w:asciiTheme="majorBidi" w:hAnsiTheme="majorBidi" w:cstheme="majorBidi"/>
          <w:sz w:val="16"/>
          <w:szCs w:val="16"/>
        </w:rPr>
        <w:t xml:space="preserve"> </w:t>
      </w:r>
    </w:p>
  </w:footnote>
  <w:footnote w:id="58">
    <w:p w:rsidR="00D80277" w:rsidRPr="00F30654" w:rsidRDefault="00D80277" w:rsidP="00BA32E9">
      <w:pPr>
        <w:pStyle w:val="FootnoteText"/>
        <w:rPr>
          <w:rFonts w:asciiTheme="majorBidi" w:hAnsiTheme="majorBidi" w:cstheme="majorBidi"/>
          <w:sz w:val="16"/>
          <w:szCs w:val="16"/>
          <w:highlight w:val="yellow"/>
          <w:lang w:val="en-US"/>
        </w:rPr>
      </w:pPr>
      <w:r w:rsidRPr="00F30654">
        <w:rPr>
          <w:rStyle w:val="FootnoteReference"/>
          <w:rFonts w:asciiTheme="majorBidi" w:hAnsiTheme="majorBidi" w:cstheme="majorBidi"/>
          <w:sz w:val="16"/>
          <w:szCs w:val="16"/>
        </w:rPr>
        <w:footnoteRef/>
      </w:r>
      <w:r w:rsidRPr="00F30654">
        <w:rPr>
          <w:rFonts w:asciiTheme="majorBidi" w:hAnsiTheme="majorBidi" w:cstheme="majorBidi"/>
          <w:sz w:val="16"/>
          <w:szCs w:val="16"/>
        </w:rPr>
        <w:t xml:space="preserve"> </w:t>
      </w:r>
      <w:proofErr w:type="gramStart"/>
      <w:r w:rsidRPr="00F30654">
        <w:rPr>
          <w:rFonts w:asciiTheme="majorBidi" w:hAnsiTheme="majorBidi" w:cstheme="majorBidi"/>
          <w:sz w:val="16"/>
          <w:szCs w:val="16"/>
        </w:rPr>
        <w:t>Ibid.</w:t>
      </w:r>
      <w:proofErr w:type="gramEnd"/>
      <w:r w:rsidRPr="00F30654">
        <w:rPr>
          <w:rFonts w:asciiTheme="majorBidi" w:hAnsiTheme="majorBidi" w:cstheme="majorBidi"/>
          <w:sz w:val="16"/>
          <w:szCs w:val="16"/>
        </w:rPr>
        <w:t xml:space="preserve"> </w:t>
      </w:r>
    </w:p>
  </w:footnote>
  <w:footnote w:id="59">
    <w:p w:rsidR="00D80277" w:rsidRPr="00F30654" w:rsidRDefault="00D80277" w:rsidP="00F30654">
      <w:pPr>
        <w:rPr>
          <w:sz w:val="16"/>
          <w:szCs w:val="16"/>
        </w:rPr>
      </w:pPr>
      <w:r w:rsidRPr="00F30654">
        <w:rPr>
          <w:rStyle w:val="FootnoteReference"/>
          <w:rFonts w:cs="Times New Roman"/>
          <w:sz w:val="16"/>
          <w:szCs w:val="16"/>
        </w:rPr>
        <w:footnoteRef/>
      </w:r>
      <w:r w:rsidRPr="00F30654">
        <w:rPr>
          <w:rFonts w:cs="Times New Roman"/>
          <w:sz w:val="16"/>
          <w:szCs w:val="16"/>
        </w:rPr>
        <w:t xml:space="preserve"> </w:t>
      </w:r>
      <w:r w:rsidRPr="00006ACF">
        <w:rPr>
          <w:rFonts w:cs="Times New Roman"/>
          <w:sz w:val="16"/>
          <w:szCs w:val="16"/>
        </w:rPr>
        <w:t xml:space="preserve">Loddon Campaspe Community Legal Centre, ‘Responding to the financial abuse of older people: Understanding the challenges faced by the banking and financial services sector’ (2008) </w:t>
      </w:r>
      <w:r w:rsidRPr="00006ACF">
        <w:rPr>
          <w:rFonts w:cs="Times New Roman"/>
          <w:i/>
          <w:sz w:val="16"/>
          <w:szCs w:val="16"/>
        </w:rPr>
        <w:t>Advocacy &amp; Rights Centre Ltd</w:t>
      </w:r>
      <w:r>
        <w:rPr>
          <w:rFonts w:cs="Times New Roman"/>
          <w:sz w:val="16"/>
          <w:szCs w:val="16"/>
        </w:rPr>
        <w:t xml:space="preserve">, </w:t>
      </w:r>
      <w:r w:rsidRPr="00F30654">
        <w:rPr>
          <w:sz w:val="16"/>
          <w:szCs w:val="16"/>
        </w:rPr>
        <w:t xml:space="preserve">10. </w:t>
      </w:r>
    </w:p>
  </w:footnote>
  <w:footnote w:id="60">
    <w:p w:rsidR="00D80277" w:rsidRPr="00F30654" w:rsidRDefault="00D80277" w:rsidP="00A53034">
      <w:pPr>
        <w:pStyle w:val="FootnoteText"/>
        <w:rPr>
          <w:rFonts w:asciiTheme="majorBidi" w:hAnsiTheme="majorBidi" w:cstheme="majorBidi"/>
          <w:sz w:val="16"/>
          <w:szCs w:val="16"/>
          <w:highlight w:val="yellow"/>
          <w:lang w:val="en-US"/>
        </w:rPr>
      </w:pPr>
      <w:r w:rsidRPr="00F30654">
        <w:rPr>
          <w:rStyle w:val="FootnoteReference"/>
          <w:rFonts w:asciiTheme="majorBidi" w:hAnsiTheme="majorBidi" w:cstheme="majorBidi"/>
          <w:sz w:val="16"/>
          <w:szCs w:val="16"/>
        </w:rPr>
        <w:footnoteRef/>
      </w:r>
      <w:r w:rsidRPr="00F30654">
        <w:rPr>
          <w:rFonts w:asciiTheme="majorBidi" w:hAnsiTheme="majorBidi" w:cstheme="majorBidi"/>
          <w:sz w:val="16"/>
          <w:szCs w:val="16"/>
        </w:rPr>
        <w:t xml:space="preserve"> </w:t>
      </w:r>
      <w:proofErr w:type="gramStart"/>
      <w:r w:rsidRPr="00F30654">
        <w:rPr>
          <w:rFonts w:asciiTheme="majorBidi" w:hAnsiTheme="majorBidi" w:cstheme="majorBidi"/>
          <w:sz w:val="16"/>
          <w:szCs w:val="16"/>
        </w:rPr>
        <w:t>Ibid.</w:t>
      </w:r>
      <w:proofErr w:type="gramEnd"/>
      <w:r w:rsidRPr="00F30654">
        <w:rPr>
          <w:rFonts w:asciiTheme="majorBidi" w:hAnsiTheme="majorBidi" w:cstheme="majorBidi"/>
          <w:sz w:val="16"/>
          <w:szCs w:val="16"/>
        </w:rPr>
        <w:t xml:space="preserve"> </w:t>
      </w:r>
    </w:p>
  </w:footnote>
  <w:footnote w:id="61">
    <w:p w:rsidR="00D80277" w:rsidRPr="00F30654" w:rsidRDefault="00D80277" w:rsidP="00A53034">
      <w:pPr>
        <w:pStyle w:val="FootnoteText"/>
        <w:rPr>
          <w:rFonts w:cs="Times New Roman"/>
          <w:sz w:val="16"/>
          <w:szCs w:val="16"/>
          <w:lang w:val="en-US"/>
        </w:rPr>
      </w:pPr>
      <w:r w:rsidRPr="00F30654">
        <w:rPr>
          <w:rStyle w:val="FootnoteReference"/>
          <w:rFonts w:asciiTheme="majorBidi" w:hAnsiTheme="majorBidi" w:cstheme="majorBidi"/>
          <w:sz w:val="16"/>
          <w:szCs w:val="16"/>
        </w:rPr>
        <w:footnoteRef/>
      </w:r>
      <w:r>
        <w:rPr>
          <w:rFonts w:cs="Times New Roman"/>
          <w:sz w:val="16"/>
          <w:szCs w:val="16"/>
        </w:rPr>
        <w:t xml:space="preserve"> </w:t>
      </w:r>
      <w:proofErr w:type="gramStart"/>
      <w:r>
        <w:rPr>
          <w:rFonts w:cs="Times New Roman"/>
          <w:sz w:val="16"/>
          <w:szCs w:val="16"/>
        </w:rPr>
        <w:t xml:space="preserve">Ibid, </w:t>
      </w:r>
      <w:r w:rsidRPr="00F30654">
        <w:rPr>
          <w:rFonts w:cs="Times New Roman"/>
          <w:sz w:val="16"/>
          <w:szCs w:val="16"/>
        </w:rPr>
        <w:t>31.</w:t>
      </w:r>
      <w:proofErr w:type="gramEnd"/>
      <w:r w:rsidRPr="00F30654">
        <w:rPr>
          <w:rFonts w:cs="Times New Roman"/>
          <w:sz w:val="16"/>
          <w:szCs w:val="16"/>
        </w:rPr>
        <w:t xml:space="preserve"> </w:t>
      </w:r>
    </w:p>
  </w:footnote>
  <w:footnote w:id="62">
    <w:p w:rsidR="00D80277" w:rsidRPr="00F30654" w:rsidRDefault="00D80277">
      <w:pPr>
        <w:pStyle w:val="FootnoteText"/>
        <w:rPr>
          <w:rFonts w:cs="Times New Roman"/>
          <w:sz w:val="16"/>
          <w:szCs w:val="16"/>
        </w:rPr>
      </w:pPr>
      <w:r w:rsidRPr="00F30654">
        <w:rPr>
          <w:rStyle w:val="FootnoteReference"/>
          <w:sz w:val="16"/>
          <w:szCs w:val="16"/>
        </w:rPr>
        <w:footnoteRef/>
      </w:r>
      <w:r w:rsidRPr="00F30654">
        <w:rPr>
          <w:sz w:val="16"/>
          <w:szCs w:val="16"/>
        </w:rPr>
        <w:t xml:space="preserve"> </w:t>
      </w:r>
      <w:r w:rsidRPr="00006ACF">
        <w:rPr>
          <w:rFonts w:cs="Times New Roman"/>
          <w:sz w:val="16"/>
          <w:szCs w:val="16"/>
        </w:rPr>
        <w:t xml:space="preserve">Loddon Campaspe Community Legal Centre, ‘Responding to the financial abuse of older people: Understanding the challenges faced by the banking and financial services sector’ (2008) </w:t>
      </w:r>
      <w:r w:rsidRPr="00006ACF">
        <w:rPr>
          <w:rFonts w:cs="Times New Roman"/>
          <w:i/>
          <w:sz w:val="16"/>
          <w:szCs w:val="16"/>
        </w:rPr>
        <w:t>Advocacy &amp; Rights Centre Ltd</w:t>
      </w:r>
      <w:r>
        <w:rPr>
          <w:rFonts w:cs="Times New Roman"/>
          <w:sz w:val="16"/>
          <w:szCs w:val="16"/>
        </w:rPr>
        <w:t xml:space="preserve">, </w:t>
      </w:r>
      <w:r w:rsidRPr="00F30654">
        <w:rPr>
          <w:rFonts w:cs="Times New Roman"/>
          <w:sz w:val="16"/>
          <w:szCs w:val="16"/>
        </w:rPr>
        <w:t>14.</w:t>
      </w:r>
    </w:p>
  </w:footnote>
  <w:footnote w:id="63">
    <w:p w:rsidR="00D80277" w:rsidRPr="00F30654" w:rsidRDefault="00D80277" w:rsidP="003D0C15">
      <w:pPr>
        <w:pStyle w:val="FootnoteText"/>
        <w:rPr>
          <w:rFonts w:cs="Times New Roman"/>
          <w:sz w:val="16"/>
          <w:szCs w:val="16"/>
          <w:lang w:val="en-US"/>
        </w:rPr>
      </w:pPr>
      <w:r w:rsidRPr="00F30654">
        <w:rPr>
          <w:rStyle w:val="FootnoteReference"/>
          <w:rFonts w:cs="Times New Roman"/>
          <w:sz w:val="16"/>
          <w:szCs w:val="16"/>
        </w:rPr>
        <w:footnoteRef/>
      </w:r>
      <w:r w:rsidRPr="00F30654">
        <w:rPr>
          <w:rFonts w:cs="Times New Roman"/>
          <w:sz w:val="16"/>
          <w:szCs w:val="16"/>
        </w:rPr>
        <w:t xml:space="preserve"> </w:t>
      </w:r>
      <w:proofErr w:type="gramStart"/>
      <w:r w:rsidRPr="00F30654">
        <w:rPr>
          <w:rFonts w:cs="Times New Roman"/>
          <w:sz w:val="16"/>
          <w:szCs w:val="16"/>
        </w:rPr>
        <w:t xml:space="preserve">[2004] </w:t>
      </w:r>
      <w:r w:rsidRPr="00F30654">
        <w:rPr>
          <w:rFonts w:cs="Times New Roman"/>
          <w:sz w:val="16"/>
          <w:szCs w:val="16"/>
          <w:lang w:val="en-US"/>
        </w:rPr>
        <w:t>NSWSC 76.</w:t>
      </w:r>
      <w:proofErr w:type="gramEnd"/>
      <w:r w:rsidRPr="00F30654">
        <w:rPr>
          <w:rFonts w:cs="Times New Roman"/>
          <w:sz w:val="16"/>
          <w:szCs w:val="16"/>
          <w:lang w:val="en-US"/>
        </w:rPr>
        <w:t xml:space="preserve"> </w:t>
      </w:r>
    </w:p>
  </w:footnote>
  <w:footnote w:id="64">
    <w:p w:rsidR="00D80277" w:rsidRPr="00F30654" w:rsidRDefault="00D80277" w:rsidP="003D0C15">
      <w:pPr>
        <w:pStyle w:val="FootnoteText"/>
        <w:rPr>
          <w:rFonts w:cs="Times New Roman"/>
          <w:sz w:val="16"/>
          <w:szCs w:val="16"/>
          <w:lang w:val="en-US"/>
        </w:rPr>
      </w:pPr>
      <w:r w:rsidRPr="00F30654">
        <w:rPr>
          <w:rStyle w:val="FootnoteReference"/>
          <w:rFonts w:cs="Times New Roman"/>
          <w:sz w:val="16"/>
          <w:szCs w:val="16"/>
        </w:rPr>
        <w:footnoteRef/>
      </w:r>
      <w:r w:rsidRPr="00F30654">
        <w:rPr>
          <w:rFonts w:cs="Times New Roman"/>
          <w:sz w:val="16"/>
          <w:szCs w:val="16"/>
        </w:rPr>
        <w:t xml:space="preserve"> </w:t>
      </w:r>
      <w:proofErr w:type="gramStart"/>
      <w:r w:rsidRPr="00F30654">
        <w:rPr>
          <w:rFonts w:cs="Times New Roman"/>
          <w:sz w:val="16"/>
          <w:szCs w:val="16"/>
        </w:rPr>
        <w:t xml:space="preserve">[2001] </w:t>
      </w:r>
      <w:r w:rsidRPr="00F30654">
        <w:rPr>
          <w:rFonts w:cs="Times New Roman"/>
          <w:sz w:val="16"/>
          <w:szCs w:val="16"/>
          <w:lang w:val="en-US"/>
        </w:rPr>
        <w:t xml:space="preserve">1 </w:t>
      </w:r>
      <w:proofErr w:type="spellStart"/>
      <w:r w:rsidRPr="00F30654">
        <w:rPr>
          <w:rFonts w:cs="Times New Roman"/>
          <w:sz w:val="16"/>
          <w:szCs w:val="16"/>
          <w:lang w:val="en-US"/>
        </w:rPr>
        <w:t>Qd</w:t>
      </w:r>
      <w:proofErr w:type="spellEnd"/>
      <w:r w:rsidRPr="00F30654">
        <w:rPr>
          <w:rFonts w:cs="Times New Roman"/>
          <w:sz w:val="16"/>
          <w:szCs w:val="16"/>
          <w:lang w:val="en-US"/>
        </w:rPr>
        <w:t xml:space="preserve"> R 168.</w:t>
      </w:r>
      <w:proofErr w:type="gramEnd"/>
    </w:p>
  </w:footnote>
  <w:footnote w:id="65">
    <w:p w:rsidR="00D80277" w:rsidRPr="00EC5697" w:rsidRDefault="00D80277" w:rsidP="00CD60EA">
      <w:pPr>
        <w:rPr>
          <w:sz w:val="16"/>
          <w:szCs w:val="16"/>
        </w:rPr>
      </w:pPr>
      <w:r w:rsidRPr="00F30654">
        <w:rPr>
          <w:rStyle w:val="FootnoteReference"/>
          <w:rFonts w:cs="Times New Roman"/>
          <w:sz w:val="16"/>
          <w:szCs w:val="16"/>
        </w:rPr>
        <w:footnoteRef/>
      </w:r>
      <w:r w:rsidRPr="00F30654">
        <w:rPr>
          <w:sz w:val="16"/>
          <w:szCs w:val="16"/>
        </w:rPr>
        <w:t xml:space="preserve"> </w:t>
      </w:r>
      <w:r w:rsidRPr="00006ACF">
        <w:rPr>
          <w:rFonts w:cs="Times New Roman"/>
          <w:sz w:val="16"/>
          <w:szCs w:val="16"/>
        </w:rPr>
        <w:t xml:space="preserve">Loddon Campaspe Community Legal Centre, ‘Responding to the financial abuse of older people: Understanding the challenges faced by the banking and financial services sector’ (2008) </w:t>
      </w:r>
      <w:r w:rsidRPr="00006ACF">
        <w:rPr>
          <w:rFonts w:cs="Times New Roman"/>
          <w:i/>
          <w:sz w:val="16"/>
          <w:szCs w:val="16"/>
        </w:rPr>
        <w:t>Advocacy &amp; Rights Centre Ltd</w:t>
      </w:r>
      <w:r>
        <w:rPr>
          <w:rFonts w:cs="Times New Roman"/>
          <w:sz w:val="16"/>
          <w:szCs w:val="16"/>
        </w:rPr>
        <w:t xml:space="preserve">, </w:t>
      </w:r>
      <w:r w:rsidRPr="00F30654">
        <w:rPr>
          <w:sz w:val="16"/>
          <w:szCs w:val="16"/>
        </w:rPr>
        <w:t>40.</w:t>
      </w:r>
    </w:p>
  </w:footnote>
  <w:footnote w:id="66">
    <w:p w:rsidR="00D80277" w:rsidRPr="00F30654" w:rsidRDefault="00D80277" w:rsidP="004762A5">
      <w:pPr>
        <w:rPr>
          <w:sz w:val="16"/>
          <w:szCs w:val="16"/>
          <w:lang w:val="en-US"/>
        </w:rPr>
      </w:pPr>
      <w:r w:rsidRPr="00F30654">
        <w:rPr>
          <w:rStyle w:val="FootnoteReference"/>
          <w:rFonts w:cs="Times New Roman"/>
          <w:sz w:val="16"/>
          <w:szCs w:val="16"/>
        </w:rPr>
        <w:footnoteRef/>
      </w:r>
      <w:r w:rsidRPr="00F30654">
        <w:rPr>
          <w:sz w:val="16"/>
          <w:szCs w:val="16"/>
        </w:rPr>
        <w:t xml:space="preserve"> </w:t>
      </w:r>
      <w:r w:rsidRPr="00F30654">
        <w:rPr>
          <w:i/>
          <w:iCs/>
          <w:color w:val="1A1718"/>
          <w:sz w:val="16"/>
          <w:szCs w:val="16"/>
          <w:lang w:val="en-US"/>
        </w:rPr>
        <w:t xml:space="preserve">Defamation Act </w:t>
      </w:r>
      <w:r w:rsidRPr="00F30654">
        <w:rPr>
          <w:color w:val="1A1718"/>
          <w:sz w:val="16"/>
          <w:szCs w:val="16"/>
          <w:lang w:val="en-US"/>
        </w:rPr>
        <w:t xml:space="preserve">2005 (NSW) s 31; </w:t>
      </w:r>
      <w:r w:rsidRPr="00F30654">
        <w:rPr>
          <w:i/>
          <w:iCs/>
          <w:color w:val="1A1718"/>
          <w:sz w:val="16"/>
          <w:szCs w:val="16"/>
          <w:lang w:val="en-US"/>
        </w:rPr>
        <w:t xml:space="preserve">Defamation Act </w:t>
      </w:r>
      <w:r w:rsidRPr="00F30654">
        <w:rPr>
          <w:color w:val="1A1718"/>
          <w:sz w:val="16"/>
          <w:szCs w:val="16"/>
          <w:lang w:val="en-US"/>
        </w:rPr>
        <w:t xml:space="preserve">2005 (Vic) s 31; </w:t>
      </w:r>
      <w:r w:rsidRPr="00F30654">
        <w:rPr>
          <w:i/>
          <w:iCs/>
          <w:color w:val="1A1718"/>
          <w:sz w:val="16"/>
          <w:szCs w:val="16"/>
          <w:lang w:val="en-US"/>
        </w:rPr>
        <w:t xml:space="preserve">Defamation Act </w:t>
      </w:r>
      <w:r w:rsidRPr="00F30654">
        <w:rPr>
          <w:color w:val="1A1718"/>
          <w:sz w:val="16"/>
          <w:szCs w:val="16"/>
          <w:lang w:val="en-US"/>
        </w:rPr>
        <w:t>2005 (</w:t>
      </w:r>
      <w:proofErr w:type="spellStart"/>
      <w:r w:rsidRPr="00F30654">
        <w:rPr>
          <w:color w:val="1A1718"/>
          <w:sz w:val="16"/>
          <w:szCs w:val="16"/>
          <w:lang w:val="en-US"/>
        </w:rPr>
        <w:t>Qld</w:t>
      </w:r>
      <w:proofErr w:type="spellEnd"/>
      <w:r w:rsidRPr="00F30654">
        <w:rPr>
          <w:color w:val="1A1718"/>
          <w:sz w:val="16"/>
          <w:szCs w:val="16"/>
          <w:lang w:val="en-US"/>
        </w:rPr>
        <w:t xml:space="preserve">) s 31; </w:t>
      </w:r>
      <w:r w:rsidRPr="00F30654">
        <w:rPr>
          <w:i/>
          <w:iCs/>
          <w:color w:val="1A1718"/>
          <w:sz w:val="16"/>
          <w:szCs w:val="16"/>
          <w:lang w:val="en-US"/>
        </w:rPr>
        <w:t xml:space="preserve">Defamation Act </w:t>
      </w:r>
      <w:r w:rsidRPr="00F30654">
        <w:rPr>
          <w:color w:val="1A1718"/>
          <w:sz w:val="16"/>
          <w:szCs w:val="16"/>
          <w:lang w:val="en-US"/>
        </w:rPr>
        <w:t xml:space="preserve">2005 (WA) s 31; </w:t>
      </w:r>
      <w:r w:rsidRPr="00F30654">
        <w:rPr>
          <w:i/>
          <w:iCs/>
          <w:color w:val="1A1718"/>
          <w:sz w:val="16"/>
          <w:szCs w:val="16"/>
          <w:lang w:val="en-US"/>
        </w:rPr>
        <w:t xml:space="preserve">Defamation Act </w:t>
      </w:r>
      <w:r w:rsidRPr="00F30654">
        <w:rPr>
          <w:color w:val="1A1718"/>
          <w:sz w:val="16"/>
          <w:szCs w:val="16"/>
          <w:lang w:val="en-US"/>
        </w:rPr>
        <w:t>2005 (</w:t>
      </w:r>
      <w:proofErr w:type="spellStart"/>
      <w:r w:rsidRPr="00F30654">
        <w:rPr>
          <w:color w:val="1A1718"/>
          <w:sz w:val="16"/>
          <w:szCs w:val="16"/>
          <w:lang w:val="en-US"/>
        </w:rPr>
        <w:t>Tas</w:t>
      </w:r>
      <w:proofErr w:type="spellEnd"/>
      <w:r w:rsidRPr="00F30654">
        <w:rPr>
          <w:color w:val="1A1718"/>
          <w:sz w:val="16"/>
          <w:szCs w:val="16"/>
          <w:lang w:val="en-US"/>
        </w:rPr>
        <w:t xml:space="preserve">) s 31; </w:t>
      </w:r>
      <w:r w:rsidRPr="00F30654">
        <w:rPr>
          <w:i/>
          <w:iCs/>
          <w:color w:val="1A1718"/>
          <w:sz w:val="16"/>
          <w:szCs w:val="16"/>
          <w:lang w:val="en-US"/>
        </w:rPr>
        <w:t xml:space="preserve">Defamation Act </w:t>
      </w:r>
      <w:r w:rsidRPr="00F30654">
        <w:rPr>
          <w:color w:val="1A1718"/>
          <w:sz w:val="16"/>
          <w:szCs w:val="16"/>
          <w:lang w:val="en-US"/>
        </w:rPr>
        <w:t xml:space="preserve">2005 (SA) s 29; </w:t>
      </w:r>
      <w:r w:rsidRPr="00F30654">
        <w:rPr>
          <w:i/>
          <w:iCs/>
          <w:color w:val="1A1718"/>
          <w:sz w:val="16"/>
          <w:szCs w:val="16"/>
          <w:lang w:val="en-US"/>
        </w:rPr>
        <w:t xml:space="preserve">Defamation Act </w:t>
      </w:r>
      <w:r w:rsidRPr="00F30654">
        <w:rPr>
          <w:color w:val="1A1718"/>
          <w:sz w:val="16"/>
          <w:szCs w:val="16"/>
          <w:lang w:val="en-US"/>
        </w:rPr>
        <w:t xml:space="preserve">2006 (NT) s 28; </w:t>
      </w:r>
      <w:r w:rsidRPr="00F30654">
        <w:rPr>
          <w:i/>
          <w:iCs/>
          <w:color w:val="1A1718"/>
          <w:sz w:val="16"/>
          <w:szCs w:val="16"/>
          <w:lang w:val="en-US"/>
        </w:rPr>
        <w:t xml:space="preserve">Civil Law (Wrongs) Act </w:t>
      </w:r>
      <w:r w:rsidRPr="00F30654">
        <w:rPr>
          <w:color w:val="1A1718"/>
          <w:sz w:val="16"/>
          <w:szCs w:val="16"/>
          <w:lang w:val="en-US"/>
        </w:rPr>
        <w:t>2002 (ACT) s 139B</w:t>
      </w:r>
    </w:p>
  </w:footnote>
  <w:footnote w:id="67">
    <w:p w:rsidR="00D80277" w:rsidRPr="00F30654" w:rsidRDefault="00D80277" w:rsidP="00700CBA">
      <w:pPr>
        <w:rPr>
          <w:sz w:val="16"/>
          <w:szCs w:val="16"/>
        </w:rPr>
      </w:pPr>
      <w:r w:rsidRPr="00F30654">
        <w:rPr>
          <w:rStyle w:val="FootnoteReference"/>
          <w:rFonts w:ascii="Calibri" w:hAnsi="Calibri"/>
          <w:sz w:val="16"/>
          <w:szCs w:val="16"/>
        </w:rPr>
        <w:footnoteRef/>
      </w:r>
      <w:r w:rsidRPr="00F30654">
        <w:rPr>
          <w:rFonts w:ascii="Calibri" w:hAnsi="Calibri"/>
          <w:sz w:val="16"/>
          <w:szCs w:val="16"/>
        </w:rPr>
        <w:t xml:space="preserve"> </w:t>
      </w:r>
      <w:r w:rsidRPr="00006ACF">
        <w:rPr>
          <w:rFonts w:cs="Times New Roman"/>
          <w:sz w:val="16"/>
          <w:szCs w:val="16"/>
        </w:rPr>
        <w:t xml:space="preserve">Loddon Campaspe Community Legal Centre, ‘Responding to the financial abuse of older people: Understanding the challenges faced by the banking and financial services sector’ (2008) </w:t>
      </w:r>
      <w:r w:rsidRPr="00006ACF">
        <w:rPr>
          <w:rFonts w:cs="Times New Roman"/>
          <w:i/>
          <w:sz w:val="16"/>
          <w:szCs w:val="16"/>
        </w:rPr>
        <w:t>Advocacy &amp; Rights Centre Ltd</w:t>
      </w:r>
      <w:r>
        <w:rPr>
          <w:rFonts w:cs="Times New Roman"/>
          <w:sz w:val="16"/>
          <w:szCs w:val="16"/>
        </w:rPr>
        <w:t xml:space="preserve">, </w:t>
      </w:r>
      <w:r w:rsidRPr="00F30654">
        <w:rPr>
          <w:sz w:val="16"/>
          <w:szCs w:val="16"/>
        </w:rPr>
        <w:t xml:space="preserve">45. </w:t>
      </w:r>
    </w:p>
  </w:footnote>
  <w:footnote w:id="68">
    <w:p w:rsidR="00D80277" w:rsidRPr="00F30654" w:rsidRDefault="00D80277" w:rsidP="00D739DA">
      <w:pPr>
        <w:pStyle w:val="FootnoteText"/>
        <w:rPr>
          <w:rFonts w:asciiTheme="majorBidi" w:hAnsiTheme="majorBidi" w:cstheme="majorBidi"/>
          <w:sz w:val="16"/>
          <w:szCs w:val="16"/>
          <w:lang w:val="en-US"/>
        </w:rPr>
      </w:pPr>
      <w:r w:rsidRPr="00F30654">
        <w:rPr>
          <w:rStyle w:val="FootnoteReference"/>
          <w:rFonts w:asciiTheme="majorBidi" w:hAnsiTheme="majorBidi" w:cstheme="majorBidi"/>
          <w:sz w:val="16"/>
          <w:szCs w:val="16"/>
        </w:rPr>
        <w:footnoteRef/>
      </w:r>
      <w:r w:rsidRPr="00F30654">
        <w:rPr>
          <w:rFonts w:asciiTheme="majorBidi" w:hAnsiTheme="majorBidi" w:cstheme="majorBidi"/>
          <w:sz w:val="16"/>
          <w:szCs w:val="16"/>
        </w:rPr>
        <w:t xml:space="preserve">  </w:t>
      </w:r>
      <w:proofErr w:type="gramStart"/>
      <w:r w:rsidRPr="00F30654">
        <w:rPr>
          <w:rFonts w:asciiTheme="majorBidi" w:hAnsiTheme="majorBidi" w:cstheme="majorBidi"/>
          <w:sz w:val="16"/>
          <w:szCs w:val="16"/>
        </w:rPr>
        <w:t>Ibid.</w:t>
      </w:r>
      <w:proofErr w:type="gramEnd"/>
      <w:r w:rsidRPr="00F30654">
        <w:rPr>
          <w:rFonts w:asciiTheme="majorBidi" w:hAnsiTheme="majorBidi" w:cstheme="majorBidi"/>
          <w:sz w:val="16"/>
          <w:szCs w:val="16"/>
        </w:rPr>
        <w:t xml:space="preserve"> </w:t>
      </w:r>
    </w:p>
  </w:footnote>
  <w:footnote w:id="69">
    <w:p w:rsidR="00D80277" w:rsidRPr="00245AAE" w:rsidRDefault="00D80277">
      <w:pPr>
        <w:pStyle w:val="FootnoteText"/>
        <w:rPr>
          <w:sz w:val="16"/>
          <w:szCs w:val="16"/>
          <w:lang w:val="en-US"/>
        </w:rPr>
      </w:pPr>
      <w:r w:rsidRPr="00245AAE">
        <w:rPr>
          <w:rStyle w:val="FootnoteReference"/>
          <w:sz w:val="16"/>
          <w:szCs w:val="16"/>
        </w:rPr>
        <w:footnoteRef/>
      </w:r>
      <w:r w:rsidRPr="00245AAE">
        <w:rPr>
          <w:sz w:val="16"/>
          <w:szCs w:val="16"/>
        </w:rPr>
        <w:t xml:space="preserve"> </w:t>
      </w:r>
      <w:proofErr w:type="gramStart"/>
      <w:r w:rsidRPr="00245AAE">
        <w:rPr>
          <w:i/>
          <w:sz w:val="16"/>
          <w:szCs w:val="16"/>
        </w:rPr>
        <w:t>1988</w:t>
      </w:r>
      <w:r w:rsidRPr="00245AAE">
        <w:rPr>
          <w:sz w:val="16"/>
          <w:szCs w:val="16"/>
        </w:rPr>
        <w:t xml:space="preserve"> (</w:t>
      </w:r>
      <w:proofErr w:type="spellStart"/>
      <w:r w:rsidRPr="00245AAE">
        <w:rPr>
          <w:sz w:val="16"/>
          <w:szCs w:val="16"/>
        </w:rPr>
        <w:t>Cth</w:t>
      </w:r>
      <w:proofErr w:type="spellEnd"/>
      <w:r w:rsidRPr="00245AAE">
        <w:rPr>
          <w:sz w:val="16"/>
          <w:szCs w:val="16"/>
        </w:rPr>
        <w:t>)</w:t>
      </w:r>
      <w:r>
        <w:rPr>
          <w:sz w:val="16"/>
          <w:szCs w:val="16"/>
        </w:rPr>
        <w:t>.</w:t>
      </w:r>
      <w:proofErr w:type="gramEnd"/>
    </w:p>
  </w:footnote>
  <w:footnote w:id="70">
    <w:p w:rsidR="00D80277" w:rsidRPr="00F30654" w:rsidRDefault="00D80277" w:rsidP="0079332C">
      <w:pPr>
        <w:rPr>
          <w:sz w:val="16"/>
          <w:szCs w:val="16"/>
        </w:rPr>
      </w:pPr>
      <w:r w:rsidRPr="00F30654">
        <w:rPr>
          <w:rStyle w:val="FootnoteReference"/>
          <w:rFonts w:cs="Times New Roman"/>
          <w:sz w:val="16"/>
          <w:szCs w:val="16"/>
        </w:rPr>
        <w:footnoteRef/>
      </w:r>
      <w:r w:rsidRPr="00F30654">
        <w:rPr>
          <w:rFonts w:cs="Times New Roman"/>
          <w:sz w:val="16"/>
          <w:szCs w:val="16"/>
        </w:rPr>
        <w:t xml:space="preserve"> </w:t>
      </w:r>
      <w:r w:rsidRPr="00006ACF">
        <w:rPr>
          <w:rFonts w:cs="Times New Roman"/>
          <w:sz w:val="16"/>
          <w:szCs w:val="16"/>
        </w:rPr>
        <w:t xml:space="preserve">Loddon Campaspe Community Legal Centre, ‘Responding to the financial abuse of older people: Understanding the challenges faced by the banking and financial services sector’ (2008) </w:t>
      </w:r>
      <w:r w:rsidRPr="00006ACF">
        <w:rPr>
          <w:rFonts w:cs="Times New Roman"/>
          <w:i/>
          <w:sz w:val="16"/>
          <w:szCs w:val="16"/>
        </w:rPr>
        <w:t>Advocacy &amp; Rights Centre Ltd</w:t>
      </w:r>
      <w:r>
        <w:rPr>
          <w:rFonts w:cs="Times New Roman"/>
          <w:sz w:val="16"/>
          <w:szCs w:val="16"/>
        </w:rPr>
        <w:t xml:space="preserve">, </w:t>
      </w:r>
      <w:r w:rsidRPr="00F30654">
        <w:rPr>
          <w:sz w:val="16"/>
          <w:szCs w:val="16"/>
        </w:rPr>
        <w:t xml:space="preserve">10. </w:t>
      </w:r>
    </w:p>
  </w:footnote>
  <w:footnote w:id="71">
    <w:p w:rsidR="00D80277" w:rsidRPr="006F6A84" w:rsidRDefault="00D80277" w:rsidP="00BC5BE7">
      <w:pPr>
        <w:pStyle w:val="FootnoteText"/>
        <w:rPr>
          <w:sz w:val="16"/>
          <w:szCs w:val="16"/>
        </w:rPr>
      </w:pPr>
      <w:r w:rsidRPr="006F6A84">
        <w:rPr>
          <w:rStyle w:val="FootnoteReference"/>
          <w:rFonts w:cs="Arial"/>
          <w:sz w:val="16"/>
          <w:szCs w:val="16"/>
        </w:rPr>
        <w:footnoteRef/>
      </w:r>
      <w:r w:rsidRPr="006F6A84">
        <w:rPr>
          <w:sz w:val="16"/>
          <w:szCs w:val="16"/>
        </w:rPr>
        <w:t xml:space="preserve"> Goldstein MZ. </w:t>
      </w:r>
      <w:proofErr w:type="gramStart"/>
      <w:r w:rsidRPr="006F6A84">
        <w:rPr>
          <w:sz w:val="16"/>
          <w:szCs w:val="16"/>
        </w:rPr>
        <w:t>Maltreatment of elderly persons.</w:t>
      </w:r>
      <w:proofErr w:type="gramEnd"/>
      <w:r w:rsidRPr="006F6A84">
        <w:rPr>
          <w:sz w:val="16"/>
          <w:szCs w:val="16"/>
        </w:rPr>
        <w:t xml:space="preserve"> </w:t>
      </w:r>
      <w:proofErr w:type="gramStart"/>
      <w:r w:rsidRPr="006F6A84">
        <w:rPr>
          <w:sz w:val="16"/>
          <w:szCs w:val="16"/>
        </w:rPr>
        <w:t>Psychiatry Serve 1995; 46:1219-1225.</w:t>
      </w:r>
      <w:proofErr w:type="gramEnd"/>
    </w:p>
  </w:footnote>
  <w:footnote w:id="72">
    <w:p w:rsidR="00D80277" w:rsidRPr="006F6A84" w:rsidRDefault="00D80277" w:rsidP="00BC5BE7">
      <w:pPr>
        <w:pStyle w:val="FootnoteText"/>
        <w:rPr>
          <w:sz w:val="16"/>
          <w:szCs w:val="16"/>
        </w:rPr>
      </w:pPr>
      <w:r w:rsidRPr="006F6A84">
        <w:rPr>
          <w:rStyle w:val="FootnoteReference"/>
          <w:rFonts w:cs="Arial"/>
          <w:sz w:val="16"/>
          <w:szCs w:val="16"/>
        </w:rPr>
        <w:footnoteRef/>
      </w:r>
      <w:r w:rsidRPr="006F6A84">
        <w:rPr>
          <w:sz w:val="16"/>
          <w:szCs w:val="16"/>
        </w:rPr>
        <w:t xml:space="preserve"> </w:t>
      </w:r>
      <w:r w:rsidRPr="006F6A84">
        <w:rPr>
          <w:i/>
          <w:iCs/>
          <w:sz w:val="16"/>
          <w:szCs w:val="16"/>
        </w:rPr>
        <w:t xml:space="preserve">Financial Abuse Reporting Act </w:t>
      </w:r>
      <w:r w:rsidRPr="006F6A84">
        <w:rPr>
          <w:color w:val="000000"/>
          <w:sz w:val="16"/>
          <w:szCs w:val="16"/>
          <w:shd w:val="clear" w:color="auto" w:fill="FFFFFF"/>
        </w:rPr>
        <w:t>§ 1018</w:t>
      </w:r>
    </w:p>
  </w:footnote>
  <w:footnote w:id="73">
    <w:p w:rsidR="00D80277" w:rsidRPr="006F6A84" w:rsidRDefault="00D80277" w:rsidP="00AE534C">
      <w:pPr>
        <w:pStyle w:val="FootnoteText"/>
        <w:rPr>
          <w:sz w:val="16"/>
          <w:szCs w:val="16"/>
        </w:rPr>
      </w:pPr>
      <w:r w:rsidRPr="006F6A84">
        <w:rPr>
          <w:rStyle w:val="FootnoteReference"/>
          <w:rFonts w:cs="Arial"/>
          <w:sz w:val="16"/>
          <w:szCs w:val="16"/>
        </w:rPr>
        <w:footnoteRef/>
      </w:r>
      <w:r w:rsidRPr="006F6A84">
        <w:rPr>
          <w:sz w:val="16"/>
          <w:szCs w:val="16"/>
        </w:rPr>
        <w:t xml:space="preserve"> </w:t>
      </w:r>
      <w:r w:rsidRPr="006F6A84">
        <w:rPr>
          <w:i/>
          <w:iCs/>
          <w:sz w:val="16"/>
          <w:szCs w:val="16"/>
        </w:rPr>
        <w:t xml:space="preserve">Financial Abuse Reporting Act </w:t>
      </w:r>
      <w:r w:rsidRPr="006F6A84">
        <w:rPr>
          <w:color w:val="000000"/>
          <w:sz w:val="16"/>
          <w:szCs w:val="16"/>
          <w:shd w:val="clear" w:color="auto" w:fill="FFFFFF"/>
        </w:rPr>
        <w:t>§ 1018</w:t>
      </w:r>
    </w:p>
  </w:footnote>
  <w:footnote w:id="74">
    <w:p w:rsidR="00D80277" w:rsidRPr="006F6A84" w:rsidRDefault="00D80277" w:rsidP="00102CA0">
      <w:pPr>
        <w:pStyle w:val="FootnoteText"/>
        <w:rPr>
          <w:sz w:val="16"/>
          <w:szCs w:val="16"/>
        </w:rPr>
      </w:pPr>
      <w:r w:rsidRPr="006F6A84">
        <w:rPr>
          <w:rStyle w:val="FootnoteReference"/>
          <w:rFonts w:cs="Arial"/>
          <w:sz w:val="16"/>
          <w:szCs w:val="16"/>
        </w:rPr>
        <w:footnoteRef/>
      </w:r>
      <w:r w:rsidRPr="006F6A84">
        <w:rPr>
          <w:sz w:val="16"/>
          <w:szCs w:val="16"/>
        </w:rPr>
        <w:t xml:space="preserve"> Leslie Callaway &amp; Jerry Becker, ABA Bank Compliance, </w:t>
      </w:r>
      <w:r w:rsidRPr="006F6A84">
        <w:rPr>
          <w:i/>
          <w:sz w:val="16"/>
          <w:szCs w:val="16"/>
        </w:rPr>
        <w:t xml:space="preserve">Stopping Financial Abuse of </w:t>
      </w:r>
      <w:proofErr w:type="gramStart"/>
      <w:r w:rsidRPr="006F6A84">
        <w:rPr>
          <w:i/>
          <w:sz w:val="16"/>
          <w:szCs w:val="16"/>
        </w:rPr>
        <w:t>Seniors</w:t>
      </w:r>
      <w:proofErr w:type="gramEnd"/>
      <w:r w:rsidRPr="006F6A84">
        <w:rPr>
          <w:sz w:val="16"/>
          <w:szCs w:val="16"/>
        </w:rPr>
        <w:t xml:space="preserve"> (2011)1-17. </w:t>
      </w:r>
    </w:p>
  </w:footnote>
  <w:footnote w:id="75">
    <w:p w:rsidR="00D80277" w:rsidRPr="006F6A84" w:rsidRDefault="00D80277" w:rsidP="00BC5BE7">
      <w:pPr>
        <w:pStyle w:val="FootnoteText"/>
        <w:rPr>
          <w:sz w:val="16"/>
          <w:szCs w:val="16"/>
        </w:rPr>
      </w:pPr>
      <w:r w:rsidRPr="006F6A84">
        <w:rPr>
          <w:rStyle w:val="FootnoteReference"/>
          <w:rFonts w:cs="Arial"/>
          <w:sz w:val="16"/>
          <w:szCs w:val="16"/>
        </w:rPr>
        <w:footnoteRef/>
      </w:r>
      <w:r w:rsidRPr="006F6A84">
        <w:rPr>
          <w:sz w:val="16"/>
          <w:szCs w:val="16"/>
        </w:rPr>
        <w:t xml:space="preserve"> Leslie Callaway &amp; Jerry Becker, ABA Bank Compliance, </w:t>
      </w:r>
      <w:r w:rsidRPr="006F6A84">
        <w:rPr>
          <w:i/>
          <w:sz w:val="16"/>
          <w:szCs w:val="16"/>
        </w:rPr>
        <w:t xml:space="preserve">Stopping Financial Abuse of </w:t>
      </w:r>
      <w:proofErr w:type="gramStart"/>
      <w:r w:rsidRPr="006F6A84">
        <w:rPr>
          <w:i/>
          <w:sz w:val="16"/>
          <w:szCs w:val="16"/>
        </w:rPr>
        <w:t>Seniors</w:t>
      </w:r>
      <w:proofErr w:type="gramEnd"/>
      <w:r w:rsidRPr="006F6A84">
        <w:rPr>
          <w:sz w:val="16"/>
          <w:szCs w:val="16"/>
        </w:rPr>
        <w:t xml:space="preserve"> (2011)1-17. </w:t>
      </w:r>
    </w:p>
  </w:footnote>
  <w:footnote w:id="76">
    <w:p w:rsidR="00D80277" w:rsidRPr="006F6A84" w:rsidRDefault="00D80277" w:rsidP="00BC5BE7">
      <w:pPr>
        <w:pStyle w:val="FootnoteText"/>
        <w:rPr>
          <w:sz w:val="16"/>
          <w:szCs w:val="16"/>
        </w:rPr>
      </w:pPr>
      <w:r w:rsidRPr="006F6A84">
        <w:rPr>
          <w:rStyle w:val="FootnoteReference"/>
          <w:rFonts w:cs="Arial"/>
          <w:sz w:val="16"/>
          <w:szCs w:val="16"/>
        </w:rPr>
        <w:footnoteRef/>
      </w:r>
      <w:r w:rsidRPr="006F6A84">
        <w:rPr>
          <w:sz w:val="16"/>
          <w:szCs w:val="16"/>
        </w:rPr>
        <w:t xml:space="preserve"> </w:t>
      </w:r>
      <w:r w:rsidRPr="006F6A84">
        <w:rPr>
          <w:i/>
          <w:iCs/>
          <w:sz w:val="16"/>
          <w:szCs w:val="16"/>
        </w:rPr>
        <w:t xml:space="preserve">Financial Abuse Reporting Act </w:t>
      </w:r>
      <w:r w:rsidRPr="006F6A84">
        <w:rPr>
          <w:color w:val="000000"/>
          <w:sz w:val="16"/>
          <w:szCs w:val="16"/>
          <w:shd w:val="clear" w:color="auto" w:fill="FFFFFF"/>
        </w:rPr>
        <w:t>§ 1018</w:t>
      </w:r>
    </w:p>
  </w:footnote>
  <w:footnote w:id="77">
    <w:p w:rsidR="00D80277" w:rsidRPr="006F6A84" w:rsidRDefault="00D80277" w:rsidP="00BC5BE7">
      <w:pPr>
        <w:pStyle w:val="FootnoteText"/>
        <w:rPr>
          <w:sz w:val="16"/>
          <w:szCs w:val="16"/>
        </w:rPr>
      </w:pPr>
      <w:r w:rsidRPr="006F6A84">
        <w:rPr>
          <w:rStyle w:val="FootnoteReference"/>
          <w:rFonts w:cs="Arial"/>
          <w:sz w:val="16"/>
          <w:szCs w:val="16"/>
        </w:rPr>
        <w:footnoteRef/>
      </w:r>
      <w:r w:rsidRPr="006F6A84">
        <w:rPr>
          <w:sz w:val="16"/>
          <w:szCs w:val="16"/>
        </w:rPr>
        <w:t xml:space="preserve"> </w:t>
      </w:r>
      <w:r w:rsidRPr="006F6A84">
        <w:rPr>
          <w:i/>
          <w:iCs/>
          <w:sz w:val="16"/>
          <w:szCs w:val="16"/>
        </w:rPr>
        <w:t xml:space="preserve">Financial Abuse Reporting Act </w:t>
      </w:r>
      <w:r w:rsidRPr="006F6A84">
        <w:rPr>
          <w:color w:val="000000"/>
          <w:sz w:val="16"/>
          <w:szCs w:val="16"/>
          <w:shd w:val="clear" w:color="auto" w:fill="FFFFFF"/>
        </w:rPr>
        <w:t>§ 1018 2 (d) (1)</w:t>
      </w:r>
    </w:p>
  </w:footnote>
  <w:footnote w:id="78">
    <w:p w:rsidR="00D80277" w:rsidRPr="006F6A84" w:rsidRDefault="00D80277" w:rsidP="00BC5BE7">
      <w:pPr>
        <w:pStyle w:val="FootnoteText"/>
        <w:rPr>
          <w:sz w:val="16"/>
          <w:szCs w:val="16"/>
        </w:rPr>
      </w:pPr>
      <w:r w:rsidRPr="006F6A84">
        <w:rPr>
          <w:rStyle w:val="FootnoteReference"/>
          <w:rFonts w:cs="Arial"/>
          <w:sz w:val="16"/>
          <w:szCs w:val="16"/>
        </w:rPr>
        <w:footnoteRef/>
      </w:r>
      <w:r w:rsidRPr="006F6A84">
        <w:rPr>
          <w:sz w:val="16"/>
          <w:szCs w:val="16"/>
        </w:rPr>
        <w:t xml:space="preserve"> </w:t>
      </w:r>
      <w:r w:rsidRPr="006F6A84">
        <w:rPr>
          <w:i/>
          <w:iCs/>
          <w:sz w:val="16"/>
          <w:szCs w:val="16"/>
        </w:rPr>
        <w:t xml:space="preserve">Financial Abuse Reporting Act </w:t>
      </w:r>
      <w:r w:rsidRPr="006F6A84">
        <w:rPr>
          <w:color w:val="000000"/>
          <w:sz w:val="16"/>
          <w:szCs w:val="16"/>
          <w:shd w:val="clear" w:color="auto" w:fill="FFFFFF"/>
        </w:rPr>
        <w:t>§ 1018 3 (e) (1)</w:t>
      </w:r>
    </w:p>
  </w:footnote>
  <w:footnote w:id="79">
    <w:p w:rsidR="00D80277" w:rsidRPr="006F6A84" w:rsidRDefault="00D80277" w:rsidP="007776C8">
      <w:pPr>
        <w:pStyle w:val="FootnoteText"/>
        <w:rPr>
          <w:sz w:val="16"/>
          <w:szCs w:val="16"/>
        </w:rPr>
      </w:pPr>
      <w:r w:rsidRPr="006F6A84">
        <w:rPr>
          <w:rStyle w:val="FootnoteReference"/>
          <w:rFonts w:cs="Arial"/>
          <w:sz w:val="16"/>
          <w:szCs w:val="16"/>
        </w:rPr>
        <w:footnoteRef/>
      </w:r>
      <w:r w:rsidRPr="006F6A84">
        <w:rPr>
          <w:sz w:val="16"/>
          <w:szCs w:val="16"/>
        </w:rPr>
        <w:t xml:space="preserve"> </w:t>
      </w:r>
      <w:proofErr w:type="gramStart"/>
      <w:r w:rsidRPr="006F6A84">
        <w:rPr>
          <w:i/>
          <w:sz w:val="16"/>
          <w:szCs w:val="16"/>
        </w:rPr>
        <w:t>Carroll v Carroll</w:t>
      </w:r>
      <w:r w:rsidRPr="006F6A84">
        <w:rPr>
          <w:sz w:val="16"/>
          <w:szCs w:val="16"/>
        </w:rPr>
        <w:t xml:space="preserve"> [1999] 4IR</w:t>
      </w:r>
      <w:r>
        <w:rPr>
          <w:sz w:val="16"/>
          <w:szCs w:val="16"/>
        </w:rPr>
        <w:t>.</w:t>
      </w:r>
      <w:proofErr w:type="gramEnd"/>
    </w:p>
  </w:footnote>
  <w:footnote w:id="80">
    <w:p w:rsidR="00D80277" w:rsidRPr="006F6A84" w:rsidRDefault="00D80277" w:rsidP="007776C8">
      <w:pPr>
        <w:pStyle w:val="FootnoteText"/>
        <w:rPr>
          <w:sz w:val="16"/>
          <w:szCs w:val="16"/>
        </w:rPr>
      </w:pPr>
      <w:r w:rsidRPr="006F6A84">
        <w:rPr>
          <w:rStyle w:val="FootnoteReference"/>
          <w:rFonts w:cs="Arial"/>
          <w:sz w:val="16"/>
          <w:szCs w:val="16"/>
        </w:rPr>
        <w:footnoteRef/>
      </w:r>
      <w:r w:rsidRPr="006F6A84">
        <w:rPr>
          <w:sz w:val="16"/>
          <w:szCs w:val="16"/>
        </w:rPr>
        <w:t xml:space="preserve"> </w:t>
      </w:r>
      <w:proofErr w:type="gramStart"/>
      <w:r w:rsidRPr="006F6A84">
        <w:rPr>
          <w:i/>
          <w:sz w:val="16"/>
          <w:szCs w:val="16"/>
        </w:rPr>
        <w:t>Carroll v Carroll</w:t>
      </w:r>
      <w:r w:rsidRPr="006F6A84">
        <w:rPr>
          <w:sz w:val="16"/>
          <w:szCs w:val="16"/>
        </w:rPr>
        <w:t xml:space="preserve"> [1999] 4IR</w:t>
      </w:r>
      <w:r>
        <w:rPr>
          <w:sz w:val="16"/>
          <w:szCs w:val="16"/>
        </w:rPr>
        <w:t>.</w:t>
      </w:r>
      <w:proofErr w:type="gramEnd"/>
    </w:p>
  </w:footnote>
  <w:footnote w:id="81">
    <w:p w:rsidR="00D80277" w:rsidRPr="006F6A84" w:rsidRDefault="00D80277" w:rsidP="00BC5BE7">
      <w:pPr>
        <w:pStyle w:val="FootnoteText"/>
        <w:rPr>
          <w:sz w:val="16"/>
          <w:szCs w:val="16"/>
        </w:rPr>
      </w:pPr>
      <w:r w:rsidRPr="006F6A84">
        <w:rPr>
          <w:rStyle w:val="FootnoteReference"/>
          <w:rFonts w:cs="Arial"/>
          <w:sz w:val="16"/>
          <w:szCs w:val="16"/>
        </w:rPr>
        <w:footnoteRef/>
      </w:r>
      <w:r w:rsidRPr="006F6A84">
        <w:rPr>
          <w:sz w:val="16"/>
          <w:szCs w:val="16"/>
        </w:rPr>
        <w:t xml:space="preserve"> Saskatchewan's Provincial Policy Framework and Action Plan/or Older Persons (May 2003), Saskatchewan Provincial Advisory Committee of Older Persons</w:t>
      </w:r>
    </w:p>
  </w:footnote>
  <w:footnote w:id="82">
    <w:p w:rsidR="00D80277" w:rsidRPr="006F6A84" w:rsidRDefault="00D80277" w:rsidP="00A9079D">
      <w:pPr>
        <w:pStyle w:val="FootnoteText"/>
        <w:rPr>
          <w:sz w:val="16"/>
          <w:szCs w:val="16"/>
        </w:rPr>
      </w:pPr>
      <w:r w:rsidRPr="006F6A84">
        <w:rPr>
          <w:rStyle w:val="FootnoteReference"/>
          <w:rFonts w:cs="Arial"/>
          <w:sz w:val="16"/>
          <w:szCs w:val="16"/>
        </w:rPr>
        <w:footnoteRef/>
      </w:r>
      <w:r w:rsidRPr="006F6A84">
        <w:rPr>
          <w:sz w:val="16"/>
          <w:szCs w:val="16"/>
        </w:rPr>
        <w:t xml:space="preserve"> Canadian Government, </w:t>
      </w:r>
      <w:r w:rsidRPr="006F6A84">
        <w:rPr>
          <w:i/>
          <w:sz w:val="16"/>
          <w:szCs w:val="16"/>
        </w:rPr>
        <w:t>A Practical Guide to Elder Abuse &amp; Neglect Law in Canada</w:t>
      </w:r>
      <w:r w:rsidRPr="006F6A84">
        <w:rPr>
          <w:sz w:val="16"/>
          <w:szCs w:val="16"/>
        </w:rPr>
        <w:t>- Canadian Centre for Elder Abuse 2011: University of British Columbia 2011</w:t>
      </w:r>
    </w:p>
  </w:footnote>
  <w:footnote w:id="83">
    <w:p w:rsidR="00D80277" w:rsidRPr="006F6A84" w:rsidRDefault="00D80277" w:rsidP="00A9079D">
      <w:pPr>
        <w:pStyle w:val="FootnoteText"/>
        <w:rPr>
          <w:sz w:val="16"/>
          <w:szCs w:val="16"/>
        </w:rPr>
      </w:pPr>
      <w:r w:rsidRPr="006F6A84">
        <w:rPr>
          <w:rStyle w:val="FootnoteReference"/>
          <w:rFonts w:cs="Arial"/>
          <w:sz w:val="16"/>
          <w:szCs w:val="16"/>
        </w:rPr>
        <w:footnoteRef/>
      </w:r>
      <w:r w:rsidRPr="006F6A84">
        <w:rPr>
          <w:sz w:val="16"/>
          <w:szCs w:val="16"/>
        </w:rPr>
        <w:t xml:space="preserve"> Canadian Government, </w:t>
      </w:r>
      <w:r w:rsidRPr="006F6A84">
        <w:rPr>
          <w:i/>
          <w:sz w:val="16"/>
          <w:szCs w:val="16"/>
        </w:rPr>
        <w:t>A Practical Guide to Elder Abuse &amp; Neglect Law in Canada</w:t>
      </w:r>
      <w:r w:rsidRPr="006F6A84">
        <w:rPr>
          <w:sz w:val="16"/>
          <w:szCs w:val="16"/>
        </w:rPr>
        <w:t>- Canadian Centre for Elder Abuse 2011: University of British Columbia 2011</w:t>
      </w:r>
    </w:p>
  </w:footnote>
  <w:footnote w:id="84">
    <w:p w:rsidR="00D80277" w:rsidRPr="006F6A84" w:rsidRDefault="00D80277" w:rsidP="00BC5BE7">
      <w:pPr>
        <w:pStyle w:val="FootnoteText"/>
        <w:rPr>
          <w:sz w:val="16"/>
          <w:szCs w:val="16"/>
        </w:rPr>
      </w:pPr>
      <w:r w:rsidRPr="006F6A84">
        <w:rPr>
          <w:rStyle w:val="FootnoteReference"/>
          <w:rFonts w:cs="Arial"/>
          <w:sz w:val="16"/>
          <w:szCs w:val="16"/>
        </w:rPr>
        <w:footnoteRef/>
      </w:r>
      <w:r w:rsidRPr="006F6A84">
        <w:rPr>
          <w:sz w:val="16"/>
          <w:szCs w:val="16"/>
        </w:rPr>
        <w:t xml:space="preserve"> Why is it so difficult to combat elder abuse and, in particular, financial exploitation of the elderly?, Older Adults Personal Relationships, Law Commission of Canada (1999)</w:t>
      </w:r>
    </w:p>
  </w:footnote>
  <w:footnote w:id="85">
    <w:p w:rsidR="00D80277" w:rsidRPr="006F6A84" w:rsidRDefault="00D80277" w:rsidP="00BC5BE7">
      <w:pPr>
        <w:pStyle w:val="FootnoteText"/>
        <w:rPr>
          <w:sz w:val="16"/>
          <w:szCs w:val="16"/>
        </w:rPr>
      </w:pPr>
      <w:r w:rsidRPr="006F6A84">
        <w:rPr>
          <w:rStyle w:val="FootnoteReference"/>
          <w:rFonts w:cs="Arial"/>
          <w:sz w:val="16"/>
          <w:szCs w:val="16"/>
        </w:rPr>
        <w:footnoteRef/>
      </w:r>
      <w:r w:rsidRPr="006F6A84">
        <w:rPr>
          <w:sz w:val="16"/>
          <w:szCs w:val="16"/>
        </w:rPr>
        <w:t xml:space="preserve"> Californian Government, </w:t>
      </w:r>
      <w:r w:rsidRPr="006F6A84">
        <w:rPr>
          <w:i/>
          <w:sz w:val="16"/>
          <w:szCs w:val="16"/>
        </w:rPr>
        <w:t>Manual of Policies &amp; Procedures</w:t>
      </w:r>
      <w:r w:rsidRPr="006F6A84">
        <w:rPr>
          <w:sz w:val="16"/>
          <w:szCs w:val="16"/>
        </w:rPr>
        <w:t xml:space="preserve"> – State of California Health and Services Agency: Department of Social Services 2001-2016.</w:t>
      </w:r>
    </w:p>
  </w:footnote>
  <w:footnote w:id="86">
    <w:p w:rsidR="00D80277" w:rsidRPr="00F30654" w:rsidRDefault="00D80277" w:rsidP="00403CF6">
      <w:pPr>
        <w:pStyle w:val="FootnoteText"/>
        <w:rPr>
          <w:rFonts w:cs="Times New Roman"/>
          <w:sz w:val="16"/>
          <w:szCs w:val="16"/>
          <w:lang w:val="en-US"/>
        </w:rPr>
      </w:pPr>
      <w:r w:rsidRPr="00F30654">
        <w:rPr>
          <w:rStyle w:val="FootnoteReference"/>
          <w:rFonts w:cs="Times New Roman"/>
          <w:sz w:val="16"/>
          <w:szCs w:val="16"/>
        </w:rPr>
        <w:footnoteRef/>
      </w:r>
      <w:r w:rsidRPr="00F30654">
        <w:rPr>
          <w:rFonts w:cs="Times New Roman"/>
          <w:sz w:val="16"/>
          <w:szCs w:val="16"/>
        </w:rPr>
        <w:t xml:space="preserve"> </w:t>
      </w:r>
      <w:proofErr w:type="gramStart"/>
      <w:r w:rsidRPr="00F30654">
        <w:rPr>
          <w:rFonts w:cs="Times New Roman"/>
          <w:sz w:val="16"/>
          <w:szCs w:val="16"/>
        </w:rPr>
        <w:t xml:space="preserve">House of Representatives Standing Committee on Legal and Constitutional Affairs, Parliament of Australia, </w:t>
      </w:r>
      <w:r w:rsidRPr="00F30654">
        <w:rPr>
          <w:rFonts w:cs="Times New Roman"/>
          <w:i/>
          <w:iCs/>
          <w:sz w:val="16"/>
          <w:szCs w:val="16"/>
        </w:rPr>
        <w:t xml:space="preserve">Older people and the law </w:t>
      </w:r>
      <w:r w:rsidRPr="00F30654">
        <w:rPr>
          <w:rFonts w:cs="Times New Roman"/>
          <w:sz w:val="16"/>
          <w:szCs w:val="16"/>
        </w:rPr>
        <w:t>(2007)</w:t>
      </w:r>
      <w:r w:rsidRPr="00F30654">
        <w:rPr>
          <w:rFonts w:cs="Times New Roman"/>
          <w:sz w:val="16"/>
          <w:szCs w:val="16"/>
          <w:lang w:val="en-US"/>
        </w:rPr>
        <w:t xml:space="preserve"> 32.</w:t>
      </w:r>
      <w:proofErr w:type="gramEnd"/>
    </w:p>
  </w:footnote>
  <w:footnote w:id="87">
    <w:p w:rsidR="00D80277" w:rsidRPr="00F30654" w:rsidRDefault="00D80277" w:rsidP="00403CF6">
      <w:pPr>
        <w:pStyle w:val="FootnoteText"/>
        <w:rPr>
          <w:rFonts w:cs="Times New Roman"/>
          <w:sz w:val="16"/>
          <w:szCs w:val="16"/>
          <w:lang w:val="en-US"/>
        </w:rPr>
      </w:pPr>
      <w:r w:rsidRPr="00F30654">
        <w:rPr>
          <w:rStyle w:val="FootnoteReference"/>
          <w:rFonts w:cs="Times New Roman"/>
          <w:sz w:val="16"/>
          <w:szCs w:val="16"/>
        </w:rPr>
        <w:footnoteRef/>
      </w:r>
      <w:r w:rsidRPr="00F30654">
        <w:rPr>
          <w:rFonts w:cs="Times New Roman"/>
          <w:sz w:val="16"/>
          <w:szCs w:val="16"/>
        </w:rPr>
        <w:t xml:space="preserve"> </w:t>
      </w:r>
      <w:proofErr w:type="gramStart"/>
      <w:r w:rsidRPr="00F30654">
        <w:rPr>
          <w:rFonts w:cs="Times New Roman"/>
          <w:sz w:val="16"/>
          <w:szCs w:val="16"/>
        </w:rPr>
        <w:t xml:space="preserve">House of Representatives Standing Committee on Legal and Constitutional Affairs, Parliament of Australia, </w:t>
      </w:r>
      <w:r w:rsidRPr="00F30654">
        <w:rPr>
          <w:rFonts w:cs="Times New Roman"/>
          <w:i/>
          <w:iCs/>
          <w:sz w:val="16"/>
          <w:szCs w:val="16"/>
        </w:rPr>
        <w:t xml:space="preserve">Older people and the law </w:t>
      </w:r>
      <w:r w:rsidRPr="00F30654">
        <w:rPr>
          <w:rFonts w:cs="Times New Roman"/>
          <w:sz w:val="16"/>
          <w:szCs w:val="16"/>
        </w:rPr>
        <w:t xml:space="preserve">(2007) </w:t>
      </w:r>
      <w:r w:rsidRPr="00F30654">
        <w:rPr>
          <w:rFonts w:cs="Times New Roman"/>
          <w:sz w:val="16"/>
          <w:szCs w:val="16"/>
          <w:lang w:val="en-US"/>
        </w:rPr>
        <w:t>31.</w:t>
      </w:r>
      <w:proofErr w:type="gramEnd"/>
    </w:p>
  </w:footnote>
  <w:footnote w:id="88">
    <w:p w:rsidR="00D80277" w:rsidRPr="00F30654" w:rsidRDefault="00D80277" w:rsidP="00403CF6">
      <w:pPr>
        <w:pStyle w:val="FootnoteText"/>
        <w:rPr>
          <w:rFonts w:cs="Times New Roman"/>
          <w:sz w:val="16"/>
          <w:szCs w:val="16"/>
          <w:lang w:val="en-US"/>
        </w:rPr>
      </w:pPr>
      <w:r w:rsidRPr="00F30654">
        <w:rPr>
          <w:rStyle w:val="FootnoteReference"/>
          <w:rFonts w:cs="Times New Roman"/>
          <w:sz w:val="16"/>
          <w:szCs w:val="16"/>
        </w:rPr>
        <w:footnoteRef/>
      </w:r>
      <w:r w:rsidRPr="00F30654">
        <w:rPr>
          <w:rFonts w:cs="Times New Roman"/>
          <w:sz w:val="16"/>
          <w:szCs w:val="16"/>
        </w:rPr>
        <w:t xml:space="preserve"> </w:t>
      </w:r>
      <w:r w:rsidRPr="00F30654">
        <w:rPr>
          <w:rFonts w:cs="Times New Roman"/>
          <w:sz w:val="16"/>
          <w:szCs w:val="16"/>
          <w:lang w:val="en-US"/>
        </w:rPr>
        <w:t xml:space="preserve">Terrie Lewis, ‘Fifty ways to exploit your grandmother: the status of financial abuse of the elderly in Minnesota’ (2001) 28 </w:t>
      </w:r>
      <w:r w:rsidRPr="00F30654">
        <w:rPr>
          <w:rFonts w:cs="Times New Roman"/>
          <w:i/>
          <w:sz w:val="16"/>
          <w:szCs w:val="16"/>
          <w:lang w:val="en-US"/>
        </w:rPr>
        <w:t xml:space="preserve">William Mitchell Law Review </w:t>
      </w:r>
      <w:r w:rsidRPr="00F30654">
        <w:rPr>
          <w:rFonts w:cs="Times New Roman"/>
          <w:sz w:val="16"/>
          <w:szCs w:val="16"/>
          <w:lang w:val="en-US"/>
        </w:rPr>
        <w:t xml:space="preserve">911, 939.  </w:t>
      </w:r>
    </w:p>
  </w:footnote>
  <w:footnote w:id="89">
    <w:p w:rsidR="00D80277" w:rsidRPr="00F30654" w:rsidRDefault="00D80277" w:rsidP="00A47D45">
      <w:pPr>
        <w:pStyle w:val="FootnoteText"/>
        <w:rPr>
          <w:rFonts w:cs="Times New Roman"/>
          <w:sz w:val="16"/>
          <w:szCs w:val="16"/>
          <w:lang w:val="en-US"/>
        </w:rPr>
      </w:pPr>
      <w:r w:rsidRPr="00F30654">
        <w:rPr>
          <w:rStyle w:val="FootnoteReference"/>
          <w:rFonts w:cs="Times New Roman"/>
          <w:sz w:val="16"/>
          <w:szCs w:val="16"/>
        </w:rPr>
        <w:footnoteRef/>
      </w:r>
      <w:r w:rsidRPr="00F30654">
        <w:rPr>
          <w:rFonts w:cs="Times New Roman"/>
          <w:sz w:val="16"/>
          <w:szCs w:val="16"/>
        </w:rPr>
        <w:t xml:space="preserve"> </w:t>
      </w:r>
      <w:proofErr w:type="gramStart"/>
      <w:r w:rsidRPr="00F30654">
        <w:rPr>
          <w:rFonts w:cs="Times New Roman"/>
          <w:sz w:val="16"/>
          <w:szCs w:val="16"/>
          <w:lang w:val="en-US"/>
        </w:rPr>
        <w:t>Ibid, 939.</w:t>
      </w:r>
      <w:proofErr w:type="gramEnd"/>
      <w:r w:rsidRPr="00F30654">
        <w:rPr>
          <w:rFonts w:cs="Times New Roman"/>
          <w:sz w:val="16"/>
          <w:szCs w:val="16"/>
          <w:lang w:val="en-US"/>
        </w:rPr>
        <w:t xml:space="preserve">  </w:t>
      </w:r>
    </w:p>
  </w:footnote>
  <w:footnote w:id="90">
    <w:p w:rsidR="00D80277" w:rsidRPr="00F30654" w:rsidRDefault="00D80277" w:rsidP="00A47D45">
      <w:pPr>
        <w:pStyle w:val="FootnoteText"/>
        <w:rPr>
          <w:rFonts w:cs="Times New Roman"/>
          <w:sz w:val="16"/>
          <w:szCs w:val="16"/>
          <w:lang w:val="en-US"/>
        </w:rPr>
      </w:pPr>
      <w:r w:rsidRPr="00F30654">
        <w:rPr>
          <w:rStyle w:val="FootnoteReference"/>
          <w:rFonts w:cs="Times New Roman"/>
          <w:sz w:val="16"/>
          <w:szCs w:val="16"/>
        </w:rPr>
        <w:footnoteRef/>
      </w:r>
      <w:r w:rsidRPr="00F30654">
        <w:rPr>
          <w:rFonts w:cs="Times New Roman"/>
          <w:sz w:val="16"/>
          <w:szCs w:val="16"/>
        </w:rPr>
        <w:t xml:space="preserve"> </w:t>
      </w:r>
      <w:proofErr w:type="gramStart"/>
      <w:r w:rsidRPr="00F30654">
        <w:rPr>
          <w:rFonts w:cs="Times New Roman"/>
          <w:sz w:val="16"/>
          <w:szCs w:val="16"/>
          <w:lang w:val="en-US"/>
        </w:rPr>
        <w:t>Ibid, 939.</w:t>
      </w:r>
      <w:proofErr w:type="gramEnd"/>
      <w:r w:rsidRPr="00F30654">
        <w:rPr>
          <w:rFonts w:cs="Times New Roman"/>
          <w:sz w:val="16"/>
          <w:szCs w:val="16"/>
          <w:lang w:val="en-US"/>
        </w:rPr>
        <w:t xml:space="preserve">  </w:t>
      </w:r>
    </w:p>
  </w:footnote>
  <w:footnote w:id="91">
    <w:p w:rsidR="00D80277" w:rsidRPr="00F30654" w:rsidRDefault="00D80277" w:rsidP="00A47D45">
      <w:pPr>
        <w:pStyle w:val="FootnoteText"/>
        <w:rPr>
          <w:rFonts w:cs="Times New Roman"/>
          <w:sz w:val="16"/>
          <w:szCs w:val="16"/>
          <w:lang w:val="en-US"/>
        </w:rPr>
      </w:pPr>
      <w:r w:rsidRPr="00F30654">
        <w:rPr>
          <w:rStyle w:val="FootnoteReference"/>
          <w:rFonts w:cs="Times New Roman"/>
          <w:sz w:val="16"/>
          <w:szCs w:val="16"/>
        </w:rPr>
        <w:footnoteRef/>
      </w:r>
      <w:r w:rsidRPr="00F30654">
        <w:rPr>
          <w:rFonts w:cs="Times New Roman"/>
          <w:sz w:val="16"/>
          <w:szCs w:val="16"/>
        </w:rPr>
        <w:t xml:space="preserve"> </w:t>
      </w:r>
      <w:r w:rsidRPr="00F30654">
        <w:rPr>
          <w:rFonts w:cs="Times New Roman"/>
          <w:sz w:val="16"/>
          <w:szCs w:val="16"/>
          <w:lang w:val="en-US"/>
        </w:rPr>
        <w:t xml:space="preserve">Terrie Lewis, ‘Fifty ways to exploit your grandmother: the status of financial abuse of the elderly in Minnesota’ (2001) 28 </w:t>
      </w:r>
      <w:r w:rsidRPr="00F30654">
        <w:rPr>
          <w:rFonts w:cs="Times New Roman"/>
          <w:i/>
          <w:sz w:val="16"/>
          <w:szCs w:val="16"/>
          <w:lang w:val="en-US"/>
        </w:rPr>
        <w:t xml:space="preserve">William Mitchell Law Review </w:t>
      </w:r>
      <w:r w:rsidRPr="00F30654">
        <w:rPr>
          <w:rFonts w:cs="Times New Roman"/>
          <w:sz w:val="16"/>
          <w:szCs w:val="16"/>
          <w:lang w:val="en-US"/>
        </w:rPr>
        <w:t xml:space="preserve">911, 939.  </w:t>
      </w:r>
    </w:p>
  </w:footnote>
  <w:footnote w:id="92">
    <w:p w:rsidR="00D80277" w:rsidRPr="00F30654" w:rsidRDefault="00D80277" w:rsidP="00A47D45">
      <w:pPr>
        <w:pStyle w:val="FootnoteText"/>
        <w:rPr>
          <w:rFonts w:cs="Times New Roman"/>
          <w:sz w:val="16"/>
          <w:szCs w:val="16"/>
          <w:lang w:val="en-US"/>
        </w:rPr>
      </w:pPr>
      <w:r w:rsidRPr="00F30654">
        <w:rPr>
          <w:rStyle w:val="FootnoteReference"/>
          <w:rFonts w:cs="Times New Roman"/>
          <w:sz w:val="16"/>
          <w:szCs w:val="16"/>
        </w:rPr>
        <w:footnoteRef/>
      </w:r>
      <w:r w:rsidRPr="00F30654">
        <w:rPr>
          <w:rFonts w:cs="Times New Roman"/>
          <w:sz w:val="16"/>
          <w:szCs w:val="16"/>
        </w:rPr>
        <w:t xml:space="preserve"> Financial Ombudsman Service, Parliament of Australia, </w:t>
      </w:r>
      <w:r w:rsidRPr="00F30654">
        <w:rPr>
          <w:rFonts w:cs="Times New Roman"/>
          <w:i/>
          <w:iCs/>
          <w:sz w:val="16"/>
          <w:szCs w:val="16"/>
        </w:rPr>
        <w:t xml:space="preserve">Banking &amp; Finance Bulletin </w:t>
      </w:r>
      <w:r w:rsidRPr="00F30654">
        <w:rPr>
          <w:rFonts w:cs="Times New Roman"/>
          <w:sz w:val="16"/>
          <w:szCs w:val="16"/>
        </w:rPr>
        <w:t xml:space="preserve">(2007), 24.  </w:t>
      </w:r>
    </w:p>
  </w:footnote>
  <w:footnote w:id="93">
    <w:p w:rsidR="00D80277" w:rsidRPr="00F30654" w:rsidRDefault="00D80277" w:rsidP="00A47D45">
      <w:pPr>
        <w:pStyle w:val="FootnoteText"/>
        <w:rPr>
          <w:rFonts w:cs="Times New Roman"/>
          <w:sz w:val="16"/>
          <w:szCs w:val="16"/>
          <w:highlight w:val="yellow"/>
          <w:lang w:val="en-US"/>
        </w:rPr>
      </w:pPr>
      <w:r w:rsidRPr="00F30654">
        <w:rPr>
          <w:rStyle w:val="FootnoteReference"/>
          <w:rFonts w:cs="Times New Roman"/>
          <w:sz w:val="16"/>
          <w:szCs w:val="16"/>
        </w:rPr>
        <w:footnoteRef/>
      </w:r>
      <w:r w:rsidRPr="00F30654">
        <w:rPr>
          <w:rFonts w:cs="Times New Roman"/>
          <w:sz w:val="16"/>
          <w:szCs w:val="16"/>
        </w:rPr>
        <w:t xml:space="preserve"> Financial Ombudsman Service, Parliament of Australia, </w:t>
      </w:r>
      <w:r w:rsidRPr="00F30654">
        <w:rPr>
          <w:rFonts w:cs="Times New Roman"/>
          <w:i/>
          <w:iCs/>
          <w:sz w:val="16"/>
          <w:szCs w:val="16"/>
        </w:rPr>
        <w:t xml:space="preserve">Banking &amp; Finance Bulletin </w:t>
      </w:r>
      <w:r w:rsidRPr="00F30654">
        <w:rPr>
          <w:rFonts w:cs="Times New Roman"/>
          <w:sz w:val="16"/>
          <w:szCs w:val="16"/>
        </w:rPr>
        <w:t xml:space="preserve">(2007), 25. </w:t>
      </w:r>
    </w:p>
  </w:footnote>
  <w:footnote w:id="94">
    <w:p w:rsidR="00D80277" w:rsidRPr="00F30654" w:rsidRDefault="00D80277" w:rsidP="00A47D45">
      <w:pPr>
        <w:pStyle w:val="FootnoteText"/>
        <w:rPr>
          <w:rFonts w:cs="Times New Roman"/>
          <w:sz w:val="16"/>
          <w:szCs w:val="16"/>
          <w:lang w:val="en-US"/>
        </w:rPr>
      </w:pPr>
      <w:r w:rsidRPr="00F30654">
        <w:rPr>
          <w:rStyle w:val="FootnoteReference"/>
          <w:rFonts w:cs="Times New Roman"/>
          <w:sz w:val="16"/>
          <w:szCs w:val="16"/>
        </w:rPr>
        <w:footnoteRef/>
      </w:r>
      <w:r w:rsidRPr="00F30654">
        <w:rPr>
          <w:rFonts w:cs="Times New Roman"/>
          <w:sz w:val="16"/>
          <w:szCs w:val="16"/>
        </w:rPr>
        <w:t xml:space="preserve"> Financial Ombudsman Service, Parliament of Australia, </w:t>
      </w:r>
      <w:r w:rsidRPr="00F30654">
        <w:rPr>
          <w:rFonts w:cs="Times New Roman"/>
          <w:i/>
          <w:iCs/>
          <w:sz w:val="16"/>
          <w:szCs w:val="16"/>
        </w:rPr>
        <w:t xml:space="preserve">Banking &amp; Finance Bulletin </w:t>
      </w:r>
      <w:r w:rsidRPr="00F30654">
        <w:rPr>
          <w:rFonts w:cs="Times New Roman"/>
          <w:sz w:val="16"/>
          <w:szCs w:val="16"/>
        </w:rPr>
        <w:t xml:space="preserve">(2007), 24. </w:t>
      </w:r>
    </w:p>
  </w:footnote>
  <w:footnote w:id="95">
    <w:p w:rsidR="00D80277" w:rsidRPr="00F30654" w:rsidRDefault="00D80277" w:rsidP="00F04BE9">
      <w:pPr>
        <w:pStyle w:val="FootnoteText"/>
        <w:rPr>
          <w:rFonts w:cs="Times New Roman"/>
          <w:sz w:val="16"/>
          <w:szCs w:val="16"/>
          <w:lang w:val="en-US"/>
        </w:rPr>
      </w:pPr>
      <w:r w:rsidRPr="00F30654">
        <w:rPr>
          <w:rStyle w:val="FootnoteReference"/>
          <w:rFonts w:cs="Times New Roman"/>
          <w:sz w:val="16"/>
          <w:szCs w:val="16"/>
        </w:rPr>
        <w:footnoteRef/>
      </w:r>
      <w:r w:rsidRPr="00F30654">
        <w:rPr>
          <w:rFonts w:cs="Times New Roman"/>
          <w:sz w:val="16"/>
          <w:szCs w:val="16"/>
        </w:rPr>
        <w:t xml:space="preserve"> </w:t>
      </w:r>
      <w:proofErr w:type="gramStart"/>
      <w:r w:rsidRPr="00F30654">
        <w:rPr>
          <w:rFonts w:cs="Times New Roman"/>
          <w:sz w:val="16"/>
          <w:szCs w:val="16"/>
        </w:rPr>
        <w:t>Ibid 24.</w:t>
      </w:r>
      <w:proofErr w:type="gramEnd"/>
      <w:r w:rsidRPr="00F30654">
        <w:rPr>
          <w:rFonts w:cs="Times New Roman"/>
          <w:sz w:val="16"/>
          <w:szCs w:val="16"/>
        </w:rPr>
        <w:t xml:space="preserve"> </w:t>
      </w:r>
    </w:p>
  </w:footnote>
  <w:footnote w:id="96">
    <w:p w:rsidR="00D80277" w:rsidRPr="00F30654" w:rsidRDefault="00D80277" w:rsidP="00F04BE9">
      <w:pPr>
        <w:pStyle w:val="FootnoteText"/>
        <w:rPr>
          <w:rFonts w:cs="Times New Roman"/>
          <w:sz w:val="16"/>
          <w:szCs w:val="16"/>
          <w:lang w:val="en-US"/>
        </w:rPr>
      </w:pPr>
      <w:r w:rsidRPr="00F30654">
        <w:rPr>
          <w:rStyle w:val="FootnoteReference"/>
          <w:rFonts w:cs="Times New Roman"/>
          <w:sz w:val="16"/>
          <w:szCs w:val="16"/>
        </w:rPr>
        <w:footnoteRef/>
      </w:r>
      <w:r w:rsidRPr="00F30654">
        <w:rPr>
          <w:rFonts w:cs="Times New Roman"/>
          <w:sz w:val="16"/>
          <w:szCs w:val="16"/>
        </w:rPr>
        <w:t xml:space="preserve"> </w:t>
      </w:r>
      <w:proofErr w:type="gramStart"/>
      <w:r w:rsidRPr="00F30654">
        <w:rPr>
          <w:rFonts w:cs="Times New Roman"/>
          <w:sz w:val="16"/>
          <w:szCs w:val="16"/>
          <w:lang w:val="en-US"/>
        </w:rPr>
        <w:t>Ibid, 25.</w:t>
      </w:r>
      <w:proofErr w:type="gramEnd"/>
      <w:r w:rsidRPr="00F30654">
        <w:rPr>
          <w:rFonts w:cs="Times New Roman"/>
          <w:sz w:val="16"/>
          <w:szCs w:val="16"/>
          <w:lang w:val="en-US"/>
        </w:rPr>
        <w:t xml:space="preserve"> </w:t>
      </w:r>
    </w:p>
  </w:footnote>
  <w:footnote w:id="97">
    <w:p w:rsidR="00D80277" w:rsidRPr="00F30654" w:rsidRDefault="00D80277" w:rsidP="00403CF6">
      <w:pPr>
        <w:pStyle w:val="FootnoteText"/>
        <w:rPr>
          <w:rFonts w:cs="Times New Roman"/>
          <w:sz w:val="16"/>
          <w:szCs w:val="16"/>
        </w:rPr>
      </w:pPr>
      <w:r w:rsidRPr="00F30654">
        <w:rPr>
          <w:rStyle w:val="FootnoteReference"/>
          <w:rFonts w:cs="Times New Roman"/>
          <w:sz w:val="16"/>
          <w:szCs w:val="16"/>
        </w:rPr>
        <w:footnoteRef/>
      </w:r>
      <w:r w:rsidRPr="00F30654">
        <w:rPr>
          <w:rFonts w:cs="Times New Roman"/>
          <w:sz w:val="16"/>
          <w:szCs w:val="16"/>
        </w:rPr>
        <w:t xml:space="preserve"> House of Representatives Standing Committee on Legal and Constitutional Affairs, Parliament of Australia, </w:t>
      </w:r>
      <w:r w:rsidRPr="00F30654">
        <w:rPr>
          <w:rFonts w:cs="Times New Roman"/>
          <w:i/>
          <w:iCs/>
          <w:sz w:val="16"/>
          <w:szCs w:val="16"/>
        </w:rPr>
        <w:t xml:space="preserve">Older people and the law </w:t>
      </w:r>
      <w:r>
        <w:rPr>
          <w:rFonts w:cs="Times New Roman"/>
          <w:sz w:val="16"/>
          <w:szCs w:val="16"/>
        </w:rPr>
        <w:t xml:space="preserve">(2007). </w:t>
      </w:r>
    </w:p>
  </w:footnote>
  <w:footnote w:id="98">
    <w:p w:rsidR="00D80277" w:rsidRPr="00622372" w:rsidRDefault="00D80277" w:rsidP="00403CF6">
      <w:pPr>
        <w:pStyle w:val="FootnoteText"/>
        <w:rPr>
          <w:rFonts w:cs="Times New Roman"/>
          <w:sz w:val="16"/>
          <w:szCs w:val="16"/>
        </w:rPr>
      </w:pPr>
      <w:r w:rsidRPr="00F30654">
        <w:rPr>
          <w:rStyle w:val="FootnoteReference"/>
          <w:rFonts w:cs="Times New Roman"/>
          <w:sz w:val="16"/>
          <w:szCs w:val="16"/>
        </w:rPr>
        <w:footnoteRef/>
      </w:r>
      <w:r w:rsidRPr="00F30654">
        <w:rPr>
          <w:rFonts w:cs="Times New Roman"/>
          <w:sz w:val="16"/>
          <w:szCs w:val="16"/>
        </w:rPr>
        <w:t xml:space="preserve"> House of Representatives Standing Committee on Legal and Constitutional Affairs, Parliament of Australia, </w:t>
      </w:r>
      <w:r w:rsidRPr="00F30654">
        <w:rPr>
          <w:rFonts w:cs="Times New Roman"/>
          <w:i/>
          <w:iCs/>
          <w:sz w:val="16"/>
          <w:szCs w:val="16"/>
        </w:rPr>
        <w:t xml:space="preserve">Older people and the </w:t>
      </w:r>
      <w:r w:rsidRPr="00622372">
        <w:rPr>
          <w:rFonts w:cs="Times New Roman"/>
          <w:i/>
          <w:iCs/>
          <w:sz w:val="16"/>
          <w:szCs w:val="16"/>
        </w:rPr>
        <w:t xml:space="preserve">law </w:t>
      </w:r>
      <w:r w:rsidRPr="00622372">
        <w:rPr>
          <w:rFonts w:cs="Times New Roman"/>
          <w:sz w:val="16"/>
          <w:szCs w:val="16"/>
        </w:rPr>
        <w:t xml:space="preserve">(2007). </w:t>
      </w:r>
    </w:p>
  </w:footnote>
  <w:footnote w:id="99">
    <w:p w:rsidR="00D80277" w:rsidRPr="00622372" w:rsidRDefault="00D80277" w:rsidP="00403CF6">
      <w:pPr>
        <w:pStyle w:val="FootnoteText"/>
        <w:rPr>
          <w:rFonts w:cs="Times New Roman"/>
          <w:sz w:val="16"/>
          <w:szCs w:val="16"/>
        </w:rPr>
      </w:pPr>
      <w:r w:rsidRPr="00622372">
        <w:rPr>
          <w:rStyle w:val="FootnoteReference"/>
          <w:rFonts w:cs="Times New Roman"/>
          <w:sz w:val="16"/>
          <w:szCs w:val="16"/>
        </w:rPr>
        <w:footnoteRef/>
      </w:r>
      <w:r w:rsidRPr="00622372">
        <w:rPr>
          <w:rFonts w:cs="Times New Roman"/>
          <w:sz w:val="16"/>
          <w:szCs w:val="16"/>
        </w:rPr>
        <w:t xml:space="preserve"> </w:t>
      </w:r>
      <w:proofErr w:type="gramStart"/>
      <w:r w:rsidRPr="00622372">
        <w:rPr>
          <w:rFonts w:cs="Times New Roman"/>
          <w:sz w:val="16"/>
          <w:szCs w:val="16"/>
        </w:rPr>
        <w:t>Ibid, 44.</w:t>
      </w:r>
      <w:proofErr w:type="gramEnd"/>
      <w:r w:rsidRPr="00622372">
        <w:rPr>
          <w:rFonts w:cs="Times New Roman"/>
          <w:sz w:val="16"/>
          <w:szCs w:val="16"/>
        </w:rPr>
        <w:t xml:space="preserve"> </w:t>
      </w:r>
    </w:p>
  </w:footnote>
  <w:footnote w:id="100">
    <w:p w:rsidR="00D80277" w:rsidRPr="00622372" w:rsidRDefault="00D80277" w:rsidP="00403CF6">
      <w:pPr>
        <w:pStyle w:val="FootnoteText"/>
        <w:rPr>
          <w:rFonts w:cs="Times New Roman"/>
          <w:sz w:val="16"/>
          <w:szCs w:val="16"/>
        </w:rPr>
      </w:pPr>
      <w:r w:rsidRPr="00622372">
        <w:rPr>
          <w:rStyle w:val="FootnoteReference"/>
          <w:rFonts w:cs="Times New Roman"/>
          <w:sz w:val="16"/>
          <w:szCs w:val="16"/>
        </w:rPr>
        <w:footnoteRef/>
      </w:r>
      <w:r w:rsidRPr="00622372">
        <w:rPr>
          <w:rFonts w:cs="Times New Roman"/>
          <w:sz w:val="16"/>
          <w:szCs w:val="16"/>
        </w:rPr>
        <w:t xml:space="preserve"> </w:t>
      </w:r>
      <w:proofErr w:type="gramStart"/>
      <w:r w:rsidRPr="00622372">
        <w:rPr>
          <w:rFonts w:cs="Times New Roman"/>
          <w:sz w:val="16"/>
          <w:szCs w:val="16"/>
        </w:rPr>
        <w:t>Ibid, 45.</w:t>
      </w:r>
      <w:proofErr w:type="gramEnd"/>
      <w:r w:rsidRPr="00622372">
        <w:rPr>
          <w:rFonts w:cs="Times New Roman"/>
          <w:sz w:val="16"/>
          <w:szCs w:val="16"/>
        </w:rPr>
        <w:t xml:space="preserve">  </w:t>
      </w:r>
    </w:p>
  </w:footnote>
  <w:footnote w:id="101">
    <w:p w:rsidR="00D80277" w:rsidRPr="00622372" w:rsidRDefault="00D80277" w:rsidP="00403CF6">
      <w:pPr>
        <w:pStyle w:val="FootnoteText"/>
        <w:rPr>
          <w:rFonts w:cs="Times New Roman"/>
          <w:sz w:val="16"/>
          <w:szCs w:val="16"/>
        </w:rPr>
      </w:pPr>
      <w:r w:rsidRPr="00622372">
        <w:rPr>
          <w:rStyle w:val="FootnoteReference"/>
          <w:rFonts w:cs="Times New Roman"/>
          <w:sz w:val="16"/>
          <w:szCs w:val="16"/>
        </w:rPr>
        <w:footnoteRef/>
      </w:r>
      <w:r w:rsidRPr="00622372">
        <w:rPr>
          <w:rFonts w:cs="Times New Roman"/>
          <w:sz w:val="16"/>
          <w:szCs w:val="16"/>
        </w:rPr>
        <w:t xml:space="preserve"> </w:t>
      </w:r>
      <w:r w:rsidRPr="00622372">
        <w:rPr>
          <w:rFonts w:cs="Arial"/>
          <w:sz w:val="16"/>
          <w:szCs w:val="16"/>
          <w:shd w:val="clear" w:color="auto" w:fill="FFFFFF"/>
        </w:rPr>
        <w:t xml:space="preserve">NSW Department of Premier and Cabinet, Parliament of NSW, </w:t>
      </w:r>
      <w:r w:rsidRPr="00622372">
        <w:rPr>
          <w:i/>
          <w:sz w:val="16"/>
          <w:szCs w:val="16"/>
        </w:rPr>
        <w:t xml:space="preserve">Selected domestic and family violence prevention programs: An Evidence Check rapid review brokered by the Sax Institute </w:t>
      </w:r>
      <w:r w:rsidRPr="00622372">
        <w:rPr>
          <w:sz w:val="16"/>
          <w:szCs w:val="16"/>
        </w:rPr>
        <w:t>(2008), 4.</w:t>
      </w:r>
    </w:p>
  </w:footnote>
  <w:footnote w:id="102">
    <w:p w:rsidR="00D80277" w:rsidRPr="00622372" w:rsidRDefault="00D80277" w:rsidP="00622372">
      <w:pPr>
        <w:rPr>
          <w:rFonts w:cs="Arial"/>
          <w:sz w:val="16"/>
          <w:szCs w:val="16"/>
          <w:shd w:val="clear" w:color="auto" w:fill="FFFFFF"/>
        </w:rPr>
      </w:pPr>
      <w:r w:rsidRPr="00622372">
        <w:rPr>
          <w:rStyle w:val="FootnoteReference"/>
          <w:rFonts w:cs="Times New Roman"/>
          <w:sz w:val="16"/>
          <w:szCs w:val="16"/>
        </w:rPr>
        <w:footnoteRef/>
      </w:r>
      <w:r w:rsidRPr="00622372">
        <w:rPr>
          <w:rFonts w:cs="Times New Roman"/>
          <w:sz w:val="16"/>
          <w:szCs w:val="16"/>
        </w:rPr>
        <w:t xml:space="preserve"> </w:t>
      </w:r>
      <w:r w:rsidRPr="00622372">
        <w:rPr>
          <w:rFonts w:cs="Arial"/>
          <w:sz w:val="16"/>
          <w:szCs w:val="16"/>
          <w:shd w:val="clear" w:color="auto" w:fill="FFFFFF"/>
        </w:rPr>
        <w:t>Walden, I., &amp; Wall, L,</w:t>
      </w:r>
      <w:r w:rsidRPr="00622372">
        <w:rPr>
          <w:rStyle w:val="apple-converted-space"/>
          <w:rFonts w:cs="Arial"/>
          <w:sz w:val="16"/>
          <w:szCs w:val="16"/>
          <w:shd w:val="clear" w:color="auto" w:fill="FFFFFF"/>
        </w:rPr>
        <w:t xml:space="preserve"> ‘</w:t>
      </w:r>
      <w:r w:rsidRPr="00622372">
        <w:rPr>
          <w:rStyle w:val="Emphasis"/>
          <w:rFonts w:cs="Arial"/>
          <w:i w:val="0"/>
          <w:sz w:val="16"/>
          <w:szCs w:val="16"/>
          <w:shd w:val="clear" w:color="auto" w:fill="FFFFFF"/>
        </w:rPr>
        <w:t>Reflecting on primary prevention of violence against women: The public health approach’ (2014)</w:t>
      </w:r>
      <w:r w:rsidRPr="00622372">
        <w:rPr>
          <w:rStyle w:val="apple-converted-space"/>
          <w:rFonts w:cs="Arial"/>
          <w:sz w:val="16"/>
          <w:szCs w:val="16"/>
          <w:shd w:val="clear" w:color="auto" w:fill="FFFFFF"/>
        </w:rPr>
        <w:t> </w:t>
      </w:r>
      <w:r w:rsidRPr="00622372">
        <w:rPr>
          <w:rFonts w:cs="Arial"/>
          <w:i/>
          <w:sz w:val="16"/>
          <w:szCs w:val="16"/>
          <w:shd w:val="clear" w:color="auto" w:fill="FFFFFF"/>
        </w:rPr>
        <w:t>Melbourne: Australian Centre for the Study of Sexual Assault, Australian Institute of Family Studies.</w:t>
      </w:r>
    </w:p>
  </w:footnote>
  <w:footnote w:id="103">
    <w:p w:rsidR="00D80277" w:rsidRPr="00622372" w:rsidRDefault="00D80277" w:rsidP="00403CF6">
      <w:pPr>
        <w:pStyle w:val="FootnoteText"/>
        <w:rPr>
          <w:rFonts w:cs="Times New Roman"/>
          <w:sz w:val="16"/>
          <w:szCs w:val="16"/>
        </w:rPr>
      </w:pPr>
      <w:r w:rsidRPr="00622372">
        <w:rPr>
          <w:rStyle w:val="FootnoteReference"/>
          <w:rFonts w:cs="Times New Roman"/>
          <w:sz w:val="16"/>
          <w:szCs w:val="16"/>
        </w:rPr>
        <w:footnoteRef/>
      </w:r>
      <w:r w:rsidRPr="00622372">
        <w:rPr>
          <w:rFonts w:cs="Times New Roman"/>
          <w:sz w:val="16"/>
          <w:szCs w:val="16"/>
        </w:rPr>
        <w:t xml:space="preserve"> </w:t>
      </w:r>
      <w:proofErr w:type="gramStart"/>
      <w:r>
        <w:rPr>
          <w:rFonts w:cs="Times New Roman"/>
          <w:sz w:val="16"/>
          <w:szCs w:val="16"/>
        </w:rPr>
        <w:t>Ibid.</w:t>
      </w:r>
      <w:proofErr w:type="gramEnd"/>
      <w:r w:rsidRPr="00622372">
        <w:rPr>
          <w:rFonts w:cs="Times New Roman"/>
          <w:sz w:val="16"/>
          <w:szCs w:val="16"/>
        </w:rPr>
        <w:t xml:space="preserve">  </w:t>
      </w:r>
    </w:p>
  </w:footnote>
  <w:footnote w:id="104">
    <w:p w:rsidR="00D80277" w:rsidRPr="00622372" w:rsidRDefault="00D80277" w:rsidP="00403CF6">
      <w:pPr>
        <w:pStyle w:val="FootnoteText"/>
        <w:rPr>
          <w:rFonts w:cs="Times New Roman"/>
          <w:sz w:val="16"/>
          <w:szCs w:val="16"/>
        </w:rPr>
      </w:pPr>
      <w:r w:rsidRPr="00622372">
        <w:rPr>
          <w:rStyle w:val="FootnoteReference"/>
          <w:rFonts w:cs="Times New Roman"/>
          <w:sz w:val="16"/>
          <w:szCs w:val="16"/>
        </w:rPr>
        <w:footnoteRef/>
      </w:r>
      <w:r w:rsidRPr="00622372">
        <w:rPr>
          <w:rFonts w:cs="Times New Roman"/>
          <w:sz w:val="16"/>
          <w:szCs w:val="16"/>
        </w:rPr>
        <w:t xml:space="preserve"> </w:t>
      </w:r>
      <w:proofErr w:type="gramStart"/>
      <w:r>
        <w:rPr>
          <w:rFonts w:cs="Times New Roman"/>
          <w:sz w:val="16"/>
          <w:szCs w:val="16"/>
        </w:rPr>
        <w:t>Ibid.</w:t>
      </w:r>
      <w:proofErr w:type="gramEnd"/>
      <w:r w:rsidRPr="00622372">
        <w:rPr>
          <w:rFonts w:cs="Times New Roman"/>
          <w:sz w:val="16"/>
          <w:szCs w:val="16"/>
        </w:rPr>
        <w:t xml:space="preserve"> </w:t>
      </w:r>
    </w:p>
  </w:footnote>
  <w:footnote w:id="105">
    <w:p w:rsidR="00D80277" w:rsidRPr="00622372" w:rsidRDefault="00D80277" w:rsidP="00403CF6">
      <w:pPr>
        <w:pStyle w:val="FootnoteText"/>
        <w:rPr>
          <w:rFonts w:cs="Times New Roman"/>
          <w:sz w:val="16"/>
          <w:szCs w:val="16"/>
        </w:rPr>
      </w:pPr>
      <w:r w:rsidRPr="00622372">
        <w:rPr>
          <w:rStyle w:val="FootnoteReference"/>
          <w:rFonts w:cs="Times New Roman"/>
          <w:sz w:val="16"/>
          <w:szCs w:val="16"/>
        </w:rPr>
        <w:footnoteRef/>
      </w:r>
      <w:r w:rsidRPr="00622372">
        <w:rPr>
          <w:rFonts w:cs="Times New Roman"/>
          <w:sz w:val="16"/>
          <w:szCs w:val="16"/>
        </w:rPr>
        <w:t xml:space="preserve"> </w:t>
      </w:r>
      <w:proofErr w:type="gramStart"/>
      <w:r>
        <w:rPr>
          <w:rFonts w:cs="Times New Roman"/>
          <w:sz w:val="16"/>
          <w:szCs w:val="16"/>
        </w:rPr>
        <w:t>Ibid.</w:t>
      </w:r>
      <w:proofErr w:type="gramEnd"/>
      <w:r w:rsidRPr="00622372">
        <w:rPr>
          <w:rFonts w:cs="Times New Roman"/>
          <w:sz w:val="16"/>
          <w:szCs w:val="16"/>
        </w:rPr>
        <w:t xml:space="preserve"> </w:t>
      </w:r>
    </w:p>
  </w:footnote>
  <w:footnote w:id="106">
    <w:p w:rsidR="00D80277" w:rsidRPr="00622372" w:rsidRDefault="00D80277" w:rsidP="00403CF6">
      <w:pPr>
        <w:pStyle w:val="FootnoteText"/>
        <w:rPr>
          <w:rFonts w:cs="Times New Roman"/>
          <w:sz w:val="16"/>
          <w:szCs w:val="16"/>
        </w:rPr>
      </w:pPr>
      <w:r w:rsidRPr="00622372">
        <w:rPr>
          <w:rStyle w:val="FootnoteReference"/>
          <w:rFonts w:cs="Times New Roman"/>
          <w:sz w:val="16"/>
          <w:szCs w:val="16"/>
        </w:rPr>
        <w:footnoteRef/>
      </w:r>
      <w:r w:rsidRPr="00622372">
        <w:rPr>
          <w:rFonts w:cs="Times New Roman"/>
          <w:sz w:val="16"/>
          <w:szCs w:val="16"/>
        </w:rPr>
        <w:t xml:space="preserve"> </w:t>
      </w:r>
      <w:proofErr w:type="gramStart"/>
      <w:r>
        <w:rPr>
          <w:rFonts w:cs="Times New Roman"/>
          <w:sz w:val="16"/>
          <w:szCs w:val="16"/>
        </w:rPr>
        <w:t>Ibid.</w:t>
      </w:r>
      <w:proofErr w:type="gramEnd"/>
      <w:r>
        <w:rPr>
          <w:rFonts w:cs="Times New Roman"/>
          <w:sz w:val="16"/>
          <w:szCs w:val="16"/>
        </w:rPr>
        <w:t xml:space="preserve"> </w:t>
      </w:r>
      <w:r w:rsidRPr="00622372">
        <w:rPr>
          <w:rFonts w:cs="Times New Roman"/>
          <w:sz w:val="16"/>
          <w:szCs w:val="16"/>
        </w:rPr>
        <w:t xml:space="preserve"> </w:t>
      </w:r>
    </w:p>
  </w:footnote>
  <w:footnote w:id="107">
    <w:p w:rsidR="00D80277" w:rsidRPr="00622372" w:rsidRDefault="00D80277" w:rsidP="00403CF6">
      <w:pPr>
        <w:pStyle w:val="FootnoteText"/>
        <w:rPr>
          <w:rFonts w:cs="Times New Roman"/>
          <w:sz w:val="16"/>
          <w:szCs w:val="16"/>
        </w:rPr>
      </w:pPr>
      <w:r w:rsidRPr="00622372">
        <w:rPr>
          <w:rStyle w:val="FootnoteReference"/>
          <w:rFonts w:cs="Times New Roman"/>
          <w:sz w:val="16"/>
          <w:szCs w:val="16"/>
        </w:rPr>
        <w:footnoteRef/>
      </w:r>
      <w:r w:rsidRPr="00622372">
        <w:rPr>
          <w:rFonts w:cs="Times New Roman"/>
          <w:sz w:val="16"/>
          <w:szCs w:val="16"/>
        </w:rPr>
        <w:t xml:space="preserve"> </w:t>
      </w:r>
      <w:proofErr w:type="spellStart"/>
      <w:r w:rsidRPr="00622372">
        <w:rPr>
          <w:rFonts w:cs="Times New Roman"/>
          <w:sz w:val="16"/>
          <w:szCs w:val="16"/>
        </w:rPr>
        <w:t>Kaspiew</w:t>
      </w:r>
      <w:proofErr w:type="spellEnd"/>
      <w:r w:rsidRPr="00622372">
        <w:rPr>
          <w:rFonts w:cs="Times New Roman"/>
          <w:sz w:val="16"/>
          <w:szCs w:val="16"/>
        </w:rPr>
        <w:t xml:space="preserve"> et al, ‘Elder Abuse: Understanding issues, frameworks and responses’ (Research Paper No 35, Australian Institute of Family Studies, Parliament of Australia, 2016) 44.  </w:t>
      </w:r>
    </w:p>
  </w:footnote>
  <w:footnote w:id="108">
    <w:p w:rsidR="00D80277" w:rsidRPr="00622372" w:rsidRDefault="00D80277" w:rsidP="00622372">
      <w:pPr>
        <w:rPr>
          <w:rFonts w:cs="Arial"/>
          <w:sz w:val="16"/>
          <w:szCs w:val="16"/>
          <w:shd w:val="clear" w:color="auto" w:fill="FFFFFF"/>
        </w:rPr>
      </w:pPr>
      <w:r w:rsidRPr="00622372">
        <w:rPr>
          <w:rStyle w:val="FootnoteReference"/>
          <w:rFonts w:cs="Times New Roman"/>
          <w:sz w:val="16"/>
          <w:szCs w:val="16"/>
        </w:rPr>
        <w:footnoteRef/>
      </w:r>
      <w:r w:rsidRPr="00622372">
        <w:rPr>
          <w:rFonts w:cs="Times New Roman"/>
          <w:sz w:val="16"/>
          <w:szCs w:val="16"/>
        </w:rPr>
        <w:t xml:space="preserve"> </w:t>
      </w:r>
      <w:r w:rsidRPr="00622372">
        <w:rPr>
          <w:rFonts w:cs="Arial"/>
          <w:sz w:val="16"/>
          <w:szCs w:val="16"/>
          <w:shd w:val="clear" w:color="auto" w:fill="FFFFFF"/>
        </w:rPr>
        <w:t>Walden, I., &amp; Wall, L,</w:t>
      </w:r>
      <w:r w:rsidRPr="00622372">
        <w:rPr>
          <w:rStyle w:val="apple-converted-space"/>
          <w:rFonts w:cs="Arial"/>
          <w:sz w:val="16"/>
          <w:szCs w:val="16"/>
          <w:shd w:val="clear" w:color="auto" w:fill="FFFFFF"/>
        </w:rPr>
        <w:t xml:space="preserve"> ‘</w:t>
      </w:r>
      <w:r w:rsidRPr="00622372">
        <w:rPr>
          <w:rStyle w:val="Emphasis"/>
          <w:rFonts w:cs="Arial"/>
          <w:i w:val="0"/>
          <w:sz w:val="16"/>
          <w:szCs w:val="16"/>
          <w:shd w:val="clear" w:color="auto" w:fill="FFFFFF"/>
        </w:rPr>
        <w:t>Reflecting on primary prevention of violence against women: The public health approach’ (2014)</w:t>
      </w:r>
      <w:r w:rsidRPr="00622372">
        <w:rPr>
          <w:rStyle w:val="apple-converted-space"/>
          <w:rFonts w:cs="Arial"/>
          <w:sz w:val="16"/>
          <w:szCs w:val="16"/>
          <w:shd w:val="clear" w:color="auto" w:fill="FFFFFF"/>
        </w:rPr>
        <w:t> </w:t>
      </w:r>
      <w:r w:rsidRPr="00622372">
        <w:rPr>
          <w:rFonts w:cs="Arial"/>
          <w:i/>
          <w:sz w:val="16"/>
          <w:szCs w:val="16"/>
          <w:shd w:val="clear" w:color="auto" w:fill="FFFFFF"/>
        </w:rPr>
        <w:t>Melbourne: Australian Centre for the Study of Sexual Assault, Australian Institute of Family Studies.</w:t>
      </w:r>
    </w:p>
  </w:footnote>
  <w:footnote w:id="109">
    <w:p w:rsidR="00D80277" w:rsidRPr="00F30654" w:rsidRDefault="00D80277" w:rsidP="00403CF6">
      <w:pPr>
        <w:pStyle w:val="FootnoteText"/>
        <w:rPr>
          <w:rFonts w:cs="Times New Roman"/>
          <w:sz w:val="16"/>
          <w:szCs w:val="16"/>
        </w:rPr>
      </w:pPr>
      <w:r w:rsidRPr="00622372">
        <w:rPr>
          <w:rStyle w:val="FootnoteReference"/>
          <w:rFonts w:cs="Times New Roman"/>
          <w:sz w:val="16"/>
          <w:szCs w:val="16"/>
        </w:rPr>
        <w:footnoteRef/>
      </w:r>
      <w:r w:rsidRPr="00622372">
        <w:rPr>
          <w:rFonts w:cs="Times New Roman"/>
          <w:sz w:val="16"/>
          <w:szCs w:val="16"/>
        </w:rPr>
        <w:t xml:space="preserve"> </w:t>
      </w:r>
      <w:proofErr w:type="spellStart"/>
      <w:r w:rsidRPr="00622372">
        <w:rPr>
          <w:rFonts w:cs="Times New Roman"/>
          <w:sz w:val="16"/>
          <w:szCs w:val="16"/>
        </w:rPr>
        <w:t>Kaspiew</w:t>
      </w:r>
      <w:proofErr w:type="spellEnd"/>
      <w:r w:rsidRPr="00622372">
        <w:rPr>
          <w:rFonts w:cs="Times New Roman"/>
          <w:sz w:val="16"/>
          <w:szCs w:val="16"/>
        </w:rPr>
        <w:t xml:space="preserve"> et al, ‘Elder Abuse: Understanding issues, frameworks and responses’ (Research Paper No 35, Australian Institute of Family Studies, Parliament of Australia, 2016) 44.</w:t>
      </w:r>
      <w:r w:rsidRPr="00F30654">
        <w:rPr>
          <w:rFonts w:cs="Times New Roman"/>
          <w:sz w:val="16"/>
          <w:szCs w:val="16"/>
        </w:rPr>
        <w:t xml:space="preserve"> </w:t>
      </w:r>
    </w:p>
  </w:footnote>
  <w:footnote w:id="110">
    <w:p w:rsidR="00D80277" w:rsidRPr="00F30654" w:rsidRDefault="00D80277" w:rsidP="00403CF6">
      <w:pPr>
        <w:pStyle w:val="FootnoteText"/>
        <w:rPr>
          <w:rFonts w:cs="Times New Roman"/>
          <w:sz w:val="16"/>
          <w:szCs w:val="16"/>
        </w:rPr>
      </w:pPr>
      <w:r w:rsidRPr="00F30654">
        <w:rPr>
          <w:rStyle w:val="FootnoteReference"/>
          <w:rFonts w:cs="Times New Roman"/>
          <w:sz w:val="16"/>
          <w:szCs w:val="16"/>
        </w:rPr>
        <w:footnoteRef/>
      </w:r>
      <w:r w:rsidRPr="00F30654">
        <w:rPr>
          <w:rFonts w:cs="Times New Roman"/>
          <w:sz w:val="16"/>
          <w:szCs w:val="16"/>
        </w:rPr>
        <w:t xml:space="preserve"> Government of Canada (2014) </w:t>
      </w:r>
      <w:r w:rsidRPr="00F30654">
        <w:rPr>
          <w:rFonts w:cs="Times New Roman"/>
          <w:i/>
          <w:iCs/>
          <w:sz w:val="16"/>
          <w:szCs w:val="16"/>
        </w:rPr>
        <w:t>Action for Seniors Report</w:t>
      </w:r>
      <w:r w:rsidRPr="00F30654">
        <w:rPr>
          <w:rFonts w:cs="Times New Roman"/>
          <w:sz w:val="16"/>
          <w:szCs w:val="16"/>
        </w:rPr>
        <w:t xml:space="preserve"> </w:t>
      </w:r>
      <w:proofErr w:type="gramStart"/>
      <w:r w:rsidRPr="00F30654">
        <w:rPr>
          <w:rFonts w:cs="Times New Roman"/>
          <w:sz w:val="16"/>
          <w:szCs w:val="16"/>
        </w:rPr>
        <w:t>Retrieved</w:t>
      </w:r>
      <w:proofErr w:type="gramEnd"/>
      <w:r w:rsidRPr="00F30654">
        <w:rPr>
          <w:rFonts w:cs="Times New Roman"/>
          <w:sz w:val="16"/>
          <w:szCs w:val="16"/>
        </w:rPr>
        <w:t xml:space="preserve"> from </w:t>
      </w:r>
      <w:hyperlink r:id="rId3" w:history="1">
        <w:r w:rsidRPr="00F30654">
          <w:rPr>
            <w:rStyle w:val="Hyperlink"/>
            <w:rFonts w:cs="Times New Roman"/>
            <w:sz w:val="16"/>
            <w:szCs w:val="16"/>
          </w:rPr>
          <w:t>www.seniors.gc.ca/eng/report/index.shtml</w:t>
        </w:r>
      </w:hyperlink>
      <w:r>
        <w:rPr>
          <w:rFonts w:cs="Times New Roman"/>
          <w:sz w:val="16"/>
          <w:szCs w:val="16"/>
        </w:rPr>
        <w:t>.</w:t>
      </w:r>
    </w:p>
  </w:footnote>
  <w:footnote w:id="111">
    <w:p w:rsidR="00D80277" w:rsidRPr="00EB0DA6" w:rsidRDefault="00D80277" w:rsidP="00EB0DA6">
      <w:pPr>
        <w:rPr>
          <w:sz w:val="16"/>
          <w:szCs w:val="16"/>
        </w:rPr>
      </w:pPr>
      <w:r w:rsidRPr="00EB0DA6">
        <w:rPr>
          <w:rStyle w:val="FootnoteReference"/>
          <w:rFonts w:cs="Times New Roman"/>
          <w:sz w:val="16"/>
          <w:szCs w:val="16"/>
        </w:rPr>
        <w:footnoteRef/>
      </w:r>
      <w:r w:rsidRPr="00EB0DA6">
        <w:rPr>
          <w:rFonts w:cs="Times New Roman"/>
          <w:sz w:val="16"/>
          <w:szCs w:val="16"/>
        </w:rPr>
        <w:t xml:space="preserve"> </w:t>
      </w:r>
      <w:r w:rsidRPr="00EB0DA6">
        <w:rPr>
          <w:sz w:val="16"/>
          <w:szCs w:val="16"/>
        </w:rPr>
        <w:t xml:space="preserve">Donovan R, </w:t>
      </w:r>
      <w:proofErr w:type="spellStart"/>
      <w:r w:rsidRPr="00EB0DA6">
        <w:rPr>
          <w:sz w:val="16"/>
          <w:szCs w:val="16"/>
        </w:rPr>
        <w:t>Vlais</w:t>
      </w:r>
      <w:proofErr w:type="spellEnd"/>
      <w:r w:rsidRPr="00EB0DA6">
        <w:rPr>
          <w:sz w:val="16"/>
          <w:szCs w:val="16"/>
        </w:rPr>
        <w:t xml:space="preserve"> R, ‘</w:t>
      </w:r>
      <w:proofErr w:type="spellStart"/>
      <w:r w:rsidRPr="00EB0DA6">
        <w:rPr>
          <w:sz w:val="16"/>
          <w:szCs w:val="16"/>
        </w:rPr>
        <w:t>VicHealth</w:t>
      </w:r>
      <w:proofErr w:type="spellEnd"/>
      <w:r w:rsidRPr="00EB0DA6">
        <w:rPr>
          <w:sz w:val="16"/>
          <w:szCs w:val="16"/>
        </w:rPr>
        <w:t xml:space="preserve"> Review of Communication Components of Social Marketing/Public Education Campaigns Focused on Violence </w:t>
      </w:r>
      <w:proofErr w:type="gramStart"/>
      <w:r w:rsidRPr="00EB0DA6">
        <w:rPr>
          <w:sz w:val="16"/>
          <w:szCs w:val="16"/>
        </w:rPr>
        <w:t>Against</w:t>
      </w:r>
      <w:proofErr w:type="gramEnd"/>
      <w:r w:rsidRPr="00EB0DA6">
        <w:rPr>
          <w:sz w:val="16"/>
          <w:szCs w:val="16"/>
        </w:rPr>
        <w:t xml:space="preserve"> Women’ (2005) </w:t>
      </w:r>
      <w:r w:rsidRPr="00EB0DA6">
        <w:rPr>
          <w:i/>
          <w:sz w:val="16"/>
          <w:szCs w:val="16"/>
        </w:rPr>
        <w:t>Victorian Health Promotion Foundation.</w:t>
      </w:r>
      <w:r w:rsidRPr="00EB0DA6">
        <w:rPr>
          <w:sz w:val="16"/>
          <w:szCs w:val="16"/>
        </w:rPr>
        <w:t xml:space="preserve"> </w:t>
      </w:r>
    </w:p>
  </w:footnote>
  <w:footnote w:id="112">
    <w:p w:rsidR="00D80277" w:rsidRPr="00EB0DA6" w:rsidRDefault="00D80277" w:rsidP="00EB0DA6">
      <w:pPr>
        <w:rPr>
          <w:rFonts w:cs="Arial"/>
          <w:sz w:val="16"/>
          <w:szCs w:val="16"/>
          <w:shd w:val="clear" w:color="auto" w:fill="FFFFFF"/>
        </w:rPr>
      </w:pPr>
      <w:r w:rsidRPr="00EB0DA6">
        <w:rPr>
          <w:rStyle w:val="FootnoteReference"/>
          <w:rFonts w:cs="Times New Roman"/>
          <w:sz w:val="16"/>
          <w:szCs w:val="16"/>
        </w:rPr>
        <w:footnoteRef/>
      </w:r>
      <w:r w:rsidRPr="00EB0DA6">
        <w:rPr>
          <w:rFonts w:cs="Times New Roman"/>
          <w:sz w:val="16"/>
          <w:szCs w:val="16"/>
        </w:rPr>
        <w:t xml:space="preserve"> </w:t>
      </w:r>
      <w:r w:rsidRPr="00EB0DA6">
        <w:rPr>
          <w:rFonts w:cs="Arial"/>
          <w:sz w:val="16"/>
          <w:szCs w:val="16"/>
          <w:shd w:val="clear" w:color="auto" w:fill="FFFFFF"/>
        </w:rPr>
        <w:t xml:space="preserve">NSW Department of Premier and Cabinet, Parliament of NSW, </w:t>
      </w:r>
      <w:r w:rsidRPr="00EB0DA6">
        <w:rPr>
          <w:i/>
          <w:sz w:val="16"/>
          <w:szCs w:val="16"/>
        </w:rPr>
        <w:t xml:space="preserve">Selected domestic and family violence prevention programs: An Evidence Check rapid review brokered by the Sax Institute </w:t>
      </w:r>
      <w:r w:rsidRPr="00EB0DA6">
        <w:rPr>
          <w:sz w:val="16"/>
          <w:szCs w:val="16"/>
        </w:rPr>
        <w:t xml:space="preserve">(2008), 8. </w:t>
      </w:r>
    </w:p>
  </w:footnote>
  <w:footnote w:id="113">
    <w:p w:rsidR="00D80277" w:rsidRPr="00EB0DA6" w:rsidRDefault="00D80277" w:rsidP="00EB0DA6">
      <w:pPr>
        <w:rPr>
          <w:rFonts w:cs="Arial"/>
          <w:sz w:val="16"/>
          <w:szCs w:val="16"/>
          <w:shd w:val="clear" w:color="auto" w:fill="FFFFFF"/>
        </w:rPr>
      </w:pPr>
      <w:r w:rsidRPr="00EB0DA6">
        <w:rPr>
          <w:rStyle w:val="FootnoteReference"/>
          <w:rFonts w:cs="Times New Roman"/>
          <w:sz w:val="16"/>
          <w:szCs w:val="16"/>
        </w:rPr>
        <w:footnoteRef/>
      </w:r>
      <w:r w:rsidRPr="00EB0DA6">
        <w:rPr>
          <w:rFonts w:cs="Times New Roman"/>
          <w:sz w:val="16"/>
          <w:szCs w:val="16"/>
        </w:rPr>
        <w:t xml:space="preserve"> </w:t>
      </w:r>
      <w:r w:rsidRPr="00EB0DA6">
        <w:rPr>
          <w:rFonts w:cs="Arial"/>
          <w:sz w:val="16"/>
          <w:szCs w:val="16"/>
          <w:shd w:val="clear" w:color="auto" w:fill="FFFFFF"/>
        </w:rPr>
        <w:t xml:space="preserve">NSW Department of Premier and Cabinet, Parliament of NSW, </w:t>
      </w:r>
      <w:r w:rsidRPr="00EB0DA6">
        <w:rPr>
          <w:i/>
          <w:sz w:val="16"/>
          <w:szCs w:val="16"/>
        </w:rPr>
        <w:t xml:space="preserve">Selected domestic and family violence prevention programs: An Evidence Check rapid review brokered by the Sax Institute </w:t>
      </w:r>
      <w:r w:rsidRPr="00EB0DA6">
        <w:rPr>
          <w:sz w:val="16"/>
          <w:szCs w:val="16"/>
        </w:rPr>
        <w:t>(2008), 9.</w:t>
      </w:r>
    </w:p>
  </w:footnote>
  <w:footnote w:id="114">
    <w:p w:rsidR="00D80277" w:rsidRPr="00EB0DA6" w:rsidRDefault="00D80277" w:rsidP="00EB0DA6">
      <w:pPr>
        <w:rPr>
          <w:rFonts w:cs="Arial"/>
          <w:sz w:val="16"/>
          <w:szCs w:val="16"/>
          <w:shd w:val="clear" w:color="auto" w:fill="FFFFFF"/>
        </w:rPr>
      </w:pPr>
      <w:r w:rsidRPr="00EB0DA6">
        <w:rPr>
          <w:rStyle w:val="FootnoteReference"/>
          <w:rFonts w:cs="Times New Roman"/>
          <w:sz w:val="16"/>
          <w:szCs w:val="16"/>
        </w:rPr>
        <w:footnoteRef/>
      </w:r>
      <w:r w:rsidRPr="00EB0DA6">
        <w:rPr>
          <w:rFonts w:cs="Times New Roman"/>
          <w:sz w:val="16"/>
          <w:szCs w:val="16"/>
        </w:rPr>
        <w:t xml:space="preserve"> </w:t>
      </w:r>
      <w:r w:rsidRPr="00EB0DA6">
        <w:rPr>
          <w:rFonts w:cs="Arial"/>
          <w:sz w:val="16"/>
          <w:szCs w:val="16"/>
          <w:shd w:val="clear" w:color="auto" w:fill="FFFFFF"/>
        </w:rPr>
        <w:t xml:space="preserve">NSW Department of Premier and Cabinet, Parliament of NSW, </w:t>
      </w:r>
      <w:r w:rsidRPr="00EB0DA6">
        <w:rPr>
          <w:i/>
          <w:sz w:val="16"/>
          <w:szCs w:val="16"/>
        </w:rPr>
        <w:t xml:space="preserve">Selected domestic and family violence prevention programs: An Evidence Check rapid review brokered by the Sax Institute </w:t>
      </w:r>
      <w:r w:rsidRPr="00EB0DA6">
        <w:rPr>
          <w:sz w:val="16"/>
          <w:szCs w:val="16"/>
        </w:rPr>
        <w:t xml:space="preserve">(2008), 9 </w:t>
      </w:r>
    </w:p>
  </w:footnote>
  <w:footnote w:id="115">
    <w:p w:rsidR="00D80277" w:rsidRPr="00EB0DA6" w:rsidRDefault="00D80277" w:rsidP="00403CF6">
      <w:pPr>
        <w:pStyle w:val="FootnoteText"/>
        <w:rPr>
          <w:rFonts w:cs="Times New Roman"/>
          <w:sz w:val="16"/>
          <w:szCs w:val="16"/>
        </w:rPr>
      </w:pPr>
      <w:r w:rsidRPr="00EB0DA6">
        <w:rPr>
          <w:rStyle w:val="FootnoteReference"/>
          <w:rFonts w:cs="Times New Roman"/>
          <w:sz w:val="16"/>
          <w:szCs w:val="16"/>
        </w:rPr>
        <w:footnoteRef/>
      </w:r>
      <w:r w:rsidRPr="00EB0DA6">
        <w:rPr>
          <w:rFonts w:cs="Times New Roman"/>
          <w:sz w:val="16"/>
          <w:szCs w:val="16"/>
        </w:rPr>
        <w:t xml:space="preserve"> </w:t>
      </w:r>
      <w:proofErr w:type="gramStart"/>
      <w:r w:rsidRPr="00EB0DA6">
        <w:rPr>
          <w:rFonts w:cs="Times New Roman"/>
          <w:sz w:val="16"/>
          <w:szCs w:val="16"/>
        </w:rPr>
        <w:t xml:space="preserve">World Health Organisation (2014) </w:t>
      </w:r>
      <w:r w:rsidRPr="00EB0DA6">
        <w:rPr>
          <w:rFonts w:cs="Times New Roman"/>
          <w:i/>
          <w:iCs/>
          <w:sz w:val="16"/>
          <w:szCs w:val="16"/>
        </w:rPr>
        <w:t>Global status report on violence prevention.</w:t>
      </w:r>
      <w:proofErr w:type="gramEnd"/>
      <w:r w:rsidRPr="00EB0DA6">
        <w:rPr>
          <w:rFonts w:cs="Times New Roman"/>
          <w:i/>
          <w:iCs/>
          <w:sz w:val="16"/>
          <w:szCs w:val="16"/>
        </w:rPr>
        <w:t xml:space="preserve"> </w:t>
      </w:r>
      <w:r w:rsidRPr="00EB0DA6">
        <w:rPr>
          <w:rFonts w:cs="Times New Roman"/>
          <w:sz w:val="16"/>
          <w:szCs w:val="16"/>
        </w:rPr>
        <w:t xml:space="preserve">Geneva: WHO retrieved from </w:t>
      </w:r>
      <w:hyperlink r:id="rId4" w:history="1">
        <w:r w:rsidRPr="00EB0DA6">
          <w:rPr>
            <w:rStyle w:val="Hyperlink"/>
            <w:rFonts w:cs="Times New Roman"/>
            <w:sz w:val="16"/>
            <w:szCs w:val="16"/>
          </w:rPr>
          <w:t>www.who.int/violence_injury_prevention/violence/status_report/2014/en/</w:t>
        </w:r>
      </w:hyperlink>
      <w:r w:rsidRPr="00EB0DA6">
        <w:rPr>
          <w:rFonts w:cs="Times New Roman"/>
          <w:sz w:val="16"/>
          <w:szCs w:val="16"/>
        </w:rPr>
        <w:t xml:space="preserve"> </w:t>
      </w:r>
    </w:p>
  </w:footnote>
  <w:footnote w:id="116">
    <w:p w:rsidR="00D80277" w:rsidRPr="00EB0DA6" w:rsidRDefault="00D80277" w:rsidP="00403CF6">
      <w:pPr>
        <w:pStyle w:val="FootnoteText"/>
        <w:rPr>
          <w:rFonts w:cs="Times New Roman"/>
          <w:sz w:val="16"/>
          <w:szCs w:val="16"/>
        </w:rPr>
      </w:pPr>
      <w:r w:rsidRPr="00EB0DA6">
        <w:rPr>
          <w:rStyle w:val="FootnoteReference"/>
          <w:rFonts w:cs="Times New Roman"/>
          <w:sz w:val="16"/>
          <w:szCs w:val="16"/>
        </w:rPr>
        <w:footnoteRef/>
      </w:r>
      <w:r w:rsidRPr="00EB0DA6">
        <w:rPr>
          <w:rFonts w:cs="Times New Roman"/>
          <w:sz w:val="16"/>
          <w:szCs w:val="16"/>
        </w:rPr>
        <w:t xml:space="preserve"> </w:t>
      </w:r>
      <w:proofErr w:type="spellStart"/>
      <w:r w:rsidRPr="00EB0DA6">
        <w:rPr>
          <w:rFonts w:cs="Times New Roman"/>
          <w:sz w:val="16"/>
          <w:szCs w:val="16"/>
        </w:rPr>
        <w:t>Kaspiew</w:t>
      </w:r>
      <w:proofErr w:type="spellEnd"/>
      <w:r w:rsidRPr="00EB0DA6">
        <w:rPr>
          <w:rFonts w:cs="Times New Roman"/>
          <w:sz w:val="16"/>
          <w:szCs w:val="16"/>
        </w:rPr>
        <w:t xml:space="preserve"> et al, ‘Elder Abuse: Understanding issues, frameworks and responses’ (Research Paper No 35, Australian Institute of Family Studies, Parliament of Australia, 2016) 45. </w:t>
      </w:r>
    </w:p>
  </w:footnote>
  <w:footnote w:id="117">
    <w:p w:rsidR="00D80277" w:rsidRPr="00EB0DA6" w:rsidRDefault="00D80277" w:rsidP="00EB0DA6">
      <w:pPr>
        <w:rPr>
          <w:sz w:val="16"/>
          <w:szCs w:val="16"/>
        </w:rPr>
      </w:pPr>
      <w:r w:rsidRPr="00EB0DA6">
        <w:rPr>
          <w:rStyle w:val="FootnoteReference"/>
          <w:rFonts w:cs="Times New Roman"/>
          <w:sz w:val="16"/>
          <w:szCs w:val="16"/>
        </w:rPr>
        <w:footnoteRef/>
      </w:r>
      <w:r w:rsidRPr="00EB0DA6">
        <w:rPr>
          <w:rFonts w:cs="Times New Roman"/>
          <w:sz w:val="16"/>
          <w:szCs w:val="16"/>
        </w:rPr>
        <w:t xml:space="preserve"> </w:t>
      </w:r>
      <w:proofErr w:type="spellStart"/>
      <w:r w:rsidRPr="00EB0DA6">
        <w:rPr>
          <w:sz w:val="16"/>
          <w:szCs w:val="16"/>
        </w:rPr>
        <w:t>Scheepers</w:t>
      </w:r>
      <w:proofErr w:type="spellEnd"/>
      <w:r w:rsidRPr="00EB0DA6">
        <w:rPr>
          <w:sz w:val="16"/>
          <w:szCs w:val="16"/>
        </w:rPr>
        <w:t xml:space="preserve"> E, </w:t>
      </w:r>
      <w:proofErr w:type="spellStart"/>
      <w:r w:rsidRPr="00EB0DA6">
        <w:rPr>
          <w:sz w:val="16"/>
          <w:szCs w:val="16"/>
        </w:rPr>
        <w:t>Christofides</w:t>
      </w:r>
      <w:proofErr w:type="spellEnd"/>
      <w:r w:rsidRPr="00EB0DA6">
        <w:rPr>
          <w:sz w:val="16"/>
          <w:szCs w:val="16"/>
        </w:rPr>
        <w:t xml:space="preserve"> NJ, Goldstein S, </w:t>
      </w:r>
      <w:proofErr w:type="spellStart"/>
      <w:r w:rsidRPr="00EB0DA6">
        <w:rPr>
          <w:sz w:val="16"/>
          <w:szCs w:val="16"/>
        </w:rPr>
        <w:t>Usdin</w:t>
      </w:r>
      <w:proofErr w:type="spellEnd"/>
      <w:r w:rsidRPr="00EB0DA6">
        <w:rPr>
          <w:sz w:val="16"/>
          <w:szCs w:val="16"/>
        </w:rPr>
        <w:t xml:space="preserve"> S, Patel DS, </w:t>
      </w:r>
      <w:proofErr w:type="spellStart"/>
      <w:r w:rsidRPr="00EB0DA6">
        <w:rPr>
          <w:sz w:val="16"/>
          <w:szCs w:val="16"/>
        </w:rPr>
        <w:t>Japhet</w:t>
      </w:r>
      <w:proofErr w:type="spellEnd"/>
      <w:r w:rsidRPr="00EB0DA6">
        <w:rPr>
          <w:sz w:val="16"/>
          <w:szCs w:val="16"/>
        </w:rPr>
        <w:t xml:space="preserve"> G, ‘Evaluating health communication - A holistic overview of the impact of Soul City IV’ (2004) 15 </w:t>
      </w:r>
      <w:r w:rsidRPr="00EB0DA6">
        <w:rPr>
          <w:i/>
          <w:sz w:val="16"/>
          <w:szCs w:val="16"/>
        </w:rPr>
        <w:t xml:space="preserve">Health Promotion Journal of Australia, </w:t>
      </w:r>
      <w:r w:rsidRPr="00EB0DA6">
        <w:rPr>
          <w:sz w:val="16"/>
          <w:szCs w:val="16"/>
        </w:rPr>
        <w:t xml:space="preserve">121, 127. </w:t>
      </w:r>
    </w:p>
    <w:p w:rsidR="00D80277" w:rsidRPr="00F30654" w:rsidRDefault="00D80277" w:rsidP="00403CF6">
      <w:pPr>
        <w:pStyle w:val="FootnoteText"/>
        <w:rPr>
          <w:rFonts w:cs="Times New Roman"/>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8D" w:rsidRDefault="00C155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8D" w:rsidRDefault="00C155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8D" w:rsidRDefault="00C1558D">
    <w:pPr>
      <w:pStyle w:val="Header"/>
    </w:pPr>
    <w:r>
      <w:t xml:space="preserve">23. B Fernandez, D Own, E </w:t>
    </w:r>
    <w:proofErr w:type="spellStart"/>
    <w:r>
      <w:t>Barff</w:t>
    </w:r>
    <w:proofErr w:type="spellEnd"/>
    <w:r>
      <w:t xml:space="preserve"> and G Dykstra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310"/>
    <w:multiLevelType w:val="hybridMultilevel"/>
    <w:tmpl w:val="7458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E358D"/>
    <w:multiLevelType w:val="multilevel"/>
    <w:tmpl w:val="AB58ED1A"/>
    <w:lvl w:ilvl="0">
      <w:start w:val="5"/>
      <w:numFmt w:val="decimal"/>
      <w:lvlText w:val="%1"/>
      <w:lvlJc w:val="left"/>
      <w:pPr>
        <w:ind w:left="380" w:hanging="380"/>
      </w:pPr>
      <w:rPr>
        <w:rFonts w:hint="default"/>
      </w:rPr>
    </w:lvl>
    <w:lvl w:ilvl="1">
      <w:start w:val="2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BB13345"/>
    <w:multiLevelType w:val="multilevel"/>
    <w:tmpl w:val="DF381060"/>
    <w:lvl w:ilvl="0">
      <w:start w:val="1"/>
      <w:numFmt w:val="decimal"/>
      <w:lvlText w:val="%1."/>
      <w:lvlJc w:val="left"/>
      <w:pPr>
        <w:ind w:left="-324" w:hanging="360"/>
      </w:pPr>
    </w:lvl>
    <w:lvl w:ilvl="1">
      <w:start w:val="45"/>
      <w:numFmt w:val="decimal"/>
      <w:isLgl/>
      <w:lvlText w:val="%1.%2"/>
      <w:lvlJc w:val="left"/>
      <w:pPr>
        <w:ind w:left="-304" w:hanging="380"/>
      </w:pPr>
      <w:rPr>
        <w:rFonts w:hint="default"/>
      </w:rPr>
    </w:lvl>
    <w:lvl w:ilvl="2">
      <w:start w:val="1"/>
      <w:numFmt w:val="decimal"/>
      <w:isLgl/>
      <w:lvlText w:val="%1.%2.%3"/>
      <w:lvlJc w:val="left"/>
      <w:pPr>
        <w:ind w:left="36" w:hanging="720"/>
      </w:pPr>
      <w:rPr>
        <w:rFonts w:hint="default"/>
      </w:rPr>
    </w:lvl>
    <w:lvl w:ilvl="3">
      <w:start w:val="1"/>
      <w:numFmt w:val="decimal"/>
      <w:isLgl/>
      <w:lvlText w:val="%1.%2.%3.%4"/>
      <w:lvlJc w:val="left"/>
      <w:pPr>
        <w:ind w:left="36" w:hanging="720"/>
      </w:pPr>
      <w:rPr>
        <w:rFonts w:hint="default"/>
      </w:rPr>
    </w:lvl>
    <w:lvl w:ilvl="4">
      <w:start w:val="1"/>
      <w:numFmt w:val="decimal"/>
      <w:isLgl/>
      <w:lvlText w:val="%1.%2.%3.%4.%5"/>
      <w:lvlJc w:val="left"/>
      <w:pPr>
        <w:ind w:left="396" w:hanging="1080"/>
      </w:pPr>
      <w:rPr>
        <w:rFonts w:hint="default"/>
      </w:rPr>
    </w:lvl>
    <w:lvl w:ilvl="5">
      <w:start w:val="1"/>
      <w:numFmt w:val="decimal"/>
      <w:isLgl/>
      <w:lvlText w:val="%1.%2.%3.%4.%5.%6"/>
      <w:lvlJc w:val="left"/>
      <w:pPr>
        <w:ind w:left="396" w:hanging="1080"/>
      </w:pPr>
      <w:rPr>
        <w:rFonts w:hint="default"/>
      </w:rPr>
    </w:lvl>
    <w:lvl w:ilvl="6">
      <w:start w:val="1"/>
      <w:numFmt w:val="decimal"/>
      <w:isLgl/>
      <w:lvlText w:val="%1.%2.%3.%4.%5.%6.%7"/>
      <w:lvlJc w:val="left"/>
      <w:pPr>
        <w:ind w:left="756" w:hanging="1440"/>
      </w:pPr>
      <w:rPr>
        <w:rFonts w:hint="default"/>
      </w:rPr>
    </w:lvl>
    <w:lvl w:ilvl="7">
      <w:start w:val="1"/>
      <w:numFmt w:val="decimal"/>
      <w:isLgl/>
      <w:lvlText w:val="%1.%2.%3.%4.%5.%6.%7.%8"/>
      <w:lvlJc w:val="left"/>
      <w:pPr>
        <w:ind w:left="756" w:hanging="1440"/>
      </w:pPr>
      <w:rPr>
        <w:rFonts w:hint="default"/>
      </w:rPr>
    </w:lvl>
    <w:lvl w:ilvl="8">
      <w:start w:val="1"/>
      <w:numFmt w:val="decimal"/>
      <w:isLgl/>
      <w:lvlText w:val="%1.%2.%3.%4.%5.%6.%7.%8.%9"/>
      <w:lvlJc w:val="left"/>
      <w:pPr>
        <w:ind w:left="756" w:hanging="1440"/>
      </w:pPr>
      <w:rPr>
        <w:rFonts w:hint="default"/>
      </w:rPr>
    </w:lvl>
  </w:abstractNum>
  <w:abstractNum w:abstractNumId="3">
    <w:nsid w:val="0CAA7690"/>
    <w:multiLevelType w:val="multilevel"/>
    <w:tmpl w:val="7D8A86AE"/>
    <w:lvl w:ilvl="0">
      <w:start w:val="4"/>
      <w:numFmt w:val="decimal"/>
      <w:lvlText w:val="%1"/>
      <w:lvlJc w:val="left"/>
      <w:pPr>
        <w:ind w:left="380" w:hanging="380"/>
      </w:pPr>
      <w:rPr>
        <w:rFonts w:hint="default"/>
      </w:rPr>
    </w:lvl>
    <w:lvl w:ilvl="1">
      <w:start w:val="42"/>
      <w:numFmt w:val="decimalZero"/>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493B79"/>
    <w:multiLevelType w:val="multilevel"/>
    <w:tmpl w:val="96744474"/>
    <w:lvl w:ilvl="0">
      <w:start w:val="6"/>
      <w:numFmt w:val="decimal"/>
      <w:lvlText w:val="%1"/>
      <w:lvlJc w:val="left"/>
      <w:pPr>
        <w:ind w:left="360" w:hanging="360"/>
      </w:pPr>
      <w:rPr>
        <w:rFonts w:ascii="Times New Roman" w:eastAsiaTheme="minorEastAsia" w:hAnsi="Times New Roman" w:cstheme="minorBidi" w:hint="default"/>
        <w:b w:val="0"/>
        <w:color w:val="auto"/>
      </w:rPr>
    </w:lvl>
    <w:lvl w:ilvl="1">
      <w:start w:val="2"/>
      <w:numFmt w:val="decimal"/>
      <w:lvlText w:val="%1.%2"/>
      <w:lvlJc w:val="left"/>
      <w:pPr>
        <w:ind w:left="360" w:hanging="360"/>
      </w:pPr>
      <w:rPr>
        <w:rFonts w:ascii="Times New Roman" w:eastAsiaTheme="minorEastAsia" w:hAnsi="Times New Roman" w:cstheme="minorBidi" w:hint="default"/>
        <w:b w:val="0"/>
        <w:color w:val="auto"/>
      </w:rPr>
    </w:lvl>
    <w:lvl w:ilvl="2">
      <w:start w:val="1"/>
      <w:numFmt w:val="decimal"/>
      <w:lvlText w:val="%1.%2.%3"/>
      <w:lvlJc w:val="left"/>
      <w:pPr>
        <w:ind w:left="720" w:hanging="720"/>
      </w:pPr>
      <w:rPr>
        <w:rFonts w:ascii="Times New Roman" w:eastAsiaTheme="minorEastAsia" w:hAnsi="Times New Roman" w:cstheme="minorBidi" w:hint="default"/>
        <w:b w:val="0"/>
        <w:color w:val="auto"/>
      </w:rPr>
    </w:lvl>
    <w:lvl w:ilvl="3">
      <w:start w:val="1"/>
      <w:numFmt w:val="decimal"/>
      <w:lvlText w:val="%1.%2.%3.%4"/>
      <w:lvlJc w:val="left"/>
      <w:pPr>
        <w:ind w:left="720" w:hanging="720"/>
      </w:pPr>
      <w:rPr>
        <w:rFonts w:ascii="Times New Roman" w:eastAsiaTheme="minorEastAsia" w:hAnsi="Times New Roman" w:cstheme="minorBidi" w:hint="default"/>
        <w:b w:val="0"/>
        <w:color w:val="auto"/>
      </w:rPr>
    </w:lvl>
    <w:lvl w:ilvl="4">
      <w:start w:val="1"/>
      <w:numFmt w:val="decimal"/>
      <w:lvlText w:val="%1.%2.%3.%4.%5"/>
      <w:lvlJc w:val="left"/>
      <w:pPr>
        <w:ind w:left="1080" w:hanging="1080"/>
      </w:pPr>
      <w:rPr>
        <w:rFonts w:ascii="Times New Roman" w:eastAsiaTheme="minorEastAsia" w:hAnsi="Times New Roman" w:cstheme="minorBidi" w:hint="default"/>
        <w:b w:val="0"/>
        <w:color w:val="auto"/>
      </w:rPr>
    </w:lvl>
    <w:lvl w:ilvl="5">
      <w:start w:val="1"/>
      <w:numFmt w:val="decimal"/>
      <w:lvlText w:val="%1.%2.%3.%4.%5.%6"/>
      <w:lvlJc w:val="left"/>
      <w:pPr>
        <w:ind w:left="1080" w:hanging="1080"/>
      </w:pPr>
      <w:rPr>
        <w:rFonts w:ascii="Times New Roman" w:eastAsiaTheme="minorEastAsia" w:hAnsi="Times New Roman" w:cstheme="minorBidi" w:hint="default"/>
        <w:b w:val="0"/>
        <w:color w:val="auto"/>
      </w:rPr>
    </w:lvl>
    <w:lvl w:ilvl="6">
      <w:start w:val="1"/>
      <w:numFmt w:val="decimal"/>
      <w:lvlText w:val="%1.%2.%3.%4.%5.%6.%7"/>
      <w:lvlJc w:val="left"/>
      <w:pPr>
        <w:ind w:left="1440" w:hanging="1440"/>
      </w:pPr>
      <w:rPr>
        <w:rFonts w:ascii="Times New Roman" w:eastAsiaTheme="minorEastAsia" w:hAnsi="Times New Roman" w:cstheme="minorBidi" w:hint="default"/>
        <w:b w:val="0"/>
        <w:color w:val="auto"/>
      </w:rPr>
    </w:lvl>
    <w:lvl w:ilvl="7">
      <w:start w:val="1"/>
      <w:numFmt w:val="decimal"/>
      <w:lvlText w:val="%1.%2.%3.%4.%5.%6.%7.%8"/>
      <w:lvlJc w:val="left"/>
      <w:pPr>
        <w:ind w:left="1440" w:hanging="1440"/>
      </w:pPr>
      <w:rPr>
        <w:rFonts w:ascii="Times New Roman" w:eastAsiaTheme="minorEastAsia" w:hAnsi="Times New Roman" w:cstheme="minorBidi" w:hint="default"/>
        <w:b w:val="0"/>
        <w:color w:val="auto"/>
      </w:rPr>
    </w:lvl>
    <w:lvl w:ilvl="8">
      <w:start w:val="1"/>
      <w:numFmt w:val="decimal"/>
      <w:lvlText w:val="%1.%2.%3.%4.%5.%6.%7.%8.%9"/>
      <w:lvlJc w:val="left"/>
      <w:pPr>
        <w:ind w:left="1800" w:hanging="1800"/>
      </w:pPr>
      <w:rPr>
        <w:rFonts w:ascii="Times New Roman" w:eastAsiaTheme="minorEastAsia" w:hAnsi="Times New Roman" w:cstheme="minorBidi" w:hint="default"/>
        <w:b w:val="0"/>
        <w:color w:val="auto"/>
      </w:rPr>
    </w:lvl>
  </w:abstractNum>
  <w:abstractNum w:abstractNumId="5">
    <w:nsid w:val="11715AF7"/>
    <w:multiLevelType w:val="hybridMultilevel"/>
    <w:tmpl w:val="D8C0CAC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834CB"/>
    <w:multiLevelType w:val="multilevel"/>
    <w:tmpl w:val="52CE419E"/>
    <w:lvl w:ilvl="0">
      <w:start w:val="5"/>
      <w:numFmt w:val="decimal"/>
      <w:lvlText w:val="%1"/>
      <w:lvlJc w:val="left"/>
      <w:pPr>
        <w:ind w:left="380" w:hanging="380"/>
      </w:pPr>
      <w:rPr>
        <w:rFonts w:hint="default"/>
      </w:rPr>
    </w:lvl>
    <w:lvl w:ilvl="1">
      <w:start w:val="2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BC513D5"/>
    <w:multiLevelType w:val="hybridMultilevel"/>
    <w:tmpl w:val="19C05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E47A1A"/>
    <w:multiLevelType w:val="hybridMultilevel"/>
    <w:tmpl w:val="149E31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1C5F5D"/>
    <w:multiLevelType w:val="multilevel"/>
    <w:tmpl w:val="74545BF4"/>
    <w:lvl w:ilvl="0">
      <w:start w:val="4"/>
      <w:numFmt w:val="decimal"/>
      <w:lvlText w:val="%1"/>
      <w:lvlJc w:val="left"/>
      <w:pPr>
        <w:ind w:left="380" w:hanging="380"/>
      </w:pPr>
      <w:rPr>
        <w:rFonts w:cs="Times New Roman" w:hint="default"/>
        <w:sz w:val="22"/>
      </w:rPr>
    </w:lvl>
    <w:lvl w:ilvl="1">
      <w:start w:val="62"/>
      <w:numFmt w:val="decimal"/>
      <w:lvlText w:val="%1.%2"/>
      <w:lvlJc w:val="left"/>
      <w:pPr>
        <w:ind w:left="380" w:hanging="38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10">
    <w:nsid w:val="294A42A4"/>
    <w:multiLevelType w:val="multilevel"/>
    <w:tmpl w:val="FDC07C2E"/>
    <w:lvl w:ilvl="0">
      <w:start w:val="4"/>
      <w:numFmt w:val="decimal"/>
      <w:lvlText w:val="%1"/>
      <w:lvlJc w:val="left"/>
      <w:pPr>
        <w:ind w:left="380" w:hanging="380"/>
      </w:pPr>
      <w:rPr>
        <w:rFonts w:hint="default"/>
      </w:rPr>
    </w:lvl>
    <w:lvl w:ilvl="1">
      <w:start w:val="22"/>
      <w:numFmt w:val="decimalZero"/>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FF215F4"/>
    <w:multiLevelType w:val="multilevel"/>
    <w:tmpl w:val="7D8A86AE"/>
    <w:lvl w:ilvl="0">
      <w:start w:val="4"/>
      <w:numFmt w:val="decimal"/>
      <w:lvlText w:val="%1"/>
      <w:lvlJc w:val="left"/>
      <w:pPr>
        <w:ind w:left="380" w:hanging="380"/>
      </w:pPr>
      <w:rPr>
        <w:rFonts w:hint="default"/>
      </w:rPr>
    </w:lvl>
    <w:lvl w:ilvl="1">
      <w:start w:val="42"/>
      <w:numFmt w:val="decimalZero"/>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0927E38"/>
    <w:multiLevelType w:val="multilevel"/>
    <w:tmpl w:val="26AAA1A2"/>
    <w:lvl w:ilvl="0">
      <w:start w:val="5"/>
      <w:numFmt w:val="decimal"/>
      <w:lvlText w:val="%1"/>
      <w:lvlJc w:val="left"/>
      <w:pPr>
        <w:ind w:left="380" w:hanging="380"/>
      </w:pPr>
      <w:rPr>
        <w:rFonts w:hint="default"/>
      </w:rPr>
    </w:lvl>
    <w:lvl w:ilvl="1">
      <w:start w:val="3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1832692"/>
    <w:multiLevelType w:val="multilevel"/>
    <w:tmpl w:val="F3D861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1AC5FFD"/>
    <w:multiLevelType w:val="multilevel"/>
    <w:tmpl w:val="E566FEDA"/>
    <w:lvl w:ilvl="0">
      <w:start w:val="4"/>
      <w:numFmt w:val="decimal"/>
      <w:lvlText w:val="%1"/>
      <w:lvlJc w:val="left"/>
      <w:pPr>
        <w:ind w:left="380" w:hanging="380"/>
      </w:pPr>
      <w:rPr>
        <w:rFonts w:hint="default"/>
        <w:sz w:val="22"/>
      </w:rPr>
    </w:lvl>
    <w:lvl w:ilvl="1">
      <w:start w:val="32"/>
      <w:numFmt w:val="decimalZero"/>
      <w:lvlText w:val="%1.%2"/>
      <w:lvlJc w:val="left"/>
      <w:pPr>
        <w:ind w:left="380" w:hanging="3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5">
    <w:nsid w:val="3CA42B60"/>
    <w:multiLevelType w:val="multilevel"/>
    <w:tmpl w:val="D010B20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3DD42895"/>
    <w:multiLevelType w:val="multilevel"/>
    <w:tmpl w:val="79E4807E"/>
    <w:lvl w:ilvl="0">
      <w:start w:val="4"/>
      <w:numFmt w:val="decimal"/>
      <w:lvlText w:val="%1"/>
      <w:lvlJc w:val="left"/>
      <w:pPr>
        <w:ind w:left="380" w:hanging="380"/>
      </w:pPr>
      <w:rPr>
        <w:rFonts w:hint="default"/>
      </w:rPr>
    </w:lvl>
    <w:lvl w:ilvl="1">
      <w:start w:val="7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14B22BD"/>
    <w:multiLevelType w:val="multilevel"/>
    <w:tmpl w:val="52CE419E"/>
    <w:lvl w:ilvl="0">
      <w:start w:val="5"/>
      <w:numFmt w:val="decimal"/>
      <w:lvlText w:val="%1"/>
      <w:lvlJc w:val="left"/>
      <w:pPr>
        <w:ind w:left="380" w:hanging="380"/>
      </w:pPr>
      <w:rPr>
        <w:rFonts w:hint="default"/>
      </w:rPr>
    </w:lvl>
    <w:lvl w:ilvl="1">
      <w:start w:val="2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84301C6"/>
    <w:multiLevelType w:val="multilevel"/>
    <w:tmpl w:val="79E4807E"/>
    <w:lvl w:ilvl="0">
      <w:start w:val="4"/>
      <w:numFmt w:val="decimal"/>
      <w:lvlText w:val="%1"/>
      <w:lvlJc w:val="left"/>
      <w:pPr>
        <w:ind w:left="380" w:hanging="380"/>
      </w:pPr>
      <w:rPr>
        <w:rFonts w:hint="default"/>
      </w:rPr>
    </w:lvl>
    <w:lvl w:ilvl="1">
      <w:start w:val="7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AFA1A99"/>
    <w:multiLevelType w:val="multilevel"/>
    <w:tmpl w:val="14AC58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D167ADB"/>
    <w:multiLevelType w:val="multilevel"/>
    <w:tmpl w:val="23B8CA12"/>
    <w:lvl w:ilvl="0">
      <w:start w:val="4"/>
      <w:numFmt w:val="decimal"/>
      <w:lvlText w:val="%1"/>
      <w:lvlJc w:val="left"/>
      <w:pPr>
        <w:ind w:left="380" w:hanging="380"/>
      </w:pPr>
      <w:rPr>
        <w:rFonts w:hint="default"/>
      </w:rPr>
    </w:lvl>
    <w:lvl w:ilvl="1">
      <w:start w:val="8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05A4125"/>
    <w:multiLevelType w:val="multilevel"/>
    <w:tmpl w:val="52CE419E"/>
    <w:lvl w:ilvl="0">
      <w:start w:val="5"/>
      <w:numFmt w:val="decimal"/>
      <w:lvlText w:val="%1"/>
      <w:lvlJc w:val="left"/>
      <w:pPr>
        <w:ind w:left="380" w:hanging="380"/>
      </w:pPr>
      <w:rPr>
        <w:rFonts w:hint="default"/>
      </w:rPr>
    </w:lvl>
    <w:lvl w:ilvl="1">
      <w:start w:val="2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1242724"/>
    <w:multiLevelType w:val="multilevel"/>
    <w:tmpl w:val="F88000C6"/>
    <w:lvl w:ilvl="0">
      <w:start w:val="4"/>
      <w:numFmt w:val="decimal"/>
      <w:lvlText w:val="%1"/>
      <w:lvlJc w:val="left"/>
      <w:pPr>
        <w:ind w:left="380" w:hanging="380"/>
      </w:pPr>
      <w:rPr>
        <w:rFonts w:hint="default"/>
      </w:rPr>
    </w:lvl>
    <w:lvl w:ilvl="1">
      <w:start w:val="7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2F30288"/>
    <w:multiLevelType w:val="multilevel"/>
    <w:tmpl w:val="52CE419E"/>
    <w:lvl w:ilvl="0">
      <w:start w:val="5"/>
      <w:numFmt w:val="decimal"/>
      <w:lvlText w:val="%1"/>
      <w:lvlJc w:val="left"/>
      <w:pPr>
        <w:ind w:left="380" w:hanging="380"/>
      </w:pPr>
      <w:rPr>
        <w:rFonts w:hint="default"/>
      </w:rPr>
    </w:lvl>
    <w:lvl w:ilvl="1">
      <w:start w:val="2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57A5FD0"/>
    <w:multiLevelType w:val="multilevel"/>
    <w:tmpl w:val="52CE419E"/>
    <w:lvl w:ilvl="0">
      <w:start w:val="5"/>
      <w:numFmt w:val="decimal"/>
      <w:lvlText w:val="%1"/>
      <w:lvlJc w:val="left"/>
      <w:pPr>
        <w:ind w:left="380" w:hanging="380"/>
      </w:pPr>
      <w:rPr>
        <w:rFonts w:hint="default"/>
      </w:rPr>
    </w:lvl>
    <w:lvl w:ilvl="1">
      <w:start w:val="2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86A1994"/>
    <w:multiLevelType w:val="multilevel"/>
    <w:tmpl w:val="96C69322"/>
    <w:lvl w:ilvl="0">
      <w:start w:val="4"/>
      <w:numFmt w:val="decimal"/>
      <w:lvlText w:val="%1"/>
      <w:lvlJc w:val="left"/>
      <w:pPr>
        <w:ind w:left="380" w:hanging="380"/>
      </w:pPr>
      <w:rPr>
        <w:rFonts w:hint="default"/>
      </w:rPr>
    </w:lvl>
    <w:lvl w:ilvl="1">
      <w:start w:val="21"/>
      <w:numFmt w:val="decimalZero"/>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B602D64"/>
    <w:multiLevelType w:val="multilevel"/>
    <w:tmpl w:val="0F1016AA"/>
    <w:lvl w:ilvl="0">
      <w:start w:val="4"/>
      <w:numFmt w:val="decimal"/>
      <w:lvlText w:val="%1"/>
      <w:lvlJc w:val="left"/>
      <w:pPr>
        <w:ind w:left="380" w:hanging="380"/>
      </w:pPr>
      <w:rPr>
        <w:rFonts w:hint="default"/>
        <w:sz w:val="22"/>
      </w:rPr>
    </w:lvl>
    <w:lvl w:ilvl="1">
      <w:start w:val="11"/>
      <w:numFmt w:val="decimalZero"/>
      <w:lvlText w:val="%1.%2"/>
      <w:lvlJc w:val="left"/>
      <w:pPr>
        <w:ind w:left="380" w:hanging="3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7">
    <w:nsid w:val="60C65AE8"/>
    <w:multiLevelType w:val="multilevel"/>
    <w:tmpl w:val="F58225BA"/>
    <w:lvl w:ilvl="0">
      <w:start w:val="6"/>
      <w:numFmt w:val="decimal"/>
      <w:lvlText w:val="%1"/>
      <w:lvlJc w:val="left"/>
      <w:pPr>
        <w:ind w:left="360" w:hanging="360"/>
      </w:pPr>
      <w:rPr>
        <w:rFonts w:ascii="Times New Roman" w:eastAsiaTheme="minorEastAsia" w:hAnsi="Times New Roman" w:cstheme="minorBidi" w:hint="default"/>
        <w:b w:val="0"/>
        <w:color w:val="auto"/>
      </w:rPr>
    </w:lvl>
    <w:lvl w:ilvl="1">
      <w:start w:val="1"/>
      <w:numFmt w:val="decimal"/>
      <w:lvlText w:val="%1.%2"/>
      <w:lvlJc w:val="left"/>
      <w:pPr>
        <w:ind w:left="360" w:hanging="360"/>
      </w:pPr>
      <w:rPr>
        <w:rFonts w:ascii="Times New Roman" w:eastAsiaTheme="minorEastAsia" w:hAnsi="Times New Roman" w:cstheme="minorBidi" w:hint="default"/>
        <w:b w:val="0"/>
        <w:color w:val="auto"/>
      </w:rPr>
    </w:lvl>
    <w:lvl w:ilvl="2">
      <w:start w:val="1"/>
      <w:numFmt w:val="decimal"/>
      <w:lvlText w:val="%1.%2.%3"/>
      <w:lvlJc w:val="left"/>
      <w:pPr>
        <w:ind w:left="720" w:hanging="720"/>
      </w:pPr>
      <w:rPr>
        <w:rFonts w:ascii="Times New Roman" w:eastAsiaTheme="minorEastAsia" w:hAnsi="Times New Roman" w:cstheme="minorBidi" w:hint="default"/>
        <w:b w:val="0"/>
        <w:color w:val="auto"/>
      </w:rPr>
    </w:lvl>
    <w:lvl w:ilvl="3">
      <w:start w:val="1"/>
      <w:numFmt w:val="decimal"/>
      <w:lvlText w:val="%1.%2.%3.%4"/>
      <w:lvlJc w:val="left"/>
      <w:pPr>
        <w:ind w:left="720" w:hanging="720"/>
      </w:pPr>
      <w:rPr>
        <w:rFonts w:ascii="Times New Roman" w:eastAsiaTheme="minorEastAsia" w:hAnsi="Times New Roman" w:cstheme="minorBidi" w:hint="default"/>
        <w:b w:val="0"/>
        <w:color w:val="auto"/>
      </w:rPr>
    </w:lvl>
    <w:lvl w:ilvl="4">
      <w:start w:val="1"/>
      <w:numFmt w:val="decimal"/>
      <w:lvlText w:val="%1.%2.%3.%4.%5"/>
      <w:lvlJc w:val="left"/>
      <w:pPr>
        <w:ind w:left="1080" w:hanging="1080"/>
      </w:pPr>
      <w:rPr>
        <w:rFonts w:ascii="Times New Roman" w:eastAsiaTheme="minorEastAsia" w:hAnsi="Times New Roman" w:cstheme="minorBidi" w:hint="default"/>
        <w:b w:val="0"/>
        <w:color w:val="auto"/>
      </w:rPr>
    </w:lvl>
    <w:lvl w:ilvl="5">
      <w:start w:val="1"/>
      <w:numFmt w:val="decimal"/>
      <w:lvlText w:val="%1.%2.%3.%4.%5.%6"/>
      <w:lvlJc w:val="left"/>
      <w:pPr>
        <w:ind w:left="1080" w:hanging="1080"/>
      </w:pPr>
      <w:rPr>
        <w:rFonts w:ascii="Times New Roman" w:eastAsiaTheme="minorEastAsia" w:hAnsi="Times New Roman" w:cstheme="minorBidi" w:hint="default"/>
        <w:b w:val="0"/>
        <w:color w:val="auto"/>
      </w:rPr>
    </w:lvl>
    <w:lvl w:ilvl="6">
      <w:start w:val="1"/>
      <w:numFmt w:val="decimal"/>
      <w:lvlText w:val="%1.%2.%3.%4.%5.%6.%7"/>
      <w:lvlJc w:val="left"/>
      <w:pPr>
        <w:ind w:left="1440" w:hanging="1440"/>
      </w:pPr>
      <w:rPr>
        <w:rFonts w:ascii="Times New Roman" w:eastAsiaTheme="minorEastAsia" w:hAnsi="Times New Roman" w:cstheme="minorBidi" w:hint="default"/>
        <w:b w:val="0"/>
        <w:color w:val="auto"/>
      </w:rPr>
    </w:lvl>
    <w:lvl w:ilvl="7">
      <w:start w:val="1"/>
      <w:numFmt w:val="decimal"/>
      <w:lvlText w:val="%1.%2.%3.%4.%5.%6.%7.%8"/>
      <w:lvlJc w:val="left"/>
      <w:pPr>
        <w:ind w:left="1440" w:hanging="1440"/>
      </w:pPr>
      <w:rPr>
        <w:rFonts w:ascii="Times New Roman" w:eastAsiaTheme="minorEastAsia" w:hAnsi="Times New Roman" w:cstheme="minorBidi" w:hint="default"/>
        <w:b w:val="0"/>
        <w:color w:val="auto"/>
      </w:rPr>
    </w:lvl>
    <w:lvl w:ilvl="8">
      <w:start w:val="1"/>
      <w:numFmt w:val="decimal"/>
      <w:lvlText w:val="%1.%2.%3.%4.%5.%6.%7.%8.%9"/>
      <w:lvlJc w:val="left"/>
      <w:pPr>
        <w:ind w:left="1800" w:hanging="1800"/>
      </w:pPr>
      <w:rPr>
        <w:rFonts w:ascii="Times New Roman" w:eastAsiaTheme="minorEastAsia" w:hAnsi="Times New Roman" w:cstheme="minorBidi" w:hint="default"/>
        <w:b w:val="0"/>
        <w:color w:val="auto"/>
      </w:rPr>
    </w:lvl>
  </w:abstractNum>
  <w:abstractNum w:abstractNumId="28">
    <w:nsid w:val="64F84AE4"/>
    <w:multiLevelType w:val="hybridMultilevel"/>
    <w:tmpl w:val="AE58ED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CB7789"/>
    <w:multiLevelType w:val="hybridMultilevel"/>
    <w:tmpl w:val="3418D86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69E53497"/>
    <w:multiLevelType w:val="hybridMultilevel"/>
    <w:tmpl w:val="A65EF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A312995"/>
    <w:multiLevelType w:val="multilevel"/>
    <w:tmpl w:val="8042FE44"/>
    <w:lvl w:ilvl="0">
      <w:start w:val="5"/>
      <w:numFmt w:val="decimal"/>
      <w:lvlText w:val="%1"/>
      <w:lvlJc w:val="left"/>
      <w:pPr>
        <w:ind w:left="380" w:hanging="380"/>
      </w:pPr>
      <w:rPr>
        <w:rFonts w:hint="default"/>
      </w:rPr>
    </w:lvl>
    <w:lvl w:ilvl="1">
      <w:start w:val="3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E267F89"/>
    <w:multiLevelType w:val="multilevel"/>
    <w:tmpl w:val="E566FEDA"/>
    <w:lvl w:ilvl="0">
      <w:start w:val="4"/>
      <w:numFmt w:val="decimal"/>
      <w:lvlText w:val="%1"/>
      <w:lvlJc w:val="left"/>
      <w:pPr>
        <w:ind w:left="380" w:hanging="380"/>
      </w:pPr>
      <w:rPr>
        <w:rFonts w:hint="default"/>
        <w:sz w:val="22"/>
      </w:rPr>
    </w:lvl>
    <w:lvl w:ilvl="1">
      <w:start w:val="32"/>
      <w:numFmt w:val="decimalZero"/>
      <w:lvlText w:val="%1.%2"/>
      <w:lvlJc w:val="left"/>
      <w:pPr>
        <w:ind w:left="380" w:hanging="3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3">
    <w:nsid w:val="72CD742C"/>
    <w:multiLevelType w:val="multilevel"/>
    <w:tmpl w:val="26AAA1A2"/>
    <w:lvl w:ilvl="0">
      <w:start w:val="5"/>
      <w:numFmt w:val="decimal"/>
      <w:lvlText w:val="%1"/>
      <w:lvlJc w:val="left"/>
      <w:pPr>
        <w:ind w:left="380" w:hanging="380"/>
      </w:pPr>
      <w:rPr>
        <w:rFonts w:hint="default"/>
      </w:rPr>
    </w:lvl>
    <w:lvl w:ilvl="1">
      <w:start w:val="3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3EC6BB4"/>
    <w:multiLevelType w:val="multilevel"/>
    <w:tmpl w:val="23B8CA12"/>
    <w:lvl w:ilvl="0">
      <w:start w:val="4"/>
      <w:numFmt w:val="decimal"/>
      <w:lvlText w:val="%1"/>
      <w:lvlJc w:val="left"/>
      <w:pPr>
        <w:ind w:left="380" w:hanging="380"/>
      </w:pPr>
      <w:rPr>
        <w:rFonts w:hint="default"/>
      </w:rPr>
    </w:lvl>
    <w:lvl w:ilvl="1">
      <w:start w:val="8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6B84378"/>
    <w:multiLevelType w:val="multilevel"/>
    <w:tmpl w:val="52CE419E"/>
    <w:lvl w:ilvl="0">
      <w:start w:val="5"/>
      <w:numFmt w:val="decimal"/>
      <w:lvlText w:val="%1"/>
      <w:lvlJc w:val="left"/>
      <w:pPr>
        <w:ind w:left="380" w:hanging="380"/>
      </w:pPr>
      <w:rPr>
        <w:rFonts w:hint="default"/>
      </w:rPr>
    </w:lvl>
    <w:lvl w:ilvl="1">
      <w:start w:val="2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8EF3A57"/>
    <w:multiLevelType w:val="multilevel"/>
    <w:tmpl w:val="D7800842"/>
    <w:lvl w:ilvl="0">
      <w:start w:val="4"/>
      <w:numFmt w:val="decimal"/>
      <w:lvlText w:val="%1"/>
      <w:lvlJc w:val="left"/>
      <w:pPr>
        <w:ind w:left="380" w:hanging="380"/>
      </w:pPr>
      <w:rPr>
        <w:rFonts w:hint="default"/>
      </w:rPr>
    </w:lvl>
    <w:lvl w:ilvl="1">
      <w:start w:val="1"/>
      <w:numFmt w:val="decimalZero"/>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9C547B7"/>
    <w:multiLevelType w:val="multilevel"/>
    <w:tmpl w:val="E566FEDA"/>
    <w:lvl w:ilvl="0">
      <w:start w:val="4"/>
      <w:numFmt w:val="decimal"/>
      <w:lvlText w:val="%1"/>
      <w:lvlJc w:val="left"/>
      <w:pPr>
        <w:ind w:left="380" w:hanging="380"/>
      </w:pPr>
      <w:rPr>
        <w:rFonts w:hint="default"/>
        <w:sz w:val="22"/>
      </w:rPr>
    </w:lvl>
    <w:lvl w:ilvl="1">
      <w:start w:val="32"/>
      <w:numFmt w:val="decimalZero"/>
      <w:lvlText w:val="%1.%2"/>
      <w:lvlJc w:val="left"/>
      <w:pPr>
        <w:ind w:left="380" w:hanging="3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8">
    <w:nsid w:val="7C6B6663"/>
    <w:multiLevelType w:val="hybridMultilevel"/>
    <w:tmpl w:val="817C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53704F"/>
    <w:multiLevelType w:val="hybridMultilevel"/>
    <w:tmpl w:val="D160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9"/>
  </w:num>
  <w:num w:numId="3">
    <w:abstractNumId w:val="0"/>
  </w:num>
  <w:num w:numId="4">
    <w:abstractNumId w:val="38"/>
  </w:num>
  <w:num w:numId="5">
    <w:abstractNumId w:val="2"/>
  </w:num>
  <w:num w:numId="6">
    <w:abstractNumId w:val="7"/>
  </w:num>
  <w:num w:numId="7">
    <w:abstractNumId w:val="13"/>
  </w:num>
  <w:num w:numId="8">
    <w:abstractNumId w:val="28"/>
  </w:num>
  <w:num w:numId="9">
    <w:abstractNumId w:val="15"/>
  </w:num>
  <w:num w:numId="10">
    <w:abstractNumId w:val="19"/>
  </w:num>
  <w:num w:numId="11">
    <w:abstractNumId w:val="36"/>
  </w:num>
  <w:num w:numId="12">
    <w:abstractNumId w:val="26"/>
  </w:num>
  <w:num w:numId="13">
    <w:abstractNumId w:val="25"/>
  </w:num>
  <w:num w:numId="14">
    <w:abstractNumId w:val="10"/>
  </w:num>
  <w:num w:numId="15">
    <w:abstractNumId w:val="37"/>
  </w:num>
  <w:num w:numId="16">
    <w:abstractNumId w:val="14"/>
  </w:num>
  <w:num w:numId="17">
    <w:abstractNumId w:val="32"/>
  </w:num>
  <w:num w:numId="18">
    <w:abstractNumId w:val="3"/>
  </w:num>
  <w:num w:numId="19">
    <w:abstractNumId w:val="11"/>
  </w:num>
  <w:num w:numId="20">
    <w:abstractNumId w:val="9"/>
  </w:num>
  <w:num w:numId="21">
    <w:abstractNumId w:val="22"/>
  </w:num>
  <w:num w:numId="22">
    <w:abstractNumId w:val="18"/>
  </w:num>
  <w:num w:numId="23">
    <w:abstractNumId w:val="20"/>
  </w:num>
  <w:num w:numId="24">
    <w:abstractNumId w:val="16"/>
  </w:num>
  <w:num w:numId="25">
    <w:abstractNumId w:val="34"/>
  </w:num>
  <w:num w:numId="26">
    <w:abstractNumId w:val="27"/>
  </w:num>
  <w:num w:numId="27">
    <w:abstractNumId w:val="4"/>
  </w:num>
  <w:num w:numId="28">
    <w:abstractNumId w:val="17"/>
  </w:num>
  <w:num w:numId="29">
    <w:abstractNumId w:val="1"/>
  </w:num>
  <w:num w:numId="30">
    <w:abstractNumId w:val="33"/>
  </w:num>
  <w:num w:numId="31">
    <w:abstractNumId w:val="39"/>
  </w:num>
  <w:num w:numId="32">
    <w:abstractNumId w:val="31"/>
  </w:num>
  <w:num w:numId="33">
    <w:abstractNumId w:val="12"/>
  </w:num>
  <w:num w:numId="34">
    <w:abstractNumId w:val="6"/>
  </w:num>
  <w:num w:numId="35">
    <w:abstractNumId w:val="23"/>
  </w:num>
  <w:num w:numId="36">
    <w:abstractNumId w:val="35"/>
  </w:num>
  <w:num w:numId="37">
    <w:abstractNumId w:val="5"/>
  </w:num>
  <w:num w:numId="38">
    <w:abstractNumId w:val="24"/>
  </w:num>
  <w:num w:numId="39">
    <w:abstractNumId w:val="21"/>
  </w:num>
  <w:num w:numId="40">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020E5"/>
    <w:rsid w:val="00000457"/>
    <w:rsid w:val="00001A5E"/>
    <w:rsid w:val="00002BFF"/>
    <w:rsid w:val="00003303"/>
    <w:rsid w:val="00004A09"/>
    <w:rsid w:val="00006895"/>
    <w:rsid w:val="00006ACF"/>
    <w:rsid w:val="000101BB"/>
    <w:rsid w:val="00011887"/>
    <w:rsid w:val="00012F58"/>
    <w:rsid w:val="00013FD9"/>
    <w:rsid w:val="00014E0A"/>
    <w:rsid w:val="00015265"/>
    <w:rsid w:val="00015B1B"/>
    <w:rsid w:val="00015CAF"/>
    <w:rsid w:val="00015E9E"/>
    <w:rsid w:val="00017215"/>
    <w:rsid w:val="00023508"/>
    <w:rsid w:val="000265A5"/>
    <w:rsid w:val="00027231"/>
    <w:rsid w:val="000301FB"/>
    <w:rsid w:val="000313C0"/>
    <w:rsid w:val="0003291F"/>
    <w:rsid w:val="00032EB3"/>
    <w:rsid w:val="00036238"/>
    <w:rsid w:val="00037DB7"/>
    <w:rsid w:val="00040143"/>
    <w:rsid w:val="00040DE9"/>
    <w:rsid w:val="00040E7F"/>
    <w:rsid w:val="00041A46"/>
    <w:rsid w:val="00042180"/>
    <w:rsid w:val="00042861"/>
    <w:rsid w:val="000443C4"/>
    <w:rsid w:val="0004509F"/>
    <w:rsid w:val="00046342"/>
    <w:rsid w:val="00047555"/>
    <w:rsid w:val="0005097A"/>
    <w:rsid w:val="00050E02"/>
    <w:rsid w:val="0005477E"/>
    <w:rsid w:val="00055BB5"/>
    <w:rsid w:val="00063B24"/>
    <w:rsid w:val="00064699"/>
    <w:rsid w:val="0006539B"/>
    <w:rsid w:val="00067384"/>
    <w:rsid w:val="000676A3"/>
    <w:rsid w:val="00073EF7"/>
    <w:rsid w:val="000748A1"/>
    <w:rsid w:val="000753FC"/>
    <w:rsid w:val="00076393"/>
    <w:rsid w:val="00077755"/>
    <w:rsid w:val="00077F0B"/>
    <w:rsid w:val="0008118F"/>
    <w:rsid w:val="000834ED"/>
    <w:rsid w:val="0008382B"/>
    <w:rsid w:val="00084E96"/>
    <w:rsid w:val="0008590E"/>
    <w:rsid w:val="0008662F"/>
    <w:rsid w:val="00086735"/>
    <w:rsid w:val="00090314"/>
    <w:rsid w:val="000905C3"/>
    <w:rsid w:val="00090B6B"/>
    <w:rsid w:val="000910E1"/>
    <w:rsid w:val="0009208E"/>
    <w:rsid w:val="00095031"/>
    <w:rsid w:val="00096ECE"/>
    <w:rsid w:val="000A3D6D"/>
    <w:rsid w:val="000A5033"/>
    <w:rsid w:val="000A6FFE"/>
    <w:rsid w:val="000B0C33"/>
    <w:rsid w:val="000B1DF7"/>
    <w:rsid w:val="000B202A"/>
    <w:rsid w:val="000B2257"/>
    <w:rsid w:val="000B2898"/>
    <w:rsid w:val="000B2919"/>
    <w:rsid w:val="000B3EB3"/>
    <w:rsid w:val="000B5FB7"/>
    <w:rsid w:val="000B77F5"/>
    <w:rsid w:val="000C0697"/>
    <w:rsid w:val="000C09C6"/>
    <w:rsid w:val="000C281C"/>
    <w:rsid w:val="000C30E4"/>
    <w:rsid w:val="000C4654"/>
    <w:rsid w:val="000C4D8B"/>
    <w:rsid w:val="000C5311"/>
    <w:rsid w:val="000C57FB"/>
    <w:rsid w:val="000C78D9"/>
    <w:rsid w:val="000D1E1D"/>
    <w:rsid w:val="000D2CA6"/>
    <w:rsid w:val="000D46C4"/>
    <w:rsid w:val="000D48F3"/>
    <w:rsid w:val="000D5428"/>
    <w:rsid w:val="000D5FC7"/>
    <w:rsid w:val="000D774E"/>
    <w:rsid w:val="000E118A"/>
    <w:rsid w:val="000E12E0"/>
    <w:rsid w:val="000E1799"/>
    <w:rsid w:val="000E2117"/>
    <w:rsid w:val="000E34D8"/>
    <w:rsid w:val="000E369F"/>
    <w:rsid w:val="000E3CAF"/>
    <w:rsid w:val="000E42ED"/>
    <w:rsid w:val="000E4667"/>
    <w:rsid w:val="000E6542"/>
    <w:rsid w:val="000E6554"/>
    <w:rsid w:val="000E7A17"/>
    <w:rsid w:val="000E7FE3"/>
    <w:rsid w:val="000F1154"/>
    <w:rsid w:val="000F4114"/>
    <w:rsid w:val="000F6125"/>
    <w:rsid w:val="000F6A25"/>
    <w:rsid w:val="000F7131"/>
    <w:rsid w:val="00100AEE"/>
    <w:rsid w:val="00102B16"/>
    <w:rsid w:val="00102CA0"/>
    <w:rsid w:val="0010313F"/>
    <w:rsid w:val="00103710"/>
    <w:rsid w:val="0010649E"/>
    <w:rsid w:val="00107491"/>
    <w:rsid w:val="00110D54"/>
    <w:rsid w:val="00110E1A"/>
    <w:rsid w:val="001117EA"/>
    <w:rsid w:val="001132E7"/>
    <w:rsid w:val="0011554F"/>
    <w:rsid w:val="00116B92"/>
    <w:rsid w:val="001172EB"/>
    <w:rsid w:val="00121748"/>
    <w:rsid w:val="00121A2F"/>
    <w:rsid w:val="001227EA"/>
    <w:rsid w:val="00122D37"/>
    <w:rsid w:val="00124129"/>
    <w:rsid w:val="0012429C"/>
    <w:rsid w:val="001250C4"/>
    <w:rsid w:val="00125E57"/>
    <w:rsid w:val="00126583"/>
    <w:rsid w:val="00126B53"/>
    <w:rsid w:val="00126CA3"/>
    <w:rsid w:val="001272A7"/>
    <w:rsid w:val="0013014C"/>
    <w:rsid w:val="00131005"/>
    <w:rsid w:val="001318A8"/>
    <w:rsid w:val="00132F05"/>
    <w:rsid w:val="00133137"/>
    <w:rsid w:val="001334DC"/>
    <w:rsid w:val="0013706E"/>
    <w:rsid w:val="00140FB4"/>
    <w:rsid w:val="00141C27"/>
    <w:rsid w:val="00141D23"/>
    <w:rsid w:val="001433A3"/>
    <w:rsid w:val="001463CF"/>
    <w:rsid w:val="00146913"/>
    <w:rsid w:val="00146F1B"/>
    <w:rsid w:val="0014798F"/>
    <w:rsid w:val="00147E03"/>
    <w:rsid w:val="00150BA1"/>
    <w:rsid w:val="00151041"/>
    <w:rsid w:val="00152CD8"/>
    <w:rsid w:val="0015323F"/>
    <w:rsid w:val="00153254"/>
    <w:rsid w:val="00154619"/>
    <w:rsid w:val="001550AB"/>
    <w:rsid w:val="001563F9"/>
    <w:rsid w:val="001602C9"/>
    <w:rsid w:val="00160DF4"/>
    <w:rsid w:val="001625F3"/>
    <w:rsid w:val="001629D6"/>
    <w:rsid w:val="001640DE"/>
    <w:rsid w:val="001665AB"/>
    <w:rsid w:val="00166B3E"/>
    <w:rsid w:val="001678D4"/>
    <w:rsid w:val="00171D18"/>
    <w:rsid w:val="00173DA4"/>
    <w:rsid w:val="00174466"/>
    <w:rsid w:val="00174AE0"/>
    <w:rsid w:val="00175B66"/>
    <w:rsid w:val="0017661E"/>
    <w:rsid w:val="001766D2"/>
    <w:rsid w:val="00176C90"/>
    <w:rsid w:val="00176E19"/>
    <w:rsid w:val="001801B6"/>
    <w:rsid w:val="00180F02"/>
    <w:rsid w:val="0018321B"/>
    <w:rsid w:val="00184D69"/>
    <w:rsid w:val="00185CE1"/>
    <w:rsid w:val="00186E29"/>
    <w:rsid w:val="001877DB"/>
    <w:rsid w:val="0019087D"/>
    <w:rsid w:val="001932D2"/>
    <w:rsid w:val="00193781"/>
    <w:rsid w:val="001938C6"/>
    <w:rsid w:val="00197080"/>
    <w:rsid w:val="001A05A5"/>
    <w:rsid w:val="001A1DCD"/>
    <w:rsid w:val="001A1EF9"/>
    <w:rsid w:val="001A291E"/>
    <w:rsid w:val="001A29EC"/>
    <w:rsid w:val="001A2E77"/>
    <w:rsid w:val="001A37ED"/>
    <w:rsid w:val="001A4C74"/>
    <w:rsid w:val="001A5604"/>
    <w:rsid w:val="001A58FE"/>
    <w:rsid w:val="001A737A"/>
    <w:rsid w:val="001A7FDD"/>
    <w:rsid w:val="001B0CF0"/>
    <w:rsid w:val="001B452A"/>
    <w:rsid w:val="001B56E8"/>
    <w:rsid w:val="001B7674"/>
    <w:rsid w:val="001B7DD1"/>
    <w:rsid w:val="001C202F"/>
    <w:rsid w:val="001C2D41"/>
    <w:rsid w:val="001C446C"/>
    <w:rsid w:val="001D1648"/>
    <w:rsid w:val="001D1AEF"/>
    <w:rsid w:val="001D2227"/>
    <w:rsid w:val="001D2AEC"/>
    <w:rsid w:val="001D378F"/>
    <w:rsid w:val="001D3796"/>
    <w:rsid w:val="001D4EBF"/>
    <w:rsid w:val="001D7B42"/>
    <w:rsid w:val="001E283C"/>
    <w:rsid w:val="001E288B"/>
    <w:rsid w:val="001E46D1"/>
    <w:rsid w:val="001E526B"/>
    <w:rsid w:val="001E611F"/>
    <w:rsid w:val="001F0A25"/>
    <w:rsid w:val="001F0B2F"/>
    <w:rsid w:val="001F1BB5"/>
    <w:rsid w:val="001F1D7F"/>
    <w:rsid w:val="001F2159"/>
    <w:rsid w:val="001F64C3"/>
    <w:rsid w:val="00201B26"/>
    <w:rsid w:val="00202767"/>
    <w:rsid w:val="00203EB9"/>
    <w:rsid w:val="00204498"/>
    <w:rsid w:val="002050B5"/>
    <w:rsid w:val="002051C4"/>
    <w:rsid w:val="002076D5"/>
    <w:rsid w:val="00207D6E"/>
    <w:rsid w:val="00210459"/>
    <w:rsid w:val="002133A7"/>
    <w:rsid w:val="00214B4E"/>
    <w:rsid w:val="00215720"/>
    <w:rsid w:val="00215BD6"/>
    <w:rsid w:val="00215DC8"/>
    <w:rsid w:val="0021639A"/>
    <w:rsid w:val="00220E9B"/>
    <w:rsid w:val="002214FC"/>
    <w:rsid w:val="0022776C"/>
    <w:rsid w:val="002315D5"/>
    <w:rsid w:val="00232547"/>
    <w:rsid w:val="00233274"/>
    <w:rsid w:val="00234E7F"/>
    <w:rsid w:val="00234F59"/>
    <w:rsid w:val="00235B6A"/>
    <w:rsid w:val="0023651B"/>
    <w:rsid w:val="002367BC"/>
    <w:rsid w:val="002374EE"/>
    <w:rsid w:val="00237916"/>
    <w:rsid w:val="00241D2F"/>
    <w:rsid w:val="00242689"/>
    <w:rsid w:val="00243AE1"/>
    <w:rsid w:val="002448D0"/>
    <w:rsid w:val="00244A67"/>
    <w:rsid w:val="002454D9"/>
    <w:rsid w:val="00245AAE"/>
    <w:rsid w:val="00246BCD"/>
    <w:rsid w:val="00250A2D"/>
    <w:rsid w:val="00254345"/>
    <w:rsid w:val="00262788"/>
    <w:rsid w:val="002633C5"/>
    <w:rsid w:val="00263860"/>
    <w:rsid w:val="00264046"/>
    <w:rsid w:val="00264338"/>
    <w:rsid w:val="002647AD"/>
    <w:rsid w:val="00267F8C"/>
    <w:rsid w:val="002710C9"/>
    <w:rsid w:val="00272EC8"/>
    <w:rsid w:val="002740A1"/>
    <w:rsid w:val="002767F8"/>
    <w:rsid w:val="00280F2A"/>
    <w:rsid w:val="0028110B"/>
    <w:rsid w:val="002814DD"/>
    <w:rsid w:val="0028263A"/>
    <w:rsid w:val="00283236"/>
    <w:rsid w:val="00285A48"/>
    <w:rsid w:val="002876C1"/>
    <w:rsid w:val="00290B88"/>
    <w:rsid w:val="00291565"/>
    <w:rsid w:val="002919A0"/>
    <w:rsid w:val="002928FC"/>
    <w:rsid w:val="00292E02"/>
    <w:rsid w:val="00292E0F"/>
    <w:rsid w:val="00293E59"/>
    <w:rsid w:val="002977E2"/>
    <w:rsid w:val="00297CFF"/>
    <w:rsid w:val="002A02A8"/>
    <w:rsid w:val="002A0AA9"/>
    <w:rsid w:val="002A1094"/>
    <w:rsid w:val="002A14B2"/>
    <w:rsid w:val="002A2D06"/>
    <w:rsid w:val="002A35C8"/>
    <w:rsid w:val="002A4198"/>
    <w:rsid w:val="002A4622"/>
    <w:rsid w:val="002A4D3A"/>
    <w:rsid w:val="002A4F48"/>
    <w:rsid w:val="002A57A4"/>
    <w:rsid w:val="002A728A"/>
    <w:rsid w:val="002A7350"/>
    <w:rsid w:val="002B21D6"/>
    <w:rsid w:val="002B3EBD"/>
    <w:rsid w:val="002B439C"/>
    <w:rsid w:val="002B45C2"/>
    <w:rsid w:val="002B578F"/>
    <w:rsid w:val="002B6167"/>
    <w:rsid w:val="002C21FC"/>
    <w:rsid w:val="002C4487"/>
    <w:rsid w:val="002C4903"/>
    <w:rsid w:val="002C49A8"/>
    <w:rsid w:val="002C4A10"/>
    <w:rsid w:val="002C6E87"/>
    <w:rsid w:val="002C79F9"/>
    <w:rsid w:val="002C7C73"/>
    <w:rsid w:val="002D00A2"/>
    <w:rsid w:val="002D02F4"/>
    <w:rsid w:val="002D0EDA"/>
    <w:rsid w:val="002D1CB2"/>
    <w:rsid w:val="002D2915"/>
    <w:rsid w:val="002D3755"/>
    <w:rsid w:val="002D483C"/>
    <w:rsid w:val="002D5B78"/>
    <w:rsid w:val="002D6A11"/>
    <w:rsid w:val="002D7110"/>
    <w:rsid w:val="002D7332"/>
    <w:rsid w:val="002E026B"/>
    <w:rsid w:val="002E1338"/>
    <w:rsid w:val="002E1F7A"/>
    <w:rsid w:val="002E2960"/>
    <w:rsid w:val="002E39F0"/>
    <w:rsid w:val="002E59B6"/>
    <w:rsid w:val="002E6484"/>
    <w:rsid w:val="002E7966"/>
    <w:rsid w:val="002F1597"/>
    <w:rsid w:val="002F1B4A"/>
    <w:rsid w:val="002F51F5"/>
    <w:rsid w:val="002F5893"/>
    <w:rsid w:val="0030117E"/>
    <w:rsid w:val="00302E64"/>
    <w:rsid w:val="003034AA"/>
    <w:rsid w:val="0030389E"/>
    <w:rsid w:val="003044A2"/>
    <w:rsid w:val="00304735"/>
    <w:rsid w:val="00305DB0"/>
    <w:rsid w:val="00305F27"/>
    <w:rsid w:val="00305FB5"/>
    <w:rsid w:val="003074B1"/>
    <w:rsid w:val="00310340"/>
    <w:rsid w:val="00310E9B"/>
    <w:rsid w:val="00316089"/>
    <w:rsid w:val="0031651B"/>
    <w:rsid w:val="00317EE2"/>
    <w:rsid w:val="003216B4"/>
    <w:rsid w:val="0032287F"/>
    <w:rsid w:val="003228D0"/>
    <w:rsid w:val="00324A66"/>
    <w:rsid w:val="00324D0D"/>
    <w:rsid w:val="0032556D"/>
    <w:rsid w:val="003278DF"/>
    <w:rsid w:val="00327B51"/>
    <w:rsid w:val="00327E49"/>
    <w:rsid w:val="003335CF"/>
    <w:rsid w:val="00334202"/>
    <w:rsid w:val="00336605"/>
    <w:rsid w:val="00340472"/>
    <w:rsid w:val="00341093"/>
    <w:rsid w:val="00343B3F"/>
    <w:rsid w:val="003440C7"/>
    <w:rsid w:val="00344B26"/>
    <w:rsid w:val="00345683"/>
    <w:rsid w:val="003456D7"/>
    <w:rsid w:val="00347129"/>
    <w:rsid w:val="003500F1"/>
    <w:rsid w:val="0035070C"/>
    <w:rsid w:val="003517AA"/>
    <w:rsid w:val="003524F4"/>
    <w:rsid w:val="003553B4"/>
    <w:rsid w:val="0035552A"/>
    <w:rsid w:val="003558EB"/>
    <w:rsid w:val="00357649"/>
    <w:rsid w:val="00357CC7"/>
    <w:rsid w:val="00357D27"/>
    <w:rsid w:val="003611E2"/>
    <w:rsid w:val="00361A10"/>
    <w:rsid w:val="003649F0"/>
    <w:rsid w:val="00366456"/>
    <w:rsid w:val="00366FBF"/>
    <w:rsid w:val="00370C8B"/>
    <w:rsid w:val="00370F94"/>
    <w:rsid w:val="00371015"/>
    <w:rsid w:val="00371C5A"/>
    <w:rsid w:val="003724C2"/>
    <w:rsid w:val="00373869"/>
    <w:rsid w:val="0037392F"/>
    <w:rsid w:val="00373A3A"/>
    <w:rsid w:val="0037523C"/>
    <w:rsid w:val="00375A1D"/>
    <w:rsid w:val="00377040"/>
    <w:rsid w:val="0038055F"/>
    <w:rsid w:val="00383031"/>
    <w:rsid w:val="003842EC"/>
    <w:rsid w:val="003844F3"/>
    <w:rsid w:val="00387877"/>
    <w:rsid w:val="00387B8C"/>
    <w:rsid w:val="0039144D"/>
    <w:rsid w:val="003924E3"/>
    <w:rsid w:val="003948D7"/>
    <w:rsid w:val="003951E5"/>
    <w:rsid w:val="003959BC"/>
    <w:rsid w:val="003A0146"/>
    <w:rsid w:val="003A35CB"/>
    <w:rsid w:val="003A3A61"/>
    <w:rsid w:val="003A4D43"/>
    <w:rsid w:val="003A4E3B"/>
    <w:rsid w:val="003A4E3D"/>
    <w:rsid w:val="003A60AC"/>
    <w:rsid w:val="003A66A1"/>
    <w:rsid w:val="003A66F3"/>
    <w:rsid w:val="003A6CF4"/>
    <w:rsid w:val="003A7478"/>
    <w:rsid w:val="003B07EC"/>
    <w:rsid w:val="003B0C49"/>
    <w:rsid w:val="003B10B4"/>
    <w:rsid w:val="003B27D9"/>
    <w:rsid w:val="003B28B8"/>
    <w:rsid w:val="003B29DD"/>
    <w:rsid w:val="003B5543"/>
    <w:rsid w:val="003B62AA"/>
    <w:rsid w:val="003B6A4F"/>
    <w:rsid w:val="003C0697"/>
    <w:rsid w:val="003C0C94"/>
    <w:rsid w:val="003C328D"/>
    <w:rsid w:val="003C3595"/>
    <w:rsid w:val="003C40E2"/>
    <w:rsid w:val="003C450D"/>
    <w:rsid w:val="003C46E7"/>
    <w:rsid w:val="003D04A3"/>
    <w:rsid w:val="003D0C15"/>
    <w:rsid w:val="003D0EA5"/>
    <w:rsid w:val="003D1590"/>
    <w:rsid w:val="003D2D56"/>
    <w:rsid w:val="003D663A"/>
    <w:rsid w:val="003E432C"/>
    <w:rsid w:val="003E79F0"/>
    <w:rsid w:val="003F20DD"/>
    <w:rsid w:val="003F3BD1"/>
    <w:rsid w:val="003F50BB"/>
    <w:rsid w:val="003F7A05"/>
    <w:rsid w:val="003F7C68"/>
    <w:rsid w:val="004001F4"/>
    <w:rsid w:val="00400441"/>
    <w:rsid w:val="00403CF6"/>
    <w:rsid w:val="004059D9"/>
    <w:rsid w:val="00407610"/>
    <w:rsid w:val="00410620"/>
    <w:rsid w:val="00411C81"/>
    <w:rsid w:val="00413D9A"/>
    <w:rsid w:val="004145B2"/>
    <w:rsid w:val="00415049"/>
    <w:rsid w:val="0041590E"/>
    <w:rsid w:val="00415CDC"/>
    <w:rsid w:val="0042081D"/>
    <w:rsid w:val="0042448C"/>
    <w:rsid w:val="00432F3D"/>
    <w:rsid w:val="004343FA"/>
    <w:rsid w:val="00435831"/>
    <w:rsid w:val="00436193"/>
    <w:rsid w:val="00436285"/>
    <w:rsid w:val="00437524"/>
    <w:rsid w:val="0043773A"/>
    <w:rsid w:val="00441862"/>
    <w:rsid w:val="00442A07"/>
    <w:rsid w:val="00444B37"/>
    <w:rsid w:val="0045037D"/>
    <w:rsid w:val="00454EA3"/>
    <w:rsid w:val="00455F91"/>
    <w:rsid w:val="0046056D"/>
    <w:rsid w:val="00461B6D"/>
    <w:rsid w:val="00462E5B"/>
    <w:rsid w:val="004637E7"/>
    <w:rsid w:val="0046392C"/>
    <w:rsid w:val="00463FC7"/>
    <w:rsid w:val="00465597"/>
    <w:rsid w:val="00470861"/>
    <w:rsid w:val="00471DC7"/>
    <w:rsid w:val="004762A5"/>
    <w:rsid w:val="004774FC"/>
    <w:rsid w:val="0047772F"/>
    <w:rsid w:val="004804BB"/>
    <w:rsid w:val="0048127F"/>
    <w:rsid w:val="00481388"/>
    <w:rsid w:val="0048244A"/>
    <w:rsid w:val="00482A91"/>
    <w:rsid w:val="00483CC6"/>
    <w:rsid w:val="00483F0A"/>
    <w:rsid w:val="004866CB"/>
    <w:rsid w:val="00487D84"/>
    <w:rsid w:val="00491E1D"/>
    <w:rsid w:val="004924FA"/>
    <w:rsid w:val="00493AFF"/>
    <w:rsid w:val="00494521"/>
    <w:rsid w:val="00494906"/>
    <w:rsid w:val="00495C9F"/>
    <w:rsid w:val="004961C4"/>
    <w:rsid w:val="004964F1"/>
    <w:rsid w:val="004966B9"/>
    <w:rsid w:val="00497CEF"/>
    <w:rsid w:val="004A1352"/>
    <w:rsid w:val="004A1551"/>
    <w:rsid w:val="004A2762"/>
    <w:rsid w:val="004A28B0"/>
    <w:rsid w:val="004A4429"/>
    <w:rsid w:val="004A6149"/>
    <w:rsid w:val="004A7EC7"/>
    <w:rsid w:val="004B0463"/>
    <w:rsid w:val="004B1C1C"/>
    <w:rsid w:val="004B1CDB"/>
    <w:rsid w:val="004B2EEC"/>
    <w:rsid w:val="004B4066"/>
    <w:rsid w:val="004B42A9"/>
    <w:rsid w:val="004B569F"/>
    <w:rsid w:val="004B6710"/>
    <w:rsid w:val="004B73B8"/>
    <w:rsid w:val="004B79DA"/>
    <w:rsid w:val="004C07BD"/>
    <w:rsid w:val="004C413A"/>
    <w:rsid w:val="004D2C52"/>
    <w:rsid w:val="004D338A"/>
    <w:rsid w:val="004D5057"/>
    <w:rsid w:val="004D54F8"/>
    <w:rsid w:val="004E2899"/>
    <w:rsid w:val="004E2D72"/>
    <w:rsid w:val="004F010A"/>
    <w:rsid w:val="004F1C74"/>
    <w:rsid w:val="004F2F9F"/>
    <w:rsid w:val="004F322F"/>
    <w:rsid w:val="004F360A"/>
    <w:rsid w:val="004F3FDE"/>
    <w:rsid w:val="004F4655"/>
    <w:rsid w:val="004F46A8"/>
    <w:rsid w:val="004F4828"/>
    <w:rsid w:val="004F5036"/>
    <w:rsid w:val="004F58A4"/>
    <w:rsid w:val="00500CFC"/>
    <w:rsid w:val="00501722"/>
    <w:rsid w:val="005020E5"/>
    <w:rsid w:val="005021D4"/>
    <w:rsid w:val="00503E52"/>
    <w:rsid w:val="005041C4"/>
    <w:rsid w:val="00504272"/>
    <w:rsid w:val="00505CC4"/>
    <w:rsid w:val="00505EAC"/>
    <w:rsid w:val="00505F34"/>
    <w:rsid w:val="00507920"/>
    <w:rsid w:val="0050799C"/>
    <w:rsid w:val="00507B1F"/>
    <w:rsid w:val="0051113A"/>
    <w:rsid w:val="0051253A"/>
    <w:rsid w:val="005144B8"/>
    <w:rsid w:val="00514D4C"/>
    <w:rsid w:val="00515EF6"/>
    <w:rsid w:val="00516C19"/>
    <w:rsid w:val="00521205"/>
    <w:rsid w:val="00522CA6"/>
    <w:rsid w:val="005246C3"/>
    <w:rsid w:val="00524920"/>
    <w:rsid w:val="0052525B"/>
    <w:rsid w:val="0052586F"/>
    <w:rsid w:val="00526BD3"/>
    <w:rsid w:val="00527C02"/>
    <w:rsid w:val="00527C6A"/>
    <w:rsid w:val="00531664"/>
    <w:rsid w:val="00532BB3"/>
    <w:rsid w:val="00533BD9"/>
    <w:rsid w:val="00534099"/>
    <w:rsid w:val="00534648"/>
    <w:rsid w:val="00535556"/>
    <w:rsid w:val="00535984"/>
    <w:rsid w:val="0053769C"/>
    <w:rsid w:val="00537CE9"/>
    <w:rsid w:val="005401B9"/>
    <w:rsid w:val="00540DF9"/>
    <w:rsid w:val="00540F53"/>
    <w:rsid w:val="005429C3"/>
    <w:rsid w:val="00543020"/>
    <w:rsid w:val="00546654"/>
    <w:rsid w:val="00547DEC"/>
    <w:rsid w:val="00550282"/>
    <w:rsid w:val="0055078B"/>
    <w:rsid w:val="00551206"/>
    <w:rsid w:val="00552957"/>
    <w:rsid w:val="005535CF"/>
    <w:rsid w:val="005542D5"/>
    <w:rsid w:val="00554859"/>
    <w:rsid w:val="00555752"/>
    <w:rsid w:val="005562BB"/>
    <w:rsid w:val="0056063B"/>
    <w:rsid w:val="005606C3"/>
    <w:rsid w:val="00561139"/>
    <w:rsid w:val="005613F8"/>
    <w:rsid w:val="005623C3"/>
    <w:rsid w:val="00562890"/>
    <w:rsid w:val="00563CDD"/>
    <w:rsid w:val="00564F72"/>
    <w:rsid w:val="005663E1"/>
    <w:rsid w:val="00566CF5"/>
    <w:rsid w:val="00566D50"/>
    <w:rsid w:val="00571D6F"/>
    <w:rsid w:val="00573D2D"/>
    <w:rsid w:val="005760CB"/>
    <w:rsid w:val="005769D9"/>
    <w:rsid w:val="00577249"/>
    <w:rsid w:val="00580100"/>
    <w:rsid w:val="00580BA5"/>
    <w:rsid w:val="00580D75"/>
    <w:rsid w:val="00582409"/>
    <w:rsid w:val="005840C7"/>
    <w:rsid w:val="0058434B"/>
    <w:rsid w:val="005848A7"/>
    <w:rsid w:val="00586031"/>
    <w:rsid w:val="005868CD"/>
    <w:rsid w:val="00586BB4"/>
    <w:rsid w:val="00586C0E"/>
    <w:rsid w:val="00592164"/>
    <w:rsid w:val="00593F21"/>
    <w:rsid w:val="00594A5C"/>
    <w:rsid w:val="005977A9"/>
    <w:rsid w:val="005A1548"/>
    <w:rsid w:val="005A2AA9"/>
    <w:rsid w:val="005A2B2B"/>
    <w:rsid w:val="005A3AC1"/>
    <w:rsid w:val="005A5B06"/>
    <w:rsid w:val="005A5E10"/>
    <w:rsid w:val="005A74C2"/>
    <w:rsid w:val="005B1357"/>
    <w:rsid w:val="005B3836"/>
    <w:rsid w:val="005B429A"/>
    <w:rsid w:val="005B47E1"/>
    <w:rsid w:val="005B5BBE"/>
    <w:rsid w:val="005B6008"/>
    <w:rsid w:val="005B73E0"/>
    <w:rsid w:val="005C086A"/>
    <w:rsid w:val="005C1E34"/>
    <w:rsid w:val="005C2226"/>
    <w:rsid w:val="005C5B2B"/>
    <w:rsid w:val="005C7783"/>
    <w:rsid w:val="005D24F8"/>
    <w:rsid w:val="005D4520"/>
    <w:rsid w:val="005D454A"/>
    <w:rsid w:val="005D4863"/>
    <w:rsid w:val="005D77F8"/>
    <w:rsid w:val="005D7F24"/>
    <w:rsid w:val="005E19B5"/>
    <w:rsid w:val="005E3FFB"/>
    <w:rsid w:val="005E74F7"/>
    <w:rsid w:val="005E78B5"/>
    <w:rsid w:val="005E7D9F"/>
    <w:rsid w:val="005F27AA"/>
    <w:rsid w:val="005F2865"/>
    <w:rsid w:val="005F43F2"/>
    <w:rsid w:val="005F5B3E"/>
    <w:rsid w:val="005F7393"/>
    <w:rsid w:val="005F7D8B"/>
    <w:rsid w:val="0060151A"/>
    <w:rsid w:val="00602AD1"/>
    <w:rsid w:val="006051D7"/>
    <w:rsid w:val="0060527C"/>
    <w:rsid w:val="0060563B"/>
    <w:rsid w:val="00605D65"/>
    <w:rsid w:val="00606B97"/>
    <w:rsid w:val="00610AC5"/>
    <w:rsid w:val="00611A29"/>
    <w:rsid w:val="00611C01"/>
    <w:rsid w:val="00611F88"/>
    <w:rsid w:val="00612427"/>
    <w:rsid w:val="0061330C"/>
    <w:rsid w:val="00614CB5"/>
    <w:rsid w:val="006151E8"/>
    <w:rsid w:val="0061621A"/>
    <w:rsid w:val="00616783"/>
    <w:rsid w:val="00617CA1"/>
    <w:rsid w:val="00620084"/>
    <w:rsid w:val="00620826"/>
    <w:rsid w:val="0062084F"/>
    <w:rsid w:val="00622372"/>
    <w:rsid w:val="00622F30"/>
    <w:rsid w:val="0062441D"/>
    <w:rsid w:val="00627E3D"/>
    <w:rsid w:val="0063195C"/>
    <w:rsid w:val="00631BE0"/>
    <w:rsid w:val="00634551"/>
    <w:rsid w:val="00635A0D"/>
    <w:rsid w:val="006371FE"/>
    <w:rsid w:val="00641957"/>
    <w:rsid w:val="0064343B"/>
    <w:rsid w:val="0064460A"/>
    <w:rsid w:val="00644629"/>
    <w:rsid w:val="00644940"/>
    <w:rsid w:val="0065024B"/>
    <w:rsid w:val="00650A03"/>
    <w:rsid w:val="00650E99"/>
    <w:rsid w:val="006522FF"/>
    <w:rsid w:val="00654605"/>
    <w:rsid w:val="00663161"/>
    <w:rsid w:val="00663642"/>
    <w:rsid w:val="00664DE9"/>
    <w:rsid w:val="00666AC0"/>
    <w:rsid w:val="00667753"/>
    <w:rsid w:val="00672A77"/>
    <w:rsid w:val="00673306"/>
    <w:rsid w:val="00676431"/>
    <w:rsid w:val="00677278"/>
    <w:rsid w:val="00684310"/>
    <w:rsid w:val="006843D0"/>
    <w:rsid w:val="00687D4B"/>
    <w:rsid w:val="00690F8E"/>
    <w:rsid w:val="00691063"/>
    <w:rsid w:val="006911E8"/>
    <w:rsid w:val="00692774"/>
    <w:rsid w:val="0069321D"/>
    <w:rsid w:val="006978E6"/>
    <w:rsid w:val="006A1206"/>
    <w:rsid w:val="006A379B"/>
    <w:rsid w:val="006A469F"/>
    <w:rsid w:val="006A5011"/>
    <w:rsid w:val="006A502E"/>
    <w:rsid w:val="006A5851"/>
    <w:rsid w:val="006A5A85"/>
    <w:rsid w:val="006A5D83"/>
    <w:rsid w:val="006A6EFF"/>
    <w:rsid w:val="006B09A6"/>
    <w:rsid w:val="006B0D66"/>
    <w:rsid w:val="006B2099"/>
    <w:rsid w:val="006B2A9A"/>
    <w:rsid w:val="006B4294"/>
    <w:rsid w:val="006B4F49"/>
    <w:rsid w:val="006B667B"/>
    <w:rsid w:val="006B7CB2"/>
    <w:rsid w:val="006C1016"/>
    <w:rsid w:val="006C194D"/>
    <w:rsid w:val="006C3739"/>
    <w:rsid w:val="006C471E"/>
    <w:rsid w:val="006D235E"/>
    <w:rsid w:val="006D586C"/>
    <w:rsid w:val="006E0384"/>
    <w:rsid w:val="006E20A0"/>
    <w:rsid w:val="006E3633"/>
    <w:rsid w:val="006E5927"/>
    <w:rsid w:val="006F0113"/>
    <w:rsid w:val="006F01ED"/>
    <w:rsid w:val="006F41DC"/>
    <w:rsid w:val="006F5757"/>
    <w:rsid w:val="006F6951"/>
    <w:rsid w:val="006F6DC5"/>
    <w:rsid w:val="006F6ECB"/>
    <w:rsid w:val="006F7E9E"/>
    <w:rsid w:val="00700035"/>
    <w:rsid w:val="00700CBA"/>
    <w:rsid w:val="00700D54"/>
    <w:rsid w:val="00701386"/>
    <w:rsid w:val="00703352"/>
    <w:rsid w:val="00703C0D"/>
    <w:rsid w:val="00703F62"/>
    <w:rsid w:val="00706013"/>
    <w:rsid w:val="00711751"/>
    <w:rsid w:val="00711E09"/>
    <w:rsid w:val="00713D6A"/>
    <w:rsid w:val="007141A5"/>
    <w:rsid w:val="0071482A"/>
    <w:rsid w:val="00715DFB"/>
    <w:rsid w:val="00717765"/>
    <w:rsid w:val="00720342"/>
    <w:rsid w:val="00721B01"/>
    <w:rsid w:val="00721BD8"/>
    <w:rsid w:val="00722112"/>
    <w:rsid w:val="007247DA"/>
    <w:rsid w:val="0072509D"/>
    <w:rsid w:val="00725699"/>
    <w:rsid w:val="00725B3A"/>
    <w:rsid w:val="00725BAC"/>
    <w:rsid w:val="00726D4C"/>
    <w:rsid w:val="00730274"/>
    <w:rsid w:val="007332FC"/>
    <w:rsid w:val="00734D00"/>
    <w:rsid w:val="00735303"/>
    <w:rsid w:val="00736188"/>
    <w:rsid w:val="00736D63"/>
    <w:rsid w:val="00740409"/>
    <w:rsid w:val="00740B93"/>
    <w:rsid w:val="0074108E"/>
    <w:rsid w:val="00742801"/>
    <w:rsid w:val="00743663"/>
    <w:rsid w:val="00744EB9"/>
    <w:rsid w:val="00745FB0"/>
    <w:rsid w:val="00746E96"/>
    <w:rsid w:val="00747B80"/>
    <w:rsid w:val="00747D8C"/>
    <w:rsid w:val="0075158D"/>
    <w:rsid w:val="00751656"/>
    <w:rsid w:val="00756666"/>
    <w:rsid w:val="00757B6E"/>
    <w:rsid w:val="00760565"/>
    <w:rsid w:val="0076134A"/>
    <w:rsid w:val="007638E6"/>
    <w:rsid w:val="00764A31"/>
    <w:rsid w:val="007671EE"/>
    <w:rsid w:val="00767D0E"/>
    <w:rsid w:val="007710C2"/>
    <w:rsid w:val="00772491"/>
    <w:rsid w:val="00772BB0"/>
    <w:rsid w:val="00773E05"/>
    <w:rsid w:val="00774140"/>
    <w:rsid w:val="00776522"/>
    <w:rsid w:val="007776C8"/>
    <w:rsid w:val="00782389"/>
    <w:rsid w:val="00782931"/>
    <w:rsid w:val="00783D13"/>
    <w:rsid w:val="0078516E"/>
    <w:rsid w:val="00786A17"/>
    <w:rsid w:val="00786B45"/>
    <w:rsid w:val="0079217E"/>
    <w:rsid w:val="00793139"/>
    <w:rsid w:val="0079332C"/>
    <w:rsid w:val="00793841"/>
    <w:rsid w:val="00793E40"/>
    <w:rsid w:val="00794F38"/>
    <w:rsid w:val="007972AA"/>
    <w:rsid w:val="007A02FD"/>
    <w:rsid w:val="007A0E5A"/>
    <w:rsid w:val="007A1CF5"/>
    <w:rsid w:val="007A46B7"/>
    <w:rsid w:val="007A6ABA"/>
    <w:rsid w:val="007A6F2A"/>
    <w:rsid w:val="007A7454"/>
    <w:rsid w:val="007B002D"/>
    <w:rsid w:val="007B0D7C"/>
    <w:rsid w:val="007B2750"/>
    <w:rsid w:val="007B73EC"/>
    <w:rsid w:val="007B7408"/>
    <w:rsid w:val="007B7F85"/>
    <w:rsid w:val="007C078B"/>
    <w:rsid w:val="007C0A56"/>
    <w:rsid w:val="007C43E6"/>
    <w:rsid w:val="007C5318"/>
    <w:rsid w:val="007C60CB"/>
    <w:rsid w:val="007D1383"/>
    <w:rsid w:val="007D17E6"/>
    <w:rsid w:val="007D20FB"/>
    <w:rsid w:val="007D3765"/>
    <w:rsid w:val="007D3D74"/>
    <w:rsid w:val="007D4BB6"/>
    <w:rsid w:val="007D65DF"/>
    <w:rsid w:val="007D663A"/>
    <w:rsid w:val="007D6A3A"/>
    <w:rsid w:val="007E0612"/>
    <w:rsid w:val="007E080A"/>
    <w:rsid w:val="007E1A4F"/>
    <w:rsid w:val="007E1D59"/>
    <w:rsid w:val="007E2674"/>
    <w:rsid w:val="007E4377"/>
    <w:rsid w:val="007E473E"/>
    <w:rsid w:val="007E77A2"/>
    <w:rsid w:val="007F0441"/>
    <w:rsid w:val="007F39B4"/>
    <w:rsid w:val="007F4B61"/>
    <w:rsid w:val="007F6E20"/>
    <w:rsid w:val="007F7116"/>
    <w:rsid w:val="007F7E64"/>
    <w:rsid w:val="007F7F4F"/>
    <w:rsid w:val="00800EE8"/>
    <w:rsid w:val="00801157"/>
    <w:rsid w:val="008031CB"/>
    <w:rsid w:val="0080432E"/>
    <w:rsid w:val="008043FB"/>
    <w:rsid w:val="008044A5"/>
    <w:rsid w:val="0080456B"/>
    <w:rsid w:val="00804D07"/>
    <w:rsid w:val="00806088"/>
    <w:rsid w:val="00811D42"/>
    <w:rsid w:val="00812D4E"/>
    <w:rsid w:val="00812E0E"/>
    <w:rsid w:val="00814B32"/>
    <w:rsid w:val="008152D0"/>
    <w:rsid w:val="008204BB"/>
    <w:rsid w:val="008206F5"/>
    <w:rsid w:val="0082127D"/>
    <w:rsid w:val="0082211A"/>
    <w:rsid w:val="00825E3B"/>
    <w:rsid w:val="00826620"/>
    <w:rsid w:val="00830746"/>
    <w:rsid w:val="0083333A"/>
    <w:rsid w:val="00833A78"/>
    <w:rsid w:val="0083556F"/>
    <w:rsid w:val="00837FD1"/>
    <w:rsid w:val="008411B7"/>
    <w:rsid w:val="00841CBF"/>
    <w:rsid w:val="0084351A"/>
    <w:rsid w:val="00843BD0"/>
    <w:rsid w:val="0084423B"/>
    <w:rsid w:val="00844EFD"/>
    <w:rsid w:val="008451F6"/>
    <w:rsid w:val="008456F1"/>
    <w:rsid w:val="00845B89"/>
    <w:rsid w:val="0084628E"/>
    <w:rsid w:val="008466D6"/>
    <w:rsid w:val="00847C3A"/>
    <w:rsid w:val="00847DDD"/>
    <w:rsid w:val="008505B7"/>
    <w:rsid w:val="00850C27"/>
    <w:rsid w:val="00850D8F"/>
    <w:rsid w:val="00851EB6"/>
    <w:rsid w:val="0085307F"/>
    <w:rsid w:val="008543E3"/>
    <w:rsid w:val="00854EB5"/>
    <w:rsid w:val="00855292"/>
    <w:rsid w:val="00857F8D"/>
    <w:rsid w:val="00862011"/>
    <w:rsid w:val="0086317C"/>
    <w:rsid w:val="008643E7"/>
    <w:rsid w:val="00864581"/>
    <w:rsid w:val="008669D3"/>
    <w:rsid w:val="0087504B"/>
    <w:rsid w:val="00875860"/>
    <w:rsid w:val="00877FC4"/>
    <w:rsid w:val="0088105A"/>
    <w:rsid w:val="00881167"/>
    <w:rsid w:val="00884A99"/>
    <w:rsid w:val="00885548"/>
    <w:rsid w:val="0088637B"/>
    <w:rsid w:val="00897F07"/>
    <w:rsid w:val="008A091F"/>
    <w:rsid w:val="008A1B8C"/>
    <w:rsid w:val="008A248F"/>
    <w:rsid w:val="008A477E"/>
    <w:rsid w:val="008A51C3"/>
    <w:rsid w:val="008A5739"/>
    <w:rsid w:val="008A7C5A"/>
    <w:rsid w:val="008A7D50"/>
    <w:rsid w:val="008B015A"/>
    <w:rsid w:val="008B15D8"/>
    <w:rsid w:val="008B2CDD"/>
    <w:rsid w:val="008B2D8F"/>
    <w:rsid w:val="008B39EC"/>
    <w:rsid w:val="008B455A"/>
    <w:rsid w:val="008B5BA8"/>
    <w:rsid w:val="008C1899"/>
    <w:rsid w:val="008C29C5"/>
    <w:rsid w:val="008C2FF7"/>
    <w:rsid w:val="008C4EDE"/>
    <w:rsid w:val="008C6B7F"/>
    <w:rsid w:val="008C705F"/>
    <w:rsid w:val="008C7D05"/>
    <w:rsid w:val="008D0C67"/>
    <w:rsid w:val="008D3509"/>
    <w:rsid w:val="008D352A"/>
    <w:rsid w:val="008D35B2"/>
    <w:rsid w:val="008D37D6"/>
    <w:rsid w:val="008D4D86"/>
    <w:rsid w:val="008D5778"/>
    <w:rsid w:val="008E0996"/>
    <w:rsid w:val="008E1D17"/>
    <w:rsid w:val="008E34A6"/>
    <w:rsid w:val="008E4286"/>
    <w:rsid w:val="008E4EB5"/>
    <w:rsid w:val="008E68CF"/>
    <w:rsid w:val="008E6FA7"/>
    <w:rsid w:val="008F320E"/>
    <w:rsid w:val="008F35D6"/>
    <w:rsid w:val="008F4DAE"/>
    <w:rsid w:val="008F6CBD"/>
    <w:rsid w:val="00900F81"/>
    <w:rsid w:val="00902D10"/>
    <w:rsid w:val="00903212"/>
    <w:rsid w:val="00903DAF"/>
    <w:rsid w:val="00904218"/>
    <w:rsid w:val="00905B6E"/>
    <w:rsid w:val="009060BF"/>
    <w:rsid w:val="00906C3B"/>
    <w:rsid w:val="009072F1"/>
    <w:rsid w:val="009106AA"/>
    <w:rsid w:val="009158DE"/>
    <w:rsid w:val="00916442"/>
    <w:rsid w:val="00917562"/>
    <w:rsid w:val="00917B64"/>
    <w:rsid w:val="00917E04"/>
    <w:rsid w:val="00921EE1"/>
    <w:rsid w:val="009231AE"/>
    <w:rsid w:val="009236EA"/>
    <w:rsid w:val="00923E69"/>
    <w:rsid w:val="00925115"/>
    <w:rsid w:val="00927E2F"/>
    <w:rsid w:val="00930421"/>
    <w:rsid w:val="00930DF0"/>
    <w:rsid w:val="0093313F"/>
    <w:rsid w:val="0093442A"/>
    <w:rsid w:val="00934615"/>
    <w:rsid w:val="00936DBB"/>
    <w:rsid w:val="009403AD"/>
    <w:rsid w:val="009403D4"/>
    <w:rsid w:val="009404E2"/>
    <w:rsid w:val="00940E7F"/>
    <w:rsid w:val="0094632C"/>
    <w:rsid w:val="00947A2E"/>
    <w:rsid w:val="00947D42"/>
    <w:rsid w:val="00952C17"/>
    <w:rsid w:val="009532DA"/>
    <w:rsid w:val="00953312"/>
    <w:rsid w:val="009549E3"/>
    <w:rsid w:val="009568D5"/>
    <w:rsid w:val="00957344"/>
    <w:rsid w:val="009574DD"/>
    <w:rsid w:val="009604F8"/>
    <w:rsid w:val="00961941"/>
    <w:rsid w:val="00962C73"/>
    <w:rsid w:val="009634EF"/>
    <w:rsid w:val="009701FA"/>
    <w:rsid w:val="00971905"/>
    <w:rsid w:val="00971B2C"/>
    <w:rsid w:val="00971F24"/>
    <w:rsid w:val="00972C7D"/>
    <w:rsid w:val="00974E7F"/>
    <w:rsid w:val="00975F14"/>
    <w:rsid w:val="00976E23"/>
    <w:rsid w:val="00980CCB"/>
    <w:rsid w:val="00982581"/>
    <w:rsid w:val="00982FDC"/>
    <w:rsid w:val="00983192"/>
    <w:rsid w:val="0098366F"/>
    <w:rsid w:val="00983AD0"/>
    <w:rsid w:val="0098485B"/>
    <w:rsid w:val="00987429"/>
    <w:rsid w:val="00990294"/>
    <w:rsid w:val="0099051E"/>
    <w:rsid w:val="0099073E"/>
    <w:rsid w:val="00991379"/>
    <w:rsid w:val="00991F46"/>
    <w:rsid w:val="00992706"/>
    <w:rsid w:val="00992AEE"/>
    <w:rsid w:val="00993337"/>
    <w:rsid w:val="009A0300"/>
    <w:rsid w:val="009A043F"/>
    <w:rsid w:val="009A0779"/>
    <w:rsid w:val="009A3E14"/>
    <w:rsid w:val="009A45D5"/>
    <w:rsid w:val="009A5781"/>
    <w:rsid w:val="009A5841"/>
    <w:rsid w:val="009B26D9"/>
    <w:rsid w:val="009B78E2"/>
    <w:rsid w:val="009C1B87"/>
    <w:rsid w:val="009C2439"/>
    <w:rsid w:val="009C53C4"/>
    <w:rsid w:val="009C737B"/>
    <w:rsid w:val="009C757B"/>
    <w:rsid w:val="009D0BB7"/>
    <w:rsid w:val="009D1387"/>
    <w:rsid w:val="009D349E"/>
    <w:rsid w:val="009D4938"/>
    <w:rsid w:val="009D572F"/>
    <w:rsid w:val="009D7118"/>
    <w:rsid w:val="009E0A23"/>
    <w:rsid w:val="009E1A0C"/>
    <w:rsid w:val="009E1B2C"/>
    <w:rsid w:val="009E2072"/>
    <w:rsid w:val="009E3B63"/>
    <w:rsid w:val="009E3EE5"/>
    <w:rsid w:val="009E59CB"/>
    <w:rsid w:val="009E6206"/>
    <w:rsid w:val="009E6FBF"/>
    <w:rsid w:val="009E7703"/>
    <w:rsid w:val="009E7790"/>
    <w:rsid w:val="009E7C59"/>
    <w:rsid w:val="009F0896"/>
    <w:rsid w:val="009F19BD"/>
    <w:rsid w:val="009F2A41"/>
    <w:rsid w:val="009F4716"/>
    <w:rsid w:val="009F6E2C"/>
    <w:rsid w:val="00A01DFB"/>
    <w:rsid w:val="00A03744"/>
    <w:rsid w:val="00A04351"/>
    <w:rsid w:val="00A05E88"/>
    <w:rsid w:val="00A078F9"/>
    <w:rsid w:val="00A079A1"/>
    <w:rsid w:val="00A13908"/>
    <w:rsid w:val="00A13B74"/>
    <w:rsid w:val="00A13CB1"/>
    <w:rsid w:val="00A13F74"/>
    <w:rsid w:val="00A1506D"/>
    <w:rsid w:val="00A15153"/>
    <w:rsid w:val="00A17D41"/>
    <w:rsid w:val="00A20270"/>
    <w:rsid w:val="00A2239E"/>
    <w:rsid w:val="00A242EF"/>
    <w:rsid w:val="00A2630C"/>
    <w:rsid w:val="00A26689"/>
    <w:rsid w:val="00A26A36"/>
    <w:rsid w:val="00A2750B"/>
    <w:rsid w:val="00A278C6"/>
    <w:rsid w:val="00A327EE"/>
    <w:rsid w:val="00A32C50"/>
    <w:rsid w:val="00A4090A"/>
    <w:rsid w:val="00A431EC"/>
    <w:rsid w:val="00A44063"/>
    <w:rsid w:val="00A4418F"/>
    <w:rsid w:val="00A447BF"/>
    <w:rsid w:val="00A44AA5"/>
    <w:rsid w:val="00A44AC8"/>
    <w:rsid w:val="00A44AD1"/>
    <w:rsid w:val="00A45F59"/>
    <w:rsid w:val="00A47D45"/>
    <w:rsid w:val="00A5078A"/>
    <w:rsid w:val="00A5092F"/>
    <w:rsid w:val="00A50ACC"/>
    <w:rsid w:val="00A522E7"/>
    <w:rsid w:val="00A52FD9"/>
    <w:rsid w:val="00A53034"/>
    <w:rsid w:val="00A530BC"/>
    <w:rsid w:val="00A530ED"/>
    <w:rsid w:val="00A54275"/>
    <w:rsid w:val="00A54881"/>
    <w:rsid w:val="00A550D0"/>
    <w:rsid w:val="00A56178"/>
    <w:rsid w:val="00A56C5D"/>
    <w:rsid w:val="00A6089A"/>
    <w:rsid w:val="00A60AC4"/>
    <w:rsid w:val="00A6250E"/>
    <w:rsid w:val="00A640E4"/>
    <w:rsid w:val="00A67A9D"/>
    <w:rsid w:val="00A67FA4"/>
    <w:rsid w:val="00A747FF"/>
    <w:rsid w:val="00A76757"/>
    <w:rsid w:val="00A77D24"/>
    <w:rsid w:val="00A77EBE"/>
    <w:rsid w:val="00A8034C"/>
    <w:rsid w:val="00A82929"/>
    <w:rsid w:val="00A85579"/>
    <w:rsid w:val="00A87B44"/>
    <w:rsid w:val="00A9079D"/>
    <w:rsid w:val="00A909D5"/>
    <w:rsid w:val="00A91659"/>
    <w:rsid w:val="00A91853"/>
    <w:rsid w:val="00A93A02"/>
    <w:rsid w:val="00A96ADE"/>
    <w:rsid w:val="00AA1017"/>
    <w:rsid w:val="00AA116F"/>
    <w:rsid w:val="00AA2F9D"/>
    <w:rsid w:val="00AA3FAA"/>
    <w:rsid w:val="00AA586C"/>
    <w:rsid w:val="00AA7365"/>
    <w:rsid w:val="00AB0CCB"/>
    <w:rsid w:val="00AB253E"/>
    <w:rsid w:val="00AB341E"/>
    <w:rsid w:val="00AB5026"/>
    <w:rsid w:val="00AB78D3"/>
    <w:rsid w:val="00AB7D50"/>
    <w:rsid w:val="00AC21F0"/>
    <w:rsid w:val="00AC2D1E"/>
    <w:rsid w:val="00AC3E42"/>
    <w:rsid w:val="00AC42BC"/>
    <w:rsid w:val="00AC65CB"/>
    <w:rsid w:val="00AC67D2"/>
    <w:rsid w:val="00AC7798"/>
    <w:rsid w:val="00AD0D89"/>
    <w:rsid w:val="00AD0DC8"/>
    <w:rsid w:val="00AD2F9B"/>
    <w:rsid w:val="00AD42C6"/>
    <w:rsid w:val="00AD4865"/>
    <w:rsid w:val="00AD4DEC"/>
    <w:rsid w:val="00AD6BD1"/>
    <w:rsid w:val="00AD6E84"/>
    <w:rsid w:val="00AE0387"/>
    <w:rsid w:val="00AE061C"/>
    <w:rsid w:val="00AE16FC"/>
    <w:rsid w:val="00AE4FD9"/>
    <w:rsid w:val="00AE534C"/>
    <w:rsid w:val="00AE6CF2"/>
    <w:rsid w:val="00AE6E68"/>
    <w:rsid w:val="00AE7F7E"/>
    <w:rsid w:val="00AF09DA"/>
    <w:rsid w:val="00AF17C9"/>
    <w:rsid w:val="00AF2182"/>
    <w:rsid w:val="00AF3CB6"/>
    <w:rsid w:val="00AF45A1"/>
    <w:rsid w:val="00AF4806"/>
    <w:rsid w:val="00AF5717"/>
    <w:rsid w:val="00AF5CF3"/>
    <w:rsid w:val="00B000E6"/>
    <w:rsid w:val="00B0059F"/>
    <w:rsid w:val="00B00E68"/>
    <w:rsid w:val="00B0159E"/>
    <w:rsid w:val="00B02B55"/>
    <w:rsid w:val="00B035FA"/>
    <w:rsid w:val="00B0366A"/>
    <w:rsid w:val="00B05F17"/>
    <w:rsid w:val="00B066F8"/>
    <w:rsid w:val="00B07274"/>
    <w:rsid w:val="00B07491"/>
    <w:rsid w:val="00B07D7B"/>
    <w:rsid w:val="00B10D87"/>
    <w:rsid w:val="00B120DB"/>
    <w:rsid w:val="00B12FAA"/>
    <w:rsid w:val="00B1428C"/>
    <w:rsid w:val="00B14656"/>
    <w:rsid w:val="00B1522E"/>
    <w:rsid w:val="00B17140"/>
    <w:rsid w:val="00B22D27"/>
    <w:rsid w:val="00B25297"/>
    <w:rsid w:val="00B25FBF"/>
    <w:rsid w:val="00B26068"/>
    <w:rsid w:val="00B27145"/>
    <w:rsid w:val="00B2787A"/>
    <w:rsid w:val="00B32DC5"/>
    <w:rsid w:val="00B33B41"/>
    <w:rsid w:val="00B33E43"/>
    <w:rsid w:val="00B34565"/>
    <w:rsid w:val="00B34D13"/>
    <w:rsid w:val="00B34F23"/>
    <w:rsid w:val="00B36227"/>
    <w:rsid w:val="00B404EB"/>
    <w:rsid w:val="00B432ED"/>
    <w:rsid w:val="00B43B90"/>
    <w:rsid w:val="00B44E4E"/>
    <w:rsid w:val="00B451BC"/>
    <w:rsid w:val="00B458C2"/>
    <w:rsid w:val="00B50CBB"/>
    <w:rsid w:val="00B51557"/>
    <w:rsid w:val="00B520B2"/>
    <w:rsid w:val="00B5223A"/>
    <w:rsid w:val="00B54BA5"/>
    <w:rsid w:val="00B566A5"/>
    <w:rsid w:val="00B572C1"/>
    <w:rsid w:val="00B605A2"/>
    <w:rsid w:val="00B62DB2"/>
    <w:rsid w:val="00B63FCD"/>
    <w:rsid w:val="00B6428D"/>
    <w:rsid w:val="00B65F58"/>
    <w:rsid w:val="00B6642B"/>
    <w:rsid w:val="00B6658D"/>
    <w:rsid w:val="00B7153F"/>
    <w:rsid w:val="00B71FAA"/>
    <w:rsid w:val="00B744B0"/>
    <w:rsid w:val="00B74C28"/>
    <w:rsid w:val="00B758A6"/>
    <w:rsid w:val="00B75EE8"/>
    <w:rsid w:val="00B76F8A"/>
    <w:rsid w:val="00B8079D"/>
    <w:rsid w:val="00B81B09"/>
    <w:rsid w:val="00B829A0"/>
    <w:rsid w:val="00B849D7"/>
    <w:rsid w:val="00B854E3"/>
    <w:rsid w:val="00B87241"/>
    <w:rsid w:val="00B90139"/>
    <w:rsid w:val="00B90C04"/>
    <w:rsid w:val="00B91393"/>
    <w:rsid w:val="00B91E74"/>
    <w:rsid w:val="00B9349C"/>
    <w:rsid w:val="00B93BA0"/>
    <w:rsid w:val="00B93CB2"/>
    <w:rsid w:val="00B944F5"/>
    <w:rsid w:val="00B95016"/>
    <w:rsid w:val="00B9672E"/>
    <w:rsid w:val="00BA0FEB"/>
    <w:rsid w:val="00BA32E9"/>
    <w:rsid w:val="00BA3603"/>
    <w:rsid w:val="00BA37B4"/>
    <w:rsid w:val="00BA4558"/>
    <w:rsid w:val="00BA6A1E"/>
    <w:rsid w:val="00BA745D"/>
    <w:rsid w:val="00BB07BA"/>
    <w:rsid w:val="00BB23D9"/>
    <w:rsid w:val="00BB2B08"/>
    <w:rsid w:val="00BB393B"/>
    <w:rsid w:val="00BB3F15"/>
    <w:rsid w:val="00BB4BC4"/>
    <w:rsid w:val="00BB5F80"/>
    <w:rsid w:val="00BC0520"/>
    <w:rsid w:val="00BC11AE"/>
    <w:rsid w:val="00BC25C8"/>
    <w:rsid w:val="00BC2710"/>
    <w:rsid w:val="00BC2FAF"/>
    <w:rsid w:val="00BC31B9"/>
    <w:rsid w:val="00BC40C7"/>
    <w:rsid w:val="00BC5BE7"/>
    <w:rsid w:val="00BC5E31"/>
    <w:rsid w:val="00BC6ECE"/>
    <w:rsid w:val="00BD2A18"/>
    <w:rsid w:val="00BD363F"/>
    <w:rsid w:val="00BD5C2C"/>
    <w:rsid w:val="00BD6E50"/>
    <w:rsid w:val="00BD7589"/>
    <w:rsid w:val="00BE0987"/>
    <w:rsid w:val="00BE0D0E"/>
    <w:rsid w:val="00BE2AA7"/>
    <w:rsid w:val="00BE4527"/>
    <w:rsid w:val="00BE4588"/>
    <w:rsid w:val="00BE5B1F"/>
    <w:rsid w:val="00BE6453"/>
    <w:rsid w:val="00BE6909"/>
    <w:rsid w:val="00BE7A7E"/>
    <w:rsid w:val="00BF1279"/>
    <w:rsid w:val="00BF2851"/>
    <w:rsid w:val="00BF6610"/>
    <w:rsid w:val="00BF7FDD"/>
    <w:rsid w:val="00C016CC"/>
    <w:rsid w:val="00C028C0"/>
    <w:rsid w:val="00C045A6"/>
    <w:rsid w:val="00C04CCD"/>
    <w:rsid w:val="00C05FC8"/>
    <w:rsid w:val="00C0795F"/>
    <w:rsid w:val="00C10F1D"/>
    <w:rsid w:val="00C12310"/>
    <w:rsid w:val="00C12479"/>
    <w:rsid w:val="00C13F09"/>
    <w:rsid w:val="00C14571"/>
    <w:rsid w:val="00C14AF1"/>
    <w:rsid w:val="00C15246"/>
    <w:rsid w:val="00C1558D"/>
    <w:rsid w:val="00C15631"/>
    <w:rsid w:val="00C16FF6"/>
    <w:rsid w:val="00C17C97"/>
    <w:rsid w:val="00C20A4A"/>
    <w:rsid w:val="00C20B5E"/>
    <w:rsid w:val="00C22F26"/>
    <w:rsid w:val="00C247A0"/>
    <w:rsid w:val="00C25709"/>
    <w:rsid w:val="00C25FE6"/>
    <w:rsid w:val="00C30D5E"/>
    <w:rsid w:val="00C31679"/>
    <w:rsid w:val="00C32737"/>
    <w:rsid w:val="00C3531E"/>
    <w:rsid w:val="00C3546F"/>
    <w:rsid w:val="00C354BA"/>
    <w:rsid w:val="00C36A65"/>
    <w:rsid w:val="00C36C92"/>
    <w:rsid w:val="00C41EB7"/>
    <w:rsid w:val="00C4265C"/>
    <w:rsid w:val="00C435B3"/>
    <w:rsid w:val="00C44271"/>
    <w:rsid w:val="00C458F4"/>
    <w:rsid w:val="00C46298"/>
    <w:rsid w:val="00C4666B"/>
    <w:rsid w:val="00C4724C"/>
    <w:rsid w:val="00C4749B"/>
    <w:rsid w:val="00C51C35"/>
    <w:rsid w:val="00C532E7"/>
    <w:rsid w:val="00C54145"/>
    <w:rsid w:val="00C56BAE"/>
    <w:rsid w:val="00C61785"/>
    <w:rsid w:val="00C62A44"/>
    <w:rsid w:val="00C6373F"/>
    <w:rsid w:val="00C63B74"/>
    <w:rsid w:val="00C6402D"/>
    <w:rsid w:val="00C65287"/>
    <w:rsid w:val="00C70D8E"/>
    <w:rsid w:val="00C71686"/>
    <w:rsid w:val="00C71966"/>
    <w:rsid w:val="00C74A80"/>
    <w:rsid w:val="00C75469"/>
    <w:rsid w:val="00C765D6"/>
    <w:rsid w:val="00C766A7"/>
    <w:rsid w:val="00C77170"/>
    <w:rsid w:val="00C771A1"/>
    <w:rsid w:val="00C77A19"/>
    <w:rsid w:val="00C77F5A"/>
    <w:rsid w:val="00C802B2"/>
    <w:rsid w:val="00C803B3"/>
    <w:rsid w:val="00C8066C"/>
    <w:rsid w:val="00C80D46"/>
    <w:rsid w:val="00C814AB"/>
    <w:rsid w:val="00C82D1E"/>
    <w:rsid w:val="00C85756"/>
    <w:rsid w:val="00C85C8A"/>
    <w:rsid w:val="00C85E61"/>
    <w:rsid w:val="00C86499"/>
    <w:rsid w:val="00C87181"/>
    <w:rsid w:val="00C900BA"/>
    <w:rsid w:val="00C91BCC"/>
    <w:rsid w:val="00C91D22"/>
    <w:rsid w:val="00C9219B"/>
    <w:rsid w:val="00C9264D"/>
    <w:rsid w:val="00C93CC4"/>
    <w:rsid w:val="00C955AD"/>
    <w:rsid w:val="00C95937"/>
    <w:rsid w:val="00C9613F"/>
    <w:rsid w:val="00CA1DBC"/>
    <w:rsid w:val="00CA2659"/>
    <w:rsid w:val="00CA3ACF"/>
    <w:rsid w:val="00CA5CE5"/>
    <w:rsid w:val="00CA73A0"/>
    <w:rsid w:val="00CA7BE6"/>
    <w:rsid w:val="00CB04A0"/>
    <w:rsid w:val="00CB12B4"/>
    <w:rsid w:val="00CB1325"/>
    <w:rsid w:val="00CB1A8E"/>
    <w:rsid w:val="00CB25CD"/>
    <w:rsid w:val="00CB2FD3"/>
    <w:rsid w:val="00CB4D53"/>
    <w:rsid w:val="00CB5611"/>
    <w:rsid w:val="00CC0CE5"/>
    <w:rsid w:val="00CC1A42"/>
    <w:rsid w:val="00CC4167"/>
    <w:rsid w:val="00CC4EF2"/>
    <w:rsid w:val="00CD02EF"/>
    <w:rsid w:val="00CD4746"/>
    <w:rsid w:val="00CD60EA"/>
    <w:rsid w:val="00CD7982"/>
    <w:rsid w:val="00CE003D"/>
    <w:rsid w:val="00CE128E"/>
    <w:rsid w:val="00CE72C8"/>
    <w:rsid w:val="00CE778A"/>
    <w:rsid w:val="00CE778F"/>
    <w:rsid w:val="00CE7851"/>
    <w:rsid w:val="00CE7BE8"/>
    <w:rsid w:val="00CF332C"/>
    <w:rsid w:val="00CF3BDB"/>
    <w:rsid w:val="00CF7804"/>
    <w:rsid w:val="00D00276"/>
    <w:rsid w:val="00D02841"/>
    <w:rsid w:val="00D02A42"/>
    <w:rsid w:val="00D02BD3"/>
    <w:rsid w:val="00D034F8"/>
    <w:rsid w:val="00D0352C"/>
    <w:rsid w:val="00D05968"/>
    <w:rsid w:val="00D05B9A"/>
    <w:rsid w:val="00D05E0A"/>
    <w:rsid w:val="00D063AC"/>
    <w:rsid w:val="00D07650"/>
    <w:rsid w:val="00D10550"/>
    <w:rsid w:val="00D105B2"/>
    <w:rsid w:val="00D106C5"/>
    <w:rsid w:val="00D130A2"/>
    <w:rsid w:val="00D14EFC"/>
    <w:rsid w:val="00D20D9C"/>
    <w:rsid w:val="00D2161D"/>
    <w:rsid w:val="00D21A5D"/>
    <w:rsid w:val="00D2242B"/>
    <w:rsid w:val="00D239EF"/>
    <w:rsid w:val="00D25E25"/>
    <w:rsid w:val="00D26371"/>
    <w:rsid w:val="00D3011A"/>
    <w:rsid w:val="00D31241"/>
    <w:rsid w:val="00D32470"/>
    <w:rsid w:val="00D33447"/>
    <w:rsid w:val="00D4077F"/>
    <w:rsid w:val="00D40855"/>
    <w:rsid w:val="00D41849"/>
    <w:rsid w:val="00D42E1A"/>
    <w:rsid w:val="00D42F89"/>
    <w:rsid w:val="00D44CCC"/>
    <w:rsid w:val="00D45571"/>
    <w:rsid w:val="00D466D6"/>
    <w:rsid w:val="00D46A38"/>
    <w:rsid w:val="00D47B05"/>
    <w:rsid w:val="00D50851"/>
    <w:rsid w:val="00D508C4"/>
    <w:rsid w:val="00D51A1F"/>
    <w:rsid w:val="00D52713"/>
    <w:rsid w:val="00D52BA2"/>
    <w:rsid w:val="00D53087"/>
    <w:rsid w:val="00D57050"/>
    <w:rsid w:val="00D57AD9"/>
    <w:rsid w:val="00D6105C"/>
    <w:rsid w:val="00D62449"/>
    <w:rsid w:val="00D63A98"/>
    <w:rsid w:val="00D63FF2"/>
    <w:rsid w:val="00D65DBD"/>
    <w:rsid w:val="00D66BDD"/>
    <w:rsid w:val="00D66E3B"/>
    <w:rsid w:val="00D67C0A"/>
    <w:rsid w:val="00D70F3C"/>
    <w:rsid w:val="00D7281B"/>
    <w:rsid w:val="00D739DA"/>
    <w:rsid w:val="00D74005"/>
    <w:rsid w:val="00D7477D"/>
    <w:rsid w:val="00D74DE4"/>
    <w:rsid w:val="00D7557C"/>
    <w:rsid w:val="00D76161"/>
    <w:rsid w:val="00D7689D"/>
    <w:rsid w:val="00D77FCF"/>
    <w:rsid w:val="00D80269"/>
    <w:rsid w:val="00D80277"/>
    <w:rsid w:val="00D815AC"/>
    <w:rsid w:val="00D84CC7"/>
    <w:rsid w:val="00D85CA0"/>
    <w:rsid w:val="00D85F3E"/>
    <w:rsid w:val="00D862EF"/>
    <w:rsid w:val="00D86A0E"/>
    <w:rsid w:val="00D87A22"/>
    <w:rsid w:val="00D901B8"/>
    <w:rsid w:val="00D92B7D"/>
    <w:rsid w:val="00D938C5"/>
    <w:rsid w:val="00D95045"/>
    <w:rsid w:val="00D97416"/>
    <w:rsid w:val="00DA029A"/>
    <w:rsid w:val="00DA081A"/>
    <w:rsid w:val="00DA1525"/>
    <w:rsid w:val="00DA486C"/>
    <w:rsid w:val="00DA496B"/>
    <w:rsid w:val="00DA4A75"/>
    <w:rsid w:val="00DA5FAD"/>
    <w:rsid w:val="00DA6210"/>
    <w:rsid w:val="00DA6498"/>
    <w:rsid w:val="00DA6A74"/>
    <w:rsid w:val="00DA7142"/>
    <w:rsid w:val="00DB0D8A"/>
    <w:rsid w:val="00DB1AE4"/>
    <w:rsid w:val="00DB3B09"/>
    <w:rsid w:val="00DB3FB2"/>
    <w:rsid w:val="00DB57CA"/>
    <w:rsid w:val="00DC10CB"/>
    <w:rsid w:val="00DC1BA1"/>
    <w:rsid w:val="00DC2079"/>
    <w:rsid w:val="00DC36A7"/>
    <w:rsid w:val="00DC3DC3"/>
    <w:rsid w:val="00DC405D"/>
    <w:rsid w:val="00DC5F74"/>
    <w:rsid w:val="00DD0C3F"/>
    <w:rsid w:val="00DD21D5"/>
    <w:rsid w:val="00DD3141"/>
    <w:rsid w:val="00DD5401"/>
    <w:rsid w:val="00DD578D"/>
    <w:rsid w:val="00DE0084"/>
    <w:rsid w:val="00DE0197"/>
    <w:rsid w:val="00DE13F4"/>
    <w:rsid w:val="00DE15D2"/>
    <w:rsid w:val="00DE19BD"/>
    <w:rsid w:val="00DE40C9"/>
    <w:rsid w:val="00DE4A6F"/>
    <w:rsid w:val="00DE4AB0"/>
    <w:rsid w:val="00DE5C2C"/>
    <w:rsid w:val="00DF2C3A"/>
    <w:rsid w:val="00DF2E11"/>
    <w:rsid w:val="00DF3CC5"/>
    <w:rsid w:val="00DF56F4"/>
    <w:rsid w:val="00DF58E9"/>
    <w:rsid w:val="00DF74D2"/>
    <w:rsid w:val="00E073DA"/>
    <w:rsid w:val="00E1009E"/>
    <w:rsid w:val="00E10E3C"/>
    <w:rsid w:val="00E1178A"/>
    <w:rsid w:val="00E128CA"/>
    <w:rsid w:val="00E1487B"/>
    <w:rsid w:val="00E14C69"/>
    <w:rsid w:val="00E1576E"/>
    <w:rsid w:val="00E172E6"/>
    <w:rsid w:val="00E20107"/>
    <w:rsid w:val="00E21992"/>
    <w:rsid w:val="00E23B8F"/>
    <w:rsid w:val="00E2507F"/>
    <w:rsid w:val="00E26B38"/>
    <w:rsid w:val="00E27704"/>
    <w:rsid w:val="00E35C6B"/>
    <w:rsid w:val="00E370A6"/>
    <w:rsid w:val="00E37282"/>
    <w:rsid w:val="00E40BD8"/>
    <w:rsid w:val="00E42720"/>
    <w:rsid w:val="00E429D0"/>
    <w:rsid w:val="00E45BF1"/>
    <w:rsid w:val="00E46076"/>
    <w:rsid w:val="00E47B0E"/>
    <w:rsid w:val="00E47EC7"/>
    <w:rsid w:val="00E529D0"/>
    <w:rsid w:val="00E5688C"/>
    <w:rsid w:val="00E6084F"/>
    <w:rsid w:val="00E63543"/>
    <w:rsid w:val="00E658BB"/>
    <w:rsid w:val="00E65AE9"/>
    <w:rsid w:val="00E67785"/>
    <w:rsid w:val="00E708D0"/>
    <w:rsid w:val="00E70AC7"/>
    <w:rsid w:val="00E70FFA"/>
    <w:rsid w:val="00E71A26"/>
    <w:rsid w:val="00E71DD9"/>
    <w:rsid w:val="00E724D7"/>
    <w:rsid w:val="00E72812"/>
    <w:rsid w:val="00E729A1"/>
    <w:rsid w:val="00E72CBA"/>
    <w:rsid w:val="00E735F2"/>
    <w:rsid w:val="00E73A56"/>
    <w:rsid w:val="00E73C35"/>
    <w:rsid w:val="00E73DBE"/>
    <w:rsid w:val="00E7443C"/>
    <w:rsid w:val="00E77566"/>
    <w:rsid w:val="00E80313"/>
    <w:rsid w:val="00E82803"/>
    <w:rsid w:val="00E82D2F"/>
    <w:rsid w:val="00E82DA9"/>
    <w:rsid w:val="00E846DD"/>
    <w:rsid w:val="00E84FE8"/>
    <w:rsid w:val="00E86B2B"/>
    <w:rsid w:val="00E876C5"/>
    <w:rsid w:val="00E90758"/>
    <w:rsid w:val="00E93BAE"/>
    <w:rsid w:val="00E94513"/>
    <w:rsid w:val="00E94970"/>
    <w:rsid w:val="00E95406"/>
    <w:rsid w:val="00E9689A"/>
    <w:rsid w:val="00E9693E"/>
    <w:rsid w:val="00E971B7"/>
    <w:rsid w:val="00E97B19"/>
    <w:rsid w:val="00EA1416"/>
    <w:rsid w:val="00EA1A9E"/>
    <w:rsid w:val="00EA3A06"/>
    <w:rsid w:val="00EA42C2"/>
    <w:rsid w:val="00EA4CCD"/>
    <w:rsid w:val="00EA55A3"/>
    <w:rsid w:val="00EB0766"/>
    <w:rsid w:val="00EB0DA6"/>
    <w:rsid w:val="00EB1FB2"/>
    <w:rsid w:val="00EB22E9"/>
    <w:rsid w:val="00EB2673"/>
    <w:rsid w:val="00EB35E4"/>
    <w:rsid w:val="00EB3C90"/>
    <w:rsid w:val="00EB4492"/>
    <w:rsid w:val="00EB4C4F"/>
    <w:rsid w:val="00EB5BC2"/>
    <w:rsid w:val="00EB63D0"/>
    <w:rsid w:val="00EC09E8"/>
    <w:rsid w:val="00EC554B"/>
    <w:rsid w:val="00EC5697"/>
    <w:rsid w:val="00EC56BB"/>
    <w:rsid w:val="00EC5BAE"/>
    <w:rsid w:val="00EC6505"/>
    <w:rsid w:val="00EC7175"/>
    <w:rsid w:val="00ED10FB"/>
    <w:rsid w:val="00ED21A3"/>
    <w:rsid w:val="00ED6E23"/>
    <w:rsid w:val="00EE039E"/>
    <w:rsid w:val="00EE2A1F"/>
    <w:rsid w:val="00EE6416"/>
    <w:rsid w:val="00EF1F64"/>
    <w:rsid w:val="00EF2185"/>
    <w:rsid w:val="00EF2DC4"/>
    <w:rsid w:val="00EF3F8C"/>
    <w:rsid w:val="00EF4042"/>
    <w:rsid w:val="00EF470E"/>
    <w:rsid w:val="00EF5CF0"/>
    <w:rsid w:val="00EF65D3"/>
    <w:rsid w:val="00F022B6"/>
    <w:rsid w:val="00F03969"/>
    <w:rsid w:val="00F045C0"/>
    <w:rsid w:val="00F0474B"/>
    <w:rsid w:val="00F04BE9"/>
    <w:rsid w:val="00F069D1"/>
    <w:rsid w:val="00F07026"/>
    <w:rsid w:val="00F0718B"/>
    <w:rsid w:val="00F102A8"/>
    <w:rsid w:val="00F105E5"/>
    <w:rsid w:val="00F10BAF"/>
    <w:rsid w:val="00F10C65"/>
    <w:rsid w:val="00F12259"/>
    <w:rsid w:val="00F127E6"/>
    <w:rsid w:val="00F173BB"/>
    <w:rsid w:val="00F22AA5"/>
    <w:rsid w:val="00F24939"/>
    <w:rsid w:val="00F25373"/>
    <w:rsid w:val="00F27347"/>
    <w:rsid w:val="00F30654"/>
    <w:rsid w:val="00F31517"/>
    <w:rsid w:val="00F31DE5"/>
    <w:rsid w:val="00F3420D"/>
    <w:rsid w:val="00F34960"/>
    <w:rsid w:val="00F34E80"/>
    <w:rsid w:val="00F37F01"/>
    <w:rsid w:val="00F37F2B"/>
    <w:rsid w:val="00F41479"/>
    <w:rsid w:val="00F44420"/>
    <w:rsid w:val="00F44CCA"/>
    <w:rsid w:val="00F45525"/>
    <w:rsid w:val="00F4662A"/>
    <w:rsid w:val="00F47AB2"/>
    <w:rsid w:val="00F53E46"/>
    <w:rsid w:val="00F578FA"/>
    <w:rsid w:val="00F60129"/>
    <w:rsid w:val="00F608CF"/>
    <w:rsid w:val="00F624C9"/>
    <w:rsid w:val="00F626E5"/>
    <w:rsid w:val="00F633DC"/>
    <w:rsid w:val="00F636C7"/>
    <w:rsid w:val="00F637AA"/>
    <w:rsid w:val="00F6504B"/>
    <w:rsid w:val="00F678B4"/>
    <w:rsid w:val="00F67F28"/>
    <w:rsid w:val="00F71C71"/>
    <w:rsid w:val="00F72C6C"/>
    <w:rsid w:val="00F72D9A"/>
    <w:rsid w:val="00F73B56"/>
    <w:rsid w:val="00F7431A"/>
    <w:rsid w:val="00F746A8"/>
    <w:rsid w:val="00F74FC8"/>
    <w:rsid w:val="00F751FD"/>
    <w:rsid w:val="00F75CC6"/>
    <w:rsid w:val="00F7620D"/>
    <w:rsid w:val="00F77556"/>
    <w:rsid w:val="00F84661"/>
    <w:rsid w:val="00F85231"/>
    <w:rsid w:val="00F858F1"/>
    <w:rsid w:val="00F85DB1"/>
    <w:rsid w:val="00F93F32"/>
    <w:rsid w:val="00F9465C"/>
    <w:rsid w:val="00F95345"/>
    <w:rsid w:val="00F95A0E"/>
    <w:rsid w:val="00F95B12"/>
    <w:rsid w:val="00F95C90"/>
    <w:rsid w:val="00F96396"/>
    <w:rsid w:val="00F97494"/>
    <w:rsid w:val="00F97EE1"/>
    <w:rsid w:val="00FA18E8"/>
    <w:rsid w:val="00FA4BFC"/>
    <w:rsid w:val="00FB2ACB"/>
    <w:rsid w:val="00FB3214"/>
    <w:rsid w:val="00FB5102"/>
    <w:rsid w:val="00FB5334"/>
    <w:rsid w:val="00FB6CCD"/>
    <w:rsid w:val="00FB72E4"/>
    <w:rsid w:val="00FB7C11"/>
    <w:rsid w:val="00FC13EB"/>
    <w:rsid w:val="00FC29D3"/>
    <w:rsid w:val="00FC4C0F"/>
    <w:rsid w:val="00FC55C1"/>
    <w:rsid w:val="00FC722A"/>
    <w:rsid w:val="00FD2F99"/>
    <w:rsid w:val="00FD4EB6"/>
    <w:rsid w:val="00FD4F1B"/>
    <w:rsid w:val="00FD7591"/>
    <w:rsid w:val="00FD79EE"/>
    <w:rsid w:val="00FE49A5"/>
    <w:rsid w:val="00FE6654"/>
    <w:rsid w:val="00FE6675"/>
    <w:rsid w:val="00FE6C52"/>
    <w:rsid w:val="00FE6F09"/>
    <w:rsid w:val="00FF04FF"/>
    <w:rsid w:val="00FF251D"/>
    <w:rsid w:val="00FF2B91"/>
    <w:rsid w:val="00FF32B9"/>
    <w:rsid w:val="00FF3B89"/>
    <w:rsid w:val="00FF47B8"/>
    <w:rsid w:val="00FF5D5C"/>
    <w:rsid w:val="00FF6EBB"/>
    <w:rsid w:val="00FF771C"/>
  </w:rsids>
  <m:mathPr>
    <m:mathFont m:val="Cambria Math"/>
    <m:brkBin m:val="before"/>
    <m:brkBinSub m:val="--"/>
    <m:smallFrac m:val="off"/>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48"/>
  </w:style>
  <w:style w:type="paragraph" w:styleId="Heading1">
    <w:name w:val="heading 1"/>
    <w:basedOn w:val="Normal"/>
    <w:next w:val="Normal"/>
    <w:link w:val="Heading1Char"/>
    <w:uiPriority w:val="9"/>
    <w:qFormat/>
    <w:rsid w:val="00664DE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42A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3C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24D0D"/>
  </w:style>
  <w:style w:type="character" w:customStyle="1" w:styleId="FootnoteTextChar">
    <w:name w:val="Footnote Text Char"/>
    <w:basedOn w:val="DefaultParagraphFont"/>
    <w:link w:val="FootnoteText"/>
    <w:uiPriority w:val="99"/>
    <w:rsid w:val="00324D0D"/>
  </w:style>
  <w:style w:type="character" w:styleId="FootnoteReference">
    <w:name w:val="footnote reference"/>
    <w:basedOn w:val="DefaultParagraphFont"/>
    <w:uiPriority w:val="99"/>
    <w:unhideWhenUsed/>
    <w:rsid w:val="00324D0D"/>
    <w:rPr>
      <w:vertAlign w:val="superscript"/>
    </w:rPr>
  </w:style>
  <w:style w:type="paragraph" w:styleId="ListParagraph">
    <w:name w:val="List Paragraph"/>
    <w:basedOn w:val="Normal"/>
    <w:uiPriority w:val="34"/>
    <w:qFormat/>
    <w:rsid w:val="00521205"/>
    <w:pPr>
      <w:ind w:left="720"/>
      <w:contextualSpacing/>
    </w:pPr>
  </w:style>
  <w:style w:type="character" w:customStyle="1" w:styleId="Heading1Char">
    <w:name w:val="Heading 1 Char"/>
    <w:basedOn w:val="DefaultParagraphFont"/>
    <w:link w:val="Heading1"/>
    <w:uiPriority w:val="9"/>
    <w:rsid w:val="00664DE9"/>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664DE9"/>
    <w:pPr>
      <w:tabs>
        <w:tab w:val="center" w:pos="4320"/>
        <w:tab w:val="right" w:pos="8640"/>
      </w:tabs>
    </w:pPr>
  </w:style>
  <w:style w:type="character" w:customStyle="1" w:styleId="FooterChar">
    <w:name w:val="Footer Char"/>
    <w:basedOn w:val="DefaultParagraphFont"/>
    <w:link w:val="Footer"/>
    <w:uiPriority w:val="99"/>
    <w:rsid w:val="00664DE9"/>
  </w:style>
  <w:style w:type="character" w:styleId="PageNumber">
    <w:name w:val="page number"/>
    <w:basedOn w:val="DefaultParagraphFont"/>
    <w:uiPriority w:val="99"/>
    <w:semiHidden/>
    <w:unhideWhenUsed/>
    <w:rsid w:val="00664DE9"/>
  </w:style>
  <w:style w:type="paragraph" w:styleId="TOCHeading">
    <w:name w:val="TOC Heading"/>
    <w:basedOn w:val="Heading1"/>
    <w:next w:val="Normal"/>
    <w:uiPriority w:val="39"/>
    <w:unhideWhenUsed/>
    <w:qFormat/>
    <w:rsid w:val="00664DE9"/>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1602C9"/>
    <w:pPr>
      <w:tabs>
        <w:tab w:val="right" w:pos="8290"/>
      </w:tabs>
      <w:spacing w:before="240" w:after="120"/>
    </w:pPr>
    <w:rPr>
      <w:rFonts w:asciiTheme="minorHAnsi" w:hAnsiTheme="minorHAnsi"/>
      <w:b/>
      <w:caps/>
      <w:noProof/>
      <w:sz w:val="22"/>
      <w:szCs w:val="22"/>
    </w:rPr>
  </w:style>
  <w:style w:type="paragraph" w:styleId="BalloonText">
    <w:name w:val="Balloon Text"/>
    <w:basedOn w:val="Normal"/>
    <w:link w:val="BalloonTextChar"/>
    <w:uiPriority w:val="99"/>
    <w:semiHidden/>
    <w:unhideWhenUsed/>
    <w:rsid w:val="00664D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DE9"/>
    <w:rPr>
      <w:rFonts w:ascii="Lucida Grande" w:hAnsi="Lucida Grande" w:cs="Lucida Grande"/>
      <w:sz w:val="18"/>
      <w:szCs w:val="18"/>
    </w:rPr>
  </w:style>
  <w:style w:type="paragraph" w:styleId="TOC2">
    <w:name w:val="toc 2"/>
    <w:basedOn w:val="Normal"/>
    <w:next w:val="Normal"/>
    <w:autoRedefine/>
    <w:uiPriority w:val="39"/>
    <w:unhideWhenUsed/>
    <w:rsid w:val="00664DE9"/>
    <w:rPr>
      <w:rFonts w:asciiTheme="minorHAnsi" w:hAnsiTheme="minorHAnsi"/>
      <w:b/>
      <w:smallCaps/>
      <w:sz w:val="22"/>
      <w:szCs w:val="22"/>
    </w:rPr>
  </w:style>
  <w:style w:type="paragraph" w:styleId="TOC3">
    <w:name w:val="toc 3"/>
    <w:basedOn w:val="Normal"/>
    <w:next w:val="Normal"/>
    <w:autoRedefine/>
    <w:uiPriority w:val="39"/>
    <w:unhideWhenUsed/>
    <w:rsid w:val="00664DE9"/>
    <w:rPr>
      <w:rFonts w:asciiTheme="minorHAnsi" w:hAnsiTheme="minorHAnsi"/>
      <w:smallCaps/>
      <w:sz w:val="22"/>
      <w:szCs w:val="22"/>
    </w:rPr>
  </w:style>
  <w:style w:type="paragraph" w:styleId="TOC4">
    <w:name w:val="toc 4"/>
    <w:basedOn w:val="Normal"/>
    <w:next w:val="Normal"/>
    <w:autoRedefine/>
    <w:uiPriority w:val="39"/>
    <w:semiHidden/>
    <w:unhideWhenUsed/>
    <w:rsid w:val="00664DE9"/>
    <w:rPr>
      <w:rFonts w:asciiTheme="minorHAnsi" w:hAnsiTheme="minorHAnsi"/>
      <w:sz w:val="22"/>
      <w:szCs w:val="22"/>
    </w:rPr>
  </w:style>
  <w:style w:type="paragraph" w:styleId="TOC5">
    <w:name w:val="toc 5"/>
    <w:basedOn w:val="Normal"/>
    <w:next w:val="Normal"/>
    <w:autoRedefine/>
    <w:uiPriority w:val="39"/>
    <w:semiHidden/>
    <w:unhideWhenUsed/>
    <w:rsid w:val="00664DE9"/>
    <w:rPr>
      <w:rFonts w:asciiTheme="minorHAnsi" w:hAnsiTheme="minorHAnsi"/>
      <w:sz w:val="22"/>
      <w:szCs w:val="22"/>
    </w:rPr>
  </w:style>
  <w:style w:type="paragraph" w:styleId="TOC6">
    <w:name w:val="toc 6"/>
    <w:basedOn w:val="Normal"/>
    <w:next w:val="Normal"/>
    <w:autoRedefine/>
    <w:uiPriority w:val="39"/>
    <w:semiHidden/>
    <w:unhideWhenUsed/>
    <w:rsid w:val="00664DE9"/>
    <w:rPr>
      <w:rFonts w:asciiTheme="minorHAnsi" w:hAnsiTheme="minorHAnsi"/>
      <w:sz w:val="22"/>
      <w:szCs w:val="22"/>
    </w:rPr>
  </w:style>
  <w:style w:type="paragraph" w:styleId="TOC7">
    <w:name w:val="toc 7"/>
    <w:basedOn w:val="Normal"/>
    <w:next w:val="Normal"/>
    <w:autoRedefine/>
    <w:uiPriority w:val="39"/>
    <w:semiHidden/>
    <w:unhideWhenUsed/>
    <w:rsid w:val="00664DE9"/>
    <w:rPr>
      <w:rFonts w:asciiTheme="minorHAnsi" w:hAnsiTheme="minorHAnsi"/>
      <w:sz w:val="22"/>
      <w:szCs w:val="22"/>
    </w:rPr>
  </w:style>
  <w:style w:type="paragraph" w:styleId="TOC8">
    <w:name w:val="toc 8"/>
    <w:basedOn w:val="Normal"/>
    <w:next w:val="Normal"/>
    <w:autoRedefine/>
    <w:uiPriority w:val="39"/>
    <w:semiHidden/>
    <w:unhideWhenUsed/>
    <w:rsid w:val="00664DE9"/>
    <w:rPr>
      <w:rFonts w:asciiTheme="minorHAnsi" w:hAnsiTheme="minorHAnsi"/>
      <w:sz w:val="22"/>
      <w:szCs w:val="22"/>
    </w:rPr>
  </w:style>
  <w:style w:type="paragraph" w:styleId="TOC9">
    <w:name w:val="toc 9"/>
    <w:basedOn w:val="Normal"/>
    <w:next w:val="Normal"/>
    <w:autoRedefine/>
    <w:uiPriority w:val="39"/>
    <w:semiHidden/>
    <w:unhideWhenUsed/>
    <w:rsid w:val="00664DE9"/>
    <w:rPr>
      <w:rFonts w:asciiTheme="minorHAnsi" w:hAnsiTheme="minorHAnsi"/>
      <w:sz w:val="22"/>
      <w:szCs w:val="22"/>
    </w:rPr>
  </w:style>
  <w:style w:type="character" w:customStyle="1" w:styleId="Heading2Char">
    <w:name w:val="Heading 2 Char"/>
    <w:basedOn w:val="DefaultParagraphFont"/>
    <w:link w:val="Heading2"/>
    <w:uiPriority w:val="9"/>
    <w:rsid w:val="00442A0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03CF6"/>
    <w:rPr>
      <w:color w:val="0000FF" w:themeColor="hyperlink"/>
      <w:u w:val="single"/>
    </w:rPr>
  </w:style>
  <w:style w:type="character" w:customStyle="1" w:styleId="apple-converted-space">
    <w:name w:val="apple-converted-space"/>
    <w:basedOn w:val="DefaultParagraphFont"/>
    <w:uiPriority w:val="99"/>
    <w:rsid w:val="00403CF6"/>
  </w:style>
  <w:style w:type="character" w:styleId="Emphasis">
    <w:name w:val="Emphasis"/>
    <w:basedOn w:val="DefaultParagraphFont"/>
    <w:uiPriority w:val="99"/>
    <w:qFormat/>
    <w:rsid w:val="00403CF6"/>
    <w:rPr>
      <w:i/>
      <w:iCs/>
    </w:rPr>
  </w:style>
  <w:style w:type="character" w:customStyle="1" w:styleId="Heading3Char">
    <w:name w:val="Heading 3 Char"/>
    <w:basedOn w:val="DefaultParagraphFont"/>
    <w:link w:val="Heading3"/>
    <w:uiPriority w:val="9"/>
    <w:rsid w:val="00403CF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E19B5"/>
    <w:pPr>
      <w:tabs>
        <w:tab w:val="center" w:pos="4320"/>
        <w:tab w:val="right" w:pos="8640"/>
      </w:tabs>
    </w:pPr>
  </w:style>
  <w:style w:type="character" w:customStyle="1" w:styleId="HeaderChar">
    <w:name w:val="Header Char"/>
    <w:basedOn w:val="DefaultParagraphFont"/>
    <w:link w:val="Header"/>
    <w:uiPriority w:val="99"/>
    <w:rsid w:val="005E19B5"/>
  </w:style>
  <w:style w:type="character" w:styleId="FollowedHyperlink">
    <w:name w:val="FollowedHyperlink"/>
    <w:basedOn w:val="DefaultParagraphFont"/>
    <w:uiPriority w:val="99"/>
    <w:semiHidden/>
    <w:unhideWhenUsed/>
    <w:rsid w:val="00BD363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DE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42A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3C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24D0D"/>
  </w:style>
  <w:style w:type="character" w:customStyle="1" w:styleId="FootnoteTextChar">
    <w:name w:val="Footnote Text Char"/>
    <w:basedOn w:val="DefaultParagraphFont"/>
    <w:link w:val="FootnoteText"/>
    <w:uiPriority w:val="99"/>
    <w:rsid w:val="00324D0D"/>
  </w:style>
  <w:style w:type="character" w:styleId="FootnoteReference">
    <w:name w:val="footnote reference"/>
    <w:basedOn w:val="DefaultParagraphFont"/>
    <w:uiPriority w:val="99"/>
    <w:unhideWhenUsed/>
    <w:rsid w:val="00324D0D"/>
    <w:rPr>
      <w:vertAlign w:val="superscript"/>
    </w:rPr>
  </w:style>
  <w:style w:type="paragraph" w:styleId="ListParagraph">
    <w:name w:val="List Paragraph"/>
    <w:basedOn w:val="Normal"/>
    <w:uiPriority w:val="34"/>
    <w:qFormat/>
    <w:rsid w:val="00521205"/>
    <w:pPr>
      <w:ind w:left="720"/>
      <w:contextualSpacing/>
    </w:pPr>
  </w:style>
  <w:style w:type="character" w:customStyle="1" w:styleId="Heading1Char">
    <w:name w:val="Heading 1 Char"/>
    <w:basedOn w:val="DefaultParagraphFont"/>
    <w:link w:val="Heading1"/>
    <w:uiPriority w:val="9"/>
    <w:rsid w:val="00664DE9"/>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664DE9"/>
    <w:pPr>
      <w:tabs>
        <w:tab w:val="center" w:pos="4320"/>
        <w:tab w:val="right" w:pos="8640"/>
      </w:tabs>
    </w:pPr>
  </w:style>
  <w:style w:type="character" w:customStyle="1" w:styleId="FooterChar">
    <w:name w:val="Footer Char"/>
    <w:basedOn w:val="DefaultParagraphFont"/>
    <w:link w:val="Footer"/>
    <w:uiPriority w:val="99"/>
    <w:rsid w:val="00664DE9"/>
  </w:style>
  <w:style w:type="character" w:styleId="PageNumber">
    <w:name w:val="page number"/>
    <w:basedOn w:val="DefaultParagraphFont"/>
    <w:uiPriority w:val="99"/>
    <w:semiHidden/>
    <w:unhideWhenUsed/>
    <w:rsid w:val="00664DE9"/>
  </w:style>
  <w:style w:type="paragraph" w:styleId="TOCHeading">
    <w:name w:val="TOC Heading"/>
    <w:basedOn w:val="Heading1"/>
    <w:next w:val="Normal"/>
    <w:uiPriority w:val="39"/>
    <w:unhideWhenUsed/>
    <w:qFormat/>
    <w:rsid w:val="00664DE9"/>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1602C9"/>
    <w:pPr>
      <w:tabs>
        <w:tab w:val="right" w:pos="8290"/>
      </w:tabs>
      <w:spacing w:before="240" w:after="120"/>
    </w:pPr>
    <w:rPr>
      <w:rFonts w:asciiTheme="minorHAnsi" w:hAnsiTheme="minorHAnsi"/>
      <w:b/>
      <w:caps/>
      <w:noProof/>
      <w:sz w:val="22"/>
      <w:szCs w:val="22"/>
    </w:rPr>
  </w:style>
  <w:style w:type="paragraph" w:styleId="BalloonText">
    <w:name w:val="Balloon Text"/>
    <w:basedOn w:val="Normal"/>
    <w:link w:val="BalloonTextChar"/>
    <w:uiPriority w:val="99"/>
    <w:semiHidden/>
    <w:unhideWhenUsed/>
    <w:rsid w:val="00664D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DE9"/>
    <w:rPr>
      <w:rFonts w:ascii="Lucida Grande" w:hAnsi="Lucida Grande" w:cs="Lucida Grande"/>
      <w:sz w:val="18"/>
      <w:szCs w:val="18"/>
    </w:rPr>
  </w:style>
  <w:style w:type="paragraph" w:styleId="TOC2">
    <w:name w:val="toc 2"/>
    <w:basedOn w:val="Normal"/>
    <w:next w:val="Normal"/>
    <w:autoRedefine/>
    <w:uiPriority w:val="39"/>
    <w:unhideWhenUsed/>
    <w:rsid w:val="00664DE9"/>
    <w:rPr>
      <w:rFonts w:asciiTheme="minorHAnsi" w:hAnsiTheme="minorHAnsi"/>
      <w:b/>
      <w:smallCaps/>
      <w:sz w:val="22"/>
      <w:szCs w:val="22"/>
    </w:rPr>
  </w:style>
  <w:style w:type="paragraph" w:styleId="TOC3">
    <w:name w:val="toc 3"/>
    <w:basedOn w:val="Normal"/>
    <w:next w:val="Normal"/>
    <w:autoRedefine/>
    <w:uiPriority w:val="39"/>
    <w:unhideWhenUsed/>
    <w:rsid w:val="00664DE9"/>
    <w:rPr>
      <w:rFonts w:asciiTheme="minorHAnsi" w:hAnsiTheme="minorHAnsi"/>
      <w:smallCaps/>
      <w:sz w:val="22"/>
      <w:szCs w:val="22"/>
    </w:rPr>
  </w:style>
  <w:style w:type="paragraph" w:styleId="TOC4">
    <w:name w:val="toc 4"/>
    <w:basedOn w:val="Normal"/>
    <w:next w:val="Normal"/>
    <w:autoRedefine/>
    <w:uiPriority w:val="39"/>
    <w:semiHidden/>
    <w:unhideWhenUsed/>
    <w:rsid w:val="00664DE9"/>
    <w:rPr>
      <w:rFonts w:asciiTheme="minorHAnsi" w:hAnsiTheme="minorHAnsi"/>
      <w:sz w:val="22"/>
      <w:szCs w:val="22"/>
    </w:rPr>
  </w:style>
  <w:style w:type="paragraph" w:styleId="TOC5">
    <w:name w:val="toc 5"/>
    <w:basedOn w:val="Normal"/>
    <w:next w:val="Normal"/>
    <w:autoRedefine/>
    <w:uiPriority w:val="39"/>
    <w:semiHidden/>
    <w:unhideWhenUsed/>
    <w:rsid w:val="00664DE9"/>
    <w:rPr>
      <w:rFonts w:asciiTheme="minorHAnsi" w:hAnsiTheme="minorHAnsi"/>
      <w:sz w:val="22"/>
      <w:szCs w:val="22"/>
    </w:rPr>
  </w:style>
  <w:style w:type="paragraph" w:styleId="TOC6">
    <w:name w:val="toc 6"/>
    <w:basedOn w:val="Normal"/>
    <w:next w:val="Normal"/>
    <w:autoRedefine/>
    <w:uiPriority w:val="39"/>
    <w:semiHidden/>
    <w:unhideWhenUsed/>
    <w:rsid w:val="00664DE9"/>
    <w:rPr>
      <w:rFonts w:asciiTheme="minorHAnsi" w:hAnsiTheme="minorHAnsi"/>
      <w:sz w:val="22"/>
      <w:szCs w:val="22"/>
    </w:rPr>
  </w:style>
  <w:style w:type="paragraph" w:styleId="TOC7">
    <w:name w:val="toc 7"/>
    <w:basedOn w:val="Normal"/>
    <w:next w:val="Normal"/>
    <w:autoRedefine/>
    <w:uiPriority w:val="39"/>
    <w:semiHidden/>
    <w:unhideWhenUsed/>
    <w:rsid w:val="00664DE9"/>
    <w:rPr>
      <w:rFonts w:asciiTheme="minorHAnsi" w:hAnsiTheme="minorHAnsi"/>
      <w:sz w:val="22"/>
      <w:szCs w:val="22"/>
    </w:rPr>
  </w:style>
  <w:style w:type="paragraph" w:styleId="TOC8">
    <w:name w:val="toc 8"/>
    <w:basedOn w:val="Normal"/>
    <w:next w:val="Normal"/>
    <w:autoRedefine/>
    <w:uiPriority w:val="39"/>
    <w:semiHidden/>
    <w:unhideWhenUsed/>
    <w:rsid w:val="00664DE9"/>
    <w:rPr>
      <w:rFonts w:asciiTheme="minorHAnsi" w:hAnsiTheme="minorHAnsi"/>
      <w:sz w:val="22"/>
      <w:szCs w:val="22"/>
    </w:rPr>
  </w:style>
  <w:style w:type="paragraph" w:styleId="TOC9">
    <w:name w:val="toc 9"/>
    <w:basedOn w:val="Normal"/>
    <w:next w:val="Normal"/>
    <w:autoRedefine/>
    <w:uiPriority w:val="39"/>
    <w:semiHidden/>
    <w:unhideWhenUsed/>
    <w:rsid w:val="00664DE9"/>
    <w:rPr>
      <w:rFonts w:asciiTheme="minorHAnsi" w:hAnsiTheme="minorHAnsi"/>
      <w:sz w:val="22"/>
      <w:szCs w:val="22"/>
    </w:rPr>
  </w:style>
  <w:style w:type="character" w:customStyle="1" w:styleId="Heading2Char">
    <w:name w:val="Heading 2 Char"/>
    <w:basedOn w:val="DefaultParagraphFont"/>
    <w:link w:val="Heading2"/>
    <w:uiPriority w:val="9"/>
    <w:rsid w:val="00442A0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03CF6"/>
    <w:rPr>
      <w:color w:val="0000FF" w:themeColor="hyperlink"/>
      <w:u w:val="single"/>
    </w:rPr>
  </w:style>
  <w:style w:type="character" w:customStyle="1" w:styleId="apple-converted-space">
    <w:name w:val="apple-converted-space"/>
    <w:basedOn w:val="DefaultParagraphFont"/>
    <w:uiPriority w:val="99"/>
    <w:rsid w:val="00403CF6"/>
  </w:style>
  <w:style w:type="character" w:styleId="Emphasis">
    <w:name w:val="Emphasis"/>
    <w:basedOn w:val="DefaultParagraphFont"/>
    <w:uiPriority w:val="99"/>
    <w:qFormat/>
    <w:rsid w:val="00403CF6"/>
    <w:rPr>
      <w:i/>
      <w:iCs/>
    </w:rPr>
  </w:style>
  <w:style w:type="character" w:customStyle="1" w:styleId="Heading3Char">
    <w:name w:val="Heading 3 Char"/>
    <w:basedOn w:val="DefaultParagraphFont"/>
    <w:link w:val="Heading3"/>
    <w:uiPriority w:val="9"/>
    <w:rsid w:val="00403CF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E19B5"/>
    <w:pPr>
      <w:tabs>
        <w:tab w:val="center" w:pos="4320"/>
        <w:tab w:val="right" w:pos="8640"/>
      </w:tabs>
    </w:pPr>
  </w:style>
  <w:style w:type="character" w:customStyle="1" w:styleId="HeaderChar">
    <w:name w:val="Header Char"/>
    <w:basedOn w:val="DefaultParagraphFont"/>
    <w:link w:val="Header"/>
    <w:uiPriority w:val="99"/>
    <w:rsid w:val="005E19B5"/>
  </w:style>
  <w:style w:type="character" w:styleId="FollowedHyperlink">
    <w:name w:val="FollowedHyperlink"/>
    <w:basedOn w:val="DefaultParagraphFont"/>
    <w:uiPriority w:val="99"/>
    <w:semiHidden/>
    <w:unhideWhenUsed/>
    <w:rsid w:val="00BD363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6640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violence_injury_prevention/violence/status_report/2014/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eniors.gc.ca/eng/report/index.s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moneysmart.gov.a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eniors.gc.ca/eng/report/index.shtml" TargetMode="External"/><Relationship Id="rId2" Type="http://schemas.openxmlformats.org/officeDocument/2006/relationships/hyperlink" Target="https://www.fos.org.au/custom/files/docs/fos_banking_finance_bulletin_56.pdf" TargetMode="External"/><Relationship Id="rId1" Type="http://schemas.openxmlformats.org/officeDocument/2006/relationships/hyperlink" Target="http://seniorsrights.org.au/wp-content/uploads/2014/03/A4-financial-abuse-of-older-persons-small-for-websites.pdf" TargetMode="External"/><Relationship Id="rId4" Type="http://schemas.openxmlformats.org/officeDocument/2006/relationships/hyperlink" Target="http://www.who.int/violence_injury_prevention/violence/status_report/201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submission examines the role financial institutions play in the identification and management of elder financial abuse. It is concluded that the current regulatory framework operates ineffectively and does not provide adequate protection. This submission advocates a preventative approach and recommends that the development of training protocols, reporting procedures and a national awareness campaign is necessary.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0CC714-7390-4E5E-84F6-4B41B9C6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6975</Words>
  <Characters>40116</Characters>
  <Application>Microsoft Office Word</Application>
  <DocSecurity>0</DocSecurity>
  <Lines>334</Lines>
  <Paragraphs>93</Paragraphs>
  <ScaleCrop>false</ScaleCrop>
  <Company>Griffith University</Company>
  <LinksUpToDate>false</LinksUpToDate>
  <CharactersWithSpaces>46998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Illusion of Protection: Why Reform is needed to ensure the Elderly are Free from Abuse</dc:title>
  <dc:creator>Bianca Fernandez, Daniel Owen, Emma Barff, Glen Dykstra</dc:creator>
  <cp:lastModifiedBy>marie-claire.muir</cp:lastModifiedBy>
  <cp:revision>2</cp:revision>
  <dcterms:created xsi:type="dcterms:W3CDTF">2016-08-11T06:12:00Z</dcterms:created>
  <dcterms:modified xsi:type="dcterms:W3CDTF">2016-08-11T06:12:00Z</dcterms:modified>
</cp:coreProperties>
</file>