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7F" w:rsidRPr="004C05AF" w:rsidRDefault="00DE4D33">
      <w:pPr>
        <w:rPr>
          <w:rFonts w:asciiTheme="majorHAnsi" w:eastAsia="Batang" w:hAnsiTheme="majorHAnsi" w:cs="Arial"/>
        </w:rPr>
      </w:pPr>
      <w:r>
        <w:rPr>
          <w:rFonts w:asciiTheme="majorHAnsi" w:eastAsia="Batang" w:hAnsiTheme="majorHAnsi" w:cs="Arial"/>
        </w:rPr>
        <w:t xml:space="preserve">  </w:t>
      </w:r>
      <w:r w:rsidR="00215D45" w:rsidRPr="004C05AF">
        <w:rPr>
          <w:rFonts w:asciiTheme="majorHAnsi" w:eastAsia="Batang" w:hAnsiTheme="majorHAnsi" w:cs="Arial"/>
        </w:rPr>
        <w:t xml:space="preserve"> </w:t>
      </w:r>
      <w:r w:rsidR="006D34B4">
        <w:rPr>
          <w:rFonts w:asciiTheme="majorHAnsi" w:eastAsia="Batang" w:hAnsiTheme="majorHAnsi" w:cs="Arial"/>
        </w:rPr>
        <w:t xml:space="preserve"> </w:t>
      </w:r>
    </w:p>
    <w:p w:rsidR="002907D0" w:rsidRPr="004C05AF" w:rsidRDefault="002907D0">
      <w:pPr>
        <w:rPr>
          <w:rFonts w:asciiTheme="majorHAnsi" w:eastAsia="Batang" w:hAnsiTheme="majorHAnsi" w:cs="Arial"/>
        </w:rPr>
      </w:pPr>
    </w:p>
    <w:p w:rsidR="006F2174" w:rsidRPr="004C05AF" w:rsidRDefault="006F2174">
      <w:pPr>
        <w:rPr>
          <w:rFonts w:asciiTheme="majorHAnsi" w:eastAsia="Batang" w:hAnsiTheme="majorHAnsi" w:cs="Arial"/>
        </w:rPr>
      </w:pPr>
    </w:p>
    <w:p w:rsidR="006F2174" w:rsidRPr="004C05AF" w:rsidRDefault="006F2174">
      <w:pPr>
        <w:rPr>
          <w:rFonts w:asciiTheme="majorHAnsi" w:eastAsia="Batang" w:hAnsiTheme="majorHAnsi" w:cs="Arial"/>
        </w:rPr>
      </w:pPr>
    </w:p>
    <w:p w:rsidR="006F2174" w:rsidRPr="004B4CB9" w:rsidRDefault="00621D60">
      <w:pPr>
        <w:rPr>
          <w:rFonts w:asciiTheme="majorHAnsi" w:eastAsia="Batang" w:hAnsiTheme="majorHAnsi" w:cs="Arial"/>
          <w:color w:val="ED7D31" w:themeColor="accent2"/>
          <w:sz w:val="32"/>
          <w:szCs w:val="32"/>
        </w:rPr>
      </w:pPr>
      <w:r>
        <w:rPr>
          <w:rFonts w:asciiTheme="majorHAnsi" w:eastAsia="Batang" w:hAnsiTheme="majorHAnsi" w:cs="Arial"/>
          <w:color w:val="ED7D31" w:themeColor="accent2"/>
          <w:sz w:val="68"/>
          <w:szCs w:val="68"/>
        </w:rPr>
        <w:t>PROTECTING THE RIGHTS OF OLDER AUSTRALIANS FROM ABUSE</w:t>
      </w:r>
    </w:p>
    <w:p w:rsidR="006F2174" w:rsidRPr="004C05AF" w:rsidRDefault="006F2174">
      <w:pPr>
        <w:rPr>
          <w:rFonts w:asciiTheme="majorHAnsi" w:eastAsia="Batang" w:hAnsiTheme="majorHAnsi" w:cs="Arial"/>
          <w:sz w:val="32"/>
          <w:szCs w:val="32"/>
        </w:rPr>
      </w:pPr>
    </w:p>
    <w:p w:rsidR="00CF4CBA" w:rsidRPr="004B4CB9" w:rsidRDefault="001849C9">
      <w:pPr>
        <w:rPr>
          <w:rFonts w:asciiTheme="majorHAnsi" w:eastAsia="Batang" w:hAnsiTheme="majorHAnsi" w:cs="Arial"/>
          <w:sz w:val="32"/>
          <w:szCs w:val="32"/>
        </w:rPr>
      </w:pPr>
      <w:r w:rsidRPr="004B4CB9">
        <w:rPr>
          <w:rFonts w:asciiTheme="majorHAnsi" w:eastAsia="Batang" w:hAnsiTheme="majorHAnsi" w:cs="Arial"/>
          <w:sz w:val="32"/>
          <w:szCs w:val="32"/>
        </w:rPr>
        <w:t xml:space="preserve">Submission to </w:t>
      </w:r>
      <w:r w:rsidR="002907D0" w:rsidRPr="004B4CB9">
        <w:rPr>
          <w:rFonts w:asciiTheme="majorHAnsi" w:eastAsia="Batang" w:hAnsiTheme="majorHAnsi" w:cs="Arial"/>
          <w:sz w:val="32"/>
          <w:szCs w:val="32"/>
        </w:rPr>
        <w:t>the Australian Law Reform Commission</w:t>
      </w:r>
      <w:r w:rsidR="00CF4CBA" w:rsidRPr="004B4CB9">
        <w:rPr>
          <w:rFonts w:asciiTheme="majorHAnsi" w:eastAsia="Batang" w:hAnsiTheme="majorHAnsi" w:cs="Arial"/>
          <w:sz w:val="32"/>
          <w:szCs w:val="32"/>
        </w:rPr>
        <w:t xml:space="preserve"> </w:t>
      </w:r>
      <w:r w:rsidR="00EC3765">
        <w:rPr>
          <w:rFonts w:asciiTheme="majorHAnsi" w:eastAsia="Batang" w:hAnsiTheme="majorHAnsi" w:cs="Arial"/>
          <w:sz w:val="32"/>
          <w:szCs w:val="32"/>
        </w:rPr>
        <w:t>Discussion Paper</w:t>
      </w:r>
      <w:r w:rsidR="00CF4CBA" w:rsidRPr="004B4CB9">
        <w:rPr>
          <w:rFonts w:asciiTheme="majorHAnsi" w:eastAsia="Batang" w:hAnsiTheme="majorHAnsi" w:cs="Arial"/>
          <w:sz w:val="32"/>
          <w:szCs w:val="32"/>
        </w:rPr>
        <w:t xml:space="preserve"> </w:t>
      </w:r>
    </w:p>
    <w:p w:rsidR="00CF4CBA" w:rsidRPr="004B4CB9" w:rsidRDefault="00CF4CBA">
      <w:pPr>
        <w:rPr>
          <w:rFonts w:asciiTheme="majorHAnsi" w:eastAsia="Batang" w:hAnsiTheme="majorHAnsi" w:cs="Arial"/>
          <w:sz w:val="32"/>
          <w:szCs w:val="32"/>
        </w:rPr>
      </w:pPr>
    </w:p>
    <w:p w:rsidR="006F2174" w:rsidRPr="004B4CB9" w:rsidRDefault="00EC3765">
      <w:pPr>
        <w:rPr>
          <w:rFonts w:asciiTheme="majorHAnsi" w:eastAsia="Batang" w:hAnsiTheme="majorHAnsi" w:cs="Arial"/>
          <w:sz w:val="32"/>
          <w:szCs w:val="32"/>
        </w:rPr>
      </w:pPr>
      <w:r>
        <w:rPr>
          <w:rFonts w:asciiTheme="majorHAnsi" w:eastAsia="Batang" w:hAnsiTheme="majorHAnsi" w:cs="Arial"/>
          <w:sz w:val="32"/>
          <w:szCs w:val="32"/>
        </w:rPr>
        <w:t>February 2017</w:t>
      </w:r>
    </w:p>
    <w:p w:rsidR="002907D0" w:rsidRPr="004B4CB9" w:rsidRDefault="002907D0" w:rsidP="00B803DC">
      <w:pPr>
        <w:pStyle w:val="MainHeading"/>
      </w:pPr>
    </w:p>
    <w:p w:rsidR="002907D0" w:rsidRDefault="002907D0" w:rsidP="00B803DC">
      <w:pPr>
        <w:pStyle w:val="MainHeading"/>
        <w:rPr>
          <w:b w:val="0"/>
        </w:rPr>
      </w:pPr>
    </w:p>
    <w:p w:rsidR="002907D0" w:rsidRPr="004C05AF" w:rsidRDefault="002907D0" w:rsidP="00B803DC">
      <w:pPr>
        <w:pStyle w:val="MainHeading"/>
      </w:pPr>
    </w:p>
    <w:p w:rsidR="002907D0" w:rsidRPr="004C05AF" w:rsidRDefault="002907D0" w:rsidP="00B803DC">
      <w:pPr>
        <w:pStyle w:val="MainHeading"/>
      </w:pPr>
    </w:p>
    <w:p w:rsidR="002907D0" w:rsidRPr="004C05AF" w:rsidRDefault="002907D0" w:rsidP="00B803DC">
      <w:pPr>
        <w:pStyle w:val="MainHeading"/>
      </w:pPr>
    </w:p>
    <w:p w:rsidR="002907D0" w:rsidRPr="004C05AF" w:rsidRDefault="002907D0" w:rsidP="00B803DC">
      <w:pPr>
        <w:pStyle w:val="MainHeading"/>
      </w:pPr>
    </w:p>
    <w:p w:rsidR="002907D0" w:rsidRPr="004C05AF" w:rsidRDefault="002907D0" w:rsidP="00B803DC">
      <w:pPr>
        <w:pStyle w:val="MainHeading"/>
      </w:pPr>
    </w:p>
    <w:p w:rsidR="002907D0" w:rsidRPr="004C05AF" w:rsidRDefault="002907D0" w:rsidP="00B803DC">
      <w:pPr>
        <w:pStyle w:val="MainHeading"/>
      </w:pPr>
    </w:p>
    <w:p w:rsidR="002907D0" w:rsidRPr="004C05AF" w:rsidRDefault="002907D0" w:rsidP="00B803DC">
      <w:pPr>
        <w:pStyle w:val="MainHeading"/>
      </w:pPr>
    </w:p>
    <w:p w:rsidR="002907D0" w:rsidRPr="004C05AF" w:rsidRDefault="002907D0" w:rsidP="00B803DC">
      <w:pPr>
        <w:pStyle w:val="MainHeading"/>
      </w:pPr>
    </w:p>
    <w:p w:rsidR="002907D0" w:rsidRPr="004C05AF" w:rsidRDefault="002907D0" w:rsidP="00B803DC">
      <w:pPr>
        <w:pStyle w:val="MainHeading"/>
      </w:pPr>
    </w:p>
    <w:p w:rsidR="002907D0" w:rsidRPr="00CB5867" w:rsidRDefault="006F2174" w:rsidP="00CB5867">
      <w:pPr>
        <w:pStyle w:val="Style2"/>
        <w:rPr>
          <w:rStyle w:val="SubtleReference"/>
          <w:smallCaps w:val="0"/>
          <w:color w:val="auto"/>
        </w:rPr>
      </w:pPr>
      <w:r w:rsidRPr="004C05AF">
        <w:br w:type="page"/>
      </w:r>
    </w:p>
    <w:p w:rsidR="000C08BC" w:rsidRPr="00DA60AB" w:rsidRDefault="005F134C" w:rsidP="00DA60AB">
      <w:pPr>
        <w:pStyle w:val="Style1"/>
      </w:pPr>
      <w:bookmarkStart w:id="0" w:name="_Toc451937783"/>
      <w:bookmarkStart w:id="1" w:name="_Toc458698322"/>
      <w:bookmarkStart w:id="2" w:name="_Toc458700186"/>
      <w:bookmarkStart w:id="3" w:name="_Toc459130541"/>
      <w:bookmarkStart w:id="4" w:name="_Toc459189230"/>
      <w:r w:rsidRPr="00DA60AB">
        <w:rPr>
          <w:rStyle w:val="SubtleReference"/>
          <w:b/>
          <w:color w:val="ED7D31" w:themeColor="accent2"/>
          <w:szCs w:val="30"/>
        </w:rPr>
        <w:lastRenderedPageBreak/>
        <w:t>Contents</w:t>
      </w:r>
      <w:bookmarkEnd w:id="0"/>
      <w:bookmarkEnd w:id="1"/>
      <w:bookmarkEnd w:id="2"/>
      <w:bookmarkEnd w:id="3"/>
      <w:bookmarkEnd w:id="4"/>
      <w:r w:rsidR="00E169E6" w:rsidRPr="00DA60AB">
        <w:rPr>
          <w:b/>
          <w:color w:val="ED7D31" w:themeColor="accent2"/>
        </w:rPr>
        <w:t xml:space="preserve"> </w:t>
      </w:r>
    </w:p>
    <w:p w:rsidR="00325248" w:rsidRPr="00325248" w:rsidRDefault="002C773A">
      <w:pPr>
        <w:pStyle w:val="TOC1"/>
        <w:rPr>
          <w:rFonts w:eastAsiaTheme="minorEastAsia" w:cstheme="minorBidi"/>
          <w:b w:val="0"/>
          <w:color w:val="auto"/>
          <w:sz w:val="22"/>
          <w:szCs w:val="22"/>
          <w:lang w:eastAsia="en-AU"/>
        </w:rPr>
      </w:pPr>
      <w:r w:rsidRPr="002C773A">
        <w:fldChar w:fldCharType="begin"/>
      </w:r>
      <w:r w:rsidR="005670D2" w:rsidRPr="00325248">
        <w:instrText xml:space="preserve"> TOC \h \z \t "Style1,1,subpara,2" </w:instrText>
      </w:r>
      <w:r w:rsidRPr="002C773A">
        <w:fldChar w:fldCharType="separate"/>
      </w:r>
    </w:p>
    <w:p w:rsidR="00325248" w:rsidRPr="00325248" w:rsidRDefault="002C773A" w:rsidP="008D3DEF">
      <w:pPr>
        <w:pStyle w:val="TOC1"/>
        <w:rPr>
          <w:rFonts w:eastAsiaTheme="minorEastAsia" w:cstheme="minorBidi"/>
          <w:sz w:val="22"/>
          <w:szCs w:val="22"/>
          <w:lang w:eastAsia="en-AU"/>
        </w:rPr>
      </w:pPr>
      <w:hyperlink w:anchor="_Toc459189233" w:history="1">
        <w:r w:rsidR="00325248" w:rsidRPr="00325248">
          <w:rPr>
            <w:rStyle w:val="Hyperlink"/>
          </w:rPr>
          <w:t>1.</w:t>
        </w:r>
        <w:r w:rsidR="00325248" w:rsidRPr="00325248">
          <w:rPr>
            <w:rFonts w:eastAsiaTheme="minorEastAsia" w:cstheme="minorBidi"/>
            <w:b w:val="0"/>
            <w:color w:val="auto"/>
            <w:sz w:val="22"/>
            <w:szCs w:val="22"/>
            <w:lang w:eastAsia="en-AU"/>
          </w:rPr>
          <w:tab/>
        </w:r>
        <w:r w:rsidR="00EA1C17">
          <w:rPr>
            <w:rStyle w:val="Hyperlink"/>
          </w:rPr>
          <w:t>Introduction</w:t>
        </w:r>
        <w:r w:rsidR="00325248" w:rsidRPr="00325248">
          <w:rPr>
            <w:webHidden/>
          </w:rPr>
          <w:tab/>
        </w:r>
      </w:hyperlink>
      <w:r w:rsidR="00B715F6">
        <w:t>3</w:t>
      </w:r>
    </w:p>
    <w:p w:rsidR="00325248" w:rsidRPr="00325248" w:rsidRDefault="00325248" w:rsidP="00325248">
      <w:pPr>
        <w:rPr>
          <w:rFonts w:eastAsiaTheme="minorEastAsia"/>
          <w:noProof/>
        </w:rPr>
      </w:pPr>
    </w:p>
    <w:p w:rsidR="00325248" w:rsidRPr="00325248" w:rsidRDefault="002C773A">
      <w:pPr>
        <w:pStyle w:val="TOC1"/>
        <w:rPr>
          <w:rFonts w:eastAsiaTheme="minorEastAsia" w:cstheme="minorBidi"/>
          <w:b w:val="0"/>
          <w:color w:val="auto"/>
          <w:sz w:val="22"/>
          <w:szCs w:val="22"/>
          <w:lang w:eastAsia="en-AU"/>
        </w:rPr>
      </w:pPr>
      <w:hyperlink w:anchor="_Toc459189237" w:history="1">
        <w:r w:rsidR="00325248" w:rsidRPr="00325248">
          <w:rPr>
            <w:rStyle w:val="Hyperlink"/>
          </w:rPr>
          <w:t>2.</w:t>
        </w:r>
        <w:r w:rsidR="00325248" w:rsidRPr="00325248">
          <w:rPr>
            <w:rFonts w:eastAsiaTheme="minorEastAsia" w:cstheme="minorBidi"/>
            <w:b w:val="0"/>
            <w:color w:val="auto"/>
            <w:sz w:val="22"/>
            <w:szCs w:val="22"/>
            <w:lang w:eastAsia="en-AU"/>
          </w:rPr>
          <w:tab/>
        </w:r>
        <w:r w:rsidR="00621D60">
          <w:rPr>
            <w:rStyle w:val="Hyperlink"/>
          </w:rPr>
          <w:t>National Plan</w:t>
        </w:r>
        <w:r w:rsidR="00325248" w:rsidRPr="00325248">
          <w:rPr>
            <w:webHidden/>
          </w:rPr>
          <w:tab/>
        </w:r>
      </w:hyperlink>
      <w:r w:rsidR="00B715F6">
        <w:t>3</w:t>
      </w:r>
    </w:p>
    <w:p w:rsidR="00325248" w:rsidRPr="006927B9" w:rsidRDefault="002C773A" w:rsidP="006927B9">
      <w:pPr>
        <w:pStyle w:val="TOC2"/>
        <w:rPr>
          <w:rFonts w:eastAsiaTheme="minorEastAsia" w:cstheme="minorBidi"/>
          <w:sz w:val="22"/>
          <w:szCs w:val="22"/>
          <w:lang w:eastAsia="en-AU"/>
        </w:rPr>
      </w:pPr>
      <w:hyperlink w:anchor="_Toc459189238" w:history="1">
        <w:r w:rsidR="00325248" w:rsidRPr="006927B9">
          <w:rPr>
            <w:rStyle w:val="Hyperlink"/>
          </w:rPr>
          <w:t>2.1.</w:t>
        </w:r>
        <w:r w:rsidR="00325248" w:rsidRPr="006927B9">
          <w:rPr>
            <w:rFonts w:eastAsiaTheme="minorEastAsia" w:cstheme="minorBidi"/>
            <w:sz w:val="22"/>
            <w:szCs w:val="22"/>
            <w:lang w:eastAsia="en-AU"/>
          </w:rPr>
          <w:tab/>
        </w:r>
        <w:r w:rsidR="008D3DEF" w:rsidRPr="006927B9">
          <w:rPr>
            <w:rStyle w:val="Hyperlink"/>
          </w:rPr>
          <w:t>Should there be a National Plan?</w:t>
        </w:r>
        <w:r w:rsidR="00325248" w:rsidRPr="006927B9">
          <w:rPr>
            <w:webHidden/>
          </w:rPr>
          <w:tab/>
        </w:r>
      </w:hyperlink>
      <w:r w:rsidR="00B715F6" w:rsidRPr="006927B9">
        <w:t>3</w:t>
      </w:r>
    </w:p>
    <w:p w:rsidR="00325248" w:rsidRPr="00325248" w:rsidRDefault="00325248" w:rsidP="00325248">
      <w:pPr>
        <w:rPr>
          <w:rFonts w:eastAsiaTheme="minorEastAsia"/>
          <w:noProof/>
        </w:rPr>
      </w:pPr>
    </w:p>
    <w:p w:rsidR="00325248" w:rsidRPr="00325248" w:rsidRDefault="002C773A">
      <w:pPr>
        <w:pStyle w:val="TOC1"/>
        <w:rPr>
          <w:rFonts w:eastAsiaTheme="minorEastAsia" w:cstheme="minorBidi"/>
          <w:b w:val="0"/>
          <w:color w:val="auto"/>
          <w:sz w:val="22"/>
          <w:szCs w:val="22"/>
          <w:lang w:eastAsia="en-AU"/>
        </w:rPr>
      </w:pPr>
      <w:hyperlink w:anchor="_Toc459189244" w:history="1">
        <w:r w:rsidR="00325248" w:rsidRPr="00325248">
          <w:rPr>
            <w:rStyle w:val="Hyperlink"/>
          </w:rPr>
          <w:t>3.</w:t>
        </w:r>
        <w:r w:rsidR="00325248" w:rsidRPr="00325248">
          <w:rPr>
            <w:rFonts w:eastAsiaTheme="minorEastAsia" w:cstheme="minorBidi"/>
            <w:b w:val="0"/>
            <w:color w:val="auto"/>
            <w:sz w:val="22"/>
            <w:szCs w:val="22"/>
            <w:lang w:eastAsia="en-AU"/>
          </w:rPr>
          <w:tab/>
        </w:r>
        <w:r w:rsidR="00621D60">
          <w:rPr>
            <w:rStyle w:val="Hyperlink"/>
          </w:rPr>
          <w:t>Powers of Investigation</w:t>
        </w:r>
        <w:r w:rsidR="00325248" w:rsidRPr="00325248">
          <w:rPr>
            <w:webHidden/>
          </w:rPr>
          <w:tab/>
        </w:r>
      </w:hyperlink>
      <w:r w:rsidR="00B715F6">
        <w:t>3</w:t>
      </w:r>
    </w:p>
    <w:p w:rsidR="00325248" w:rsidRPr="006927B9" w:rsidRDefault="002C773A" w:rsidP="006927B9">
      <w:pPr>
        <w:pStyle w:val="TOC2"/>
        <w:rPr>
          <w:rFonts w:eastAsiaTheme="minorEastAsia" w:cstheme="minorBidi"/>
          <w:sz w:val="22"/>
          <w:szCs w:val="22"/>
          <w:lang w:eastAsia="en-AU"/>
        </w:rPr>
      </w:pPr>
      <w:hyperlink w:anchor="_Toc459189245" w:history="1">
        <w:r w:rsidR="00325248" w:rsidRPr="006927B9">
          <w:rPr>
            <w:rStyle w:val="Hyperlink"/>
          </w:rPr>
          <w:t>3.1.</w:t>
        </w:r>
        <w:r w:rsidR="00325248" w:rsidRPr="006927B9">
          <w:rPr>
            <w:rFonts w:eastAsiaTheme="minorEastAsia" w:cstheme="minorBidi"/>
            <w:sz w:val="22"/>
            <w:szCs w:val="22"/>
            <w:lang w:eastAsia="en-AU"/>
          </w:rPr>
          <w:tab/>
        </w:r>
        <w:r w:rsidR="008D3DEF" w:rsidRPr="006927B9">
          <w:rPr>
            <w:rStyle w:val="Hyperlink"/>
          </w:rPr>
          <w:t>Extension of powers</w:t>
        </w:r>
        <w:r w:rsidR="00325248" w:rsidRPr="006927B9">
          <w:rPr>
            <w:webHidden/>
          </w:rPr>
          <w:tab/>
        </w:r>
      </w:hyperlink>
      <w:r w:rsidR="00B715F6" w:rsidRPr="006927B9">
        <w:t>3</w:t>
      </w:r>
    </w:p>
    <w:p w:rsidR="00325248" w:rsidRPr="006927B9" w:rsidRDefault="002C773A" w:rsidP="006927B9">
      <w:pPr>
        <w:pStyle w:val="TOC2"/>
        <w:rPr>
          <w:rFonts w:eastAsiaTheme="minorEastAsia" w:cstheme="minorBidi"/>
          <w:sz w:val="22"/>
          <w:szCs w:val="22"/>
          <w:lang w:eastAsia="en-AU"/>
        </w:rPr>
      </w:pPr>
      <w:hyperlink w:anchor="_Toc459189246" w:history="1">
        <w:r w:rsidR="00325248" w:rsidRPr="006927B9">
          <w:rPr>
            <w:rStyle w:val="Hyperlink"/>
          </w:rPr>
          <w:t>3.2.</w:t>
        </w:r>
        <w:r w:rsidR="00325248" w:rsidRPr="006927B9">
          <w:rPr>
            <w:rFonts w:eastAsiaTheme="minorEastAsia" w:cstheme="minorBidi"/>
            <w:lang w:eastAsia="en-AU"/>
          </w:rPr>
          <w:tab/>
        </w:r>
        <w:r w:rsidR="008D3DEF" w:rsidRPr="006927B9">
          <w:rPr>
            <w:rFonts w:eastAsiaTheme="minorEastAsia" w:cstheme="minorBidi"/>
            <w:lang w:eastAsia="en-AU"/>
          </w:rPr>
          <w:t>Guiding Principles</w:t>
        </w:r>
        <w:r w:rsidR="00325248" w:rsidRPr="006927B9">
          <w:rPr>
            <w:webHidden/>
          </w:rPr>
          <w:tab/>
        </w:r>
      </w:hyperlink>
      <w:r w:rsidR="006927B9" w:rsidRPr="006927B9">
        <w:t>5</w:t>
      </w:r>
    </w:p>
    <w:p w:rsidR="00325248" w:rsidRPr="006927B9" w:rsidRDefault="002C773A" w:rsidP="006927B9">
      <w:pPr>
        <w:pStyle w:val="TOC2"/>
      </w:pPr>
      <w:hyperlink w:anchor="_Toc459189247" w:history="1">
        <w:r w:rsidR="00325248" w:rsidRPr="006927B9">
          <w:rPr>
            <w:rStyle w:val="Hyperlink"/>
          </w:rPr>
          <w:t>3.3.</w:t>
        </w:r>
        <w:r w:rsidR="00325248" w:rsidRPr="006927B9">
          <w:rPr>
            <w:rFonts w:eastAsiaTheme="minorEastAsia" w:cstheme="minorBidi"/>
            <w:sz w:val="22"/>
            <w:szCs w:val="22"/>
            <w:lang w:eastAsia="en-AU"/>
          </w:rPr>
          <w:tab/>
        </w:r>
        <w:r w:rsidR="00C3029B" w:rsidRPr="006927B9">
          <w:rPr>
            <w:rStyle w:val="Hyperlink"/>
          </w:rPr>
          <w:t>Other powers</w:t>
        </w:r>
        <w:r w:rsidR="00325248" w:rsidRPr="006927B9">
          <w:rPr>
            <w:webHidden/>
          </w:rPr>
          <w:tab/>
        </w:r>
      </w:hyperlink>
      <w:r w:rsidR="00544411" w:rsidRPr="006927B9">
        <w:t>5</w:t>
      </w:r>
    </w:p>
    <w:p w:rsidR="00325248" w:rsidRPr="00325248" w:rsidRDefault="002C773A">
      <w:pPr>
        <w:pStyle w:val="TOC1"/>
        <w:rPr>
          <w:rFonts w:eastAsiaTheme="minorEastAsia" w:cstheme="minorBidi"/>
          <w:b w:val="0"/>
          <w:color w:val="auto"/>
          <w:sz w:val="22"/>
          <w:szCs w:val="22"/>
          <w:lang w:eastAsia="en-AU"/>
        </w:rPr>
      </w:pPr>
      <w:hyperlink w:anchor="_Toc459189248" w:history="1">
        <w:r w:rsidR="00325248" w:rsidRPr="00325248">
          <w:rPr>
            <w:rStyle w:val="Hyperlink"/>
          </w:rPr>
          <w:t>4.</w:t>
        </w:r>
        <w:r w:rsidR="00325248" w:rsidRPr="00325248">
          <w:rPr>
            <w:rFonts w:eastAsiaTheme="minorEastAsia" w:cstheme="minorBidi"/>
            <w:b w:val="0"/>
            <w:color w:val="auto"/>
            <w:sz w:val="22"/>
            <w:szCs w:val="22"/>
            <w:lang w:eastAsia="en-AU"/>
          </w:rPr>
          <w:tab/>
        </w:r>
        <w:r w:rsidR="00621D60">
          <w:rPr>
            <w:rStyle w:val="Hyperlink"/>
          </w:rPr>
          <w:t>Enduring Powers of Attorney and Enduring Guardianship</w:t>
        </w:r>
        <w:r w:rsidR="00325248" w:rsidRPr="00325248">
          <w:rPr>
            <w:webHidden/>
          </w:rPr>
          <w:tab/>
        </w:r>
      </w:hyperlink>
      <w:r w:rsidR="00544411">
        <w:t>7</w:t>
      </w:r>
    </w:p>
    <w:p w:rsidR="00325248" w:rsidRPr="006927B9" w:rsidRDefault="002C773A" w:rsidP="006927B9">
      <w:pPr>
        <w:pStyle w:val="TOC2"/>
        <w:rPr>
          <w:rFonts w:eastAsiaTheme="minorEastAsia" w:cstheme="minorBidi"/>
          <w:lang w:eastAsia="en-AU"/>
        </w:rPr>
      </w:pPr>
      <w:hyperlink w:anchor="_Toc459189249" w:history="1">
        <w:r w:rsidR="00325248" w:rsidRPr="006927B9">
          <w:rPr>
            <w:rStyle w:val="Hyperlink"/>
          </w:rPr>
          <w:t>4.1.</w:t>
        </w:r>
        <w:r w:rsidR="00325248" w:rsidRPr="006927B9">
          <w:rPr>
            <w:rFonts w:eastAsiaTheme="minorEastAsia" w:cstheme="minorBidi"/>
            <w:lang w:eastAsia="en-AU"/>
          </w:rPr>
          <w:tab/>
        </w:r>
        <w:r w:rsidR="008D3DEF" w:rsidRPr="006927B9">
          <w:rPr>
            <w:rFonts w:eastAsiaTheme="minorEastAsia" w:cstheme="minorBidi"/>
            <w:lang w:eastAsia="en-AU"/>
          </w:rPr>
          <w:t>Orders for compensation</w:t>
        </w:r>
        <w:r w:rsidR="00325248" w:rsidRPr="006927B9">
          <w:rPr>
            <w:webHidden/>
          </w:rPr>
          <w:tab/>
        </w:r>
      </w:hyperlink>
      <w:r w:rsidR="00544411" w:rsidRPr="006927B9">
        <w:t>7</w:t>
      </w:r>
    </w:p>
    <w:p w:rsidR="00325248" w:rsidRPr="006927B9" w:rsidRDefault="002C773A" w:rsidP="006927B9">
      <w:pPr>
        <w:pStyle w:val="TOC2"/>
        <w:rPr>
          <w:rFonts w:eastAsiaTheme="minorEastAsia" w:cstheme="minorBidi"/>
          <w:lang w:eastAsia="en-AU"/>
        </w:rPr>
      </w:pPr>
      <w:hyperlink w:anchor="_Toc459189250" w:history="1">
        <w:r w:rsidR="00325248" w:rsidRPr="006927B9">
          <w:rPr>
            <w:rStyle w:val="Hyperlink"/>
          </w:rPr>
          <w:t>4.2.</w:t>
        </w:r>
        <w:r w:rsidR="00325248" w:rsidRPr="006927B9">
          <w:rPr>
            <w:rFonts w:eastAsiaTheme="minorEastAsia" w:cstheme="minorBidi"/>
            <w:lang w:eastAsia="en-AU"/>
          </w:rPr>
          <w:tab/>
        </w:r>
        <w:r w:rsidR="008D3DEF" w:rsidRPr="006927B9">
          <w:rPr>
            <w:rStyle w:val="Hyperlink"/>
          </w:rPr>
          <w:t xml:space="preserve">Conflicts and </w:t>
        </w:r>
        <w:r w:rsidR="00F04BAE" w:rsidRPr="006927B9">
          <w:rPr>
            <w:rStyle w:val="Hyperlink"/>
          </w:rPr>
          <w:t>enduring powers</w:t>
        </w:r>
        <w:r w:rsidR="00325248" w:rsidRPr="006927B9">
          <w:rPr>
            <w:webHidden/>
          </w:rPr>
          <w:tab/>
        </w:r>
      </w:hyperlink>
      <w:r w:rsidR="00544411" w:rsidRPr="006927B9">
        <w:t>8</w:t>
      </w:r>
    </w:p>
    <w:p w:rsidR="00325248" w:rsidRPr="006927B9" w:rsidRDefault="002C773A" w:rsidP="006927B9">
      <w:pPr>
        <w:pStyle w:val="TOC2"/>
        <w:rPr>
          <w:rFonts w:eastAsiaTheme="minorEastAsia" w:cstheme="minorBidi"/>
          <w:lang w:eastAsia="en-AU"/>
        </w:rPr>
      </w:pPr>
      <w:hyperlink w:anchor="_Toc459189251" w:history="1">
        <w:r w:rsidR="00325248" w:rsidRPr="006927B9">
          <w:rPr>
            <w:rStyle w:val="Hyperlink"/>
          </w:rPr>
          <w:t>4.3.</w:t>
        </w:r>
        <w:r w:rsidR="00325248" w:rsidRPr="006927B9">
          <w:rPr>
            <w:rFonts w:eastAsiaTheme="minorEastAsia" w:cstheme="minorBidi"/>
            <w:lang w:eastAsia="en-AU"/>
          </w:rPr>
          <w:tab/>
        </w:r>
        <w:r w:rsidR="008D3DEF" w:rsidRPr="006927B9">
          <w:rPr>
            <w:rFonts w:eastAsiaTheme="minorEastAsia" w:cstheme="minorBidi"/>
            <w:lang w:eastAsia="en-AU"/>
          </w:rPr>
          <w:t>Ineligibility for enduring powers</w:t>
        </w:r>
        <w:r w:rsidR="00325248" w:rsidRPr="006927B9">
          <w:rPr>
            <w:webHidden/>
          </w:rPr>
          <w:tab/>
        </w:r>
      </w:hyperlink>
      <w:r w:rsidR="006927B9">
        <w:t>9</w:t>
      </w:r>
    </w:p>
    <w:p w:rsidR="00325248" w:rsidRPr="00325248" w:rsidRDefault="00325248" w:rsidP="00325248">
      <w:pPr>
        <w:rPr>
          <w:rFonts w:eastAsiaTheme="minorEastAsia"/>
          <w:noProof/>
        </w:rPr>
      </w:pPr>
    </w:p>
    <w:p w:rsidR="00F04BAE" w:rsidRDefault="002C773A" w:rsidP="00F04BAE">
      <w:pPr>
        <w:pStyle w:val="TOC1"/>
        <w:rPr>
          <w:rStyle w:val="Hyperlink"/>
        </w:rPr>
      </w:pPr>
      <w:hyperlink w:anchor="_Toc459189255" w:history="1">
        <w:r w:rsidR="00F04BAE" w:rsidRPr="00325248">
          <w:rPr>
            <w:rStyle w:val="Hyperlink"/>
          </w:rPr>
          <w:t>5.</w:t>
        </w:r>
        <w:r w:rsidR="00F04BAE" w:rsidRPr="00325248">
          <w:rPr>
            <w:rFonts w:eastAsiaTheme="minorEastAsia" w:cstheme="minorBidi"/>
            <w:b w:val="0"/>
            <w:color w:val="auto"/>
            <w:sz w:val="22"/>
            <w:szCs w:val="22"/>
            <w:lang w:eastAsia="en-AU"/>
          </w:rPr>
          <w:tab/>
        </w:r>
        <w:r w:rsidR="00F04BAE">
          <w:rPr>
            <w:rStyle w:val="Hyperlink"/>
          </w:rPr>
          <w:t>Guardianship and Financial Administration Orders</w:t>
        </w:r>
        <w:r w:rsidR="00F04BAE" w:rsidRPr="00325248">
          <w:rPr>
            <w:webHidden/>
          </w:rPr>
          <w:tab/>
        </w:r>
      </w:hyperlink>
      <w:r w:rsidR="006927B9">
        <w:t>10</w:t>
      </w:r>
    </w:p>
    <w:p w:rsidR="00F04BAE" w:rsidRPr="00325248" w:rsidRDefault="002C773A" w:rsidP="006927B9">
      <w:pPr>
        <w:pStyle w:val="TOC2"/>
        <w:rPr>
          <w:rFonts w:eastAsiaTheme="minorEastAsia" w:cstheme="minorBidi"/>
          <w:sz w:val="22"/>
          <w:szCs w:val="22"/>
          <w:lang w:eastAsia="en-AU"/>
        </w:rPr>
      </w:pPr>
      <w:hyperlink w:anchor="_Toc459189249" w:history="1">
        <w:r w:rsidR="00F04BAE">
          <w:rPr>
            <w:rStyle w:val="Hyperlink"/>
          </w:rPr>
          <w:t>5</w:t>
        </w:r>
        <w:r w:rsidR="00F04BAE" w:rsidRPr="00325248">
          <w:rPr>
            <w:rStyle w:val="Hyperlink"/>
          </w:rPr>
          <w:t>.1.</w:t>
        </w:r>
        <w:r w:rsidR="00F04BAE" w:rsidRPr="00325248">
          <w:rPr>
            <w:rFonts w:eastAsiaTheme="minorEastAsia" w:cstheme="minorBidi"/>
            <w:sz w:val="22"/>
            <w:szCs w:val="22"/>
            <w:lang w:eastAsia="en-AU"/>
          </w:rPr>
          <w:tab/>
        </w:r>
        <w:r w:rsidR="008D3DEF">
          <w:rPr>
            <w:rStyle w:val="Hyperlink"/>
          </w:rPr>
          <w:t xml:space="preserve">Reducing the risk </w:t>
        </w:r>
        <w:r w:rsidR="00F04BAE" w:rsidRPr="00325248">
          <w:rPr>
            <w:webHidden/>
          </w:rPr>
          <w:tab/>
        </w:r>
      </w:hyperlink>
      <w:r w:rsidR="006927B9">
        <w:t>10</w:t>
      </w:r>
    </w:p>
    <w:p w:rsidR="008D3DEF" w:rsidRDefault="008D3DEF" w:rsidP="00477C22">
      <w:pPr>
        <w:pStyle w:val="TOC1"/>
      </w:pPr>
    </w:p>
    <w:p w:rsidR="00477C22" w:rsidRDefault="002C773A" w:rsidP="00477C22">
      <w:pPr>
        <w:pStyle w:val="TOC1"/>
        <w:rPr>
          <w:rStyle w:val="Hyperlink"/>
        </w:rPr>
      </w:pPr>
      <w:hyperlink w:anchor="_Toc459189255" w:history="1">
        <w:r w:rsidR="00477C22">
          <w:rPr>
            <w:rStyle w:val="Hyperlink"/>
          </w:rPr>
          <w:t>6</w:t>
        </w:r>
        <w:r w:rsidR="00477C22" w:rsidRPr="00325248">
          <w:rPr>
            <w:rStyle w:val="Hyperlink"/>
          </w:rPr>
          <w:t>.</w:t>
        </w:r>
        <w:r w:rsidR="00477C22" w:rsidRPr="00325248">
          <w:rPr>
            <w:rFonts w:eastAsiaTheme="minorEastAsia" w:cstheme="minorBidi"/>
            <w:b w:val="0"/>
            <w:color w:val="auto"/>
            <w:sz w:val="22"/>
            <w:szCs w:val="22"/>
            <w:lang w:eastAsia="en-AU"/>
          </w:rPr>
          <w:tab/>
        </w:r>
        <w:r w:rsidR="00477C22">
          <w:rPr>
            <w:rStyle w:val="Hyperlink"/>
          </w:rPr>
          <w:t>Family Agreements</w:t>
        </w:r>
        <w:r w:rsidR="00477C22" w:rsidRPr="00325248">
          <w:rPr>
            <w:webHidden/>
          </w:rPr>
          <w:tab/>
        </w:r>
      </w:hyperlink>
      <w:r w:rsidR="00544411">
        <w:t>1</w:t>
      </w:r>
      <w:r w:rsidR="006927B9">
        <w:t>1</w:t>
      </w:r>
    </w:p>
    <w:p w:rsidR="00477C22" w:rsidRPr="00325248" w:rsidRDefault="002C773A" w:rsidP="006927B9">
      <w:pPr>
        <w:pStyle w:val="TOC2"/>
        <w:rPr>
          <w:rFonts w:eastAsiaTheme="minorEastAsia" w:cstheme="minorBidi"/>
          <w:sz w:val="22"/>
          <w:szCs w:val="22"/>
          <w:lang w:eastAsia="en-AU"/>
        </w:rPr>
      </w:pPr>
      <w:hyperlink w:anchor="_Toc459189249" w:history="1">
        <w:r w:rsidR="00477C22">
          <w:rPr>
            <w:rStyle w:val="Hyperlink"/>
          </w:rPr>
          <w:t>6</w:t>
        </w:r>
        <w:r w:rsidR="00477C22" w:rsidRPr="00325248">
          <w:rPr>
            <w:rStyle w:val="Hyperlink"/>
          </w:rPr>
          <w:t>.1.</w:t>
        </w:r>
        <w:r w:rsidR="00477C22" w:rsidRPr="00325248">
          <w:rPr>
            <w:rFonts w:eastAsiaTheme="minorEastAsia" w:cstheme="minorBidi"/>
            <w:sz w:val="22"/>
            <w:szCs w:val="22"/>
            <w:lang w:eastAsia="en-AU"/>
          </w:rPr>
          <w:tab/>
        </w:r>
        <w:r w:rsidR="008D3DEF">
          <w:rPr>
            <w:rStyle w:val="Hyperlink"/>
          </w:rPr>
          <w:t>Jurisdictional questions</w:t>
        </w:r>
        <w:r w:rsidR="00477C22" w:rsidRPr="00325248">
          <w:rPr>
            <w:webHidden/>
          </w:rPr>
          <w:tab/>
        </w:r>
      </w:hyperlink>
      <w:r w:rsidR="00544411">
        <w:t>1</w:t>
      </w:r>
      <w:r w:rsidR="006927B9">
        <w:t>1</w:t>
      </w:r>
    </w:p>
    <w:p w:rsidR="00477C22" w:rsidRPr="00325248" w:rsidRDefault="002C773A" w:rsidP="006927B9">
      <w:pPr>
        <w:pStyle w:val="TOC2"/>
        <w:rPr>
          <w:rFonts w:eastAsiaTheme="minorEastAsia" w:cstheme="minorBidi"/>
          <w:sz w:val="22"/>
          <w:szCs w:val="22"/>
          <w:lang w:eastAsia="en-AU"/>
        </w:rPr>
      </w:pPr>
      <w:hyperlink w:anchor="_Toc459189250" w:history="1">
        <w:r w:rsidR="00477C22">
          <w:rPr>
            <w:rStyle w:val="Hyperlink"/>
          </w:rPr>
          <w:t>6</w:t>
        </w:r>
        <w:r w:rsidR="00477C22" w:rsidRPr="00325248">
          <w:rPr>
            <w:rStyle w:val="Hyperlink"/>
          </w:rPr>
          <w:t>.2.</w:t>
        </w:r>
        <w:r w:rsidR="00477C22" w:rsidRPr="00325248">
          <w:rPr>
            <w:rFonts w:eastAsiaTheme="minorEastAsia" w:cstheme="minorBidi"/>
            <w:sz w:val="22"/>
            <w:szCs w:val="22"/>
            <w:lang w:eastAsia="en-AU"/>
          </w:rPr>
          <w:tab/>
        </w:r>
        <w:r w:rsidR="008D3DEF">
          <w:rPr>
            <w:rStyle w:val="Hyperlink"/>
          </w:rPr>
          <w:t>Definition of family</w:t>
        </w:r>
        <w:r w:rsidR="00477C22" w:rsidRPr="00325248">
          <w:rPr>
            <w:webHidden/>
          </w:rPr>
          <w:tab/>
        </w:r>
      </w:hyperlink>
      <w:r w:rsidR="00544411">
        <w:t>11</w:t>
      </w:r>
    </w:p>
    <w:p w:rsidR="008D3DEF" w:rsidRDefault="008D3DEF">
      <w:pPr>
        <w:pStyle w:val="TOC1"/>
      </w:pPr>
    </w:p>
    <w:p w:rsidR="00325248" w:rsidRDefault="002C773A">
      <w:pPr>
        <w:pStyle w:val="TOC1"/>
        <w:rPr>
          <w:rStyle w:val="Hyperlink"/>
        </w:rPr>
      </w:pPr>
      <w:hyperlink w:anchor="_Toc459189255" w:history="1">
        <w:r w:rsidR="00477C22">
          <w:rPr>
            <w:rStyle w:val="Hyperlink"/>
          </w:rPr>
          <w:t>7</w:t>
        </w:r>
        <w:r w:rsidR="00325248" w:rsidRPr="00325248">
          <w:rPr>
            <w:rStyle w:val="Hyperlink"/>
          </w:rPr>
          <w:t>.</w:t>
        </w:r>
        <w:r w:rsidR="00325248" w:rsidRPr="00325248">
          <w:rPr>
            <w:rFonts w:eastAsiaTheme="minorEastAsia" w:cstheme="minorBidi"/>
            <w:b w:val="0"/>
            <w:color w:val="auto"/>
            <w:sz w:val="22"/>
            <w:szCs w:val="22"/>
            <w:lang w:eastAsia="en-AU"/>
          </w:rPr>
          <w:tab/>
        </w:r>
        <w:r w:rsidR="00325248" w:rsidRPr="00325248">
          <w:rPr>
            <w:rStyle w:val="Hyperlink"/>
          </w:rPr>
          <w:t>Conclusion</w:t>
        </w:r>
        <w:r w:rsidR="00325248" w:rsidRPr="00325248">
          <w:rPr>
            <w:webHidden/>
          </w:rPr>
          <w:tab/>
        </w:r>
      </w:hyperlink>
      <w:r w:rsidR="00695269">
        <w:t>1</w:t>
      </w:r>
      <w:r w:rsidR="006927B9">
        <w:t>2</w:t>
      </w:r>
    </w:p>
    <w:p w:rsidR="00325248" w:rsidRPr="00325248" w:rsidRDefault="00325248" w:rsidP="00325248">
      <w:pPr>
        <w:rPr>
          <w:rFonts w:eastAsiaTheme="minorEastAsia"/>
          <w:noProof/>
        </w:rPr>
      </w:pPr>
    </w:p>
    <w:p w:rsidR="00325248" w:rsidRDefault="00325248">
      <w:pPr>
        <w:pStyle w:val="TOC1"/>
      </w:pPr>
    </w:p>
    <w:p w:rsidR="001E3028" w:rsidRDefault="001E3028" w:rsidP="001E3028">
      <w:pPr>
        <w:rPr>
          <w:rFonts w:eastAsiaTheme="minorEastAsia"/>
        </w:rPr>
      </w:pPr>
    </w:p>
    <w:p w:rsidR="001E3028" w:rsidRPr="001E3028" w:rsidRDefault="001E3028" w:rsidP="001E3028">
      <w:pPr>
        <w:rPr>
          <w:rFonts w:eastAsiaTheme="minorEastAsia"/>
        </w:rPr>
      </w:pPr>
    </w:p>
    <w:p w:rsidR="00AB332A" w:rsidRPr="004C05AF" w:rsidRDefault="002C773A" w:rsidP="00AB332A">
      <w:pPr>
        <w:rPr>
          <w:rFonts w:asciiTheme="majorHAnsi" w:hAnsiTheme="majorHAnsi"/>
        </w:rPr>
      </w:pPr>
      <w:r w:rsidRPr="00325248">
        <w:rPr>
          <w:rFonts w:asciiTheme="majorHAnsi" w:hAnsiTheme="majorHAnsi"/>
        </w:rPr>
        <w:fldChar w:fldCharType="end"/>
      </w:r>
    </w:p>
    <w:p w:rsidR="00A065AD" w:rsidRDefault="00A065AD" w:rsidP="00A065AD">
      <w:pPr>
        <w:pStyle w:val="ListParagraph"/>
        <w:spacing w:after="160" w:line="259" w:lineRule="auto"/>
        <w:rPr>
          <w:rFonts w:asciiTheme="majorHAnsi" w:hAnsiTheme="majorHAnsi"/>
          <w:color w:val="ED7D31" w:themeColor="accent2"/>
          <w:sz w:val="32"/>
        </w:rPr>
      </w:pPr>
    </w:p>
    <w:p w:rsidR="00A065AD" w:rsidRDefault="00A065AD" w:rsidP="00A065AD">
      <w:pPr>
        <w:pStyle w:val="ListParagraph"/>
        <w:spacing w:after="160" w:line="259" w:lineRule="auto"/>
        <w:rPr>
          <w:rFonts w:asciiTheme="majorHAnsi" w:hAnsiTheme="majorHAnsi"/>
          <w:color w:val="ED7D31" w:themeColor="accent2"/>
          <w:sz w:val="32"/>
        </w:rPr>
      </w:pPr>
    </w:p>
    <w:p w:rsidR="00A065AD" w:rsidRDefault="00A065AD" w:rsidP="00A065AD">
      <w:pPr>
        <w:pStyle w:val="ListParagraph"/>
        <w:spacing w:after="160" w:line="259" w:lineRule="auto"/>
        <w:rPr>
          <w:rFonts w:asciiTheme="majorHAnsi" w:hAnsiTheme="majorHAnsi"/>
          <w:color w:val="ED7D31" w:themeColor="accent2"/>
          <w:sz w:val="32"/>
        </w:rPr>
      </w:pPr>
    </w:p>
    <w:p w:rsidR="00A065AD" w:rsidRDefault="00A065AD" w:rsidP="00A065AD">
      <w:pPr>
        <w:pStyle w:val="ListParagraph"/>
        <w:spacing w:after="160" w:line="259" w:lineRule="auto"/>
        <w:rPr>
          <w:rFonts w:asciiTheme="majorHAnsi" w:hAnsiTheme="majorHAnsi"/>
          <w:color w:val="ED7D31" w:themeColor="accent2"/>
          <w:sz w:val="32"/>
        </w:rPr>
      </w:pPr>
    </w:p>
    <w:p w:rsidR="00A065AD" w:rsidRDefault="00A065AD" w:rsidP="00A065AD">
      <w:pPr>
        <w:pStyle w:val="ListParagraph"/>
        <w:spacing w:after="160" w:line="259" w:lineRule="auto"/>
        <w:rPr>
          <w:rFonts w:asciiTheme="majorHAnsi" w:hAnsiTheme="majorHAnsi"/>
          <w:color w:val="ED7D31" w:themeColor="accent2"/>
          <w:sz w:val="32"/>
        </w:rPr>
      </w:pPr>
      <w:bookmarkStart w:id="5" w:name="_GoBack"/>
      <w:bookmarkEnd w:id="5"/>
    </w:p>
    <w:p w:rsidR="00A065AD" w:rsidRDefault="00A065AD" w:rsidP="00181636">
      <w:pPr>
        <w:spacing w:after="160" w:line="259" w:lineRule="auto"/>
        <w:rPr>
          <w:rFonts w:asciiTheme="majorHAnsi" w:hAnsiTheme="majorHAnsi"/>
          <w:color w:val="ED7D31" w:themeColor="accent2"/>
          <w:sz w:val="32"/>
        </w:rPr>
      </w:pPr>
    </w:p>
    <w:p w:rsidR="00544411" w:rsidRPr="00181636" w:rsidRDefault="00544411" w:rsidP="00181636">
      <w:pPr>
        <w:spacing w:after="160" w:line="259" w:lineRule="auto"/>
        <w:rPr>
          <w:rFonts w:asciiTheme="majorHAnsi" w:hAnsiTheme="majorHAnsi"/>
          <w:color w:val="ED7D31" w:themeColor="accent2"/>
          <w:sz w:val="32"/>
        </w:rPr>
      </w:pPr>
    </w:p>
    <w:p w:rsidR="00A065AD" w:rsidRPr="00A065AD" w:rsidRDefault="001E3028" w:rsidP="00DC0165">
      <w:pPr>
        <w:pStyle w:val="ListParagraph"/>
        <w:numPr>
          <w:ilvl w:val="0"/>
          <w:numId w:val="12"/>
        </w:numPr>
        <w:spacing w:after="160" w:line="259" w:lineRule="auto"/>
        <w:ind w:hanging="720"/>
        <w:rPr>
          <w:rFonts w:asciiTheme="majorHAnsi" w:hAnsiTheme="majorHAnsi"/>
          <w:color w:val="ED7D31" w:themeColor="accent2"/>
          <w:sz w:val="32"/>
        </w:rPr>
      </w:pPr>
      <w:r>
        <w:rPr>
          <w:rFonts w:asciiTheme="majorHAnsi" w:hAnsiTheme="majorHAnsi"/>
          <w:color w:val="ED7D31" w:themeColor="accent2"/>
          <w:sz w:val="32"/>
        </w:rPr>
        <w:lastRenderedPageBreak/>
        <w:t>Introduction</w:t>
      </w:r>
    </w:p>
    <w:p w:rsidR="00A065AD" w:rsidRDefault="00A065AD" w:rsidP="00A065AD">
      <w:pPr>
        <w:pStyle w:val="Style2"/>
        <w:jc w:val="both"/>
      </w:pPr>
      <w:r>
        <w:t xml:space="preserve">Legal Aid ACT welcomes the opportunity to make further submissions to the ALRC regarding Elder Abuse. In particular, Legal Aid ACT </w:t>
      </w:r>
      <w:r w:rsidRPr="004C05AF">
        <w:t xml:space="preserve">will respond to </w:t>
      </w:r>
      <w:r w:rsidR="00C74A60">
        <w:t>the following proposals and questions in the Second C</w:t>
      </w:r>
      <w:r>
        <w:t xml:space="preserve">onsultation Discussion </w:t>
      </w:r>
      <w:r w:rsidR="0020234C">
        <w:t>P</w:t>
      </w:r>
      <w:r>
        <w:t>aper:</w:t>
      </w:r>
    </w:p>
    <w:p w:rsidR="00A065AD" w:rsidRDefault="00A065AD" w:rsidP="00A065AD">
      <w:pPr>
        <w:pStyle w:val="Style2"/>
        <w:jc w:val="both"/>
      </w:pPr>
    </w:p>
    <w:p w:rsidR="00A065AD" w:rsidRDefault="00A065AD" w:rsidP="006273D7">
      <w:pPr>
        <w:pStyle w:val="Style2"/>
        <w:numPr>
          <w:ilvl w:val="0"/>
          <w:numId w:val="2"/>
        </w:numPr>
        <w:jc w:val="both"/>
      </w:pPr>
      <w:r>
        <w:t>National Plan</w:t>
      </w:r>
    </w:p>
    <w:p w:rsidR="00A065AD" w:rsidRDefault="00A065AD" w:rsidP="006273D7">
      <w:pPr>
        <w:pStyle w:val="Style2"/>
        <w:ind w:left="1080"/>
        <w:jc w:val="both"/>
      </w:pPr>
      <w:r>
        <w:t>Proposal 2-1</w:t>
      </w:r>
    </w:p>
    <w:p w:rsidR="00A065AD" w:rsidRDefault="00A065AD" w:rsidP="006273D7">
      <w:pPr>
        <w:pStyle w:val="Style2"/>
        <w:numPr>
          <w:ilvl w:val="0"/>
          <w:numId w:val="2"/>
        </w:numPr>
        <w:jc w:val="both"/>
      </w:pPr>
      <w:r>
        <w:t>Powers of Investigation</w:t>
      </w:r>
    </w:p>
    <w:p w:rsidR="00A065AD" w:rsidRDefault="00A065AD" w:rsidP="006273D7">
      <w:pPr>
        <w:pStyle w:val="Style2"/>
        <w:ind w:left="1080"/>
        <w:jc w:val="both"/>
      </w:pPr>
      <w:r>
        <w:t>Proposal 3-1</w:t>
      </w:r>
    </w:p>
    <w:p w:rsidR="00A065AD" w:rsidRDefault="00A065AD" w:rsidP="006273D7">
      <w:pPr>
        <w:pStyle w:val="Style2"/>
        <w:ind w:left="1080"/>
        <w:jc w:val="both"/>
      </w:pPr>
      <w:r>
        <w:t>Proposal 3-2</w:t>
      </w:r>
    </w:p>
    <w:p w:rsidR="00A065AD" w:rsidRDefault="00A065AD" w:rsidP="006273D7">
      <w:pPr>
        <w:pStyle w:val="Style2"/>
        <w:ind w:left="1080"/>
        <w:jc w:val="both"/>
      </w:pPr>
      <w:r>
        <w:t>Proposal 3-3</w:t>
      </w:r>
    </w:p>
    <w:p w:rsidR="00985B89" w:rsidRDefault="00985B89" w:rsidP="006273D7">
      <w:pPr>
        <w:pStyle w:val="Style2"/>
        <w:ind w:left="1080"/>
        <w:jc w:val="both"/>
      </w:pPr>
      <w:r>
        <w:t>Proposal 3-4</w:t>
      </w:r>
    </w:p>
    <w:p w:rsidR="00985B89" w:rsidRDefault="00985B89" w:rsidP="006273D7">
      <w:pPr>
        <w:pStyle w:val="Style2"/>
        <w:ind w:left="1080"/>
        <w:jc w:val="both"/>
      </w:pPr>
      <w:r>
        <w:t>Proposal 3-5</w:t>
      </w:r>
    </w:p>
    <w:p w:rsidR="00A065AD" w:rsidRDefault="00A065AD" w:rsidP="006273D7">
      <w:pPr>
        <w:pStyle w:val="Style2"/>
        <w:numPr>
          <w:ilvl w:val="0"/>
          <w:numId w:val="3"/>
        </w:numPr>
        <w:jc w:val="both"/>
      </w:pPr>
      <w:r>
        <w:t>Enduring Powers of Attorney and Enduring Guardianship</w:t>
      </w:r>
    </w:p>
    <w:p w:rsidR="00A065AD" w:rsidRDefault="00A065AD" w:rsidP="006273D7">
      <w:pPr>
        <w:pStyle w:val="Style2"/>
        <w:ind w:left="1080"/>
        <w:jc w:val="both"/>
      </w:pPr>
      <w:r>
        <w:t>Proposal 5-5</w:t>
      </w:r>
    </w:p>
    <w:p w:rsidR="00A065AD" w:rsidRDefault="00A065AD" w:rsidP="006273D7">
      <w:pPr>
        <w:pStyle w:val="Style2"/>
        <w:ind w:left="1080"/>
        <w:jc w:val="both"/>
      </w:pPr>
      <w:r>
        <w:t xml:space="preserve">Proposal 5-6 </w:t>
      </w:r>
    </w:p>
    <w:p w:rsidR="00A065AD" w:rsidRDefault="00A065AD" w:rsidP="006273D7">
      <w:pPr>
        <w:pStyle w:val="Style2"/>
        <w:ind w:left="1080"/>
        <w:jc w:val="both"/>
      </w:pPr>
      <w:r>
        <w:t>Proposal 5-7</w:t>
      </w:r>
    </w:p>
    <w:p w:rsidR="00A065AD" w:rsidRDefault="00A065AD" w:rsidP="006273D7">
      <w:pPr>
        <w:pStyle w:val="Style2"/>
        <w:numPr>
          <w:ilvl w:val="0"/>
          <w:numId w:val="3"/>
        </w:numPr>
        <w:jc w:val="both"/>
      </w:pPr>
      <w:r>
        <w:t>Guardianship and Financial Administration Orders</w:t>
      </w:r>
    </w:p>
    <w:p w:rsidR="00A065AD" w:rsidRDefault="00A065AD" w:rsidP="006273D7">
      <w:pPr>
        <w:pStyle w:val="Style2"/>
        <w:ind w:left="1080"/>
        <w:jc w:val="both"/>
      </w:pPr>
      <w:r>
        <w:t>Proposal 6-1</w:t>
      </w:r>
    </w:p>
    <w:p w:rsidR="00A065AD" w:rsidRDefault="00A065AD" w:rsidP="006273D7">
      <w:pPr>
        <w:pStyle w:val="Style2"/>
        <w:ind w:left="1080"/>
        <w:jc w:val="both"/>
      </w:pPr>
      <w:r>
        <w:t>Question 6-1</w:t>
      </w:r>
    </w:p>
    <w:p w:rsidR="00A065AD" w:rsidRDefault="00A065AD" w:rsidP="006273D7">
      <w:pPr>
        <w:pStyle w:val="Style2"/>
        <w:numPr>
          <w:ilvl w:val="0"/>
          <w:numId w:val="4"/>
        </w:numPr>
        <w:jc w:val="both"/>
      </w:pPr>
      <w:r>
        <w:t>Family Agreements</w:t>
      </w:r>
    </w:p>
    <w:p w:rsidR="00A065AD" w:rsidRDefault="00A065AD" w:rsidP="006273D7">
      <w:pPr>
        <w:pStyle w:val="Style2"/>
        <w:ind w:left="1080"/>
        <w:jc w:val="both"/>
      </w:pPr>
      <w:r>
        <w:t>Proposal 8-1</w:t>
      </w:r>
    </w:p>
    <w:p w:rsidR="00A065AD" w:rsidRDefault="00A065AD" w:rsidP="006273D7">
      <w:pPr>
        <w:pStyle w:val="Style2"/>
        <w:ind w:left="1080"/>
        <w:jc w:val="both"/>
      </w:pPr>
      <w:r>
        <w:t>Question 8-1</w:t>
      </w:r>
    </w:p>
    <w:p w:rsidR="00A065AD" w:rsidRDefault="00A065AD" w:rsidP="00A065AD">
      <w:pPr>
        <w:pStyle w:val="Style2"/>
        <w:jc w:val="both"/>
      </w:pPr>
    </w:p>
    <w:p w:rsidR="00A065AD" w:rsidRPr="00B80199" w:rsidRDefault="00A065AD" w:rsidP="00DC0165">
      <w:pPr>
        <w:pStyle w:val="Style2"/>
        <w:numPr>
          <w:ilvl w:val="0"/>
          <w:numId w:val="11"/>
        </w:numPr>
        <w:ind w:hanging="720"/>
        <w:jc w:val="both"/>
        <w:rPr>
          <w:color w:val="ED7D31" w:themeColor="accent2"/>
          <w:sz w:val="32"/>
        </w:rPr>
      </w:pPr>
      <w:r>
        <w:rPr>
          <w:color w:val="ED7D31" w:themeColor="accent2"/>
          <w:sz w:val="32"/>
        </w:rPr>
        <w:t>National Plan</w:t>
      </w:r>
    </w:p>
    <w:p w:rsidR="00A065AD" w:rsidRDefault="00A065AD" w:rsidP="00A065AD">
      <w:pPr>
        <w:pStyle w:val="Style2"/>
        <w:jc w:val="both"/>
      </w:pPr>
    </w:p>
    <w:p w:rsidR="00171BA4" w:rsidRDefault="00171BA4" w:rsidP="00171BA4">
      <w:pPr>
        <w:pStyle w:val="Style2"/>
        <w:jc w:val="both"/>
        <w:rPr>
          <w:u w:val="single"/>
        </w:rPr>
      </w:pPr>
      <w:r>
        <w:t xml:space="preserve">2.1. </w:t>
      </w:r>
      <w:r>
        <w:rPr>
          <w:u w:val="single"/>
        </w:rPr>
        <w:t>Should there be a National Plan?</w:t>
      </w:r>
    </w:p>
    <w:p w:rsidR="00171BA4" w:rsidRDefault="00171BA4" w:rsidP="00A065AD">
      <w:pPr>
        <w:pStyle w:val="Style2"/>
        <w:jc w:val="both"/>
      </w:pPr>
    </w:p>
    <w:p w:rsidR="00A065AD" w:rsidRDefault="00A065AD" w:rsidP="00A065AD">
      <w:pPr>
        <w:pStyle w:val="Style2"/>
        <w:jc w:val="both"/>
      </w:pPr>
      <w:r>
        <w:t>Legal Aid ACT supports the ALRC</w:t>
      </w:r>
      <w:r w:rsidR="001B2B99">
        <w:t>’s</w:t>
      </w:r>
      <w:r>
        <w:t xml:space="preserve"> proposal to develop and implement a national plan. An integrated framework is </w:t>
      </w:r>
      <w:proofErr w:type="gramStart"/>
      <w:r>
        <w:t>key</w:t>
      </w:r>
      <w:proofErr w:type="gramEnd"/>
      <w:r>
        <w:t xml:space="preserve"> to addressing elder abuse in a consistent and efficient manner.   </w:t>
      </w:r>
    </w:p>
    <w:p w:rsidR="00A065AD" w:rsidRPr="00A065AD" w:rsidRDefault="00A065AD" w:rsidP="00A065AD">
      <w:pPr>
        <w:rPr>
          <w:rFonts w:asciiTheme="minorHAnsi" w:hAnsiTheme="minorHAnsi"/>
          <w:color w:val="ED7D31" w:themeColor="accent2"/>
          <w:sz w:val="32"/>
        </w:rPr>
      </w:pPr>
    </w:p>
    <w:p w:rsidR="00A065AD" w:rsidRPr="00CA1323" w:rsidRDefault="00A065AD" w:rsidP="00DC0165">
      <w:pPr>
        <w:pStyle w:val="Style2"/>
        <w:numPr>
          <w:ilvl w:val="0"/>
          <w:numId w:val="11"/>
        </w:numPr>
        <w:ind w:hanging="720"/>
        <w:rPr>
          <w:color w:val="ED7D31" w:themeColor="accent2"/>
          <w:sz w:val="32"/>
          <w:u w:val="single"/>
        </w:rPr>
      </w:pPr>
      <w:r w:rsidRPr="00CA1323">
        <w:rPr>
          <w:color w:val="ED7D31" w:themeColor="accent2"/>
          <w:sz w:val="32"/>
        </w:rPr>
        <w:t>Powers of Investigation</w:t>
      </w:r>
    </w:p>
    <w:p w:rsidR="00A065AD" w:rsidRDefault="00A065AD" w:rsidP="00A065AD">
      <w:pPr>
        <w:pStyle w:val="Style2"/>
        <w:rPr>
          <w:u w:val="single"/>
        </w:rPr>
      </w:pPr>
    </w:p>
    <w:p w:rsidR="00181636" w:rsidRDefault="002C773A" w:rsidP="00181636">
      <w:pPr>
        <w:pStyle w:val="Style2"/>
        <w:rPr>
          <w:color w:val="ED7D31" w:themeColor="accent2"/>
          <w:sz w:val="32"/>
          <w:u w:val="single"/>
        </w:rPr>
      </w:pPr>
      <w:r w:rsidRPr="002C773A">
        <w:rPr>
          <w:noProof/>
          <w:lang w:eastAsia="en-AU"/>
        </w:rPr>
        <w:pict>
          <v:roundrect id="Text Box 2" o:spid="_x0000_s1026" style="position:absolute;margin-left:.65pt;margin-top:22.5pt;width:471.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" fillcolor="#f4b083 [1941]" strokecolor="#ed7d31 [3205]" strokeweight="1pt">
            <v:stroke joinstyle="miter"/>
            <v:textbox>
              <w:txbxContent>
                <w:p w:rsidR="00A76281" w:rsidRPr="00B80199" w:rsidRDefault="00A76281" w:rsidP="00A065AD">
                  <w:pPr>
                    <w:pStyle w:val="Style2"/>
                    <w:rPr>
                      <w:b/>
                    </w:rPr>
                  </w:pPr>
                  <w:r w:rsidRPr="00B80199">
                    <w:rPr>
                      <w:b/>
                    </w:rPr>
                    <w:t>Proposal 3-1</w:t>
                  </w:r>
                </w:p>
                <w:p w:rsidR="00A76281" w:rsidRPr="00A065AD" w:rsidRDefault="00A76281" w:rsidP="00A065AD">
                  <w:pPr>
                    <w:pStyle w:val="Style2"/>
                    <w:rPr>
                      <w:sz w:val="22"/>
                    </w:rPr>
                  </w:pPr>
                  <w:r w:rsidRPr="00A065AD">
                    <w:rPr>
                      <w:sz w:val="22"/>
                    </w:rPr>
                    <w:t>State and Territory public advocates or public guardians should be given the power to investigate elder abuse where they have reasonable cause to suspect that an older person:</w:t>
                  </w:r>
                </w:p>
                <w:p w:rsidR="00A76281" w:rsidRPr="00A065AD" w:rsidRDefault="00A76281" w:rsidP="00DC0165">
                  <w:pPr>
                    <w:pStyle w:val="Style2"/>
                    <w:numPr>
                      <w:ilvl w:val="0"/>
                      <w:numId w:val="6"/>
                    </w:numPr>
                    <w:rPr>
                      <w:color w:val="000000"/>
                      <w:sz w:val="22"/>
                    </w:rPr>
                  </w:pPr>
                  <w:r w:rsidRPr="00A065AD">
                    <w:rPr>
                      <w:color w:val="000000"/>
                      <w:sz w:val="22"/>
                    </w:rPr>
                    <w:t>has care and support needs;</w:t>
                  </w:r>
                </w:p>
                <w:p w:rsidR="00A76281" w:rsidRPr="00A065AD" w:rsidRDefault="00A76281" w:rsidP="00DC0165">
                  <w:pPr>
                    <w:pStyle w:val="Style2"/>
                    <w:numPr>
                      <w:ilvl w:val="0"/>
                      <w:numId w:val="6"/>
                    </w:numPr>
                    <w:rPr>
                      <w:color w:val="000000"/>
                      <w:sz w:val="22"/>
                    </w:rPr>
                  </w:pPr>
                  <w:r w:rsidRPr="00A065AD">
                    <w:rPr>
                      <w:color w:val="000000"/>
                      <w:sz w:val="22"/>
                    </w:rPr>
                    <w:t>is, or is at risk of, being abused or neglected; and</w:t>
                  </w:r>
                </w:p>
                <w:p w:rsidR="00A76281" w:rsidRPr="00A065AD" w:rsidRDefault="00A76281" w:rsidP="00DC0165">
                  <w:pPr>
                    <w:pStyle w:val="Style2"/>
                    <w:numPr>
                      <w:ilvl w:val="0"/>
                      <w:numId w:val="6"/>
                    </w:numPr>
                    <w:rPr>
                      <w:sz w:val="22"/>
                    </w:rPr>
                  </w:pPr>
                  <w:proofErr w:type="gramStart"/>
                  <w:r w:rsidRPr="00A065AD">
                    <w:rPr>
                      <w:color w:val="000000"/>
                      <w:sz w:val="22"/>
                    </w:rPr>
                    <w:t>is</w:t>
                  </w:r>
                  <w:proofErr w:type="gramEnd"/>
                  <w:r w:rsidRPr="00A065AD">
                    <w:rPr>
                      <w:color w:val="000000"/>
                      <w:sz w:val="22"/>
                    </w:rPr>
                    <w:t xml:space="preserve"> unable to protect themselves from the abuse or neglect, or the risk of it because of care and support needs.</w:t>
                  </w:r>
                </w:p>
                <w:p w:rsidR="00A76281" w:rsidRPr="00A6763C" w:rsidRDefault="00A76281" w:rsidP="00A065AD">
                  <w:pPr>
                    <w:pStyle w:val="Style2"/>
                    <w:ind w:left="720"/>
                  </w:pPr>
                </w:p>
                <w:p w:rsidR="00A76281" w:rsidRPr="00AB1F77" w:rsidRDefault="00A76281" w:rsidP="00A065AD">
                  <w:pPr>
                    <w:rPr>
                      <w:rFonts w:asciiTheme="majorHAnsi" w:hAnsiTheme="majorHAnsi"/>
                    </w:rPr>
                  </w:pPr>
                  <w:r>
                    <w:t>Public advocates or public guardians should be able to exercise this power on receipt of a complaint or referral or on their own motion</w:t>
                  </w:r>
                </w:p>
                <w:p w:rsidR="00A76281" w:rsidRPr="00832C5A" w:rsidRDefault="00A76281" w:rsidP="00A065AD">
                  <w:pPr>
                    <w:rPr>
                      <w:rFonts w:asciiTheme="majorHAnsi" w:hAnsiTheme="majorHAnsi"/>
                    </w:rPr>
                  </w:pPr>
                  <w:proofErr w:type="gramStart"/>
                  <w:r w:rsidRPr="007311EE">
                    <w:rPr>
                      <w:rFonts w:asciiTheme="majorHAnsi" w:hAnsiTheme="majorHAnsi"/>
                      <w:b/>
                    </w:rPr>
                    <w:t>Question 4</w:t>
                  </w:r>
                  <w:r w:rsidRPr="007311EE">
                    <w:rPr>
                      <w:rFonts w:asciiTheme="majorHAnsi" w:hAnsiTheme="majorHAnsi"/>
                    </w:rPr>
                    <w:t xml:space="preserve">: </w:t>
                  </w:r>
                  <w:r w:rsidRPr="007311EE">
                    <w:rPr>
                      <w:rFonts w:asciiTheme="majorHAnsi" w:hAnsiTheme="majorHAnsi"/>
                    </w:rPr>
                    <w:tab/>
                  </w:r>
                  <w:r>
                    <w:rPr>
                      <w:rFonts w:asciiTheme="majorHAnsi" w:hAnsiTheme="majorHAnsi"/>
                    </w:rPr>
                    <w:t>Current evidence and research gaps about elder abuse.</w:t>
                  </w:r>
                  <w:proofErr w:type="gramEnd"/>
                </w:p>
              </w:txbxContent>
            </v:textbox>
            <w10:wrap type="square"/>
          </v:roundrect>
        </w:pict>
      </w:r>
      <w:r w:rsidR="00A065AD" w:rsidRPr="00CA1323">
        <w:rPr>
          <w:u w:val="single"/>
        </w:rPr>
        <w:t>3.1 Extension of powers</w:t>
      </w:r>
    </w:p>
    <w:p w:rsidR="00A065AD" w:rsidRPr="00181636" w:rsidRDefault="00A065AD" w:rsidP="00181636">
      <w:pPr>
        <w:pStyle w:val="Style2"/>
        <w:jc w:val="both"/>
        <w:rPr>
          <w:color w:val="ED7D31" w:themeColor="accent2"/>
          <w:sz w:val="32"/>
          <w:u w:val="single"/>
        </w:rPr>
      </w:pPr>
      <w:r>
        <w:lastRenderedPageBreak/>
        <w:t xml:space="preserve">Legal Aid ACT </w:t>
      </w:r>
      <w:r w:rsidR="00985B89">
        <w:t>submits that</w:t>
      </w:r>
      <w:r>
        <w:t xml:space="preserve"> </w:t>
      </w:r>
      <w:r w:rsidR="00985B89">
        <w:t>the</w:t>
      </w:r>
      <w:r>
        <w:t xml:space="preserve"> powers of the Public Trustee and Guardian Office </w:t>
      </w:r>
      <w:r w:rsidR="00985B89">
        <w:t xml:space="preserve">be extended in line with Proposal 3-1 </w:t>
      </w:r>
      <w:r>
        <w:t>to include investigative powers, both where a complaint or referral regarding elder abuse has been received, or on the advocate or guardians own volition.</w:t>
      </w:r>
      <w:r>
        <w:rPr>
          <w:rStyle w:val="FootnoteReference"/>
        </w:rPr>
        <w:footnoteReference w:id="1"/>
      </w:r>
      <w:r>
        <w:t xml:space="preserve"> </w:t>
      </w:r>
    </w:p>
    <w:p w:rsidR="00A065AD" w:rsidRDefault="00A065AD" w:rsidP="00181636">
      <w:pPr>
        <w:pStyle w:val="Style2"/>
        <w:jc w:val="both"/>
      </w:pPr>
    </w:p>
    <w:p w:rsidR="006B455E" w:rsidRDefault="00A065AD" w:rsidP="006B455E">
      <w:pPr>
        <w:pStyle w:val="Style2"/>
        <w:jc w:val="both"/>
      </w:pPr>
      <w:r>
        <w:t xml:space="preserve">As both Legal Aid ACT and the ALRC have identified, there is a significant risk that older Australians may be reluctant to report instances of abuse due to fear of reprisal, feelings of shame, or a desire not to jeopardise familial relationships. </w:t>
      </w:r>
      <w:r w:rsidR="00F77AD5">
        <w:t xml:space="preserve">Older Australians </w:t>
      </w:r>
      <w:r>
        <w:t xml:space="preserve">may also not be aware of the nature of the abuse, or that services and legal remedies exist to prevent and respond to these matters. </w:t>
      </w:r>
      <w:r w:rsidR="006B455E">
        <w:t xml:space="preserve">Legal Aid ACT agrees with the ALRC that education and community awareness campaigns are the preferable mode through which these issues should be addressed for older Australians </w:t>
      </w:r>
      <w:r w:rsidR="006B455E" w:rsidRPr="00370F6B">
        <w:rPr>
          <w:i/>
        </w:rPr>
        <w:t>able</w:t>
      </w:r>
      <w:r w:rsidR="006B455E">
        <w:t xml:space="preserve"> to seek help.</w:t>
      </w:r>
      <w:r w:rsidR="00F77AD5">
        <w:rPr>
          <w:rStyle w:val="FootnoteReference"/>
        </w:rPr>
        <w:footnoteReference w:id="2"/>
      </w:r>
      <w:r w:rsidR="006B455E">
        <w:t xml:space="preserve"> The existence of a ‘comprehensive model of protection and support’</w:t>
      </w:r>
      <w:r w:rsidR="00370F6B">
        <w:t>,</w:t>
      </w:r>
      <w:r w:rsidR="006B455E">
        <w:rPr>
          <w:rStyle w:val="FootnoteReference"/>
        </w:rPr>
        <w:footnoteReference w:id="3"/>
      </w:r>
      <w:r w:rsidR="006B455E">
        <w:t xml:space="preserve"> with its broad powers to investigate any older persons ‘at risk’, would expand the powers of public guardians and advocates too far. </w:t>
      </w:r>
    </w:p>
    <w:p w:rsidR="006B455E" w:rsidRDefault="006B455E" w:rsidP="006B455E">
      <w:pPr>
        <w:pStyle w:val="Style2"/>
        <w:jc w:val="both"/>
      </w:pPr>
    </w:p>
    <w:p w:rsidR="00D15FF4" w:rsidRPr="001B5CAC" w:rsidRDefault="006B455E" w:rsidP="00A065AD">
      <w:pPr>
        <w:pStyle w:val="Style2"/>
        <w:jc w:val="both"/>
      </w:pPr>
      <w:r>
        <w:t>R</w:t>
      </w:r>
      <w:r w:rsidR="00A065AD">
        <w:t>efining the scope of the</w:t>
      </w:r>
      <w:r w:rsidR="00D15FF4">
        <w:t xml:space="preserve"> investigatory</w:t>
      </w:r>
      <w:r w:rsidR="00A065AD">
        <w:t xml:space="preserve"> powers is necessary to preserve the autono</w:t>
      </w:r>
      <w:r w:rsidR="00FA09C7">
        <w:t>my and dignity of o</w:t>
      </w:r>
      <w:r w:rsidR="00A065AD">
        <w:t xml:space="preserve">lder Australians. </w:t>
      </w:r>
      <w:r w:rsidR="00D15FF4">
        <w:t xml:space="preserve">Legal Aid ACT submits that </w:t>
      </w:r>
      <w:r w:rsidR="00091B2F">
        <w:t>parts</w:t>
      </w:r>
      <w:r w:rsidR="00D15FF4">
        <w:t xml:space="preserve"> (a)-(c) in </w:t>
      </w:r>
      <w:r w:rsidR="00A065AD">
        <w:t>Proposal 3-1</w:t>
      </w:r>
      <w:r w:rsidR="00D15FF4">
        <w:t xml:space="preserve"> are, for the most part, sufficient</w:t>
      </w:r>
      <w:r w:rsidR="00091B2F">
        <w:t xml:space="preserve"> limitations</w:t>
      </w:r>
      <w:r w:rsidR="00D15FF4">
        <w:t xml:space="preserve">. In relation to </w:t>
      </w:r>
      <w:r w:rsidR="00CF77B3">
        <w:t>‘</w:t>
      </w:r>
      <w:r w:rsidR="00D15FF4">
        <w:t>care and support needs</w:t>
      </w:r>
      <w:r w:rsidR="00CF77B3">
        <w:t>’</w:t>
      </w:r>
      <w:r w:rsidR="00D15FF4">
        <w:t xml:space="preserve"> Legal Aid ACT agrees with </w:t>
      </w:r>
      <w:r w:rsidR="00CF77B3">
        <w:t xml:space="preserve">the </w:t>
      </w:r>
      <w:r w:rsidR="00D15FF4">
        <w:t xml:space="preserve">submission by the Office of the Public Advocate </w:t>
      </w:r>
      <w:r w:rsidR="00B9392E">
        <w:t xml:space="preserve">(OPA) </w:t>
      </w:r>
      <w:r w:rsidR="00D15FF4">
        <w:t>that the definition of ‘care and support needs’ does not need to include situations of physical restraint</w:t>
      </w:r>
      <w:r w:rsidR="00CF77B3">
        <w:t xml:space="preserve">, for the reasons outlined by the </w:t>
      </w:r>
      <w:r w:rsidR="00B9392E">
        <w:t>OPA</w:t>
      </w:r>
      <w:r w:rsidR="00D15FF4">
        <w:t>.</w:t>
      </w:r>
      <w:r w:rsidR="00D15FF4">
        <w:rPr>
          <w:rStyle w:val="FootnoteReference"/>
        </w:rPr>
        <w:footnoteReference w:id="4"/>
      </w:r>
      <w:r w:rsidR="00D15FF4">
        <w:t xml:space="preserve"> In relation to </w:t>
      </w:r>
      <w:r w:rsidR="001B5CAC">
        <w:t>part</w:t>
      </w:r>
      <w:r w:rsidR="00D15FF4">
        <w:t xml:space="preserve"> (c), Legal Aid ACT submits that the phrase </w:t>
      </w:r>
      <w:r w:rsidR="008B2892" w:rsidRPr="008B2892">
        <w:t>‘</w:t>
      </w:r>
      <w:r w:rsidR="008B2892" w:rsidRPr="00370F6B">
        <w:rPr>
          <w:color w:val="000000"/>
        </w:rPr>
        <w:t>because of care and support needs’ be removed.</w:t>
      </w:r>
      <w:r w:rsidR="008B2892">
        <w:rPr>
          <w:color w:val="000000"/>
          <w:sz w:val="22"/>
        </w:rPr>
        <w:t xml:space="preserve"> </w:t>
      </w:r>
      <w:r w:rsidR="00CF77B3" w:rsidRPr="00370F6B">
        <w:rPr>
          <w:color w:val="000000"/>
        </w:rPr>
        <w:t>There are many reasons older Australian</w:t>
      </w:r>
      <w:r w:rsidR="00B9392E" w:rsidRPr="00370F6B">
        <w:rPr>
          <w:color w:val="000000"/>
        </w:rPr>
        <w:t>s</w:t>
      </w:r>
      <w:r w:rsidR="00CF77B3" w:rsidRPr="00370F6B">
        <w:rPr>
          <w:color w:val="000000"/>
        </w:rPr>
        <w:t xml:space="preserve"> may be unable to protect themselves from abuse. Geographic location, </w:t>
      </w:r>
      <w:r w:rsidR="00CF2E01">
        <w:rPr>
          <w:color w:val="000000"/>
        </w:rPr>
        <w:t xml:space="preserve">lack of access to </w:t>
      </w:r>
      <w:r w:rsidR="00CF77B3" w:rsidRPr="00370F6B">
        <w:rPr>
          <w:color w:val="000000"/>
        </w:rPr>
        <w:t>appropriate facilities</w:t>
      </w:r>
      <w:r w:rsidR="00B9392E" w:rsidRPr="00370F6B">
        <w:rPr>
          <w:color w:val="000000"/>
        </w:rPr>
        <w:t xml:space="preserve"> </w:t>
      </w:r>
      <w:r w:rsidR="00CF2E01">
        <w:rPr>
          <w:color w:val="000000"/>
        </w:rPr>
        <w:t>(</w:t>
      </w:r>
      <w:r w:rsidR="00B9392E" w:rsidRPr="00370F6B">
        <w:rPr>
          <w:color w:val="000000"/>
        </w:rPr>
        <w:t>such a lock on the door</w:t>
      </w:r>
      <w:r w:rsidR="00CF2E01">
        <w:rPr>
          <w:color w:val="000000"/>
        </w:rPr>
        <w:t>)</w:t>
      </w:r>
      <w:r w:rsidR="00CF77B3" w:rsidRPr="00370F6B">
        <w:rPr>
          <w:color w:val="000000"/>
        </w:rPr>
        <w:t xml:space="preserve">, and general frailty </w:t>
      </w:r>
      <w:r w:rsidR="00CF2E01" w:rsidRPr="00CF2E01">
        <w:rPr>
          <w:color w:val="000000"/>
        </w:rPr>
        <w:t>(that does not constitute</w:t>
      </w:r>
      <w:r w:rsidR="00B9392E" w:rsidRPr="00370F6B">
        <w:rPr>
          <w:color w:val="000000"/>
        </w:rPr>
        <w:t xml:space="preserve"> a physical impairment</w:t>
      </w:r>
      <w:r w:rsidR="00CF2E01">
        <w:rPr>
          <w:color w:val="000000"/>
        </w:rPr>
        <w:t xml:space="preserve"> for the purposes of ‘care and support’</w:t>
      </w:r>
      <w:r w:rsidR="00B9392E" w:rsidRPr="00370F6B">
        <w:rPr>
          <w:color w:val="000000"/>
        </w:rPr>
        <w:t xml:space="preserve">) are </w:t>
      </w:r>
      <w:r w:rsidR="00CF77B3" w:rsidRPr="00370F6B">
        <w:rPr>
          <w:color w:val="000000"/>
        </w:rPr>
        <w:t xml:space="preserve">a few examples. </w:t>
      </w:r>
      <w:r w:rsidR="001B5CAC" w:rsidRPr="00370F6B">
        <w:rPr>
          <w:color w:val="000000"/>
        </w:rPr>
        <w:t xml:space="preserve">Part (c) </w:t>
      </w:r>
      <w:r w:rsidR="00CF2E01" w:rsidRPr="00CF2E01">
        <w:rPr>
          <w:color w:val="000000"/>
        </w:rPr>
        <w:t>is</w:t>
      </w:r>
      <w:r w:rsidR="001B5CAC" w:rsidRPr="00370F6B">
        <w:rPr>
          <w:color w:val="000000"/>
        </w:rPr>
        <w:t xml:space="preserve"> an unnecessary restriction for older Australians whose care and support needs have already been established. </w:t>
      </w:r>
    </w:p>
    <w:p w:rsidR="00D15FF4" w:rsidRDefault="00D15FF4" w:rsidP="00A065AD">
      <w:pPr>
        <w:pStyle w:val="Style2"/>
        <w:jc w:val="both"/>
      </w:pPr>
    </w:p>
    <w:p w:rsidR="00EA1C17" w:rsidRDefault="00D15FF4" w:rsidP="00A065AD">
      <w:pPr>
        <w:pStyle w:val="Style2"/>
        <w:jc w:val="both"/>
      </w:pPr>
      <w:r>
        <w:t xml:space="preserve">Proposal 3-1 </w:t>
      </w:r>
      <w:r w:rsidR="00A065AD">
        <w:t>should</w:t>
      </w:r>
      <w:r>
        <w:t xml:space="preserve"> also</w:t>
      </w:r>
      <w:r w:rsidR="00A065AD">
        <w:t xml:space="preserve"> be implemented subject to the guiding principles outlined in Proposal 3-2 and </w:t>
      </w:r>
      <w:r w:rsidR="00FA09C7">
        <w:t xml:space="preserve">specifically </w:t>
      </w:r>
      <w:r w:rsidR="00A065AD">
        <w:t>to the</w:t>
      </w:r>
      <w:r w:rsidR="0020234C">
        <w:t xml:space="preserve"> </w:t>
      </w:r>
      <w:r w:rsidR="00A065AD">
        <w:t xml:space="preserve">restriction that the </w:t>
      </w:r>
      <w:r w:rsidR="006B455E">
        <w:t>older person</w:t>
      </w:r>
      <w:r w:rsidR="00A065AD">
        <w:t xml:space="preserve"> has the right to request termination of the investigation at any time, and have that request unreservedly complied with</w:t>
      </w:r>
      <w:r w:rsidR="00531962">
        <w:t xml:space="preserve"> by the investigating body</w:t>
      </w:r>
      <w:r w:rsidR="00D426DE">
        <w:t>.</w:t>
      </w:r>
      <w:r w:rsidR="00320CDB">
        <w:t xml:space="preserve"> </w:t>
      </w:r>
      <w:r w:rsidR="00A065AD">
        <w:t>This is particularly important for older Australians in diverse communities, or in complex inter-familial and dependant relationships</w:t>
      </w:r>
      <w:r w:rsidR="00531962">
        <w:t xml:space="preserve"> where there is an ongoing need to main</w:t>
      </w:r>
      <w:r w:rsidR="00B4276B">
        <w:t>tain the</w:t>
      </w:r>
      <w:r w:rsidR="00531962">
        <w:t xml:space="preserve"> relationship</w:t>
      </w:r>
      <w:r w:rsidR="00A065AD">
        <w:t>.</w:t>
      </w:r>
      <w:r w:rsidR="00A065AD">
        <w:rPr>
          <w:rStyle w:val="FootnoteReference"/>
        </w:rPr>
        <w:footnoteReference w:id="5"/>
      </w:r>
      <w:r w:rsidR="00370F6B">
        <w:t xml:space="preserve"> Legal Aid ACT acknowledges that in </w:t>
      </w:r>
      <w:r w:rsidR="00C504D1">
        <w:t xml:space="preserve">some </w:t>
      </w:r>
      <w:r w:rsidR="00370F6B">
        <w:t>instances</w:t>
      </w:r>
      <w:r w:rsidR="00C504D1">
        <w:t xml:space="preserve">, older persons may lack capacity to request termination of the investigation. </w:t>
      </w:r>
      <w:r w:rsidR="00370F6B">
        <w:t xml:space="preserve"> </w:t>
      </w:r>
      <w:r w:rsidR="00C504D1">
        <w:t xml:space="preserve">Legal Aid submits that in </w:t>
      </w:r>
      <w:r w:rsidR="00364B12">
        <w:t xml:space="preserve">these </w:t>
      </w:r>
      <w:r w:rsidR="00C504D1">
        <w:t xml:space="preserve">cases where the older person has an Enduring Power of Attorney (EPOA), the EPOA should be consulted, informed of the right to terminate, and have the ability to terminate the investigation on the older person’s behalf. Where </w:t>
      </w:r>
      <w:r w:rsidR="00B22540">
        <w:t xml:space="preserve">there is no EPOA, or </w:t>
      </w:r>
      <w:r w:rsidR="00C504D1">
        <w:t xml:space="preserve">the EPOA is suspected of perpetrating or being complicit in the abuse, the investigatory body should </w:t>
      </w:r>
      <w:r w:rsidR="00364B12">
        <w:t xml:space="preserve">not be required to obtain </w:t>
      </w:r>
      <w:r w:rsidR="00B22540">
        <w:t xml:space="preserve">the older person’s or the </w:t>
      </w:r>
      <w:r w:rsidR="00364B12">
        <w:t>EPOA</w:t>
      </w:r>
      <w:r w:rsidR="00B22540">
        <w:t>’s</w:t>
      </w:r>
      <w:r w:rsidR="00364B12">
        <w:t xml:space="preserve"> consent and should </w:t>
      </w:r>
      <w:r w:rsidR="00C504D1">
        <w:t xml:space="preserve">proceed with the investigation, </w:t>
      </w:r>
      <w:r w:rsidR="00364B12">
        <w:t>subject to the restriction that they operate with regard</w:t>
      </w:r>
      <w:r w:rsidR="00C504D1">
        <w:t xml:space="preserve"> to the best interests of the older person at all times.</w:t>
      </w:r>
    </w:p>
    <w:p w:rsidR="00A065AD" w:rsidRDefault="00A065AD" w:rsidP="00A065AD">
      <w:pPr>
        <w:pStyle w:val="Style2"/>
        <w:jc w:val="both"/>
      </w:pPr>
      <w:r>
        <w:lastRenderedPageBreak/>
        <w:t>Older Australian’s</w:t>
      </w:r>
      <w:r w:rsidR="00C504D1">
        <w:t xml:space="preserve"> (and where applicable, their EP</w:t>
      </w:r>
      <w:r w:rsidR="00364B12">
        <w:t>O</w:t>
      </w:r>
      <w:r w:rsidR="00C504D1">
        <w:t xml:space="preserve">A’s) </w:t>
      </w:r>
      <w:r>
        <w:t>should be made aware through the investigative process that discrete assistance services are available, and be given the means to pursue action if desired</w:t>
      </w:r>
      <w:r w:rsidR="00EA1C17">
        <w:t xml:space="preserve">. </w:t>
      </w:r>
      <w:r w:rsidR="00985B89">
        <w:t>A</w:t>
      </w:r>
      <w:r>
        <w:t xml:space="preserve"> time frame for the investigate process should also be s</w:t>
      </w:r>
      <w:r w:rsidR="006273D7">
        <w:t>pecified to prevent delay and</w:t>
      </w:r>
      <w:r>
        <w:t xml:space="preserve"> </w:t>
      </w:r>
      <w:r w:rsidR="006273D7">
        <w:t xml:space="preserve">its </w:t>
      </w:r>
      <w:r w:rsidR="00531962">
        <w:t xml:space="preserve">associated impacts, including ongoing stress, </w:t>
      </w:r>
      <w:r w:rsidR="00A26E4C">
        <w:t>financial cost, accelerated relationship breakdown and</w:t>
      </w:r>
      <w:r w:rsidR="00FA09C7">
        <w:t xml:space="preserve"> incapacity to seek help due to</w:t>
      </w:r>
      <w:r w:rsidR="00A26E4C">
        <w:t xml:space="preserve"> cognitive decline.</w:t>
      </w:r>
    </w:p>
    <w:p w:rsidR="00D15FF4" w:rsidRDefault="00D15FF4" w:rsidP="00A065AD">
      <w:pPr>
        <w:pStyle w:val="Style2"/>
        <w:jc w:val="both"/>
      </w:pPr>
    </w:p>
    <w:p w:rsidR="00A065AD" w:rsidRPr="00CA1323" w:rsidRDefault="002C773A" w:rsidP="00A065AD">
      <w:pPr>
        <w:pStyle w:val="Style2"/>
        <w:jc w:val="both"/>
        <w:rPr>
          <w:u w:val="single"/>
        </w:rPr>
      </w:pPr>
      <w:r>
        <w:rPr>
          <w:noProof/>
          <w:u w:val="single"/>
          <w:lang w:eastAsia="en-AU"/>
        </w:rPr>
        <w:pict>
          <v:roundrect id="_x0000_s1027" style="position:absolute;left:0;text-align:left;margin-left:-2.35pt;margin-top:27.6pt;width:468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" fillcolor="#f4b083 [1941]" strokecolor="#ed7d31 [3205]" strokeweight="1pt">
            <v:stroke joinstyle="miter"/>
            <v:textbox>
              <w:txbxContent>
                <w:p w:rsidR="00A76281" w:rsidRPr="00B80199" w:rsidRDefault="00A76281" w:rsidP="00A065AD">
                  <w:pPr>
                    <w:pStyle w:val="Style2"/>
                    <w:rPr>
                      <w:b/>
                    </w:rPr>
                  </w:pPr>
                  <w:r w:rsidRPr="00B80199">
                    <w:rPr>
                      <w:b/>
                    </w:rPr>
                    <w:t>Proposal 3-</w:t>
                  </w:r>
                  <w:r>
                    <w:rPr>
                      <w:b/>
                    </w:rPr>
                    <w:t>2</w:t>
                  </w:r>
                </w:p>
                <w:p w:rsidR="00A76281" w:rsidRPr="00A065AD" w:rsidRDefault="00A76281" w:rsidP="00A065AD">
                  <w:pPr>
                    <w:pStyle w:val="Style2"/>
                    <w:rPr>
                      <w:color w:val="000000"/>
                      <w:sz w:val="22"/>
                    </w:rPr>
                  </w:pPr>
                  <w:r w:rsidRPr="00A065AD">
                    <w:rPr>
                      <w:color w:val="000000"/>
                      <w:sz w:val="22"/>
                    </w:rPr>
                    <w:t>Public advocates or public guardians should be guided by the following principles:</w:t>
                  </w:r>
                </w:p>
                <w:p w:rsidR="00A76281" w:rsidRPr="00A065AD" w:rsidRDefault="00A76281" w:rsidP="00DC0165">
                  <w:pPr>
                    <w:pStyle w:val="Style2"/>
                    <w:numPr>
                      <w:ilvl w:val="0"/>
                      <w:numId w:val="5"/>
                    </w:numPr>
                    <w:ind w:left="1418" w:hanging="425"/>
                    <w:rPr>
                      <w:color w:val="000000"/>
                      <w:sz w:val="22"/>
                    </w:rPr>
                  </w:pPr>
                  <w:r w:rsidRPr="00A065AD">
                    <w:rPr>
                      <w:color w:val="000000"/>
                      <w:sz w:val="22"/>
                    </w:rPr>
                    <w:t>older people experiencing abuse or neglect have the right to refuse support, assistance or protection;</w:t>
                  </w:r>
                </w:p>
                <w:p w:rsidR="00A76281" w:rsidRPr="00A065AD" w:rsidRDefault="00A76281" w:rsidP="00DC0165">
                  <w:pPr>
                    <w:pStyle w:val="Style2"/>
                    <w:numPr>
                      <w:ilvl w:val="0"/>
                      <w:numId w:val="5"/>
                    </w:numPr>
                    <w:ind w:left="1418" w:hanging="425"/>
                    <w:rPr>
                      <w:sz w:val="22"/>
                    </w:rPr>
                  </w:pPr>
                  <w:r w:rsidRPr="00A065AD">
                    <w:rPr>
                      <w:color w:val="000000"/>
                      <w:sz w:val="22"/>
                    </w:rPr>
                    <w:t>the need to protect someone from abuse or neglect must be balanced with respect for the person’s right to make their own decisions about their care; and</w:t>
                  </w:r>
                </w:p>
                <w:p w:rsidR="00A76281" w:rsidRPr="00A065AD" w:rsidRDefault="00A76281" w:rsidP="00DC0165">
                  <w:pPr>
                    <w:pStyle w:val="Style2"/>
                    <w:numPr>
                      <w:ilvl w:val="0"/>
                      <w:numId w:val="5"/>
                    </w:numPr>
                    <w:ind w:left="1418" w:hanging="425"/>
                    <w:rPr>
                      <w:sz w:val="22"/>
                    </w:rPr>
                  </w:pPr>
                  <w:proofErr w:type="gramStart"/>
                  <w:r w:rsidRPr="00A065AD">
                    <w:rPr>
                      <w:color w:val="000000"/>
                      <w:sz w:val="22"/>
                    </w:rPr>
                    <w:t>the</w:t>
                  </w:r>
                  <w:proofErr w:type="gramEnd"/>
                  <w:r w:rsidRPr="00A065AD">
                    <w:rPr>
                      <w:color w:val="000000"/>
                      <w:sz w:val="22"/>
                    </w:rPr>
                    <w:t xml:space="preserve"> will, preferences and rights of the older person must be respected.</w:t>
                  </w:r>
                </w:p>
              </w:txbxContent>
            </v:textbox>
            <w10:wrap type="square"/>
          </v:roundrect>
        </w:pict>
      </w:r>
      <w:r w:rsidR="00A065AD" w:rsidRPr="00CA1323">
        <w:rPr>
          <w:u w:val="single"/>
        </w:rPr>
        <w:t>3.2 Guiding Principle</w:t>
      </w:r>
      <w:r w:rsidR="00A065AD">
        <w:rPr>
          <w:u w:val="single"/>
        </w:rPr>
        <w:t>s</w:t>
      </w:r>
    </w:p>
    <w:p w:rsidR="00A065AD" w:rsidRDefault="00A065AD" w:rsidP="00A065AD">
      <w:pPr>
        <w:pStyle w:val="Style2"/>
        <w:jc w:val="both"/>
      </w:pPr>
    </w:p>
    <w:p w:rsidR="00A065AD" w:rsidRDefault="00A065AD" w:rsidP="00A065AD">
      <w:pPr>
        <w:pStyle w:val="Style2"/>
        <w:jc w:val="both"/>
      </w:pPr>
      <w:r>
        <w:t xml:space="preserve">Legal Aid ACT endorses the Guiding Principles outlined in Proposal 3-2, recognising the need to respect the autonomy and dignity of older persons. </w:t>
      </w:r>
    </w:p>
    <w:p w:rsidR="00A065AD" w:rsidRDefault="00A065AD" w:rsidP="00A065AD">
      <w:pPr>
        <w:pStyle w:val="Style2"/>
        <w:jc w:val="both"/>
      </w:pPr>
    </w:p>
    <w:p w:rsidR="00A065AD" w:rsidRDefault="00A065AD" w:rsidP="00A065AD">
      <w:pPr>
        <w:pStyle w:val="Style2"/>
        <w:jc w:val="both"/>
        <w:rPr>
          <w:u w:val="single"/>
        </w:rPr>
      </w:pPr>
      <w:r w:rsidRPr="00CA1323">
        <w:rPr>
          <w:u w:val="single"/>
        </w:rPr>
        <w:t xml:space="preserve">3.3 </w:t>
      </w:r>
      <w:r>
        <w:rPr>
          <w:u w:val="single"/>
        </w:rPr>
        <w:t xml:space="preserve">Other powers </w:t>
      </w:r>
    </w:p>
    <w:p w:rsidR="0020234C" w:rsidRDefault="002C773A" w:rsidP="00A065AD">
      <w:pPr>
        <w:pStyle w:val="Style2"/>
        <w:jc w:val="both"/>
        <w:rPr>
          <w:u w:val="single"/>
        </w:rPr>
      </w:pPr>
      <w:r w:rsidRPr="002C773A">
        <w:rPr>
          <w:noProof/>
          <w:lang w:eastAsia="en-AU"/>
        </w:rPr>
        <w:pict>
          <v:roundrect id="Text Box 3" o:spid="_x0000_s1028" style="position:absolute;left:0;text-align:left;margin-left:-.85pt;margin-top:17.3pt;width:467.25pt;height:11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" fillcolor="#f4b083 [1941]" strokecolor="#ed7d31 [3205]" strokeweight="1pt">
            <v:stroke joinstyle="miter"/>
            <v:textbox>
              <w:txbxContent>
                <w:p w:rsidR="00A76281" w:rsidRDefault="00A76281" w:rsidP="00200712">
                  <w:pPr>
                    <w:pStyle w:val="Style2"/>
                    <w:rPr>
                      <w:b/>
                    </w:rPr>
                  </w:pPr>
                  <w:r w:rsidRPr="00B80199">
                    <w:rPr>
                      <w:b/>
                    </w:rPr>
                    <w:t>Proposal 3-</w:t>
                  </w:r>
                  <w:r>
                    <w:rPr>
                      <w:b/>
                    </w:rPr>
                    <w:t>3</w:t>
                  </w:r>
                </w:p>
                <w:p w:rsidR="00A76281" w:rsidRPr="00A065AD" w:rsidRDefault="00A76281" w:rsidP="00200712">
                  <w:pPr>
                    <w:pStyle w:val="Style2"/>
                    <w:rPr>
                      <w:color w:val="000000"/>
                      <w:sz w:val="22"/>
                      <w:szCs w:val="22"/>
                    </w:rPr>
                  </w:pPr>
                  <w:r w:rsidRPr="00A065AD">
                    <w:rPr>
                      <w:color w:val="000000"/>
                      <w:sz w:val="22"/>
                      <w:szCs w:val="22"/>
                    </w:rPr>
                    <w:t>Public advocates or public guardians should have the power to require that a person, other than the older person:</w:t>
                  </w:r>
                </w:p>
                <w:p w:rsidR="00A76281" w:rsidRPr="00A065AD" w:rsidRDefault="00A76281" w:rsidP="00200712">
                  <w:pPr>
                    <w:pStyle w:val="Style2"/>
                    <w:numPr>
                      <w:ilvl w:val="0"/>
                      <w:numId w:val="7"/>
                    </w:numPr>
                    <w:rPr>
                      <w:b/>
                    </w:rPr>
                  </w:pPr>
                  <w:r w:rsidRPr="00A065AD">
                    <w:rPr>
                      <w:color w:val="000000"/>
                      <w:sz w:val="22"/>
                      <w:szCs w:val="22"/>
                    </w:rPr>
                    <w:t>furnish information;</w:t>
                  </w:r>
                </w:p>
                <w:p w:rsidR="00A76281" w:rsidRPr="00A065AD" w:rsidRDefault="00A76281" w:rsidP="00200712">
                  <w:pPr>
                    <w:pStyle w:val="Style2"/>
                    <w:numPr>
                      <w:ilvl w:val="0"/>
                      <w:numId w:val="7"/>
                    </w:numPr>
                    <w:rPr>
                      <w:b/>
                    </w:rPr>
                  </w:pPr>
                  <w:r w:rsidRPr="00A065AD">
                    <w:rPr>
                      <w:color w:val="000000"/>
                      <w:sz w:val="22"/>
                      <w:szCs w:val="22"/>
                    </w:rPr>
                    <w:t>produce documents; or</w:t>
                  </w:r>
                </w:p>
                <w:p w:rsidR="00A76281" w:rsidRPr="006273D7" w:rsidRDefault="00A76281" w:rsidP="00200712">
                  <w:pPr>
                    <w:pStyle w:val="Style2"/>
                    <w:numPr>
                      <w:ilvl w:val="0"/>
                      <w:numId w:val="7"/>
                    </w:numPr>
                    <w:rPr>
                      <w:b/>
                    </w:rPr>
                  </w:pPr>
                  <w:r w:rsidRPr="00A065AD">
                    <w:rPr>
                      <w:color w:val="000000"/>
                      <w:sz w:val="22"/>
                      <w:szCs w:val="22"/>
                    </w:rPr>
                    <w:t>participate in an interview</w:t>
                  </w:r>
                </w:p>
                <w:p w:rsidR="00A76281" w:rsidRPr="00A065AD" w:rsidRDefault="00A76281" w:rsidP="00200712">
                  <w:pPr>
                    <w:pStyle w:val="Style2"/>
                    <w:rPr>
                      <w:color w:val="000000"/>
                      <w:sz w:val="22"/>
                      <w:szCs w:val="22"/>
                    </w:rPr>
                  </w:pPr>
                  <w:proofErr w:type="gramStart"/>
                  <w:r w:rsidRPr="00A065AD">
                    <w:rPr>
                      <w:color w:val="000000"/>
                      <w:sz w:val="22"/>
                      <w:szCs w:val="22"/>
                    </w:rPr>
                    <w:t>relating</w:t>
                  </w:r>
                  <w:proofErr w:type="gramEnd"/>
                  <w:r w:rsidRPr="00A065AD">
                    <w:rPr>
                      <w:color w:val="000000"/>
                      <w:sz w:val="22"/>
                      <w:szCs w:val="22"/>
                    </w:rPr>
                    <w:t xml:space="preserve"> to an investigation of the abuse or neglect of an older person.</w:t>
                  </w:r>
                </w:p>
                <w:p w:rsidR="00A76281" w:rsidRPr="00B80199" w:rsidRDefault="00A76281" w:rsidP="00200712">
                  <w:pPr>
                    <w:pStyle w:val="Style2"/>
                    <w:ind w:firstLine="720"/>
                    <w:rPr>
                      <w:b/>
                      <w:sz w:val="28"/>
                    </w:rPr>
                  </w:pPr>
                </w:p>
                <w:p w:rsidR="00A76281" w:rsidRPr="00B80199" w:rsidRDefault="00A76281" w:rsidP="00200712">
                  <w:pPr>
                    <w:pStyle w:val="Style2"/>
                    <w:rPr>
                      <w:b/>
                    </w:rPr>
                  </w:pPr>
                </w:p>
              </w:txbxContent>
            </v:textbox>
            <w10:wrap type="square"/>
          </v:roundrect>
        </w:pict>
      </w:r>
    </w:p>
    <w:p w:rsidR="0020234C" w:rsidRDefault="0020234C" w:rsidP="00A065AD">
      <w:pPr>
        <w:pStyle w:val="Style2"/>
        <w:jc w:val="both"/>
      </w:pPr>
    </w:p>
    <w:p w:rsidR="00D426DE" w:rsidRDefault="00A065AD" w:rsidP="00A065AD">
      <w:pPr>
        <w:pStyle w:val="Style2"/>
        <w:jc w:val="both"/>
      </w:pPr>
      <w:r>
        <w:t xml:space="preserve">Legal Aid ACT </w:t>
      </w:r>
      <w:r w:rsidR="004447C3">
        <w:t>recognises</w:t>
      </w:r>
      <w:r>
        <w:t xml:space="preserve"> that the power to compel interview participation or to disclose documents and information </w:t>
      </w:r>
      <w:r w:rsidR="00EA1C17">
        <w:t>would be</w:t>
      </w:r>
      <w:r>
        <w:t xml:space="preserve"> a useful investigative tool </w:t>
      </w:r>
      <w:r w:rsidR="004447C3">
        <w:t xml:space="preserve">for </w:t>
      </w:r>
      <w:r w:rsidR="001F6608">
        <w:t>public advocates or public guardians,</w:t>
      </w:r>
      <w:r>
        <w:t xml:space="preserve"> and would likely facilitate a more effective and expedient investigative process. However, this must be balanced with the need to respect the privacy and independence of </w:t>
      </w:r>
      <w:r w:rsidR="003F2660">
        <w:t>older Australians</w:t>
      </w:r>
      <w:r>
        <w:t xml:space="preserve">. Concurrent with </w:t>
      </w:r>
      <w:r w:rsidR="00985B89">
        <w:t xml:space="preserve">our submission </w:t>
      </w:r>
      <w:r>
        <w:t xml:space="preserve">that </w:t>
      </w:r>
      <w:r w:rsidR="003F2660">
        <w:t>a purported victim of elder abuse</w:t>
      </w:r>
      <w:r w:rsidR="00580FB4">
        <w:t xml:space="preserve"> (or where they lack capacity, their EPOA)</w:t>
      </w:r>
      <w:r>
        <w:t xml:space="preserve"> </w:t>
      </w:r>
      <w:r w:rsidR="00580FB4">
        <w:t xml:space="preserve">be endowed with </w:t>
      </w:r>
      <w:r>
        <w:t xml:space="preserve">the power to request immediate termination of an investigation, Legal Aid </w:t>
      </w:r>
      <w:r w:rsidR="00985B89">
        <w:t>ACT submits</w:t>
      </w:r>
      <w:r>
        <w:t xml:space="preserve"> that the consent of the older person </w:t>
      </w:r>
      <w:r w:rsidR="00580FB4">
        <w:t xml:space="preserve">(or </w:t>
      </w:r>
      <w:r w:rsidR="00364B12">
        <w:t xml:space="preserve">again, </w:t>
      </w:r>
      <w:r w:rsidR="00580FB4">
        <w:t xml:space="preserve">their EPOA) </w:t>
      </w:r>
      <w:r w:rsidR="00CF2E01">
        <w:t xml:space="preserve">must </w:t>
      </w:r>
      <w:r>
        <w:t xml:space="preserve">first be obtained before persons, other than the </w:t>
      </w:r>
      <w:r w:rsidR="00580FB4">
        <w:t>older person</w:t>
      </w:r>
      <w:r>
        <w:t xml:space="preserve">, can be approached to furnish documentation, produce documents, or participate in an interview. This includes healthcare providers, family, friends, etc. </w:t>
      </w:r>
      <w:r w:rsidR="00580FB4">
        <w:t xml:space="preserve">The exception to this would be </w:t>
      </w:r>
      <w:proofErr w:type="gramStart"/>
      <w:r w:rsidR="00580FB4">
        <w:t>situations</w:t>
      </w:r>
      <w:proofErr w:type="gramEnd"/>
      <w:r w:rsidR="00580FB4">
        <w:t xml:space="preserve"> in which the older person lacks capacity and</w:t>
      </w:r>
      <w:r w:rsidR="00823D14">
        <w:t xml:space="preserve"> either does not have an EPOA, or</w:t>
      </w:r>
      <w:r w:rsidR="00580FB4">
        <w:t xml:space="preserve"> it is not appropriate to approach an EPOA due to a reasonable suspicion of EPOA abuse. Legal Aid ACT submits that in those limited cases, the investigatory body may proceed with the investigation without obtaining </w:t>
      </w:r>
      <w:r w:rsidR="00823D14">
        <w:t xml:space="preserve">either the older persons’ or the </w:t>
      </w:r>
      <w:r w:rsidR="00580FB4">
        <w:t>EPOA</w:t>
      </w:r>
      <w:r w:rsidR="00823D14">
        <w:t>’s</w:t>
      </w:r>
      <w:r w:rsidR="00580FB4">
        <w:t xml:space="preserve"> consent. </w:t>
      </w:r>
    </w:p>
    <w:p w:rsidR="00CF2E01" w:rsidRDefault="00CF2E01" w:rsidP="00A065AD">
      <w:pPr>
        <w:pStyle w:val="Style2"/>
        <w:jc w:val="both"/>
      </w:pPr>
    </w:p>
    <w:p w:rsidR="004447C3" w:rsidRDefault="00CF2E01" w:rsidP="00A065AD">
      <w:pPr>
        <w:pStyle w:val="Style2"/>
        <w:jc w:val="both"/>
      </w:pPr>
      <w:r>
        <w:lastRenderedPageBreak/>
        <w:t xml:space="preserve">Legal Aid ACT agrees with the ALRC that powers of entry and inspection without consent be restricted to police agencies. </w:t>
      </w:r>
      <w:r w:rsidR="00155A8E">
        <w:t>Unauthorised entry is inconsistent with an investigative process committed to respecting the integrity and autonomy of older persons, particularly if an older person has the right to terminate the investigation at any time.</w:t>
      </w:r>
      <w:r w:rsidR="00580FB4">
        <w:t xml:space="preserve"> Legal Aid ACT submits that in situations where an investigative body, as a result of evidence obtained in the investigative process, has real concerns as to the personal safety of an older person, they immediately alert police. </w:t>
      </w:r>
      <w:r w:rsidR="00F528A9">
        <w:t>Police may then progress the matter, applying for a warrant or taking other action</w:t>
      </w:r>
      <w:r w:rsidR="00D426DE">
        <w:t>.</w:t>
      </w:r>
    </w:p>
    <w:p w:rsidR="00D426DE" w:rsidRDefault="00D426DE" w:rsidP="00A065AD">
      <w:pPr>
        <w:pStyle w:val="Style2"/>
        <w:jc w:val="both"/>
      </w:pPr>
    </w:p>
    <w:p w:rsidR="00FF03F0" w:rsidRPr="007D27C5" w:rsidRDefault="00FF03F0" w:rsidP="00FF03F0">
      <w:pPr>
        <w:pStyle w:val="Style2"/>
        <w:jc w:val="both"/>
      </w:pPr>
      <w:r>
        <w:t xml:space="preserve">Legal Aid ACT submits that complaints received by the investigatory body regarding its conduct during elder abuse investigations be subject to review. Internal review processes should be transparent and conducted in a timely manner. Serious complaints requiring external review should be handled by a recognised and respected body, for example the State or Territory Ombudsmen. Any expansion of investigative powers should be accompanied by a clear, publicly accessible investigation and review policy. </w:t>
      </w:r>
    </w:p>
    <w:p w:rsidR="00200712" w:rsidRDefault="002C773A" w:rsidP="00200712">
      <w:pPr>
        <w:pStyle w:val="Style2"/>
        <w:jc w:val="both"/>
      </w:pPr>
      <w:r>
        <w:rPr>
          <w:noProof/>
          <w:lang w:eastAsia="en-AU"/>
        </w:rPr>
        <w:pict>
          <v:roundrect id="_x0000_s1029" style="position:absolute;left:0;text-align:left;margin-left:-.85pt;margin-top:16.4pt;width:467.25pt;height:1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" fillcolor="#f4b083 [1941]" strokecolor="#ed7d31 [3205]" strokeweight="1pt">
            <v:stroke joinstyle="miter"/>
            <v:textbox>
              <w:txbxContent>
                <w:p w:rsidR="00A76281" w:rsidRDefault="00A76281" w:rsidP="00A065AD">
                  <w:pPr>
                    <w:pStyle w:val="Style2"/>
                    <w:rPr>
                      <w:b/>
                    </w:rPr>
                  </w:pPr>
                  <w:r w:rsidRPr="00B80199">
                    <w:rPr>
                      <w:b/>
                    </w:rPr>
                    <w:t>Proposal 3-</w:t>
                  </w:r>
                  <w:r>
                    <w:rPr>
                      <w:b/>
                    </w:rPr>
                    <w:t>4</w:t>
                  </w:r>
                </w:p>
                <w:p w:rsidR="00A76281" w:rsidRDefault="00A76281" w:rsidP="00A065AD">
                  <w:pPr>
                    <w:pStyle w:val="Style2"/>
                    <w:rPr>
                      <w:color w:val="000000"/>
                      <w:sz w:val="22"/>
                      <w:szCs w:val="22"/>
                    </w:rPr>
                  </w:pPr>
                  <w:r>
                    <w:rPr>
                      <w:color w:val="000000"/>
                      <w:sz w:val="22"/>
                      <w:szCs w:val="22"/>
                    </w:rPr>
                    <w:t>In responding to the suspected abuse or neglect of an older person, public advocates or public guardians may:</w:t>
                  </w:r>
                </w:p>
                <w:p w:rsidR="00A76281" w:rsidRDefault="00A76281" w:rsidP="00200712">
                  <w:pPr>
                    <w:pStyle w:val="Style2"/>
                    <w:numPr>
                      <w:ilvl w:val="0"/>
                      <w:numId w:val="14"/>
                    </w:numPr>
                    <w:rPr>
                      <w:color w:val="000000"/>
                      <w:sz w:val="22"/>
                      <w:szCs w:val="22"/>
                    </w:rPr>
                  </w:pPr>
                  <w:r>
                    <w:rPr>
                      <w:color w:val="000000"/>
                      <w:sz w:val="22"/>
                      <w:szCs w:val="22"/>
                    </w:rPr>
                    <w:t>refer the older person or the perpetrator to available health care, social, legal, accommodation or other services;</w:t>
                  </w:r>
                </w:p>
                <w:p w:rsidR="00A76281" w:rsidRDefault="00A76281" w:rsidP="00200712">
                  <w:pPr>
                    <w:pStyle w:val="Style2"/>
                    <w:numPr>
                      <w:ilvl w:val="0"/>
                      <w:numId w:val="14"/>
                    </w:numPr>
                    <w:rPr>
                      <w:color w:val="000000"/>
                      <w:sz w:val="22"/>
                      <w:szCs w:val="22"/>
                    </w:rPr>
                  </w:pPr>
                  <w:r>
                    <w:rPr>
                      <w:color w:val="000000"/>
                      <w:sz w:val="22"/>
                      <w:szCs w:val="22"/>
                    </w:rPr>
                    <w:t>assist the older person or perpetrator obtaining those services;</w:t>
                  </w:r>
                </w:p>
                <w:p w:rsidR="00A76281" w:rsidRDefault="00A76281" w:rsidP="00200712">
                  <w:pPr>
                    <w:pStyle w:val="Style2"/>
                    <w:numPr>
                      <w:ilvl w:val="0"/>
                      <w:numId w:val="14"/>
                    </w:numPr>
                    <w:rPr>
                      <w:color w:val="000000"/>
                      <w:sz w:val="22"/>
                      <w:szCs w:val="22"/>
                    </w:rPr>
                  </w:pPr>
                  <w:r>
                    <w:rPr>
                      <w:color w:val="000000"/>
                      <w:sz w:val="22"/>
                      <w:szCs w:val="22"/>
                    </w:rPr>
                    <w:t>prepare, in consultation with the older person, a support and assistance plan that specifies any services needed by the older person; or</w:t>
                  </w:r>
                </w:p>
                <w:p w:rsidR="00A76281" w:rsidRDefault="00A76281" w:rsidP="00200712">
                  <w:pPr>
                    <w:pStyle w:val="Style2"/>
                    <w:numPr>
                      <w:ilvl w:val="0"/>
                      <w:numId w:val="14"/>
                    </w:numPr>
                    <w:rPr>
                      <w:color w:val="000000"/>
                      <w:sz w:val="22"/>
                      <w:szCs w:val="22"/>
                    </w:rPr>
                  </w:pPr>
                  <w:proofErr w:type="gramStart"/>
                  <w:r>
                    <w:rPr>
                      <w:color w:val="000000"/>
                      <w:sz w:val="22"/>
                      <w:szCs w:val="22"/>
                    </w:rPr>
                    <w:t>decide</w:t>
                  </w:r>
                  <w:proofErr w:type="gramEnd"/>
                  <w:r>
                    <w:rPr>
                      <w:color w:val="000000"/>
                      <w:sz w:val="22"/>
                      <w:szCs w:val="22"/>
                    </w:rPr>
                    <w:t xml:space="preserve"> to take no further action.</w:t>
                  </w:r>
                </w:p>
                <w:p w:rsidR="00A76281" w:rsidRDefault="00A76281" w:rsidP="00A065AD">
                  <w:pPr>
                    <w:pStyle w:val="Style2"/>
                    <w:rPr>
                      <w:color w:val="000000"/>
                      <w:sz w:val="22"/>
                      <w:szCs w:val="22"/>
                    </w:rPr>
                  </w:pPr>
                </w:p>
                <w:p w:rsidR="00A76281" w:rsidRPr="00B80199" w:rsidRDefault="00A76281" w:rsidP="00200712">
                  <w:pPr>
                    <w:pStyle w:val="Style2"/>
                    <w:rPr>
                      <w:b/>
                      <w:sz w:val="28"/>
                    </w:rPr>
                  </w:pPr>
                </w:p>
                <w:p w:rsidR="00A76281" w:rsidRPr="00B80199" w:rsidRDefault="00A76281" w:rsidP="00A065AD">
                  <w:pPr>
                    <w:pStyle w:val="Style2"/>
                    <w:rPr>
                      <w:b/>
                    </w:rPr>
                  </w:pPr>
                </w:p>
              </w:txbxContent>
            </v:textbox>
            <w10:wrap type="square"/>
          </v:roundrect>
        </w:pict>
      </w:r>
    </w:p>
    <w:p w:rsidR="00200712" w:rsidRDefault="00200712" w:rsidP="00200712">
      <w:pPr>
        <w:pStyle w:val="Style2"/>
        <w:jc w:val="both"/>
      </w:pPr>
    </w:p>
    <w:p w:rsidR="00144D1B" w:rsidRDefault="002C773A" w:rsidP="00A065AD">
      <w:pPr>
        <w:pStyle w:val="Style2"/>
        <w:rPr>
          <w:rFonts w:asciiTheme="minorHAnsi" w:hAnsiTheme="minorHAnsi"/>
        </w:rPr>
      </w:pPr>
      <w:r w:rsidRPr="002C773A">
        <w:rPr>
          <w:noProof/>
          <w:lang w:eastAsia="en-AU"/>
        </w:rPr>
        <w:pict>
          <v:roundrect id="Text Box 11" o:spid="_x0000_s1030" style="position:absolute;margin-left:-1.6pt;margin-top:0;width:467.25pt;height:14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" fillcolor="#f4b083 [1941]" strokecolor="#ed7d31 [3205]" strokeweight="1pt">
            <v:stroke joinstyle="miter"/>
            <v:textbox>
              <w:txbxContent>
                <w:p w:rsidR="00A76281" w:rsidRDefault="00A76281" w:rsidP="00200712">
                  <w:pPr>
                    <w:pStyle w:val="Style2"/>
                    <w:rPr>
                      <w:b/>
                    </w:rPr>
                  </w:pPr>
                  <w:r w:rsidRPr="00B80199">
                    <w:rPr>
                      <w:b/>
                    </w:rPr>
                    <w:t>Proposal 3-</w:t>
                  </w:r>
                  <w:r>
                    <w:rPr>
                      <w:b/>
                    </w:rPr>
                    <w:t>5</w:t>
                  </w:r>
                </w:p>
                <w:p w:rsidR="00A76281" w:rsidRDefault="00A76281" w:rsidP="00200712">
                  <w:pPr>
                    <w:pStyle w:val="Style2"/>
                    <w:rPr>
                      <w:color w:val="000000"/>
                      <w:sz w:val="22"/>
                      <w:szCs w:val="22"/>
                    </w:rPr>
                  </w:pPr>
                  <w:r>
                    <w:rPr>
                      <w:color w:val="000000"/>
                      <w:sz w:val="22"/>
                      <w:szCs w:val="22"/>
                    </w:rPr>
                    <w:t>Any person who reports elder abuse to the public advocate or public guardian in good faith and based on a reasonable suspicion should not, as a consequence of their report, be:</w:t>
                  </w:r>
                </w:p>
                <w:p w:rsidR="00A76281" w:rsidRDefault="00A76281" w:rsidP="00200712">
                  <w:pPr>
                    <w:pStyle w:val="Style2"/>
                    <w:rPr>
                      <w:color w:val="000000"/>
                      <w:sz w:val="22"/>
                      <w:szCs w:val="22"/>
                    </w:rPr>
                  </w:pPr>
                </w:p>
                <w:p w:rsidR="00A76281" w:rsidRDefault="00A76281" w:rsidP="00200712">
                  <w:pPr>
                    <w:pStyle w:val="Style2"/>
                    <w:numPr>
                      <w:ilvl w:val="0"/>
                      <w:numId w:val="15"/>
                    </w:numPr>
                    <w:rPr>
                      <w:color w:val="000000"/>
                      <w:sz w:val="22"/>
                      <w:szCs w:val="22"/>
                    </w:rPr>
                  </w:pPr>
                  <w:r>
                    <w:rPr>
                      <w:color w:val="000000"/>
                      <w:sz w:val="22"/>
                      <w:szCs w:val="22"/>
                    </w:rPr>
                    <w:t>liable, civilly, criminally, or under an administrative process;</w:t>
                  </w:r>
                </w:p>
                <w:p w:rsidR="00A76281" w:rsidRDefault="00A76281" w:rsidP="00200712">
                  <w:pPr>
                    <w:pStyle w:val="Style2"/>
                    <w:numPr>
                      <w:ilvl w:val="0"/>
                      <w:numId w:val="15"/>
                    </w:numPr>
                    <w:rPr>
                      <w:color w:val="000000"/>
                      <w:sz w:val="22"/>
                      <w:szCs w:val="22"/>
                    </w:rPr>
                  </w:pPr>
                  <w:r>
                    <w:rPr>
                      <w:color w:val="000000"/>
                      <w:sz w:val="22"/>
                      <w:szCs w:val="22"/>
                    </w:rPr>
                    <w:t>found to have departed from standards of professional conduct;</w:t>
                  </w:r>
                </w:p>
                <w:p w:rsidR="00A76281" w:rsidRDefault="00A76281" w:rsidP="00200712">
                  <w:pPr>
                    <w:pStyle w:val="Style2"/>
                    <w:numPr>
                      <w:ilvl w:val="0"/>
                      <w:numId w:val="15"/>
                    </w:numPr>
                    <w:rPr>
                      <w:color w:val="000000"/>
                      <w:sz w:val="22"/>
                      <w:szCs w:val="22"/>
                    </w:rPr>
                  </w:pPr>
                  <w:r>
                    <w:rPr>
                      <w:color w:val="000000"/>
                      <w:sz w:val="22"/>
                      <w:szCs w:val="22"/>
                    </w:rPr>
                    <w:t>dismissed or threatened in the course of their employment; or</w:t>
                  </w:r>
                </w:p>
                <w:p w:rsidR="00A76281" w:rsidRDefault="00A76281" w:rsidP="00200712">
                  <w:pPr>
                    <w:pStyle w:val="Style2"/>
                    <w:numPr>
                      <w:ilvl w:val="0"/>
                      <w:numId w:val="15"/>
                    </w:numPr>
                    <w:rPr>
                      <w:color w:val="000000"/>
                      <w:sz w:val="22"/>
                      <w:szCs w:val="22"/>
                    </w:rPr>
                  </w:pPr>
                  <w:proofErr w:type="gramStart"/>
                  <w:r>
                    <w:rPr>
                      <w:color w:val="000000"/>
                      <w:sz w:val="22"/>
                      <w:szCs w:val="22"/>
                    </w:rPr>
                    <w:t>discriminated</w:t>
                  </w:r>
                  <w:proofErr w:type="gramEnd"/>
                  <w:r>
                    <w:rPr>
                      <w:color w:val="000000"/>
                      <w:sz w:val="22"/>
                      <w:szCs w:val="22"/>
                    </w:rPr>
                    <w:t xml:space="preserve"> against with respect to employment or membership in a profession or trade union.</w:t>
                  </w:r>
                </w:p>
                <w:p w:rsidR="00A76281" w:rsidRDefault="00A76281" w:rsidP="00200712">
                  <w:pPr>
                    <w:pStyle w:val="Style2"/>
                    <w:rPr>
                      <w:color w:val="000000"/>
                      <w:sz w:val="22"/>
                      <w:szCs w:val="22"/>
                    </w:rPr>
                  </w:pPr>
                </w:p>
                <w:p w:rsidR="00A76281" w:rsidRPr="00B80199" w:rsidRDefault="00A76281" w:rsidP="00200712">
                  <w:pPr>
                    <w:pStyle w:val="Style2"/>
                    <w:rPr>
                      <w:b/>
                      <w:sz w:val="28"/>
                    </w:rPr>
                  </w:pPr>
                </w:p>
                <w:p w:rsidR="00A76281" w:rsidRPr="00B80199" w:rsidRDefault="00A76281" w:rsidP="00200712">
                  <w:pPr>
                    <w:pStyle w:val="Style2"/>
                    <w:rPr>
                      <w:b/>
                    </w:rPr>
                  </w:pPr>
                </w:p>
              </w:txbxContent>
            </v:textbox>
            <w10:wrap type="square"/>
          </v:roundrect>
        </w:pict>
      </w:r>
    </w:p>
    <w:p w:rsidR="005762AD" w:rsidRPr="007D27C5" w:rsidRDefault="00144D1B" w:rsidP="00144D1B">
      <w:pPr>
        <w:pStyle w:val="Style2"/>
        <w:jc w:val="both"/>
      </w:pPr>
      <w:r w:rsidRPr="007D27C5">
        <w:t>Appropriate action in response to suspected or confirmed instances of elder abuse is vital to ensuring victim</w:t>
      </w:r>
      <w:r w:rsidR="00E928CF" w:rsidRPr="007D27C5">
        <w:t xml:space="preserve"> safety and the expedient resolution of the abuse. </w:t>
      </w:r>
      <w:r w:rsidRPr="007D27C5">
        <w:t xml:space="preserve">Referrals, consultation, and assistance with obtaining services are </w:t>
      </w:r>
      <w:r w:rsidR="00E928CF" w:rsidRPr="007D27C5">
        <w:t xml:space="preserve">appropriate </w:t>
      </w:r>
      <w:r w:rsidRPr="007D27C5">
        <w:t>steps for public guardians or public advocates to take</w:t>
      </w:r>
      <w:r w:rsidR="00930F48" w:rsidRPr="007D27C5">
        <w:t xml:space="preserve">. These </w:t>
      </w:r>
      <w:r w:rsidR="005762AD" w:rsidRPr="007D27C5">
        <w:t xml:space="preserve">kinds of action respect the agency of the older person and </w:t>
      </w:r>
      <w:r w:rsidR="00930F48" w:rsidRPr="007D27C5">
        <w:t xml:space="preserve">keep </w:t>
      </w:r>
      <w:r w:rsidR="005762AD" w:rsidRPr="007D27C5">
        <w:t xml:space="preserve">confrontation </w:t>
      </w:r>
      <w:r w:rsidR="00930F48" w:rsidRPr="007D27C5">
        <w:t>to a minimum</w:t>
      </w:r>
      <w:r w:rsidR="005762AD" w:rsidRPr="007D27C5">
        <w:t xml:space="preserve">. </w:t>
      </w:r>
      <w:r w:rsidR="000A0B41" w:rsidRPr="007D27C5">
        <w:t xml:space="preserve">Less confrontation </w:t>
      </w:r>
      <w:r w:rsidR="005762AD" w:rsidRPr="007D27C5">
        <w:t xml:space="preserve">means there is less </w:t>
      </w:r>
      <w:r w:rsidR="00930F48" w:rsidRPr="007D27C5">
        <w:t xml:space="preserve">risk of </w:t>
      </w:r>
      <w:r w:rsidR="005762AD" w:rsidRPr="007D27C5">
        <w:t xml:space="preserve">aggravating </w:t>
      </w:r>
      <w:r w:rsidR="00930F48" w:rsidRPr="007D27C5">
        <w:t xml:space="preserve">familial stress, </w:t>
      </w:r>
      <w:r w:rsidR="005762AD" w:rsidRPr="007D27C5">
        <w:t xml:space="preserve">accelerating </w:t>
      </w:r>
      <w:r w:rsidR="00930F48" w:rsidRPr="007D27C5">
        <w:t xml:space="preserve">relationship breakdown, </w:t>
      </w:r>
      <w:r w:rsidR="005762AD" w:rsidRPr="007D27C5">
        <w:t xml:space="preserve">or encouraging increased or alternate instances of elder abuse, for </w:t>
      </w:r>
      <w:r w:rsidR="005762AD" w:rsidRPr="007D27C5">
        <w:lastRenderedPageBreak/>
        <w:t>e</w:t>
      </w:r>
      <w:r w:rsidR="000A0B41" w:rsidRPr="007D27C5">
        <w:t>xample</w:t>
      </w:r>
      <w:r w:rsidR="005762AD" w:rsidRPr="007D27C5">
        <w:t xml:space="preserve"> financial abuse escalating into </w:t>
      </w:r>
      <w:r w:rsidR="00A80C50" w:rsidRPr="007D27C5">
        <w:t xml:space="preserve">both </w:t>
      </w:r>
      <w:r w:rsidR="005762AD" w:rsidRPr="007D27C5">
        <w:t>financial and physical abuse due to caregivers feeling the strain of an investigation and blaming the victim for the additional stress.</w:t>
      </w:r>
    </w:p>
    <w:p w:rsidR="005762AD" w:rsidRPr="007D27C5" w:rsidRDefault="005762AD" w:rsidP="00144D1B">
      <w:pPr>
        <w:pStyle w:val="Style2"/>
        <w:jc w:val="both"/>
      </w:pPr>
    </w:p>
    <w:p w:rsidR="00E928CF" w:rsidRPr="007D27C5" w:rsidRDefault="00F76690" w:rsidP="00144D1B">
      <w:pPr>
        <w:pStyle w:val="Style2"/>
        <w:jc w:val="both"/>
      </w:pPr>
      <w:r w:rsidRPr="007D27C5">
        <w:t>D</w:t>
      </w:r>
      <w:r w:rsidR="00144D1B" w:rsidRPr="007D27C5">
        <w:t xml:space="preserve">ecisions to take no further action should be made only in circumstances where it is </w:t>
      </w:r>
      <w:r w:rsidR="00FA036F" w:rsidRPr="007D27C5">
        <w:t>clear that no abuse ha</w:t>
      </w:r>
      <w:r w:rsidR="00144D1B" w:rsidRPr="007D27C5">
        <w:t xml:space="preserve">s </w:t>
      </w:r>
      <w:r w:rsidR="003F2660" w:rsidRPr="007D27C5">
        <w:t xml:space="preserve">occurred, </w:t>
      </w:r>
      <w:r w:rsidR="00144D1B" w:rsidRPr="007D27C5">
        <w:t xml:space="preserve">or </w:t>
      </w:r>
      <w:r w:rsidR="00FA036F" w:rsidRPr="007D27C5">
        <w:t>i</w:t>
      </w:r>
      <w:r w:rsidR="00144D1B" w:rsidRPr="007D27C5">
        <w:t>s occurr</w:t>
      </w:r>
      <w:r w:rsidR="00FA036F" w:rsidRPr="007D27C5">
        <w:t>ing</w:t>
      </w:r>
      <w:r w:rsidR="00144D1B" w:rsidRPr="007D27C5">
        <w:t xml:space="preserve">. </w:t>
      </w:r>
      <w:r w:rsidR="005762AD" w:rsidRPr="007D27C5">
        <w:t xml:space="preserve">Investigative procedures, </w:t>
      </w:r>
      <w:r w:rsidR="00E928CF" w:rsidRPr="007D27C5">
        <w:t>including</w:t>
      </w:r>
      <w:r w:rsidR="00144D1B" w:rsidRPr="007D27C5">
        <w:t xml:space="preserve"> </w:t>
      </w:r>
      <w:r w:rsidR="005762AD" w:rsidRPr="007D27C5">
        <w:t xml:space="preserve">the adoption of </w:t>
      </w:r>
      <w:r w:rsidR="00144D1B" w:rsidRPr="007D27C5">
        <w:t>a risk and safety matrix should be developed by public guardians or public advocates to guarantee, as far as possible,</w:t>
      </w:r>
      <w:r w:rsidR="00E928CF" w:rsidRPr="007D27C5">
        <w:t xml:space="preserve"> that cases of elder abuse </w:t>
      </w:r>
      <w:r w:rsidR="000A0B41" w:rsidRPr="007D27C5">
        <w:t>do not</w:t>
      </w:r>
      <w:r w:rsidR="00E928CF" w:rsidRPr="007D27C5">
        <w:t xml:space="preserve"> slip through the cracks. </w:t>
      </w:r>
    </w:p>
    <w:p w:rsidR="003C685C" w:rsidRPr="007D27C5" w:rsidRDefault="003C685C" w:rsidP="00144D1B">
      <w:pPr>
        <w:pStyle w:val="Style2"/>
        <w:jc w:val="both"/>
      </w:pPr>
    </w:p>
    <w:p w:rsidR="00155A8E" w:rsidRDefault="003C685C" w:rsidP="00155A8E">
      <w:pPr>
        <w:pStyle w:val="Style2"/>
        <w:jc w:val="both"/>
      </w:pPr>
      <w:r w:rsidRPr="007D27C5">
        <w:t xml:space="preserve">Actions available to the investigative body </w:t>
      </w:r>
      <w:r w:rsidR="00764106" w:rsidRPr="007D27C5">
        <w:t xml:space="preserve">upon conclusion of the investigation </w:t>
      </w:r>
      <w:r w:rsidRPr="007D27C5">
        <w:t xml:space="preserve">should be limited to referrals, consultation, </w:t>
      </w:r>
      <w:proofErr w:type="gramStart"/>
      <w:r w:rsidRPr="007D27C5">
        <w:t>assistance</w:t>
      </w:r>
      <w:proofErr w:type="gramEnd"/>
      <w:r w:rsidRPr="007D27C5">
        <w:t xml:space="preserve"> </w:t>
      </w:r>
      <w:r w:rsidR="004C67ED">
        <w:t>with</w:t>
      </w:r>
      <w:r w:rsidR="00441018">
        <w:t xml:space="preserve"> </w:t>
      </w:r>
      <w:r w:rsidRPr="007D27C5">
        <w:t>obtaining services</w:t>
      </w:r>
      <w:r w:rsidR="00132E3B" w:rsidRPr="007D27C5">
        <w:t xml:space="preserve">, </w:t>
      </w:r>
      <w:r w:rsidR="004C67ED">
        <w:t xml:space="preserve">and the provision of a final report to ACAT for use in its deliberations. </w:t>
      </w:r>
      <w:r w:rsidR="00764106" w:rsidRPr="007D27C5">
        <w:t>Other action</w:t>
      </w:r>
      <w:r w:rsidR="00132E3B" w:rsidRPr="007D27C5">
        <w:t>s</w:t>
      </w:r>
      <w:r w:rsidR="00764106" w:rsidRPr="007D27C5">
        <w:t xml:space="preserve">, such </w:t>
      </w:r>
      <w:r w:rsidR="00132E3B" w:rsidRPr="007D27C5">
        <w:t xml:space="preserve">as </w:t>
      </w:r>
      <w:r w:rsidR="00764106" w:rsidRPr="007D27C5">
        <w:t>press</w:t>
      </w:r>
      <w:r w:rsidR="004C67ED">
        <w:t>ing</w:t>
      </w:r>
      <w:r w:rsidR="00764106" w:rsidRPr="007D27C5">
        <w:t xml:space="preserve"> criminal </w:t>
      </w:r>
      <w:r w:rsidR="003014DC">
        <w:t>charges or</w:t>
      </w:r>
      <w:r w:rsidR="004C67ED">
        <w:t xml:space="preserve"> imposing</w:t>
      </w:r>
      <w:r w:rsidR="00764106" w:rsidRPr="007D27C5">
        <w:t xml:space="preserve"> civil </w:t>
      </w:r>
      <w:r w:rsidR="003014DC">
        <w:t>penalties</w:t>
      </w:r>
      <w:r w:rsidR="00132E3B" w:rsidRPr="007D27C5">
        <w:t xml:space="preserve"> </w:t>
      </w:r>
      <w:r w:rsidR="00764106" w:rsidRPr="007D27C5">
        <w:t xml:space="preserve">would </w:t>
      </w:r>
      <w:r w:rsidR="00132E3B" w:rsidRPr="007D27C5">
        <w:t>abrogate</w:t>
      </w:r>
      <w:r w:rsidR="00764106" w:rsidRPr="007D27C5">
        <w:t xml:space="preserve"> the autonomy of the elder person</w:t>
      </w:r>
      <w:r w:rsidR="00132E3B" w:rsidRPr="007D27C5">
        <w:t xml:space="preserve"> and should not be undertaken.</w:t>
      </w:r>
      <w:r w:rsidR="00155A8E">
        <w:t xml:space="preserve"> This aligns with Legal Aid ACT’s earlier submissions that adult protection legislation focused on the ‘best interests’ of the adult should not be introduced</w:t>
      </w:r>
      <w:r w:rsidR="00155A8E">
        <w:rPr>
          <w:rStyle w:val="FootnoteReference"/>
        </w:rPr>
        <w:footnoteReference w:id="6"/>
      </w:r>
      <w:r w:rsidR="00155A8E">
        <w:t xml:space="preserve"> nor should the jurisdiction of the </w:t>
      </w:r>
      <w:r w:rsidR="00155A8E" w:rsidRPr="008B7EF3">
        <w:t>ACT Ci</w:t>
      </w:r>
      <w:r w:rsidR="00155A8E">
        <w:t>vil and Administrative Tribunal</w:t>
      </w:r>
      <w:r w:rsidR="00155A8E" w:rsidRPr="008B7EF3">
        <w:t xml:space="preserve"> </w:t>
      </w:r>
      <w:r w:rsidR="00155A8E">
        <w:t>(ACAT) be expanded to allow for broader orders for at-risk adults.</w:t>
      </w:r>
      <w:r w:rsidR="00155A8E">
        <w:rPr>
          <w:rStyle w:val="FootnoteReference"/>
        </w:rPr>
        <w:footnoteReference w:id="7"/>
      </w:r>
      <w:r w:rsidR="00155A8E">
        <w:t xml:space="preserve"> </w:t>
      </w:r>
    </w:p>
    <w:p w:rsidR="003C685C" w:rsidRPr="007D27C5" w:rsidRDefault="003C685C" w:rsidP="00144D1B">
      <w:pPr>
        <w:pStyle w:val="Style2"/>
        <w:jc w:val="both"/>
      </w:pPr>
    </w:p>
    <w:p w:rsidR="00200712" w:rsidRPr="007D27C5" w:rsidRDefault="007F68FD" w:rsidP="00132E3B">
      <w:pPr>
        <w:pStyle w:val="Style2"/>
        <w:jc w:val="both"/>
      </w:pPr>
      <w:r w:rsidRPr="007D27C5">
        <w:t>Legal Aid ACT submits that reporting schemes in relation to any suspected elder abuse should occur with the consent of the person</w:t>
      </w:r>
      <w:r w:rsidR="00FF03F0">
        <w:t xml:space="preserve"> or, if they lack capacity and </w:t>
      </w:r>
      <w:proofErr w:type="gramStart"/>
      <w:r w:rsidR="00FF03F0">
        <w:t>have</w:t>
      </w:r>
      <w:proofErr w:type="gramEnd"/>
      <w:r w:rsidR="00FF03F0">
        <w:t xml:space="preserve"> an appointed EPOA, the consent of the EPOA</w:t>
      </w:r>
      <w:r w:rsidRPr="007D27C5">
        <w:t>.</w:t>
      </w:r>
      <w:r w:rsidR="00155A8E">
        <w:t xml:space="preserve"> </w:t>
      </w:r>
      <w:r w:rsidRPr="007D27C5">
        <w:t>This is particularly so for healthcare providers, for reasons outlined in our original submission.</w:t>
      </w:r>
      <w:r w:rsidRPr="007D27C5">
        <w:rPr>
          <w:rStyle w:val="FootnoteReference"/>
        </w:rPr>
        <w:footnoteReference w:id="8"/>
      </w:r>
      <w:r w:rsidRPr="007D27C5">
        <w:t xml:space="preserve"> </w:t>
      </w:r>
      <w:r w:rsidR="004C67ED">
        <w:t>However, in situations where the</w:t>
      </w:r>
      <w:r w:rsidR="00D426DE">
        <w:t>re is no capacity and no EPOA, or where the</w:t>
      </w:r>
      <w:r w:rsidR="004C67ED">
        <w:t xml:space="preserve"> EPOA is suspected of perpetrating or being complicit in the abuse, the investigatory body may </w:t>
      </w:r>
      <w:r w:rsidR="00FF03F0">
        <w:t xml:space="preserve">obtain reports from persons without </w:t>
      </w:r>
      <w:r w:rsidR="00D426DE">
        <w:t xml:space="preserve">the </w:t>
      </w:r>
      <w:r w:rsidR="00823D14">
        <w:t xml:space="preserve">older </w:t>
      </w:r>
      <w:r w:rsidR="00D426DE">
        <w:t>person</w:t>
      </w:r>
      <w:r w:rsidR="00823D14">
        <w:t>’s</w:t>
      </w:r>
      <w:r w:rsidR="00D426DE">
        <w:t xml:space="preserve"> or the EPOA’s </w:t>
      </w:r>
      <w:r w:rsidR="00FF03F0">
        <w:t>consent.</w:t>
      </w:r>
      <w:r w:rsidR="004C67ED">
        <w:t xml:space="preserve"> </w:t>
      </w:r>
      <w:r w:rsidR="0044216C" w:rsidRPr="007D27C5">
        <w:t xml:space="preserve">Legal Aid ACT submits that </w:t>
      </w:r>
      <w:r w:rsidR="00D426DE">
        <w:t xml:space="preserve">in these cases only, </w:t>
      </w:r>
      <w:r w:rsidRPr="007D27C5">
        <w:t>Proposal 3-5 be adopted to protect individuals</w:t>
      </w:r>
      <w:r w:rsidR="003C685C" w:rsidRPr="007D27C5">
        <w:t xml:space="preserve"> and service providers</w:t>
      </w:r>
      <w:r w:rsidR="00FF03F0">
        <w:t xml:space="preserve"> (the provi</w:t>
      </w:r>
      <w:r w:rsidR="00364B12">
        <w:t>sion of consent otherwise removing</w:t>
      </w:r>
      <w:r w:rsidR="00FF03F0">
        <w:t xml:space="preserve"> the need for limited liability)</w:t>
      </w:r>
      <w:r w:rsidRPr="007D27C5">
        <w:t xml:space="preserve">. </w:t>
      </w:r>
      <w:r w:rsidR="0044216C" w:rsidRPr="007D27C5">
        <w:t xml:space="preserve"> C</w:t>
      </w:r>
      <w:r w:rsidR="00132E3B" w:rsidRPr="007D27C5">
        <w:t xml:space="preserve">onfusion and uncertainty as to the extent of obligations, and reticence to report </w:t>
      </w:r>
      <w:r w:rsidR="00FF03F0">
        <w:t xml:space="preserve">when requested </w:t>
      </w:r>
      <w:r w:rsidR="00132E3B" w:rsidRPr="007D27C5">
        <w:t xml:space="preserve">due to fear of consequences, </w:t>
      </w:r>
      <w:r w:rsidR="0044216C" w:rsidRPr="007D27C5">
        <w:t>may other</w:t>
      </w:r>
      <w:r w:rsidR="00827E3D" w:rsidRPr="007D27C5">
        <w:t>wise</w:t>
      </w:r>
      <w:r w:rsidR="0044216C" w:rsidRPr="007D27C5">
        <w:t xml:space="preserve"> </w:t>
      </w:r>
      <w:r w:rsidR="00132E3B" w:rsidRPr="007D27C5">
        <w:t>undermin</w:t>
      </w:r>
      <w:r w:rsidR="0044216C" w:rsidRPr="007D27C5">
        <w:t>e</w:t>
      </w:r>
      <w:r w:rsidR="00132E3B" w:rsidRPr="007D27C5">
        <w:t xml:space="preserve"> the efficacy of the scheme. </w:t>
      </w:r>
    </w:p>
    <w:p w:rsidR="00181636" w:rsidRDefault="00181636" w:rsidP="00132E3B">
      <w:pPr>
        <w:pStyle w:val="Style2"/>
        <w:jc w:val="both"/>
      </w:pPr>
    </w:p>
    <w:p w:rsidR="00A065AD" w:rsidRDefault="00A065AD" w:rsidP="00DC0165">
      <w:pPr>
        <w:pStyle w:val="Style2"/>
        <w:numPr>
          <w:ilvl w:val="0"/>
          <w:numId w:val="11"/>
        </w:numPr>
        <w:ind w:hanging="720"/>
        <w:rPr>
          <w:color w:val="ED7D31" w:themeColor="accent2"/>
          <w:sz w:val="32"/>
        </w:rPr>
      </w:pPr>
      <w:r w:rsidRPr="00B80199">
        <w:rPr>
          <w:color w:val="ED7D31" w:themeColor="accent2"/>
          <w:sz w:val="32"/>
        </w:rPr>
        <w:t>Enduring Powers of Attorney and Enduring Guardianship</w:t>
      </w:r>
    </w:p>
    <w:p w:rsidR="00A065AD" w:rsidRDefault="00A065AD" w:rsidP="00A065AD">
      <w:pPr>
        <w:pStyle w:val="Style2"/>
        <w:rPr>
          <w:u w:val="single"/>
        </w:rPr>
      </w:pPr>
    </w:p>
    <w:p w:rsidR="00A065AD" w:rsidRDefault="002C773A" w:rsidP="00A065AD">
      <w:pPr>
        <w:pStyle w:val="Style2"/>
        <w:rPr>
          <w:u w:val="single"/>
        </w:rPr>
      </w:pPr>
      <w:r w:rsidRPr="002C773A">
        <w:rPr>
          <w:noProof/>
          <w:lang w:eastAsia="en-AU"/>
        </w:rPr>
        <w:pict>
          <v:roundrect id="Text Box 5" o:spid="_x0000_s1031" style="position:absolute;margin-left:-6.1pt;margin-top:26.6pt;width:476.2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" fillcolor="#f4b083 [1941]" strokecolor="#ed7d31 [3205]" strokeweight="1pt">
            <v:stroke joinstyle="miter"/>
            <v:textbox>
              <w:txbxContent>
                <w:p w:rsidR="00A76281" w:rsidRDefault="00A76281" w:rsidP="00A065AD">
                  <w:pPr>
                    <w:pStyle w:val="Style2"/>
                    <w:rPr>
                      <w:b/>
                    </w:rPr>
                  </w:pPr>
                  <w:r>
                    <w:rPr>
                      <w:b/>
                    </w:rPr>
                    <w:t>Proposal 5-5</w:t>
                  </w:r>
                </w:p>
                <w:p w:rsidR="00A76281" w:rsidRPr="00A065AD" w:rsidRDefault="00A76281" w:rsidP="00A065AD">
                  <w:pPr>
                    <w:pStyle w:val="Style2"/>
                    <w:jc w:val="both"/>
                    <w:rPr>
                      <w:color w:val="000000"/>
                      <w:sz w:val="22"/>
                      <w:szCs w:val="22"/>
                    </w:rPr>
                  </w:pPr>
                  <w:r w:rsidRPr="00A065AD">
                    <w:rPr>
                      <w:color w:val="000000"/>
                      <w:sz w:val="22"/>
                      <w:szCs w:val="22"/>
                    </w:rPr>
                    <w:t>State and territory tribunals should be vested with the power to order that enduring attorneys and enduring guardians or court and tribunal appointed guardians and financial administrators pay compensation where the loss was caused by that person’s failure to comply with their obligations under the relevant Act.</w:t>
                  </w:r>
                </w:p>
                <w:p w:rsidR="00A76281" w:rsidRPr="00B80199" w:rsidRDefault="00A76281" w:rsidP="00A065AD">
                  <w:pPr>
                    <w:pStyle w:val="Style2"/>
                    <w:ind w:firstLine="720"/>
                    <w:rPr>
                      <w:b/>
                      <w:sz w:val="28"/>
                    </w:rPr>
                  </w:pPr>
                </w:p>
                <w:p w:rsidR="00A76281" w:rsidRPr="00B80199" w:rsidRDefault="00A76281" w:rsidP="00A065AD">
                  <w:pPr>
                    <w:pStyle w:val="Style2"/>
                    <w:rPr>
                      <w:b/>
                    </w:rPr>
                  </w:pPr>
                </w:p>
              </w:txbxContent>
            </v:textbox>
            <w10:wrap type="square"/>
          </v:roundrect>
        </w:pict>
      </w:r>
      <w:r w:rsidR="00A065AD" w:rsidRPr="00777AB9">
        <w:rPr>
          <w:u w:val="single"/>
        </w:rPr>
        <w:t>4.</w:t>
      </w:r>
      <w:r w:rsidR="00A065AD">
        <w:rPr>
          <w:u w:val="single"/>
        </w:rPr>
        <w:t>1 Orders for compensation</w:t>
      </w:r>
    </w:p>
    <w:p w:rsidR="00A065AD" w:rsidRDefault="00A065AD" w:rsidP="00A065AD">
      <w:pPr>
        <w:pStyle w:val="Style2"/>
      </w:pPr>
    </w:p>
    <w:p w:rsidR="00A065AD" w:rsidRPr="007D27C5" w:rsidRDefault="00A065AD" w:rsidP="00A065AD">
      <w:pPr>
        <w:pStyle w:val="Style2"/>
        <w:jc w:val="both"/>
      </w:pPr>
      <w:r w:rsidRPr="007D27C5">
        <w:t xml:space="preserve">As noted at sections 4.3 and 4.5 of our original submission, Legal Aid ACT strongly supports the expansion of </w:t>
      </w:r>
      <w:r w:rsidR="0090745F">
        <w:t>ACT Civil and Administrative Tribunal’s (</w:t>
      </w:r>
      <w:r w:rsidR="0044216C" w:rsidRPr="007D27C5">
        <w:t>ACAT</w:t>
      </w:r>
      <w:r w:rsidR="0090745F">
        <w:t>)</w:t>
      </w:r>
      <w:r w:rsidRPr="007D27C5">
        <w:t xml:space="preserve"> jurisdiction to allow compensation and penalty orders to be made against enduring attorneys, guardians, and financial administrators</w:t>
      </w:r>
      <w:r w:rsidR="00FF03F0">
        <w:t xml:space="preserve"> with unlimited jurisdiction</w:t>
      </w:r>
      <w:r w:rsidRPr="007D27C5">
        <w:t>.</w:t>
      </w:r>
      <w:r w:rsidRPr="007D27C5">
        <w:rPr>
          <w:rStyle w:val="FootnoteReference"/>
        </w:rPr>
        <w:footnoteReference w:id="9"/>
      </w:r>
      <w:r w:rsidRPr="007D27C5">
        <w:t xml:space="preserve"> </w:t>
      </w:r>
    </w:p>
    <w:p w:rsidR="00A065AD" w:rsidRPr="007D27C5" w:rsidRDefault="00A065AD" w:rsidP="00A065AD">
      <w:pPr>
        <w:pStyle w:val="Style2"/>
        <w:jc w:val="both"/>
      </w:pPr>
    </w:p>
    <w:p w:rsidR="00A065AD" w:rsidRPr="007D27C5" w:rsidRDefault="00856ABD" w:rsidP="00A065AD">
      <w:pPr>
        <w:pStyle w:val="Style2"/>
        <w:jc w:val="both"/>
      </w:pPr>
      <w:r w:rsidRPr="007D27C5">
        <w:rPr>
          <w:color w:val="000000"/>
          <w:szCs w:val="22"/>
        </w:rPr>
        <w:lastRenderedPageBreak/>
        <w:t>ACAT</w:t>
      </w:r>
      <w:r w:rsidR="00A065AD" w:rsidRPr="007D27C5">
        <w:rPr>
          <w:color w:val="000000"/>
          <w:szCs w:val="22"/>
        </w:rPr>
        <w:t xml:space="preserve"> currently does not </w:t>
      </w:r>
      <w:r w:rsidR="00A065AD" w:rsidRPr="007D27C5">
        <w:t xml:space="preserve">have the legislative power to make these orders under the </w:t>
      </w:r>
      <w:r w:rsidR="00A065AD" w:rsidRPr="007D27C5">
        <w:rPr>
          <w:i/>
        </w:rPr>
        <w:t xml:space="preserve">Powers of Attorney Act 2006 </w:t>
      </w:r>
      <w:r w:rsidR="00A065AD" w:rsidRPr="007D27C5">
        <w:t xml:space="preserve">(ACT). Where a finding that an attorney has breached their obligations has been made, ACAT may refer the matter to the ACT Supreme Court (pursuant to section 63 of the </w:t>
      </w:r>
      <w:r w:rsidR="00A065AD" w:rsidRPr="007D27C5">
        <w:rPr>
          <w:i/>
        </w:rPr>
        <w:t>Guardianship and Management of Property Act 1991</w:t>
      </w:r>
      <w:r w:rsidR="00A065AD" w:rsidRPr="007D27C5">
        <w:t xml:space="preserve">); alternatively the principal may make an application to the ACT Supreme Court pursuant to section 50 of the </w:t>
      </w:r>
      <w:r w:rsidR="00A065AD" w:rsidRPr="007D27C5">
        <w:rPr>
          <w:i/>
        </w:rPr>
        <w:t>Power of Attorneys Act 2006</w:t>
      </w:r>
      <w:r w:rsidR="00A065AD" w:rsidRPr="007D27C5">
        <w:t xml:space="preserve"> (ACT).</w:t>
      </w:r>
    </w:p>
    <w:p w:rsidR="00A065AD" w:rsidRPr="007D27C5" w:rsidRDefault="00A065AD" w:rsidP="00A065AD">
      <w:pPr>
        <w:pStyle w:val="Style2"/>
        <w:jc w:val="both"/>
      </w:pPr>
    </w:p>
    <w:p w:rsidR="00A065AD" w:rsidRPr="007D27C5" w:rsidRDefault="00A065AD" w:rsidP="00A065AD">
      <w:pPr>
        <w:jc w:val="both"/>
        <w:rPr>
          <w:rFonts w:asciiTheme="majorHAnsi" w:hAnsiTheme="majorHAnsi"/>
        </w:rPr>
      </w:pPr>
      <w:r w:rsidRPr="007D27C5">
        <w:rPr>
          <w:rFonts w:asciiTheme="majorHAnsi" w:hAnsiTheme="majorHAnsi"/>
        </w:rPr>
        <w:t xml:space="preserve">The cost and complexity of making applications to the ACT Supreme Court in these matters constitutes a significant barrier </w:t>
      </w:r>
      <w:r w:rsidR="008C0C47" w:rsidRPr="007D27C5">
        <w:rPr>
          <w:rFonts w:asciiTheme="majorHAnsi" w:hAnsiTheme="majorHAnsi"/>
        </w:rPr>
        <w:t>for older vulnerable persons</w:t>
      </w:r>
      <w:r w:rsidR="0090745F">
        <w:rPr>
          <w:rFonts w:asciiTheme="majorHAnsi" w:hAnsiTheme="majorHAnsi"/>
        </w:rPr>
        <w:t xml:space="preserve"> within the ACT community</w:t>
      </w:r>
      <w:r w:rsidRPr="007D27C5">
        <w:rPr>
          <w:rFonts w:asciiTheme="majorHAnsi" w:hAnsiTheme="majorHAnsi"/>
        </w:rPr>
        <w:t xml:space="preserve">. Legal Aid ACT </w:t>
      </w:r>
      <w:r w:rsidR="008C0C47" w:rsidRPr="007D27C5">
        <w:rPr>
          <w:rFonts w:asciiTheme="majorHAnsi" w:hAnsiTheme="majorHAnsi"/>
        </w:rPr>
        <w:t>and other Community Legal Centres are</w:t>
      </w:r>
      <w:r w:rsidRPr="007D27C5">
        <w:rPr>
          <w:rFonts w:asciiTheme="majorHAnsi" w:hAnsiTheme="majorHAnsi"/>
        </w:rPr>
        <w:t xml:space="preserve"> severely restricted in providing representation</w:t>
      </w:r>
      <w:r w:rsidR="0090745F">
        <w:rPr>
          <w:rFonts w:asciiTheme="majorHAnsi" w:hAnsiTheme="majorHAnsi"/>
        </w:rPr>
        <w:t xml:space="preserve"> due to funding constraints</w:t>
      </w:r>
      <w:r w:rsidRPr="007D27C5">
        <w:rPr>
          <w:rFonts w:asciiTheme="majorHAnsi" w:hAnsiTheme="majorHAnsi"/>
        </w:rPr>
        <w:t>, and private practitioners may be similarly deterred.</w:t>
      </w:r>
      <w:r w:rsidRPr="007D27C5">
        <w:rPr>
          <w:rStyle w:val="FootnoteReference"/>
          <w:rFonts w:asciiTheme="majorHAnsi" w:hAnsiTheme="majorHAnsi"/>
        </w:rPr>
        <w:footnoteReference w:id="10"/>
      </w:r>
      <w:r w:rsidRPr="007D27C5">
        <w:rPr>
          <w:rFonts w:asciiTheme="majorHAnsi" w:hAnsiTheme="majorHAnsi"/>
        </w:rPr>
        <w:t xml:space="preserve">  </w:t>
      </w:r>
    </w:p>
    <w:p w:rsidR="00906C27" w:rsidRPr="007D27C5" w:rsidRDefault="00906C27" w:rsidP="00A065AD">
      <w:pPr>
        <w:jc w:val="both"/>
        <w:rPr>
          <w:rFonts w:asciiTheme="majorHAnsi" w:hAnsiTheme="majorHAnsi"/>
        </w:rPr>
      </w:pPr>
    </w:p>
    <w:p w:rsidR="002D6D84" w:rsidRDefault="00A065AD" w:rsidP="00A065AD">
      <w:pPr>
        <w:jc w:val="both"/>
        <w:rPr>
          <w:rFonts w:asciiTheme="majorHAnsi" w:hAnsiTheme="majorHAnsi"/>
        </w:rPr>
      </w:pPr>
      <w:r w:rsidRPr="007D27C5">
        <w:rPr>
          <w:rFonts w:asciiTheme="majorHAnsi" w:hAnsiTheme="majorHAnsi"/>
        </w:rPr>
        <w:t>Expanding ACAT’s jurisdiction, in line with the existing Victorian model,</w:t>
      </w:r>
      <w:r w:rsidRPr="007D27C5">
        <w:rPr>
          <w:rStyle w:val="FootnoteReference"/>
          <w:rFonts w:asciiTheme="majorHAnsi" w:hAnsiTheme="majorHAnsi"/>
        </w:rPr>
        <w:footnoteReference w:id="11"/>
      </w:r>
      <w:r w:rsidRPr="007D27C5">
        <w:rPr>
          <w:rFonts w:asciiTheme="majorHAnsi" w:hAnsiTheme="majorHAnsi"/>
        </w:rPr>
        <w:t xml:space="preserve"> would greatly i</w:t>
      </w:r>
      <w:r w:rsidR="008C0C47" w:rsidRPr="007D27C5">
        <w:rPr>
          <w:rFonts w:asciiTheme="majorHAnsi" w:hAnsiTheme="majorHAnsi"/>
        </w:rPr>
        <w:t xml:space="preserve">ncrease </w:t>
      </w:r>
      <w:r w:rsidRPr="007D27C5">
        <w:rPr>
          <w:rFonts w:asciiTheme="majorHAnsi" w:hAnsiTheme="majorHAnsi"/>
        </w:rPr>
        <w:t>the ability of elder Australians to seek appropriate legal redress</w:t>
      </w:r>
      <w:r w:rsidR="00DA1014" w:rsidRPr="007D27C5">
        <w:rPr>
          <w:rFonts w:asciiTheme="majorHAnsi" w:hAnsiTheme="majorHAnsi"/>
        </w:rPr>
        <w:t>, and would allow L</w:t>
      </w:r>
      <w:r w:rsidRPr="007D27C5">
        <w:rPr>
          <w:rFonts w:asciiTheme="majorHAnsi" w:hAnsiTheme="majorHAnsi"/>
        </w:rPr>
        <w:t>egal Aid ACT</w:t>
      </w:r>
      <w:r w:rsidR="00DA1014" w:rsidRPr="007D27C5">
        <w:rPr>
          <w:rFonts w:asciiTheme="majorHAnsi" w:hAnsiTheme="majorHAnsi"/>
        </w:rPr>
        <w:t xml:space="preserve"> to </w:t>
      </w:r>
      <w:r w:rsidRPr="007D27C5">
        <w:rPr>
          <w:rFonts w:asciiTheme="majorHAnsi" w:hAnsiTheme="majorHAnsi"/>
        </w:rPr>
        <w:t xml:space="preserve">provide </w:t>
      </w:r>
      <w:r w:rsidR="00DA1014" w:rsidRPr="007D27C5">
        <w:rPr>
          <w:rFonts w:asciiTheme="majorHAnsi" w:hAnsiTheme="majorHAnsi"/>
        </w:rPr>
        <w:t xml:space="preserve">more </w:t>
      </w:r>
      <w:r w:rsidRPr="007D27C5">
        <w:rPr>
          <w:rFonts w:asciiTheme="majorHAnsi" w:hAnsiTheme="majorHAnsi"/>
        </w:rPr>
        <w:t xml:space="preserve">cost effective advice and assistance </w:t>
      </w:r>
      <w:r w:rsidR="008C0C47" w:rsidRPr="007D27C5">
        <w:rPr>
          <w:rFonts w:asciiTheme="majorHAnsi" w:hAnsiTheme="majorHAnsi"/>
        </w:rPr>
        <w:t>in these matters</w:t>
      </w:r>
      <w:r w:rsidR="00DA1014" w:rsidRPr="007D27C5">
        <w:rPr>
          <w:rFonts w:asciiTheme="majorHAnsi" w:hAnsiTheme="majorHAnsi"/>
        </w:rPr>
        <w:t xml:space="preserve">, thereby improving access to </w:t>
      </w:r>
      <w:r w:rsidR="008C0C47" w:rsidRPr="007D27C5">
        <w:rPr>
          <w:rFonts w:asciiTheme="majorHAnsi" w:hAnsiTheme="majorHAnsi"/>
        </w:rPr>
        <w:t>justice for elderly Australians.</w:t>
      </w:r>
    </w:p>
    <w:p w:rsidR="00A065AD" w:rsidRPr="007D27C5" w:rsidRDefault="00A065AD" w:rsidP="00A065AD">
      <w:pPr>
        <w:jc w:val="both"/>
        <w:rPr>
          <w:rFonts w:asciiTheme="majorHAnsi" w:hAnsiTheme="majorHAnsi"/>
        </w:rPr>
      </w:pPr>
      <w:r w:rsidRPr="007D27C5">
        <w:rPr>
          <w:rFonts w:asciiTheme="majorHAnsi" w:hAnsiTheme="majorHAnsi"/>
        </w:rPr>
        <w:t xml:space="preserve"> </w:t>
      </w:r>
    </w:p>
    <w:p w:rsidR="00A065AD" w:rsidRDefault="002C773A" w:rsidP="00A065AD">
      <w:pPr>
        <w:pStyle w:val="Style2"/>
        <w:rPr>
          <w:u w:val="single"/>
        </w:rPr>
      </w:pPr>
      <w:r w:rsidRPr="002C773A">
        <w:rPr>
          <w:noProof/>
          <w:lang w:eastAsia="en-AU"/>
        </w:rPr>
        <w:pict>
          <v:roundrect id="Text Box 6" o:spid="_x0000_s1032" style="position:absolute;margin-left:.65pt;margin-top:24.4pt;width:468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" fillcolor="#f4b083 [1941]" strokecolor="#ed7d31 [3205]" strokeweight="1pt">
            <v:stroke joinstyle="miter"/>
            <v:textbox>
              <w:txbxContent>
                <w:p w:rsidR="00A76281" w:rsidRDefault="00A76281" w:rsidP="00A065AD">
                  <w:pPr>
                    <w:pStyle w:val="Style2"/>
                    <w:rPr>
                      <w:b/>
                    </w:rPr>
                  </w:pPr>
                  <w:r>
                    <w:rPr>
                      <w:b/>
                    </w:rPr>
                    <w:t>Proposal 5-6</w:t>
                  </w:r>
                </w:p>
                <w:p w:rsidR="00A76281" w:rsidRPr="00A065AD" w:rsidRDefault="00A76281" w:rsidP="00A065AD">
                  <w:pPr>
                    <w:pStyle w:val="Style2"/>
                    <w:jc w:val="both"/>
                    <w:rPr>
                      <w:color w:val="000000"/>
                      <w:sz w:val="22"/>
                      <w:szCs w:val="22"/>
                    </w:rPr>
                  </w:pPr>
                  <w:r w:rsidRPr="00A065AD">
                    <w:rPr>
                      <w:color w:val="000000"/>
                      <w:sz w:val="22"/>
                      <w:szCs w:val="22"/>
                    </w:rPr>
                    <w:t>Laws governing enduring powers of attorney should provide that an attorney must not enter into a transaction where there is, or may be, a conflict between the attorney’s duty to the principal and the interests of the attorney (or a relative, business associate or close friend of the attorney), unless:</w:t>
                  </w:r>
                </w:p>
                <w:p w:rsidR="00A76281" w:rsidRPr="00A065AD" w:rsidRDefault="00A76281" w:rsidP="00DC0165">
                  <w:pPr>
                    <w:pStyle w:val="Style2"/>
                    <w:numPr>
                      <w:ilvl w:val="0"/>
                      <w:numId w:val="8"/>
                    </w:numPr>
                    <w:ind w:left="1134" w:hanging="425"/>
                    <w:jc w:val="both"/>
                  </w:pPr>
                  <w:r w:rsidRPr="00A065AD">
                    <w:rPr>
                      <w:color w:val="000000"/>
                      <w:sz w:val="22"/>
                      <w:szCs w:val="22"/>
                    </w:rPr>
                    <w:t>the principal foresaw the particular type of conflict and gave express authorisation in the enduring power of attorney document; or</w:t>
                  </w:r>
                </w:p>
                <w:p w:rsidR="00A76281" w:rsidRPr="00A065AD" w:rsidRDefault="00A76281" w:rsidP="00DC0165">
                  <w:pPr>
                    <w:pStyle w:val="Style2"/>
                    <w:numPr>
                      <w:ilvl w:val="0"/>
                      <w:numId w:val="8"/>
                    </w:numPr>
                    <w:ind w:left="1134" w:hanging="425"/>
                  </w:pPr>
                  <w:proofErr w:type="gramStart"/>
                  <w:r w:rsidRPr="00A065AD">
                    <w:rPr>
                      <w:color w:val="000000"/>
                      <w:sz w:val="22"/>
                      <w:szCs w:val="22"/>
                    </w:rPr>
                    <w:t>a</w:t>
                  </w:r>
                  <w:proofErr w:type="gramEnd"/>
                  <w:r w:rsidRPr="00A065AD">
                    <w:rPr>
                      <w:color w:val="000000"/>
                      <w:sz w:val="22"/>
                      <w:szCs w:val="22"/>
                    </w:rPr>
                    <w:t xml:space="preserve"> tribunal has authorised the transaction before it is entered into.</w:t>
                  </w:r>
                </w:p>
                <w:p w:rsidR="00A76281" w:rsidRPr="00B80199" w:rsidRDefault="00A76281" w:rsidP="00A065AD">
                  <w:pPr>
                    <w:pStyle w:val="Style2"/>
                    <w:ind w:left="1134" w:hanging="425"/>
                    <w:rPr>
                      <w:b/>
                      <w:sz w:val="28"/>
                    </w:rPr>
                  </w:pPr>
                </w:p>
                <w:p w:rsidR="00A76281" w:rsidRPr="00B80199" w:rsidRDefault="00A76281" w:rsidP="00A065AD">
                  <w:pPr>
                    <w:pStyle w:val="Style2"/>
                    <w:rPr>
                      <w:b/>
                    </w:rPr>
                  </w:pPr>
                </w:p>
              </w:txbxContent>
            </v:textbox>
            <w10:wrap type="square"/>
          </v:roundrect>
        </w:pict>
      </w:r>
      <w:r w:rsidR="00A065AD">
        <w:rPr>
          <w:u w:val="single"/>
        </w:rPr>
        <w:t>4.2 Conflicts and enduring powers</w:t>
      </w:r>
    </w:p>
    <w:p w:rsidR="00A065AD" w:rsidRDefault="00A065AD" w:rsidP="00A065AD">
      <w:pPr>
        <w:pStyle w:val="Style2"/>
      </w:pPr>
    </w:p>
    <w:p w:rsidR="00057533" w:rsidRPr="007D27C5" w:rsidRDefault="00985B89" w:rsidP="00820030">
      <w:pPr>
        <w:pStyle w:val="CommentText"/>
        <w:jc w:val="both"/>
        <w:rPr>
          <w:rFonts w:asciiTheme="majorHAnsi" w:hAnsiTheme="majorHAnsi"/>
          <w:sz w:val="24"/>
        </w:rPr>
      </w:pPr>
      <w:r w:rsidRPr="007D27C5">
        <w:rPr>
          <w:rFonts w:asciiTheme="majorHAnsi" w:hAnsiTheme="majorHAnsi"/>
          <w:sz w:val="24"/>
          <w:szCs w:val="24"/>
        </w:rPr>
        <w:t>It is vital to implement</w:t>
      </w:r>
      <w:r w:rsidR="00820030" w:rsidRPr="007D27C5">
        <w:rPr>
          <w:rFonts w:asciiTheme="majorHAnsi" w:hAnsiTheme="majorHAnsi"/>
          <w:sz w:val="24"/>
          <w:szCs w:val="24"/>
        </w:rPr>
        <w:t xml:space="preserve"> laws</w:t>
      </w:r>
      <w:r w:rsidR="00EA1C17" w:rsidRPr="007D27C5">
        <w:rPr>
          <w:rFonts w:asciiTheme="majorHAnsi" w:hAnsiTheme="majorHAnsi"/>
          <w:sz w:val="24"/>
          <w:szCs w:val="24"/>
        </w:rPr>
        <w:t xml:space="preserve"> regulat</w:t>
      </w:r>
      <w:r w:rsidR="00820030" w:rsidRPr="007D27C5">
        <w:rPr>
          <w:rFonts w:asciiTheme="majorHAnsi" w:hAnsiTheme="majorHAnsi"/>
          <w:sz w:val="24"/>
          <w:szCs w:val="24"/>
        </w:rPr>
        <w:t>ing</w:t>
      </w:r>
      <w:r w:rsidR="00EA1C17" w:rsidRPr="007D27C5">
        <w:rPr>
          <w:rFonts w:asciiTheme="majorHAnsi" w:hAnsiTheme="majorHAnsi"/>
          <w:sz w:val="24"/>
          <w:szCs w:val="24"/>
        </w:rPr>
        <w:t xml:space="preserve"> transactions where there is, or may be, conflict</w:t>
      </w:r>
      <w:r w:rsidR="00F7148C" w:rsidRPr="007D27C5">
        <w:rPr>
          <w:rFonts w:asciiTheme="majorHAnsi" w:hAnsiTheme="majorHAnsi"/>
          <w:sz w:val="24"/>
          <w:szCs w:val="24"/>
        </w:rPr>
        <w:t xml:space="preserve"> of attorney/principal interests</w:t>
      </w:r>
      <w:r w:rsidRPr="007D27C5">
        <w:rPr>
          <w:rFonts w:asciiTheme="majorHAnsi" w:hAnsiTheme="majorHAnsi"/>
          <w:sz w:val="24"/>
          <w:szCs w:val="24"/>
        </w:rPr>
        <w:t xml:space="preserve">. </w:t>
      </w:r>
      <w:r w:rsidR="00F7148C" w:rsidRPr="007D27C5">
        <w:rPr>
          <w:rFonts w:asciiTheme="majorHAnsi" w:hAnsiTheme="majorHAnsi"/>
          <w:sz w:val="24"/>
          <w:szCs w:val="24"/>
        </w:rPr>
        <w:t>L</w:t>
      </w:r>
      <w:r w:rsidRPr="007D27C5">
        <w:rPr>
          <w:rFonts w:asciiTheme="majorHAnsi" w:hAnsiTheme="majorHAnsi"/>
          <w:sz w:val="24"/>
          <w:szCs w:val="24"/>
        </w:rPr>
        <w:t>aws</w:t>
      </w:r>
      <w:r w:rsidR="00F7148C" w:rsidRPr="007D27C5">
        <w:rPr>
          <w:rFonts w:asciiTheme="majorHAnsi" w:hAnsiTheme="majorHAnsi"/>
          <w:sz w:val="24"/>
          <w:szCs w:val="24"/>
        </w:rPr>
        <w:t xml:space="preserve"> of this kind</w:t>
      </w:r>
      <w:r w:rsidRPr="007D27C5">
        <w:rPr>
          <w:rFonts w:asciiTheme="majorHAnsi" w:hAnsiTheme="majorHAnsi"/>
          <w:sz w:val="24"/>
          <w:szCs w:val="24"/>
        </w:rPr>
        <w:t xml:space="preserve"> provide additional </w:t>
      </w:r>
      <w:r w:rsidR="00382EE9" w:rsidRPr="007D27C5">
        <w:rPr>
          <w:rFonts w:asciiTheme="majorHAnsi" w:hAnsiTheme="majorHAnsi"/>
          <w:sz w:val="24"/>
          <w:szCs w:val="24"/>
        </w:rPr>
        <w:t>protection</w:t>
      </w:r>
      <w:r w:rsidR="00A023AD" w:rsidRPr="007D27C5">
        <w:rPr>
          <w:rFonts w:asciiTheme="majorHAnsi" w:hAnsiTheme="majorHAnsi"/>
          <w:sz w:val="24"/>
          <w:szCs w:val="24"/>
        </w:rPr>
        <w:t>s</w:t>
      </w:r>
      <w:r w:rsidR="00382EE9" w:rsidRPr="007D27C5">
        <w:rPr>
          <w:rFonts w:asciiTheme="majorHAnsi" w:hAnsiTheme="majorHAnsi"/>
          <w:sz w:val="24"/>
          <w:szCs w:val="24"/>
        </w:rPr>
        <w:t xml:space="preserve"> </w:t>
      </w:r>
      <w:r w:rsidR="00F7148C" w:rsidRPr="007D27C5">
        <w:rPr>
          <w:rFonts w:asciiTheme="majorHAnsi" w:hAnsiTheme="majorHAnsi"/>
          <w:sz w:val="24"/>
          <w:szCs w:val="24"/>
        </w:rPr>
        <w:t xml:space="preserve">against financial abuses perpetrated by enduring power of attorneys (EPOA), ensuring that the interests of vulnerable older Australians retain primacy. </w:t>
      </w:r>
      <w:r w:rsidR="00382EE9" w:rsidRPr="007D27C5">
        <w:rPr>
          <w:rFonts w:asciiTheme="majorHAnsi" w:hAnsiTheme="majorHAnsi"/>
          <w:sz w:val="24"/>
          <w:szCs w:val="24"/>
        </w:rPr>
        <w:t xml:space="preserve">While there may be some concern that these regulations could be unduly restrictive, and could affect individuals’ willingness to </w:t>
      </w:r>
      <w:r w:rsidR="00E45444" w:rsidRPr="007D27C5">
        <w:rPr>
          <w:rFonts w:asciiTheme="majorHAnsi" w:hAnsiTheme="majorHAnsi"/>
          <w:sz w:val="24"/>
          <w:szCs w:val="24"/>
        </w:rPr>
        <w:t>be appointed as attorney</w:t>
      </w:r>
      <w:r w:rsidR="00382EE9" w:rsidRPr="007D27C5">
        <w:rPr>
          <w:rFonts w:asciiTheme="majorHAnsi" w:hAnsiTheme="majorHAnsi"/>
          <w:sz w:val="24"/>
          <w:szCs w:val="24"/>
        </w:rPr>
        <w:t>, the protections afforded are</w:t>
      </w:r>
      <w:r w:rsidR="00382EE9" w:rsidRPr="007D27C5">
        <w:rPr>
          <w:rFonts w:asciiTheme="majorHAnsi" w:hAnsiTheme="majorHAnsi"/>
          <w:sz w:val="24"/>
        </w:rPr>
        <w:t xml:space="preserve"> substantial and </w:t>
      </w:r>
      <w:r w:rsidR="00F7148C" w:rsidRPr="007D27C5">
        <w:rPr>
          <w:rFonts w:asciiTheme="majorHAnsi" w:hAnsiTheme="majorHAnsi"/>
          <w:sz w:val="24"/>
        </w:rPr>
        <w:t xml:space="preserve">Legal Aid ACT submits they </w:t>
      </w:r>
      <w:r w:rsidR="00382EE9" w:rsidRPr="007D27C5">
        <w:rPr>
          <w:rFonts w:asciiTheme="majorHAnsi" w:hAnsiTheme="majorHAnsi"/>
          <w:sz w:val="24"/>
        </w:rPr>
        <w:t>outweigh</w:t>
      </w:r>
      <w:r w:rsidR="00906C27" w:rsidRPr="007D27C5">
        <w:rPr>
          <w:rFonts w:asciiTheme="majorHAnsi" w:hAnsiTheme="majorHAnsi"/>
          <w:sz w:val="24"/>
        </w:rPr>
        <w:t xml:space="preserve"> any</w:t>
      </w:r>
      <w:r w:rsidR="00382EE9" w:rsidRPr="007D27C5">
        <w:rPr>
          <w:rFonts w:asciiTheme="majorHAnsi" w:hAnsiTheme="majorHAnsi"/>
          <w:sz w:val="24"/>
        </w:rPr>
        <w:t xml:space="preserve"> potential negative consequences. </w:t>
      </w:r>
      <w:r w:rsidR="00F7148C" w:rsidRPr="007D27C5">
        <w:rPr>
          <w:rFonts w:asciiTheme="majorHAnsi" w:hAnsiTheme="majorHAnsi"/>
          <w:sz w:val="24"/>
        </w:rPr>
        <w:t>The regulations also</w:t>
      </w:r>
      <w:r w:rsidR="00382EE9" w:rsidRPr="007D27C5">
        <w:rPr>
          <w:rFonts w:asciiTheme="majorHAnsi" w:hAnsiTheme="majorHAnsi"/>
          <w:sz w:val="24"/>
        </w:rPr>
        <w:t xml:space="preserve"> align with existing enduring power of attorney duties and principles, and more broadly with principles embedded in equitable </w:t>
      </w:r>
      <w:r w:rsidR="00057533" w:rsidRPr="007D27C5">
        <w:rPr>
          <w:rFonts w:asciiTheme="majorHAnsi" w:hAnsiTheme="majorHAnsi"/>
          <w:sz w:val="24"/>
        </w:rPr>
        <w:t>doctrines</w:t>
      </w:r>
      <w:r w:rsidR="005919CF" w:rsidRPr="007D27C5">
        <w:rPr>
          <w:rStyle w:val="FootnoteReference"/>
          <w:rFonts w:asciiTheme="majorHAnsi" w:hAnsiTheme="majorHAnsi"/>
          <w:sz w:val="24"/>
        </w:rPr>
        <w:footnoteReference w:id="12"/>
      </w:r>
      <w:r w:rsidR="00382EE9" w:rsidRPr="007D27C5">
        <w:rPr>
          <w:rFonts w:asciiTheme="majorHAnsi" w:hAnsiTheme="majorHAnsi"/>
          <w:sz w:val="24"/>
        </w:rPr>
        <w:t xml:space="preserve"> and</w:t>
      </w:r>
      <w:r w:rsidR="006F2931" w:rsidRPr="007D27C5">
        <w:rPr>
          <w:rFonts w:asciiTheme="majorHAnsi" w:hAnsiTheme="majorHAnsi"/>
          <w:sz w:val="24"/>
        </w:rPr>
        <w:t xml:space="preserve"> with</w:t>
      </w:r>
      <w:r w:rsidR="00382EE9" w:rsidRPr="007D27C5">
        <w:rPr>
          <w:rFonts w:asciiTheme="majorHAnsi" w:hAnsiTheme="majorHAnsi"/>
          <w:sz w:val="24"/>
        </w:rPr>
        <w:t xml:space="preserve"> </w:t>
      </w:r>
      <w:r w:rsidR="005919CF" w:rsidRPr="007D27C5">
        <w:rPr>
          <w:rFonts w:asciiTheme="majorHAnsi" w:hAnsiTheme="majorHAnsi"/>
          <w:sz w:val="24"/>
        </w:rPr>
        <w:t xml:space="preserve">statutory obligations </w:t>
      </w:r>
      <w:r w:rsidR="00382EE9" w:rsidRPr="007D27C5">
        <w:rPr>
          <w:rFonts w:asciiTheme="majorHAnsi" w:hAnsiTheme="majorHAnsi"/>
          <w:sz w:val="24"/>
        </w:rPr>
        <w:t>that bind trustees.</w:t>
      </w:r>
      <w:r w:rsidR="00865AAB" w:rsidRPr="007D27C5">
        <w:rPr>
          <w:rStyle w:val="FootnoteReference"/>
          <w:rFonts w:asciiTheme="majorHAnsi" w:hAnsiTheme="majorHAnsi"/>
          <w:sz w:val="24"/>
        </w:rPr>
        <w:footnoteReference w:id="13"/>
      </w:r>
    </w:p>
    <w:p w:rsidR="00382EE9" w:rsidRPr="007D27C5" w:rsidRDefault="00057533" w:rsidP="00820030">
      <w:pPr>
        <w:pStyle w:val="CommentText"/>
        <w:jc w:val="both"/>
        <w:rPr>
          <w:rFonts w:asciiTheme="majorHAnsi" w:hAnsiTheme="majorHAnsi"/>
          <w:sz w:val="24"/>
        </w:rPr>
      </w:pPr>
      <w:r w:rsidRPr="007D27C5">
        <w:rPr>
          <w:rFonts w:asciiTheme="majorHAnsi" w:hAnsiTheme="majorHAnsi"/>
          <w:sz w:val="24"/>
        </w:rPr>
        <w:t>Successful implementation of laws in lin</w:t>
      </w:r>
      <w:r w:rsidR="000D68E9" w:rsidRPr="007D27C5">
        <w:rPr>
          <w:rFonts w:asciiTheme="majorHAnsi" w:hAnsiTheme="majorHAnsi"/>
          <w:sz w:val="24"/>
        </w:rPr>
        <w:t>e with Proposal 5-6 may require</w:t>
      </w:r>
      <w:r w:rsidR="00DD0A08" w:rsidRPr="007D27C5">
        <w:rPr>
          <w:rFonts w:asciiTheme="majorHAnsi" w:hAnsiTheme="majorHAnsi"/>
          <w:sz w:val="24"/>
        </w:rPr>
        <w:t xml:space="preserve"> </w:t>
      </w:r>
      <w:r w:rsidR="000D68E9" w:rsidRPr="007D27C5">
        <w:rPr>
          <w:rFonts w:asciiTheme="majorHAnsi" w:hAnsiTheme="majorHAnsi"/>
          <w:sz w:val="24"/>
        </w:rPr>
        <w:t xml:space="preserve">adopting Legal Aid ACT’s submission that </w:t>
      </w:r>
      <w:r w:rsidRPr="007D27C5">
        <w:rPr>
          <w:rFonts w:asciiTheme="majorHAnsi" w:hAnsiTheme="majorHAnsi"/>
          <w:sz w:val="24"/>
        </w:rPr>
        <w:t xml:space="preserve">principals obtain mandatory legal advice on enduring powers of attorney </w:t>
      </w:r>
      <w:r w:rsidRPr="007D27C5">
        <w:rPr>
          <w:rFonts w:asciiTheme="majorHAnsi" w:hAnsiTheme="majorHAnsi"/>
          <w:sz w:val="24"/>
        </w:rPr>
        <w:lastRenderedPageBreak/>
        <w:t>arrangements before signing.</w:t>
      </w:r>
      <w:r w:rsidR="000124A8" w:rsidRPr="007D27C5">
        <w:rPr>
          <w:rStyle w:val="FootnoteReference"/>
          <w:rFonts w:asciiTheme="majorHAnsi" w:hAnsiTheme="majorHAnsi"/>
          <w:sz w:val="24"/>
        </w:rPr>
        <w:footnoteReference w:id="14"/>
      </w:r>
      <w:r w:rsidRPr="007D27C5">
        <w:rPr>
          <w:rFonts w:asciiTheme="majorHAnsi" w:hAnsiTheme="majorHAnsi"/>
          <w:sz w:val="24"/>
        </w:rPr>
        <w:t xml:space="preserve"> </w:t>
      </w:r>
      <w:r w:rsidR="006F2931" w:rsidRPr="007D27C5">
        <w:rPr>
          <w:rFonts w:asciiTheme="majorHAnsi" w:hAnsiTheme="majorHAnsi"/>
          <w:sz w:val="24"/>
        </w:rPr>
        <w:t xml:space="preserve">This </w:t>
      </w:r>
      <w:r w:rsidR="000D68E9" w:rsidRPr="007D27C5">
        <w:rPr>
          <w:rFonts w:asciiTheme="majorHAnsi" w:hAnsiTheme="majorHAnsi"/>
          <w:sz w:val="24"/>
        </w:rPr>
        <w:t xml:space="preserve">could </w:t>
      </w:r>
      <w:r w:rsidR="006F2931" w:rsidRPr="007D27C5">
        <w:rPr>
          <w:rFonts w:asciiTheme="majorHAnsi" w:hAnsiTheme="majorHAnsi"/>
          <w:sz w:val="24"/>
        </w:rPr>
        <w:t xml:space="preserve">reduce the </w:t>
      </w:r>
      <w:r w:rsidR="003A17AD">
        <w:rPr>
          <w:rFonts w:asciiTheme="majorHAnsi" w:hAnsiTheme="majorHAnsi"/>
          <w:sz w:val="24"/>
        </w:rPr>
        <w:t xml:space="preserve">number </w:t>
      </w:r>
      <w:r w:rsidR="006F2931" w:rsidRPr="007D27C5">
        <w:rPr>
          <w:rFonts w:asciiTheme="majorHAnsi" w:hAnsiTheme="majorHAnsi"/>
          <w:sz w:val="24"/>
        </w:rPr>
        <w:t xml:space="preserve">of applications made to </w:t>
      </w:r>
      <w:r w:rsidR="00DD0A08" w:rsidRPr="007D27C5">
        <w:rPr>
          <w:rFonts w:asciiTheme="majorHAnsi" w:hAnsiTheme="majorHAnsi"/>
          <w:sz w:val="24"/>
        </w:rPr>
        <w:t>ACAT</w:t>
      </w:r>
      <w:r w:rsidR="006F2931" w:rsidRPr="007D27C5">
        <w:rPr>
          <w:rFonts w:asciiTheme="majorHAnsi" w:hAnsiTheme="majorHAnsi"/>
          <w:sz w:val="24"/>
        </w:rPr>
        <w:t xml:space="preserve"> to authorise relevant transactions</w:t>
      </w:r>
      <w:r w:rsidR="000D68E9" w:rsidRPr="007D27C5">
        <w:rPr>
          <w:rFonts w:asciiTheme="majorHAnsi" w:hAnsiTheme="majorHAnsi"/>
          <w:sz w:val="24"/>
        </w:rPr>
        <w:t>, as well as the number of future disputes</w:t>
      </w:r>
      <w:r w:rsidR="000F6ADF" w:rsidRPr="007D27C5">
        <w:rPr>
          <w:rFonts w:asciiTheme="majorHAnsi" w:hAnsiTheme="majorHAnsi"/>
          <w:sz w:val="24"/>
        </w:rPr>
        <w:t xml:space="preserve"> required to be adjudicated by ACAT</w:t>
      </w:r>
      <w:r w:rsidR="000D68E9" w:rsidRPr="007D27C5">
        <w:rPr>
          <w:rFonts w:asciiTheme="majorHAnsi" w:hAnsiTheme="majorHAnsi"/>
          <w:sz w:val="24"/>
        </w:rPr>
        <w:t>. Legal Aid ACT would be well positioned to provide the necessary community legal education</w:t>
      </w:r>
      <w:r w:rsidR="00A76281" w:rsidRPr="007D27C5">
        <w:rPr>
          <w:rFonts w:asciiTheme="majorHAnsi" w:hAnsiTheme="majorHAnsi"/>
          <w:sz w:val="24"/>
        </w:rPr>
        <w:t xml:space="preserve"> and advice </w:t>
      </w:r>
      <w:r w:rsidR="000D68E9" w:rsidRPr="007D27C5">
        <w:rPr>
          <w:rFonts w:asciiTheme="majorHAnsi" w:hAnsiTheme="majorHAnsi"/>
          <w:sz w:val="24"/>
        </w:rPr>
        <w:t>to interested members of the community.</w:t>
      </w:r>
    </w:p>
    <w:p w:rsidR="00A065AD" w:rsidRPr="007D27C5" w:rsidRDefault="00A065AD" w:rsidP="00A065AD">
      <w:pPr>
        <w:pStyle w:val="Style2"/>
      </w:pPr>
    </w:p>
    <w:p w:rsidR="00A065AD" w:rsidRDefault="00A065AD" w:rsidP="00DC0165">
      <w:pPr>
        <w:pStyle w:val="Style2"/>
        <w:numPr>
          <w:ilvl w:val="1"/>
          <w:numId w:val="13"/>
        </w:numPr>
        <w:rPr>
          <w:u w:val="single"/>
        </w:rPr>
      </w:pPr>
      <w:r>
        <w:rPr>
          <w:u w:val="single"/>
        </w:rPr>
        <w:t>Ineligibility for enduring powers</w:t>
      </w:r>
    </w:p>
    <w:p w:rsidR="00A065AD" w:rsidRDefault="002C773A" w:rsidP="006273D7">
      <w:pPr>
        <w:pStyle w:val="Style2"/>
      </w:pPr>
      <w:r>
        <w:rPr>
          <w:noProof/>
          <w:lang w:eastAsia="en-AU"/>
        </w:rPr>
        <w:pict>
          <v:roundrect id="Text Box 7" o:spid="_x0000_s1033" style="position:absolute;margin-left:-3.85pt;margin-top:15pt;width:474.75pt;height:1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" fillcolor="#f4b083 [1941]" strokecolor="#ed7d31 [3205]" strokeweight="1pt">
            <v:stroke joinstyle="miter"/>
            <v:textbox>
              <w:txbxContent>
                <w:p w:rsidR="00A76281" w:rsidRDefault="00A76281" w:rsidP="00A065AD">
                  <w:pPr>
                    <w:pStyle w:val="Style2"/>
                    <w:rPr>
                      <w:b/>
                    </w:rPr>
                  </w:pPr>
                  <w:r>
                    <w:rPr>
                      <w:b/>
                    </w:rPr>
                    <w:t>Proposal 5-7</w:t>
                  </w:r>
                </w:p>
                <w:p w:rsidR="00A76281" w:rsidRPr="00A065AD" w:rsidRDefault="00A76281" w:rsidP="00A065AD">
                  <w:pPr>
                    <w:pStyle w:val="Style2"/>
                    <w:ind w:left="709" w:hanging="709"/>
                    <w:rPr>
                      <w:color w:val="000000"/>
                      <w:sz w:val="22"/>
                      <w:szCs w:val="22"/>
                    </w:rPr>
                  </w:pPr>
                  <w:r w:rsidRPr="00A065AD">
                    <w:rPr>
                      <w:color w:val="000000"/>
                      <w:sz w:val="22"/>
                      <w:szCs w:val="22"/>
                    </w:rPr>
                    <w:t xml:space="preserve">A person should be ineligible to be an enduring attorney if the person: </w:t>
                  </w:r>
                </w:p>
                <w:p w:rsidR="00A76281" w:rsidRPr="00A065AD" w:rsidRDefault="00A76281" w:rsidP="00DC0165">
                  <w:pPr>
                    <w:pStyle w:val="Style2"/>
                    <w:numPr>
                      <w:ilvl w:val="0"/>
                      <w:numId w:val="9"/>
                    </w:numPr>
                    <w:ind w:left="1134" w:hanging="425"/>
                  </w:pPr>
                  <w:r w:rsidRPr="00A065AD">
                    <w:rPr>
                      <w:color w:val="000000"/>
                      <w:sz w:val="22"/>
                      <w:szCs w:val="22"/>
                    </w:rPr>
                    <w:t xml:space="preserve">is an undischarged bankrupt; </w:t>
                  </w:r>
                </w:p>
                <w:p w:rsidR="00A76281" w:rsidRPr="00A065AD" w:rsidRDefault="00A76281" w:rsidP="00DC0165">
                  <w:pPr>
                    <w:pStyle w:val="Style2"/>
                    <w:numPr>
                      <w:ilvl w:val="0"/>
                      <w:numId w:val="9"/>
                    </w:numPr>
                    <w:ind w:left="1134" w:hanging="425"/>
                  </w:pPr>
                  <w:r w:rsidRPr="00A065AD">
                    <w:rPr>
                      <w:color w:val="000000"/>
                      <w:sz w:val="22"/>
                      <w:szCs w:val="22"/>
                    </w:rPr>
                    <w:t xml:space="preserve">is prohibited from acting as a director under the </w:t>
                  </w:r>
                  <w:r w:rsidRPr="00A065AD">
                    <w:rPr>
                      <w:i/>
                      <w:iCs/>
                      <w:color w:val="000000"/>
                      <w:sz w:val="22"/>
                      <w:szCs w:val="22"/>
                    </w:rPr>
                    <w:t xml:space="preserve">Corporations Act 2001 </w:t>
                  </w:r>
                  <w:r w:rsidRPr="00A065AD">
                    <w:rPr>
                      <w:color w:val="000000"/>
                      <w:sz w:val="22"/>
                      <w:szCs w:val="22"/>
                    </w:rPr>
                    <w:t>(</w:t>
                  </w:r>
                  <w:proofErr w:type="spellStart"/>
                  <w:r w:rsidRPr="00A065AD">
                    <w:rPr>
                      <w:color w:val="000000"/>
                      <w:sz w:val="22"/>
                      <w:szCs w:val="22"/>
                    </w:rPr>
                    <w:t>Cth</w:t>
                  </w:r>
                  <w:proofErr w:type="spellEnd"/>
                  <w:r w:rsidRPr="00A065AD">
                    <w:rPr>
                      <w:color w:val="000000"/>
                      <w:sz w:val="22"/>
                      <w:szCs w:val="22"/>
                    </w:rPr>
                    <w:t>);</w:t>
                  </w:r>
                </w:p>
                <w:p w:rsidR="00A76281" w:rsidRPr="00A065AD" w:rsidRDefault="00A76281" w:rsidP="00DC0165">
                  <w:pPr>
                    <w:pStyle w:val="Style2"/>
                    <w:numPr>
                      <w:ilvl w:val="0"/>
                      <w:numId w:val="9"/>
                    </w:numPr>
                    <w:ind w:left="1134" w:hanging="425"/>
                  </w:pPr>
                  <w:r w:rsidRPr="00A065AD">
                    <w:rPr>
                      <w:color w:val="000000"/>
                      <w:sz w:val="22"/>
                      <w:szCs w:val="22"/>
                    </w:rPr>
                    <w:t xml:space="preserve">has been convicted of an offence involving fraud or dishonesty; or </w:t>
                  </w:r>
                </w:p>
                <w:p w:rsidR="00A76281" w:rsidRPr="00A065AD" w:rsidRDefault="00A76281" w:rsidP="00DC0165">
                  <w:pPr>
                    <w:pStyle w:val="Style2"/>
                    <w:numPr>
                      <w:ilvl w:val="0"/>
                      <w:numId w:val="9"/>
                    </w:numPr>
                    <w:ind w:left="1134" w:hanging="425"/>
                  </w:pPr>
                  <w:proofErr w:type="gramStart"/>
                  <w:r w:rsidRPr="00A065AD">
                    <w:rPr>
                      <w:color w:val="000000"/>
                      <w:sz w:val="22"/>
                      <w:szCs w:val="22"/>
                    </w:rPr>
                    <w:t>is</w:t>
                  </w:r>
                  <w:proofErr w:type="gramEnd"/>
                  <w:r w:rsidRPr="00A065AD">
                    <w:rPr>
                      <w:color w:val="000000"/>
                      <w:sz w:val="22"/>
                      <w:szCs w:val="22"/>
                    </w:rPr>
                    <w:t>, or has been, a care worker, a health provider or an accommodation provider for the principal.</w:t>
                  </w:r>
                </w:p>
                <w:p w:rsidR="00A76281" w:rsidRPr="00B80199" w:rsidRDefault="00A76281" w:rsidP="00A065AD">
                  <w:pPr>
                    <w:pStyle w:val="Style2"/>
                    <w:rPr>
                      <w:b/>
                    </w:rPr>
                  </w:pPr>
                </w:p>
              </w:txbxContent>
            </v:textbox>
            <w10:wrap type="square"/>
          </v:roundrect>
        </w:pict>
      </w:r>
    </w:p>
    <w:p w:rsidR="006273D7" w:rsidRDefault="006273D7" w:rsidP="00DC0165">
      <w:pPr>
        <w:pStyle w:val="Style2"/>
        <w:jc w:val="both"/>
      </w:pPr>
    </w:p>
    <w:p w:rsidR="003F6232" w:rsidRDefault="003F6232" w:rsidP="00DC0165">
      <w:pPr>
        <w:pStyle w:val="Style2"/>
        <w:jc w:val="both"/>
      </w:pPr>
      <w:r>
        <w:t xml:space="preserve">Legal Aid </w:t>
      </w:r>
      <w:r w:rsidR="00985B89">
        <w:t xml:space="preserve">ACT </w:t>
      </w:r>
      <w:r>
        <w:t>supports restrict</w:t>
      </w:r>
      <w:r w:rsidR="00906C27">
        <w:t>ing</w:t>
      </w:r>
      <w:r>
        <w:t xml:space="preserve"> the class of persons eligible to act as </w:t>
      </w:r>
      <w:r w:rsidR="00F7148C">
        <w:t>an EPOA</w:t>
      </w:r>
      <w:r>
        <w:t xml:space="preserve">. In particular, preventing individuals </w:t>
      </w:r>
      <w:r w:rsidR="000A17D9">
        <w:t xml:space="preserve">with a documented history of dealing </w:t>
      </w:r>
      <w:r w:rsidR="00174DB9">
        <w:t xml:space="preserve">poorly, </w:t>
      </w:r>
      <w:r w:rsidR="000A17D9">
        <w:t xml:space="preserve">dishonestly, </w:t>
      </w:r>
      <w:r w:rsidR="00174DB9">
        <w:t>or fraudulently</w:t>
      </w:r>
      <w:r w:rsidR="000A17D9">
        <w:t xml:space="preserve"> with assets and income</w:t>
      </w:r>
      <w:r w:rsidR="00174DB9">
        <w:t xml:space="preserve"> f</w:t>
      </w:r>
      <w:r w:rsidR="00DC0165">
        <w:t>rom acting as an EPOA should</w:t>
      </w:r>
      <w:r>
        <w:t xml:space="preserve"> increase the likelihood that </w:t>
      </w:r>
      <w:r w:rsidR="00DC0165">
        <w:t xml:space="preserve">the principal’s affairs will be managed </w:t>
      </w:r>
      <w:r w:rsidR="00A76281">
        <w:t>in their</w:t>
      </w:r>
      <w:r w:rsidR="00DC0165">
        <w:t xml:space="preserve"> best </w:t>
      </w:r>
      <w:r w:rsidR="00A76281">
        <w:t>interests.</w:t>
      </w:r>
      <w:r w:rsidR="00174DB9">
        <w:t xml:space="preserve"> </w:t>
      </w:r>
    </w:p>
    <w:p w:rsidR="000A17D9" w:rsidRDefault="000A17D9" w:rsidP="00DC0165">
      <w:pPr>
        <w:pStyle w:val="Style2"/>
        <w:jc w:val="both"/>
      </w:pPr>
    </w:p>
    <w:p w:rsidR="00174DB9" w:rsidRDefault="00DC0165" w:rsidP="00DC0165">
      <w:pPr>
        <w:pStyle w:val="Style2"/>
        <w:jc w:val="both"/>
      </w:pPr>
      <w:r>
        <w:t>Difficulty</w:t>
      </w:r>
      <w:r w:rsidR="000A17D9">
        <w:t>,</w:t>
      </w:r>
      <w:r>
        <w:t xml:space="preserve"> </w:t>
      </w:r>
      <w:r w:rsidR="000A17D9">
        <w:t xml:space="preserve">however, </w:t>
      </w:r>
      <w:r>
        <w:t>may arise with</w:t>
      </w:r>
      <w:r w:rsidR="000A17D9">
        <w:t xml:space="preserve"> ineligible applicants under</w:t>
      </w:r>
      <w:r w:rsidR="00174DB9">
        <w:t xml:space="preserve"> part</w:t>
      </w:r>
      <w:r>
        <w:t xml:space="preserve"> (d). </w:t>
      </w:r>
      <w:r w:rsidR="000A17D9">
        <w:t xml:space="preserve">A broad interpretation of ‘care worker’ or ‘… accommodation provider’ may result in family members providing lodging, </w:t>
      </w:r>
      <w:r w:rsidR="00174DB9">
        <w:t xml:space="preserve">or </w:t>
      </w:r>
      <w:r w:rsidR="000A17D9">
        <w:t>care</w:t>
      </w:r>
      <w:r w:rsidR="00174DB9">
        <w:t xml:space="preserve"> and</w:t>
      </w:r>
      <w:r w:rsidR="000A17D9">
        <w:t xml:space="preserve"> assistance to elderly person</w:t>
      </w:r>
      <w:r w:rsidR="00174DB9">
        <w:t>s</w:t>
      </w:r>
      <w:r w:rsidR="000A17D9">
        <w:t xml:space="preserve"> being rendered ineligible to act as their EPOA. Whilst it is true that the perpetrator of elder abuse is most often a close family member of the victim</w:t>
      </w:r>
      <w:r w:rsidR="000A17D9">
        <w:rPr>
          <w:rStyle w:val="FootnoteReference"/>
        </w:rPr>
        <w:footnoteReference w:id="15"/>
      </w:r>
      <w:r w:rsidR="000A17D9">
        <w:t xml:space="preserve"> </w:t>
      </w:r>
      <w:r w:rsidR="00174DB9">
        <w:t>it is important to remember that the vast majority of family member</w:t>
      </w:r>
      <w:r w:rsidR="00A76281">
        <w:t xml:space="preserve">s do not engage in elder abuse. Indeed family members play an essential role in the provision of unpaid care to elderly relatives.  </w:t>
      </w:r>
      <w:r w:rsidR="00613D48">
        <w:t>There are multiple benefits to appointing a family member as an EPOA, the most obvious of which is that p</w:t>
      </w:r>
      <w:r w:rsidR="003D66D7">
        <w:t>rincipals are relieved from</w:t>
      </w:r>
      <w:r w:rsidR="00174DB9">
        <w:t xml:space="preserve"> having to engage and pay the fees of a private entity or the</w:t>
      </w:r>
      <w:r w:rsidR="00613D48">
        <w:t xml:space="preserve"> Public Trustee.</w:t>
      </w:r>
      <w:r w:rsidR="00A76281">
        <w:t xml:space="preserve"> </w:t>
      </w:r>
      <w:r w:rsidR="00613D48">
        <w:t xml:space="preserve">Other benefits include </w:t>
      </w:r>
      <w:r w:rsidR="00174DB9">
        <w:t>the comfort and security derive</w:t>
      </w:r>
      <w:r w:rsidR="003D66D7">
        <w:t>d</w:t>
      </w:r>
      <w:r w:rsidR="00174DB9">
        <w:t xml:space="preserve"> from having </w:t>
      </w:r>
      <w:r w:rsidR="003D66D7">
        <w:t xml:space="preserve">a </w:t>
      </w:r>
      <w:r w:rsidR="00174DB9">
        <w:t xml:space="preserve">close, trusted </w:t>
      </w:r>
      <w:r w:rsidR="003D66D7">
        <w:t>family member,</w:t>
      </w:r>
      <w:r w:rsidR="00174DB9">
        <w:t xml:space="preserve"> who understand the</w:t>
      </w:r>
      <w:r w:rsidR="003D66D7">
        <w:t xml:space="preserve"> principal’s</w:t>
      </w:r>
      <w:r w:rsidR="00174DB9">
        <w:t xml:space="preserve"> needs, fill the role. </w:t>
      </w:r>
    </w:p>
    <w:p w:rsidR="00D426DE" w:rsidRDefault="00D426DE" w:rsidP="00DC0165">
      <w:pPr>
        <w:pStyle w:val="Style2"/>
        <w:jc w:val="both"/>
      </w:pPr>
    </w:p>
    <w:p w:rsidR="00DC0165" w:rsidRDefault="003D66D7" w:rsidP="00DC0165">
      <w:pPr>
        <w:pStyle w:val="Style2"/>
        <w:jc w:val="both"/>
      </w:pPr>
      <w:r>
        <w:t xml:space="preserve">Part (d) would nonetheless be effective in preventing obvious conflicts of interests between paid service providers and principals. </w:t>
      </w:r>
      <w:r w:rsidR="00174DB9">
        <w:t xml:space="preserve">Legal Aid </w:t>
      </w:r>
      <w:r w:rsidR="00985B89">
        <w:t xml:space="preserve">ACT </w:t>
      </w:r>
      <w:r w:rsidR="00ED443C">
        <w:t>submits</w:t>
      </w:r>
      <w:r w:rsidR="00174DB9">
        <w:t xml:space="preserve"> that </w:t>
      </w:r>
      <w:r>
        <w:t xml:space="preserve">definitions </w:t>
      </w:r>
      <w:r w:rsidR="00174DB9">
        <w:t xml:space="preserve">be provided in any implemented legislation that make it clear that part (d) is restricted to paid, institutional care workers, health providers, and accommodation providers for the principal. </w:t>
      </w:r>
    </w:p>
    <w:p w:rsidR="003D66D7" w:rsidRDefault="003D66D7" w:rsidP="00DC0165">
      <w:pPr>
        <w:pStyle w:val="Style2"/>
        <w:jc w:val="both"/>
      </w:pPr>
    </w:p>
    <w:p w:rsidR="00D426DE" w:rsidRDefault="00D426DE" w:rsidP="00647503">
      <w:pPr>
        <w:pStyle w:val="Style2"/>
        <w:ind w:left="720"/>
        <w:rPr>
          <w:color w:val="ED7D31" w:themeColor="accent2"/>
          <w:sz w:val="32"/>
        </w:rPr>
      </w:pPr>
    </w:p>
    <w:p w:rsidR="00D426DE" w:rsidRDefault="00D426DE" w:rsidP="00647503">
      <w:pPr>
        <w:pStyle w:val="Style2"/>
        <w:ind w:left="720"/>
        <w:rPr>
          <w:color w:val="ED7D31" w:themeColor="accent2"/>
          <w:sz w:val="32"/>
        </w:rPr>
      </w:pPr>
    </w:p>
    <w:p w:rsidR="00D426DE" w:rsidRDefault="00D426DE" w:rsidP="00647503">
      <w:pPr>
        <w:pStyle w:val="Style2"/>
        <w:ind w:left="720"/>
        <w:rPr>
          <w:color w:val="ED7D31" w:themeColor="accent2"/>
          <w:sz w:val="32"/>
        </w:rPr>
      </w:pPr>
    </w:p>
    <w:p w:rsidR="00D426DE" w:rsidRDefault="00D426DE" w:rsidP="00647503">
      <w:pPr>
        <w:pStyle w:val="Style2"/>
        <w:ind w:left="720"/>
        <w:rPr>
          <w:color w:val="ED7D31" w:themeColor="accent2"/>
          <w:sz w:val="32"/>
        </w:rPr>
      </w:pPr>
    </w:p>
    <w:p w:rsidR="00D426DE" w:rsidRDefault="00D426DE" w:rsidP="00647503">
      <w:pPr>
        <w:pStyle w:val="Style2"/>
        <w:ind w:left="720"/>
        <w:rPr>
          <w:color w:val="ED7D31" w:themeColor="accent2"/>
          <w:sz w:val="32"/>
        </w:rPr>
      </w:pPr>
    </w:p>
    <w:p w:rsidR="00A065AD" w:rsidRDefault="00A065AD" w:rsidP="003D66D7">
      <w:pPr>
        <w:pStyle w:val="Style2"/>
        <w:numPr>
          <w:ilvl w:val="0"/>
          <w:numId w:val="11"/>
        </w:numPr>
        <w:ind w:hanging="720"/>
        <w:rPr>
          <w:color w:val="ED7D31" w:themeColor="accent2"/>
          <w:sz w:val="32"/>
        </w:rPr>
      </w:pPr>
      <w:r w:rsidRPr="00B80199">
        <w:rPr>
          <w:color w:val="ED7D31" w:themeColor="accent2"/>
          <w:sz w:val="32"/>
        </w:rPr>
        <w:t>Guardianship and Financial Administration Orders</w:t>
      </w:r>
    </w:p>
    <w:p w:rsidR="00A065AD" w:rsidRDefault="00A065AD" w:rsidP="00A065AD">
      <w:pPr>
        <w:pStyle w:val="Style2"/>
        <w:rPr>
          <w:u w:val="single"/>
        </w:rPr>
      </w:pPr>
    </w:p>
    <w:p w:rsidR="00A065AD" w:rsidRPr="00A065AD" w:rsidRDefault="002C773A" w:rsidP="00A065AD">
      <w:pPr>
        <w:pStyle w:val="Style2"/>
        <w:rPr>
          <w:u w:val="single"/>
        </w:rPr>
      </w:pPr>
      <w:r w:rsidRPr="002C773A">
        <w:rPr>
          <w:noProof/>
          <w:lang w:eastAsia="en-AU"/>
        </w:rPr>
        <w:pict>
          <v:roundrect id="Text Box 200" o:spid="_x0000_s1034" style="position:absolute;margin-left:-3.85pt;margin-top:26.05pt;width:474.7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" fillcolor="#f4b083 [1941]" strokecolor="#ed7d31 [3205]" strokeweight="1pt">
            <v:stroke joinstyle="miter"/>
            <v:textbox>
              <w:txbxContent>
                <w:p w:rsidR="00A76281" w:rsidRDefault="00A76281" w:rsidP="00A065AD">
                  <w:pPr>
                    <w:pStyle w:val="Style2"/>
                    <w:rPr>
                      <w:b/>
                    </w:rPr>
                  </w:pPr>
                  <w:r>
                    <w:rPr>
                      <w:b/>
                    </w:rPr>
                    <w:t>Proposal 6-1</w:t>
                  </w:r>
                </w:p>
                <w:p w:rsidR="00A76281" w:rsidRPr="00A40ABE" w:rsidRDefault="00A76281" w:rsidP="00A065AD">
                  <w:pPr>
                    <w:pStyle w:val="Style2"/>
                    <w:rPr>
                      <w:sz w:val="22"/>
                      <w:szCs w:val="22"/>
                    </w:rPr>
                  </w:pPr>
                  <w:r w:rsidRPr="00A40ABE">
                    <w:rPr>
                      <w:color w:val="000000"/>
                      <w:sz w:val="22"/>
                      <w:szCs w:val="22"/>
                    </w:rPr>
                    <w:t>Newly-appointed non-professional guardians and financial administrators should be informed of the scope of their roles, responsibilities and obligations.</w:t>
                  </w:r>
                </w:p>
                <w:p w:rsidR="00A76281" w:rsidRPr="00B80199" w:rsidRDefault="00A76281" w:rsidP="00A065AD">
                  <w:pPr>
                    <w:pStyle w:val="Style2"/>
                    <w:rPr>
                      <w:b/>
                    </w:rPr>
                  </w:pPr>
                </w:p>
              </w:txbxContent>
            </v:textbox>
            <w10:wrap type="square"/>
          </v:roundrect>
        </w:pict>
      </w:r>
      <w:r w:rsidR="00A065AD" w:rsidRPr="00A065AD">
        <w:rPr>
          <w:u w:val="single"/>
        </w:rPr>
        <w:t>5.1 Reducing the risk</w:t>
      </w:r>
    </w:p>
    <w:p w:rsidR="00495CB7" w:rsidRDefault="00495CB7" w:rsidP="00A065AD">
      <w:pPr>
        <w:pStyle w:val="Style2"/>
        <w:rPr>
          <w:bCs/>
          <w:color w:val="000000"/>
        </w:rPr>
      </w:pPr>
    </w:p>
    <w:p w:rsidR="00A40ABE" w:rsidRDefault="00613D48" w:rsidP="00495CB7">
      <w:pPr>
        <w:pStyle w:val="Style2"/>
        <w:jc w:val="both"/>
        <w:rPr>
          <w:bCs/>
          <w:color w:val="000000"/>
        </w:rPr>
      </w:pPr>
      <w:r>
        <w:rPr>
          <w:bCs/>
          <w:color w:val="000000"/>
        </w:rPr>
        <w:t>As noted in Legal Aid ACT’s</w:t>
      </w:r>
      <w:r w:rsidR="00495CB7">
        <w:rPr>
          <w:bCs/>
          <w:color w:val="000000"/>
        </w:rPr>
        <w:t xml:space="preserve"> original submission, not all instances of elder abuse are malicious</w:t>
      </w:r>
      <w:r w:rsidR="00A40ABE">
        <w:rPr>
          <w:bCs/>
          <w:color w:val="000000"/>
        </w:rPr>
        <w:t>,</w:t>
      </w:r>
      <w:r w:rsidR="00495CB7">
        <w:rPr>
          <w:bCs/>
          <w:color w:val="000000"/>
        </w:rPr>
        <w:t xml:space="preserve"> or indeed intentional.</w:t>
      </w:r>
      <w:r w:rsidR="00495CB7">
        <w:rPr>
          <w:rStyle w:val="FootnoteReference"/>
          <w:bCs/>
          <w:color w:val="000000"/>
        </w:rPr>
        <w:footnoteReference w:id="16"/>
      </w:r>
      <w:r w:rsidR="00495CB7">
        <w:rPr>
          <w:bCs/>
          <w:color w:val="000000"/>
        </w:rPr>
        <w:t xml:space="preserve">  Many are the result, or are comprised of, inadvertent neglect. Educating new</w:t>
      </w:r>
      <w:r>
        <w:rPr>
          <w:bCs/>
          <w:color w:val="000000"/>
        </w:rPr>
        <w:t>ly</w:t>
      </w:r>
      <w:r w:rsidR="00495CB7">
        <w:rPr>
          <w:bCs/>
          <w:color w:val="000000"/>
        </w:rPr>
        <w:t xml:space="preserve">-appointed non-profession guardians and financial administrators could </w:t>
      </w:r>
      <w:r w:rsidR="00A40ABE">
        <w:rPr>
          <w:bCs/>
          <w:color w:val="000000"/>
        </w:rPr>
        <w:t>help reduce</w:t>
      </w:r>
      <w:r w:rsidR="00495CB7">
        <w:rPr>
          <w:bCs/>
          <w:color w:val="000000"/>
        </w:rPr>
        <w:t xml:space="preserve"> instances of </w:t>
      </w:r>
      <w:r w:rsidR="00A40ABE">
        <w:rPr>
          <w:bCs/>
          <w:color w:val="000000"/>
        </w:rPr>
        <w:t xml:space="preserve">elder </w:t>
      </w:r>
      <w:r w:rsidR="00495CB7">
        <w:rPr>
          <w:bCs/>
          <w:color w:val="000000"/>
        </w:rPr>
        <w:t>abuse.</w:t>
      </w:r>
      <w:r w:rsidR="00A40ABE">
        <w:rPr>
          <w:bCs/>
          <w:color w:val="000000"/>
        </w:rPr>
        <w:t xml:space="preserve"> </w:t>
      </w:r>
    </w:p>
    <w:p w:rsidR="00A40ABE" w:rsidRDefault="00A40ABE" w:rsidP="00495CB7">
      <w:pPr>
        <w:pStyle w:val="Style2"/>
        <w:jc w:val="both"/>
        <w:rPr>
          <w:bCs/>
          <w:color w:val="000000"/>
        </w:rPr>
      </w:pPr>
    </w:p>
    <w:p w:rsidR="00495CB7" w:rsidRDefault="00A40ABE" w:rsidP="00495CB7">
      <w:pPr>
        <w:pStyle w:val="Style2"/>
        <w:jc w:val="both"/>
        <w:rPr>
          <w:bCs/>
          <w:color w:val="000000"/>
        </w:rPr>
      </w:pPr>
      <w:r>
        <w:rPr>
          <w:bCs/>
          <w:color w:val="000000"/>
        </w:rPr>
        <w:t xml:space="preserve">For those who unintentionally engage in abusive practices, providing clear information on the scope, duties, </w:t>
      </w:r>
      <w:r w:rsidR="00613D48">
        <w:rPr>
          <w:bCs/>
          <w:color w:val="000000"/>
        </w:rPr>
        <w:t xml:space="preserve">and responsibilities </w:t>
      </w:r>
      <w:r>
        <w:rPr>
          <w:bCs/>
          <w:color w:val="000000"/>
        </w:rPr>
        <w:t xml:space="preserve">of the role </w:t>
      </w:r>
      <w:r w:rsidR="00613D48">
        <w:rPr>
          <w:bCs/>
          <w:color w:val="000000"/>
        </w:rPr>
        <w:t>may</w:t>
      </w:r>
      <w:r>
        <w:rPr>
          <w:bCs/>
          <w:color w:val="000000"/>
        </w:rPr>
        <w:t xml:space="preserve"> prevent </w:t>
      </w:r>
      <w:r w:rsidR="00613D48">
        <w:rPr>
          <w:bCs/>
          <w:color w:val="000000"/>
        </w:rPr>
        <w:t>accidental breaches of their obligations</w:t>
      </w:r>
      <w:r>
        <w:rPr>
          <w:bCs/>
          <w:color w:val="000000"/>
        </w:rPr>
        <w:t xml:space="preserve">. For those that might be inclined to intentionally perpetrate elder abuse, it would make clear the costs and legal penalties of doing so, providing a significant </w:t>
      </w:r>
      <w:r w:rsidR="00613D48">
        <w:rPr>
          <w:bCs/>
          <w:color w:val="000000"/>
        </w:rPr>
        <w:t xml:space="preserve">legal and social </w:t>
      </w:r>
      <w:r>
        <w:rPr>
          <w:bCs/>
          <w:color w:val="000000"/>
        </w:rPr>
        <w:t xml:space="preserve">deterrent.  </w:t>
      </w:r>
    </w:p>
    <w:p w:rsidR="00D426DE" w:rsidRDefault="00D426DE" w:rsidP="00495CB7">
      <w:pPr>
        <w:pStyle w:val="Style2"/>
        <w:jc w:val="both"/>
        <w:rPr>
          <w:bCs/>
          <w:color w:val="000000"/>
        </w:rPr>
      </w:pPr>
    </w:p>
    <w:p w:rsidR="00A065AD" w:rsidRDefault="002C773A" w:rsidP="00A065AD">
      <w:pPr>
        <w:pStyle w:val="Style2"/>
        <w:rPr>
          <w:b/>
          <w:bCs/>
          <w:color w:val="000000"/>
        </w:rPr>
      </w:pPr>
      <w:r w:rsidRPr="002C773A">
        <w:rPr>
          <w:noProof/>
          <w:lang w:eastAsia="en-AU"/>
        </w:rPr>
        <w:pict>
          <v:roundrect id="Text Box 201" o:spid="_x0000_s1035" style="position:absolute;margin-left:-4.15pt;margin-top:0;width:477pt;height:1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" fillcolor="#f4b083 [1941]" strokecolor="#ed7d31 [3205]" strokeweight="1pt">
            <v:stroke joinstyle="miter"/>
            <v:textbox>
              <w:txbxContent>
                <w:p w:rsidR="00A76281" w:rsidRDefault="00A76281" w:rsidP="00A065AD">
                  <w:pPr>
                    <w:pStyle w:val="Style2"/>
                    <w:rPr>
                      <w:b/>
                    </w:rPr>
                  </w:pPr>
                  <w:r>
                    <w:rPr>
                      <w:b/>
                    </w:rPr>
                    <w:t>Question 6-1</w:t>
                  </w:r>
                </w:p>
                <w:p w:rsidR="00A76281" w:rsidRPr="00A40ABE" w:rsidRDefault="00A76281" w:rsidP="00A065AD">
                  <w:pPr>
                    <w:pStyle w:val="Style2"/>
                    <w:rPr>
                      <w:color w:val="000000"/>
                      <w:sz w:val="22"/>
                    </w:rPr>
                  </w:pPr>
                  <w:r w:rsidRPr="00A40ABE">
                    <w:rPr>
                      <w:color w:val="000000"/>
                      <w:sz w:val="22"/>
                    </w:rPr>
                    <w:t xml:space="preserve">Should information for newly-appointed guardians and financial administrators be provided in the form </w:t>
                  </w:r>
                  <w:proofErr w:type="gramStart"/>
                  <w:r w:rsidRPr="00A40ABE">
                    <w:rPr>
                      <w:color w:val="000000"/>
                      <w:sz w:val="22"/>
                    </w:rPr>
                    <w:t>of:</w:t>
                  </w:r>
                  <w:proofErr w:type="gramEnd"/>
                </w:p>
                <w:p w:rsidR="00A76281" w:rsidRPr="00A40ABE" w:rsidRDefault="00A76281" w:rsidP="00DC0165">
                  <w:pPr>
                    <w:pStyle w:val="Style2"/>
                    <w:numPr>
                      <w:ilvl w:val="0"/>
                      <w:numId w:val="10"/>
                    </w:numPr>
                    <w:ind w:left="1418" w:hanging="567"/>
                    <w:rPr>
                      <w:b/>
                      <w:sz w:val="22"/>
                    </w:rPr>
                  </w:pPr>
                  <w:r w:rsidRPr="00A40ABE">
                    <w:rPr>
                      <w:color w:val="000000"/>
                      <w:sz w:val="22"/>
                    </w:rPr>
                    <w:t>compulsory training;</w:t>
                  </w:r>
                </w:p>
                <w:p w:rsidR="00A76281" w:rsidRPr="00A40ABE" w:rsidRDefault="00A76281" w:rsidP="00DC0165">
                  <w:pPr>
                    <w:pStyle w:val="Style2"/>
                    <w:numPr>
                      <w:ilvl w:val="0"/>
                      <w:numId w:val="10"/>
                    </w:numPr>
                    <w:ind w:left="1418" w:hanging="567"/>
                    <w:rPr>
                      <w:b/>
                      <w:sz w:val="22"/>
                    </w:rPr>
                  </w:pPr>
                  <w:r w:rsidRPr="00A40ABE">
                    <w:rPr>
                      <w:color w:val="000000"/>
                      <w:sz w:val="22"/>
                    </w:rPr>
                    <w:t>training ordered at the discretion of the tribunal;</w:t>
                  </w:r>
                </w:p>
                <w:p w:rsidR="00A76281" w:rsidRPr="00A40ABE" w:rsidRDefault="00A76281" w:rsidP="00DC0165">
                  <w:pPr>
                    <w:pStyle w:val="Style2"/>
                    <w:numPr>
                      <w:ilvl w:val="0"/>
                      <w:numId w:val="10"/>
                    </w:numPr>
                    <w:ind w:left="1418" w:hanging="567"/>
                    <w:rPr>
                      <w:b/>
                      <w:sz w:val="22"/>
                    </w:rPr>
                  </w:pPr>
                  <w:r w:rsidRPr="00A40ABE">
                    <w:rPr>
                      <w:color w:val="000000"/>
                      <w:sz w:val="22"/>
                    </w:rPr>
                    <w:t>information given by the tribunal to satisfy itself that the person has the competency required for the appointment; or</w:t>
                  </w:r>
                </w:p>
                <w:p w:rsidR="00A76281" w:rsidRPr="00A40ABE" w:rsidRDefault="00A76281" w:rsidP="00DC0165">
                  <w:pPr>
                    <w:pStyle w:val="Style2"/>
                    <w:numPr>
                      <w:ilvl w:val="0"/>
                      <w:numId w:val="10"/>
                    </w:numPr>
                    <w:ind w:left="1418" w:hanging="567"/>
                    <w:rPr>
                      <w:b/>
                      <w:sz w:val="22"/>
                    </w:rPr>
                  </w:pPr>
                  <w:proofErr w:type="gramStart"/>
                  <w:r w:rsidRPr="00A40ABE">
                    <w:rPr>
                      <w:color w:val="000000"/>
                      <w:sz w:val="22"/>
                    </w:rPr>
                    <w:t>other</w:t>
                  </w:r>
                  <w:proofErr w:type="gramEnd"/>
                  <w:r w:rsidRPr="00A40ABE">
                    <w:rPr>
                      <w:color w:val="000000"/>
                      <w:sz w:val="22"/>
                    </w:rPr>
                    <w:t xml:space="preserve"> ways?</w:t>
                  </w:r>
                </w:p>
                <w:p w:rsidR="00A76281" w:rsidRPr="00B80199" w:rsidRDefault="00A76281" w:rsidP="00A065AD">
                  <w:pPr>
                    <w:pStyle w:val="Style2"/>
                    <w:rPr>
                      <w:b/>
                    </w:rPr>
                  </w:pPr>
                </w:p>
              </w:txbxContent>
            </v:textbox>
            <w10:wrap type="square"/>
          </v:roundrect>
        </w:pict>
      </w:r>
    </w:p>
    <w:p w:rsidR="00A40ABE" w:rsidRDefault="00A40ABE" w:rsidP="00A065AD">
      <w:pPr>
        <w:pStyle w:val="Style2"/>
        <w:jc w:val="both"/>
      </w:pPr>
      <w:r>
        <w:t>Whilst t</w:t>
      </w:r>
      <w:r w:rsidR="00A065AD">
        <w:t xml:space="preserve">raining </w:t>
      </w:r>
      <w:r>
        <w:t xml:space="preserve">for newly-appointed guardians and financial administrators </w:t>
      </w:r>
      <w:r w:rsidR="00A065AD">
        <w:t xml:space="preserve">is certainly ideal, compulsory </w:t>
      </w:r>
      <w:r>
        <w:t xml:space="preserve">training </w:t>
      </w:r>
      <w:r w:rsidR="00A065AD">
        <w:t>would be difficult</w:t>
      </w:r>
      <w:r w:rsidR="00613D48">
        <w:t>, costly</w:t>
      </w:r>
      <w:r w:rsidR="00A065AD">
        <w:t xml:space="preserve"> and burdensome. </w:t>
      </w:r>
      <w:r w:rsidR="00ED6785">
        <w:t xml:space="preserve">Training ordered at the discretion of </w:t>
      </w:r>
      <w:r w:rsidR="00613D48">
        <w:t>ACAT</w:t>
      </w:r>
      <w:r w:rsidR="00ED6785">
        <w:t xml:space="preserve"> would be effective in some cases (i.e. those already before the Tribunal that meet certain criteria) but would fail to more broadly educate all newly-appointed </w:t>
      </w:r>
      <w:r w:rsidR="00961B9D">
        <w:t>individuals</w:t>
      </w:r>
      <w:r w:rsidR="00ED6785">
        <w:t xml:space="preserve">. </w:t>
      </w:r>
    </w:p>
    <w:p w:rsidR="00ED6785" w:rsidRDefault="00ED6785" w:rsidP="00A065AD">
      <w:pPr>
        <w:pStyle w:val="Style2"/>
        <w:jc w:val="both"/>
      </w:pPr>
    </w:p>
    <w:p w:rsidR="00ED6785" w:rsidRDefault="00ED6785" w:rsidP="00A065AD">
      <w:pPr>
        <w:pStyle w:val="Style2"/>
        <w:jc w:val="both"/>
      </w:pPr>
      <w:r>
        <w:t xml:space="preserve">Legal Aid </w:t>
      </w:r>
      <w:r w:rsidR="00985B89">
        <w:t xml:space="preserve">ACT </w:t>
      </w:r>
      <w:r w:rsidR="000F6ADF">
        <w:t xml:space="preserve">has previously </w:t>
      </w:r>
      <w:r>
        <w:t>su</w:t>
      </w:r>
      <w:r w:rsidR="00613D48">
        <w:t xml:space="preserve">bmitted that </w:t>
      </w:r>
      <w:r>
        <w:t>a compulsory registration scheme for powers of attorneys</w:t>
      </w:r>
      <w:r w:rsidR="00613D48">
        <w:t xml:space="preserve"> be implemented</w:t>
      </w:r>
      <w:r>
        <w:t>.</w:t>
      </w:r>
      <w:r>
        <w:rPr>
          <w:rStyle w:val="FootnoteReference"/>
        </w:rPr>
        <w:footnoteReference w:id="17"/>
      </w:r>
      <w:r>
        <w:t xml:space="preserve"> </w:t>
      </w:r>
      <w:r w:rsidR="00613D48">
        <w:t xml:space="preserve">Such a scheme </w:t>
      </w:r>
      <w:r>
        <w:t>could be expanded to include registration of newly-appointed guardians and financial administrat</w:t>
      </w:r>
      <w:r w:rsidR="00613D48">
        <w:t>ors. C</w:t>
      </w:r>
      <w:r>
        <w:t xml:space="preserve">omprehensive information </w:t>
      </w:r>
      <w:r w:rsidR="002D6D84">
        <w:t>resources</w:t>
      </w:r>
      <w:r w:rsidR="00613D48">
        <w:t>,</w:t>
      </w:r>
      <w:r>
        <w:t xml:space="preserve"> </w:t>
      </w:r>
      <w:r w:rsidR="00961B9D">
        <w:t>provided upon receipt</w:t>
      </w:r>
      <w:r w:rsidR="00613D48">
        <w:t xml:space="preserve"> of registration documentation could</w:t>
      </w:r>
      <w:r w:rsidR="00ED443C">
        <w:t xml:space="preserve"> help</w:t>
      </w:r>
      <w:r w:rsidR="00613D48">
        <w:t xml:space="preserve"> educate newly-appointed guardians and financial administrators about their obli</w:t>
      </w:r>
      <w:r w:rsidR="00ED443C">
        <w:t xml:space="preserve">gations </w:t>
      </w:r>
      <w:r w:rsidR="00613D48">
        <w:t xml:space="preserve">and the potential penalties for non-compliance. </w:t>
      </w:r>
      <w:r w:rsidR="00961B9D">
        <w:t xml:space="preserve">Supplementary to this, </w:t>
      </w:r>
      <w:r w:rsidR="00244161">
        <w:t xml:space="preserve">Legal Aid ACT is open to providing </w:t>
      </w:r>
      <w:r w:rsidR="00613D48">
        <w:t>ACAT</w:t>
      </w:r>
      <w:r w:rsidR="00961B9D">
        <w:t xml:space="preserve"> </w:t>
      </w:r>
      <w:r w:rsidR="002D6D84">
        <w:t>with</w:t>
      </w:r>
      <w:r w:rsidR="00961B9D">
        <w:t xml:space="preserve"> </w:t>
      </w:r>
      <w:r w:rsidR="00ED443C">
        <w:t xml:space="preserve">free </w:t>
      </w:r>
      <w:r w:rsidR="00961B9D">
        <w:t xml:space="preserve">optional </w:t>
      </w:r>
      <w:r w:rsidR="00961B9D">
        <w:lastRenderedPageBreak/>
        <w:t>training sessions</w:t>
      </w:r>
      <w:r w:rsidR="00244161">
        <w:t xml:space="preserve"> for interested members of the community</w:t>
      </w:r>
      <w:r w:rsidR="00A5188F">
        <w:t xml:space="preserve"> in conjunction with other relevant organisations such as the Public Trustee and Guardian office.</w:t>
      </w:r>
      <w:r w:rsidR="0016244C">
        <w:t xml:space="preserve"> </w:t>
      </w:r>
      <w:r w:rsidR="00613D48">
        <w:t xml:space="preserve">These </w:t>
      </w:r>
      <w:r w:rsidR="00ED443C">
        <w:t>training sessions</w:t>
      </w:r>
      <w:r w:rsidR="00613D48">
        <w:t xml:space="preserve"> w</w:t>
      </w:r>
      <w:r w:rsidR="00961B9D">
        <w:t xml:space="preserve">ould help clarify any issues or concerns that newly-appointed guardians and financial administrators might have. </w:t>
      </w:r>
    </w:p>
    <w:p w:rsidR="00ED6785" w:rsidRDefault="00ED6785" w:rsidP="00A065AD">
      <w:pPr>
        <w:pStyle w:val="Style2"/>
        <w:jc w:val="both"/>
      </w:pPr>
    </w:p>
    <w:p w:rsidR="006273D7" w:rsidRDefault="00ED443C" w:rsidP="00961B9D">
      <w:pPr>
        <w:pStyle w:val="Style2"/>
        <w:jc w:val="both"/>
      </w:pPr>
      <w:r>
        <w:t>The design and implementation of</w:t>
      </w:r>
      <w:r w:rsidR="00961B9D">
        <w:t xml:space="preserve"> a new registration system, </w:t>
      </w:r>
      <w:r w:rsidR="00244161">
        <w:t xml:space="preserve">possible </w:t>
      </w:r>
      <w:r w:rsidR="00961B9D">
        <w:t>tr</w:t>
      </w:r>
      <w:r>
        <w:t xml:space="preserve">aining </w:t>
      </w:r>
      <w:r w:rsidR="00244161">
        <w:t>sessions</w:t>
      </w:r>
      <w:r>
        <w:t xml:space="preserve">, and </w:t>
      </w:r>
      <w:r w:rsidR="00961B9D">
        <w:t xml:space="preserve">information </w:t>
      </w:r>
      <w:r w:rsidR="00C62167">
        <w:t>resource</w:t>
      </w:r>
      <w:r w:rsidR="00906C27">
        <w:t xml:space="preserve"> </w:t>
      </w:r>
      <w:r w:rsidR="00961B9D" w:rsidRPr="00892CCD">
        <w:t xml:space="preserve">would inevitably place an increased </w:t>
      </w:r>
      <w:r w:rsidR="00C62167">
        <w:t xml:space="preserve">resource </w:t>
      </w:r>
      <w:r w:rsidR="00961B9D" w:rsidRPr="00892CCD">
        <w:t>burden on</w:t>
      </w:r>
      <w:r w:rsidR="00244161">
        <w:t xml:space="preserve"> Legal Aid ACT</w:t>
      </w:r>
      <w:r w:rsidR="00A5188F">
        <w:t xml:space="preserve"> and any other relevant agencies</w:t>
      </w:r>
      <w:r w:rsidR="00961B9D">
        <w:t xml:space="preserve">. Legal Aid ACT </w:t>
      </w:r>
      <w:r w:rsidR="00A5188F">
        <w:t xml:space="preserve">is </w:t>
      </w:r>
      <w:r w:rsidR="00961B9D">
        <w:t>willin</w:t>
      </w:r>
      <w:r w:rsidR="00613D48">
        <w:t>g to collaborate with</w:t>
      </w:r>
      <w:r w:rsidR="00A5188F">
        <w:t xml:space="preserve"> other relevant agencies</w:t>
      </w:r>
      <w:r w:rsidR="00613D48">
        <w:t xml:space="preserve"> </w:t>
      </w:r>
      <w:r w:rsidR="00961B9D">
        <w:t xml:space="preserve">to help ease the pressure of this additional work, particularly in </w:t>
      </w:r>
      <w:r w:rsidR="00C62167">
        <w:t>respect of providing training and the drafting of a</w:t>
      </w:r>
      <w:r w:rsidR="00961B9D">
        <w:t xml:space="preserve"> comprehensive information resource</w:t>
      </w:r>
      <w:r w:rsidR="00A5188F">
        <w:t xml:space="preserve"> in the context of a new compulsory registration scheme.</w:t>
      </w:r>
    </w:p>
    <w:p w:rsidR="00A065AD" w:rsidRDefault="00961B9D" w:rsidP="00961B9D">
      <w:pPr>
        <w:pStyle w:val="Style2"/>
      </w:pPr>
      <w:r>
        <w:t xml:space="preserve"> </w:t>
      </w:r>
    </w:p>
    <w:p w:rsidR="00644E62" w:rsidRPr="00906C27" w:rsidRDefault="00A065AD" w:rsidP="00644E62">
      <w:pPr>
        <w:pStyle w:val="Style2"/>
        <w:numPr>
          <w:ilvl w:val="0"/>
          <w:numId w:val="11"/>
        </w:numPr>
        <w:ind w:hanging="720"/>
        <w:rPr>
          <w:u w:val="single"/>
        </w:rPr>
      </w:pPr>
      <w:r w:rsidRPr="006273D7">
        <w:rPr>
          <w:color w:val="ED7D31" w:themeColor="accent2"/>
          <w:sz w:val="32"/>
        </w:rPr>
        <w:t>Family Agreements</w:t>
      </w:r>
    </w:p>
    <w:p w:rsidR="00906C27" w:rsidRPr="00644E62" w:rsidRDefault="00906C27" w:rsidP="00906C27">
      <w:pPr>
        <w:pStyle w:val="Style2"/>
        <w:ind w:left="720"/>
        <w:rPr>
          <w:u w:val="single"/>
        </w:rPr>
      </w:pPr>
    </w:p>
    <w:p w:rsidR="008A065D" w:rsidRDefault="002C773A" w:rsidP="00906C27">
      <w:pPr>
        <w:pStyle w:val="Style2"/>
        <w:rPr>
          <w:u w:val="single"/>
        </w:rPr>
      </w:pPr>
      <w:r w:rsidRPr="002C773A">
        <w:rPr>
          <w:noProof/>
          <w:sz w:val="20"/>
          <w:u w:val="single"/>
          <w:lang w:eastAsia="en-AU"/>
        </w:rPr>
        <w:pict>
          <v:roundrect id="Text Box 202" o:spid="_x0000_s1036" style="position:absolute;margin-left:-.1pt;margin-top:28.4pt;width:477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" fillcolor="#f4b083 [1941]" strokecolor="#ed7d31 [3205]" strokeweight="1pt">
            <v:stroke joinstyle="miter"/>
            <v:textbox>
              <w:txbxContent>
                <w:p w:rsidR="00A76281" w:rsidRDefault="00A76281" w:rsidP="008A065D">
                  <w:pPr>
                    <w:pStyle w:val="Style2"/>
                    <w:rPr>
                      <w:b/>
                    </w:rPr>
                  </w:pPr>
                  <w:r>
                    <w:rPr>
                      <w:b/>
                    </w:rPr>
                    <w:t>Proposal 8-1</w:t>
                  </w:r>
                </w:p>
                <w:p w:rsidR="00A76281" w:rsidRPr="00483FA6" w:rsidRDefault="00A76281" w:rsidP="008A065D">
                  <w:pPr>
                    <w:pStyle w:val="Style2"/>
                    <w:rPr>
                      <w:sz w:val="22"/>
                    </w:rPr>
                  </w:pPr>
                  <w:r w:rsidRPr="00483FA6">
                    <w:rPr>
                      <w:color w:val="000000"/>
                      <w:sz w:val="22"/>
                    </w:rPr>
                    <w:t xml:space="preserve">State and Territory </w:t>
                  </w:r>
                  <w:r>
                    <w:rPr>
                      <w:color w:val="000000"/>
                      <w:sz w:val="22"/>
                    </w:rPr>
                    <w:t xml:space="preserve">tribunals should have jurisdiction to resolve family disputes involving residential property under an ‘assets for care’ arrangement. </w:t>
                  </w:r>
                </w:p>
                <w:p w:rsidR="00A76281" w:rsidRPr="00B80199" w:rsidRDefault="00A76281" w:rsidP="008A065D">
                  <w:pPr>
                    <w:pStyle w:val="Style2"/>
                    <w:rPr>
                      <w:b/>
                    </w:rPr>
                  </w:pPr>
                </w:p>
              </w:txbxContent>
            </v:textbox>
            <w10:wrap type="square"/>
          </v:roundrect>
        </w:pict>
      </w:r>
      <w:r w:rsidR="00906C27" w:rsidRPr="00906C27">
        <w:rPr>
          <w:u w:val="single"/>
        </w:rPr>
        <w:t>6.</w:t>
      </w:r>
      <w:r w:rsidR="00906C27">
        <w:rPr>
          <w:u w:val="single"/>
        </w:rPr>
        <w:t xml:space="preserve">1 </w:t>
      </w:r>
      <w:r w:rsidR="008A065D" w:rsidRPr="008A065D">
        <w:rPr>
          <w:u w:val="single"/>
        </w:rPr>
        <w:t>Jurisdictional issu</w:t>
      </w:r>
      <w:r w:rsidR="008A065D">
        <w:rPr>
          <w:u w:val="single"/>
        </w:rPr>
        <w:t>es</w:t>
      </w:r>
    </w:p>
    <w:p w:rsidR="00906C27" w:rsidRDefault="00906C27" w:rsidP="00906C27">
      <w:pPr>
        <w:pStyle w:val="Style2"/>
        <w:rPr>
          <w:u w:val="single"/>
        </w:rPr>
      </w:pPr>
    </w:p>
    <w:p w:rsidR="00EF180A" w:rsidRDefault="00EF180A" w:rsidP="00F91755">
      <w:pPr>
        <w:pStyle w:val="Style2"/>
        <w:jc w:val="both"/>
      </w:pPr>
      <w:r>
        <w:t>O</w:t>
      </w:r>
      <w:r w:rsidRPr="00352D78">
        <w:t>lder people face significant difficult</w:t>
      </w:r>
      <w:r>
        <w:t>y</w:t>
      </w:r>
      <w:r w:rsidRPr="00352D78">
        <w:t xml:space="preserve"> protecting their interests when family arrangements break down.</w:t>
      </w:r>
      <w:r>
        <w:t xml:space="preserve"> This is particularly so when the arrangement is ‘informal’ and not documented in writing. </w:t>
      </w:r>
      <w:r w:rsidR="00856ABD">
        <w:t>T</w:t>
      </w:r>
      <w:r w:rsidR="001B2B1E">
        <w:t>he older person will need to assert their equitable</w:t>
      </w:r>
      <w:r w:rsidR="00613D48">
        <w:t xml:space="preserve">, contractual, or </w:t>
      </w:r>
      <w:proofErr w:type="gramStart"/>
      <w:r w:rsidR="00244161">
        <w:t xml:space="preserve">proprietary </w:t>
      </w:r>
      <w:r w:rsidR="001B2B1E">
        <w:t xml:space="preserve"> rights</w:t>
      </w:r>
      <w:proofErr w:type="gramEnd"/>
      <w:r w:rsidR="001B2B1E">
        <w:t xml:space="preserve"> in the ACT Supreme Court; an action that is costly, time intensive, and </w:t>
      </w:r>
      <w:r w:rsidR="001B2B1E" w:rsidRPr="001B2B1E">
        <w:t>fractious</w:t>
      </w:r>
      <w:r w:rsidR="001B2B1E">
        <w:t>.</w:t>
      </w:r>
      <w:r w:rsidR="00F91755">
        <w:t xml:space="preserve"> The current system is restrictive, posing a significant access to justice barrier and placing </w:t>
      </w:r>
      <w:r w:rsidR="00F91755" w:rsidRPr="00352D78">
        <w:t>older person</w:t>
      </w:r>
      <w:r w:rsidR="00F91755">
        <w:t>s</w:t>
      </w:r>
      <w:r w:rsidR="00F91755" w:rsidRPr="00352D78">
        <w:t xml:space="preserve"> in a vulnera</w:t>
      </w:r>
      <w:r w:rsidR="00613D48">
        <w:t>ble and weakened position when family arrangements breakdown.</w:t>
      </w:r>
    </w:p>
    <w:p w:rsidR="00EF180A" w:rsidRDefault="00EF180A" w:rsidP="00F91755">
      <w:pPr>
        <w:pStyle w:val="Style2"/>
        <w:jc w:val="both"/>
      </w:pPr>
      <w:r>
        <w:t xml:space="preserve"> </w:t>
      </w:r>
    </w:p>
    <w:p w:rsidR="00F91755" w:rsidRPr="00906C27" w:rsidRDefault="00F91755" w:rsidP="008D022E">
      <w:pPr>
        <w:pStyle w:val="Style2"/>
        <w:jc w:val="both"/>
        <w:rPr>
          <w:bCs/>
          <w:color w:val="000000"/>
          <w:sz w:val="2"/>
          <w:szCs w:val="22"/>
        </w:rPr>
      </w:pPr>
      <w:r w:rsidRPr="008B7EF3">
        <w:t xml:space="preserve">Legal Aid ACT </w:t>
      </w:r>
      <w:r w:rsidR="00613D48">
        <w:t>submits that</w:t>
      </w:r>
      <w:r w:rsidRPr="008B7EF3">
        <w:t xml:space="preserve"> </w:t>
      </w:r>
      <w:r w:rsidR="00856ABD">
        <w:t>ACAT’s</w:t>
      </w:r>
      <w:r w:rsidRPr="008B7EF3">
        <w:t xml:space="preserve"> jurisdiction </w:t>
      </w:r>
      <w:r w:rsidR="00856ABD">
        <w:t xml:space="preserve">should be expanded </w:t>
      </w:r>
      <w:r w:rsidRPr="008B7EF3">
        <w:t>in</w:t>
      </w:r>
      <w:r w:rsidR="00856ABD">
        <w:t xml:space="preserve"> a</w:t>
      </w:r>
      <w:r w:rsidRPr="008B7EF3">
        <w:t xml:space="preserve"> manner</w:t>
      </w:r>
      <w:r w:rsidR="00856ABD">
        <w:t xml:space="preserve"> similar</w:t>
      </w:r>
      <w:r w:rsidRPr="008B7EF3">
        <w:t xml:space="preserve"> to</w:t>
      </w:r>
      <w:r w:rsidR="000F6ADF">
        <w:t xml:space="preserve"> current</w:t>
      </w:r>
      <w:r w:rsidRPr="008B7EF3">
        <w:t xml:space="preserve"> VCAT jurisdiction</w:t>
      </w:r>
      <w:r w:rsidR="00856ABD">
        <w:t>. This includes being vested with the</w:t>
      </w:r>
      <w:r w:rsidR="00FF03F0">
        <w:t xml:space="preserve"> </w:t>
      </w:r>
      <w:r w:rsidRPr="008B7EF3">
        <w:t>ability to hear disputes in its Joint Property List about co-owned land and goods</w:t>
      </w:r>
      <w:r w:rsidR="00A32495">
        <w:t>, t</w:t>
      </w:r>
      <w:r w:rsidR="005266BE">
        <w:t>he</w:t>
      </w:r>
      <w:r w:rsidR="00FF03F0">
        <w:t xml:space="preserve"> power to </w:t>
      </w:r>
      <w:r w:rsidR="00A32495">
        <w:t>award compensation having regard to the contributions of parties made under the ‘assets for care’ arrangement</w:t>
      </w:r>
      <w:r w:rsidR="00FF03F0">
        <w:t>, and the power to order the sale of property, among other things</w:t>
      </w:r>
      <w:r w:rsidR="00A32495">
        <w:t>.</w:t>
      </w:r>
      <w:r w:rsidR="005266BE">
        <w:t xml:space="preserve"> </w:t>
      </w:r>
      <w:r w:rsidR="00364B12">
        <w:t xml:space="preserve">ACAT’s jurisdiction should be unlimited in relation to these matters. </w:t>
      </w:r>
      <w:r w:rsidR="00A32495">
        <w:t xml:space="preserve">Resolving these </w:t>
      </w:r>
      <w:r w:rsidR="005266BE">
        <w:t xml:space="preserve">disputes without the necessity of </w:t>
      </w:r>
      <w:r w:rsidR="00A32495">
        <w:t>recourse to the ACT Supreme Court will increase access to justice for older Australians</w:t>
      </w:r>
      <w:r w:rsidR="005266BE">
        <w:t xml:space="preserve">. </w:t>
      </w:r>
      <w:r w:rsidR="00856ABD">
        <w:t>ACAT’s</w:t>
      </w:r>
      <w:r>
        <w:t xml:space="preserve"> less formal, less time and less cost intensive</w:t>
      </w:r>
      <w:r w:rsidR="00856ABD">
        <w:t xml:space="preserve"> processes render it</w:t>
      </w:r>
      <w:r>
        <w:t xml:space="preserve"> a highly preferable forum for the expedient and just resolution of these disputes</w:t>
      </w:r>
      <w:r w:rsidR="00856ABD">
        <w:t>.</w:t>
      </w:r>
      <w:r w:rsidR="004101B7">
        <w:t xml:space="preserve"> </w:t>
      </w:r>
    </w:p>
    <w:p w:rsidR="008A065D" w:rsidRPr="008A065D" w:rsidRDefault="008A065D" w:rsidP="008A065D">
      <w:pPr>
        <w:pStyle w:val="Style2"/>
        <w:rPr>
          <w:bCs/>
          <w:color w:val="000000"/>
          <w:szCs w:val="22"/>
        </w:rPr>
      </w:pPr>
    </w:p>
    <w:p w:rsidR="00A065AD" w:rsidRPr="008A065D" w:rsidRDefault="002C773A" w:rsidP="008A065D">
      <w:pPr>
        <w:pStyle w:val="Style2"/>
        <w:rPr>
          <w:bCs/>
          <w:color w:val="000000"/>
          <w:szCs w:val="22"/>
          <w:u w:val="single"/>
        </w:rPr>
      </w:pPr>
      <w:r w:rsidRPr="002C773A">
        <w:rPr>
          <w:noProof/>
          <w:sz w:val="20"/>
          <w:u w:val="single"/>
          <w:lang w:eastAsia="en-AU"/>
        </w:rPr>
        <w:pict>
          <v:roundrect id="Text Box 203" o:spid="_x0000_s1037" style="position:absolute;margin-left:-3.85pt;margin-top:23.2pt;width:474.7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" fillcolor="#f4b083 [1941]" strokecolor="#ed7d31 [3205]" strokeweight="1pt">
            <v:stroke joinstyle="miter"/>
            <v:textbox>
              <w:txbxContent>
                <w:p w:rsidR="00A76281" w:rsidRDefault="00A76281" w:rsidP="008A065D">
                  <w:pPr>
                    <w:pStyle w:val="Style2"/>
                    <w:rPr>
                      <w:b/>
                    </w:rPr>
                  </w:pPr>
                  <w:r>
                    <w:rPr>
                      <w:b/>
                    </w:rPr>
                    <w:t>Question 8-1</w:t>
                  </w:r>
                </w:p>
                <w:p w:rsidR="00A76281" w:rsidRPr="00483FA6" w:rsidRDefault="00A76281" w:rsidP="008A065D">
                  <w:pPr>
                    <w:pStyle w:val="Style2"/>
                    <w:rPr>
                      <w:b/>
                      <w:sz w:val="22"/>
                    </w:rPr>
                  </w:pPr>
                  <w:r w:rsidRPr="00483FA6">
                    <w:rPr>
                      <w:color w:val="000000"/>
                      <w:sz w:val="22"/>
                      <w:szCs w:val="22"/>
                    </w:rPr>
                    <w:t>How should ‘family’ be defined for the purposes ‘assets for care’ matters?</w:t>
                  </w:r>
                </w:p>
              </w:txbxContent>
            </v:textbox>
            <w10:wrap type="square"/>
          </v:roundrect>
        </w:pict>
      </w:r>
      <w:r w:rsidR="008A065D" w:rsidRPr="008A065D">
        <w:rPr>
          <w:bCs/>
          <w:color w:val="000000"/>
          <w:szCs w:val="22"/>
          <w:u w:val="single"/>
        </w:rPr>
        <w:t>6.2 Definition of family</w:t>
      </w:r>
    </w:p>
    <w:p w:rsidR="008A065D" w:rsidRDefault="008A065D" w:rsidP="008A065D">
      <w:pPr>
        <w:pStyle w:val="Style2"/>
        <w:rPr>
          <w:b/>
          <w:bCs/>
          <w:color w:val="000000"/>
          <w:szCs w:val="22"/>
        </w:rPr>
      </w:pPr>
    </w:p>
    <w:p w:rsidR="00EF180A" w:rsidRDefault="00EF180A" w:rsidP="00EF180A">
      <w:pPr>
        <w:pStyle w:val="Style2"/>
        <w:jc w:val="both"/>
      </w:pPr>
      <w:r>
        <w:t>T</w:t>
      </w:r>
      <w:r w:rsidRPr="0030371E">
        <w:t xml:space="preserve">he </w:t>
      </w:r>
      <w:r w:rsidR="00725C2F" w:rsidRPr="00A67891">
        <w:t xml:space="preserve">new </w:t>
      </w:r>
      <w:r w:rsidR="00725C2F" w:rsidRPr="00A67891">
        <w:rPr>
          <w:i/>
        </w:rPr>
        <w:t>Family Violence Bill 2016</w:t>
      </w:r>
      <w:r w:rsidR="00725C2F">
        <w:t xml:space="preserve"> </w:t>
      </w:r>
      <w:r w:rsidR="00A67891">
        <w:t xml:space="preserve">(ACT) </w:t>
      </w:r>
      <w:r w:rsidR="00725C2F">
        <w:t xml:space="preserve">amends </w:t>
      </w:r>
      <w:r w:rsidRPr="0030371E">
        <w:t xml:space="preserve">the definition of a relative to include people with whom the aggrieved person has a </w:t>
      </w:r>
      <w:r>
        <w:t>‘</w:t>
      </w:r>
      <w:r w:rsidRPr="0030371E">
        <w:t>family-like</w:t>
      </w:r>
      <w:r>
        <w:t>’</w:t>
      </w:r>
      <w:r w:rsidRPr="0030371E">
        <w:t xml:space="preserve"> relationship.</w:t>
      </w:r>
      <w:r w:rsidR="00A67891">
        <w:rPr>
          <w:rStyle w:val="FootnoteReference"/>
        </w:rPr>
        <w:footnoteReference w:id="18"/>
      </w:r>
      <w:r w:rsidRPr="0030371E">
        <w:t xml:space="preserve"> This could potential</w:t>
      </w:r>
      <w:r>
        <w:t>ly</w:t>
      </w:r>
      <w:r w:rsidRPr="0030371E">
        <w:t xml:space="preserve"> </w:t>
      </w:r>
      <w:r w:rsidRPr="0030371E">
        <w:lastRenderedPageBreak/>
        <w:t>encompass carers, including paid carers where there is a level of dependency that takes on family-like characteristics. This m</w:t>
      </w:r>
      <w:r>
        <w:t>ay also encompass</w:t>
      </w:r>
      <w:r w:rsidRPr="0030371E">
        <w:t xml:space="preserve"> older people that are living in non-traditional family se</w:t>
      </w:r>
      <w:r>
        <w:t>ttings where the relationship</w:t>
      </w:r>
      <w:r w:rsidRPr="0030371E">
        <w:t xml:space="preserve"> has </w:t>
      </w:r>
      <w:r>
        <w:t xml:space="preserve">developed some </w:t>
      </w:r>
      <w:r w:rsidRPr="0030371E">
        <w:t>family like characteristics</w:t>
      </w:r>
      <w:r>
        <w:t xml:space="preserve">. </w:t>
      </w:r>
    </w:p>
    <w:p w:rsidR="00EF180A" w:rsidRDefault="00EF180A" w:rsidP="00EF180A">
      <w:pPr>
        <w:pStyle w:val="Style2"/>
        <w:jc w:val="both"/>
      </w:pPr>
    </w:p>
    <w:p w:rsidR="00F91755" w:rsidRDefault="00EF180A" w:rsidP="00F91755">
      <w:pPr>
        <w:pStyle w:val="Style2"/>
        <w:jc w:val="both"/>
        <w:rPr>
          <w:b/>
          <w:bCs/>
          <w:color w:val="000000"/>
          <w:szCs w:val="22"/>
        </w:rPr>
      </w:pPr>
      <w:r>
        <w:t xml:space="preserve">Legal Aid ACT </w:t>
      </w:r>
      <w:r w:rsidR="00725C2F">
        <w:t>submits</w:t>
      </w:r>
      <w:r>
        <w:t xml:space="preserve"> that the definition of ‘family’ for the purposes of ‘assets for care’ matters should be similarly broad. ‘Assets for care’ arrangements occur between </w:t>
      </w:r>
      <w:r w:rsidR="00725C2F">
        <w:t>older persons</w:t>
      </w:r>
      <w:r>
        <w:t xml:space="preserve"> and a wide variety of individuals, who may or may not be of bloo</w:t>
      </w:r>
      <w:r w:rsidR="00725C2F">
        <w:t xml:space="preserve">d or immediate relation to the older person </w:t>
      </w:r>
      <w:r>
        <w:t xml:space="preserve">but with whom key relationship characteristics, including dependency and support, exist. A broad definition of ‘family’ recognises and reflects the highly varied and </w:t>
      </w:r>
      <w:r w:rsidR="00F91755">
        <w:t xml:space="preserve">culturally </w:t>
      </w:r>
      <w:r>
        <w:t>dive</w:t>
      </w:r>
      <w:r w:rsidR="00F91755">
        <w:t>rse notion of family in Australia today,</w:t>
      </w:r>
      <w:r w:rsidR="00356454">
        <w:t xml:space="preserve"> and provides protection in the full range of cases in which it may be required. </w:t>
      </w:r>
      <w:r w:rsidR="000F416E">
        <w:t xml:space="preserve"> </w:t>
      </w:r>
    </w:p>
    <w:p w:rsidR="00F91755" w:rsidRDefault="00F91755" w:rsidP="00F91755">
      <w:pPr>
        <w:pStyle w:val="Style1"/>
        <w:rPr>
          <w:color w:val="ED7D31" w:themeColor="accent2"/>
        </w:rPr>
      </w:pPr>
    </w:p>
    <w:p w:rsidR="00492105" w:rsidRPr="00CC1B59" w:rsidRDefault="00492105" w:rsidP="00483FA6">
      <w:pPr>
        <w:pStyle w:val="Style1"/>
        <w:numPr>
          <w:ilvl w:val="0"/>
          <w:numId w:val="11"/>
        </w:numPr>
        <w:ind w:hanging="720"/>
        <w:rPr>
          <w:color w:val="ED7D31" w:themeColor="accent2"/>
          <w:sz w:val="32"/>
        </w:rPr>
      </w:pPr>
      <w:r w:rsidRPr="00CC1B59">
        <w:rPr>
          <w:color w:val="ED7D31" w:themeColor="accent2"/>
          <w:sz w:val="32"/>
        </w:rPr>
        <w:t>Conclusion</w:t>
      </w:r>
    </w:p>
    <w:p w:rsidR="00EC50F8" w:rsidRDefault="00EC50F8" w:rsidP="006273D7">
      <w:pPr>
        <w:pStyle w:val="Style2"/>
        <w:jc w:val="both"/>
      </w:pPr>
    </w:p>
    <w:p w:rsidR="006273D7" w:rsidRDefault="006273D7" w:rsidP="006273D7">
      <w:pPr>
        <w:pStyle w:val="Style2"/>
        <w:jc w:val="both"/>
      </w:pPr>
      <w:r>
        <w:t>Structural reform and the development of integrated legal frameworks</w:t>
      </w:r>
      <w:r w:rsidR="00011358">
        <w:t>, including a national plan,</w:t>
      </w:r>
      <w:r>
        <w:t xml:space="preserve"> </w:t>
      </w:r>
      <w:proofErr w:type="gramStart"/>
      <w:r w:rsidR="00011358">
        <w:t>is</w:t>
      </w:r>
      <w:proofErr w:type="gramEnd"/>
      <w:r w:rsidR="003E56E7">
        <w:t xml:space="preserve"> necessary to effectively address</w:t>
      </w:r>
      <w:r>
        <w:t xml:space="preserve"> elder abuse in Australian Society. </w:t>
      </w:r>
    </w:p>
    <w:p w:rsidR="006273D7" w:rsidRDefault="006273D7" w:rsidP="006273D7">
      <w:pPr>
        <w:pStyle w:val="Style2"/>
        <w:jc w:val="both"/>
      </w:pPr>
    </w:p>
    <w:p w:rsidR="00011358" w:rsidRDefault="00725C2F" w:rsidP="006273D7">
      <w:pPr>
        <w:pStyle w:val="Style2"/>
        <w:jc w:val="both"/>
      </w:pPr>
      <w:r>
        <w:t>The expansion of r</w:t>
      </w:r>
      <w:r w:rsidR="00011358">
        <w:t xml:space="preserve">elevant </w:t>
      </w:r>
      <w:r w:rsidR="00FA7D59">
        <w:t>S</w:t>
      </w:r>
      <w:r w:rsidR="00011358">
        <w:t xml:space="preserve">tate and </w:t>
      </w:r>
      <w:r w:rsidR="00FA7D59">
        <w:t>T</w:t>
      </w:r>
      <w:r w:rsidR="00011358">
        <w:t>erri</w:t>
      </w:r>
      <w:r w:rsidR="00FA7D59">
        <w:t xml:space="preserve">tory tribunal jurisdiction </w:t>
      </w:r>
      <w:r>
        <w:t xml:space="preserve">will help improve </w:t>
      </w:r>
      <w:r w:rsidR="00011358">
        <w:t xml:space="preserve">access to justice for elder </w:t>
      </w:r>
      <w:r>
        <w:t>Australians</w:t>
      </w:r>
      <w:r w:rsidR="00011358">
        <w:t xml:space="preserve">, particularly for </w:t>
      </w:r>
      <w:r>
        <w:t>older people</w:t>
      </w:r>
      <w:r w:rsidR="00011358">
        <w:t xml:space="preserve"> seeking appropri</w:t>
      </w:r>
      <w:r w:rsidR="003E56E7">
        <w:t>ate compensation</w:t>
      </w:r>
      <w:r w:rsidR="00974669">
        <w:t xml:space="preserve">. </w:t>
      </w:r>
      <w:r w:rsidR="00EC50F8">
        <w:t>Ol</w:t>
      </w:r>
      <w:r>
        <w:t>der persons</w:t>
      </w:r>
      <w:r w:rsidR="00974669">
        <w:t xml:space="preserve"> will be able</w:t>
      </w:r>
      <w:r>
        <w:t xml:space="preserve"> to seek legal recourse in an effective, timely, and cost effective manner.  </w:t>
      </w:r>
    </w:p>
    <w:p w:rsidR="00974669" w:rsidRDefault="00974669" w:rsidP="006273D7">
      <w:pPr>
        <w:pStyle w:val="Style2"/>
        <w:jc w:val="both"/>
      </w:pPr>
    </w:p>
    <w:p w:rsidR="00EC50F8" w:rsidRDefault="00EC50F8" w:rsidP="006273D7">
      <w:pPr>
        <w:pStyle w:val="Style2"/>
        <w:jc w:val="both"/>
      </w:pPr>
      <w:r>
        <w:t xml:space="preserve">Training programs for newly-appointed guardians and financial managers, coupled with eligibility restrictions on EPOA’s will assist in preventing instances of elder abuse. Training programs will also help educate the community about the manner in which legal support may be provided to older Australians. </w:t>
      </w:r>
    </w:p>
    <w:p w:rsidR="00EC50F8" w:rsidRDefault="00EC50F8" w:rsidP="006273D7">
      <w:pPr>
        <w:pStyle w:val="Style2"/>
        <w:jc w:val="both"/>
      </w:pPr>
    </w:p>
    <w:p w:rsidR="000320C6" w:rsidRPr="00974669" w:rsidRDefault="003E56E7" w:rsidP="00974669">
      <w:pPr>
        <w:pStyle w:val="Style2"/>
        <w:jc w:val="both"/>
      </w:pPr>
      <w:r>
        <w:t xml:space="preserve">The powers of </w:t>
      </w:r>
      <w:r w:rsidR="00725C2F">
        <w:t>public advocates and public guardians should</w:t>
      </w:r>
      <w:r>
        <w:t xml:space="preserve"> be expanded to include investigat</w:t>
      </w:r>
      <w:r w:rsidR="00974669">
        <w:t>ory</w:t>
      </w:r>
      <w:r>
        <w:t xml:space="preserve"> powers. These power</w:t>
      </w:r>
      <w:r w:rsidR="00D0664C">
        <w:t>s</w:t>
      </w:r>
      <w:r>
        <w:t xml:space="preserve"> will </w:t>
      </w:r>
      <w:r w:rsidR="00FA7D59">
        <w:t>help bridge the gap between mandatory reporting schemes and abuse sufferers with a fear of coming forward</w:t>
      </w:r>
      <w:r w:rsidR="00A0605F">
        <w:t xml:space="preserve">, however </w:t>
      </w:r>
      <w:r w:rsidR="00974669">
        <w:t xml:space="preserve">they </w:t>
      </w:r>
      <w:r w:rsidR="00A0605F">
        <w:t>s</w:t>
      </w:r>
      <w:r>
        <w:t>hould be exercised with caution</w:t>
      </w:r>
      <w:r w:rsidR="00EC50F8">
        <w:t>, and subject to limitations</w:t>
      </w:r>
      <w:r>
        <w:t>.</w:t>
      </w:r>
      <w:r w:rsidR="00D0664C">
        <w:t xml:space="preserve"> </w:t>
      </w:r>
      <w:r w:rsidR="00FA7D59">
        <w:t>A</w:t>
      </w:r>
      <w:r w:rsidR="006273D7">
        <w:t xml:space="preserve">ny </w:t>
      </w:r>
      <w:r w:rsidR="00FA7D59">
        <w:t xml:space="preserve">proposed </w:t>
      </w:r>
      <w:r w:rsidR="006273D7">
        <w:t xml:space="preserve">measures should be careful not to </w:t>
      </w:r>
      <w:r w:rsidR="00FA7D59">
        <w:t>impede</w:t>
      </w:r>
      <w:r w:rsidR="006273D7">
        <w:t xml:space="preserve"> the autonomy of older Australians, and </w:t>
      </w:r>
      <w:r w:rsidR="00011358">
        <w:t xml:space="preserve">policy makers should </w:t>
      </w:r>
      <w:r w:rsidR="006273D7">
        <w:t xml:space="preserve">steer clear of a prescriptive approach. </w:t>
      </w:r>
    </w:p>
    <w:sectPr w:rsidR="000320C6" w:rsidRPr="00974669" w:rsidSect="00181636">
      <w:headerReference w:type="default" r:id="rId8"/>
      <w:footerReference w:type="default" r:id="rId9"/>
      <w:headerReference w:type="first" r:id="rId10"/>
      <w:footerReference w:type="first" r:id="rId11"/>
      <w:pgSz w:w="11907" w:h="16840" w:code="9"/>
      <w:pgMar w:top="1418" w:right="1247" w:bottom="1440"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25D" w:rsidRDefault="005C425D">
      <w:r>
        <w:separator/>
      </w:r>
    </w:p>
  </w:endnote>
  <w:endnote w:type="continuationSeparator" w:id="0">
    <w:p w:rsidR="005C425D" w:rsidRDefault="005C4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81" w:rsidRDefault="00A76281" w:rsidP="00DB06C9">
    <w:pPr>
      <w:pStyle w:val="Footer"/>
      <w:tabs>
        <w:tab w:val="clear" w:pos="4320"/>
        <w:tab w:val="clear" w:pos="8640"/>
        <w:tab w:val="left" w:pos="4365"/>
      </w:tabs>
      <w:rPr>
        <w:rFonts w:asciiTheme="majorHAnsi" w:hAnsiTheme="majorHAnsi"/>
        <w:sz w:val="18"/>
        <w:szCs w:val="18"/>
      </w:rPr>
    </w:pPr>
  </w:p>
  <w:p w:rsidR="00A76281" w:rsidRPr="00DB06C9" w:rsidRDefault="002C773A" w:rsidP="00DB06C9">
    <w:pPr>
      <w:pStyle w:val="Footer"/>
      <w:tabs>
        <w:tab w:val="clear" w:pos="4320"/>
        <w:tab w:val="clear" w:pos="8640"/>
        <w:tab w:val="left" w:pos="4365"/>
      </w:tabs>
      <w:rPr>
        <w:rFonts w:asciiTheme="majorHAnsi" w:hAnsiTheme="majorHAnsi"/>
        <w:noProof/>
        <w:sz w:val="18"/>
        <w:szCs w:val="18"/>
      </w:rPr>
    </w:pPr>
    <w:sdt>
      <w:sdtPr>
        <w:rPr>
          <w:rFonts w:asciiTheme="majorHAnsi" w:hAnsiTheme="majorHAnsi"/>
          <w:sz w:val="18"/>
          <w:szCs w:val="18"/>
        </w:rPr>
        <w:id w:val="2119093137"/>
        <w:docPartObj>
          <w:docPartGallery w:val="Page Numbers (Bottom of Page)"/>
          <w:docPartUnique/>
        </w:docPartObj>
      </w:sdtPr>
      <w:sdtEndPr>
        <w:rPr>
          <w:noProof/>
        </w:rPr>
      </w:sdtEndPr>
      <w:sdtContent>
        <w:r w:rsidRPr="00DB06C9">
          <w:rPr>
            <w:rFonts w:asciiTheme="majorHAnsi" w:hAnsiTheme="majorHAnsi"/>
            <w:b/>
            <w:sz w:val="18"/>
            <w:szCs w:val="18"/>
          </w:rPr>
          <w:fldChar w:fldCharType="begin"/>
        </w:r>
        <w:r w:rsidR="00A76281" w:rsidRPr="00DB06C9">
          <w:rPr>
            <w:rFonts w:asciiTheme="majorHAnsi" w:hAnsiTheme="majorHAnsi"/>
            <w:b/>
            <w:sz w:val="18"/>
            <w:szCs w:val="18"/>
          </w:rPr>
          <w:instrText xml:space="preserve"> PAGE   \* MERGEFORMAT </w:instrText>
        </w:r>
        <w:r w:rsidRPr="00DB06C9">
          <w:rPr>
            <w:rFonts w:asciiTheme="majorHAnsi" w:hAnsiTheme="majorHAnsi"/>
            <w:b/>
            <w:sz w:val="18"/>
            <w:szCs w:val="18"/>
          </w:rPr>
          <w:fldChar w:fldCharType="separate"/>
        </w:r>
        <w:r w:rsidR="008A0CE0">
          <w:rPr>
            <w:rFonts w:asciiTheme="majorHAnsi" w:hAnsiTheme="majorHAnsi"/>
            <w:b/>
            <w:noProof/>
            <w:sz w:val="18"/>
            <w:szCs w:val="18"/>
          </w:rPr>
          <w:t>2</w:t>
        </w:r>
        <w:r w:rsidRPr="00DB06C9">
          <w:rPr>
            <w:rFonts w:asciiTheme="majorHAnsi" w:hAnsiTheme="majorHAnsi"/>
            <w:b/>
            <w:noProof/>
            <w:sz w:val="18"/>
            <w:szCs w:val="18"/>
          </w:rPr>
          <w:fldChar w:fldCharType="end"/>
        </w:r>
        <w:r w:rsidR="00A76281" w:rsidRPr="00DB06C9">
          <w:rPr>
            <w:rFonts w:asciiTheme="majorHAnsi" w:hAnsiTheme="majorHAnsi"/>
            <w:noProof/>
            <w:sz w:val="18"/>
            <w:szCs w:val="18"/>
          </w:rPr>
          <w:t xml:space="preserve"> </w:t>
        </w:r>
        <w:r w:rsidR="00A76281">
          <w:rPr>
            <w:rFonts w:asciiTheme="majorHAnsi" w:hAnsiTheme="majorHAnsi"/>
            <w:noProof/>
            <w:sz w:val="18"/>
            <w:szCs w:val="18"/>
          </w:rPr>
          <w:t>|</w:t>
        </w:r>
        <w:r w:rsidR="00A76281" w:rsidRPr="00DB06C9">
          <w:rPr>
            <w:rFonts w:asciiTheme="majorHAnsi" w:hAnsiTheme="majorHAnsi"/>
            <w:noProof/>
            <w:sz w:val="18"/>
            <w:szCs w:val="18"/>
          </w:rPr>
          <w:t xml:space="preserve"> </w:t>
        </w:r>
      </w:sdtContent>
    </w:sdt>
    <w:r w:rsidR="00A76281">
      <w:rPr>
        <w:rFonts w:asciiTheme="majorHAnsi" w:hAnsiTheme="majorHAnsi"/>
        <w:noProof/>
        <w:sz w:val="18"/>
        <w:szCs w:val="18"/>
      </w:rPr>
      <w:t>Legal Aid ACT | Submission to the ALRC Elder Abuse Inquiry – Discussion Paper</w:t>
    </w:r>
    <w:r w:rsidR="00CC1B59">
      <w:rPr>
        <w:rFonts w:asciiTheme="majorHAnsi" w:hAnsiTheme="majorHAnsi"/>
        <w:noProof/>
        <w:sz w:val="18"/>
        <w:szCs w:val="18"/>
      </w:rPr>
      <w:t xml:space="preserve"> 83</w:t>
    </w:r>
  </w:p>
  <w:p w:rsidR="00A76281" w:rsidRDefault="00A762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81" w:rsidRPr="00CF0816" w:rsidRDefault="00A76281" w:rsidP="00F81B9C">
    <w:pPr>
      <w:pStyle w:val="Footer"/>
      <w:tabs>
        <w:tab w:val="left" w:pos="3119"/>
        <w:tab w:val="left" w:pos="3686"/>
        <w:tab w:val="left" w:pos="5812"/>
      </w:tabs>
      <w:rPr>
        <w:rFonts w:ascii="Calibri" w:hAnsi="Calibri"/>
        <w:sz w:val="18"/>
      </w:rPr>
    </w:pPr>
    <w:r w:rsidRPr="00CF0816">
      <w:rPr>
        <w:rFonts w:ascii="Calibri" w:hAnsi="Calibri"/>
        <w:sz w:val="18"/>
      </w:rPr>
      <w:t xml:space="preserve">2 </w:t>
    </w:r>
    <w:proofErr w:type="spellStart"/>
    <w:r w:rsidRPr="00CF0816">
      <w:rPr>
        <w:rFonts w:ascii="Calibri" w:hAnsi="Calibri"/>
        <w:sz w:val="18"/>
      </w:rPr>
      <w:t>Allsop</w:t>
    </w:r>
    <w:proofErr w:type="spellEnd"/>
    <w:r w:rsidRPr="00CF0816">
      <w:rPr>
        <w:rFonts w:ascii="Calibri" w:hAnsi="Calibri"/>
        <w:sz w:val="18"/>
      </w:rPr>
      <w:t xml:space="preserve"> Street Canberra City</w:t>
    </w:r>
    <w:r w:rsidRPr="00CF0816">
      <w:rPr>
        <w:rFonts w:ascii="Calibri" w:hAnsi="Calibri"/>
        <w:sz w:val="18"/>
      </w:rPr>
      <w:tab/>
      <w:t>Phone</w:t>
    </w:r>
    <w:r>
      <w:rPr>
        <w:rFonts w:ascii="Calibri" w:hAnsi="Calibri"/>
        <w:sz w:val="18"/>
      </w:rPr>
      <w:tab/>
    </w:r>
    <w:r w:rsidRPr="00CF0816">
      <w:rPr>
        <w:rFonts w:ascii="Calibri" w:hAnsi="Calibri"/>
        <w:sz w:val="18"/>
      </w:rPr>
      <w:t>(02) 6243 3411</w:t>
    </w:r>
    <w:r w:rsidRPr="00CF0816">
      <w:rPr>
        <w:rFonts w:ascii="Calibri" w:hAnsi="Calibri"/>
        <w:sz w:val="18"/>
      </w:rPr>
      <w:tab/>
      <w:t>legalaid@legalaidACT.org.au</w:t>
    </w:r>
  </w:p>
  <w:p w:rsidR="00A76281" w:rsidRPr="00CF0816" w:rsidRDefault="00A76281" w:rsidP="00F81B9C">
    <w:pPr>
      <w:pStyle w:val="Footer"/>
      <w:tabs>
        <w:tab w:val="clear" w:pos="8640"/>
        <w:tab w:val="left" w:pos="3119"/>
        <w:tab w:val="left" w:pos="3686"/>
        <w:tab w:val="left" w:pos="5812"/>
        <w:tab w:val="right" w:pos="10065"/>
      </w:tabs>
      <w:rPr>
        <w:rFonts w:ascii="Calibri" w:hAnsi="Calibri"/>
        <w:sz w:val="18"/>
      </w:rPr>
    </w:pPr>
    <w:r w:rsidRPr="00CF0816">
      <w:rPr>
        <w:rFonts w:ascii="Calibri" w:hAnsi="Calibri"/>
        <w:sz w:val="18"/>
      </w:rPr>
      <w:t>GPO B</w:t>
    </w:r>
    <w:r>
      <w:rPr>
        <w:rFonts w:ascii="Calibri" w:hAnsi="Calibri"/>
        <w:sz w:val="18"/>
      </w:rPr>
      <w:t>ox 512 Canberra ACT 2601</w:t>
    </w:r>
    <w:r>
      <w:rPr>
        <w:rFonts w:ascii="Calibri" w:hAnsi="Calibri"/>
        <w:sz w:val="18"/>
      </w:rPr>
      <w:tab/>
      <w:t>Fax</w:t>
    </w:r>
    <w:r>
      <w:rPr>
        <w:rFonts w:ascii="Calibri" w:hAnsi="Calibri"/>
        <w:sz w:val="18"/>
      </w:rPr>
      <w:tab/>
    </w:r>
    <w:r w:rsidRPr="00CF0816">
      <w:rPr>
        <w:rFonts w:ascii="Calibri" w:hAnsi="Calibri"/>
        <w:sz w:val="18"/>
      </w:rPr>
      <w:t>(02) 6243 3435</w:t>
    </w:r>
    <w:r w:rsidRPr="00CF0816">
      <w:rPr>
        <w:rFonts w:ascii="Calibri" w:hAnsi="Calibri"/>
        <w:sz w:val="18"/>
      </w:rPr>
      <w:tab/>
      <w:t>www.legalaidACT.org.au</w:t>
    </w:r>
    <w:r>
      <w:rPr>
        <w:rFonts w:ascii="Calibri" w:hAnsi="Calibri"/>
        <w:sz w:val="18"/>
      </w:rPr>
      <w:tab/>
    </w:r>
    <w:r w:rsidRPr="00CF0816">
      <w:rPr>
        <w:rFonts w:ascii="Calibri" w:hAnsi="Calibri"/>
        <w:sz w:val="18"/>
      </w:rPr>
      <w:t>ABN 40 848 011 291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25D" w:rsidRDefault="005C425D">
      <w:r>
        <w:separator/>
      </w:r>
    </w:p>
  </w:footnote>
  <w:footnote w:type="continuationSeparator" w:id="0">
    <w:p w:rsidR="005C425D" w:rsidRDefault="005C425D">
      <w:r>
        <w:continuationSeparator/>
      </w:r>
    </w:p>
  </w:footnote>
  <w:footnote w:id="1">
    <w:p w:rsidR="00A76281" w:rsidRPr="00CC1B59" w:rsidRDefault="00A76281" w:rsidP="00CC1B59">
      <w:pPr>
        <w:pStyle w:val="FootnoteText"/>
        <w:jc w:val="both"/>
        <w:rPr>
          <w:rFonts w:asciiTheme="majorHAnsi" w:hAnsiTheme="majorHAnsi"/>
        </w:rPr>
      </w:pPr>
      <w:r w:rsidRPr="00CC1B59">
        <w:rPr>
          <w:rStyle w:val="FootnoteReference"/>
          <w:rFonts w:asciiTheme="majorHAnsi" w:hAnsiTheme="majorHAnsi"/>
        </w:rPr>
        <w:footnoteRef/>
      </w:r>
      <w:r w:rsidRPr="00CC1B59">
        <w:rPr>
          <w:rFonts w:asciiTheme="majorHAnsi" w:hAnsiTheme="majorHAnsi"/>
        </w:rPr>
        <w:t xml:space="preserve"> </w:t>
      </w:r>
      <w:r w:rsidRPr="00CC1B59">
        <w:rPr>
          <w:rFonts w:asciiTheme="majorHAnsi" w:eastAsiaTheme="majorEastAsia" w:hAnsiTheme="majorHAnsi"/>
        </w:rPr>
        <w:t xml:space="preserve">Legal Aid ACT, Submission to the Australian Law Reform Commission, </w:t>
      </w:r>
      <w:r w:rsidRPr="00CC1B59">
        <w:rPr>
          <w:rFonts w:asciiTheme="majorHAnsi" w:eastAsiaTheme="majorEastAsia" w:hAnsiTheme="majorHAnsi"/>
          <w:i/>
        </w:rPr>
        <w:t>Inquiry into Protecting the Rights of Older Australians from Abuse: Issues Paper</w:t>
      </w:r>
      <w:r w:rsidRPr="00CC1B59">
        <w:rPr>
          <w:rFonts w:asciiTheme="majorHAnsi" w:eastAsiaTheme="majorEastAsia" w:hAnsiTheme="majorHAnsi"/>
        </w:rPr>
        <w:t xml:space="preserve"> </w:t>
      </w:r>
      <w:r w:rsidRPr="00CC1B59">
        <w:rPr>
          <w:rFonts w:asciiTheme="majorHAnsi" w:eastAsiaTheme="majorEastAsia" w:hAnsiTheme="majorHAnsi"/>
          <w:i/>
        </w:rPr>
        <w:t xml:space="preserve">47, </w:t>
      </w:r>
      <w:r w:rsidRPr="00CC1B59">
        <w:rPr>
          <w:rFonts w:asciiTheme="majorHAnsi" w:eastAsiaTheme="majorEastAsia" w:hAnsiTheme="majorHAnsi"/>
        </w:rPr>
        <w:t>1 June 2016</w:t>
      </w:r>
      <w:r w:rsidRPr="00CC1B59">
        <w:rPr>
          <w:rFonts w:asciiTheme="majorHAnsi" w:hAnsiTheme="majorHAnsi"/>
        </w:rPr>
        <w:t>, 34.</w:t>
      </w:r>
    </w:p>
  </w:footnote>
  <w:footnote w:id="2">
    <w:p w:rsidR="00F77AD5" w:rsidRPr="00CC1B59" w:rsidRDefault="00F77AD5" w:rsidP="00CC1B59">
      <w:pPr>
        <w:pStyle w:val="FootnoteText"/>
        <w:jc w:val="both"/>
        <w:rPr>
          <w:rFonts w:asciiTheme="majorHAnsi" w:hAnsiTheme="majorHAnsi"/>
        </w:rPr>
      </w:pPr>
      <w:r w:rsidRPr="00CC1B59">
        <w:rPr>
          <w:rStyle w:val="FootnoteReference"/>
          <w:rFonts w:asciiTheme="majorHAnsi" w:hAnsiTheme="majorHAnsi"/>
        </w:rPr>
        <w:footnoteRef/>
      </w:r>
      <w:r w:rsidRPr="00CC1B59">
        <w:rPr>
          <w:rFonts w:asciiTheme="majorHAnsi" w:hAnsiTheme="majorHAnsi"/>
        </w:rPr>
        <w:t xml:space="preserve"> With ‘able’ referring to the physical and mental capacity to seek assistance, </w:t>
      </w:r>
      <w:r w:rsidR="00D15FF4" w:rsidRPr="00CC1B59">
        <w:rPr>
          <w:rFonts w:asciiTheme="majorHAnsi" w:hAnsiTheme="majorHAnsi"/>
        </w:rPr>
        <w:t xml:space="preserve">in line with the ALRC’s definition of care and support needs: ALRC, 2016, </w:t>
      </w:r>
      <w:r w:rsidR="00D15FF4" w:rsidRPr="00CC1B59">
        <w:rPr>
          <w:rFonts w:asciiTheme="majorHAnsi" w:hAnsiTheme="majorHAnsi"/>
          <w:i/>
        </w:rPr>
        <w:t>Elder Abuse Discussion Paper 83</w:t>
      </w:r>
      <w:r w:rsidR="00D15FF4" w:rsidRPr="00CC1B59">
        <w:rPr>
          <w:rFonts w:asciiTheme="majorHAnsi" w:hAnsiTheme="majorHAnsi"/>
        </w:rPr>
        <w:t xml:space="preserve">, 69.  </w:t>
      </w:r>
      <w:r w:rsidRPr="00CC1B59">
        <w:rPr>
          <w:rFonts w:asciiTheme="majorHAnsi" w:hAnsiTheme="majorHAnsi"/>
        </w:rPr>
        <w:t xml:space="preserve">     </w:t>
      </w:r>
    </w:p>
  </w:footnote>
  <w:footnote w:id="3">
    <w:p w:rsidR="006B455E" w:rsidRPr="00CC1B59" w:rsidRDefault="006B455E" w:rsidP="00CC1B59">
      <w:pPr>
        <w:pStyle w:val="FootnoteText"/>
        <w:jc w:val="both"/>
        <w:rPr>
          <w:rFonts w:asciiTheme="majorHAnsi" w:hAnsiTheme="majorHAnsi"/>
        </w:rPr>
      </w:pPr>
      <w:r w:rsidRPr="00CC1B59">
        <w:rPr>
          <w:rStyle w:val="FootnoteReference"/>
          <w:rFonts w:asciiTheme="majorHAnsi" w:hAnsiTheme="majorHAnsi"/>
        </w:rPr>
        <w:footnoteRef/>
      </w:r>
      <w:r w:rsidRPr="00CC1B59">
        <w:rPr>
          <w:rFonts w:asciiTheme="majorHAnsi" w:hAnsiTheme="majorHAnsi"/>
        </w:rPr>
        <w:t xml:space="preserve"> </w:t>
      </w:r>
      <w:proofErr w:type="gramStart"/>
      <w:r w:rsidRPr="00CC1B59">
        <w:rPr>
          <w:rFonts w:asciiTheme="majorHAnsi" w:hAnsiTheme="majorHAnsi"/>
        </w:rPr>
        <w:t xml:space="preserve">ALRC, 2016, </w:t>
      </w:r>
      <w:r w:rsidRPr="00CC1B59">
        <w:rPr>
          <w:rFonts w:asciiTheme="majorHAnsi" w:hAnsiTheme="majorHAnsi"/>
          <w:i/>
        </w:rPr>
        <w:t>Elder Abuse Discussion Paper 83</w:t>
      </w:r>
      <w:r w:rsidRPr="00CC1B59">
        <w:rPr>
          <w:rFonts w:asciiTheme="majorHAnsi" w:hAnsiTheme="majorHAnsi"/>
        </w:rPr>
        <w:t>, 69.</w:t>
      </w:r>
      <w:proofErr w:type="gramEnd"/>
    </w:p>
  </w:footnote>
  <w:footnote w:id="4">
    <w:p w:rsidR="00D15FF4" w:rsidRPr="00CC1B59" w:rsidRDefault="00D15FF4" w:rsidP="00CC1B59">
      <w:pPr>
        <w:pStyle w:val="FootnoteText"/>
        <w:jc w:val="both"/>
        <w:rPr>
          <w:rFonts w:asciiTheme="majorHAnsi" w:hAnsiTheme="majorHAnsi"/>
        </w:rPr>
      </w:pPr>
      <w:r w:rsidRPr="00CC1B59">
        <w:rPr>
          <w:rStyle w:val="FootnoteReference"/>
          <w:rFonts w:asciiTheme="majorHAnsi" w:hAnsiTheme="majorHAnsi"/>
        </w:rPr>
        <w:footnoteRef/>
      </w:r>
      <w:r w:rsidRPr="00CC1B59">
        <w:rPr>
          <w:rFonts w:asciiTheme="majorHAnsi" w:hAnsiTheme="majorHAnsi"/>
        </w:rPr>
        <w:t xml:space="preserve"> Office of the Public Advocate, Submission to the Australian Law Reform Commission, </w:t>
      </w:r>
      <w:r w:rsidRPr="00CC1B59">
        <w:rPr>
          <w:rFonts w:asciiTheme="majorHAnsi" w:hAnsiTheme="majorHAnsi"/>
          <w:i/>
        </w:rPr>
        <w:t>Submission to the Australian Law Reform Commission in Response to the Elder Abuse Discussion Paper 83,</w:t>
      </w:r>
      <w:r w:rsidRPr="00CC1B59">
        <w:rPr>
          <w:rFonts w:asciiTheme="majorHAnsi" w:hAnsiTheme="majorHAnsi"/>
        </w:rPr>
        <w:t xml:space="preserve"> February 2017, 4</w:t>
      </w:r>
    </w:p>
  </w:footnote>
  <w:footnote w:id="5">
    <w:p w:rsidR="00A76281" w:rsidRPr="00CC1B59" w:rsidRDefault="00A76281" w:rsidP="00CC1B59">
      <w:pPr>
        <w:pStyle w:val="FootnoteText"/>
        <w:jc w:val="both"/>
        <w:rPr>
          <w:rFonts w:asciiTheme="minorHAnsi" w:hAnsiTheme="minorHAnsi"/>
        </w:rPr>
      </w:pPr>
      <w:r w:rsidRPr="00CC1B59">
        <w:rPr>
          <w:rStyle w:val="FootnoteReference"/>
          <w:rFonts w:asciiTheme="majorHAnsi" w:hAnsiTheme="majorHAnsi"/>
        </w:rPr>
        <w:footnoteRef/>
      </w:r>
      <w:r w:rsidRPr="00CC1B59">
        <w:rPr>
          <w:rFonts w:asciiTheme="majorHAnsi" w:hAnsiTheme="majorHAnsi"/>
        </w:rPr>
        <w:t xml:space="preserve"> </w:t>
      </w:r>
      <w:r w:rsidRPr="00CC1B59">
        <w:rPr>
          <w:rFonts w:asciiTheme="majorHAnsi" w:eastAsiaTheme="majorEastAsia" w:hAnsiTheme="majorHAnsi"/>
        </w:rPr>
        <w:t>Legal Aid ACT</w:t>
      </w:r>
      <w:r w:rsidRPr="00CC1B59">
        <w:rPr>
          <w:rFonts w:asciiTheme="majorHAnsi" w:hAnsiTheme="majorHAnsi"/>
        </w:rPr>
        <w:t>, above n 1, 22-25.</w:t>
      </w:r>
      <w:r w:rsidRPr="00CC1B59">
        <w:rPr>
          <w:rFonts w:asciiTheme="minorHAnsi" w:hAnsiTheme="minorHAnsi"/>
        </w:rPr>
        <w:t xml:space="preserve"> </w:t>
      </w:r>
    </w:p>
  </w:footnote>
  <w:footnote w:id="6">
    <w:p w:rsidR="00155A8E" w:rsidRPr="00CC1B59" w:rsidRDefault="00155A8E" w:rsidP="00155A8E">
      <w:pPr>
        <w:pStyle w:val="FootnoteText"/>
        <w:rPr>
          <w:rFonts w:asciiTheme="majorHAnsi" w:hAnsiTheme="majorHAnsi"/>
        </w:rPr>
      </w:pPr>
      <w:r w:rsidRPr="00CC1B59">
        <w:rPr>
          <w:rStyle w:val="FootnoteReference"/>
          <w:rFonts w:asciiTheme="majorHAnsi" w:hAnsiTheme="majorHAnsi"/>
        </w:rPr>
        <w:footnoteRef/>
      </w:r>
      <w:r w:rsidRPr="00CC1B59">
        <w:rPr>
          <w:rFonts w:asciiTheme="majorHAnsi" w:hAnsiTheme="majorHAnsi"/>
        </w:rPr>
        <w:t xml:space="preserve"> </w:t>
      </w:r>
      <w:proofErr w:type="gramStart"/>
      <w:r w:rsidRPr="00CC1B59">
        <w:rPr>
          <w:rFonts w:asciiTheme="majorHAnsi" w:eastAsiaTheme="majorEastAsia" w:hAnsiTheme="majorHAnsi"/>
        </w:rPr>
        <w:t xml:space="preserve">Ibid </w:t>
      </w:r>
      <w:r w:rsidRPr="00CC1B59">
        <w:rPr>
          <w:rFonts w:asciiTheme="majorHAnsi" w:hAnsiTheme="majorHAnsi"/>
        </w:rPr>
        <w:t>34-35.</w:t>
      </w:r>
      <w:proofErr w:type="gramEnd"/>
    </w:p>
  </w:footnote>
  <w:footnote w:id="7">
    <w:p w:rsidR="00155A8E" w:rsidRPr="00CC1B59" w:rsidRDefault="00155A8E" w:rsidP="00155A8E">
      <w:pPr>
        <w:pStyle w:val="FootnoteText"/>
        <w:rPr>
          <w:rFonts w:asciiTheme="majorHAnsi" w:hAnsiTheme="majorHAnsi"/>
        </w:rPr>
      </w:pPr>
      <w:r w:rsidRPr="00CC1B59">
        <w:rPr>
          <w:rStyle w:val="FootnoteReference"/>
          <w:rFonts w:asciiTheme="majorHAnsi" w:hAnsiTheme="majorHAnsi"/>
        </w:rPr>
        <w:footnoteRef/>
      </w:r>
      <w:r w:rsidRPr="00CC1B59">
        <w:rPr>
          <w:rFonts w:asciiTheme="majorHAnsi" w:hAnsiTheme="majorHAnsi"/>
        </w:rPr>
        <w:t xml:space="preserve"> </w:t>
      </w:r>
      <w:proofErr w:type="gramStart"/>
      <w:r w:rsidRPr="00CC1B59">
        <w:rPr>
          <w:rFonts w:asciiTheme="majorHAnsi" w:eastAsiaTheme="majorEastAsia" w:hAnsiTheme="majorHAnsi"/>
        </w:rPr>
        <w:t xml:space="preserve">Ibid </w:t>
      </w:r>
      <w:r w:rsidRPr="00CC1B59">
        <w:rPr>
          <w:rFonts w:asciiTheme="majorHAnsi" w:hAnsiTheme="majorHAnsi"/>
        </w:rPr>
        <w:t>37; 43.</w:t>
      </w:r>
      <w:proofErr w:type="gramEnd"/>
    </w:p>
  </w:footnote>
  <w:footnote w:id="8">
    <w:p w:rsidR="00A76281" w:rsidRPr="00CC1B59" w:rsidRDefault="00A76281">
      <w:pPr>
        <w:pStyle w:val="FootnoteText"/>
        <w:rPr>
          <w:rFonts w:asciiTheme="majorHAnsi" w:hAnsiTheme="majorHAnsi"/>
        </w:rPr>
      </w:pPr>
      <w:r w:rsidRPr="00CC1B59">
        <w:rPr>
          <w:rStyle w:val="FootnoteReference"/>
          <w:rFonts w:asciiTheme="majorHAnsi" w:hAnsiTheme="majorHAnsi"/>
        </w:rPr>
        <w:footnoteRef/>
      </w:r>
      <w:r w:rsidRPr="00CC1B59">
        <w:rPr>
          <w:rFonts w:asciiTheme="majorHAnsi" w:hAnsiTheme="majorHAnsi"/>
        </w:rPr>
        <w:t xml:space="preserve"> </w:t>
      </w:r>
      <w:proofErr w:type="gramStart"/>
      <w:r w:rsidRPr="00CC1B59">
        <w:rPr>
          <w:rFonts w:asciiTheme="majorHAnsi" w:hAnsiTheme="majorHAnsi"/>
        </w:rPr>
        <w:t>Ibid 35-36.</w:t>
      </w:r>
      <w:proofErr w:type="gramEnd"/>
    </w:p>
  </w:footnote>
  <w:footnote w:id="9">
    <w:p w:rsidR="00A76281" w:rsidRPr="00A065AD" w:rsidRDefault="00A76281" w:rsidP="00A065AD">
      <w:pPr>
        <w:pStyle w:val="FootnoteText"/>
        <w:rPr>
          <w:rFonts w:asciiTheme="minorHAnsi" w:hAnsiTheme="minorHAnsi"/>
        </w:rPr>
      </w:pPr>
      <w:r w:rsidRPr="00CC1B59">
        <w:rPr>
          <w:rStyle w:val="FootnoteReference"/>
          <w:rFonts w:asciiTheme="majorHAnsi" w:hAnsiTheme="majorHAnsi"/>
        </w:rPr>
        <w:footnoteRef/>
      </w:r>
      <w:r w:rsidRPr="00CC1B59">
        <w:rPr>
          <w:rFonts w:asciiTheme="majorHAnsi" w:hAnsiTheme="majorHAnsi"/>
        </w:rPr>
        <w:t xml:space="preserve"> </w:t>
      </w:r>
      <w:proofErr w:type="gramStart"/>
      <w:r w:rsidRPr="00CC1B59">
        <w:rPr>
          <w:rFonts w:asciiTheme="majorHAnsi" w:eastAsiaTheme="majorEastAsia" w:hAnsiTheme="majorHAnsi"/>
        </w:rPr>
        <w:t>Ibid</w:t>
      </w:r>
      <w:r w:rsidRPr="00CC1B59">
        <w:rPr>
          <w:rFonts w:asciiTheme="majorHAnsi" w:hAnsiTheme="majorHAnsi"/>
        </w:rPr>
        <w:t xml:space="preserve"> 31-39.</w:t>
      </w:r>
      <w:proofErr w:type="gramEnd"/>
    </w:p>
  </w:footnote>
  <w:footnote w:id="10">
    <w:p w:rsidR="00A76281" w:rsidRPr="00CC1B59" w:rsidRDefault="00A76281" w:rsidP="00CC1B59">
      <w:pPr>
        <w:pStyle w:val="FootnoteText"/>
        <w:jc w:val="both"/>
        <w:rPr>
          <w:rFonts w:asciiTheme="majorHAnsi" w:hAnsiTheme="majorHAnsi"/>
        </w:rPr>
      </w:pPr>
      <w:r w:rsidRPr="00CC1B59">
        <w:rPr>
          <w:rStyle w:val="FootnoteReference"/>
          <w:rFonts w:asciiTheme="majorHAnsi" w:hAnsiTheme="majorHAnsi"/>
        </w:rPr>
        <w:footnoteRef/>
      </w:r>
      <w:r w:rsidRPr="00CC1B59">
        <w:rPr>
          <w:rFonts w:asciiTheme="majorHAnsi" w:hAnsiTheme="majorHAnsi"/>
        </w:rPr>
        <w:t xml:space="preserve"> </w:t>
      </w:r>
      <w:proofErr w:type="gramStart"/>
      <w:r w:rsidRPr="00CC1B59">
        <w:rPr>
          <w:rFonts w:asciiTheme="majorHAnsi" w:hAnsiTheme="majorHAnsi"/>
        </w:rPr>
        <w:t>Ibid 36;</w:t>
      </w:r>
      <w:r w:rsidR="00CC1B59" w:rsidRPr="00CC1B59">
        <w:rPr>
          <w:rFonts w:asciiTheme="majorHAnsi" w:hAnsiTheme="majorHAnsi"/>
        </w:rPr>
        <w:t xml:space="preserve"> </w:t>
      </w:r>
      <w:r w:rsidRPr="00CC1B59">
        <w:rPr>
          <w:rFonts w:asciiTheme="majorHAnsi" w:hAnsiTheme="majorHAnsi"/>
        </w:rPr>
        <w:t>38.</w:t>
      </w:r>
      <w:proofErr w:type="gramEnd"/>
    </w:p>
  </w:footnote>
  <w:footnote w:id="11">
    <w:p w:rsidR="00A76281" w:rsidRPr="00CC1B59" w:rsidRDefault="00A76281" w:rsidP="00CC1B59">
      <w:pPr>
        <w:pStyle w:val="FootnoteText"/>
        <w:jc w:val="both"/>
        <w:rPr>
          <w:rFonts w:asciiTheme="majorHAnsi" w:hAnsiTheme="majorHAnsi"/>
        </w:rPr>
      </w:pPr>
      <w:r w:rsidRPr="00CC1B59">
        <w:rPr>
          <w:rStyle w:val="FootnoteReference"/>
          <w:rFonts w:asciiTheme="majorHAnsi" w:hAnsiTheme="majorHAnsi"/>
        </w:rPr>
        <w:footnoteRef/>
      </w:r>
      <w:r w:rsidRPr="00CC1B59">
        <w:rPr>
          <w:rFonts w:asciiTheme="majorHAnsi" w:hAnsiTheme="majorHAnsi"/>
        </w:rPr>
        <w:t xml:space="preserve"> Under s 77 of the </w:t>
      </w:r>
      <w:r w:rsidRPr="00CC1B59">
        <w:rPr>
          <w:rFonts w:asciiTheme="majorHAnsi" w:hAnsiTheme="majorHAnsi"/>
          <w:i/>
        </w:rPr>
        <w:t xml:space="preserve">Powers of Attorney Act 2014 </w:t>
      </w:r>
      <w:r w:rsidRPr="00CC1B59">
        <w:rPr>
          <w:rFonts w:asciiTheme="majorHAnsi" w:hAnsiTheme="majorHAnsi"/>
        </w:rPr>
        <w:t>(VIC) VCAT has the power to order compensation for loss caused by an enduring attorney contravening the act, even where the principal has died, if the power of attorney is invalid or has been revoked, at the time of the contravention or otherwise.</w:t>
      </w:r>
      <w:r w:rsidRPr="00CC1B59">
        <w:rPr>
          <w:rFonts w:asciiTheme="majorHAnsi" w:hAnsiTheme="majorHAnsi"/>
          <w:sz w:val="24"/>
          <w:szCs w:val="24"/>
        </w:rPr>
        <w:t xml:space="preserve"> </w:t>
      </w:r>
    </w:p>
  </w:footnote>
  <w:footnote w:id="12">
    <w:p w:rsidR="00A76281" w:rsidRPr="00CC1B59" w:rsidRDefault="00A76281" w:rsidP="00CC1B59">
      <w:pPr>
        <w:pStyle w:val="FootnoteText"/>
        <w:jc w:val="both"/>
        <w:rPr>
          <w:rFonts w:asciiTheme="majorHAnsi" w:hAnsiTheme="majorHAnsi"/>
        </w:rPr>
      </w:pPr>
      <w:r w:rsidRPr="00CC1B59">
        <w:rPr>
          <w:rStyle w:val="FootnoteReference"/>
          <w:rFonts w:asciiTheme="majorHAnsi" w:hAnsiTheme="majorHAnsi"/>
        </w:rPr>
        <w:footnoteRef/>
      </w:r>
      <w:r w:rsidRPr="00CC1B59">
        <w:rPr>
          <w:rFonts w:asciiTheme="majorHAnsi" w:hAnsiTheme="majorHAnsi"/>
        </w:rPr>
        <w:t xml:space="preserve"> For example, fiduciaries must act in the best interest of their beneficiaries, and are precluded from undertaking action that might conflict with those interests: </w:t>
      </w:r>
      <w:r w:rsidRPr="00CC1B59">
        <w:rPr>
          <w:rFonts w:asciiTheme="majorHAnsi" w:hAnsiTheme="majorHAnsi"/>
          <w:i/>
          <w:iCs/>
        </w:rPr>
        <w:t xml:space="preserve">Chan v Zacharia </w:t>
      </w:r>
      <w:r w:rsidRPr="00CC1B59">
        <w:rPr>
          <w:rFonts w:asciiTheme="majorHAnsi" w:hAnsiTheme="majorHAnsi"/>
        </w:rPr>
        <w:t>(1984) 154 CLR 178;</w:t>
      </w:r>
      <w:r w:rsidRPr="00CC1B59">
        <w:rPr>
          <w:rFonts w:asciiTheme="majorHAnsi" w:hAnsiTheme="majorHAnsi"/>
          <w:i/>
          <w:iCs/>
        </w:rPr>
        <w:t xml:space="preserve"> </w:t>
      </w:r>
      <w:proofErr w:type="spellStart"/>
      <w:r w:rsidRPr="00CC1B59">
        <w:rPr>
          <w:rFonts w:asciiTheme="majorHAnsi" w:hAnsiTheme="majorHAnsi"/>
          <w:i/>
          <w:iCs/>
        </w:rPr>
        <w:t>Grimaldi</w:t>
      </w:r>
      <w:proofErr w:type="spellEnd"/>
      <w:r w:rsidRPr="00CC1B59">
        <w:rPr>
          <w:rFonts w:asciiTheme="majorHAnsi" w:hAnsiTheme="majorHAnsi"/>
          <w:i/>
          <w:iCs/>
        </w:rPr>
        <w:t xml:space="preserve"> v Chameleon Mining (2012) 200 FCR 296; Howard v FCT (2014) 253 CLR 83.</w:t>
      </w:r>
    </w:p>
  </w:footnote>
  <w:footnote w:id="13">
    <w:p w:rsidR="00A76281" w:rsidRPr="00CC1B59" w:rsidRDefault="00A76281" w:rsidP="00CC1B59">
      <w:pPr>
        <w:pStyle w:val="FootnoteText"/>
        <w:jc w:val="both"/>
        <w:rPr>
          <w:rFonts w:asciiTheme="majorHAnsi" w:hAnsiTheme="majorHAnsi"/>
        </w:rPr>
      </w:pPr>
      <w:r w:rsidRPr="00CC1B59">
        <w:rPr>
          <w:rStyle w:val="FootnoteReference"/>
          <w:rFonts w:asciiTheme="majorHAnsi" w:hAnsiTheme="majorHAnsi"/>
        </w:rPr>
        <w:footnoteRef/>
      </w:r>
      <w:r w:rsidRPr="00CC1B59">
        <w:rPr>
          <w:rFonts w:asciiTheme="majorHAnsi" w:hAnsiTheme="majorHAnsi"/>
        </w:rPr>
        <w:t xml:space="preserve"> See for example </w:t>
      </w:r>
      <w:r w:rsidRPr="00CC1B59">
        <w:rPr>
          <w:rFonts w:asciiTheme="majorHAnsi" w:hAnsiTheme="majorHAnsi"/>
          <w:i/>
        </w:rPr>
        <w:t xml:space="preserve">Trustee Act 1925 </w:t>
      </w:r>
      <w:r w:rsidRPr="00CC1B59">
        <w:rPr>
          <w:rFonts w:asciiTheme="majorHAnsi" w:hAnsiTheme="majorHAnsi"/>
        </w:rPr>
        <w:t xml:space="preserve">(ACT) s 14B. </w:t>
      </w:r>
    </w:p>
  </w:footnote>
  <w:footnote w:id="14">
    <w:p w:rsidR="00A76281" w:rsidRPr="00CC1B59" w:rsidRDefault="00A76281" w:rsidP="00CC1B59">
      <w:pPr>
        <w:pStyle w:val="FootnoteText"/>
        <w:jc w:val="both"/>
        <w:rPr>
          <w:rFonts w:asciiTheme="minorHAnsi" w:hAnsiTheme="minorHAnsi"/>
        </w:rPr>
      </w:pPr>
      <w:r w:rsidRPr="00CC1B59">
        <w:rPr>
          <w:rStyle w:val="FootnoteReference"/>
          <w:rFonts w:asciiTheme="majorHAnsi" w:hAnsiTheme="majorHAnsi"/>
        </w:rPr>
        <w:footnoteRef/>
      </w:r>
      <w:r w:rsidRPr="00CC1B59">
        <w:rPr>
          <w:rFonts w:asciiTheme="majorHAnsi" w:hAnsiTheme="majorHAnsi"/>
        </w:rPr>
        <w:t xml:space="preserve"> </w:t>
      </w:r>
      <w:r w:rsidRPr="00CC1B59">
        <w:rPr>
          <w:rFonts w:asciiTheme="majorHAnsi" w:eastAsiaTheme="majorEastAsia" w:hAnsiTheme="majorHAnsi"/>
        </w:rPr>
        <w:t>Legal Aid ACT</w:t>
      </w:r>
      <w:r w:rsidRPr="00CC1B59">
        <w:rPr>
          <w:rFonts w:asciiTheme="majorHAnsi" w:hAnsiTheme="majorHAnsi"/>
        </w:rPr>
        <w:t>, above n 1, 32.</w:t>
      </w:r>
    </w:p>
  </w:footnote>
  <w:footnote w:id="15">
    <w:p w:rsidR="00A76281" w:rsidRPr="00CC1B59" w:rsidRDefault="00A76281" w:rsidP="00CC1B59">
      <w:pPr>
        <w:pStyle w:val="FootnoteText"/>
        <w:jc w:val="both"/>
        <w:rPr>
          <w:rFonts w:asciiTheme="majorHAnsi" w:hAnsiTheme="majorHAnsi"/>
        </w:rPr>
      </w:pPr>
      <w:r w:rsidRPr="00CC1B59">
        <w:rPr>
          <w:rStyle w:val="FootnoteReference"/>
          <w:rFonts w:asciiTheme="majorHAnsi" w:hAnsiTheme="majorHAnsi"/>
        </w:rPr>
        <w:footnoteRef/>
      </w:r>
      <w:r w:rsidRPr="00CC1B59">
        <w:rPr>
          <w:rFonts w:asciiTheme="majorHAnsi" w:hAnsiTheme="majorHAnsi"/>
        </w:rPr>
        <w:t xml:space="preserve"> </w:t>
      </w:r>
      <w:r w:rsidRPr="00CC1B59">
        <w:rPr>
          <w:rFonts w:asciiTheme="majorHAnsi" w:hAnsiTheme="majorHAnsi"/>
          <w:color w:val="000000"/>
          <w:szCs w:val="18"/>
        </w:rPr>
        <w:t xml:space="preserve">Sarah Ellison et al, </w:t>
      </w:r>
      <w:r w:rsidRPr="00CC1B59">
        <w:rPr>
          <w:rFonts w:asciiTheme="majorHAnsi" w:hAnsiTheme="majorHAnsi"/>
          <w:i/>
          <w:iCs/>
          <w:color w:val="000000"/>
          <w:szCs w:val="18"/>
        </w:rPr>
        <w:t xml:space="preserve">Access to Justice and Legal Needs: The legal needs of older people in NSW </w:t>
      </w:r>
      <w:r w:rsidRPr="00CC1B59">
        <w:rPr>
          <w:rFonts w:asciiTheme="majorHAnsi" w:hAnsiTheme="majorHAnsi"/>
          <w:color w:val="000000"/>
          <w:szCs w:val="18"/>
        </w:rPr>
        <w:t>(Law and Justice Foundation</w:t>
      </w:r>
      <w:r w:rsidRPr="00CC1B59">
        <w:rPr>
          <w:rFonts w:asciiTheme="majorHAnsi" w:hAnsiTheme="majorHAnsi"/>
          <w:color w:val="000000"/>
          <w:szCs w:val="18"/>
        </w:rPr>
        <w:br/>
        <w:t>of NSW, 2004), 269.</w:t>
      </w:r>
    </w:p>
  </w:footnote>
  <w:footnote w:id="16">
    <w:p w:rsidR="00A76281" w:rsidRPr="00CC1B59" w:rsidRDefault="00A76281">
      <w:pPr>
        <w:pStyle w:val="FootnoteText"/>
        <w:rPr>
          <w:rFonts w:asciiTheme="majorHAnsi" w:hAnsiTheme="majorHAnsi"/>
        </w:rPr>
      </w:pPr>
      <w:r w:rsidRPr="00CC1B59">
        <w:rPr>
          <w:rStyle w:val="FootnoteReference"/>
          <w:rFonts w:asciiTheme="majorHAnsi" w:hAnsiTheme="majorHAnsi"/>
        </w:rPr>
        <w:footnoteRef/>
      </w:r>
      <w:r w:rsidRPr="00CC1B59">
        <w:rPr>
          <w:rFonts w:asciiTheme="majorHAnsi" w:hAnsiTheme="majorHAnsi"/>
        </w:rPr>
        <w:t xml:space="preserve"> </w:t>
      </w:r>
      <w:r w:rsidRPr="00CC1B59">
        <w:rPr>
          <w:rFonts w:asciiTheme="majorHAnsi" w:eastAsiaTheme="majorEastAsia" w:hAnsiTheme="majorHAnsi"/>
        </w:rPr>
        <w:t>Legal Aid ACT</w:t>
      </w:r>
      <w:r w:rsidRPr="00CC1B59">
        <w:rPr>
          <w:rFonts w:asciiTheme="majorHAnsi" w:hAnsiTheme="majorHAnsi"/>
        </w:rPr>
        <w:t>, above n 1, 16.</w:t>
      </w:r>
    </w:p>
  </w:footnote>
  <w:footnote w:id="17">
    <w:p w:rsidR="00A76281" w:rsidRDefault="00A76281">
      <w:pPr>
        <w:pStyle w:val="FootnoteText"/>
      </w:pPr>
      <w:r w:rsidRPr="00CC1B59">
        <w:rPr>
          <w:rStyle w:val="FootnoteReference"/>
          <w:rFonts w:asciiTheme="majorHAnsi" w:hAnsiTheme="majorHAnsi"/>
        </w:rPr>
        <w:footnoteRef/>
      </w:r>
      <w:r w:rsidRPr="00CC1B59">
        <w:rPr>
          <w:rFonts w:asciiTheme="majorHAnsi" w:hAnsiTheme="majorHAnsi"/>
        </w:rPr>
        <w:t xml:space="preserve"> </w:t>
      </w:r>
      <w:proofErr w:type="gramStart"/>
      <w:r w:rsidRPr="00CC1B59">
        <w:rPr>
          <w:rFonts w:asciiTheme="majorHAnsi" w:hAnsiTheme="majorHAnsi"/>
        </w:rPr>
        <w:t>Ibid 33.</w:t>
      </w:r>
      <w:proofErr w:type="gramEnd"/>
    </w:p>
  </w:footnote>
  <w:footnote w:id="18">
    <w:p w:rsidR="00A67891" w:rsidRPr="00CC1B59" w:rsidRDefault="00A67891" w:rsidP="00CC1B59">
      <w:pPr>
        <w:pStyle w:val="FootnoteText"/>
        <w:jc w:val="both"/>
        <w:rPr>
          <w:rFonts w:asciiTheme="majorHAnsi" w:hAnsiTheme="majorHAnsi"/>
        </w:rPr>
      </w:pPr>
      <w:r w:rsidRPr="00CC1B59">
        <w:rPr>
          <w:rStyle w:val="FootnoteReference"/>
          <w:rFonts w:asciiTheme="majorHAnsi" w:hAnsiTheme="majorHAnsi"/>
        </w:rPr>
        <w:footnoteRef/>
      </w:r>
      <w:r w:rsidRPr="00CC1B59">
        <w:rPr>
          <w:rFonts w:asciiTheme="majorHAnsi" w:hAnsiTheme="majorHAnsi"/>
        </w:rPr>
        <w:t xml:space="preserve"> </w:t>
      </w:r>
      <w:r w:rsidRPr="00CC1B59">
        <w:rPr>
          <w:rFonts w:asciiTheme="majorHAnsi" w:hAnsiTheme="majorHAnsi"/>
          <w:i/>
        </w:rPr>
        <w:t>Family Violence Bill 2016</w:t>
      </w:r>
      <w:r w:rsidRPr="00CC1B59">
        <w:rPr>
          <w:rFonts w:asciiTheme="majorHAnsi" w:hAnsiTheme="majorHAnsi"/>
        </w:rPr>
        <w:t xml:space="preserve"> (ACT) s 11(1</w:t>
      </w:r>
      <w:proofErr w:type="gramStart"/>
      <w:r w:rsidRPr="00CC1B59">
        <w:rPr>
          <w:rFonts w:asciiTheme="majorHAnsi" w:hAnsiTheme="majorHAnsi"/>
        </w:rPr>
        <w:t>)(</w:t>
      </w:r>
      <w:proofErr w:type="gramEnd"/>
      <w:r w:rsidRPr="00CC1B59">
        <w:rPr>
          <w:rFonts w:asciiTheme="majorHAnsi" w:hAnsiTheme="majorHAnsi"/>
        </w:rPr>
        <w:t>c)(iv).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81" w:rsidRDefault="00A76281">
    <w:pPr>
      <w:pStyle w:val="Header"/>
    </w:pPr>
    <w:r>
      <w:rPr>
        <w:noProof/>
        <w:lang w:eastAsia="en-AU"/>
      </w:rPr>
      <w:drawing>
        <wp:anchor distT="0" distB="0" distL="114300" distR="114300" simplePos="0" relativeHeight="251659776" behindDoc="1" locked="0" layoutInCell="1" allowOverlap="1">
          <wp:simplePos x="0" y="0"/>
          <wp:positionH relativeFrom="page">
            <wp:posOffset>-1247775</wp:posOffset>
          </wp:positionH>
          <wp:positionV relativeFrom="topMargin">
            <wp:posOffset>145415</wp:posOffset>
          </wp:positionV>
          <wp:extent cx="2781235" cy="554990"/>
          <wp:effectExtent l="0" t="0" r="635" b="0"/>
          <wp:wrapNone/>
          <wp:docPr id="14" name="Picture 15" descr="top_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_L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1235" cy="55499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81" w:rsidRDefault="00A76281">
    <w:pPr>
      <w:pStyle w:val="Header"/>
    </w:pPr>
  </w:p>
  <w:p w:rsidR="00A76281" w:rsidRDefault="00A76281">
    <w:pPr>
      <w:pStyle w:val="Header"/>
    </w:pPr>
  </w:p>
  <w:p w:rsidR="00A76281" w:rsidRDefault="00A76281">
    <w:pPr>
      <w:pStyle w:val="Header"/>
    </w:pPr>
  </w:p>
  <w:p w:rsidR="00A76281" w:rsidRDefault="00A76281">
    <w:pPr>
      <w:pStyle w:val="Header"/>
    </w:pPr>
  </w:p>
  <w:p w:rsidR="00A76281" w:rsidRDefault="00A76281">
    <w:pPr>
      <w:pStyle w:val="Header"/>
    </w:pPr>
  </w:p>
  <w:p w:rsidR="00A76281" w:rsidRDefault="00A76281">
    <w:pPr>
      <w:pStyle w:val="Header"/>
    </w:pPr>
  </w:p>
  <w:p w:rsidR="00A76281" w:rsidRDefault="00A76281">
    <w:pPr>
      <w:pStyle w:val="Header"/>
    </w:pPr>
  </w:p>
  <w:p w:rsidR="00A76281" w:rsidRDefault="00A76281">
    <w:pPr>
      <w:pStyle w:val="Header"/>
    </w:pPr>
    <w:r>
      <w:rPr>
        <w:noProof/>
        <w:lang w:eastAsia="en-AU"/>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83170" cy="1513205"/>
          <wp:effectExtent l="0" t="0" r="0" b="0"/>
          <wp:wrapNone/>
          <wp:docPr id="15" name="Picture 15" descr="top_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_L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83170" cy="151320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7EFD"/>
    <w:multiLevelType w:val="hybridMultilevel"/>
    <w:tmpl w:val="45EE0EA8"/>
    <w:lvl w:ilvl="0" w:tplc="60B0BAC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166C543A"/>
    <w:multiLevelType w:val="hybridMultilevel"/>
    <w:tmpl w:val="B504DE90"/>
    <w:lvl w:ilvl="0" w:tplc="D8BE7464">
      <w:start w:val="1"/>
      <w:numFmt w:val="lowerLetter"/>
      <w:lvlText w:val="(%1)"/>
      <w:lvlJc w:val="left"/>
      <w:pPr>
        <w:ind w:left="1091" w:hanging="360"/>
      </w:pPr>
      <w:rPr>
        <w:rFonts w:hint="default"/>
        <w:b w:val="0"/>
        <w:color w:val="000000"/>
      </w:r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2">
    <w:nsid w:val="17460873"/>
    <w:multiLevelType w:val="hybridMultilevel"/>
    <w:tmpl w:val="B546C870"/>
    <w:lvl w:ilvl="0" w:tplc="BBAEAF44">
      <w:start w:val="8"/>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D6090C"/>
    <w:multiLevelType w:val="hybridMultilevel"/>
    <w:tmpl w:val="5A340186"/>
    <w:lvl w:ilvl="0" w:tplc="FBA81FB2">
      <w:start w:val="1"/>
      <w:numFmt w:val="lowerLetter"/>
      <w:lvlText w:val="(%1)"/>
      <w:lvlJc w:val="left"/>
      <w:pPr>
        <w:ind w:left="1069" w:hanging="360"/>
      </w:pPr>
      <w:rPr>
        <w:rFonts w:hint="default"/>
        <w:color w:val="000000"/>
        <w:sz w:val="24"/>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nsid w:val="31570981"/>
    <w:multiLevelType w:val="hybridMultilevel"/>
    <w:tmpl w:val="78ACFF8E"/>
    <w:lvl w:ilvl="0" w:tplc="2842E94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38FE31F0"/>
    <w:multiLevelType w:val="hybridMultilevel"/>
    <w:tmpl w:val="1A826CF0"/>
    <w:lvl w:ilvl="0" w:tplc="D1DC68D4">
      <w:start w:val="1"/>
      <w:numFmt w:val="lowerLetter"/>
      <w:lvlText w:val="(%1)"/>
      <w:lvlJc w:val="left"/>
      <w:pPr>
        <w:ind w:left="1800" w:hanging="360"/>
      </w:pPr>
      <w:rPr>
        <w:rFonts w:hint="default"/>
        <w:b w:val="0"/>
        <w:color w:val="000000"/>
        <w:sz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39A07411"/>
    <w:multiLevelType w:val="hybridMultilevel"/>
    <w:tmpl w:val="EFDA1CFA"/>
    <w:lvl w:ilvl="0" w:tplc="5C12A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99E0319"/>
    <w:multiLevelType w:val="hybridMultilevel"/>
    <w:tmpl w:val="2F66D4F2"/>
    <w:lvl w:ilvl="0" w:tplc="203E527A">
      <w:start w:val="5"/>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31C1C12"/>
    <w:multiLevelType w:val="hybridMultilevel"/>
    <w:tmpl w:val="68D4EC84"/>
    <w:lvl w:ilvl="0" w:tplc="0A8E26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E3320E9"/>
    <w:multiLevelType w:val="multilevel"/>
    <w:tmpl w:val="E0B2B5F2"/>
    <w:lvl w:ilvl="0">
      <w:start w:val="2"/>
      <w:numFmt w:val="decimal"/>
      <w:lvlText w:val="%1."/>
      <w:lvlJc w:val="left"/>
      <w:pPr>
        <w:ind w:left="720" w:hanging="360"/>
      </w:pPr>
      <w:rPr>
        <w:rFonts w:hint="default"/>
        <w:color w:val="ED7D31" w:themeColor="accent2"/>
        <w:sz w:val="3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06A1C62"/>
    <w:multiLevelType w:val="hybridMultilevel"/>
    <w:tmpl w:val="428A2818"/>
    <w:lvl w:ilvl="0" w:tplc="34F2703C">
      <w:start w:val="1"/>
      <w:numFmt w:val="lowerLetter"/>
      <w:lvlText w:val="(%1)"/>
      <w:lvlJc w:val="left"/>
      <w:pPr>
        <w:ind w:left="1069" w:hanging="360"/>
      </w:pPr>
      <w:rPr>
        <w:rFonts w:hint="default"/>
        <w:color w:val="000000"/>
        <w:sz w:val="24"/>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nsid w:val="60D75AFE"/>
    <w:multiLevelType w:val="multilevel"/>
    <w:tmpl w:val="057E1EFC"/>
    <w:lvl w:ilvl="0">
      <w:start w:val="1"/>
      <w:numFmt w:val="decimal"/>
      <w:lvlText w:val="%1."/>
      <w:lvlJc w:val="left"/>
      <w:pPr>
        <w:ind w:left="360" w:hanging="360"/>
      </w:pPr>
      <w:rPr>
        <w:rFonts w:hint="default"/>
      </w:rPr>
    </w:lvl>
    <w:lvl w:ilvl="1">
      <w:start w:val="1"/>
      <w:numFmt w:val="decimal"/>
      <w:pStyle w:val="subpara"/>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6F2A7FF6"/>
    <w:multiLevelType w:val="hybridMultilevel"/>
    <w:tmpl w:val="60F8610E"/>
    <w:lvl w:ilvl="0" w:tplc="6FD0067E">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F9E5AD5"/>
    <w:multiLevelType w:val="hybridMultilevel"/>
    <w:tmpl w:val="E7A8B7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4D02014"/>
    <w:multiLevelType w:val="multilevel"/>
    <w:tmpl w:val="982A2B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7"/>
  </w:num>
  <w:num w:numId="4">
    <w:abstractNumId w:val="2"/>
  </w:num>
  <w:num w:numId="5">
    <w:abstractNumId w:val="0"/>
  </w:num>
  <w:num w:numId="6">
    <w:abstractNumId w:val="4"/>
  </w:num>
  <w:num w:numId="7">
    <w:abstractNumId w:val="5"/>
  </w:num>
  <w:num w:numId="8">
    <w:abstractNumId w:val="3"/>
  </w:num>
  <w:num w:numId="9">
    <w:abstractNumId w:val="10"/>
  </w:num>
  <w:num w:numId="10">
    <w:abstractNumId w:val="1"/>
  </w:num>
  <w:num w:numId="11">
    <w:abstractNumId w:val="9"/>
  </w:num>
  <w:num w:numId="12">
    <w:abstractNumId w:val="13"/>
  </w:num>
  <w:num w:numId="13">
    <w:abstractNumId w:val="14"/>
  </w:num>
  <w:num w:numId="14">
    <w:abstractNumId w:val="6"/>
  </w:num>
  <w:num w:numId="15">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rsids>
    <w:rsidRoot w:val="006F2174"/>
    <w:rsid w:val="00003072"/>
    <w:rsid w:val="00004096"/>
    <w:rsid w:val="0000571A"/>
    <w:rsid w:val="000100AA"/>
    <w:rsid w:val="00011358"/>
    <w:rsid w:val="000124A8"/>
    <w:rsid w:val="0002297C"/>
    <w:rsid w:val="000320C6"/>
    <w:rsid w:val="000339F1"/>
    <w:rsid w:val="000360F6"/>
    <w:rsid w:val="0003740F"/>
    <w:rsid w:val="00037A2E"/>
    <w:rsid w:val="0004090E"/>
    <w:rsid w:val="00040936"/>
    <w:rsid w:val="00044DB6"/>
    <w:rsid w:val="00046C16"/>
    <w:rsid w:val="00051886"/>
    <w:rsid w:val="00056C80"/>
    <w:rsid w:val="00057533"/>
    <w:rsid w:val="0006196B"/>
    <w:rsid w:val="00062252"/>
    <w:rsid w:val="0006569F"/>
    <w:rsid w:val="00072967"/>
    <w:rsid w:val="00076B80"/>
    <w:rsid w:val="00081190"/>
    <w:rsid w:val="00082D7C"/>
    <w:rsid w:val="00083384"/>
    <w:rsid w:val="000843DB"/>
    <w:rsid w:val="00091B2F"/>
    <w:rsid w:val="000923B8"/>
    <w:rsid w:val="00095754"/>
    <w:rsid w:val="000A0B41"/>
    <w:rsid w:val="000A17D9"/>
    <w:rsid w:val="000B45D3"/>
    <w:rsid w:val="000B58DB"/>
    <w:rsid w:val="000B6AE8"/>
    <w:rsid w:val="000B711D"/>
    <w:rsid w:val="000C08BC"/>
    <w:rsid w:val="000C45CD"/>
    <w:rsid w:val="000C52EB"/>
    <w:rsid w:val="000C5593"/>
    <w:rsid w:val="000C783F"/>
    <w:rsid w:val="000D00B6"/>
    <w:rsid w:val="000D0270"/>
    <w:rsid w:val="000D1336"/>
    <w:rsid w:val="000D68E9"/>
    <w:rsid w:val="000D6CA8"/>
    <w:rsid w:val="000E2641"/>
    <w:rsid w:val="000E5353"/>
    <w:rsid w:val="000E6B27"/>
    <w:rsid w:val="000E6E76"/>
    <w:rsid w:val="000E7F36"/>
    <w:rsid w:val="000F144B"/>
    <w:rsid w:val="000F1574"/>
    <w:rsid w:val="000F25EC"/>
    <w:rsid w:val="000F3891"/>
    <w:rsid w:val="000F416E"/>
    <w:rsid w:val="000F4F46"/>
    <w:rsid w:val="000F5839"/>
    <w:rsid w:val="000F6ADF"/>
    <w:rsid w:val="000F6BBA"/>
    <w:rsid w:val="0010155A"/>
    <w:rsid w:val="00103D1A"/>
    <w:rsid w:val="00104728"/>
    <w:rsid w:val="00106BFB"/>
    <w:rsid w:val="00106D4B"/>
    <w:rsid w:val="001110DC"/>
    <w:rsid w:val="001112F6"/>
    <w:rsid w:val="0011157B"/>
    <w:rsid w:val="00114072"/>
    <w:rsid w:val="00126BD8"/>
    <w:rsid w:val="00126F39"/>
    <w:rsid w:val="0013156D"/>
    <w:rsid w:val="00132D87"/>
    <w:rsid w:val="00132DC8"/>
    <w:rsid w:val="00132E3B"/>
    <w:rsid w:val="0013395A"/>
    <w:rsid w:val="001376A9"/>
    <w:rsid w:val="00141073"/>
    <w:rsid w:val="00144D1B"/>
    <w:rsid w:val="001512F6"/>
    <w:rsid w:val="00152A13"/>
    <w:rsid w:val="001544C8"/>
    <w:rsid w:val="00155A8E"/>
    <w:rsid w:val="00156D4F"/>
    <w:rsid w:val="001620F1"/>
    <w:rsid w:val="00162344"/>
    <w:rsid w:val="0016244C"/>
    <w:rsid w:val="001656DE"/>
    <w:rsid w:val="00166C13"/>
    <w:rsid w:val="00171BA4"/>
    <w:rsid w:val="001748E3"/>
    <w:rsid w:val="00174DB9"/>
    <w:rsid w:val="00181636"/>
    <w:rsid w:val="001849C9"/>
    <w:rsid w:val="00185E85"/>
    <w:rsid w:val="001860E8"/>
    <w:rsid w:val="00186367"/>
    <w:rsid w:val="00186B27"/>
    <w:rsid w:val="00186E2C"/>
    <w:rsid w:val="00187043"/>
    <w:rsid w:val="00187C0A"/>
    <w:rsid w:val="001915DB"/>
    <w:rsid w:val="001936C8"/>
    <w:rsid w:val="001950E1"/>
    <w:rsid w:val="00197A39"/>
    <w:rsid w:val="001A3A3B"/>
    <w:rsid w:val="001B0111"/>
    <w:rsid w:val="001B0C49"/>
    <w:rsid w:val="001B2B1E"/>
    <w:rsid w:val="001B2B99"/>
    <w:rsid w:val="001B3494"/>
    <w:rsid w:val="001B4E82"/>
    <w:rsid w:val="001B5CAC"/>
    <w:rsid w:val="001C0B50"/>
    <w:rsid w:val="001C2073"/>
    <w:rsid w:val="001C3BBE"/>
    <w:rsid w:val="001C4762"/>
    <w:rsid w:val="001C548F"/>
    <w:rsid w:val="001C59DF"/>
    <w:rsid w:val="001C6589"/>
    <w:rsid w:val="001C72F6"/>
    <w:rsid w:val="001D15E9"/>
    <w:rsid w:val="001D1CFF"/>
    <w:rsid w:val="001D2E83"/>
    <w:rsid w:val="001E3028"/>
    <w:rsid w:val="001E388F"/>
    <w:rsid w:val="001E3F9F"/>
    <w:rsid w:val="001F5604"/>
    <w:rsid w:val="001F6608"/>
    <w:rsid w:val="002001F8"/>
    <w:rsid w:val="00200712"/>
    <w:rsid w:val="00201B67"/>
    <w:rsid w:val="0020234C"/>
    <w:rsid w:val="002041EA"/>
    <w:rsid w:val="00204726"/>
    <w:rsid w:val="00211E81"/>
    <w:rsid w:val="00213A82"/>
    <w:rsid w:val="00214F1B"/>
    <w:rsid w:val="00215D45"/>
    <w:rsid w:val="0021642B"/>
    <w:rsid w:val="00217F20"/>
    <w:rsid w:val="0022037D"/>
    <w:rsid w:val="0022150A"/>
    <w:rsid w:val="00221C32"/>
    <w:rsid w:val="00221F71"/>
    <w:rsid w:val="00223B76"/>
    <w:rsid w:val="002268A9"/>
    <w:rsid w:val="00227650"/>
    <w:rsid w:val="002342C6"/>
    <w:rsid w:val="00236F91"/>
    <w:rsid w:val="0024174B"/>
    <w:rsid w:val="0024183D"/>
    <w:rsid w:val="002426CD"/>
    <w:rsid w:val="00242A32"/>
    <w:rsid w:val="00242B9E"/>
    <w:rsid w:val="00244161"/>
    <w:rsid w:val="00244635"/>
    <w:rsid w:val="00247789"/>
    <w:rsid w:val="00250D0F"/>
    <w:rsid w:val="00253823"/>
    <w:rsid w:val="002552E9"/>
    <w:rsid w:val="00255776"/>
    <w:rsid w:val="002565B1"/>
    <w:rsid w:val="002565B9"/>
    <w:rsid w:val="00263A91"/>
    <w:rsid w:val="00263DF3"/>
    <w:rsid w:val="00271AD2"/>
    <w:rsid w:val="00275542"/>
    <w:rsid w:val="00277CB0"/>
    <w:rsid w:val="00280AD7"/>
    <w:rsid w:val="002821C6"/>
    <w:rsid w:val="00285DEB"/>
    <w:rsid w:val="002863BC"/>
    <w:rsid w:val="002907D0"/>
    <w:rsid w:val="00291FF0"/>
    <w:rsid w:val="0029282D"/>
    <w:rsid w:val="002965A7"/>
    <w:rsid w:val="00297011"/>
    <w:rsid w:val="002A19E1"/>
    <w:rsid w:val="002A6C53"/>
    <w:rsid w:val="002A7442"/>
    <w:rsid w:val="002B1B14"/>
    <w:rsid w:val="002B6CD5"/>
    <w:rsid w:val="002B7C26"/>
    <w:rsid w:val="002C230B"/>
    <w:rsid w:val="002C25B7"/>
    <w:rsid w:val="002C32B6"/>
    <w:rsid w:val="002C6883"/>
    <w:rsid w:val="002C773A"/>
    <w:rsid w:val="002D0E08"/>
    <w:rsid w:val="002D489F"/>
    <w:rsid w:val="002D50DD"/>
    <w:rsid w:val="002D5D67"/>
    <w:rsid w:val="002D6D84"/>
    <w:rsid w:val="002D6E8A"/>
    <w:rsid w:val="002E171D"/>
    <w:rsid w:val="002E2FD2"/>
    <w:rsid w:val="002E35A5"/>
    <w:rsid w:val="002E44E5"/>
    <w:rsid w:val="002E4B45"/>
    <w:rsid w:val="002F1E2C"/>
    <w:rsid w:val="002F2B55"/>
    <w:rsid w:val="002F4F44"/>
    <w:rsid w:val="00300E7F"/>
    <w:rsid w:val="00300F57"/>
    <w:rsid w:val="003014DC"/>
    <w:rsid w:val="0030274B"/>
    <w:rsid w:val="0030298A"/>
    <w:rsid w:val="00302D45"/>
    <w:rsid w:val="0030371E"/>
    <w:rsid w:val="0030623E"/>
    <w:rsid w:val="00306F4F"/>
    <w:rsid w:val="00307582"/>
    <w:rsid w:val="00310D12"/>
    <w:rsid w:val="003144DF"/>
    <w:rsid w:val="00314F6D"/>
    <w:rsid w:val="0031578A"/>
    <w:rsid w:val="00320B9C"/>
    <w:rsid w:val="00320CDB"/>
    <w:rsid w:val="00322884"/>
    <w:rsid w:val="00325248"/>
    <w:rsid w:val="003252B9"/>
    <w:rsid w:val="00325D22"/>
    <w:rsid w:val="00326F20"/>
    <w:rsid w:val="0032712F"/>
    <w:rsid w:val="00327F28"/>
    <w:rsid w:val="00330385"/>
    <w:rsid w:val="00332164"/>
    <w:rsid w:val="00335D55"/>
    <w:rsid w:val="003400BA"/>
    <w:rsid w:val="003448C0"/>
    <w:rsid w:val="00346DEF"/>
    <w:rsid w:val="00347E5E"/>
    <w:rsid w:val="00350970"/>
    <w:rsid w:val="00350F50"/>
    <w:rsid w:val="00352976"/>
    <w:rsid w:val="00352D78"/>
    <w:rsid w:val="00352F56"/>
    <w:rsid w:val="003530C0"/>
    <w:rsid w:val="00355F8B"/>
    <w:rsid w:val="00356454"/>
    <w:rsid w:val="0035675E"/>
    <w:rsid w:val="00361860"/>
    <w:rsid w:val="00364B12"/>
    <w:rsid w:val="0036556D"/>
    <w:rsid w:val="00370C92"/>
    <w:rsid w:val="00370F6B"/>
    <w:rsid w:val="00371825"/>
    <w:rsid w:val="00371BC8"/>
    <w:rsid w:val="00377497"/>
    <w:rsid w:val="00382EE9"/>
    <w:rsid w:val="00384AA5"/>
    <w:rsid w:val="00392EC8"/>
    <w:rsid w:val="0039321D"/>
    <w:rsid w:val="00397271"/>
    <w:rsid w:val="003A17AD"/>
    <w:rsid w:val="003A5838"/>
    <w:rsid w:val="003A6016"/>
    <w:rsid w:val="003B04F3"/>
    <w:rsid w:val="003B23AB"/>
    <w:rsid w:val="003B304C"/>
    <w:rsid w:val="003B3732"/>
    <w:rsid w:val="003B3E09"/>
    <w:rsid w:val="003B422E"/>
    <w:rsid w:val="003B606F"/>
    <w:rsid w:val="003C0214"/>
    <w:rsid w:val="003C049D"/>
    <w:rsid w:val="003C3119"/>
    <w:rsid w:val="003C326F"/>
    <w:rsid w:val="003C64D3"/>
    <w:rsid w:val="003C685C"/>
    <w:rsid w:val="003C74FD"/>
    <w:rsid w:val="003D0513"/>
    <w:rsid w:val="003D2678"/>
    <w:rsid w:val="003D43D6"/>
    <w:rsid w:val="003D4F48"/>
    <w:rsid w:val="003D51B9"/>
    <w:rsid w:val="003D55CF"/>
    <w:rsid w:val="003D66D7"/>
    <w:rsid w:val="003E2CC4"/>
    <w:rsid w:val="003E465C"/>
    <w:rsid w:val="003E517C"/>
    <w:rsid w:val="003E56E7"/>
    <w:rsid w:val="003F0CDE"/>
    <w:rsid w:val="003F12F6"/>
    <w:rsid w:val="003F141B"/>
    <w:rsid w:val="003F1EA1"/>
    <w:rsid w:val="003F2660"/>
    <w:rsid w:val="003F6232"/>
    <w:rsid w:val="0040029D"/>
    <w:rsid w:val="00404710"/>
    <w:rsid w:val="00404A7E"/>
    <w:rsid w:val="004067CA"/>
    <w:rsid w:val="00406923"/>
    <w:rsid w:val="004073BD"/>
    <w:rsid w:val="004101B7"/>
    <w:rsid w:val="00410C75"/>
    <w:rsid w:val="00413AD2"/>
    <w:rsid w:val="00413C89"/>
    <w:rsid w:val="00413FEC"/>
    <w:rsid w:val="00416A07"/>
    <w:rsid w:val="004213E8"/>
    <w:rsid w:val="00423666"/>
    <w:rsid w:val="00423FEE"/>
    <w:rsid w:val="00425E7B"/>
    <w:rsid w:val="00427D9F"/>
    <w:rsid w:val="004310D5"/>
    <w:rsid w:val="00431260"/>
    <w:rsid w:val="00436DA2"/>
    <w:rsid w:val="00437CE2"/>
    <w:rsid w:val="004404C2"/>
    <w:rsid w:val="00441018"/>
    <w:rsid w:val="00441D2B"/>
    <w:rsid w:val="0044216C"/>
    <w:rsid w:val="004447C3"/>
    <w:rsid w:val="004450E4"/>
    <w:rsid w:val="0045019B"/>
    <w:rsid w:val="00450302"/>
    <w:rsid w:val="004518FB"/>
    <w:rsid w:val="00452021"/>
    <w:rsid w:val="00452636"/>
    <w:rsid w:val="00455739"/>
    <w:rsid w:val="00460BD3"/>
    <w:rsid w:val="00463960"/>
    <w:rsid w:val="00464CCF"/>
    <w:rsid w:val="004651EB"/>
    <w:rsid w:val="00470D4F"/>
    <w:rsid w:val="00470F2B"/>
    <w:rsid w:val="00473D49"/>
    <w:rsid w:val="00474C11"/>
    <w:rsid w:val="00477C22"/>
    <w:rsid w:val="00481A0D"/>
    <w:rsid w:val="004836E2"/>
    <w:rsid w:val="00483B21"/>
    <w:rsid w:val="00483FA6"/>
    <w:rsid w:val="00492105"/>
    <w:rsid w:val="00492F54"/>
    <w:rsid w:val="00494610"/>
    <w:rsid w:val="00495CB7"/>
    <w:rsid w:val="00496708"/>
    <w:rsid w:val="004A2173"/>
    <w:rsid w:val="004A446D"/>
    <w:rsid w:val="004B054D"/>
    <w:rsid w:val="004B1375"/>
    <w:rsid w:val="004B1DEF"/>
    <w:rsid w:val="004B32ED"/>
    <w:rsid w:val="004B3E31"/>
    <w:rsid w:val="004B4A18"/>
    <w:rsid w:val="004B4CB9"/>
    <w:rsid w:val="004B7BCE"/>
    <w:rsid w:val="004B7FB4"/>
    <w:rsid w:val="004C05AF"/>
    <w:rsid w:val="004C25EA"/>
    <w:rsid w:val="004C67ED"/>
    <w:rsid w:val="004D0F0F"/>
    <w:rsid w:val="004D1DFA"/>
    <w:rsid w:val="004D20C1"/>
    <w:rsid w:val="004D2C00"/>
    <w:rsid w:val="004D4274"/>
    <w:rsid w:val="004D5FFE"/>
    <w:rsid w:val="004D6D96"/>
    <w:rsid w:val="004E6416"/>
    <w:rsid w:val="004E7B86"/>
    <w:rsid w:val="004F05EF"/>
    <w:rsid w:val="004F1C2E"/>
    <w:rsid w:val="004F455B"/>
    <w:rsid w:val="00501336"/>
    <w:rsid w:val="00501D30"/>
    <w:rsid w:val="005027C9"/>
    <w:rsid w:val="005038BC"/>
    <w:rsid w:val="00504E90"/>
    <w:rsid w:val="00504F49"/>
    <w:rsid w:val="005051C3"/>
    <w:rsid w:val="00510301"/>
    <w:rsid w:val="005104B9"/>
    <w:rsid w:val="00510760"/>
    <w:rsid w:val="00511D71"/>
    <w:rsid w:val="00513416"/>
    <w:rsid w:val="005152FF"/>
    <w:rsid w:val="00516B25"/>
    <w:rsid w:val="00517330"/>
    <w:rsid w:val="005223D2"/>
    <w:rsid w:val="005266BE"/>
    <w:rsid w:val="00531962"/>
    <w:rsid w:val="00532793"/>
    <w:rsid w:val="00533BB9"/>
    <w:rsid w:val="00533F9B"/>
    <w:rsid w:val="005340A5"/>
    <w:rsid w:val="00536A71"/>
    <w:rsid w:val="00540D68"/>
    <w:rsid w:val="00541A36"/>
    <w:rsid w:val="00541DB8"/>
    <w:rsid w:val="00542F8E"/>
    <w:rsid w:val="005434D1"/>
    <w:rsid w:val="00543786"/>
    <w:rsid w:val="00543D94"/>
    <w:rsid w:val="00544411"/>
    <w:rsid w:val="00544AD2"/>
    <w:rsid w:val="0054773C"/>
    <w:rsid w:val="00551B16"/>
    <w:rsid w:val="00553A69"/>
    <w:rsid w:val="00555A7D"/>
    <w:rsid w:val="00556BD7"/>
    <w:rsid w:val="0055799D"/>
    <w:rsid w:val="00557D34"/>
    <w:rsid w:val="0056002E"/>
    <w:rsid w:val="0056428B"/>
    <w:rsid w:val="00566EA0"/>
    <w:rsid w:val="005670D2"/>
    <w:rsid w:val="0056751D"/>
    <w:rsid w:val="005762AD"/>
    <w:rsid w:val="00580147"/>
    <w:rsid w:val="00580BC6"/>
    <w:rsid w:val="00580FB4"/>
    <w:rsid w:val="00584294"/>
    <w:rsid w:val="00586057"/>
    <w:rsid w:val="0058622F"/>
    <w:rsid w:val="00587BE0"/>
    <w:rsid w:val="00590214"/>
    <w:rsid w:val="00590F17"/>
    <w:rsid w:val="005919CF"/>
    <w:rsid w:val="00593747"/>
    <w:rsid w:val="00595DA1"/>
    <w:rsid w:val="00595DE5"/>
    <w:rsid w:val="00597023"/>
    <w:rsid w:val="005979EE"/>
    <w:rsid w:val="005A50F6"/>
    <w:rsid w:val="005A7036"/>
    <w:rsid w:val="005B0789"/>
    <w:rsid w:val="005B0B4C"/>
    <w:rsid w:val="005B3629"/>
    <w:rsid w:val="005B4610"/>
    <w:rsid w:val="005B5089"/>
    <w:rsid w:val="005B59C4"/>
    <w:rsid w:val="005B62B9"/>
    <w:rsid w:val="005B7DAE"/>
    <w:rsid w:val="005C1A7C"/>
    <w:rsid w:val="005C1AA1"/>
    <w:rsid w:val="005C425D"/>
    <w:rsid w:val="005D0C2B"/>
    <w:rsid w:val="005D13F9"/>
    <w:rsid w:val="005D41A4"/>
    <w:rsid w:val="005D554E"/>
    <w:rsid w:val="005D5A67"/>
    <w:rsid w:val="005D79D5"/>
    <w:rsid w:val="005E0268"/>
    <w:rsid w:val="005E4A1D"/>
    <w:rsid w:val="005E4AF4"/>
    <w:rsid w:val="005E4D19"/>
    <w:rsid w:val="005F0F4B"/>
    <w:rsid w:val="005F12B1"/>
    <w:rsid w:val="005F134C"/>
    <w:rsid w:val="005F39D8"/>
    <w:rsid w:val="005F4E2B"/>
    <w:rsid w:val="005F7119"/>
    <w:rsid w:val="005F7B09"/>
    <w:rsid w:val="006001CB"/>
    <w:rsid w:val="00601D68"/>
    <w:rsid w:val="0060291C"/>
    <w:rsid w:val="00603307"/>
    <w:rsid w:val="006042E4"/>
    <w:rsid w:val="00607966"/>
    <w:rsid w:val="00611F80"/>
    <w:rsid w:val="00613D48"/>
    <w:rsid w:val="00615AB6"/>
    <w:rsid w:val="0061620D"/>
    <w:rsid w:val="00620A17"/>
    <w:rsid w:val="0062174C"/>
    <w:rsid w:val="00621D60"/>
    <w:rsid w:val="0062695C"/>
    <w:rsid w:val="006273D7"/>
    <w:rsid w:val="00631162"/>
    <w:rsid w:val="0063165D"/>
    <w:rsid w:val="00633FC6"/>
    <w:rsid w:val="006364A1"/>
    <w:rsid w:val="00641096"/>
    <w:rsid w:val="00644E62"/>
    <w:rsid w:val="0064642F"/>
    <w:rsid w:val="00646974"/>
    <w:rsid w:val="00647503"/>
    <w:rsid w:val="00651C8A"/>
    <w:rsid w:val="006522A6"/>
    <w:rsid w:val="00652563"/>
    <w:rsid w:val="00657758"/>
    <w:rsid w:val="00657C2A"/>
    <w:rsid w:val="006648CE"/>
    <w:rsid w:val="00664D7F"/>
    <w:rsid w:val="00667B19"/>
    <w:rsid w:val="00671F22"/>
    <w:rsid w:val="006728ED"/>
    <w:rsid w:val="006731AB"/>
    <w:rsid w:val="00674C5B"/>
    <w:rsid w:val="0067646D"/>
    <w:rsid w:val="00676877"/>
    <w:rsid w:val="00681007"/>
    <w:rsid w:val="00683587"/>
    <w:rsid w:val="006835F0"/>
    <w:rsid w:val="00683E23"/>
    <w:rsid w:val="0069134A"/>
    <w:rsid w:val="006927B9"/>
    <w:rsid w:val="00692C41"/>
    <w:rsid w:val="00695269"/>
    <w:rsid w:val="006A084A"/>
    <w:rsid w:val="006A0BFC"/>
    <w:rsid w:val="006A113E"/>
    <w:rsid w:val="006A7616"/>
    <w:rsid w:val="006B455E"/>
    <w:rsid w:val="006B5D53"/>
    <w:rsid w:val="006B5E2C"/>
    <w:rsid w:val="006B604A"/>
    <w:rsid w:val="006B7E5A"/>
    <w:rsid w:val="006C2FDF"/>
    <w:rsid w:val="006C4437"/>
    <w:rsid w:val="006C63A5"/>
    <w:rsid w:val="006D34B4"/>
    <w:rsid w:val="006D379A"/>
    <w:rsid w:val="006D51DB"/>
    <w:rsid w:val="006D6B4C"/>
    <w:rsid w:val="006E166D"/>
    <w:rsid w:val="006E345A"/>
    <w:rsid w:val="006E3AA3"/>
    <w:rsid w:val="006E526B"/>
    <w:rsid w:val="006E55E8"/>
    <w:rsid w:val="006E5F08"/>
    <w:rsid w:val="006E6ECD"/>
    <w:rsid w:val="006E778D"/>
    <w:rsid w:val="006F1AC8"/>
    <w:rsid w:val="006F2174"/>
    <w:rsid w:val="006F2931"/>
    <w:rsid w:val="006F3608"/>
    <w:rsid w:val="006F3D75"/>
    <w:rsid w:val="006F5985"/>
    <w:rsid w:val="006F6CE6"/>
    <w:rsid w:val="00700250"/>
    <w:rsid w:val="0070152F"/>
    <w:rsid w:val="00704F4B"/>
    <w:rsid w:val="00713427"/>
    <w:rsid w:val="00713EB8"/>
    <w:rsid w:val="00714208"/>
    <w:rsid w:val="00716193"/>
    <w:rsid w:val="0071642C"/>
    <w:rsid w:val="00716E99"/>
    <w:rsid w:val="00717D6B"/>
    <w:rsid w:val="0072079A"/>
    <w:rsid w:val="00721A72"/>
    <w:rsid w:val="00721E69"/>
    <w:rsid w:val="0072444B"/>
    <w:rsid w:val="00725C2F"/>
    <w:rsid w:val="0072731B"/>
    <w:rsid w:val="007311EE"/>
    <w:rsid w:val="00731776"/>
    <w:rsid w:val="007352D6"/>
    <w:rsid w:val="00740455"/>
    <w:rsid w:val="00744F18"/>
    <w:rsid w:val="007468BF"/>
    <w:rsid w:val="00751291"/>
    <w:rsid w:val="0075429C"/>
    <w:rsid w:val="00756C47"/>
    <w:rsid w:val="007606B5"/>
    <w:rsid w:val="00760E57"/>
    <w:rsid w:val="00764106"/>
    <w:rsid w:val="00765A16"/>
    <w:rsid w:val="00766D41"/>
    <w:rsid w:val="00767980"/>
    <w:rsid w:val="00767B6E"/>
    <w:rsid w:val="00776145"/>
    <w:rsid w:val="00776A14"/>
    <w:rsid w:val="00777BD8"/>
    <w:rsid w:val="00780421"/>
    <w:rsid w:val="007807FF"/>
    <w:rsid w:val="00782FED"/>
    <w:rsid w:val="00787FCC"/>
    <w:rsid w:val="00792AE9"/>
    <w:rsid w:val="007A0A69"/>
    <w:rsid w:val="007A35E9"/>
    <w:rsid w:val="007A541B"/>
    <w:rsid w:val="007A66F0"/>
    <w:rsid w:val="007B16BE"/>
    <w:rsid w:val="007B1E23"/>
    <w:rsid w:val="007B4F72"/>
    <w:rsid w:val="007C086F"/>
    <w:rsid w:val="007C09B4"/>
    <w:rsid w:val="007C2C86"/>
    <w:rsid w:val="007C773F"/>
    <w:rsid w:val="007D1051"/>
    <w:rsid w:val="007D1680"/>
    <w:rsid w:val="007D27C5"/>
    <w:rsid w:val="007D3000"/>
    <w:rsid w:val="007D3944"/>
    <w:rsid w:val="007D7566"/>
    <w:rsid w:val="007D7975"/>
    <w:rsid w:val="007E18D4"/>
    <w:rsid w:val="007E3433"/>
    <w:rsid w:val="007E39E9"/>
    <w:rsid w:val="007E3FA1"/>
    <w:rsid w:val="007E4F0D"/>
    <w:rsid w:val="007E76B3"/>
    <w:rsid w:val="007F2A90"/>
    <w:rsid w:val="007F3705"/>
    <w:rsid w:val="007F57A3"/>
    <w:rsid w:val="007F6453"/>
    <w:rsid w:val="007F68FD"/>
    <w:rsid w:val="007F7B3C"/>
    <w:rsid w:val="008006F5"/>
    <w:rsid w:val="008036F1"/>
    <w:rsid w:val="00804E8C"/>
    <w:rsid w:val="00806757"/>
    <w:rsid w:val="008120E5"/>
    <w:rsid w:val="00813C89"/>
    <w:rsid w:val="00820030"/>
    <w:rsid w:val="008200B1"/>
    <w:rsid w:val="00821034"/>
    <w:rsid w:val="00823D14"/>
    <w:rsid w:val="00824B4F"/>
    <w:rsid w:val="0082502A"/>
    <w:rsid w:val="00825F82"/>
    <w:rsid w:val="00826434"/>
    <w:rsid w:val="00826CC6"/>
    <w:rsid w:val="00827E3D"/>
    <w:rsid w:val="00831019"/>
    <w:rsid w:val="0083180A"/>
    <w:rsid w:val="0083248F"/>
    <w:rsid w:val="00832736"/>
    <w:rsid w:val="00832C5A"/>
    <w:rsid w:val="00843DC5"/>
    <w:rsid w:val="008458E9"/>
    <w:rsid w:val="0084708C"/>
    <w:rsid w:val="008478BD"/>
    <w:rsid w:val="008479DD"/>
    <w:rsid w:val="008500FA"/>
    <w:rsid w:val="008506B5"/>
    <w:rsid w:val="00851CC9"/>
    <w:rsid w:val="00851E04"/>
    <w:rsid w:val="008535A4"/>
    <w:rsid w:val="0085634C"/>
    <w:rsid w:val="00856ABD"/>
    <w:rsid w:val="008614CD"/>
    <w:rsid w:val="00865AAB"/>
    <w:rsid w:val="00870CE2"/>
    <w:rsid w:val="008740DC"/>
    <w:rsid w:val="00874B51"/>
    <w:rsid w:val="00880DE0"/>
    <w:rsid w:val="00881293"/>
    <w:rsid w:val="00883400"/>
    <w:rsid w:val="008836F9"/>
    <w:rsid w:val="00884377"/>
    <w:rsid w:val="00884C06"/>
    <w:rsid w:val="008850D6"/>
    <w:rsid w:val="00885957"/>
    <w:rsid w:val="00887E6E"/>
    <w:rsid w:val="00890FCE"/>
    <w:rsid w:val="00892CCD"/>
    <w:rsid w:val="00893CF3"/>
    <w:rsid w:val="0089434B"/>
    <w:rsid w:val="008967EE"/>
    <w:rsid w:val="00897077"/>
    <w:rsid w:val="0089776E"/>
    <w:rsid w:val="008A065D"/>
    <w:rsid w:val="008A0CE0"/>
    <w:rsid w:val="008A23E5"/>
    <w:rsid w:val="008B0804"/>
    <w:rsid w:val="008B17C6"/>
    <w:rsid w:val="008B2737"/>
    <w:rsid w:val="008B2892"/>
    <w:rsid w:val="008B3414"/>
    <w:rsid w:val="008B509F"/>
    <w:rsid w:val="008B57D6"/>
    <w:rsid w:val="008B7EF3"/>
    <w:rsid w:val="008C0C47"/>
    <w:rsid w:val="008C0CAC"/>
    <w:rsid w:val="008C25B2"/>
    <w:rsid w:val="008C2F5A"/>
    <w:rsid w:val="008C4D0F"/>
    <w:rsid w:val="008C5410"/>
    <w:rsid w:val="008C7062"/>
    <w:rsid w:val="008C7693"/>
    <w:rsid w:val="008D022E"/>
    <w:rsid w:val="008D155B"/>
    <w:rsid w:val="008D3B70"/>
    <w:rsid w:val="008D3DEF"/>
    <w:rsid w:val="008D4936"/>
    <w:rsid w:val="008D50E8"/>
    <w:rsid w:val="008D7DC8"/>
    <w:rsid w:val="008E109E"/>
    <w:rsid w:val="008E2F40"/>
    <w:rsid w:val="008E412C"/>
    <w:rsid w:val="008E4C6D"/>
    <w:rsid w:val="008E5FF5"/>
    <w:rsid w:val="008E659C"/>
    <w:rsid w:val="008E75CB"/>
    <w:rsid w:val="008F454B"/>
    <w:rsid w:val="008F4EF2"/>
    <w:rsid w:val="008F6227"/>
    <w:rsid w:val="008F6AB6"/>
    <w:rsid w:val="008F77A5"/>
    <w:rsid w:val="0090267B"/>
    <w:rsid w:val="00902B7D"/>
    <w:rsid w:val="00905306"/>
    <w:rsid w:val="009060F3"/>
    <w:rsid w:val="00906A17"/>
    <w:rsid w:val="00906C27"/>
    <w:rsid w:val="0090745F"/>
    <w:rsid w:val="00910162"/>
    <w:rsid w:val="0091113B"/>
    <w:rsid w:val="00912BBA"/>
    <w:rsid w:val="00913922"/>
    <w:rsid w:val="0091616E"/>
    <w:rsid w:val="00917A5F"/>
    <w:rsid w:val="00921A6F"/>
    <w:rsid w:val="00922313"/>
    <w:rsid w:val="00927712"/>
    <w:rsid w:val="009278F8"/>
    <w:rsid w:val="00927F6A"/>
    <w:rsid w:val="00930AC2"/>
    <w:rsid w:val="00930F48"/>
    <w:rsid w:val="009329F5"/>
    <w:rsid w:val="00933AEE"/>
    <w:rsid w:val="00935210"/>
    <w:rsid w:val="0093525E"/>
    <w:rsid w:val="0093611E"/>
    <w:rsid w:val="0093660A"/>
    <w:rsid w:val="009373DB"/>
    <w:rsid w:val="009424F3"/>
    <w:rsid w:val="00942D1F"/>
    <w:rsid w:val="00946EA9"/>
    <w:rsid w:val="00947F4A"/>
    <w:rsid w:val="00950142"/>
    <w:rsid w:val="00955BEF"/>
    <w:rsid w:val="009617C5"/>
    <w:rsid w:val="00961B9D"/>
    <w:rsid w:val="00961BA7"/>
    <w:rsid w:val="009628D5"/>
    <w:rsid w:val="0096319F"/>
    <w:rsid w:val="00964CD2"/>
    <w:rsid w:val="009650E4"/>
    <w:rsid w:val="00966523"/>
    <w:rsid w:val="00966D98"/>
    <w:rsid w:val="00967352"/>
    <w:rsid w:val="00967757"/>
    <w:rsid w:val="00971B82"/>
    <w:rsid w:val="00972ED4"/>
    <w:rsid w:val="009733F3"/>
    <w:rsid w:val="00974669"/>
    <w:rsid w:val="009746FA"/>
    <w:rsid w:val="00977362"/>
    <w:rsid w:val="00977600"/>
    <w:rsid w:val="00977A32"/>
    <w:rsid w:val="00985B89"/>
    <w:rsid w:val="00985E55"/>
    <w:rsid w:val="0098607F"/>
    <w:rsid w:val="009876FD"/>
    <w:rsid w:val="0099059D"/>
    <w:rsid w:val="009913DC"/>
    <w:rsid w:val="009920F0"/>
    <w:rsid w:val="0099211C"/>
    <w:rsid w:val="009937B4"/>
    <w:rsid w:val="009941F6"/>
    <w:rsid w:val="00994307"/>
    <w:rsid w:val="009958F7"/>
    <w:rsid w:val="009962A9"/>
    <w:rsid w:val="009962DC"/>
    <w:rsid w:val="00996C1C"/>
    <w:rsid w:val="009A30BD"/>
    <w:rsid w:val="009A7FDB"/>
    <w:rsid w:val="009B3A81"/>
    <w:rsid w:val="009B4BC9"/>
    <w:rsid w:val="009C2003"/>
    <w:rsid w:val="009C25B0"/>
    <w:rsid w:val="009C336B"/>
    <w:rsid w:val="009C6384"/>
    <w:rsid w:val="009C731A"/>
    <w:rsid w:val="009D148E"/>
    <w:rsid w:val="009D7B00"/>
    <w:rsid w:val="009D7EC4"/>
    <w:rsid w:val="009E53FC"/>
    <w:rsid w:val="009E7053"/>
    <w:rsid w:val="009F1093"/>
    <w:rsid w:val="009F315A"/>
    <w:rsid w:val="009F3B0B"/>
    <w:rsid w:val="009F5062"/>
    <w:rsid w:val="009F6CA5"/>
    <w:rsid w:val="009F6F32"/>
    <w:rsid w:val="00A00676"/>
    <w:rsid w:val="00A0162A"/>
    <w:rsid w:val="00A023AD"/>
    <w:rsid w:val="00A043EC"/>
    <w:rsid w:val="00A0605F"/>
    <w:rsid w:val="00A065AD"/>
    <w:rsid w:val="00A1007D"/>
    <w:rsid w:val="00A1048A"/>
    <w:rsid w:val="00A12964"/>
    <w:rsid w:val="00A14323"/>
    <w:rsid w:val="00A20E53"/>
    <w:rsid w:val="00A221E6"/>
    <w:rsid w:val="00A235DD"/>
    <w:rsid w:val="00A23BCE"/>
    <w:rsid w:val="00A249F1"/>
    <w:rsid w:val="00A25C55"/>
    <w:rsid w:val="00A26E4C"/>
    <w:rsid w:val="00A32495"/>
    <w:rsid w:val="00A34533"/>
    <w:rsid w:val="00A34C7C"/>
    <w:rsid w:val="00A34CE6"/>
    <w:rsid w:val="00A36267"/>
    <w:rsid w:val="00A3647C"/>
    <w:rsid w:val="00A40ABE"/>
    <w:rsid w:val="00A40C8D"/>
    <w:rsid w:val="00A51261"/>
    <w:rsid w:val="00A5188F"/>
    <w:rsid w:val="00A52331"/>
    <w:rsid w:val="00A566EA"/>
    <w:rsid w:val="00A56EE4"/>
    <w:rsid w:val="00A6126D"/>
    <w:rsid w:val="00A664FD"/>
    <w:rsid w:val="00A67891"/>
    <w:rsid w:val="00A70ADF"/>
    <w:rsid w:val="00A731D3"/>
    <w:rsid w:val="00A76281"/>
    <w:rsid w:val="00A769DD"/>
    <w:rsid w:val="00A77E84"/>
    <w:rsid w:val="00A77F7B"/>
    <w:rsid w:val="00A80C50"/>
    <w:rsid w:val="00A81959"/>
    <w:rsid w:val="00A8608F"/>
    <w:rsid w:val="00A87286"/>
    <w:rsid w:val="00A901F0"/>
    <w:rsid w:val="00A91AD5"/>
    <w:rsid w:val="00A923FF"/>
    <w:rsid w:val="00A94A7A"/>
    <w:rsid w:val="00A96EDC"/>
    <w:rsid w:val="00A975D4"/>
    <w:rsid w:val="00AA0713"/>
    <w:rsid w:val="00AA6092"/>
    <w:rsid w:val="00AA73B0"/>
    <w:rsid w:val="00AA78AB"/>
    <w:rsid w:val="00AB08AA"/>
    <w:rsid w:val="00AB1F77"/>
    <w:rsid w:val="00AB332A"/>
    <w:rsid w:val="00AB45AE"/>
    <w:rsid w:val="00AB55D6"/>
    <w:rsid w:val="00AB728C"/>
    <w:rsid w:val="00AC1754"/>
    <w:rsid w:val="00AC2028"/>
    <w:rsid w:val="00AC2B51"/>
    <w:rsid w:val="00AC54EC"/>
    <w:rsid w:val="00AC6C9E"/>
    <w:rsid w:val="00AD623D"/>
    <w:rsid w:val="00AD65F6"/>
    <w:rsid w:val="00AD7F6E"/>
    <w:rsid w:val="00AE2C8B"/>
    <w:rsid w:val="00AE35C2"/>
    <w:rsid w:val="00AE62E6"/>
    <w:rsid w:val="00AE7E8C"/>
    <w:rsid w:val="00AF3405"/>
    <w:rsid w:val="00AF5014"/>
    <w:rsid w:val="00B000C9"/>
    <w:rsid w:val="00B03919"/>
    <w:rsid w:val="00B1300F"/>
    <w:rsid w:val="00B22540"/>
    <w:rsid w:val="00B32676"/>
    <w:rsid w:val="00B333F9"/>
    <w:rsid w:val="00B337B4"/>
    <w:rsid w:val="00B34140"/>
    <w:rsid w:val="00B4276B"/>
    <w:rsid w:val="00B43987"/>
    <w:rsid w:val="00B44D52"/>
    <w:rsid w:val="00B46DBB"/>
    <w:rsid w:val="00B508DE"/>
    <w:rsid w:val="00B51333"/>
    <w:rsid w:val="00B549DF"/>
    <w:rsid w:val="00B569FA"/>
    <w:rsid w:val="00B62279"/>
    <w:rsid w:val="00B641A6"/>
    <w:rsid w:val="00B64AF5"/>
    <w:rsid w:val="00B659BA"/>
    <w:rsid w:val="00B66CB2"/>
    <w:rsid w:val="00B67A39"/>
    <w:rsid w:val="00B715F6"/>
    <w:rsid w:val="00B72A8A"/>
    <w:rsid w:val="00B730C7"/>
    <w:rsid w:val="00B734D9"/>
    <w:rsid w:val="00B73EED"/>
    <w:rsid w:val="00B75CE2"/>
    <w:rsid w:val="00B76376"/>
    <w:rsid w:val="00B765A5"/>
    <w:rsid w:val="00B77340"/>
    <w:rsid w:val="00B803DC"/>
    <w:rsid w:val="00B82C39"/>
    <w:rsid w:val="00B82CE5"/>
    <w:rsid w:val="00B83EF9"/>
    <w:rsid w:val="00B84ECC"/>
    <w:rsid w:val="00B87248"/>
    <w:rsid w:val="00B90343"/>
    <w:rsid w:val="00B906A9"/>
    <w:rsid w:val="00B92BFE"/>
    <w:rsid w:val="00B9392E"/>
    <w:rsid w:val="00B94F44"/>
    <w:rsid w:val="00B962D3"/>
    <w:rsid w:val="00BA080C"/>
    <w:rsid w:val="00BA122A"/>
    <w:rsid w:val="00BA1B2F"/>
    <w:rsid w:val="00BA603E"/>
    <w:rsid w:val="00BA780A"/>
    <w:rsid w:val="00BB0749"/>
    <w:rsid w:val="00BB2938"/>
    <w:rsid w:val="00BB4E87"/>
    <w:rsid w:val="00BC036C"/>
    <w:rsid w:val="00BD0BC5"/>
    <w:rsid w:val="00BD15B0"/>
    <w:rsid w:val="00BD5406"/>
    <w:rsid w:val="00BD680D"/>
    <w:rsid w:val="00BD728B"/>
    <w:rsid w:val="00BE5931"/>
    <w:rsid w:val="00BE6DE4"/>
    <w:rsid w:val="00BE76A3"/>
    <w:rsid w:val="00BF05B3"/>
    <w:rsid w:val="00BF312D"/>
    <w:rsid w:val="00BF53D5"/>
    <w:rsid w:val="00BF630B"/>
    <w:rsid w:val="00C06971"/>
    <w:rsid w:val="00C10FBB"/>
    <w:rsid w:val="00C14091"/>
    <w:rsid w:val="00C16C19"/>
    <w:rsid w:val="00C17392"/>
    <w:rsid w:val="00C176C1"/>
    <w:rsid w:val="00C2001A"/>
    <w:rsid w:val="00C200DF"/>
    <w:rsid w:val="00C235F1"/>
    <w:rsid w:val="00C23D2F"/>
    <w:rsid w:val="00C24C1E"/>
    <w:rsid w:val="00C2579D"/>
    <w:rsid w:val="00C26647"/>
    <w:rsid w:val="00C26D25"/>
    <w:rsid w:val="00C26E5C"/>
    <w:rsid w:val="00C270C1"/>
    <w:rsid w:val="00C3014C"/>
    <w:rsid w:val="00C3029B"/>
    <w:rsid w:val="00C30587"/>
    <w:rsid w:val="00C310ED"/>
    <w:rsid w:val="00C32E35"/>
    <w:rsid w:val="00C32EC3"/>
    <w:rsid w:val="00C405EA"/>
    <w:rsid w:val="00C4571D"/>
    <w:rsid w:val="00C46DF0"/>
    <w:rsid w:val="00C500FE"/>
    <w:rsid w:val="00C504D1"/>
    <w:rsid w:val="00C50DC3"/>
    <w:rsid w:val="00C51E1F"/>
    <w:rsid w:val="00C52722"/>
    <w:rsid w:val="00C531F7"/>
    <w:rsid w:val="00C55030"/>
    <w:rsid w:val="00C563F2"/>
    <w:rsid w:val="00C61275"/>
    <w:rsid w:val="00C62167"/>
    <w:rsid w:val="00C706E1"/>
    <w:rsid w:val="00C72805"/>
    <w:rsid w:val="00C74213"/>
    <w:rsid w:val="00C7469C"/>
    <w:rsid w:val="00C74A60"/>
    <w:rsid w:val="00C7726B"/>
    <w:rsid w:val="00C80218"/>
    <w:rsid w:val="00C82856"/>
    <w:rsid w:val="00C8339A"/>
    <w:rsid w:val="00C84FF6"/>
    <w:rsid w:val="00C861D3"/>
    <w:rsid w:val="00C86224"/>
    <w:rsid w:val="00C9080D"/>
    <w:rsid w:val="00C94A36"/>
    <w:rsid w:val="00C94CAB"/>
    <w:rsid w:val="00C96622"/>
    <w:rsid w:val="00CA3767"/>
    <w:rsid w:val="00CA6649"/>
    <w:rsid w:val="00CB0360"/>
    <w:rsid w:val="00CB0C94"/>
    <w:rsid w:val="00CB1DCE"/>
    <w:rsid w:val="00CB5682"/>
    <w:rsid w:val="00CB5867"/>
    <w:rsid w:val="00CB5E62"/>
    <w:rsid w:val="00CB7B3A"/>
    <w:rsid w:val="00CC1B59"/>
    <w:rsid w:val="00CC5841"/>
    <w:rsid w:val="00CC7184"/>
    <w:rsid w:val="00CD0FC3"/>
    <w:rsid w:val="00CD2120"/>
    <w:rsid w:val="00CD61E7"/>
    <w:rsid w:val="00CE2831"/>
    <w:rsid w:val="00CE2C20"/>
    <w:rsid w:val="00CE4099"/>
    <w:rsid w:val="00CE6240"/>
    <w:rsid w:val="00CF02FF"/>
    <w:rsid w:val="00CF0816"/>
    <w:rsid w:val="00CF2E01"/>
    <w:rsid w:val="00CF363A"/>
    <w:rsid w:val="00CF4B33"/>
    <w:rsid w:val="00CF4CBA"/>
    <w:rsid w:val="00CF77B3"/>
    <w:rsid w:val="00D00ABA"/>
    <w:rsid w:val="00D02C15"/>
    <w:rsid w:val="00D039E6"/>
    <w:rsid w:val="00D0664C"/>
    <w:rsid w:val="00D06F80"/>
    <w:rsid w:val="00D13242"/>
    <w:rsid w:val="00D15FF4"/>
    <w:rsid w:val="00D23502"/>
    <w:rsid w:val="00D245C2"/>
    <w:rsid w:val="00D24C13"/>
    <w:rsid w:val="00D274CD"/>
    <w:rsid w:val="00D27B64"/>
    <w:rsid w:val="00D312F3"/>
    <w:rsid w:val="00D32EEF"/>
    <w:rsid w:val="00D3614E"/>
    <w:rsid w:val="00D377DC"/>
    <w:rsid w:val="00D426DE"/>
    <w:rsid w:val="00D436E6"/>
    <w:rsid w:val="00D437F2"/>
    <w:rsid w:val="00D468EE"/>
    <w:rsid w:val="00D475F0"/>
    <w:rsid w:val="00D5644D"/>
    <w:rsid w:val="00D5767E"/>
    <w:rsid w:val="00D57BB1"/>
    <w:rsid w:val="00D66E7C"/>
    <w:rsid w:val="00D67A93"/>
    <w:rsid w:val="00D719AE"/>
    <w:rsid w:val="00D72BED"/>
    <w:rsid w:val="00D73BBF"/>
    <w:rsid w:val="00D76679"/>
    <w:rsid w:val="00D80010"/>
    <w:rsid w:val="00D847CD"/>
    <w:rsid w:val="00D86FCA"/>
    <w:rsid w:val="00D907E0"/>
    <w:rsid w:val="00D94F80"/>
    <w:rsid w:val="00D95392"/>
    <w:rsid w:val="00D9709F"/>
    <w:rsid w:val="00D979DF"/>
    <w:rsid w:val="00DA0A52"/>
    <w:rsid w:val="00DA1014"/>
    <w:rsid w:val="00DA2EA0"/>
    <w:rsid w:val="00DA4E8D"/>
    <w:rsid w:val="00DA60AB"/>
    <w:rsid w:val="00DA7702"/>
    <w:rsid w:val="00DB06C9"/>
    <w:rsid w:val="00DB1188"/>
    <w:rsid w:val="00DB1B72"/>
    <w:rsid w:val="00DB4076"/>
    <w:rsid w:val="00DC0165"/>
    <w:rsid w:val="00DC11EF"/>
    <w:rsid w:val="00DC2996"/>
    <w:rsid w:val="00DC5CB6"/>
    <w:rsid w:val="00DD03F4"/>
    <w:rsid w:val="00DD0A08"/>
    <w:rsid w:val="00DD1647"/>
    <w:rsid w:val="00DD576C"/>
    <w:rsid w:val="00DD6039"/>
    <w:rsid w:val="00DE148A"/>
    <w:rsid w:val="00DE4D33"/>
    <w:rsid w:val="00DE7DE1"/>
    <w:rsid w:val="00DF1BAC"/>
    <w:rsid w:val="00E005EC"/>
    <w:rsid w:val="00E01225"/>
    <w:rsid w:val="00E02745"/>
    <w:rsid w:val="00E04DA3"/>
    <w:rsid w:val="00E1042B"/>
    <w:rsid w:val="00E109A9"/>
    <w:rsid w:val="00E12D33"/>
    <w:rsid w:val="00E13900"/>
    <w:rsid w:val="00E141D2"/>
    <w:rsid w:val="00E14EDE"/>
    <w:rsid w:val="00E169E6"/>
    <w:rsid w:val="00E22126"/>
    <w:rsid w:val="00E22DDD"/>
    <w:rsid w:val="00E242DD"/>
    <w:rsid w:val="00E245E2"/>
    <w:rsid w:val="00E30BC6"/>
    <w:rsid w:val="00E34CB7"/>
    <w:rsid w:val="00E36017"/>
    <w:rsid w:val="00E37D45"/>
    <w:rsid w:val="00E41710"/>
    <w:rsid w:val="00E43D00"/>
    <w:rsid w:val="00E45444"/>
    <w:rsid w:val="00E457C6"/>
    <w:rsid w:val="00E52802"/>
    <w:rsid w:val="00E61538"/>
    <w:rsid w:val="00E62EDB"/>
    <w:rsid w:val="00E634F3"/>
    <w:rsid w:val="00E649D2"/>
    <w:rsid w:val="00E675A9"/>
    <w:rsid w:val="00E67CD3"/>
    <w:rsid w:val="00E71632"/>
    <w:rsid w:val="00E80913"/>
    <w:rsid w:val="00E80ED8"/>
    <w:rsid w:val="00E864ED"/>
    <w:rsid w:val="00E86E18"/>
    <w:rsid w:val="00E8736A"/>
    <w:rsid w:val="00E917C6"/>
    <w:rsid w:val="00E91AD5"/>
    <w:rsid w:val="00E91C4C"/>
    <w:rsid w:val="00E928CF"/>
    <w:rsid w:val="00E96625"/>
    <w:rsid w:val="00E97844"/>
    <w:rsid w:val="00EA0907"/>
    <w:rsid w:val="00EA1C17"/>
    <w:rsid w:val="00EA31AE"/>
    <w:rsid w:val="00EA4E49"/>
    <w:rsid w:val="00EA5EF0"/>
    <w:rsid w:val="00EA7EC0"/>
    <w:rsid w:val="00EA7F3A"/>
    <w:rsid w:val="00EB028C"/>
    <w:rsid w:val="00EB1E33"/>
    <w:rsid w:val="00EB2E32"/>
    <w:rsid w:val="00EB49FF"/>
    <w:rsid w:val="00EB5816"/>
    <w:rsid w:val="00EB6E60"/>
    <w:rsid w:val="00EC1392"/>
    <w:rsid w:val="00EC3765"/>
    <w:rsid w:val="00EC50F8"/>
    <w:rsid w:val="00EC5AEF"/>
    <w:rsid w:val="00EC6867"/>
    <w:rsid w:val="00ED29D2"/>
    <w:rsid w:val="00ED2AC4"/>
    <w:rsid w:val="00ED443C"/>
    <w:rsid w:val="00ED5373"/>
    <w:rsid w:val="00ED5A28"/>
    <w:rsid w:val="00ED5AC0"/>
    <w:rsid w:val="00ED62E6"/>
    <w:rsid w:val="00ED6785"/>
    <w:rsid w:val="00ED7B54"/>
    <w:rsid w:val="00EE2B6F"/>
    <w:rsid w:val="00EE4E8D"/>
    <w:rsid w:val="00EE6547"/>
    <w:rsid w:val="00EE6D44"/>
    <w:rsid w:val="00EF12DC"/>
    <w:rsid w:val="00EF180A"/>
    <w:rsid w:val="00EF3758"/>
    <w:rsid w:val="00EF395F"/>
    <w:rsid w:val="00EF3DB5"/>
    <w:rsid w:val="00EF572A"/>
    <w:rsid w:val="00EF5789"/>
    <w:rsid w:val="00EF5AA2"/>
    <w:rsid w:val="00EF6BF2"/>
    <w:rsid w:val="00EF7B0C"/>
    <w:rsid w:val="00F009B1"/>
    <w:rsid w:val="00F02012"/>
    <w:rsid w:val="00F022E9"/>
    <w:rsid w:val="00F04BAE"/>
    <w:rsid w:val="00F0656B"/>
    <w:rsid w:val="00F066D4"/>
    <w:rsid w:val="00F120BE"/>
    <w:rsid w:val="00F12DAB"/>
    <w:rsid w:val="00F143B1"/>
    <w:rsid w:val="00F14E60"/>
    <w:rsid w:val="00F1579E"/>
    <w:rsid w:val="00F20703"/>
    <w:rsid w:val="00F216EC"/>
    <w:rsid w:val="00F22608"/>
    <w:rsid w:val="00F23972"/>
    <w:rsid w:val="00F3157A"/>
    <w:rsid w:val="00F341B1"/>
    <w:rsid w:val="00F363FF"/>
    <w:rsid w:val="00F40487"/>
    <w:rsid w:val="00F40A85"/>
    <w:rsid w:val="00F41174"/>
    <w:rsid w:val="00F41FF7"/>
    <w:rsid w:val="00F43370"/>
    <w:rsid w:val="00F43AC5"/>
    <w:rsid w:val="00F50927"/>
    <w:rsid w:val="00F50AFD"/>
    <w:rsid w:val="00F528A9"/>
    <w:rsid w:val="00F531AA"/>
    <w:rsid w:val="00F535E5"/>
    <w:rsid w:val="00F546EA"/>
    <w:rsid w:val="00F605B0"/>
    <w:rsid w:val="00F60DB5"/>
    <w:rsid w:val="00F64E4E"/>
    <w:rsid w:val="00F66AB0"/>
    <w:rsid w:val="00F7148C"/>
    <w:rsid w:val="00F7271B"/>
    <w:rsid w:val="00F72AEB"/>
    <w:rsid w:val="00F73D17"/>
    <w:rsid w:val="00F75204"/>
    <w:rsid w:val="00F758A6"/>
    <w:rsid w:val="00F7633C"/>
    <w:rsid w:val="00F76690"/>
    <w:rsid w:val="00F77AD5"/>
    <w:rsid w:val="00F81B9C"/>
    <w:rsid w:val="00F83970"/>
    <w:rsid w:val="00F840B5"/>
    <w:rsid w:val="00F84183"/>
    <w:rsid w:val="00F843D5"/>
    <w:rsid w:val="00F87766"/>
    <w:rsid w:val="00F906C9"/>
    <w:rsid w:val="00F91755"/>
    <w:rsid w:val="00F91B1D"/>
    <w:rsid w:val="00F94E3B"/>
    <w:rsid w:val="00F9640B"/>
    <w:rsid w:val="00F96438"/>
    <w:rsid w:val="00F96AAF"/>
    <w:rsid w:val="00FA036F"/>
    <w:rsid w:val="00FA08AE"/>
    <w:rsid w:val="00FA09C7"/>
    <w:rsid w:val="00FA1A1C"/>
    <w:rsid w:val="00FA2560"/>
    <w:rsid w:val="00FA2609"/>
    <w:rsid w:val="00FA2962"/>
    <w:rsid w:val="00FA2968"/>
    <w:rsid w:val="00FA2AE3"/>
    <w:rsid w:val="00FA4714"/>
    <w:rsid w:val="00FA5F6F"/>
    <w:rsid w:val="00FA7D59"/>
    <w:rsid w:val="00FB25F5"/>
    <w:rsid w:val="00FB4B04"/>
    <w:rsid w:val="00FC0848"/>
    <w:rsid w:val="00FC26E9"/>
    <w:rsid w:val="00FC41F5"/>
    <w:rsid w:val="00FD0F61"/>
    <w:rsid w:val="00FD2534"/>
    <w:rsid w:val="00FD27A2"/>
    <w:rsid w:val="00FD593C"/>
    <w:rsid w:val="00FD60D4"/>
    <w:rsid w:val="00FD6E20"/>
    <w:rsid w:val="00FE10F4"/>
    <w:rsid w:val="00FE230B"/>
    <w:rsid w:val="00FE6EB3"/>
    <w:rsid w:val="00FF03F0"/>
    <w:rsid w:val="00FF4B33"/>
    <w:rsid w:val="00FF7857"/>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8"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atentStyles>
  <w:style w:type="paragraph" w:default="1" w:styleId="Normal">
    <w:name w:val="Normal"/>
    <w:rsid w:val="007807FF"/>
    <w:rPr>
      <w:sz w:val="24"/>
      <w:szCs w:val="24"/>
      <w:lang w:eastAsia="en-US"/>
    </w:rPr>
  </w:style>
  <w:style w:type="paragraph" w:styleId="Heading1">
    <w:name w:val="heading 1"/>
    <w:basedOn w:val="Normal"/>
    <w:next w:val="Normal"/>
    <w:link w:val="Heading1Char"/>
    <w:rsid w:val="00721E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B803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B803D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730"/>
    <w:pPr>
      <w:tabs>
        <w:tab w:val="center" w:pos="4320"/>
        <w:tab w:val="right" w:pos="8640"/>
      </w:tabs>
    </w:pPr>
  </w:style>
  <w:style w:type="paragraph" w:styleId="Footer">
    <w:name w:val="footer"/>
    <w:basedOn w:val="Normal"/>
    <w:link w:val="FooterChar"/>
    <w:uiPriority w:val="99"/>
    <w:rsid w:val="00A07730"/>
    <w:pPr>
      <w:tabs>
        <w:tab w:val="center" w:pos="4320"/>
        <w:tab w:val="right" w:pos="8640"/>
      </w:tabs>
    </w:pPr>
  </w:style>
  <w:style w:type="paragraph" w:styleId="Subtitle">
    <w:name w:val="Subtitle"/>
    <w:basedOn w:val="Normal"/>
    <w:next w:val="Normal"/>
    <w:link w:val="SubtitleChar"/>
    <w:qFormat/>
    <w:rsid w:val="00D24C13"/>
    <w:pPr>
      <w:spacing w:after="60"/>
      <w:jc w:val="center"/>
      <w:outlineLvl w:val="1"/>
    </w:pPr>
    <w:rPr>
      <w:rFonts w:ascii="Cambria" w:hAnsi="Cambria"/>
    </w:rPr>
  </w:style>
  <w:style w:type="character" w:customStyle="1" w:styleId="SubtitleChar">
    <w:name w:val="Subtitle Char"/>
    <w:link w:val="Subtitle"/>
    <w:rsid w:val="00D24C13"/>
    <w:rPr>
      <w:rFonts w:ascii="Cambria" w:eastAsia="Times New Roman" w:hAnsi="Cambria" w:cs="Times New Roman"/>
      <w:sz w:val="24"/>
      <w:szCs w:val="24"/>
      <w:lang w:val="en-US" w:eastAsia="en-US"/>
    </w:rPr>
  </w:style>
  <w:style w:type="character" w:styleId="Hyperlink">
    <w:name w:val="Hyperlink"/>
    <w:uiPriority w:val="99"/>
    <w:rsid w:val="00664D7F"/>
    <w:rPr>
      <w:color w:val="0000FF"/>
      <w:u w:val="single"/>
    </w:rPr>
  </w:style>
  <w:style w:type="paragraph" w:styleId="BalloonText">
    <w:name w:val="Balloon Text"/>
    <w:basedOn w:val="Normal"/>
    <w:link w:val="BalloonTextChar"/>
    <w:rsid w:val="00AD65F6"/>
    <w:rPr>
      <w:rFonts w:ascii="Segoe UI" w:hAnsi="Segoe UI" w:cs="Segoe UI"/>
      <w:sz w:val="18"/>
      <w:szCs w:val="18"/>
    </w:rPr>
  </w:style>
  <w:style w:type="character" w:customStyle="1" w:styleId="BalloonTextChar">
    <w:name w:val="Balloon Text Char"/>
    <w:basedOn w:val="DefaultParagraphFont"/>
    <w:link w:val="BalloonText"/>
    <w:rsid w:val="00AD65F6"/>
    <w:rPr>
      <w:rFonts w:ascii="Segoe UI" w:hAnsi="Segoe UI" w:cs="Segoe UI"/>
      <w:sz w:val="18"/>
      <w:szCs w:val="18"/>
      <w:lang w:eastAsia="en-US"/>
    </w:rPr>
  </w:style>
  <w:style w:type="paragraph" w:styleId="ListParagraph">
    <w:name w:val="List Paragraph"/>
    <w:basedOn w:val="Normal"/>
    <w:uiPriority w:val="72"/>
    <w:qFormat/>
    <w:rsid w:val="005B0B4C"/>
    <w:pPr>
      <w:ind w:left="720"/>
      <w:contextualSpacing/>
    </w:pPr>
  </w:style>
  <w:style w:type="character" w:customStyle="1" w:styleId="FooterChar">
    <w:name w:val="Footer Char"/>
    <w:basedOn w:val="DefaultParagraphFont"/>
    <w:link w:val="Footer"/>
    <w:uiPriority w:val="99"/>
    <w:rsid w:val="00E97844"/>
    <w:rPr>
      <w:sz w:val="24"/>
      <w:szCs w:val="24"/>
      <w:lang w:eastAsia="en-US"/>
    </w:rPr>
  </w:style>
  <w:style w:type="character" w:customStyle="1" w:styleId="Heading1Char">
    <w:name w:val="Heading 1 Char"/>
    <w:basedOn w:val="DefaultParagraphFont"/>
    <w:link w:val="Heading1"/>
    <w:rsid w:val="00721E69"/>
    <w:rPr>
      <w:rFonts w:asciiTheme="majorHAnsi" w:eastAsiaTheme="majorEastAsia" w:hAnsiTheme="majorHAnsi" w:cstheme="majorBidi"/>
      <w:color w:val="2E74B5" w:themeColor="accent1" w:themeShade="BF"/>
      <w:sz w:val="32"/>
      <w:szCs w:val="32"/>
      <w:lang w:eastAsia="en-US"/>
    </w:rPr>
  </w:style>
  <w:style w:type="paragraph" w:styleId="TOCHeading">
    <w:name w:val="TOC Heading"/>
    <w:basedOn w:val="Heading1"/>
    <w:next w:val="Normal"/>
    <w:uiPriority w:val="39"/>
    <w:unhideWhenUsed/>
    <w:qFormat/>
    <w:rsid w:val="00721E69"/>
    <w:pPr>
      <w:spacing w:line="259" w:lineRule="auto"/>
      <w:outlineLvl w:val="9"/>
    </w:pPr>
    <w:rPr>
      <w:lang w:val="en-US"/>
    </w:rPr>
  </w:style>
  <w:style w:type="paragraph" w:customStyle="1" w:styleId="ConsultationPaper">
    <w:name w:val="Consultation Paper"/>
    <w:basedOn w:val="Normal"/>
    <w:link w:val="ConsultationPaperChar"/>
    <w:rsid w:val="00721E69"/>
    <w:rPr>
      <w:rFonts w:asciiTheme="majorHAnsi" w:eastAsia="Batang" w:hAnsiTheme="majorHAnsi" w:cs="Arial"/>
      <w:b/>
      <w:sz w:val="32"/>
      <w:szCs w:val="32"/>
    </w:rPr>
  </w:style>
  <w:style w:type="paragraph" w:customStyle="1" w:styleId="MainHeading">
    <w:name w:val="Main Heading"/>
    <w:basedOn w:val="Normal"/>
    <w:qFormat/>
    <w:rsid w:val="005F134C"/>
    <w:rPr>
      <w:rFonts w:asciiTheme="majorHAnsi" w:eastAsia="Batang" w:hAnsiTheme="majorHAnsi" w:cs="Arial"/>
      <w:b/>
      <w:sz w:val="32"/>
      <w:szCs w:val="32"/>
    </w:rPr>
  </w:style>
  <w:style w:type="character" w:customStyle="1" w:styleId="ConsultationPaperChar">
    <w:name w:val="Consultation Paper Char"/>
    <w:basedOn w:val="DefaultParagraphFont"/>
    <w:link w:val="ConsultationPaper"/>
    <w:rsid w:val="00721E69"/>
    <w:rPr>
      <w:rFonts w:asciiTheme="majorHAnsi" w:eastAsia="Batang" w:hAnsiTheme="majorHAnsi" w:cs="Arial"/>
      <w:b/>
      <w:sz w:val="32"/>
      <w:szCs w:val="32"/>
      <w:lang w:eastAsia="en-US"/>
    </w:rPr>
  </w:style>
  <w:style w:type="paragraph" w:customStyle="1" w:styleId="Subheading">
    <w:name w:val="Subheading"/>
    <w:basedOn w:val="Normal"/>
    <w:qFormat/>
    <w:rsid w:val="005F134C"/>
    <w:rPr>
      <w:rFonts w:asciiTheme="majorHAnsi" w:hAnsiTheme="majorHAnsi"/>
      <w:sz w:val="30"/>
      <w:szCs w:val="26"/>
    </w:rPr>
  </w:style>
  <w:style w:type="paragraph" w:customStyle="1" w:styleId="Body">
    <w:name w:val="Body"/>
    <w:basedOn w:val="Normal"/>
    <w:rsid w:val="00B803DC"/>
    <w:rPr>
      <w:rFonts w:asciiTheme="minorHAnsi" w:hAnsiTheme="minorHAnsi"/>
    </w:rPr>
  </w:style>
  <w:style w:type="character" w:customStyle="1" w:styleId="Heading3Char">
    <w:name w:val="Heading 3 Char"/>
    <w:basedOn w:val="DefaultParagraphFont"/>
    <w:link w:val="Heading3"/>
    <w:semiHidden/>
    <w:rsid w:val="00B803DC"/>
    <w:rPr>
      <w:rFonts w:asciiTheme="majorHAnsi" w:eastAsiaTheme="majorEastAsia" w:hAnsiTheme="majorHAnsi" w:cstheme="majorBidi"/>
      <w:color w:val="1F4D78" w:themeColor="accent1" w:themeShade="7F"/>
      <w:sz w:val="24"/>
      <w:szCs w:val="24"/>
      <w:lang w:eastAsia="en-US"/>
    </w:rPr>
  </w:style>
  <w:style w:type="character" w:customStyle="1" w:styleId="Heading2Char">
    <w:name w:val="Heading 2 Char"/>
    <w:basedOn w:val="DefaultParagraphFont"/>
    <w:link w:val="Heading2"/>
    <w:semiHidden/>
    <w:rsid w:val="00B803DC"/>
    <w:rPr>
      <w:rFonts w:asciiTheme="majorHAnsi" w:eastAsiaTheme="majorEastAsia" w:hAnsiTheme="majorHAnsi" w:cstheme="majorBidi"/>
      <w:color w:val="2E74B5" w:themeColor="accent1" w:themeShade="BF"/>
      <w:sz w:val="26"/>
      <w:szCs w:val="26"/>
      <w:lang w:eastAsia="en-US"/>
    </w:rPr>
  </w:style>
  <w:style w:type="paragraph" w:styleId="TOC1">
    <w:name w:val="toc 1"/>
    <w:basedOn w:val="Normal"/>
    <w:next w:val="Normal"/>
    <w:autoRedefine/>
    <w:uiPriority w:val="39"/>
    <w:rsid w:val="004B4CB9"/>
    <w:pPr>
      <w:tabs>
        <w:tab w:val="left" w:pos="480"/>
        <w:tab w:val="right" w:leader="dot" w:pos="10054"/>
      </w:tabs>
      <w:spacing w:after="100"/>
    </w:pPr>
    <w:rPr>
      <w:rFonts w:asciiTheme="majorHAnsi" w:eastAsiaTheme="majorEastAsia" w:hAnsiTheme="majorHAnsi"/>
      <w:b/>
      <w:noProof/>
      <w:color w:val="ED7D31" w:themeColor="accent2"/>
    </w:rPr>
  </w:style>
  <w:style w:type="paragraph" w:styleId="TOC2">
    <w:name w:val="toc 2"/>
    <w:basedOn w:val="Normal"/>
    <w:next w:val="Normal"/>
    <w:autoRedefine/>
    <w:uiPriority w:val="39"/>
    <w:rsid w:val="006927B9"/>
    <w:pPr>
      <w:tabs>
        <w:tab w:val="left" w:pos="880"/>
        <w:tab w:val="right" w:leader="dot" w:pos="10054"/>
      </w:tabs>
      <w:spacing w:after="100"/>
      <w:ind w:left="240"/>
    </w:pPr>
    <w:rPr>
      <w:rFonts w:asciiTheme="majorHAnsi" w:eastAsiaTheme="majorEastAsia" w:hAnsiTheme="majorHAnsi"/>
      <w:noProof/>
    </w:rPr>
  </w:style>
  <w:style w:type="character" w:styleId="SubtleReference">
    <w:name w:val="Subtle Reference"/>
    <w:basedOn w:val="DefaultParagraphFont"/>
    <w:uiPriority w:val="67"/>
    <w:qFormat/>
    <w:rsid w:val="004D1DFA"/>
    <w:rPr>
      <w:smallCaps/>
      <w:color w:val="5A5A5A" w:themeColor="text1" w:themeTint="A5"/>
    </w:rPr>
  </w:style>
  <w:style w:type="paragraph" w:customStyle="1" w:styleId="Style1">
    <w:name w:val="Style1"/>
    <w:basedOn w:val="Normal"/>
    <w:link w:val="Style1Char"/>
    <w:qFormat/>
    <w:rsid w:val="00AB332A"/>
    <w:rPr>
      <w:rFonts w:asciiTheme="majorHAnsi" w:eastAsia="Batang" w:hAnsiTheme="majorHAnsi"/>
      <w:sz w:val="30"/>
      <w:szCs w:val="26"/>
    </w:rPr>
  </w:style>
  <w:style w:type="character" w:customStyle="1" w:styleId="Style1Char">
    <w:name w:val="Style1 Char"/>
    <w:basedOn w:val="DefaultParagraphFont"/>
    <w:link w:val="Style1"/>
    <w:rsid w:val="00AB332A"/>
    <w:rPr>
      <w:rFonts w:asciiTheme="majorHAnsi" w:eastAsia="Batang" w:hAnsiTheme="majorHAnsi"/>
      <w:sz w:val="30"/>
      <w:szCs w:val="26"/>
      <w:lang w:eastAsia="en-US"/>
    </w:rPr>
  </w:style>
  <w:style w:type="paragraph" w:customStyle="1" w:styleId="Style2">
    <w:name w:val="Style2"/>
    <w:basedOn w:val="Style1"/>
    <w:link w:val="Style2Char"/>
    <w:qFormat/>
    <w:rsid w:val="00E005EC"/>
    <w:rPr>
      <w:sz w:val="24"/>
      <w:szCs w:val="24"/>
    </w:rPr>
  </w:style>
  <w:style w:type="character" w:customStyle="1" w:styleId="Style2Char">
    <w:name w:val="Style2 Char"/>
    <w:basedOn w:val="Style1Char"/>
    <w:link w:val="Style2"/>
    <w:rsid w:val="00E005EC"/>
    <w:rPr>
      <w:rFonts w:asciiTheme="majorHAnsi" w:eastAsia="Batang" w:hAnsiTheme="majorHAnsi"/>
      <w:sz w:val="24"/>
      <w:szCs w:val="24"/>
      <w:lang w:eastAsia="en-US"/>
    </w:rPr>
  </w:style>
  <w:style w:type="table" w:styleId="TableGrid">
    <w:name w:val="Table Grid"/>
    <w:basedOn w:val="TableNormal"/>
    <w:rsid w:val="00BE7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rsid w:val="002268A9"/>
    <w:pPr>
      <w:spacing w:after="100"/>
      <w:ind w:left="480"/>
    </w:pPr>
  </w:style>
  <w:style w:type="table" w:customStyle="1" w:styleId="GridTable4Accent3">
    <w:name w:val="Grid Table 4 Accent 3"/>
    <w:basedOn w:val="TableNormal"/>
    <w:uiPriority w:val="49"/>
    <w:rsid w:val="00BE76A3"/>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
    <w:name w:val="Grid Table 6 Colorful"/>
    <w:basedOn w:val="TableNormal"/>
    <w:uiPriority w:val="51"/>
    <w:rsid w:val="00BE76A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rsid w:val="002E171D"/>
    <w:rPr>
      <w:sz w:val="20"/>
      <w:szCs w:val="20"/>
    </w:rPr>
  </w:style>
  <w:style w:type="character" w:customStyle="1" w:styleId="FootnoteTextChar">
    <w:name w:val="Footnote Text Char"/>
    <w:basedOn w:val="DefaultParagraphFont"/>
    <w:link w:val="FootnoteText"/>
    <w:uiPriority w:val="99"/>
    <w:rsid w:val="002E171D"/>
    <w:rPr>
      <w:lang w:eastAsia="en-US"/>
    </w:rPr>
  </w:style>
  <w:style w:type="character" w:styleId="FootnoteReference">
    <w:name w:val="footnote reference"/>
    <w:basedOn w:val="DefaultParagraphFont"/>
    <w:uiPriority w:val="99"/>
    <w:rsid w:val="002E171D"/>
    <w:rPr>
      <w:vertAlign w:val="superscript"/>
    </w:rPr>
  </w:style>
  <w:style w:type="paragraph" w:customStyle="1" w:styleId="subpara">
    <w:name w:val="subpara"/>
    <w:basedOn w:val="Style2"/>
    <w:link w:val="subparaChar"/>
    <w:qFormat/>
    <w:rsid w:val="009F315A"/>
    <w:pPr>
      <w:numPr>
        <w:ilvl w:val="1"/>
        <w:numId w:val="1"/>
      </w:numPr>
    </w:pPr>
    <w:rPr>
      <w:u w:val="single"/>
    </w:rPr>
  </w:style>
  <w:style w:type="character" w:customStyle="1" w:styleId="subparaChar">
    <w:name w:val="subpara Char"/>
    <w:basedOn w:val="Style2Char"/>
    <w:link w:val="subpara"/>
    <w:rsid w:val="009F315A"/>
    <w:rPr>
      <w:rFonts w:asciiTheme="majorHAnsi" w:eastAsia="Batang" w:hAnsiTheme="majorHAnsi"/>
      <w:sz w:val="24"/>
      <w:szCs w:val="24"/>
      <w:u w:val="single"/>
      <w:lang w:eastAsia="en-US"/>
    </w:rPr>
  </w:style>
  <w:style w:type="table" w:customStyle="1" w:styleId="PlainTable5">
    <w:name w:val="Plain Table 5"/>
    <w:basedOn w:val="TableNormal"/>
    <w:uiPriority w:val="45"/>
    <w:rsid w:val="001512F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1512F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
    <w:name w:val="Plain Table 3"/>
    <w:basedOn w:val="TableNormal"/>
    <w:uiPriority w:val="43"/>
    <w:rsid w:val="001512F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8">
    <w:name w:val="toc 8"/>
    <w:basedOn w:val="Normal"/>
    <w:next w:val="Normal"/>
    <w:autoRedefine/>
    <w:uiPriority w:val="39"/>
    <w:unhideWhenUsed/>
    <w:rsid w:val="004450E4"/>
    <w:pPr>
      <w:spacing w:after="100" w:line="259" w:lineRule="auto"/>
      <w:ind w:left="1540"/>
    </w:pPr>
    <w:rPr>
      <w:rFonts w:asciiTheme="minorHAnsi" w:eastAsiaTheme="minorEastAsia" w:hAnsiTheme="minorHAnsi" w:cstheme="minorBidi"/>
      <w:sz w:val="22"/>
      <w:szCs w:val="22"/>
      <w:lang w:eastAsia="en-AU"/>
    </w:rPr>
  </w:style>
  <w:style w:type="character" w:styleId="CommentReference">
    <w:name w:val="annotation reference"/>
    <w:basedOn w:val="DefaultParagraphFont"/>
    <w:uiPriority w:val="99"/>
    <w:rsid w:val="0030371E"/>
    <w:rPr>
      <w:sz w:val="16"/>
      <w:szCs w:val="16"/>
    </w:rPr>
  </w:style>
  <w:style w:type="paragraph" w:styleId="CommentText">
    <w:name w:val="annotation text"/>
    <w:basedOn w:val="Normal"/>
    <w:link w:val="CommentTextChar"/>
    <w:uiPriority w:val="99"/>
    <w:rsid w:val="0030371E"/>
    <w:pPr>
      <w:suppressAutoHyphens/>
      <w:overflowPunct w:val="0"/>
      <w:spacing w:after="160"/>
    </w:pPr>
    <w:rPr>
      <w:rFonts w:ascii="Calibri" w:eastAsia="Calibri" w:hAnsi="Calibri" w:cs="Tahoma"/>
      <w:color w:val="00000A"/>
      <w:sz w:val="20"/>
      <w:szCs w:val="20"/>
    </w:rPr>
  </w:style>
  <w:style w:type="character" w:customStyle="1" w:styleId="CommentTextChar">
    <w:name w:val="Comment Text Char"/>
    <w:basedOn w:val="DefaultParagraphFont"/>
    <w:link w:val="CommentText"/>
    <w:uiPriority w:val="99"/>
    <w:rsid w:val="0030371E"/>
    <w:rPr>
      <w:rFonts w:ascii="Calibri" w:eastAsia="Calibri" w:hAnsi="Calibri" w:cs="Tahoma"/>
      <w:color w:val="00000A"/>
      <w:lang w:eastAsia="en-US"/>
    </w:rPr>
  </w:style>
  <w:style w:type="paragraph" w:styleId="CommentSubject">
    <w:name w:val="annotation subject"/>
    <w:basedOn w:val="CommentText"/>
    <w:next w:val="CommentText"/>
    <w:link w:val="CommentSubjectChar"/>
    <w:rsid w:val="00FC41F5"/>
    <w:pPr>
      <w:suppressAutoHyphens w:val="0"/>
      <w:overflowPunct/>
      <w:spacing w:after="0"/>
    </w:pPr>
    <w:rPr>
      <w:rFonts w:ascii="Times New Roman" w:eastAsia="Times New Roman" w:hAnsi="Times New Roman" w:cs="Times New Roman"/>
      <w:b/>
      <w:bCs/>
      <w:color w:val="auto"/>
    </w:rPr>
  </w:style>
  <w:style w:type="character" w:customStyle="1" w:styleId="CommentSubjectChar">
    <w:name w:val="Comment Subject Char"/>
    <w:basedOn w:val="CommentTextChar"/>
    <w:link w:val="CommentSubject"/>
    <w:rsid w:val="00FC41F5"/>
    <w:rPr>
      <w:rFonts w:ascii="Calibri" w:eastAsia="Calibri" w:hAnsi="Calibri" w:cs="Tahoma"/>
      <w:b/>
      <w:bCs/>
      <w:color w:val="00000A"/>
      <w:lang w:eastAsia="en-US"/>
    </w:rPr>
  </w:style>
</w:styles>
</file>

<file path=word/webSettings.xml><?xml version="1.0" encoding="utf-8"?>
<w:webSettings xmlns:r="http://schemas.openxmlformats.org/officeDocument/2006/relationships" xmlns:w="http://schemas.openxmlformats.org/wordprocessingml/2006/main">
  <w:divs>
    <w:div w:id="178011775">
      <w:bodyDiv w:val="1"/>
      <w:marLeft w:val="0"/>
      <w:marRight w:val="0"/>
      <w:marTop w:val="0"/>
      <w:marBottom w:val="0"/>
      <w:divBdr>
        <w:top w:val="none" w:sz="0" w:space="0" w:color="auto"/>
        <w:left w:val="none" w:sz="0" w:space="0" w:color="auto"/>
        <w:bottom w:val="none" w:sz="0" w:space="0" w:color="auto"/>
        <w:right w:val="none" w:sz="0" w:space="0" w:color="auto"/>
      </w:divBdr>
    </w:div>
    <w:div w:id="241986341">
      <w:bodyDiv w:val="1"/>
      <w:marLeft w:val="0"/>
      <w:marRight w:val="0"/>
      <w:marTop w:val="0"/>
      <w:marBottom w:val="0"/>
      <w:divBdr>
        <w:top w:val="none" w:sz="0" w:space="0" w:color="auto"/>
        <w:left w:val="none" w:sz="0" w:space="0" w:color="auto"/>
        <w:bottom w:val="none" w:sz="0" w:space="0" w:color="auto"/>
        <w:right w:val="none" w:sz="0" w:space="0" w:color="auto"/>
      </w:divBdr>
    </w:div>
    <w:div w:id="930773273">
      <w:bodyDiv w:val="1"/>
      <w:marLeft w:val="0"/>
      <w:marRight w:val="0"/>
      <w:marTop w:val="0"/>
      <w:marBottom w:val="0"/>
      <w:divBdr>
        <w:top w:val="none" w:sz="0" w:space="0" w:color="auto"/>
        <w:left w:val="none" w:sz="0" w:space="0" w:color="auto"/>
        <w:bottom w:val="none" w:sz="0" w:space="0" w:color="auto"/>
        <w:right w:val="none" w:sz="0" w:space="0" w:color="auto"/>
      </w:divBdr>
    </w:div>
    <w:div w:id="1117067843">
      <w:bodyDiv w:val="1"/>
      <w:marLeft w:val="0"/>
      <w:marRight w:val="0"/>
      <w:marTop w:val="0"/>
      <w:marBottom w:val="0"/>
      <w:divBdr>
        <w:top w:val="none" w:sz="0" w:space="0" w:color="auto"/>
        <w:left w:val="none" w:sz="0" w:space="0" w:color="auto"/>
        <w:bottom w:val="none" w:sz="0" w:space="0" w:color="auto"/>
        <w:right w:val="none" w:sz="0" w:space="0" w:color="auto"/>
      </w:divBdr>
    </w:div>
    <w:div w:id="1201211119">
      <w:bodyDiv w:val="1"/>
      <w:marLeft w:val="0"/>
      <w:marRight w:val="0"/>
      <w:marTop w:val="0"/>
      <w:marBottom w:val="0"/>
      <w:divBdr>
        <w:top w:val="none" w:sz="0" w:space="0" w:color="auto"/>
        <w:left w:val="none" w:sz="0" w:space="0" w:color="auto"/>
        <w:bottom w:val="none" w:sz="0" w:space="0" w:color="auto"/>
        <w:right w:val="none" w:sz="0" w:space="0" w:color="auto"/>
      </w:divBdr>
    </w:div>
    <w:div w:id="1447771430">
      <w:bodyDiv w:val="1"/>
      <w:marLeft w:val="0"/>
      <w:marRight w:val="0"/>
      <w:marTop w:val="0"/>
      <w:marBottom w:val="0"/>
      <w:divBdr>
        <w:top w:val="none" w:sz="0" w:space="0" w:color="auto"/>
        <w:left w:val="none" w:sz="0" w:space="0" w:color="auto"/>
        <w:bottom w:val="none" w:sz="0" w:space="0" w:color="auto"/>
        <w:right w:val="none" w:sz="0" w:space="0" w:color="auto"/>
      </w:divBdr>
    </w:div>
    <w:div w:id="1467819382">
      <w:bodyDiv w:val="1"/>
      <w:marLeft w:val="0"/>
      <w:marRight w:val="0"/>
      <w:marTop w:val="0"/>
      <w:marBottom w:val="0"/>
      <w:divBdr>
        <w:top w:val="none" w:sz="0" w:space="0" w:color="auto"/>
        <w:left w:val="none" w:sz="0" w:space="0" w:color="auto"/>
        <w:bottom w:val="none" w:sz="0" w:space="0" w:color="auto"/>
        <w:right w:val="none" w:sz="0" w:space="0" w:color="auto"/>
      </w:divBdr>
    </w:div>
    <w:div w:id="2069256490">
      <w:bodyDiv w:val="1"/>
      <w:marLeft w:val="0"/>
      <w:marRight w:val="0"/>
      <w:marTop w:val="0"/>
      <w:marBottom w:val="0"/>
      <w:divBdr>
        <w:top w:val="none" w:sz="0" w:space="0" w:color="auto"/>
        <w:left w:val="none" w:sz="0" w:space="0" w:color="auto"/>
        <w:bottom w:val="none" w:sz="0" w:space="0" w:color="auto"/>
        <w:right w:val="none" w:sz="0" w:space="0" w:color="auto"/>
      </w:divBdr>
    </w:div>
    <w:div w:id="207207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8B2EB-78F2-4B79-A123-EF1D22A6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Start typing here</vt:lpstr>
    </vt:vector>
  </TitlesOfParts>
  <Company>CRE8IVE</Company>
  <LinksUpToDate>false</LinksUpToDate>
  <CharactersWithSpaces>22135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typing here</dc:title>
  <dc:creator>flowe</dc:creator>
  <cp:lastModifiedBy>marie-claire.muir</cp:lastModifiedBy>
  <cp:revision>2</cp:revision>
  <cp:lastPrinted>2017-02-07T23:26:00Z</cp:lastPrinted>
  <dcterms:created xsi:type="dcterms:W3CDTF">2017-02-27T00:25:00Z</dcterms:created>
  <dcterms:modified xsi:type="dcterms:W3CDTF">2017-02-27T00:25:00Z</dcterms:modified>
</cp:coreProperties>
</file>