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69" w:rsidRPr="00FF1369" w:rsidRDefault="00FF1369" w:rsidP="00FF1369">
      <w:pPr>
        <w:spacing w:line="360" w:lineRule="auto"/>
        <w:jc w:val="both"/>
        <w:rPr>
          <w:lang w:val="en-AU"/>
        </w:rPr>
      </w:pPr>
      <w:r w:rsidRPr="00FF1369">
        <w:rPr>
          <w:lang w:val="en-AU"/>
        </w:rPr>
        <w:t>The Executive Director</w:t>
      </w:r>
    </w:p>
    <w:p w:rsidR="00FF1369" w:rsidRPr="00FF1369" w:rsidRDefault="00FF1369" w:rsidP="00FF1369">
      <w:pPr>
        <w:spacing w:line="360" w:lineRule="auto"/>
        <w:jc w:val="both"/>
        <w:rPr>
          <w:lang w:val="en-AU"/>
        </w:rPr>
      </w:pPr>
      <w:r w:rsidRPr="00FF1369">
        <w:rPr>
          <w:lang w:val="en-AU"/>
        </w:rPr>
        <w:t>Australian Law Reform Commission</w:t>
      </w:r>
    </w:p>
    <w:p w:rsidR="00FF1369" w:rsidRPr="00FF1369" w:rsidRDefault="00FF1369" w:rsidP="00FF1369">
      <w:pPr>
        <w:spacing w:line="360" w:lineRule="auto"/>
        <w:jc w:val="both"/>
        <w:rPr>
          <w:lang w:val="en-AU"/>
        </w:rPr>
      </w:pPr>
      <w:r w:rsidRPr="00FF1369">
        <w:rPr>
          <w:lang w:val="en-AU"/>
        </w:rPr>
        <w:t>GPO Box 3708</w:t>
      </w:r>
    </w:p>
    <w:p w:rsidR="00FF1369" w:rsidRPr="00FF1369" w:rsidRDefault="00FF1369" w:rsidP="00FF1369">
      <w:pPr>
        <w:spacing w:line="360" w:lineRule="auto"/>
        <w:jc w:val="both"/>
        <w:rPr>
          <w:lang w:val="en-AU"/>
        </w:rPr>
      </w:pPr>
      <w:r w:rsidRPr="00FF1369">
        <w:rPr>
          <w:lang w:val="en-AU"/>
        </w:rPr>
        <w:t>Sydney NSW 2001</w:t>
      </w:r>
    </w:p>
    <w:p w:rsidR="00FF1369" w:rsidRDefault="00FF1369" w:rsidP="00FF1369">
      <w:pPr>
        <w:spacing w:line="360" w:lineRule="auto"/>
        <w:jc w:val="both"/>
        <w:rPr>
          <w:lang w:val="en-AU"/>
        </w:rPr>
      </w:pPr>
      <w:r w:rsidRPr="00FF1369">
        <w:rPr>
          <w:lang w:val="en-AU"/>
        </w:rPr>
        <w:t xml:space="preserve">Email: </w:t>
      </w:r>
      <w:hyperlink r:id="rId8" w:history="1">
        <w:r w:rsidR="00D6043D" w:rsidRPr="00BA75B2">
          <w:rPr>
            <w:rStyle w:val="Hyperlink"/>
            <w:lang w:val="en-AU"/>
          </w:rPr>
          <w:t>elder_abuse@alrc.gov.au</w:t>
        </w:r>
      </w:hyperlink>
    </w:p>
    <w:p w:rsidR="00D6043D" w:rsidRPr="00FF1369" w:rsidRDefault="00D6043D" w:rsidP="00FF1369">
      <w:pPr>
        <w:spacing w:line="360" w:lineRule="auto"/>
        <w:jc w:val="both"/>
        <w:rPr>
          <w:lang w:val="en-AU"/>
        </w:rPr>
      </w:pPr>
      <w:r>
        <w:rPr>
          <w:lang w:val="en-AU"/>
        </w:rPr>
        <w:t>January 27, 2017.</w:t>
      </w:r>
    </w:p>
    <w:p w:rsidR="00FF1369" w:rsidRDefault="00FF1369" w:rsidP="00494ED6">
      <w:pPr>
        <w:spacing w:line="360" w:lineRule="auto"/>
        <w:jc w:val="both"/>
        <w:rPr>
          <w:lang w:val="en-AU"/>
        </w:rPr>
      </w:pPr>
    </w:p>
    <w:p w:rsidR="00FF1369" w:rsidRPr="00DE5851" w:rsidRDefault="00FF1369" w:rsidP="00494ED6">
      <w:pPr>
        <w:spacing w:line="360" w:lineRule="auto"/>
        <w:jc w:val="both"/>
        <w:rPr>
          <w:b/>
          <w:lang w:val="en-AU"/>
        </w:rPr>
      </w:pPr>
      <w:r w:rsidRPr="00DE5851">
        <w:rPr>
          <w:b/>
          <w:lang w:val="en-AU"/>
        </w:rPr>
        <w:t>Elder Abuse Submission</w:t>
      </w:r>
    </w:p>
    <w:p w:rsidR="00805FB2" w:rsidRDefault="00805FB2" w:rsidP="00494ED6">
      <w:pPr>
        <w:spacing w:line="360" w:lineRule="auto"/>
        <w:jc w:val="both"/>
        <w:rPr>
          <w:lang w:val="en-AU"/>
        </w:rPr>
      </w:pPr>
    </w:p>
    <w:p w:rsidR="00805FB2" w:rsidRDefault="00805FB2" w:rsidP="00494ED6">
      <w:pPr>
        <w:spacing w:line="360" w:lineRule="auto"/>
        <w:jc w:val="both"/>
        <w:rPr>
          <w:lang w:val="en-AU"/>
        </w:rPr>
      </w:pPr>
      <w:r>
        <w:rPr>
          <w:lang w:val="en-AU"/>
        </w:rPr>
        <w:t>Dear Executive Director,</w:t>
      </w:r>
    </w:p>
    <w:p w:rsidR="00D6043D" w:rsidRDefault="00D6043D" w:rsidP="00494ED6">
      <w:pPr>
        <w:spacing w:line="360" w:lineRule="auto"/>
        <w:jc w:val="both"/>
        <w:rPr>
          <w:lang w:val="en-AU"/>
        </w:rPr>
      </w:pPr>
    </w:p>
    <w:p w:rsidR="00805FB2" w:rsidRDefault="00C91124" w:rsidP="00494ED6">
      <w:pPr>
        <w:spacing w:line="360" w:lineRule="auto"/>
        <w:jc w:val="both"/>
        <w:rPr>
          <w:lang w:val="en-AU"/>
        </w:rPr>
      </w:pPr>
      <w:r>
        <w:rPr>
          <w:lang w:val="en-AU"/>
        </w:rPr>
        <w:t xml:space="preserve">I am a retired </w:t>
      </w:r>
      <w:r w:rsidR="00D47FBD">
        <w:rPr>
          <w:lang w:val="en-AU"/>
        </w:rPr>
        <w:t xml:space="preserve">WA born </w:t>
      </w:r>
      <w:r>
        <w:rPr>
          <w:lang w:val="en-AU"/>
        </w:rPr>
        <w:t>psychiatrist with experience of old age services in Western Australia and England.</w:t>
      </w:r>
      <w:r w:rsidR="00DD51BC">
        <w:rPr>
          <w:lang w:val="en-AU"/>
        </w:rPr>
        <w:t xml:space="preserve"> Until 1999 I held a post at Sir Charles Gairdner Hospital and Selby-Lemnos Hospital in Perth, at which time I was a member of the Aged Care Assessment Team. </w:t>
      </w:r>
      <w:r w:rsidR="00F84C12">
        <w:rPr>
          <w:lang w:val="en-AU"/>
        </w:rPr>
        <w:t xml:space="preserve">I then held several long- term </w:t>
      </w:r>
      <w:r w:rsidR="005642AB">
        <w:rPr>
          <w:lang w:val="en-AU"/>
        </w:rPr>
        <w:t xml:space="preserve">locum </w:t>
      </w:r>
      <w:r w:rsidR="00F84C12">
        <w:rPr>
          <w:lang w:val="en-AU"/>
        </w:rPr>
        <w:t xml:space="preserve">consultant posts in the NHS in England. </w:t>
      </w:r>
      <w:r w:rsidR="00DD51BC">
        <w:rPr>
          <w:lang w:val="en-AU"/>
        </w:rPr>
        <w:t xml:space="preserve">In recent years, </w:t>
      </w:r>
      <w:r w:rsidR="00F84C12">
        <w:rPr>
          <w:lang w:val="en-AU"/>
        </w:rPr>
        <w:t xml:space="preserve">I served on </w:t>
      </w:r>
      <w:r w:rsidR="00DD51BC">
        <w:rPr>
          <w:lang w:val="en-AU"/>
        </w:rPr>
        <w:t>the WA Mental Health Review Board</w:t>
      </w:r>
      <w:r w:rsidR="00F84C12">
        <w:rPr>
          <w:lang w:val="en-AU"/>
        </w:rPr>
        <w:t>, and</w:t>
      </w:r>
      <w:r>
        <w:rPr>
          <w:lang w:val="en-AU"/>
        </w:rPr>
        <w:t xml:space="preserve"> have </w:t>
      </w:r>
      <w:r w:rsidR="00D6043D">
        <w:rPr>
          <w:lang w:val="en-AU"/>
        </w:rPr>
        <w:t xml:space="preserve">just </w:t>
      </w:r>
      <w:r>
        <w:rPr>
          <w:lang w:val="en-AU"/>
        </w:rPr>
        <w:t>completed a PhD at the Law School of the University of Western Australia.</w:t>
      </w:r>
      <w:r w:rsidR="00F24681">
        <w:rPr>
          <w:rStyle w:val="FootnoteReference"/>
          <w:lang w:val="en-AU"/>
        </w:rPr>
        <w:footnoteReference w:id="1"/>
      </w:r>
      <w:r>
        <w:rPr>
          <w:lang w:val="en-AU"/>
        </w:rPr>
        <w:t xml:space="preserve"> </w:t>
      </w:r>
      <w:r w:rsidR="00F84C12">
        <w:rPr>
          <w:lang w:val="en-AU"/>
        </w:rPr>
        <w:t>In my study, l</w:t>
      </w:r>
      <w:r>
        <w:rPr>
          <w:lang w:val="en-AU"/>
        </w:rPr>
        <w:t>egal aspects of de</w:t>
      </w:r>
      <w:r w:rsidR="00935007">
        <w:rPr>
          <w:lang w:val="en-AU"/>
        </w:rPr>
        <w:t>privation of liberty</w:t>
      </w:r>
      <w:r>
        <w:rPr>
          <w:lang w:val="en-AU"/>
        </w:rPr>
        <w:t xml:space="preserve"> </w:t>
      </w:r>
      <w:r w:rsidR="00935007">
        <w:rPr>
          <w:lang w:val="en-AU"/>
        </w:rPr>
        <w:t xml:space="preserve">for </w:t>
      </w:r>
      <w:r>
        <w:rPr>
          <w:lang w:val="en-AU"/>
        </w:rPr>
        <w:t>elderly people in WA</w:t>
      </w:r>
      <w:r w:rsidR="00037E74">
        <w:rPr>
          <w:lang w:val="en-AU"/>
        </w:rPr>
        <w:t xml:space="preserve"> mental health and aged care</w:t>
      </w:r>
      <w:r w:rsidR="00DD51BC">
        <w:rPr>
          <w:lang w:val="en-AU"/>
        </w:rPr>
        <w:t xml:space="preserve"> facilities were</w:t>
      </w:r>
      <w:r>
        <w:rPr>
          <w:lang w:val="en-AU"/>
        </w:rPr>
        <w:t xml:space="preserve"> </w:t>
      </w:r>
      <w:r w:rsidR="00037E74">
        <w:rPr>
          <w:lang w:val="en-AU"/>
        </w:rPr>
        <w:t>compar</w:t>
      </w:r>
      <w:r w:rsidR="00DD51BC">
        <w:rPr>
          <w:lang w:val="en-AU"/>
        </w:rPr>
        <w:t>ed</w:t>
      </w:r>
      <w:r w:rsidR="00037E74">
        <w:rPr>
          <w:lang w:val="en-AU"/>
        </w:rPr>
        <w:t xml:space="preserve"> with</w:t>
      </w:r>
      <w:r>
        <w:rPr>
          <w:lang w:val="en-AU"/>
        </w:rPr>
        <w:t xml:space="preserve"> the position in England. </w:t>
      </w:r>
      <w:r w:rsidR="00DE5851">
        <w:rPr>
          <w:lang w:val="en-AU"/>
        </w:rPr>
        <w:t xml:space="preserve">Elder abuse was not the principal focus of my study, but rather the lack of effective </w:t>
      </w:r>
      <w:r w:rsidR="00DD51BC">
        <w:rPr>
          <w:lang w:val="en-AU"/>
        </w:rPr>
        <w:t xml:space="preserve">legal </w:t>
      </w:r>
      <w:r w:rsidR="00DE5851">
        <w:rPr>
          <w:lang w:val="en-AU"/>
        </w:rPr>
        <w:t xml:space="preserve">safeguards where detention was a consequence of mental health care or aged care placement. </w:t>
      </w:r>
      <w:r w:rsidR="00D6043D">
        <w:rPr>
          <w:lang w:val="en-AU"/>
        </w:rPr>
        <w:t xml:space="preserve">I have attached the thesis abstract. </w:t>
      </w:r>
      <w:r>
        <w:rPr>
          <w:lang w:val="en-AU"/>
        </w:rPr>
        <w:t xml:space="preserve">If anyone </w:t>
      </w:r>
      <w:r w:rsidR="00D6043D">
        <w:rPr>
          <w:lang w:val="en-AU"/>
        </w:rPr>
        <w:t xml:space="preserve">is </w:t>
      </w:r>
      <w:r>
        <w:rPr>
          <w:lang w:val="en-AU"/>
        </w:rPr>
        <w:t xml:space="preserve">interested in </w:t>
      </w:r>
      <w:r w:rsidR="00DE5851">
        <w:rPr>
          <w:lang w:val="en-AU"/>
        </w:rPr>
        <w:t xml:space="preserve">reading a copy of my </w:t>
      </w:r>
      <w:r>
        <w:rPr>
          <w:lang w:val="en-AU"/>
        </w:rPr>
        <w:t>th</w:t>
      </w:r>
      <w:r w:rsidR="00DE5851">
        <w:rPr>
          <w:lang w:val="en-AU"/>
        </w:rPr>
        <w:t>es</w:t>
      </w:r>
      <w:r>
        <w:rPr>
          <w:lang w:val="en-AU"/>
        </w:rPr>
        <w:t xml:space="preserve">is, I would be pleased to email </w:t>
      </w:r>
      <w:r w:rsidR="00DE5851">
        <w:rPr>
          <w:lang w:val="en-AU"/>
        </w:rPr>
        <w:t xml:space="preserve">it </w:t>
      </w:r>
      <w:r w:rsidR="00D47FBD">
        <w:rPr>
          <w:lang w:val="en-AU"/>
        </w:rPr>
        <w:t>to them</w:t>
      </w:r>
      <w:r>
        <w:rPr>
          <w:lang w:val="en-AU"/>
        </w:rPr>
        <w:t xml:space="preserve">.     </w:t>
      </w:r>
      <w:r w:rsidR="00805FB2">
        <w:rPr>
          <w:lang w:val="en-AU"/>
        </w:rPr>
        <w:t xml:space="preserve"> </w:t>
      </w:r>
    </w:p>
    <w:p w:rsidR="00DE5851" w:rsidRDefault="00DE5851" w:rsidP="00494ED6">
      <w:pPr>
        <w:spacing w:line="360" w:lineRule="auto"/>
        <w:jc w:val="both"/>
        <w:rPr>
          <w:lang w:val="en-AU"/>
        </w:rPr>
      </w:pPr>
    </w:p>
    <w:p w:rsidR="00FF1369" w:rsidRDefault="00DE5851" w:rsidP="00494ED6">
      <w:pPr>
        <w:spacing w:line="360" w:lineRule="auto"/>
        <w:jc w:val="both"/>
        <w:rPr>
          <w:lang w:val="en-AU"/>
        </w:rPr>
      </w:pPr>
      <w:r>
        <w:rPr>
          <w:lang w:val="en-AU"/>
        </w:rPr>
        <w:t>Brief comments:</w:t>
      </w:r>
    </w:p>
    <w:p w:rsidR="00D6043D" w:rsidRDefault="00D6043D" w:rsidP="00494ED6">
      <w:pPr>
        <w:spacing w:line="360" w:lineRule="auto"/>
        <w:jc w:val="both"/>
        <w:rPr>
          <w:lang w:val="en-AU"/>
        </w:rPr>
      </w:pPr>
    </w:p>
    <w:p w:rsidR="002F1069" w:rsidRDefault="002F1069" w:rsidP="00494ED6">
      <w:pPr>
        <w:pStyle w:val="ListParagraph"/>
        <w:numPr>
          <w:ilvl w:val="0"/>
          <w:numId w:val="13"/>
        </w:numPr>
        <w:spacing w:line="360" w:lineRule="auto"/>
        <w:jc w:val="both"/>
        <w:rPr>
          <w:lang w:val="en-AU"/>
        </w:rPr>
      </w:pPr>
      <w:r>
        <w:rPr>
          <w:lang w:val="en-AU"/>
        </w:rPr>
        <w:t>National plans</w:t>
      </w:r>
    </w:p>
    <w:p w:rsidR="002F1069" w:rsidRDefault="002F1069" w:rsidP="00494ED6">
      <w:pPr>
        <w:spacing w:line="360" w:lineRule="auto"/>
        <w:jc w:val="both"/>
        <w:rPr>
          <w:lang w:val="en-AU"/>
        </w:rPr>
      </w:pPr>
      <w:r>
        <w:rPr>
          <w:lang w:val="en-AU"/>
        </w:rPr>
        <w:t>These have little effect if State governments do not incorporate them</w:t>
      </w:r>
      <w:r w:rsidR="00B8402B">
        <w:rPr>
          <w:lang w:val="en-AU"/>
        </w:rPr>
        <w:t xml:space="preserve"> into practice and </w:t>
      </w:r>
      <w:r w:rsidR="00D47FBD">
        <w:rPr>
          <w:lang w:val="en-AU"/>
        </w:rPr>
        <w:t xml:space="preserve">provide </w:t>
      </w:r>
      <w:r w:rsidR="00B8402B">
        <w:rPr>
          <w:lang w:val="en-AU"/>
        </w:rPr>
        <w:t>resourcing</w:t>
      </w:r>
      <w:r>
        <w:rPr>
          <w:lang w:val="en-AU"/>
        </w:rPr>
        <w:t>.</w:t>
      </w:r>
      <w:r w:rsidR="00B8402B">
        <w:rPr>
          <w:lang w:val="en-AU"/>
        </w:rPr>
        <w:t xml:space="preserve"> Compliance of governments should be independently audited. </w:t>
      </w:r>
      <w:r w:rsidR="00F84C12">
        <w:rPr>
          <w:lang w:val="en-AU"/>
        </w:rPr>
        <w:t>Self-reporting by government departments is inadequate given the paucity of verifiable statistical information.</w:t>
      </w:r>
      <w:r w:rsidR="00935007">
        <w:rPr>
          <w:rStyle w:val="FootnoteReference"/>
          <w:lang w:val="en-AU"/>
        </w:rPr>
        <w:footnoteReference w:id="2"/>
      </w:r>
      <w:r w:rsidR="00F84C12">
        <w:rPr>
          <w:lang w:val="en-AU"/>
        </w:rPr>
        <w:t xml:space="preserve"> Annual reports from some statutory bodies </w:t>
      </w:r>
      <w:r w:rsidR="00D857A6">
        <w:rPr>
          <w:lang w:val="en-AU"/>
        </w:rPr>
        <w:t xml:space="preserve">such as the WA Mental Health </w:t>
      </w:r>
      <w:proofErr w:type="gramStart"/>
      <w:r w:rsidR="00D857A6">
        <w:rPr>
          <w:lang w:val="en-AU"/>
        </w:rPr>
        <w:lastRenderedPageBreak/>
        <w:t>Commission,</w:t>
      </w:r>
      <w:proofErr w:type="gramEnd"/>
      <w:r w:rsidR="00D857A6">
        <w:rPr>
          <w:lang w:val="en-AU"/>
        </w:rPr>
        <w:t xml:space="preserve"> </w:t>
      </w:r>
      <w:r w:rsidR="00F84C12">
        <w:rPr>
          <w:lang w:val="en-AU"/>
        </w:rPr>
        <w:t xml:space="preserve">are </w:t>
      </w:r>
      <w:r w:rsidR="00D6043D">
        <w:rPr>
          <w:lang w:val="en-AU"/>
        </w:rPr>
        <w:t>closer t</w:t>
      </w:r>
      <w:r w:rsidR="00D857A6">
        <w:rPr>
          <w:lang w:val="en-AU"/>
        </w:rPr>
        <w:t>o political</w:t>
      </w:r>
      <w:r w:rsidR="00F84C12">
        <w:rPr>
          <w:lang w:val="en-AU"/>
        </w:rPr>
        <w:t xml:space="preserve"> statements than accurate reflections of what happens in practice. </w:t>
      </w:r>
    </w:p>
    <w:p w:rsidR="004C7F5A" w:rsidRDefault="004C7F5A" w:rsidP="00494ED6">
      <w:pPr>
        <w:spacing w:line="360" w:lineRule="auto"/>
        <w:jc w:val="both"/>
        <w:rPr>
          <w:lang w:val="en-AU"/>
        </w:rPr>
      </w:pPr>
      <w:r>
        <w:rPr>
          <w:lang w:val="en-AU"/>
        </w:rPr>
        <w:t xml:space="preserve">The WA government and </w:t>
      </w:r>
      <w:r w:rsidR="005642AB">
        <w:rPr>
          <w:lang w:val="en-AU"/>
        </w:rPr>
        <w:t xml:space="preserve">the </w:t>
      </w:r>
      <w:r>
        <w:rPr>
          <w:lang w:val="en-AU"/>
        </w:rPr>
        <w:t>opposition have little interest in Human Rights legislation. The Sydney</w:t>
      </w:r>
      <w:r w:rsidR="005642AB">
        <w:rPr>
          <w:lang w:val="en-AU"/>
        </w:rPr>
        <w:t>-</w:t>
      </w:r>
      <w:r>
        <w:rPr>
          <w:lang w:val="en-AU"/>
        </w:rPr>
        <w:t>based Australian Human Rights Commission appears to have very limited impact in WA, despite evidence of serious concerns with the incarceration of persons lacking capacity.</w:t>
      </w:r>
      <w:r>
        <w:rPr>
          <w:rStyle w:val="FootnoteReference"/>
          <w:lang w:val="en-AU"/>
        </w:rPr>
        <w:footnoteReference w:id="3"/>
      </w:r>
      <w:r>
        <w:rPr>
          <w:lang w:val="en-AU"/>
        </w:rPr>
        <w:t xml:space="preserve">  </w:t>
      </w:r>
    </w:p>
    <w:p w:rsidR="00D6043D" w:rsidRDefault="00D6043D" w:rsidP="00494ED6">
      <w:pPr>
        <w:spacing w:line="360" w:lineRule="auto"/>
        <w:jc w:val="both"/>
        <w:rPr>
          <w:lang w:val="en-AU"/>
        </w:rPr>
      </w:pPr>
    </w:p>
    <w:p w:rsidR="00DE5851" w:rsidRPr="00DE5851" w:rsidRDefault="00DE5851" w:rsidP="00DE5851">
      <w:pPr>
        <w:pStyle w:val="ListParagraph"/>
        <w:numPr>
          <w:ilvl w:val="0"/>
          <w:numId w:val="13"/>
        </w:numPr>
        <w:spacing w:line="360" w:lineRule="auto"/>
        <w:jc w:val="both"/>
        <w:rPr>
          <w:lang w:val="en-AU"/>
        </w:rPr>
      </w:pPr>
      <w:r w:rsidRPr="00DE5851">
        <w:rPr>
          <w:lang w:val="en-AU"/>
        </w:rPr>
        <w:t>Prevalence</w:t>
      </w:r>
      <w:r>
        <w:rPr>
          <w:lang w:val="en-AU"/>
        </w:rPr>
        <w:t xml:space="preserve"> </w:t>
      </w:r>
      <w:r w:rsidRPr="00DE5851">
        <w:rPr>
          <w:lang w:val="en-AU"/>
        </w:rPr>
        <w:t xml:space="preserve"> </w:t>
      </w:r>
    </w:p>
    <w:p w:rsidR="002F1069" w:rsidRDefault="00DE5851" w:rsidP="00DE5851">
      <w:pPr>
        <w:spacing w:line="360" w:lineRule="auto"/>
        <w:jc w:val="both"/>
        <w:rPr>
          <w:lang w:val="en-AU"/>
        </w:rPr>
      </w:pPr>
      <w:r w:rsidRPr="00DE5851">
        <w:rPr>
          <w:lang w:val="en-AU"/>
        </w:rPr>
        <w:t>Studies of the p</w:t>
      </w:r>
      <w:r w:rsidR="002F1069" w:rsidRPr="00DE5851">
        <w:rPr>
          <w:lang w:val="en-AU"/>
        </w:rPr>
        <w:t xml:space="preserve">revalence </w:t>
      </w:r>
      <w:r w:rsidR="00803A36" w:rsidRPr="00DE5851">
        <w:rPr>
          <w:lang w:val="en-AU"/>
        </w:rPr>
        <w:t xml:space="preserve">of abuse </w:t>
      </w:r>
      <w:r w:rsidR="002F1069" w:rsidRPr="00DE5851">
        <w:rPr>
          <w:lang w:val="en-AU"/>
        </w:rPr>
        <w:t>must be independent of governments and establish verifiable criteria by which performance between States can be compared.</w:t>
      </w:r>
      <w:r w:rsidRPr="00DE5851">
        <w:rPr>
          <w:lang w:val="en-AU"/>
        </w:rPr>
        <w:t xml:space="preserve"> </w:t>
      </w:r>
      <w:r w:rsidR="00D857A6">
        <w:rPr>
          <w:lang w:val="en-AU"/>
        </w:rPr>
        <w:t xml:space="preserve">Ascertaining the extent of use of mental health detention in WA through publicly available information </w:t>
      </w:r>
      <w:r w:rsidR="00D6043D">
        <w:rPr>
          <w:lang w:val="en-AU"/>
        </w:rPr>
        <w:t>is impossible without recourse to FOI procedures.</w:t>
      </w:r>
      <w:r w:rsidR="00D6043D">
        <w:rPr>
          <w:rStyle w:val="FootnoteReference"/>
          <w:lang w:val="en-AU"/>
        </w:rPr>
        <w:footnoteReference w:id="4"/>
      </w:r>
      <w:r w:rsidR="00D6043D">
        <w:rPr>
          <w:lang w:val="en-AU"/>
        </w:rPr>
        <w:t xml:space="preserve"> </w:t>
      </w:r>
      <w:r w:rsidR="005642AB">
        <w:rPr>
          <w:lang w:val="en-AU"/>
        </w:rPr>
        <w:t xml:space="preserve">No Commonwealth records are available indicating which aged care facilities are locked at all times, ensuring that patients can only leave with staff assistance.  </w:t>
      </w:r>
      <w:r w:rsidR="00D857A6">
        <w:rPr>
          <w:lang w:val="en-AU"/>
        </w:rPr>
        <w:t xml:space="preserve"> </w:t>
      </w:r>
    </w:p>
    <w:p w:rsidR="00D6043D" w:rsidRPr="00DE5851" w:rsidRDefault="00D6043D" w:rsidP="00DE5851">
      <w:pPr>
        <w:spacing w:line="360" w:lineRule="auto"/>
        <w:jc w:val="both"/>
        <w:rPr>
          <w:lang w:val="en-AU"/>
        </w:rPr>
      </w:pPr>
    </w:p>
    <w:p w:rsidR="002F1069" w:rsidRDefault="002F1069" w:rsidP="00494ED6">
      <w:pPr>
        <w:pStyle w:val="ListParagraph"/>
        <w:numPr>
          <w:ilvl w:val="0"/>
          <w:numId w:val="13"/>
        </w:numPr>
        <w:spacing w:line="360" w:lineRule="auto"/>
        <w:jc w:val="both"/>
        <w:rPr>
          <w:lang w:val="en-AU"/>
        </w:rPr>
      </w:pPr>
      <w:r>
        <w:rPr>
          <w:lang w:val="en-AU"/>
        </w:rPr>
        <w:t>Powers of investigation</w:t>
      </w:r>
    </w:p>
    <w:p w:rsidR="00B16E4C" w:rsidRDefault="002F1069" w:rsidP="00494ED6">
      <w:pPr>
        <w:spacing w:line="360" w:lineRule="auto"/>
        <w:jc w:val="both"/>
        <w:rPr>
          <w:lang w:val="en-AU"/>
        </w:rPr>
      </w:pPr>
      <w:r>
        <w:rPr>
          <w:lang w:val="en-AU"/>
        </w:rPr>
        <w:t xml:space="preserve">State resourcing of public advocates and public guardians should be </w:t>
      </w:r>
      <w:r w:rsidR="00B16E4C">
        <w:rPr>
          <w:lang w:val="en-AU"/>
        </w:rPr>
        <w:t xml:space="preserve">audited and </w:t>
      </w:r>
      <w:r>
        <w:rPr>
          <w:lang w:val="en-AU"/>
        </w:rPr>
        <w:t>compared in terms of budgets, population serviced and numbers under care etc.</w:t>
      </w:r>
      <w:r w:rsidR="00112242">
        <w:rPr>
          <w:lang w:val="en-AU"/>
        </w:rPr>
        <w:t xml:space="preserve"> </w:t>
      </w:r>
      <w:r w:rsidR="000C0B24">
        <w:rPr>
          <w:lang w:val="en-AU"/>
        </w:rPr>
        <w:t>Otherwise governments will</w:t>
      </w:r>
    </w:p>
    <w:p w:rsidR="004631E3" w:rsidRDefault="00B16E4C" w:rsidP="00494ED6">
      <w:pPr>
        <w:spacing w:line="360" w:lineRule="auto"/>
        <w:jc w:val="both"/>
        <w:rPr>
          <w:lang w:val="en-AU"/>
        </w:rPr>
      </w:pPr>
      <w:proofErr w:type="gramStart"/>
      <w:r>
        <w:rPr>
          <w:lang w:val="en-AU"/>
        </w:rPr>
        <w:t>avoid</w:t>
      </w:r>
      <w:proofErr w:type="gramEnd"/>
      <w:r>
        <w:rPr>
          <w:lang w:val="en-AU"/>
        </w:rPr>
        <w:t xml:space="preserve"> meeting national benchmarks. </w:t>
      </w:r>
      <w:r w:rsidR="00FD41C8">
        <w:rPr>
          <w:lang w:val="en-AU"/>
        </w:rPr>
        <w:t xml:space="preserve">In my thesis, I have mentioned that </w:t>
      </w:r>
      <w:r w:rsidR="00A72CBA">
        <w:rPr>
          <w:lang w:val="en-AU"/>
        </w:rPr>
        <w:t xml:space="preserve">although the </w:t>
      </w:r>
      <w:r w:rsidR="00FD41C8">
        <w:rPr>
          <w:lang w:val="en-AU"/>
        </w:rPr>
        <w:t xml:space="preserve">number of persons in aged care facilities in WA </w:t>
      </w:r>
      <w:r w:rsidR="00A72CBA">
        <w:rPr>
          <w:lang w:val="en-AU"/>
        </w:rPr>
        <w:t>was 16,350</w:t>
      </w:r>
      <w:r w:rsidR="00FD41C8">
        <w:rPr>
          <w:lang w:val="en-AU"/>
        </w:rPr>
        <w:t>, the Public Advocate is guardian of last resort for only 1</w:t>
      </w:r>
      <w:r w:rsidR="00A72CBA">
        <w:rPr>
          <w:lang w:val="en-AU"/>
        </w:rPr>
        <w:t>,383</w:t>
      </w:r>
      <w:r w:rsidR="00FD41C8">
        <w:rPr>
          <w:lang w:val="en-AU"/>
        </w:rPr>
        <w:t xml:space="preserve"> persons</w:t>
      </w:r>
      <w:r w:rsidR="00A72CBA">
        <w:rPr>
          <w:lang w:val="en-AU"/>
        </w:rPr>
        <w:t>, many of whom are not in aged care</w:t>
      </w:r>
      <w:r w:rsidR="00FD41C8">
        <w:rPr>
          <w:lang w:val="en-AU"/>
        </w:rPr>
        <w:t>.</w:t>
      </w:r>
      <w:r w:rsidR="00FD41C8">
        <w:rPr>
          <w:rStyle w:val="FootnoteReference"/>
          <w:lang w:val="en-AU"/>
        </w:rPr>
        <w:footnoteReference w:id="5"/>
      </w:r>
      <w:r w:rsidR="00FD41C8">
        <w:rPr>
          <w:lang w:val="en-AU"/>
        </w:rPr>
        <w:t xml:space="preserve"> This suggests a substantial shortfall met by ‘informal’ arrangements. The extent of informal </w:t>
      </w:r>
      <w:r w:rsidR="009B17EE">
        <w:rPr>
          <w:lang w:val="en-AU"/>
        </w:rPr>
        <w:t xml:space="preserve">decision-making </w:t>
      </w:r>
      <w:r w:rsidR="00FD41C8">
        <w:rPr>
          <w:lang w:val="en-AU"/>
        </w:rPr>
        <w:t xml:space="preserve">arrangements </w:t>
      </w:r>
      <w:proofErr w:type="spellStart"/>
      <w:r w:rsidR="009B17EE">
        <w:rPr>
          <w:lang w:val="en-AU"/>
        </w:rPr>
        <w:t>vs</w:t>
      </w:r>
      <w:proofErr w:type="spellEnd"/>
      <w:r w:rsidR="009B17EE">
        <w:rPr>
          <w:lang w:val="en-AU"/>
        </w:rPr>
        <w:t xml:space="preserve"> legal oversight </w:t>
      </w:r>
      <w:r w:rsidR="00FD41C8">
        <w:rPr>
          <w:lang w:val="en-AU"/>
        </w:rPr>
        <w:t>has been mentioned as a concern</w:t>
      </w:r>
      <w:r w:rsidR="009B17EE">
        <w:rPr>
          <w:lang w:val="en-AU"/>
        </w:rPr>
        <w:t xml:space="preserve"> in several studies.</w:t>
      </w:r>
      <w:r w:rsidR="00FD41C8">
        <w:rPr>
          <w:lang w:val="en-AU"/>
        </w:rPr>
        <w:t xml:space="preserve"> While no doubt </w:t>
      </w:r>
      <w:r w:rsidR="00AE7F68">
        <w:rPr>
          <w:lang w:val="en-AU"/>
        </w:rPr>
        <w:t>most</w:t>
      </w:r>
      <w:r w:rsidR="009B17EE">
        <w:rPr>
          <w:lang w:val="en-AU"/>
        </w:rPr>
        <w:t xml:space="preserve"> these decisions </w:t>
      </w:r>
      <w:r w:rsidR="00FD41C8">
        <w:rPr>
          <w:lang w:val="en-AU"/>
        </w:rPr>
        <w:t>are well intentioned, the potential for harm and loss of autonomy is clearly present.</w:t>
      </w:r>
      <w:r w:rsidR="009B17EE">
        <w:rPr>
          <w:lang w:val="en-AU"/>
        </w:rPr>
        <w:t xml:space="preserve"> </w:t>
      </w:r>
      <w:r w:rsidR="00FD41C8">
        <w:rPr>
          <w:lang w:val="en-AU"/>
        </w:rPr>
        <w:t xml:space="preserve">    </w:t>
      </w:r>
      <w:r w:rsidR="000C0B24">
        <w:rPr>
          <w:lang w:val="en-AU"/>
        </w:rPr>
        <w:t xml:space="preserve"> </w:t>
      </w:r>
    </w:p>
    <w:p w:rsidR="00D6043D" w:rsidRDefault="00D6043D" w:rsidP="00494ED6">
      <w:pPr>
        <w:spacing w:line="360" w:lineRule="auto"/>
        <w:jc w:val="both"/>
        <w:rPr>
          <w:lang w:val="en-AU"/>
        </w:rPr>
      </w:pPr>
    </w:p>
    <w:p w:rsidR="004631E3" w:rsidRDefault="0007305B" w:rsidP="00494ED6">
      <w:pPr>
        <w:pStyle w:val="ListParagraph"/>
        <w:numPr>
          <w:ilvl w:val="0"/>
          <w:numId w:val="13"/>
        </w:numPr>
        <w:spacing w:line="360" w:lineRule="auto"/>
        <w:jc w:val="both"/>
        <w:rPr>
          <w:lang w:val="en-AU"/>
        </w:rPr>
      </w:pPr>
      <w:r>
        <w:rPr>
          <w:lang w:val="en-AU"/>
        </w:rPr>
        <w:t>Family agreements</w:t>
      </w:r>
      <w:r w:rsidR="00B16E4C">
        <w:rPr>
          <w:lang w:val="en-AU"/>
        </w:rPr>
        <w:t xml:space="preserve"> </w:t>
      </w:r>
    </w:p>
    <w:p w:rsidR="00D6043D" w:rsidRDefault="00B16E4C" w:rsidP="00494ED6">
      <w:pPr>
        <w:spacing w:line="360" w:lineRule="auto"/>
        <w:jc w:val="both"/>
        <w:rPr>
          <w:lang w:val="en-AU"/>
        </w:rPr>
      </w:pPr>
      <w:r>
        <w:rPr>
          <w:lang w:val="en-AU"/>
        </w:rPr>
        <w:t xml:space="preserve">Strict reviews should take place where </w:t>
      </w:r>
      <w:proofErr w:type="gramStart"/>
      <w:r>
        <w:rPr>
          <w:lang w:val="en-AU"/>
        </w:rPr>
        <w:t>aged care admission results at any time after an ‘assets for care’ arrangement</w:t>
      </w:r>
      <w:r w:rsidR="00FD41C8">
        <w:rPr>
          <w:lang w:val="en-AU"/>
        </w:rPr>
        <w:t xml:space="preserve"> is</w:t>
      </w:r>
      <w:proofErr w:type="gramEnd"/>
      <w:r w:rsidR="00FD41C8">
        <w:rPr>
          <w:lang w:val="en-AU"/>
        </w:rPr>
        <w:t xml:space="preserve"> found to have broken down.</w:t>
      </w:r>
      <w:r w:rsidR="00F51466">
        <w:rPr>
          <w:lang w:val="en-AU"/>
        </w:rPr>
        <w:t xml:space="preserve">  </w:t>
      </w:r>
    </w:p>
    <w:p w:rsidR="00DE5851" w:rsidRDefault="00F51466" w:rsidP="00494ED6">
      <w:pPr>
        <w:spacing w:line="360" w:lineRule="auto"/>
        <w:jc w:val="both"/>
        <w:rPr>
          <w:lang w:val="en-AU"/>
        </w:rPr>
      </w:pPr>
      <w:r>
        <w:rPr>
          <w:lang w:val="en-AU"/>
        </w:rPr>
        <w:t xml:space="preserve"> </w:t>
      </w:r>
    </w:p>
    <w:p w:rsidR="00B16E4C" w:rsidRDefault="00B16E4C" w:rsidP="00494ED6">
      <w:pPr>
        <w:pStyle w:val="ListParagraph"/>
        <w:numPr>
          <w:ilvl w:val="0"/>
          <w:numId w:val="13"/>
        </w:numPr>
        <w:spacing w:line="360" w:lineRule="auto"/>
        <w:jc w:val="both"/>
        <w:rPr>
          <w:lang w:val="en-AU"/>
        </w:rPr>
      </w:pPr>
      <w:r>
        <w:rPr>
          <w:lang w:val="en-AU"/>
        </w:rPr>
        <w:t>Aged care</w:t>
      </w:r>
    </w:p>
    <w:p w:rsidR="00D6043D" w:rsidRDefault="00132D0E" w:rsidP="00132D0E">
      <w:pPr>
        <w:spacing w:line="360" w:lineRule="auto"/>
        <w:jc w:val="both"/>
        <w:rPr>
          <w:lang w:val="en-AU"/>
        </w:rPr>
      </w:pPr>
      <w:r>
        <w:rPr>
          <w:lang w:val="en-AU"/>
        </w:rPr>
        <w:lastRenderedPageBreak/>
        <w:t xml:space="preserve">Important as it is to address abuses </w:t>
      </w:r>
      <w:r w:rsidRPr="00132D0E">
        <w:rPr>
          <w:i/>
          <w:lang w:val="en-AU"/>
        </w:rPr>
        <w:t>within</w:t>
      </w:r>
      <w:r>
        <w:rPr>
          <w:lang w:val="en-AU"/>
        </w:rPr>
        <w:t xml:space="preserve"> aged care facilities, greater </w:t>
      </w:r>
      <w:r w:rsidR="00B16E4C">
        <w:rPr>
          <w:lang w:val="en-AU"/>
        </w:rPr>
        <w:t xml:space="preserve">attention needs to be given to </w:t>
      </w:r>
      <w:r w:rsidR="000651A0">
        <w:rPr>
          <w:lang w:val="en-AU"/>
        </w:rPr>
        <w:t xml:space="preserve">consent and capacity, </w:t>
      </w:r>
      <w:r w:rsidR="00B16E4C" w:rsidRPr="00132D0E">
        <w:rPr>
          <w:i/>
          <w:lang w:val="en-AU"/>
        </w:rPr>
        <w:t>prior to</w:t>
      </w:r>
      <w:r w:rsidR="00B16E4C">
        <w:rPr>
          <w:lang w:val="en-AU"/>
        </w:rPr>
        <w:t xml:space="preserve"> aged care admission. Once a person has been admitted or placed in aged care, </w:t>
      </w:r>
      <w:r w:rsidR="00B8402B">
        <w:rPr>
          <w:lang w:val="en-AU"/>
        </w:rPr>
        <w:t xml:space="preserve">it becomes very difficult to reverse the process, and harm may have already occurred in the initial period. </w:t>
      </w:r>
      <w:r w:rsidR="000651A0">
        <w:rPr>
          <w:lang w:val="en-AU"/>
        </w:rPr>
        <w:t xml:space="preserve">Aged Care Assessment Teams are not subjected to independent legal checks and balances in making </w:t>
      </w:r>
      <w:r w:rsidR="005642AB">
        <w:rPr>
          <w:lang w:val="en-AU"/>
        </w:rPr>
        <w:t xml:space="preserve">placement </w:t>
      </w:r>
      <w:r w:rsidR="000651A0">
        <w:rPr>
          <w:lang w:val="en-AU"/>
        </w:rPr>
        <w:t>decisions, particularly where capacity and consent may be impaired.</w:t>
      </w:r>
      <w:r>
        <w:rPr>
          <w:lang w:val="en-AU"/>
        </w:rPr>
        <w:t xml:space="preserve"> Administrative pressures to </w:t>
      </w:r>
      <w:r w:rsidR="005642AB">
        <w:rPr>
          <w:lang w:val="en-AU"/>
        </w:rPr>
        <w:t>shift</w:t>
      </w:r>
      <w:r>
        <w:rPr>
          <w:lang w:val="en-AU"/>
        </w:rPr>
        <w:t xml:space="preserve"> patients out of hospitals, and failure of States to meet their obligations to provide services at home</w:t>
      </w:r>
      <w:r w:rsidR="005642AB">
        <w:rPr>
          <w:lang w:val="en-AU"/>
        </w:rPr>
        <w:t>,</w:t>
      </w:r>
      <w:r>
        <w:rPr>
          <w:lang w:val="en-AU"/>
        </w:rPr>
        <w:t xml:space="preserve"> can contribute to </w:t>
      </w:r>
      <w:r w:rsidR="005642AB">
        <w:rPr>
          <w:lang w:val="en-AU"/>
        </w:rPr>
        <w:t xml:space="preserve">risk of </w:t>
      </w:r>
      <w:r>
        <w:rPr>
          <w:lang w:val="en-AU"/>
        </w:rPr>
        <w:t>abuse.</w:t>
      </w:r>
      <w:r w:rsidR="000651A0">
        <w:rPr>
          <w:lang w:val="en-AU"/>
        </w:rPr>
        <w:t xml:space="preserve"> </w:t>
      </w:r>
      <w:r w:rsidR="00D47FBD">
        <w:rPr>
          <w:lang w:val="en-AU"/>
        </w:rPr>
        <w:t>As</w:t>
      </w:r>
      <w:r w:rsidR="00D6043D">
        <w:rPr>
          <w:lang w:val="en-AU"/>
        </w:rPr>
        <w:t xml:space="preserve"> a psychiatrist</w:t>
      </w:r>
      <w:r w:rsidR="00D47FBD">
        <w:rPr>
          <w:lang w:val="en-AU"/>
        </w:rPr>
        <w:t xml:space="preserve"> who has held ACAT membership, I am acutely aware of this concern. </w:t>
      </w:r>
      <w:r>
        <w:rPr>
          <w:lang w:val="en-AU"/>
        </w:rPr>
        <w:t xml:space="preserve">The fact that abuses such as sexual and physical assaults can arise in all forms of aged care </w:t>
      </w:r>
      <w:r w:rsidR="00F24681">
        <w:rPr>
          <w:lang w:val="en-AU"/>
        </w:rPr>
        <w:t>signals</w:t>
      </w:r>
      <w:r>
        <w:rPr>
          <w:lang w:val="en-AU"/>
        </w:rPr>
        <w:t xml:space="preserve"> that admission into </w:t>
      </w:r>
      <w:r w:rsidR="00D47FBD">
        <w:rPr>
          <w:lang w:val="en-AU"/>
        </w:rPr>
        <w:t xml:space="preserve">residential </w:t>
      </w:r>
      <w:r>
        <w:rPr>
          <w:lang w:val="en-AU"/>
        </w:rPr>
        <w:t xml:space="preserve">care carries a range of risks, some of which can be extreme. This strengthens the case for </w:t>
      </w:r>
      <w:r w:rsidR="00935007">
        <w:rPr>
          <w:lang w:val="en-AU"/>
        </w:rPr>
        <w:t xml:space="preserve">assertive and vigilant </w:t>
      </w:r>
      <w:r>
        <w:rPr>
          <w:lang w:val="en-AU"/>
        </w:rPr>
        <w:t>oversight of the entire process</w:t>
      </w:r>
      <w:r w:rsidR="009B17EE">
        <w:rPr>
          <w:lang w:val="en-AU"/>
        </w:rPr>
        <w:t>, and the need to balance risks entailed in both action and inaction, while supporting autonomy</w:t>
      </w:r>
      <w:r>
        <w:rPr>
          <w:lang w:val="en-AU"/>
        </w:rPr>
        <w:t xml:space="preserve">. </w:t>
      </w:r>
    </w:p>
    <w:p w:rsidR="00D6043D" w:rsidRDefault="00D6043D" w:rsidP="00132D0E">
      <w:pPr>
        <w:spacing w:line="360" w:lineRule="auto"/>
        <w:jc w:val="both"/>
        <w:rPr>
          <w:lang w:val="en-AU"/>
        </w:rPr>
      </w:pPr>
    </w:p>
    <w:p w:rsidR="00B8402B" w:rsidRPr="00132D0E" w:rsidRDefault="00B8402B" w:rsidP="00132D0E">
      <w:pPr>
        <w:pStyle w:val="ListParagraph"/>
        <w:numPr>
          <w:ilvl w:val="0"/>
          <w:numId w:val="13"/>
        </w:numPr>
        <w:spacing w:line="360" w:lineRule="auto"/>
        <w:jc w:val="both"/>
        <w:rPr>
          <w:lang w:val="en-AU"/>
        </w:rPr>
      </w:pPr>
      <w:r w:rsidRPr="00132D0E">
        <w:rPr>
          <w:lang w:val="en-AU"/>
        </w:rPr>
        <w:t xml:space="preserve">Community </w:t>
      </w:r>
      <w:proofErr w:type="gramStart"/>
      <w:r w:rsidRPr="00132D0E">
        <w:rPr>
          <w:lang w:val="en-AU"/>
        </w:rPr>
        <w:t>visitors</w:t>
      </w:r>
      <w:proofErr w:type="gramEnd"/>
      <w:r w:rsidRPr="00132D0E">
        <w:rPr>
          <w:lang w:val="en-AU"/>
        </w:rPr>
        <w:t xml:space="preserve"> scheme. </w:t>
      </w:r>
    </w:p>
    <w:p w:rsidR="00FA1CA7" w:rsidRDefault="00B8402B" w:rsidP="00FA1CA7">
      <w:pPr>
        <w:spacing w:line="360" w:lineRule="auto"/>
        <w:jc w:val="both"/>
        <w:rPr>
          <w:lang w:val="en-AU"/>
        </w:rPr>
      </w:pPr>
      <w:r>
        <w:rPr>
          <w:lang w:val="en-AU"/>
        </w:rPr>
        <w:t>I strongly support this proposal</w:t>
      </w:r>
      <w:r w:rsidR="00803A36">
        <w:rPr>
          <w:lang w:val="en-AU"/>
        </w:rPr>
        <w:t>,</w:t>
      </w:r>
      <w:r>
        <w:rPr>
          <w:lang w:val="en-AU"/>
        </w:rPr>
        <w:t xml:space="preserve"> and that it must have legislative authority like that which applies to mental health care.</w:t>
      </w:r>
      <w:r w:rsidR="00F24681">
        <w:rPr>
          <w:rStyle w:val="FootnoteReference"/>
          <w:lang w:val="en-AU"/>
        </w:rPr>
        <w:footnoteReference w:id="6"/>
      </w:r>
      <w:r w:rsidR="00803A36">
        <w:rPr>
          <w:lang w:val="en-AU"/>
        </w:rPr>
        <w:t xml:space="preserve"> </w:t>
      </w:r>
      <w:r w:rsidR="000651A0">
        <w:rPr>
          <w:lang w:val="en-AU"/>
        </w:rPr>
        <w:t>As a model of this type of approach the aged care ombudsman service in the USA, established under the Older Americans Act may be worth consideration. This program includes both paid and volunteer staff.</w:t>
      </w:r>
      <w:r w:rsidR="000651A0">
        <w:rPr>
          <w:rStyle w:val="FootnoteReference"/>
          <w:lang w:val="en-AU"/>
        </w:rPr>
        <w:footnoteReference w:id="7"/>
      </w:r>
      <w:r w:rsidR="00FA1CA7">
        <w:rPr>
          <w:lang w:val="en-AU"/>
        </w:rPr>
        <w:t xml:space="preserve"> </w:t>
      </w:r>
    </w:p>
    <w:p w:rsidR="00935007" w:rsidRDefault="00935007" w:rsidP="00FA1CA7">
      <w:pPr>
        <w:spacing w:line="360" w:lineRule="auto"/>
        <w:jc w:val="both"/>
        <w:rPr>
          <w:lang w:val="en-AU"/>
        </w:rPr>
      </w:pPr>
    </w:p>
    <w:p w:rsidR="00FA1CA7" w:rsidRDefault="00FA1CA7" w:rsidP="00FA1CA7">
      <w:pPr>
        <w:pStyle w:val="ListParagraph"/>
        <w:numPr>
          <w:ilvl w:val="0"/>
          <w:numId w:val="13"/>
        </w:numPr>
        <w:spacing w:line="360" w:lineRule="auto"/>
        <w:ind w:left="360"/>
        <w:jc w:val="both"/>
        <w:rPr>
          <w:lang w:val="en-AU"/>
        </w:rPr>
      </w:pPr>
      <w:r w:rsidRPr="00FA1CA7">
        <w:rPr>
          <w:lang w:val="en-AU"/>
        </w:rPr>
        <w:t xml:space="preserve">Guardianship and Administration Orders </w:t>
      </w:r>
    </w:p>
    <w:p w:rsidR="00AE60A1" w:rsidRDefault="00FA1CA7" w:rsidP="00FA1CA7">
      <w:pPr>
        <w:spacing w:line="360" w:lineRule="auto"/>
        <w:jc w:val="both"/>
        <w:rPr>
          <w:lang w:val="en-AU"/>
        </w:rPr>
      </w:pPr>
      <w:r w:rsidRPr="00FA1CA7">
        <w:rPr>
          <w:lang w:val="en-AU"/>
        </w:rPr>
        <w:t xml:space="preserve">Where a person </w:t>
      </w:r>
      <w:r w:rsidR="00935007">
        <w:rPr>
          <w:lang w:val="en-AU"/>
        </w:rPr>
        <w:t xml:space="preserve">who is </w:t>
      </w:r>
      <w:r w:rsidRPr="00FA1CA7">
        <w:rPr>
          <w:lang w:val="en-AU"/>
        </w:rPr>
        <w:t xml:space="preserve">being made the subject of a Guardianship or Administration order lacks mental capacity, </w:t>
      </w:r>
      <w:r w:rsidR="00AE60A1">
        <w:rPr>
          <w:lang w:val="en-AU"/>
        </w:rPr>
        <w:t xml:space="preserve">independent </w:t>
      </w:r>
      <w:r w:rsidRPr="00FA1CA7">
        <w:rPr>
          <w:lang w:val="en-AU"/>
        </w:rPr>
        <w:t>legal representation should be provided</w:t>
      </w:r>
      <w:r w:rsidR="00AE60A1">
        <w:rPr>
          <w:lang w:val="en-AU"/>
        </w:rPr>
        <w:t xml:space="preserve"> in the same way that mental health representation is made available</w:t>
      </w:r>
      <w:r w:rsidR="00935007">
        <w:rPr>
          <w:lang w:val="en-AU"/>
        </w:rPr>
        <w:t>, despite obvious limitations in WA</w:t>
      </w:r>
      <w:r w:rsidR="005642AB">
        <w:rPr>
          <w:lang w:val="en-AU"/>
        </w:rPr>
        <w:t xml:space="preserve"> resourcing</w:t>
      </w:r>
      <w:r w:rsidR="00AE60A1">
        <w:rPr>
          <w:lang w:val="en-AU"/>
        </w:rPr>
        <w:t>.</w:t>
      </w:r>
      <w:r w:rsidR="00132D0E">
        <w:rPr>
          <w:lang w:val="en-AU"/>
        </w:rPr>
        <w:t xml:space="preserve"> </w:t>
      </w:r>
    </w:p>
    <w:p w:rsidR="00935007" w:rsidRDefault="00935007" w:rsidP="00FA1CA7">
      <w:pPr>
        <w:spacing w:line="360" w:lineRule="auto"/>
        <w:jc w:val="both"/>
        <w:rPr>
          <w:lang w:val="en-AU"/>
        </w:rPr>
      </w:pPr>
    </w:p>
    <w:p w:rsidR="00FA1CA7" w:rsidRDefault="00AE60A1" w:rsidP="00AE60A1">
      <w:pPr>
        <w:pStyle w:val="ListParagraph"/>
        <w:numPr>
          <w:ilvl w:val="0"/>
          <w:numId w:val="13"/>
        </w:numPr>
        <w:spacing w:line="360" w:lineRule="auto"/>
        <w:jc w:val="both"/>
        <w:rPr>
          <w:lang w:val="en-AU"/>
        </w:rPr>
      </w:pPr>
      <w:r>
        <w:rPr>
          <w:lang w:val="en-AU"/>
        </w:rPr>
        <w:t>Family Agreements</w:t>
      </w:r>
    </w:p>
    <w:p w:rsidR="00AE60A1" w:rsidRPr="00AE60A1" w:rsidRDefault="00AE60A1" w:rsidP="00AE60A1">
      <w:pPr>
        <w:spacing w:line="360" w:lineRule="auto"/>
        <w:jc w:val="both"/>
        <w:rPr>
          <w:lang w:val="en-AU"/>
        </w:rPr>
      </w:pPr>
      <w:r>
        <w:rPr>
          <w:lang w:val="en-AU"/>
        </w:rPr>
        <w:t xml:space="preserve">The use of mediation services should be </w:t>
      </w:r>
      <w:r w:rsidR="00FF1369">
        <w:rPr>
          <w:lang w:val="en-AU"/>
        </w:rPr>
        <w:t xml:space="preserve">supported and formally </w:t>
      </w:r>
      <w:r>
        <w:rPr>
          <w:lang w:val="en-AU"/>
        </w:rPr>
        <w:t xml:space="preserve">required as part of the resolution </w:t>
      </w:r>
      <w:r w:rsidR="00FF1369">
        <w:rPr>
          <w:lang w:val="en-AU"/>
        </w:rPr>
        <w:t>process</w:t>
      </w:r>
      <w:r>
        <w:rPr>
          <w:lang w:val="en-AU"/>
        </w:rPr>
        <w:t xml:space="preserve"> in settling family disputes. </w:t>
      </w:r>
      <w:r w:rsidR="00D47FBD">
        <w:rPr>
          <w:lang w:val="en-AU"/>
        </w:rPr>
        <w:t>Greater use of mediation could reduce coercion in a range of decision-making situations, including those in mental health care</w:t>
      </w:r>
      <w:r w:rsidR="00935007">
        <w:rPr>
          <w:lang w:val="en-AU"/>
        </w:rPr>
        <w:t xml:space="preserve"> and aged care residential placement</w:t>
      </w:r>
      <w:r w:rsidR="00D47FBD">
        <w:rPr>
          <w:lang w:val="en-AU"/>
        </w:rPr>
        <w:t xml:space="preserve">. </w:t>
      </w:r>
    </w:p>
    <w:p w:rsidR="00FA1CA7" w:rsidRPr="00FA1CA7" w:rsidRDefault="00FA1CA7" w:rsidP="00FA1CA7">
      <w:pPr>
        <w:spacing w:line="360" w:lineRule="auto"/>
        <w:jc w:val="both"/>
        <w:rPr>
          <w:lang w:val="en-AU"/>
        </w:rPr>
      </w:pPr>
    </w:p>
    <w:p w:rsidR="0007305B" w:rsidRPr="0007305B" w:rsidRDefault="0007305B" w:rsidP="00494ED6">
      <w:pPr>
        <w:spacing w:line="360" w:lineRule="auto"/>
        <w:jc w:val="both"/>
        <w:rPr>
          <w:lang w:val="en-AU"/>
        </w:rPr>
      </w:pPr>
    </w:p>
    <w:p w:rsidR="00FF1369" w:rsidRDefault="002F1069" w:rsidP="00FF1369">
      <w:pPr>
        <w:spacing w:line="360" w:lineRule="auto"/>
        <w:jc w:val="both"/>
        <w:rPr>
          <w:lang w:val="en-AU"/>
        </w:rPr>
      </w:pPr>
      <w:r>
        <w:rPr>
          <w:lang w:val="en-AU"/>
        </w:rPr>
        <w:t xml:space="preserve"> </w:t>
      </w:r>
      <w:r w:rsidR="00FF1369">
        <w:rPr>
          <w:lang w:val="en-AU"/>
        </w:rPr>
        <w:t xml:space="preserve">Neville F Hills, </w:t>
      </w:r>
      <w:proofErr w:type="gramStart"/>
      <w:r w:rsidR="00FF1369">
        <w:rPr>
          <w:lang w:val="en-AU"/>
        </w:rPr>
        <w:t>FRANZCP.,</w:t>
      </w:r>
      <w:proofErr w:type="gramEnd"/>
      <w:r w:rsidR="00FF1369">
        <w:rPr>
          <w:lang w:val="en-AU"/>
        </w:rPr>
        <w:t xml:space="preserve"> </w:t>
      </w:r>
      <w:proofErr w:type="spellStart"/>
      <w:r w:rsidR="00FF1369">
        <w:rPr>
          <w:lang w:val="en-AU"/>
        </w:rPr>
        <w:t>MRCPsych</w:t>
      </w:r>
      <w:proofErr w:type="spellEnd"/>
      <w:r w:rsidR="00FF1369">
        <w:rPr>
          <w:lang w:val="en-AU"/>
        </w:rPr>
        <w:t xml:space="preserve">. DPM, LLM. </w:t>
      </w:r>
    </w:p>
    <w:p w:rsidR="00DB604B" w:rsidRDefault="00DB604B" w:rsidP="00FF1369">
      <w:pPr>
        <w:spacing w:line="360" w:lineRule="auto"/>
        <w:jc w:val="both"/>
        <w:rPr>
          <w:lang w:val="en-AU"/>
        </w:rPr>
      </w:pPr>
    </w:p>
    <w:p w:rsidR="00FF1369" w:rsidRDefault="00FF1369" w:rsidP="00FF1369">
      <w:pPr>
        <w:spacing w:line="360" w:lineRule="auto"/>
        <w:jc w:val="both"/>
        <w:rPr>
          <w:lang w:val="en-AU"/>
        </w:rPr>
      </w:pPr>
      <w:r>
        <w:rPr>
          <w:lang w:val="en-AU"/>
        </w:rPr>
        <w:t>WA 6010</w:t>
      </w:r>
    </w:p>
    <w:p w:rsidR="00F24681" w:rsidRPr="00F24681" w:rsidRDefault="00F24681" w:rsidP="00F24681">
      <w:pPr>
        <w:keepNext/>
        <w:widowControl w:val="0"/>
        <w:spacing w:after="360" w:line="360" w:lineRule="auto"/>
        <w:ind w:left="567" w:hanging="567"/>
        <w:outlineLvl w:val="0"/>
        <w:rPr>
          <w:rFonts w:eastAsia="SimSun"/>
          <w:b/>
          <w:bCs/>
          <w:color w:val="000000"/>
          <w:kern w:val="2"/>
          <w:sz w:val="32"/>
          <w:lang w:val="en-US"/>
        </w:rPr>
      </w:pPr>
      <w:bookmarkStart w:id="0" w:name="_Toc468287846"/>
      <w:r w:rsidRPr="00F24681">
        <w:rPr>
          <w:rFonts w:eastAsia="SimSun"/>
          <w:b/>
          <w:bCs/>
          <w:color w:val="000000"/>
          <w:kern w:val="2"/>
          <w:sz w:val="32"/>
          <w:lang w:val="en-US"/>
        </w:rPr>
        <w:t>Abstract</w:t>
      </w:r>
      <w:bookmarkEnd w:id="0"/>
    </w:p>
    <w:p w:rsidR="00F24681" w:rsidRPr="00F24681" w:rsidRDefault="00F24681" w:rsidP="00F24681">
      <w:pPr>
        <w:spacing w:after="240" w:line="480" w:lineRule="auto"/>
        <w:jc w:val="both"/>
        <w:rPr>
          <w:rFonts w:eastAsia="SimSun"/>
          <w:szCs w:val="20"/>
          <w:lang w:val="en-AU" w:eastAsia="en-US"/>
        </w:rPr>
      </w:pPr>
      <w:r w:rsidRPr="00F24681">
        <w:rPr>
          <w:rFonts w:eastAsia="SimSun"/>
          <w:szCs w:val="20"/>
          <w:lang w:val="en-AU" w:eastAsia="en-US"/>
        </w:rPr>
        <w:t>This thesis addresses matters affecting the liberty, rights and welfare of older people in Western Australia (WA). Restriction of personal liberty to choose where to live, and who to associate with, is usually only permitted under criminal law, following legal processes. Mental health legislation also permits restraints on freedom of individuals, subject to legal oversight of the process.</w:t>
      </w:r>
    </w:p>
    <w:p w:rsidR="00F24681" w:rsidRPr="00F24681" w:rsidRDefault="00F24681" w:rsidP="00F24681">
      <w:pPr>
        <w:spacing w:after="240" w:line="480" w:lineRule="auto"/>
        <w:jc w:val="both"/>
        <w:rPr>
          <w:rFonts w:eastAsia="SimSun"/>
          <w:szCs w:val="20"/>
          <w:lang w:val="en-AU" w:eastAsia="en-US"/>
        </w:rPr>
      </w:pPr>
      <w:r w:rsidRPr="00F24681">
        <w:rPr>
          <w:rFonts w:eastAsia="SimSun"/>
          <w:szCs w:val="20"/>
          <w:lang w:val="en-AU" w:eastAsia="en-US"/>
        </w:rPr>
        <w:t>Admission into an aged care facility may restrict a person’s liberty, if placed in a locked area which they cannot leave without staff assistance. Laws regulating these procedures should be fair, open to scrutiny, and meeting international standards of law and good practice.</w:t>
      </w:r>
    </w:p>
    <w:p w:rsidR="00F24681" w:rsidRPr="00F24681" w:rsidRDefault="00F24681" w:rsidP="00F24681">
      <w:pPr>
        <w:spacing w:after="240" w:line="480" w:lineRule="auto"/>
        <w:jc w:val="both"/>
        <w:rPr>
          <w:rFonts w:eastAsia="SimSun"/>
          <w:szCs w:val="20"/>
          <w:lang w:val="en-AU" w:eastAsia="en-US"/>
        </w:rPr>
      </w:pPr>
      <w:r w:rsidRPr="00F24681">
        <w:rPr>
          <w:rFonts w:eastAsia="SimSun"/>
          <w:szCs w:val="20"/>
          <w:lang w:val="en-AU" w:eastAsia="en-US"/>
        </w:rPr>
        <w:t>In 2015 there were 16,350 Commonwealth funded aged care beds in 263 facilities in WA. Records indicating which of these facilities are locked always are not kept, although accreditation standards require attention to security and safety of residents. Over 50% of residents have dementia or related conditions, potentially affecting their decision-making capacity. The WA Public Guardian has sole decision-making responsibility for 1,383 individuals, not all of whom are in aged care, suggesting the majority are placed under informal arrangements. These informal admissions are not routinely monitored by any form of legal safeguarding or oversight. Some elderly people informally admitted to mental health facilities also have no protection under mental health legislation, and no access to official advocates.</w:t>
      </w:r>
    </w:p>
    <w:p w:rsidR="00F24681" w:rsidRPr="00F24681" w:rsidRDefault="00F24681" w:rsidP="00F24681">
      <w:pPr>
        <w:spacing w:after="240" w:line="480" w:lineRule="auto"/>
        <w:jc w:val="both"/>
        <w:rPr>
          <w:rFonts w:eastAsia="Times New Roman"/>
          <w:szCs w:val="20"/>
          <w:lang w:val="en-AU" w:eastAsia="en-US"/>
        </w:rPr>
      </w:pPr>
      <w:r w:rsidRPr="00F24681">
        <w:rPr>
          <w:rFonts w:eastAsia="Times New Roman"/>
          <w:szCs w:val="20"/>
          <w:lang w:val="en-AU" w:eastAsia="en-US"/>
        </w:rPr>
        <w:lastRenderedPageBreak/>
        <w:t>Informal detention in aged care, has received substantial examination overseas and in other states of Australia. In WA, authorities up to now have shown limited interest in the ethical and human rights aspects. The ‘</w:t>
      </w:r>
      <w:proofErr w:type="spellStart"/>
      <w:r w:rsidRPr="00F24681">
        <w:rPr>
          <w:rFonts w:eastAsia="Times New Roman"/>
          <w:szCs w:val="20"/>
          <w:lang w:val="en-AU" w:eastAsia="en-US"/>
        </w:rPr>
        <w:t>Bournewood</w:t>
      </w:r>
      <w:proofErr w:type="spellEnd"/>
      <w:r w:rsidRPr="00F24681">
        <w:rPr>
          <w:rFonts w:eastAsia="Times New Roman"/>
          <w:szCs w:val="20"/>
          <w:lang w:val="en-AU" w:eastAsia="en-US"/>
        </w:rPr>
        <w:t xml:space="preserve">’ case in England provoked substantial attention and litigation, but the lessons derived have not received attention in WA. Unlike the UK, there is no Human Rights Act in WA, </w:t>
      </w:r>
      <w:proofErr w:type="gramStart"/>
      <w:r w:rsidRPr="00F24681">
        <w:rPr>
          <w:rFonts w:eastAsia="Times New Roman"/>
          <w:szCs w:val="20"/>
          <w:lang w:val="en-AU" w:eastAsia="en-US"/>
        </w:rPr>
        <w:t>nor</w:t>
      </w:r>
      <w:proofErr w:type="gramEnd"/>
      <w:r w:rsidRPr="00F24681">
        <w:rPr>
          <w:rFonts w:eastAsia="Times New Roman"/>
          <w:szCs w:val="20"/>
          <w:lang w:val="en-AU" w:eastAsia="en-US"/>
        </w:rPr>
        <w:t xml:space="preserve"> any right of independent appeal to an international court. The fact that mental health care and legislation is a state responsibility, while aged care is under Commonwealth government control, creates a gap in ownership of this problem.</w:t>
      </w:r>
    </w:p>
    <w:p w:rsidR="00F24681" w:rsidRPr="00F24681" w:rsidRDefault="00F24681" w:rsidP="00F24681">
      <w:pPr>
        <w:spacing w:after="240" w:line="480" w:lineRule="auto"/>
        <w:jc w:val="both"/>
        <w:rPr>
          <w:rFonts w:eastAsia="Times New Roman"/>
          <w:szCs w:val="20"/>
          <w:lang w:val="en-AU" w:eastAsia="en-US"/>
        </w:rPr>
      </w:pPr>
      <w:r w:rsidRPr="00F24681">
        <w:rPr>
          <w:rFonts w:eastAsia="Times New Roman"/>
          <w:szCs w:val="20"/>
          <w:lang w:val="en-AU" w:eastAsia="en-US"/>
        </w:rPr>
        <w:t xml:space="preserve">Laws regulating admission to psychiatric hospitals in </w:t>
      </w:r>
      <w:proofErr w:type="gramStart"/>
      <w:r w:rsidRPr="00F24681">
        <w:rPr>
          <w:rFonts w:eastAsia="Times New Roman"/>
          <w:szCs w:val="20"/>
          <w:lang w:val="en-AU" w:eastAsia="en-US"/>
        </w:rPr>
        <w:t>WA,</w:t>
      </w:r>
      <w:proofErr w:type="gramEnd"/>
      <w:r w:rsidRPr="00F24681">
        <w:rPr>
          <w:rFonts w:eastAsia="Times New Roman"/>
          <w:szCs w:val="20"/>
          <w:lang w:val="en-AU" w:eastAsia="en-US"/>
        </w:rPr>
        <w:t xml:space="preserve"> owe their origins to historical developments in English law and procedures, handed down in the colonial era. These have been modified in each jurisdiction with the passage of time and local influences. The extent of this divergence is examined in this thesis by two methods; a table of comparisons set out in chapter 3, and an opinion survey of psychiatrists in chapter 4, with further chapters discussing legal and practical issues.</w:t>
      </w:r>
      <w:r w:rsidR="004039BF">
        <w:rPr>
          <w:rFonts w:eastAsia="Times New Roman"/>
          <w:szCs w:val="20"/>
          <w:lang w:val="en-AU" w:eastAsia="en-US"/>
        </w:rPr>
        <w:t xml:space="preserve">  </w:t>
      </w:r>
    </w:p>
    <w:p w:rsidR="00F24681" w:rsidRPr="00F24681" w:rsidRDefault="00F24681" w:rsidP="00F24681">
      <w:pPr>
        <w:spacing w:after="240" w:line="480" w:lineRule="auto"/>
        <w:jc w:val="both"/>
        <w:rPr>
          <w:rFonts w:eastAsia="SimSun"/>
        </w:rPr>
      </w:pPr>
      <w:r w:rsidRPr="00F24681">
        <w:rPr>
          <w:rFonts w:eastAsia="Times New Roman"/>
          <w:szCs w:val="20"/>
          <w:lang w:val="en-AU" w:eastAsia="en-US"/>
        </w:rPr>
        <w:t xml:space="preserve">Current views on capacity and consent are discussed, followed by consideration of risks with non-consenting detention in aged care, including elder abuse and potential harm. The thesis examined the position up to November 30, 1915 while the </w:t>
      </w:r>
      <w:r w:rsidRPr="00F24681">
        <w:rPr>
          <w:rFonts w:eastAsia="Times New Roman"/>
          <w:i/>
          <w:szCs w:val="20"/>
          <w:lang w:val="en-AU" w:eastAsia="en-US"/>
        </w:rPr>
        <w:t>Mental Health Act 1996</w:t>
      </w:r>
      <w:r w:rsidRPr="00F24681">
        <w:rPr>
          <w:rFonts w:eastAsia="Times New Roman"/>
          <w:szCs w:val="20"/>
          <w:lang w:val="en-AU" w:eastAsia="en-US"/>
        </w:rPr>
        <w:t xml:space="preserve"> (WA) was in operation. There are comments in chapter 8 on the </w:t>
      </w:r>
      <w:r w:rsidRPr="00F24681">
        <w:rPr>
          <w:rFonts w:eastAsia="Times New Roman"/>
          <w:i/>
          <w:szCs w:val="20"/>
          <w:lang w:val="en-AU" w:eastAsia="en-US"/>
        </w:rPr>
        <w:t>Mental Health Act 2014</w:t>
      </w:r>
      <w:r w:rsidRPr="00F24681">
        <w:rPr>
          <w:rFonts w:eastAsia="Times New Roman"/>
          <w:szCs w:val="20"/>
          <w:lang w:val="en-AU" w:eastAsia="en-US"/>
        </w:rPr>
        <w:t xml:space="preserve"> (WA) and its ability to address some of these matters. English reports indicate serious problems with the costly and burdensome legislation adopted in that country. The thesis concludes with suggested measures which may assist in remedying some of the reported defects in current law and practice, while avoiding unduly complex and ineffective legislation.</w:t>
      </w:r>
    </w:p>
    <w:p w:rsidR="00F24681" w:rsidRPr="002F1069" w:rsidRDefault="00F24681" w:rsidP="00494ED6">
      <w:pPr>
        <w:spacing w:line="360" w:lineRule="auto"/>
        <w:jc w:val="both"/>
        <w:rPr>
          <w:lang w:val="en-AU"/>
        </w:rPr>
      </w:pPr>
    </w:p>
    <w:sectPr w:rsidR="00F24681" w:rsidRPr="002F1069" w:rsidSect="005A62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82" w:rsidRDefault="00BB2A82" w:rsidP="000651A0">
      <w:r>
        <w:separator/>
      </w:r>
    </w:p>
  </w:endnote>
  <w:endnote w:type="continuationSeparator" w:id="0">
    <w:p w:rsidR="00BB2A82" w:rsidRDefault="00BB2A82" w:rsidP="00065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19" w:rsidRDefault="007F7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19" w:rsidRDefault="007F7D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19" w:rsidRDefault="007F7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82" w:rsidRDefault="00BB2A82" w:rsidP="000651A0">
      <w:r>
        <w:separator/>
      </w:r>
    </w:p>
  </w:footnote>
  <w:footnote w:type="continuationSeparator" w:id="0">
    <w:p w:rsidR="00BB2A82" w:rsidRDefault="00BB2A82" w:rsidP="000651A0">
      <w:r>
        <w:continuationSeparator/>
      </w:r>
    </w:p>
  </w:footnote>
  <w:footnote w:id="1">
    <w:p w:rsidR="00F24681" w:rsidRDefault="00F24681">
      <w:pPr>
        <w:pStyle w:val="FootnoteText"/>
      </w:pPr>
      <w:r>
        <w:rPr>
          <w:rStyle w:val="FootnoteReference"/>
        </w:rPr>
        <w:footnoteRef/>
      </w:r>
      <w:r>
        <w:t xml:space="preserve"> Hills NF, UWA Thesis: </w:t>
      </w:r>
      <w:r w:rsidRPr="00F24681">
        <w:t>Does mental health and guardianship legislation in Western Australia (WA) protect elderly persons from human rights abuse, and ensure procedural and substantive justice?</w:t>
      </w:r>
      <w:r>
        <w:t xml:space="preserve"> </w:t>
      </w:r>
    </w:p>
  </w:footnote>
  <w:footnote w:id="2">
    <w:p w:rsidR="00935007" w:rsidRDefault="00935007">
      <w:pPr>
        <w:pStyle w:val="FootnoteText"/>
      </w:pPr>
      <w:r>
        <w:rPr>
          <w:rStyle w:val="FootnoteReference"/>
        </w:rPr>
        <w:footnoteRef/>
      </w:r>
      <w:r>
        <w:t xml:space="preserve"> </w:t>
      </w:r>
      <w:proofErr w:type="gramStart"/>
      <w:r>
        <w:t xml:space="preserve">Thesis </w:t>
      </w:r>
      <w:r w:rsidR="00F24681" w:rsidRPr="00F24681">
        <w:rPr>
          <w:b/>
        </w:rPr>
        <w:t>9.11</w:t>
      </w:r>
      <w:r w:rsidR="00F24681">
        <w:t>, 349.</w:t>
      </w:r>
      <w:proofErr w:type="gramEnd"/>
    </w:p>
  </w:footnote>
  <w:footnote w:id="3">
    <w:p w:rsidR="004C7F5A" w:rsidRDefault="004C7F5A">
      <w:pPr>
        <w:pStyle w:val="FootnoteText"/>
      </w:pPr>
      <w:r>
        <w:rPr>
          <w:rStyle w:val="FootnoteReference"/>
        </w:rPr>
        <w:footnoteRef/>
      </w:r>
      <w:r>
        <w:t xml:space="preserve"> </w:t>
      </w:r>
      <w:r w:rsidRPr="0059751E">
        <w:rPr>
          <w:lang w:val="en-GB"/>
        </w:rPr>
        <w:t>Mar</w:t>
      </w:r>
      <w:r>
        <w:rPr>
          <w:lang w:val="en-GB"/>
        </w:rPr>
        <w:t>l</w:t>
      </w:r>
      <w:r w:rsidRPr="0059751E">
        <w:rPr>
          <w:lang w:val="en-GB"/>
        </w:rPr>
        <w:t xml:space="preserve">on Noble, an indigenous man detained under the </w:t>
      </w:r>
      <w:r w:rsidRPr="00DF27BE">
        <w:rPr>
          <w:i/>
          <w:lang w:val="en-GB"/>
        </w:rPr>
        <w:t>Criminal law (Mentally Impaired Defendants) Act 1996</w:t>
      </w:r>
      <w:r>
        <w:rPr>
          <w:i/>
          <w:lang w:val="en-GB"/>
        </w:rPr>
        <w:t xml:space="preserve"> </w:t>
      </w:r>
      <w:r w:rsidRPr="00DF27BE">
        <w:rPr>
          <w:lang w:val="en-GB"/>
        </w:rPr>
        <w:t>(WA)</w:t>
      </w:r>
      <w:r w:rsidRPr="0059751E">
        <w:rPr>
          <w:lang w:val="en-GB"/>
        </w:rPr>
        <w:t>, who was detained in prison for ten years.</w:t>
      </w:r>
    </w:p>
  </w:footnote>
  <w:footnote w:id="4">
    <w:p w:rsidR="00D6043D" w:rsidRDefault="00D6043D">
      <w:pPr>
        <w:pStyle w:val="FootnoteText"/>
      </w:pPr>
      <w:r>
        <w:rPr>
          <w:rStyle w:val="FootnoteReference"/>
        </w:rPr>
        <w:footnoteRef/>
      </w:r>
      <w:r>
        <w:t xml:space="preserve"> </w:t>
      </w:r>
      <w:proofErr w:type="gramStart"/>
      <w:r>
        <w:t xml:space="preserve">Thesis </w:t>
      </w:r>
      <w:r w:rsidR="00120BD6">
        <w:rPr>
          <w:b/>
          <w:lang w:eastAsia="en-US"/>
        </w:rPr>
        <w:t>Chapter 7</w:t>
      </w:r>
      <w:r w:rsidR="00120BD6">
        <w:rPr>
          <w:lang w:eastAsia="en-US"/>
        </w:rPr>
        <w:t xml:space="preserve"> at par 7.19.1.</w:t>
      </w:r>
      <w:proofErr w:type="gramEnd"/>
      <w:r w:rsidR="00120BD6">
        <w:rPr>
          <w:lang w:eastAsia="en-US"/>
        </w:rPr>
        <w:t xml:space="preserve"> </w:t>
      </w:r>
    </w:p>
  </w:footnote>
  <w:footnote w:id="5">
    <w:p w:rsidR="00FD41C8" w:rsidRDefault="00FD41C8">
      <w:pPr>
        <w:pStyle w:val="FootnoteText"/>
      </w:pPr>
      <w:r>
        <w:rPr>
          <w:rStyle w:val="FootnoteReference"/>
        </w:rPr>
        <w:footnoteRef/>
      </w:r>
      <w:r>
        <w:t xml:space="preserve"> </w:t>
      </w:r>
      <w:r w:rsidR="00D857A6">
        <w:t xml:space="preserve">Abstract </w:t>
      </w:r>
      <w:proofErr w:type="gramStart"/>
      <w:r w:rsidR="00D857A6">
        <w:t>attached,</w:t>
      </w:r>
      <w:proofErr w:type="gramEnd"/>
      <w:r w:rsidR="00D857A6">
        <w:t xml:space="preserve"> ii.</w:t>
      </w:r>
    </w:p>
  </w:footnote>
  <w:footnote w:id="6">
    <w:p w:rsidR="00F24681" w:rsidRDefault="00F24681">
      <w:pPr>
        <w:pStyle w:val="FootnoteText"/>
      </w:pPr>
      <w:r>
        <w:rPr>
          <w:rStyle w:val="FootnoteReference"/>
        </w:rPr>
        <w:footnoteRef/>
      </w:r>
      <w:r>
        <w:t xml:space="preserve"> </w:t>
      </w:r>
      <w:r w:rsidR="009B17EE">
        <w:t>My thesis illustrate</w:t>
      </w:r>
      <w:r w:rsidR="004C7F5A">
        <w:t>d</w:t>
      </w:r>
      <w:r w:rsidR="009B17EE">
        <w:t xml:space="preserve"> that in WA mental health </w:t>
      </w:r>
      <w:proofErr w:type="gramStart"/>
      <w:r w:rsidR="009B17EE">
        <w:t>practice,</w:t>
      </w:r>
      <w:proofErr w:type="gramEnd"/>
      <w:r w:rsidR="009B17EE">
        <w:t xml:space="preserve"> only around 12% of patients </w:t>
      </w:r>
      <w:r w:rsidR="004C7F5A">
        <w:t>we</w:t>
      </w:r>
      <w:r w:rsidR="009B17EE">
        <w:t xml:space="preserve">re legally represented at Tribunals. </w:t>
      </w:r>
      <w:r w:rsidR="004C7F5A">
        <w:t>This has been increased recently but is only 16%.</w:t>
      </w:r>
    </w:p>
  </w:footnote>
  <w:footnote w:id="7">
    <w:p w:rsidR="000651A0" w:rsidRDefault="000651A0">
      <w:pPr>
        <w:pStyle w:val="FootnoteText"/>
      </w:pPr>
      <w:r>
        <w:rPr>
          <w:rStyle w:val="FootnoteReference"/>
        </w:rPr>
        <w:footnoteRef/>
      </w:r>
      <w:r>
        <w:t xml:space="preserve"> </w:t>
      </w:r>
      <w:hyperlink r:id="rId1" w:history="1">
        <w:r w:rsidR="00FA1CA7" w:rsidRPr="0063083B">
          <w:rPr>
            <w:rStyle w:val="Hyperlink"/>
          </w:rPr>
          <w:t>http://www.wvseniorservices.gov/StayingSafe/LongTermCareOmbudsmanProgram/tabid/81/Default.aspx</w:t>
        </w:r>
      </w:hyperlink>
      <w:r w:rsidR="00FA1CA7">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19" w:rsidRDefault="007F7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19" w:rsidRDefault="007F7D19">
    <w:pPr>
      <w:pStyle w:val="Header"/>
    </w:pPr>
    <w:r>
      <w:t>218. N Hills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19" w:rsidRDefault="007F7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9F7"/>
    <w:multiLevelType w:val="hybridMultilevel"/>
    <w:tmpl w:val="9022F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4D7BBE"/>
    <w:multiLevelType w:val="hybridMultilevel"/>
    <w:tmpl w:val="E1A66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BA41692"/>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5C7257B0"/>
    <w:multiLevelType w:val="hybridMultilevel"/>
    <w:tmpl w:val="16145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89036B1"/>
    <w:multiLevelType w:val="hybridMultilevel"/>
    <w:tmpl w:val="FB00DC00"/>
    <w:lvl w:ilvl="0" w:tplc="0C09000F">
      <w:start w:val="1"/>
      <w:numFmt w:val="decimal"/>
      <w:lvlText w:val="%1."/>
      <w:lvlJc w:val="left"/>
      <w:pPr>
        <w:ind w:left="1353" w:hanging="360"/>
      </w:pPr>
      <w:rPr>
        <w:rFonts w:cs="Times New Roman"/>
      </w:rPr>
    </w:lvl>
    <w:lvl w:ilvl="1" w:tplc="0C090019" w:tentative="1">
      <w:start w:val="1"/>
      <w:numFmt w:val="lowerLetter"/>
      <w:lvlText w:val="%2."/>
      <w:lvlJc w:val="left"/>
      <w:pPr>
        <w:ind w:left="1440" w:hanging="360"/>
      </w:pPr>
      <w:rPr>
        <w:rFonts w:cs="Times New Roman"/>
      </w:rPr>
    </w:lvl>
    <w:lvl w:ilvl="2" w:tplc="8C3A00C8">
      <w:start w:val="1"/>
      <w:numFmt w:val="lowerRoman"/>
      <w:pStyle w:val="UWA-Subheading"/>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3"/>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characterSpacingControl w:val="doNotCompress"/>
  <w:footnotePr>
    <w:footnote w:id="-1"/>
    <w:footnote w:id="0"/>
  </w:footnotePr>
  <w:endnotePr>
    <w:endnote w:id="-1"/>
    <w:endnote w:id="0"/>
  </w:endnotePr>
  <w:compat/>
  <w:rsids>
    <w:rsidRoot w:val="002F1069"/>
    <w:rsid w:val="00037E74"/>
    <w:rsid w:val="000651A0"/>
    <w:rsid w:val="0007305B"/>
    <w:rsid w:val="000C0B24"/>
    <w:rsid w:val="00112242"/>
    <w:rsid w:val="00120BD6"/>
    <w:rsid w:val="00132D0E"/>
    <w:rsid w:val="00133A68"/>
    <w:rsid w:val="00246D45"/>
    <w:rsid w:val="00264973"/>
    <w:rsid w:val="002F1069"/>
    <w:rsid w:val="003437EA"/>
    <w:rsid w:val="003D43B2"/>
    <w:rsid w:val="004039BF"/>
    <w:rsid w:val="004050F5"/>
    <w:rsid w:val="004360DE"/>
    <w:rsid w:val="004631E3"/>
    <w:rsid w:val="00491A0C"/>
    <w:rsid w:val="00494ED6"/>
    <w:rsid w:val="004C7F5A"/>
    <w:rsid w:val="004D479B"/>
    <w:rsid w:val="0054059E"/>
    <w:rsid w:val="005466FD"/>
    <w:rsid w:val="005642AB"/>
    <w:rsid w:val="005918D1"/>
    <w:rsid w:val="005A625F"/>
    <w:rsid w:val="00786BA8"/>
    <w:rsid w:val="007F7D19"/>
    <w:rsid w:val="00803A36"/>
    <w:rsid w:val="00805FB2"/>
    <w:rsid w:val="008F3312"/>
    <w:rsid w:val="00905390"/>
    <w:rsid w:val="00935007"/>
    <w:rsid w:val="0093722B"/>
    <w:rsid w:val="009A21FB"/>
    <w:rsid w:val="009B17EE"/>
    <w:rsid w:val="00A01E41"/>
    <w:rsid w:val="00A72CBA"/>
    <w:rsid w:val="00AB163B"/>
    <w:rsid w:val="00AB2ECD"/>
    <w:rsid w:val="00AE60A1"/>
    <w:rsid w:val="00AE7F68"/>
    <w:rsid w:val="00AF2101"/>
    <w:rsid w:val="00B16E4C"/>
    <w:rsid w:val="00B8402B"/>
    <w:rsid w:val="00BB2A82"/>
    <w:rsid w:val="00C91124"/>
    <w:rsid w:val="00D07017"/>
    <w:rsid w:val="00D16C82"/>
    <w:rsid w:val="00D47FBD"/>
    <w:rsid w:val="00D6043D"/>
    <w:rsid w:val="00D857A6"/>
    <w:rsid w:val="00DB604B"/>
    <w:rsid w:val="00DD51BC"/>
    <w:rsid w:val="00DE5851"/>
    <w:rsid w:val="00E0790A"/>
    <w:rsid w:val="00E63B30"/>
    <w:rsid w:val="00E81002"/>
    <w:rsid w:val="00F23958"/>
    <w:rsid w:val="00F23A64"/>
    <w:rsid w:val="00F24681"/>
    <w:rsid w:val="00F51466"/>
    <w:rsid w:val="00F84C12"/>
    <w:rsid w:val="00FA1CA7"/>
    <w:rsid w:val="00FD41C8"/>
    <w:rsid w:val="00FF13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90"/>
    <w:rPr>
      <w:sz w:val="24"/>
      <w:szCs w:val="24"/>
      <w:lang w:val="en-GB" w:eastAsia="zh-CN"/>
    </w:rPr>
  </w:style>
  <w:style w:type="paragraph" w:styleId="Heading1">
    <w:name w:val="heading 1"/>
    <w:basedOn w:val="Normal"/>
    <w:next w:val="Normal"/>
    <w:link w:val="Heading1Char"/>
    <w:uiPriority w:val="9"/>
    <w:qFormat/>
    <w:rsid w:val="005918D1"/>
    <w:pPr>
      <w:keepNext/>
      <w:widowControl w:val="0"/>
      <w:numPr>
        <w:numId w:val="11"/>
      </w:numPr>
      <w:spacing w:line="360" w:lineRule="auto"/>
      <w:jc w:val="both"/>
      <w:outlineLvl w:val="0"/>
    </w:pPr>
    <w:rPr>
      <w:rFonts w:eastAsia="Times New Roman"/>
      <w:b/>
      <w:bCs/>
      <w:color w:val="000000"/>
      <w:kern w:val="2"/>
      <w:lang w:val="en-US"/>
    </w:rPr>
  </w:style>
  <w:style w:type="paragraph" w:styleId="Heading2">
    <w:name w:val="heading 2"/>
    <w:basedOn w:val="Normal"/>
    <w:next w:val="Normal"/>
    <w:link w:val="Heading2Char"/>
    <w:uiPriority w:val="9"/>
    <w:unhideWhenUsed/>
    <w:qFormat/>
    <w:rsid w:val="005918D1"/>
    <w:pPr>
      <w:keepNext/>
      <w:numPr>
        <w:ilvl w:val="1"/>
        <w:numId w:val="1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918D1"/>
    <w:pPr>
      <w:keepNext/>
      <w:keepLines/>
      <w:numPr>
        <w:ilvl w:val="2"/>
        <w:numId w:val="11"/>
      </w:numPr>
      <w:spacing w:before="260" w:after="260" w:line="416" w:lineRule="auto"/>
      <w:outlineLvl w:val="2"/>
    </w:pPr>
    <w:rPr>
      <w:rFonts w:eastAsia="Times New Roman"/>
      <w:b/>
      <w:bCs/>
      <w:sz w:val="32"/>
      <w:szCs w:val="32"/>
    </w:rPr>
  </w:style>
  <w:style w:type="paragraph" w:styleId="Heading4">
    <w:name w:val="heading 4"/>
    <w:basedOn w:val="Normal"/>
    <w:next w:val="Normal"/>
    <w:link w:val="Heading4Char"/>
    <w:uiPriority w:val="9"/>
    <w:semiHidden/>
    <w:unhideWhenUsed/>
    <w:qFormat/>
    <w:rsid w:val="005918D1"/>
    <w:pPr>
      <w:keepNext/>
      <w:keepLines/>
      <w:numPr>
        <w:ilvl w:val="3"/>
        <w:numId w:val="1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18D1"/>
    <w:pPr>
      <w:numPr>
        <w:ilvl w:val="4"/>
        <w:numId w:val="1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918D1"/>
    <w:pPr>
      <w:numPr>
        <w:ilvl w:val="5"/>
        <w:numId w:val="1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5918D1"/>
    <w:pPr>
      <w:numPr>
        <w:ilvl w:val="6"/>
        <w:numId w:val="11"/>
      </w:num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5918D1"/>
    <w:pPr>
      <w:numPr>
        <w:ilvl w:val="7"/>
        <w:numId w:val="11"/>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5918D1"/>
    <w:pPr>
      <w:numPr>
        <w:ilvl w:val="8"/>
        <w:numId w:val="11"/>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18D1"/>
    <w:pPr>
      <w:widowControl w:val="0"/>
      <w:suppressAutoHyphens/>
      <w:autoSpaceDN w:val="0"/>
    </w:pPr>
    <w:rPr>
      <w:rFonts w:eastAsia="SimSun" w:cs="Mangal"/>
      <w:kern w:val="3"/>
      <w:sz w:val="24"/>
      <w:szCs w:val="24"/>
      <w:lang w:eastAsia="zh-CN" w:bidi="hi-IN"/>
    </w:rPr>
  </w:style>
  <w:style w:type="character" w:customStyle="1" w:styleId="action-menu-toggled-item">
    <w:name w:val="action-menu-toggled-item"/>
    <w:rsid w:val="005918D1"/>
  </w:style>
  <w:style w:type="character" w:customStyle="1" w:styleId="definition">
    <w:name w:val="definition"/>
    <w:rsid w:val="005918D1"/>
  </w:style>
  <w:style w:type="character" w:customStyle="1" w:styleId="dategroup">
    <w:name w:val="dategroup"/>
    <w:rsid w:val="005918D1"/>
  </w:style>
  <w:style w:type="character" w:customStyle="1" w:styleId="ht21">
    <w:name w:val="ht21"/>
    <w:rsid w:val="005918D1"/>
    <w:rPr>
      <w:vanish/>
      <w:color w:val="6085B0"/>
      <w:sz w:val="29"/>
    </w:rPr>
  </w:style>
  <w:style w:type="character" w:customStyle="1" w:styleId="ht31">
    <w:name w:val="ht31"/>
    <w:rsid w:val="005918D1"/>
    <w:rPr>
      <w:vanish/>
      <w:color w:val="6085B0"/>
      <w:sz w:val="21"/>
    </w:rPr>
  </w:style>
  <w:style w:type="paragraph" w:customStyle="1" w:styleId="UWA-Heading">
    <w:name w:val="UWA-Heading"/>
    <w:rsid w:val="005918D1"/>
    <w:pPr>
      <w:keepNext/>
      <w:tabs>
        <w:tab w:val="num" w:pos="360"/>
      </w:tabs>
      <w:spacing w:before="480" w:after="120"/>
    </w:pPr>
    <w:rPr>
      <w:rFonts w:eastAsia="Times New Roman"/>
      <w:b/>
      <w:noProof/>
      <w:sz w:val="28"/>
    </w:rPr>
  </w:style>
  <w:style w:type="paragraph" w:customStyle="1" w:styleId="UWA-Chapterheading">
    <w:name w:val="UWA-Chapter heading"/>
    <w:next w:val="UWA-Heading"/>
    <w:rsid w:val="005918D1"/>
    <w:pPr>
      <w:tabs>
        <w:tab w:val="num" w:pos="360"/>
      </w:tabs>
      <w:spacing w:after="360"/>
    </w:pPr>
    <w:rPr>
      <w:rFonts w:eastAsia="Times New Roman"/>
      <w:b/>
      <w:noProof/>
      <w:sz w:val="32"/>
    </w:rPr>
  </w:style>
  <w:style w:type="paragraph" w:customStyle="1" w:styleId="UWA-Subheading0">
    <w:name w:val="UWA-Sub heading"/>
    <w:rsid w:val="005918D1"/>
    <w:pPr>
      <w:keepNext/>
      <w:tabs>
        <w:tab w:val="num" w:pos="360"/>
      </w:tabs>
      <w:spacing w:before="360" w:after="120"/>
    </w:pPr>
    <w:rPr>
      <w:rFonts w:eastAsia="Times New Roman"/>
      <w:b/>
      <w:sz w:val="24"/>
    </w:rPr>
  </w:style>
  <w:style w:type="paragraph" w:customStyle="1" w:styleId="UWA-Subsubheading">
    <w:name w:val="UWA-Subsubheading"/>
    <w:rsid w:val="005918D1"/>
    <w:pPr>
      <w:keepNext/>
      <w:tabs>
        <w:tab w:val="num" w:pos="360"/>
      </w:tabs>
      <w:spacing w:before="360" w:after="120"/>
    </w:pPr>
    <w:rPr>
      <w:rFonts w:eastAsia="Times New Roman"/>
      <w:b/>
      <w:bCs/>
      <w:i/>
      <w:iCs/>
      <w:sz w:val="24"/>
    </w:rPr>
  </w:style>
  <w:style w:type="paragraph" w:customStyle="1" w:styleId="UWA-Galley">
    <w:name w:val="UWA-Galley"/>
    <w:rsid w:val="005918D1"/>
    <w:pPr>
      <w:spacing w:after="240" w:line="480" w:lineRule="auto"/>
      <w:jc w:val="both"/>
    </w:pPr>
    <w:rPr>
      <w:rFonts w:eastAsia="Times New Roman"/>
      <w:sz w:val="24"/>
    </w:rPr>
  </w:style>
  <w:style w:type="paragraph" w:customStyle="1" w:styleId="UWA-Caption-figure">
    <w:name w:val="UWA-Caption-figure"/>
    <w:rsid w:val="005918D1"/>
    <w:pPr>
      <w:tabs>
        <w:tab w:val="left" w:pos="1247"/>
      </w:tabs>
      <w:spacing w:before="360" w:after="120"/>
      <w:jc w:val="both"/>
    </w:pPr>
    <w:rPr>
      <w:rFonts w:eastAsia="Times New Roman" w:cs="Arial"/>
      <w:b/>
      <w:bCs/>
      <w:color w:val="000000"/>
      <w:sz w:val="22"/>
    </w:rPr>
  </w:style>
  <w:style w:type="paragraph" w:customStyle="1" w:styleId="UWA-Caption-table">
    <w:name w:val="UWA-Caption-table"/>
    <w:basedOn w:val="UWA-Caption-figure"/>
    <w:rsid w:val="005918D1"/>
  </w:style>
  <w:style w:type="paragraph" w:customStyle="1" w:styleId="UWA-References">
    <w:name w:val="UWA-References"/>
    <w:rsid w:val="005918D1"/>
    <w:pPr>
      <w:tabs>
        <w:tab w:val="num" w:pos="737"/>
      </w:tabs>
      <w:spacing w:after="60"/>
      <w:ind w:left="454" w:hanging="454"/>
      <w:jc w:val="both"/>
    </w:pPr>
    <w:rPr>
      <w:rFonts w:eastAsia="Times New Roman"/>
    </w:rPr>
  </w:style>
  <w:style w:type="paragraph" w:customStyle="1" w:styleId="UWA-Captionnote-figure">
    <w:name w:val="UWA-Caption note-figure"/>
    <w:next w:val="Normal"/>
    <w:rsid w:val="005918D1"/>
    <w:pPr>
      <w:spacing w:after="600"/>
      <w:jc w:val="both"/>
    </w:pPr>
    <w:rPr>
      <w:rFonts w:eastAsia="Times New Roman"/>
      <w:sz w:val="22"/>
      <w:szCs w:val="24"/>
    </w:rPr>
  </w:style>
  <w:style w:type="paragraph" w:customStyle="1" w:styleId="UWA-Captionnote-table">
    <w:name w:val="UWA-Caption note-table"/>
    <w:rsid w:val="005918D1"/>
    <w:pPr>
      <w:spacing w:after="240"/>
      <w:jc w:val="both"/>
    </w:pPr>
    <w:rPr>
      <w:rFonts w:eastAsia="Times New Roman"/>
      <w:sz w:val="22"/>
      <w:szCs w:val="24"/>
    </w:rPr>
  </w:style>
  <w:style w:type="paragraph" w:customStyle="1" w:styleId="UWA-Tablegalley">
    <w:name w:val="UWA-Table galley"/>
    <w:rsid w:val="005918D1"/>
    <w:rPr>
      <w:rFonts w:eastAsia="Times New Roman"/>
      <w:sz w:val="22"/>
    </w:rPr>
  </w:style>
  <w:style w:type="paragraph" w:customStyle="1" w:styleId="UWA-Tableheading">
    <w:name w:val="UWA-Table heading"/>
    <w:rsid w:val="005918D1"/>
    <w:pPr>
      <w:ind w:right="-1348"/>
    </w:pPr>
    <w:rPr>
      <w:rFonts w:eastAsia="Times New Roman"/>
      <w:b/>
      <w:sz w:val="22"/>
    </w:rPr>
  </w:style>
  <w:style w:type="paragraph" w:customStyle="1" w:styleId="UWA-Quote">
    <w:name w:val="UWA-Quote"/>
    <w:basedOn w:val="Normal"/>
    <w:qFormat/>
    <w:rsid w:val="005918D1"/>
    <w:pPr>
      <w:spacing w:after="240" w:line="360" w:lineRule="auto"/>
      <w:ind w:left="357"/>
      <w:jc w:val="both"/>
    </w:pPr>
    <w:rPr>
      <w:rFonts w:eastAsia="Times New Roman"/>
      <w:i/>
      <w:szCs w:val="20"/>
      <w:lang w:val="en-AU" w:eastAsia="en-US"/>
    </w:rPr>
  </w:style>
  <w:style w:type="paragraph" w:customStyle="1" w:styleId="Default">
    <w:name w:val="Default"/>
    <w:semiHidden/>
    <w:rsid w:val="005918D1"/>
    <w:pPr>
      <w:widowControl w:val="0"/>
      <w:autoSpaceDE w:val="0"/>
      <w:autoSpaceDN w:val="0"/>
      <w:adjustRightInd w:val="0"/>
    </w:pPr>
    <w:rPr>
      <w:rFonts w:eastAsia="Times New Roman"/>
      <w:color w:val="000000"/>
      <w:sz w:val="24"/>
      <w:szCs w:val="24"/>
      <w:lang w:val="en-US"/>
    </w:rPr>
  </w:style>
  <w:style w:type="paragraph" w:customStyle="1" w:styleId="UWA-Subheading">
    <w:name w:val="UWA-Subheading"/>
    <w:rsid w:val="005918D1"/>
    <w:pPr>
      <w:keepNext/>
      <w:numPr>
        <w:ilvl w:val="2"/>
        <w:numId w:val="12"/>
      </w:numPr>
      <w:spacing w:before="360" w:after="120"/>
    </w:pPr>
    <w:rPr>
      <w:rFonts w:eastAsia="Times New Roman"/>
      <w:b/>
      <w:sz w:val="24"/>
    </w:rPr>
  </w:style>
  <w:style w:type="paragraph" w:customStyle="1" w:styleId="UWA-Styleguidegalley">
    <w:name w:val="UWA-Style guide galley"/>
    <w:basedOn w:val="UWA-Galley"/>
    <w:rsid w:val="005918D1"/>
    <w:pPr>
      <w:spacing w:line="360" w:lineRule="auto"/>
    </w:pPr>
  </w:style>
  <w:style w:type="paragraph" w:customStyle="1" w:styleId="UWA-Footnotes">
    <w:name w:val="UWA-Footnotes"/>
    <w:basedOn w:val="FootnoteText"/>
    <w:qFormat/>
    <w:rsid w:val="005918D1"/>
    <w:pPr>
      <w:widowControl w:val="0"/>
      <w:suppressAutoHyphens/>
      <w:autoSpaceDN w:val="0"/>
      <w:spacing w:line="220" w:lineRule="exact"/>
      <w:ind w:left="357" w:hanging="357"/>
      <w:jc w:val="both"/>
    </w:pPr>
    <w:rPr>
      <w:rFonts w:eastAsia="Times New Roman"/>
      <w:lang w:val="en-GB" w:eastAsia="zh-CN"/>
    </w:rPr>
  </w:style>
  <w:style w:type="paragraph" w:styleId="FootnoteText">
    <w:name w:val="footnote text"/>
    <w:basedOn w:val="Normal"/>
    <w:link w:val="FootnoteTextChar"/>
    <w:uiPriority w:val="99"/>
    <w:unhideWhenUsed/>
    <w:rsid w:val="005918D1"/>
    <w:rPr>
      <w:kern w:val="3"/>
      <w:sz w:val="18"/>
      <w:szCs w:val="18"/>
      <w:lang w:val="en-AU" w:eastAsia="en-AU"/>
    </w:rPr>
  </w:style>
  <w:style w:type="character" w:customStyle="1" w:styleId="FootnoteTextChar">
    <w:name w:val="Footnote Text Char"/>
    <w:link w:val="FootnoteText"/>
    <w:uiPriority w:val="99"/>
    <w:rsid w:val="005918D1"/>
    <w:rPr>
      <w:kern w:val="3"/>
      <w:sz w:val="18"/>
      <w:szCs w:val="18"/>
      <w:lang w:eastAsia="en-AU"/>
    </w:rPr>
  </w:style>
  <w:style w:type="paragraph" w:customStyle="1" w:styleId="Style1">
    <w:name w:val="Style1"/>
    <w:basedOn w:val="UWA-Quote"/>
    <w:qFormat/>
    <w:rsid w:val="005918D1"/>
  </w:style>
  <w:style w:type="character" w:customStyle="1" w:styleId="Heading1Char">
    <w:name w:val="Heading 1 Char"/>
    <w:link w:val="Heading1"/>
    <w:uiPriority w:val="9"/>
    <w:rsid w:val="005918D1"/>
    <w:rPr>
      <w:rFonts w:eastAsia="Times New Roman"/>
      <w:b/>
      <w:bCs/>
      <w:color w:val="000000"/>
      <w:kern w:val="2"/>
      <w:sz w:val="24"/>
      <w:szCs w:val="24"/>
      <w:lang w:val="en-US" w:eastAsia="zh-CN"/>
    </w:rPr>
  </w:style>
  <w:style w:type="character" w:customStyle="1" w:styleId="Heading2Char">
    <w:name w:val="Heading 2 Char"/>
    <w:link w:val="Heading2"/>
    <w:uiPriority w:val="9"/>
    <w:rsid w:val="005918D1"/>
    <w:rPr>
      <w:rFonts w:ascii="Cambria" w:eastAsia="Times New Roman" w:hAnsi="Cambria"/>
      <w:b/>
      <w:bCs/>
      <w:i/>
      <w:iCs/>
      <w:sz w:val="28"/>
      <w:szCs w:val="28"/>
      <w:lang w:val="en-GB" w:eastAsia="zh-CN"/>
    </w:rPr>
  </w:style>
  <w:style w:type="character" w:customStyle="1" w:styleId="Heading3Char">
    <w:name w:val="Heading 3 Char"/>
    <w:link w:val="Heading3"/>
    <w:uiPriority w:val="9"/>
    <w:rsid w:val="005918D1"/>
    <w:rPr>
      <w:rFonts w:eastAsia="Times New Roman"/>
      <w:b/>
      <w:bCs/>
      <w:sz w:val="32"/>
      <w:szCs w:val="32"/>
      <w:lang w:val="en-GB" w:eastAsia="zh-CN"/>
    </w:rPr>
  </w:style>
  <w:style w:type="character" w:customStyle="1" w:styleId="Heading4Char">
    <w:name w:val="Heading 4 Char"/>
    <w:link w:val="Heading4"/>
    <w:uiPriority w:val="9"/>
    <w:semiHidden/>
    <w:rsid w:val="005918D1"/>
    <w:rPr>
      <w:rFonts w:ascii="Cambria" w:eastAsia="Times New Roman" w:hAnsi="Cambria"/>
      <w:b/>
      <w:bCs/>
      <w:i/>
      <w:iCs/>
      <w:color w:val="4F81BD"/>
      <w:sz w:val="24"/>
      <w:szCs w:val="24"/>
      <w:lang w:val="en-GB" w:eastAsia="zh-CN"/>
    </w:rPr>
  </w:style>
  <w:style w:type="character" w:customStyle="1" w:styleId="Heading5Char">
    <w:name w:val="Heading 5 Char"/>
    <w:link w:val="Heading5"/>
    <w:uiPriority w:val="9"/>
    <w:semiHidden/>
    <w:rsid w:val="005918D1"/>
    <w:rPr>
      <w:rFonts w:ascii="Calibri" w:eastAsia="Times New Roman" w:hAnsi="Calibri"/>
      <w:b/>
      <w:bCs/>
      <w:i/>
      <w:iCs/>
      <w:sz w:val="26"/>
      <w:szCs w:val="26"/>
      <w:lang w:val="en-GB" w:eastAsia="zh-CN"/>
    </w:rPr>
  </w:style>
  <w:style w:type="character" w:customStyle="1" w:styleId="Heading6Char">
    <w:name w:val="Heading 6 Char"/>
    <w:link w:val="Heading6"/>
    <w:uiPriority w:val="9"/>
    <w:semiHidden/>
    <w:rsid w:val="005918D1"/>
    <w:rPr>
      <w:rFonts w:ascii="Calibri" w:eastAsia="Times New Roman" w:hAnsi="Calibri"/>
      <w:b/>
      <w:bCs/>
      <w:sz w:val="22"/>
      <w:szCs w:val="22"/>
      <w:lang w:val="en-GB" w:eastAsia="zh-CN"/>
    </w:rPr>
  </w:style>
  <w:style w:type="character" w:customStyle="1" w:styleId="Heading7Char">
    <w:name w:val="Heading 7 Char"/>
    <w:link w:val="Heading7"/>
    <w:uiPriority w:val="9"/>
    <w:semiHidden/>
    <w:rsid w:val="005918D1"/>
    <w:rPr>
      <w:rFonts w:ascii="Calibri" w:eastAsia="Times New Roman" w:hAnsi="Calibri"/>
      <w:sz w:val="24"/>
      <w:szCs w:val="24"/>
      <w:lang w:val="en-GB" w:eastAsia="zh-CN"/>
    </w:rPr>
  </w:style>
  <w:style w:type="character" w:customStyle="1" w:styleId="Heading8Char">
    <w:name w:val="Heading 8 Char"/>
    <w:link w:val="Heading8"/>
    <w:uiPriority w:val="9"/>
    <w:semiHidden/>
    <w:rsid w:val="005918D1"/>
    <w:rPr>
      <w:rFonts w:ascii="Calibri" w:eastAsia="Times New Roman" w:hAnsi="Calibri"/>
      <w:i/>
      <w:iCs/>
      <w:sz w:val="24"/>
      <w:szCs w:val="24"/>
      <w:lang w:val="en-GB" w:eastAsia="zh-CN"/>
    </w:rPr>
  </w:style>
  <w:style w:type="character" w:customStyle="1" w:styleId="Heading9Char">
    <w:name w:val="Heading 9 Char"/>
    <w:link w:val="Heading9"/>
    <w:uiPriority w:val="9"/>
    <w:semiHidden/>
    <w:rsid w:val="005918D1"/>
    <w:rPr>
      <w:rFonts w:ascii="Calibri Light" w:eastAsia="Times New Roman" w:hAnsi="Calibri Light"/>
      <w:sz w:val="22"/>
      <w:szCs w:val="22"/>
      <w:lang w:val="en-GB" w:eastAsia="zh-CN"/>
    </w:rPr>
  </w:style>
  <w:style w:type="paragraph" w:styleId="TOC1">
    <w:name w:val="toc 1"/>
    <w:basedOn w:val="Normal"/>
    <w:next w:val="Normal"/>
    <w:autoRedefine/>
    <w:uiPriority w:val="39"/>
    <w:unhideWhenUsed/>
    <w:qFormat/>
    <w:rsid w:val="005918D1"/>
    <w:pPr>
      <w:tabs>
        <w:tab w:val="left" w:pos="1100"/>
        <w:tab w:val="right" w:leader="dot" w:pos="9016"/>
      </w:tabs>
      <w:spacing w:after="100" w:line="276" w:lineRule="auto"/>
    </w:pPr>
    <w:rPr>
      <w:rFonts w:ascii="Calibri" w:eastAsia="Times New Roman" w:hAnsi="Calibri"/>
      <w:b/>
      <w:sz w:val="22"/>
      <w:lang w:val="en-US" w:eastAsia="ja-JP"/>
    </w:rPr>
  </w:style>
  <w:style w:type="paragraph" w:styleId="TOC2">
    <w:name w:val="toc 2"/>
    <w:basedOn w:val="Normal"/>
    <w:next w:val="Normal"/>
    <w:autoRedefine/>
    <w:uiPriority w:val="39"/>
    <w:unhideWhenUsed/>
    <w:qFormat/>
    <w:rsid w:val="005918D1"/>
    <w:pPr>
      <w:spacing w:after="100" w:line="276" w:lineRule="auto"/>
      <w:ind w:left="216"/>
    </w:pPr>
    <w:rPr>
      <w:rFonts w:ascii="Calibri" w:eastAsia="Times New Roman" w:hAnsi="Calibri"/>
      <w:sz w:val="22"/>
      <w:lang w:val="en-US" w:eastAsia="ja-JP"/>
    </w:rPr>
  </w:style>
  <w:style w:type="paragraph" w:styleId="TOC3">
    <w:name w:val="toc 3"/>
    <w:basedOn w:val="Normal"/>
    <w:next w:val="Normal"/>
    <w:autoRedefine/>
    <w:uiPriority w:val="39"/>
    <w:unhideWhenUsed/>
    <w:qFormat/>
    <w:rsid w:val="005918D1"/>
    <w:pPr>
      <w:spacing w:after="100" w:line="276" w:lineRule="auto"/>
      <w:ind w:left="446"/>
    </w:pPr>
    <w:rPr>
      <w:rFonts w:ascii="Calibri" w:eastAsia="Times New Roman" w:hAnsi="Calibri"/>
      <w:sz w:val="22"/>
      <w:lang w:val="en-US" w:eastAsia="ja-JP"/>
    </w:rPr>
  </w:style>
  <w:style w:type="paragraph" w:styleId="Header">
    <w:name w:val="header"/>
    <w:basedOn w:val="Normal"/>
    <w:link w:val="HeaderChar"/>
    <w:uiPriority w:val="99"/>
    <w:unhideWhenUsed/>
    <w:rsid w:val="005918D1"/>
    <w:pPr>
      <w:tabs>
        <w:tab w:val="center" w:pos="4513"/>
        <w:tab w:val="right" w:pos="9026"/>
      </w:tabs>
    </w:pPr>
    <w:rPr>
      <w:rFonts w:eastAsia="Times New Roman"/>
      <w:kern w:val="3"/>
      <w:sz w:val="21"/>
      <w:szCs w:val="21"/>
      <w:lang w:val="en-AU" w:eastAsia="en-AU"/>
    </w:rPr>
  </w:style>
  <w:style w:type="character" w:customStyle="1" w:styleId="HeaderChar">
    <w:name w:val="Header Char"/>
    <w:link w:val="Header"/>
    <w:uiPriority w:val="99"/>
    <w:rsid w:val="005918D1"/>
    <w:rPr>
      <w:rFonts w:eastAsia="Times New Roman"/>
      <w:kern w:val="3"/>
      <w:sz w:val="21"/>
      <w:szCs w:val="21"/>
      <w:lang w:eastAsia="en-AU"/>
    </w:rPr>
  </w:style>
  <w:style w:type="paragraph" w:styleId="Footer">
    <w:name w:val="footer"/>
    <w:basedOn w:val="Normal"/>
    <w:link w:val="FooterChar"/>
    <w:uiPriority w:val="99"/>
    <w:unhideWhenUsed/>
    <w:rsid w:val="005918D1"/>
    <w:pPr>
      <w:tabs>
        <w:tab w:val="center" w:pos="4513"/>
        <w:tab w:val="right" w:pos="9026"/>
      </w:tabs>
    </w:pPr>
    <w:rPr>
      <w:rFonts w:eastAsia="Times New Roman"/>
      <w:kern w:val="3"/>
      <w:sz w:val="21"/>
      <w:szCs w:val="21"/>
      <w:lang w:val="en-AU" w:eastAsia="en-AU"/>
    </w:rPr>
  </w:style>
  <w:style w:type="character" w:customStyle="1" w:styleId="FooterChar">
    <w:name w:val="Footer Char"/>
    <w:link w:val="Footer"/>
    <w:uiPriority w:val="99"/>
    <w:rsid w:val="005918D1"/>
    <w:rPr>
      <w:rFonts w:eastAsia="Times New Roman"/>
      <w:kern w:val="3"/>
      <w:sz w:val="21"/>
      <w:szCs w:val="21"/>
      <w:lang w:eastAsia="en-AU"/>
    </w:rPr>
  </w:style>
  <w:style w:type="character" w:styleId="FootnoteReference">
    <w:name w:val="footnote reference"/>
    <w:uiPriority w:val="99"/>
    <w:unhideWhenUsed/>
    <w:rsid w:val="005918D1"/>
    <w:rPr>
      <w:vertAlign w:val="superscript"/>
    </w:rPr>
  </w:style>
  <w:style w:type="character" w:styleId="PageNumber">
    <w:name w:val="page number"/>
    <w:uiPriority w:val="99"/>
    <w:qFormat/>
    <w:rsid w:val="005918D1"/>
  </w:style>
  <w:style w:type="paragraph" w:styleId="Subtitle">
    <w:name w:val="Subtitle"/>
    <w:basedOn w:val="Normal"/>
    <w:next w:val="Normal"/>
    <w:link w:val="SubtitleChar"/>
    <w:uiPriority w:val="11"/>
    <w:qFormat/>
    <w:rsid w:val="005918D1"/>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5918D1"/>
    <w:rPr>
      <w:rFonts w:ascii="Cambria" w:eastAsia="Times New Roman" w:hAnsi="Cambria"/>
      <w:i/>
      <w:iCs/>
      <w:color w:val="4F81BD"/>
      <w:spacing w:val="15"/>
      <w:sz w:val="24"/>
      <w:szCs w:val="24"/>
      <w:lang w:val="en-GB" w:eastAsia="zh-CN"/>
    </w:rPr>
  </w:style>
  <w:style w:type="character" w:styleId="Hyperlink">
    <w:name w:val="Hyperlink"/>
    <w:uiPriority w:val="99"/>
    <w:rsid w:val="005918D1"/>
    <w:rPr>
      <w:color w:val="0000FF"/>
      <w:u w:val="single"/>
    </w:rPr>
  </w:style>
  <w:style w:type="character" w:styleId="Strong">
    <w:name w:val="Strong"/>
    <w:uiPriority w:val="22"/>
    <w:qFormat/>
    <w:rsid w:val="005918D1"/>
    <w:rPr>
      <w:b/>
    </w:rPr>
  </w:style>
  <w:style w:type="character" w:styleId="Emphasis">
    <w:name w:val="Emphasis"/>
    <w:uiPriority w:val="20"/>
    <w:qFormat/>
    <w:rsid w:val="005918D1"/>
    <w:rPr>
      <w:i/>
    </w:rPr>
  </w:style>
  <w:style w:type="paragraph" w:styleId="NormalWeb">
    <w:name w:val="Normal (Web)"/>
    <w:basedOn w:val="Normal"/>
    <w:uiPriority w:val="99"/>
    <w:unhideWhenUsed/>
    <w:rsid w:val="005918D1"/>
    <w:pPr>
      <w:spacing w:before="100" w:beforeAutospacing="1" w:after="100" w:afterAutospacing="1"/>
    </w:pPr>
    <w:rPr>
      <w:rFonts w:eastAsia="Times New Roman"/>
      <w:lang w:eastAsia="en-AU"/>
    </w:rPr>
  </w:style>
  <w:style w:type="character" w:styleId="HTMLCite">
    <w:name w:val="HTML Cite"/>
    <w:uiPriority w:val="99"/>
    <w:semiHidden/>
    <w:unhideWhenUsed/>
    <w:rsid w:val="005918D1"/>
    <w:rPr>
      <w:i/>
    </w:rPr>
  </w:style>
  <w:style w:type="paragraph" w:styleId="BalloonText">
    <w:name w:val="Balloon Text"/>
    <w:basedOn w:val="Normal"/>
    <w:link w:val="BalloonTextChar"/>
    <w:uiPriority w:val="99"/>
    <w:semiHidden/>
    <w:unhideWhenUsed/>
    <w:rsid w:val="005918D1"/>
    <w:rPr>
      <w:rFonts w:ascii="Tahoma" w:eastAsia="Times New Roman" w:hAnsi="Tahoma"/>
      <w:kern w:val="3"/>
      <w:sz w:val="14"/>
      <w:szCs w:val="14"/>
      <w:lang w:val="en-AU" w:eastAsia="en-AU"/>
    </w:rPr>
  </w:style>
  <w:style w:type="character" w:customStyle="1" w:styleId="BalloonTextChar">
    <w:name w:val="Balloon Text Char"/>
    <w:link w:val="BalloonText"/>
    <w:uiPriority w:val="99"/>
    <w:semiHidden/>
    <w:rsid w:val="005918D1"/>
    <w:rPr>
      <w:rFonts w:ascii="Tahoma" w:eastAsia="Times New Roman" w:hAnsi="Tahoma"/>
      <w:kern w:val="3"/>
      <w:sz w:val="14"/>
      <w:szCs w:val="14"/>
      <w:lang w:eastAsia="en-AU"/>
    </w:rPr>
  </w:style>
  <w:style w:type="table" w:styleId="TableGrid">
    <w:name w:val="Table Grid"/>
    <w:basedOn w:val="TableNormal"/>
    <w:uiPriority w:val="1"/>
    <w:rsid w:val="005918D1"/>
    <w:rPr>
      <w:rFonts w:eastAsia="Times New Roman" w:cs="Calibri"/>
      <w:kern w:val="3"/>
      <w:sz w:val="24"/>
      <w:lang w:val="en-US"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918D1"/>
    <w:rPr>
      <w:rFonts w:eastAsia="Times New Roman"/>
      <w:sz w:val="24"/>
      <w:szCs w:val="24"/>
      <w:lang w:val="en-GB" w:eastAsia="zh-CN"/>
    </w:rPr>
  </w:style>
  <w:style w:type="character" w:customStyle="1" w:styleId="NoSpacingChar">
    <w:name w:val="No Spacing Char"/>
    <w:link w:val="NoSpacing"/>
    <w:uiPriority w:val="1"/>
    <w:locked/>
    <w:rsid w:val="005918D1"/>
    <w:rPr>
      <w:rFonts w:eastAsia="Times New Roman"/>
      <w:sz w:val="24"/>
      <w:szCs w:val="24"/>
      <w:lang w:val="en-GB" w:eastAsia="zh-CN"/>
    </w:rPr>
  </w:style>
  <w:style w:type="paragraph" w:styleId="ListParagraph">
    <w:name w:val="List Paragraph"/>
    <w:basedOn w:val="Normal"/>
    <w:uiPriority w:val="34"/>
    <w:qFormat/>
    <w:rsid w:val="005918D1"/>
    <w:pPr>
      <w:ind w:left="720"/>
      <w:contextualSpacing/>
    </w:pPr>
    <w:rPr>
      <w:rFonts w:eastAsia="Times New Roman"/>
    </w:rPr>
  </w:style>
  <w:style w:type="paragraph" w:styleId="TOCHeading">
    <w:name w:val="TOC Heading"/>
    <w:basedOn w:val="Heading1"/>
    <w:next w:val="Normal"/>
    <w:uiPriority w:val="39"/>
    <w:unhideWhenUsed/>
    <w:qFormat/>
    <w:rsid w:val="005918D1"/>
    <w:pPr>
      <w:keepLines/>
      <w:widowControl/>
      <w:spacing w:before="480" w:line="240" w:lineRule="auto"/>
      <w:jc w:val="left"/>
      <w:outlineLvl w:val="9"/>
    </w:pPr>
    <w:rPr>
      <w:rFonts w:ascii="Cambria" w:hAnsi="Cambria"/>
      <w:color w:val="365F91"/>
      <w:kern w:val="0"/>
      <w:sz w:val="28"/>
      <w:szCs w:val="28"/>
      <w:lang w:val="en-GB"/>
    </w:rPr>
  </w:style>
</w:styles>
</file>

<file path=word/webSettings.xml><?xml version="1.0" encoding="utf-8"?>
<w:webSettings xmlns:r="http://schemas.openxmlformats.org/officeDocument/2006/relationships" xmlns:w="http://schemas.openxmlformats.org/wordprocessingml/2006/main">
  <w:divs>
    <w:div w:id="141000142">
      <w:bodyDiv w:val="1"/>
      <w:marLeft w:val="0"/>
      <w:marRight w:val="0"/>
      <w:marTop w:val="0"/>
      <w:marBottom w:val="0"/>
      <w:divBdr>
        <w:top w:val="none" w:sz="0" w:space="0" w:color="auto"/>
        <w:left w:val="none" w:sz="0" w:space="0" w:color="auto"/>
        <w:bottom w:val="none" w:sz="0" w:space="0" w:color="auto"/>
        <w:right w:val="none" w:sz="0" w:space="0" w:color="auto"/>
      </w:divBdr>
    </w:div>
    <w:div w:id="20539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er_abuse@alr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vseniorservices.gov/StayingSafe/LongTermCareOmbudsmanProgram/tabid/8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14B1-D9F9-4980-97FA-025DBFF1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Hills</dc:creator>
  <cp:lastModifiedBy>marie-claire.muir</cp:lastModifiedBy>
  <cp:revision>2</cp:revision>
  <dcterms:created xsi:type="dcterms:W3CDTF">2017-02-16T04:38:00Z</dcterms:created>
  <dcterms:modified xsi:type="dcterms:W3CDTF">2017-02-16T04:38:00Z</dcterms:modified>
</cp:coreProperties>
</file>