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b/>
          <w:bCs/>
          <w:color w:val="4F81BD" w:themeColor="accent1"/>
          <w:sz w:val="80"/>
          <w:szCs w:val="80"/>
          <w:lang w:val="en-AU" w:eastAsia="en-US"/>
        </w:rPr>
        <w:id w:val="-1047217446"/>
        <w:docPartObj>
          <w:docPartGallery w:val="Cover Pages"/>
          <w:docPartUnique/>
        </w:docPartObj>
      </w:sdtPr>
      <w:sdtEndPr>
        <w:rPr>
          <w:sz w:val="26"/>
          <w:szCs w:val="26"/>
        </w:rPr>
      </w:sdtEndPr>
      <w:sdtContent>
        <w:tbl>
          <w:tblPr>
            <w:tblpPr w:leftFromText="187" w:rightFromText="187" w:vertAnchor="page" w:horzAnchor="margin" w:tblpXSpec="center" w:tblpY="4988"/>
            <w:tblW w:w="4250" w:type="pct"/>
            <w:tblBorders>
              <w:left w:val="single" w:sz="18" w:space="0" w:color="4F81BD" w:themeColor="accent1"/>
            </w:tblBorders>
            <w:tblLook w:val="04A0"/>
          </w:tblPr>
          <w:tblGrid>
            <w:gridCol w:w="8468"/>
          </w:tblGrid>
          <w:tr w:rsidR="00C57B92" w:rsidTr="00015459">
            <w:tc>
              <w:tcPr>
                <w:tcW w:w="7856"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C57B92" w:rsidRDefault="007D428B" w:rsidP="0001545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AU"/>
                      </w:rPr>
                      <w:t>Australian Law Reform Commission: Elder Abuse Inquiry Issues Paper (IP47)</w:t>
                    </w:r>
                  </w:p>
                </w:sdtContent>
              </w:sdt>
            </w:tc>
          </w:tr>
          <w:tr w:rsidR="00C57B92" w:rsidTr="00015459">
            <w:sdt>
              <w:sdtPr>
                <w:rPr>
                  <w:sz w:val="4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856" w:type="dxa"/>
                    <w:tcMar>
                      <w:top w:w="216" w:type="dxa"/>
                      <w:left w:w="115" w:type="dxa"/>
                      <w:bottom w:w="216" w:type="dxa"/>
                      <w:right w:w="115" w:type="dxa"/>
                    </w:tcMar>
                  </w:tcPr>
                  <w:p w:rsidR="00C57B92" w:rsidRPr="00C57B92" w:rsidRDefault="00C57B92" w:rsidP="00015459">
                    <w:pPr>
                      <w:pStyle w:val="Heading2"/>
                      <w:rPr>
                        <w:sz w:val="48"/>
                      </w:rPr>
                    </w:pPr>
                    <w:r w:rsidRPr="00C57B92">
                      <w:rPr>
                        <w:sz w:val="48"/>
                      </w:rPr>
                      <w:t>Submission</w:t>
                    </w:r>
                  </w:p>
                </w:tc>
              </w:sdtContent>
            </w:sdt>
          </w:tr>
        </w:tbl>
        <w:tbl>
          <w:tblPr>
            <w:tblpPr w:leftFromText="180" w:rightFromText="180" w:vertAnchor="text" w:horzAnchor="page" w:tblpX="2020" w:tblpY="12321"/>
            <w:tblOverlap w:val="never"/>
            <w:tblW w:w="0" w:type="auto"/>
            <w:tblCellMar>
              <w:left w:w="0" w:type="dxa"/>
              <w:right w:w="0" w:type="dxa"/>
            </w:tblCellMar>
            <w:tblLook w:val="00A0"/>
          </w:tblPr>
          <w:tblGrid>
            <w:gridCol w:w="6396"/>
          </w:tblGrid>
          <w:tr w:rsidR="007977AC" w:rsidRPr="00C57B92" w:rsidTr="007977AC">
            <w:tc>
              <w:tcPr>
                <w:tcW w:w="6396" w:type="dxa"/>
              </w:tcPr>
              <w:p w:rsidR="007977AC" w:rsidRPr="00C57B92" w:rsidRDefault="007977AC" w:rsidP="007977AC">
                <w:pPr>
                  <w:keepNext/>
                  <w:keepLines/>
                  <w:autoSpaceDE w:val="0"/>
                  <w:autoSpaceDN w:val="0"/>
                  <w:adjustRightInd w:val="0"/>
                  <w:spacing w:after="0" w:line="240" w:lineRule="auto"/>
                  <w:rPr>
                    <w:rFonts w:cs="Verdana"/>
                    <w:color w:val="004080"/>
                    <w:sz w:val="24"/>
                    <w:szCs w:val="20"/>
                  </w:rPr>
                </w:pPr>
                <w:r>
                  <w:rPr>
                    <w:rFonts w:cs="Verdana"/>
                    <w:color w:val="004080"/>
                    <w:sz w:val="24"/>
                    <w:szCs w:val="20"/>
                  </w:rPr>
                  <w:t>50 Lonsdale St, Melbourne</w:t>
                </w:r>
                <w:r w:rsidRPr="00C57B92">
                  <w:rPr>
                    <w:rFonts w:cs="Verdana"/>
                    <w:color w:val="004080"/>
                    <w:sz w:val="24"/>
                    <w:szCs w:val="20"/>
                  </w:rPr>
                  <w:t xml:space="preserve"> </w:t>
                </w:r>
                <w:r>
                  <w:rPr>
                    <w:rFonts w:cs="Verdana"/>
                    <w:color w:val="004080"/>
                    <w:sz w:val="24"/>
                    <w:szCs w:val="20"/>
                  </w:rPr>
                  <w:t xml:space="preserve">VIC </w:t>
                </w:r>
                <w:r w:rsidRPr="00C57B92">
                  <w:rPr>
                    <w:rFonts w:cs="Verdana"/>
                    <w:color w:val="004080"/>
                    <w:sz w:val="24"/>
                    <w:szCs w:val="20"/>
                  </w:rPr>
                  <w:t>3000</w:t>
                </w:r>
              </w:p>
              <w:p w:rsidR="007977AC" w:rsidRPr="00C57B92" w:rsidRDefault="007977AC" w:rsidP="007977AC">
                <w:pPr>
                  <w:keepNext/>
                  <w:keepLines/>
                  <w:autoSpaceDE w:val="0"/>
                  <w:autoSpaceDN w:val="0"/>
                  <w:adjustRightInd w:val="0"/>
                  <w:spacing w:after="0" w:line="240" w:lineRule="auto"/>
                  <w:rPr>
                    <w:rFonts w:cs="Verdana"/>
                    <w:color w:val="004080"/>
                    <w:sz w:val="24"/>
                    <w:szCs w:val="20"/>
                  </w:rPr>
                </w:pPr>
                <w:r w:rsidRPr="00C57B92">
                  <w:rPr>
                    <w:rFonts w:cs="Verdana"/>
                    <w:b/>
                    <w:color w:val="004080"/>
                    <w:sz w:val="24"/>
                    <w:szCs w:val="20"/>
                  </w:rPr>
                  <w:t>P:</w:t>
                </w:r>
                <w:r w:rsidRPr="00C57B92">
                  <w:rPr>
                    <w:rFonts w:cs="Verdana"/>
                    <w:color w:val="004080"/>
                    <w:sz w:val="24"/>
                    <w:szCs w:val="20"/>
                  </w:rPr>
                  <w:t xml:space="preserve"> 03 9096 1052</w:t>
                </w:r>
                <w:r>
                  <w:rPr>
                    <w:rFonts w:cs="Verdana"/>
                    <w:color w:val="004080"/>
                    <w:sz w:val="24"/>
                    <w:szCs w:val="20"/>
                  </w:rPr>
                  <w:t xml:space="preserve">      </w:t>
                </w:r>
                <w:r w:rsidRPr="00C57B92">
                  <w:rPr>
                    <w:rFonts w:cs="Verdana"/>
                    <w:b/>
                    <w:color w:val="004080"/>
                    <w:sz w:val="24"/>
                    <w:szCs w:val="20"/>
                  </w:rPr>
                  <w:t>E:</w:t>
                </w:r>
                <w:r w:rsidRPr="00C57B92">
                  <w:rPr>
                    <w:rFonts w:cs="Verdana"/>
                    <w:color w:val="004080"/>
                    <w:sz w:val="24"/>
                    <w:szCs w:val="20"/>
                  </w:rPr>
                  <w:t xml:space="preserve"> gerard.mansour@dhhs.vic.gov.au </w:t>
                </w:r>
              </w:p>
              <w:p w:rsidR="007977AC" w:rsidRPr="00C57B92" w:rsidRDefault="007977AC" w:rsidP="007977AC">
                <w:pPr>
                  <w:autoSpaceDE w:val="0"/>
                  <w:autoSpaceDN w:val="0"/>
                  <w:adjustRightInd w:val="0"/>
                  <w:spacing w:after="0" w:line="240" w:lineRule="auto"/>
                  <w:ind w:firstLine="1557"/>
                  <w:rPr>
                    <w:rFonts w:ascii="Verdana" w:hAnsi="Verdana" w:cs="Verdana"/>
                    <w:color w:val="004080"/>
                    <w:sz w:val="20"/>
                    <w:szCs w:val="20"/>
                  </w:rPr>
                </w:pPr>
              </w:p>
            </w:tc>
          </w:tr>
        </w:tbl>
        <w:p w:rsidR="00C57B92" w:rsidRDefault="00C57B92"/>
        <w:tbl>
          <w:tblPr>
            <w:tblpPr w:leftFromText="187" w:rightFromText="187" w:horzAnchor="margin" w:tblpXSpec="center" w:tblpYSpec="bottom"/>
            <w:tblW w:w="4000" w:type="pct"/>
            <w:tblLook w:val="04A0"/>
          </w:tblPr>
          <w:tblGrid>
            <w:gridCol w:w="7981"/>
          </w:tblGrid>
          <w:tr w:rsidR="00C57B92" w:rsidTr="00C57B92">
            <w:tc>
              <w:tcPr>
                <w:tcW w:w="7405" w:type="dxa"/>
                <w:tcMar>
                  <w:top w:w="216" w:type="dxa"/>
                  <w:left w:w="115" w:type="dxa"/>
                  <w:bottom w:w="216" w:type="dxa"/>
                  <w:right w:w="115" w:type="dxa"/>
                </w:tcMar>
              </w:tcPr>
              <w:p w:rsidR="00C57B92" w:rsidRDefault="00C57B92">
                <w:pPr>
                  <w:pStyle w:val="NoSpacing"/>
                  <w:rPr>
                    <w:color w:val="4F81BD" w:themeColor="accent1"/>
                  </w:rPr>
                </w:pPr>
              </w:p>
            </w:tc>
          </w:tr>
        </w:tbl>
        <w:p w:rsidR="000D2BD9" w:rsidRPr="000547EE" w:rsidRDefault="00015459" w:rsidP="00740C54">
          <w:pPr>
            <w:pStyle w:val="Heading2"/>
            <w:spacing w:before="120"/>
            <w:rPr>
              <w:sz w:val="32"/>
            </w:rPr>
            <w:sectPr w:rsidR="000D2BD9" w:rsidRPr="000547EE" w:rsidSect="00420E82">
              <w:footerReference w:type="even" r:id="rId8"/>
              <w:footerReference w:type="default" r:id="rId9"/>
              <w:pgSz w:w="11906" w:h="16838"/>
              <w:pgMar w:top="1440" w:right="1080" w:bottom="1440" w:left="1080" w:header="708" w:footer="848" w:gutter="0"/>
              <w:pgNumType w:start="0"/>
              <w:cols w:space="708"/>
              <w:titlePg/>
              <w:docGrid w:linePitch="360"/>
            </w:sectPr>
          </w:pPr>
          <w:r>
            <w:rPr>
              <w:noProof/>
              <w:color w:val="003E74"/>
              <w:lang w:eastAsia="en-AU"/>
            </w:rPr>
            <w:drawing>
              <wp:anchor distT="0" distB="0" distL="114300" distR="114300" simplePos="0" relativeHeight="251658240" behindDoc="1" locked="0" layoutInCell="1" allowOverlap="1">
                <wp:simplePos x="0" y="0"/>
                <wp:positionH relativeFrom="column">
                  <wp:posOffset>353695</wp:posOffset>
                </wp:positionH>
                <wp:positionV relativeFrom="paragraph">
                  <wp:posOffset>76200</wp:posOffset>
                </wp:positionV>
                <wp:extent cx="718820" cy="861695"/>
                <wp:effectExtent l="0" t="0" r="5080" b="0"/>
                <wp:wrapTight wrapText="bothSides">
                  <wp:wrapPolygon edited="0">
                    <wp:start x="0" y="0"/>
                    <wp:lineTo x="0" y="21011"/>
                    <wp:lineTo x="21180" y="21011"/>
                    <wp:lineTo x="21180"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8820" cy="861695"/>
                        </a:xfrm>
                        <a:prstGeom prst="rect">
                          <a:avLst/>
                        </a:prstGeom>
                        <a:noFill/>
                        <a:ln>
                          <a:noFill/>
                        </a:ln>
                      </pic:spPr>
                    </pic:pic>
                  </a:graphicData>
                </a:graphic>
              </wp:anchor>
            </w:drawing>
          </w:r>
          <w:r w:rsidR="00740C54">
            <w:rPr>
              <w:sz w:val="32"/>
            </w:rPr>
            <w:br/>
          </w:r>
          <w:r w:rsidR="00740C54">
            <w:rPr>
              <w:sz w:val="32"/>
            </w:rPr>
            <w:br/>
          </w:r>
          <w:r w:rsidR="00740C54">
            <w:rPr>
              <w:sz w:val="32"/>
            </w:rPr>
            <w:br/>
          </w:r>
          <w:r w:rsidR="00740C54">
            <w:rPr>
              <w:sz w:val="32"/>
            </w:rPr>
            <w:br/>
          </w:r>
          <w:r w:rsidR="00C57B92" w:rsidRPr="000F5D48">
            <w:rPr>
              <w:b w:val="0"/>
              <w:sz w:val="32"/>
            </w:rPr>
            <w:t>Commissioner for Senior Victorians</w:t>
          </w:r>
        </w:p>
      </w:sdtContent>
    </w:sdt>
    <w:p w:rsidR="000547EE" w:rsidRDefault="000547EE" w:rsidP="000547EE">
      <w:pPr>
        <w:sectPr w:rsidR="000547EE" w:rsidSect="000547EE">
          <w:footerReference w:type="even" r:id="rId11"/>
          <w:footerReference w:type="default" r:id="rId12"/>
          <w:footerReference w:type="first" r:id="rId13"/>
          <w:pgSz w:w="11906" w:h="16838"/>
          <w:pgMar w:top="1276" w:right="1440" w:bottom="1560" w:left="1440" w:header="708" w:footer="848" w:gutter="0"/>
          <w:pgNumType w:start="1"/>
          <w:cols w:space="708"/>
          <w:titlePg/>
          <w:docGrid w:linePitch="360"/>
        </w:sectPr>
      </w:pPr>
    </w:p>
    <w:p w:rsidR="000F5D48" w:rsidRDefault="000F5D48" w:rsidP="000F5D48">
      <w:pPr>
        <w:pStyle w:val="Heading1"/>
        <w:spacing w:before="360" w:after="120"/>
      </w:pPr>
      <w:r>
        <w:lastRenderedPageBreak/>
        <w:t>Role of the Commissioner</w:t>
      </w:r>
    </w:p>
    <w:p w:rsidR="000F5D48" w:rsidRDefault="000F5D48" w:rsidP="000F5D48">
      <w:r w:rsidRPr="000F5D48">
        <w:t>The Commissioner for Senior Victorians provides advice to the Victorian Government on issues relevant to senior Victorians and po</w:t>
      </w:r>
      <w:r>
        <w:t>sitive ageing and participation, as well as being</w:t>
      </w:r>
      <w:r w:rsidRPr="000F5D48">
        <w:t xml:space="preserve"> an independent public voice to educate the community on </w:t>
      </w:r>
      <w:proofErr w:type="gramStart"/>
      <w:r w:rsidRPr="000F5D48">
        <w:t>seniors</w:t>
      </w:r>
      <w:proofErr w:type="gramEnd"/>
      <w:r w:rsidRPr="000F5D48">
        <w:t xml:space="preserve"> issues, actively promote the positive contribution of seniors and encourage seniors to fully participle in our community.</w:t>
      </w:r>
    </w:p>
    <w:p w:rsidR="000F5D48" w:rsidRDefault="00420E82" w:rsidP="000F5D48">
      <w:r>
        <w:t>By way of example, in</w:t>
      </w:r>
      <w:r w:rsidR="000F5D48">
        <w:t xml:space="preserve"> relation to elder abuse, the Commissioner is committed to providing advice to the Minister for Housing, Disability and Ageing and the Victorian Government on issues as outlined in the recommendations of the Victorian Royal Commission into Family Violence</w:t>
      </w:r>
      <w:r w:rsidR="003E18E0">
        <w:t>.</w:t>
      </w:r>
    </w:p>
    <w:p w:rsidR="000F5D48" w:rsidRDefault="000F5D48" w:rsidP="000F5D48">
      <w:r>
        <w:t>The Commissioner also promotes community awareness and understanding of other matters such as advance care planning, powers of attorney and loneliness and isolation.</w:t>
      </w:r>
      <w:r>
        <w:br w:type="page"/>
      </w:r>
    </w:p>
    <w:p w:rsidR="00D4368D" w:rsidRDefault="00D4368D" w:rsidP="0055031A">
      <w:pPr>
        <w:pStyle w:val="Heading1"/>
        <w:spacing w:before="360" w:after="120"/>
      </w:pPr>
      <w:r>
        <w:lastRenderedPageBreak/>
        <w:t>Introduction</w:t>
      </w:r>
    </w:p>
    <w:p w:rsidR="00FB3C78" w:rsidRDefault="003E1F84" w:rsidP="00894CCB">
      <w:pPr>
        <w:spacing w:after="120"/>
      </w:pPr>
      <w:r>
        <w:t>This is a submission to the Australian Law Reform Commission</w:t>
      </w:r>
      <w:r w:rsidR="005D60D1">
        <w:t>’s</w:t>
      </w:r>
      <w:r>
        <w:t xml:space="preserve"> Elder Abuse</w:t>
      </w:r>
      <w:r w:rsidR="001D7472">
        <w:t xml:space="preserve"> Inquiry</w:t>
      </w:r>
      <w:r>
        <w:t xml:space="preserve"> Issues Paper (IP47). </w:t>
      </w:r>
      <w:r w:rsidR="00420E82">
        <w:t xml:space="preserve">This </w:t>
      </w:r>
      <w:r w:rsidR="00F46CEB">
        <w:t>response provides a broad</w:t>
      </w:r>
      <w:r w:rsidR="00F46CEB" w:rsidRPr="001013F2">
        <w:t xml:space="preserve"> overview of </w:t>
      </w:r>
      <w:r w:rsidR="009804F4">
        <w:t xml:space="preserve">some of </w:t>
      </w:r>
      <w:r w:rsidR="00F46CEB" w:rsidRPr="001013F2">
        <w:t xml:space="preserve">the themes and issues </w:t>
      </w:r>
      <w:proofErr w:type="gramStart"/>
      <w:r w:rsidR="00F46CEB" w:rsidRPr="001013F2">
        <w:t>raised</w:t>
      </w:r>
      <w:proofErr w:type="gramEnd"/>
      <w:r w:rsidR="008A639D">
        <w:t xml:space="preserve"> in the Issues Paper, and at times,</w:t>
      </w:r>
      <w:r w:rsidR="00F46CEB">
        <w:t xml:space="preserve"> </w:t>
      </w:r>
      <w:r w:rsidR="00F46CEB" w:rsidRPr="001013F2">
        <w:t>address</w:t>
      </w:r>
      <w:r w:rsidR="008A639D">
        <w:t>es</w:t>
      </w:r>
      <w:r w:rsidR="00F46CEB" w:rsidRPr="001013F2">
        <w:t xml:space="preserve"> specific questions </w:t>
      </w:r>
      <w:r w:rsidR="008A639D">
        <w:t xml:space="preserve">that have been </w:t>
      </w:r>
      <w:r w:rsidR="00F46CEB">
        <w:t>put forward</w:t>
      </w:r>
      <w:r w:rsidR="00FB3C78">
        <w:t>.</w:t>
      </w:r>
    </w:p>
    <w:p w:rsidR="00FB3C78" w:rsidRDefault="000F5D48" w:rsidP="00FB3C78">
      <w:pPr>
        <w:pStyle w:val="DHHSNumberText"/>
        <w:numPr>
          <w:ilvl w:val="0"/>
          <w:numId w:val="0"/>
        </w:numPr>
        <w:spacing w:line="276" w:lineRule="auto"/>
        <w:jc w:val="left"/>
      </w:pPr>
      <w:r>
        <w:t xml:space="preserve">Firstly, </w:t>
      </w:r>
      <w:r w:rsidR="00420E82">
        <w:t xml:space="preserve">it </w:t>
      </w:r>
      <w:r w:rsidR="00F46CEB">
        <w:t xml:space="preserve">is important to </w:t>
      </w:r>
      <w:r w:rsidR="00420E82">
        <w:t xml:space="preserve">note the </w:t>
      </w:r>
      <w:r w:rsidR="00F46CEB">
        <w:t>a</w:t>
      </w:r>
      <w:r w:rsidR="00FB3C78">
        <w:t>nticipated growth in the number of older Victorians who are at risk of or experiencing elder abuse is driven by four factors:</w:t>
      </w:r>
    </w:p>
    <w:p w:rsidR="00FB3C78" w:rsidRDefault="009804F4" w:rsidP="00B24B51">
      <w:pPr>
        <w:pStyle w:val="DHHSNumberText"/>
        <w:numPr>
          <w:ilvl w:val="0"/>
          <w:numId w:val="5"/>
        </w:numPr>
        <w:spacing w:line="276" w:lineRule="auto"/>
        <w:ind w:left="714" w:hanging="357"/>
        <w:contextualSpacing/>
        <w:jc w:val="left"/>
      </w:pPr>
      <w:r>
        <w:t>Increasing</w:t>
      </w:r>
      <w:r w:rsidR="00FB3C78">
        <w:t xml:space="preserve"> number</w:t>
      </w:r>
      <w:r>
        <w:t>s</w:t>
      </w:r>
      <w:r w:rsidR="00FB3C78">
        <w:t xml:space="preserve"> of older people</w:t>
      </w:r>
    </w:p>
    <w:p w:rsidR="00FB3C78" w:rsidRDefault="009804F4" w:rsidP="00B24B51">
      <w:pPr>
        <w:pStyle w:val="DHHSNumberText"/>
        <w:numPr>
          <w:ilvl w:val="0"/>
          <w:numId w:val="5"/>
        </w:numPr>
        <w:spacing w:line="276" w:lineRule="auto"/>
        <w:ind w:left="714" w:hanging="357"/>
        <w:contextualSpacing/>
        <w:jc w:val="left"/>
      </w:pPr>
      <w:r>
        <w:t>Increasing</w:t>
      </w:r>
      <w:r w:rsidR="00FB3C78">
        <w:t xml:space="preserve"> longevity</w:t>
      </w:r>
    </w:p>
    <w:p w:rsidR="0070790A" w:rsidRDefault="009804F4" w:rsidP="00B24B51">
      <w:pPr>
        <w:pStyle w:val="DHHSNumberText"/>
        <w:numPr>
          <w:ilvl w:val="0"/>
          <w:numId w:val="5"/>
        </w:numPr>
        <w:spacing w:line="276" w:lineRule="auto"/>
        <w:ind w:left="714" w:hanging="357"/>
        <w:contextualSpacing/>
        <w:jc w:val="left"/>
      </w:pPr>
      <w:r>
        <w:t>Increasing</w:t>
      </w:r>
      <w:r w:rsidR="00FB3C78">
        <w:t xml:space="preserve"> number</w:t>
      </w:r>
      <w:r>
        <w:t>s</w:t>
      </w:r>
      <w:r w:rsidR="00FB3C78">
        <w:t xml:space="preserve"> of older people with dementia</w:t>
      </w:r>
    </w:p>
    <w:p w:rsidR="0028510A" w:rsidRDefault="009804F4" w:rsidP="00B24B51">
      <w:pPr>
        <w:pStyle w:val="DHHSNumberText"/>
        <w:numPr>
          <w:ilvl w:val="0"/>
          <w:numId w:val="5"/>
        </w:numPr>
        <w:spacing w:line="276" w:lineRule="auto"/>
        <w:jc w:val="left"/>
      </w:pPr>
      <w:r>
        <w:t>Increasing</w:t>
      </w:r>
      <w:r w:rsidR="00FB3C78">
        <w:t xml:space="preserve"> number</w:t>
      </w:r>
      <w:r>
        <w:t>s</w:t>
      </w:r>
      <w:r w:rsidR="00FB3C78">
        <w:t xml:space="preserve"> of vulnerable older people living longer at home.</w:t>
      </w:r>
    </w:p>
    <w:p w:rsidR="00547160" w:rsidRPr="0028510A" w:rsidRDefault="00420E82" w:rsidP="00547160">
      <w:pPr>
        <w:pStyle w:val="DHHSNumberText"/>
        <w:numPr>
          <w:ilvl w:val="0"/>
          <w:numId w:val="0"/>
        </w:numPr>
        <w:spacing w:line="276" w:lineRule="auto"/>
        <w:jc w:val="left"/>
        <w:rPr>
          <w:rFonts w:cs="Calibri"/>
          <w:highlight w:val="yellow"/>
        </w:rPr>
      </w:pPr>
      <w:r w:rsidRPr="0028510A">
        <w:rPr>
          <w:rFonts w:cs="Calibri"/>
        </w:rPr>
        <w:t xml:space="preserve">This </w:t>
      </w:r>
      <w:r w:rsidR="0053172D" w:rsidRPr="0028510A">
        <w:rPr>
          <w:rFonts w:cs="Calibri"/>
        </w:rPr>
        <w:t xml:space="preserve">response </w:t>
      </w:r>
      <w:r w:rsidRPr="0028510A">
        <w:rPr>
          <w:rFonts w:cs="Calibri"/>
        </w:rPr>
        <w:t>draws on</w:t>
      </w:r>
      <w:r w:rsidR="0053172D" w:rsidRPr="0028510A">
        <w:rPr>
          <w:rFonts w:cs="Calibri"/>
        </w:rPr>
        <w:t xml:space="preserve"> the experience</w:t>
      </w:r>
      <w:r w:rsidRPr="0028510A">
        <w:rPr>
          <w:rFonts w:cs="Calibri"/>
        </w:rPr>
        <w:t>s of elder abuse</w:t>
      </w:r>
      <w:r w:rsidR="0053172D" w:rsidRPr="0028510A">
        <w:rPr>
          <w:rFonts w:cs="Calibri"/>
        </w:rPr>
        <w:t xml:space="preserve"> in </w:t>
      </w:r>
      <w:r w:rsidRPr="0028510A">
        <w:rPr>
          <w:rFonts w:cs="Calibri"/>
        </w:rPr>
        <w:t xml:space="preserve">the </w:t>
      </w:r>
      <w:r w:rsidR="0053172D" w:rsidRPr="0028510A">
        <w:rPr>
          <w:rFonts w:cs="Calibri"/>
        </w:rPr>
        <w:t>Victoria</w:t>
      </w:r>
      <w:r w:rsidRPr="0028510A">
        <w:rPr>
          <w:rFonts w:cs="Calibri"/>
        </w:rPr>
        <w:t>n context as well as</w:t>
      </w:r>
      <w:r w:rsidR="0053172D" w:rsidRPr="0028510A">
        <w:rPr>
          <w:rFonts w:cs="Calibri"/>
        </w:rPr>
        <w:t xml:space="preserve"> </w:t>
      </w:r>
      <w:r w:rsidRPr="0028510A">
        <w:rPr>
          <w:rFonts w:cs="Calibri"/>
        </w:rPr>
        <w:t xml:space="preserve">with reference to </w:t>
      </w:r>
      <w:r w:rsidR="0053172D" w:rsidRPr="0028510A">
        <w:rPr>
          <w:rFonts w:cs="Calibri"/>
        </w:rPr>
        <w:t>the findings of t</w:t>
      </w:r>
      <w:r w:rsidR="00E14B88" w:rsidRPr="0028510A">
        <w:rPr>
          <w:rFonts w:cs="Calibri"/>
        </w:rPr>
        <w:t>he Victorian Royal Commission into Family Violence</w:t>
      </w:r>
      <w:r w:rsidR="0053172D" w:rsidRPr="0028510A">
        <w:rPr>
          <w:rFonts w:cs="Calibri"/>
        </w:rPr>
        <w:t>, which</w:t>
      </w:r>
      <w:r w:rsidR="00E14B88" w:rsidRPr="0028510A">
        <w:rPr>
          <w:rFonts w:cs="Calibri"/>
        </w:rPr>
        <w:t xml:space="preserve"> reported that elder abuse is largely under-reported and unrecognised due to its unique dynamics, which </w:t>
      </w:r>
      <w:r w:rsidR="00547160" w:rsidRPr="0028510A">
        <w:rPr>
          <w:rFonts w:cs="Calibri"/>
        </w:rPr>
        <w:t xml:space="preserve">include:  </w:t>
      </w:r>
    </w:p>
    <w:p w:rsidR="00547160" w:rsidRPr="0028510A" w:rsidRDefault="0028510A" w:rsidP="00B24B51">
      <w:pPr>
        <w:pStyle w:val="ListParagraph"/>
        <w:numPr>
          <w:ilvl w:val="0"/>
          <w:numId w:val="11"/>
        </w:numPr>
        <w:spacing w:after="120"/>
        <w:rPr>
          <w:rFonts w:cs="Calibri"/>
        </w:rPr>
      </w:pPr>
      <w:r>
        <w:rPr>
          <w:rFonts w:cs="Calibri"/>
        </w:rPr>
        <w:t>Wome</w:t>
      </w:r>
      <w:r w:rsidR="00547160" w:rsidRPr="0028510A">
        <w:rPr>
          <w:rFonts w:cs="Calibri"/>
        </w:rPr>
        <w:t>n are over-represented as vict</w:t>
      </w:r>
      <w:r w:rsidRPr="0028510A">
        <w:rPr>
          <w:rFonts w:cs="Calibri"/>
        </w:rPr>
        <w:t>i</w:t>
      </w:r>
      <w:r w:rsidR="00547160" w:rsidRPr="0028510A">
        <w:rPr>
          <w:rFonts w:cs="Calibri"/>
        </w:rPr>
        <w:t>ms</w:t>
      </w:r>
    </w:p>
    <w:p w:rsidR="00E14B88" w:rsidRDefault="00E14B88" w:rsidP="00B24B51">
      <w:pPr>
        <w:pStyle w:val="ListParagraph"/>
        <w:numPr>
          <w:ilvl w:val="0"/>
          <w:numId w:val="7"/>
        </w:numPr>
        <w:spacing w:after="120"/>
        <w:rPr>
          <w:rFonts w:cs="Calibri"/>
        </w:rPr>
      </w:pPr>
      <w:r>
        <w:rPr>
          <w:rFonts w:cs="Calibri"/>
        </w:rPr>
        <w:t>A higher</w:t>
      </w:r>
      <w:r w:rsidRPr="00CE3160">
        <w:rPr>
          <w:rFonts w:cs="Calibri"/>
        </w:rPr>
        <w:t xml:space="preserve"> proportion of older men who experience family violence </w:t>
      </w:r>
      <w:r>
        <w:rPr>
          <w:rFonts w:cs="Calibri"/>
        </w:rPr>
        <w:t>compared to younger men</w:t>
      </w:r>
    </w:p>
    <w:p w:rsidR="00E14B88" w:rsidRDefault="00E14B88" w:rsidP="00B24B51">
      <w:pPr>
        <w:pStyle w:val="ListParagraph"/>
        <w:numPr>
          <w:ilvl w:val="0"/>
          <w:numId w:val="7"/>
        </w:numPr>
        <w:spacing w:after="120"/>
        <w:rPr>
          <w:rFonts w:cs="Calibri"/>
        </w:rPr>
      </w:pPr>
      <w:r>
        <w:rPr>
          <w:rFonts w:cs="Calibri"/>
        </w:rPr>
        <w:t>A higher</w:t>
      </w:r>
      <w:r w:rsidRPr="00CE3160">
        <w:rPr>
          <w:rFonts w:cs="Calibri"/>
        </w:rPr>
        <w:t xml:space="preserve"> risk </w:t>
      </w:r>
      <w:r>
        <w:rPr>
          <w:rFonts w:cs="Calibri"/>
        </w:rPr>
        <w:t>of financial abuse</w:t>
      </w:r>
    </w:p>
    <w:p w:rsidR="00E14B88" w:rsidRDefault="00E14B88" w:rsidP="00B24B51">
      <w:pPr>
        <w:pStyle w:val="ListParagraph"/>
        <w:numPr>
          <w:ilvl w:val="0"/>
          <w:numId w:val="7"/>
        </w:numPr>
        <w:spacing w:after="120"/>
        <w:rPr>
          <w:rFonts w:cs="Calibri"/>
        </w:rPr>
      </w:pPr>
      <w:r w:rsidRPr="00CE3160">
        <w:rPr>
          <w:rFonts w:cs="Calibri"/>
        </w:rPr>
        <w:t>The perpetrator oft</w:t>
      </w:r>
      <w:r>
        <w:rPr>
          <w:rFonts w:cs="Calibri"/>
        </w:rPr>
        <w:t>en being the older person’s son or daughter</w:t>
      </w:r>
    </w:p>
    <w:p w:rsidR="0028510A" w:rsidRDefault="0028510A" w:rsidP="00B24B51">
      <w:pPr>
        <w:pStyle w:val="ListParagraph"/>
        <w:numPr>
          <w:ilvl w:val="0"/>
          <w:numId w:val="7"/>
        </w:numPr>
        <w:spacing w:after="120"/>
        <w:rPr>
          <w:rFonts w:cs="Calibri"/>
        </w:rPr>
      </w:pPr>
      <w:r>
        <w:rPr>
          <w:rFonts w:cs="Calibri"/>
        </w:rPr>
        <w:t>The strong desire of many older people to maintain familial relationships and have abuse addressed at the same time, and</w:t>
      </w:r>
    </w:p>
    <w:p w:rsidR="00E14B88" w:rsidRPr="00CE3160" w:rsidRDefault="00E14B88" w:rsidP="00B24B51">
      <w:pPr>
        <w:pStyle w:val="ListParagraph"/>
        <w:numPr>
          <w:ilvl w:val="0"/>
          <w:numId w:val="7"/>
        </w:numPr>
        <w:spacing w:after="120"/>
        <w:rPr>
          <w:rFonts w:cs="Calibri"/>
        </w:rPr>
      </w:pPr>
      <w:r>
        <w:rPr>
          <w:rFonts w:cs="Calibri"/>
        </w:rPr>
        <w:t>T</w:t>
      </w:r>
      <w:r w:rsidRPr="00CE3160">
        <w:rPr>
          <w:rFonts w:cs="Calibri"/>
        </w:rPr>
        <w:t xml:space="preserve">he presence of not only gendered, but also ageist attitudes, which require a different approach to </w:t>
      </w:r>
      <w:r>
        <w:rPr>
          <w:rFonts w:cs="Calibri"/>
        </w:rPr>
        <w:t xml:space="preserve">that of </w:t>
      </w:r>
      <w:r w:rsidRPr="00CE3160">
        <w:rPr>
          <w:rFonts w:cs="Calibri"/>
        </w:rPr>
        <w:t>intimate partner violence</w:t>
      </w:r>
      <w:r w:rsidRPr="003F4368">
        <w:rPr>
          <w:rFonts w:cs="Calibri"/>
        </w:rPr>
        <w:t>.</w:t>
      </w:r>
      <w:r w:rsidR="005479B0">
        <w:rPr>
          <w:rStyle w:val="FootnoteReference"/>
          <w:rFonts w:cs="Calibri"/>
        </w:rPr>
        <w:footnoteReference w:id="1"/>
      </w:r>
      <w:r w:rsidRPr="00CE3160">
        <w:rPr>
          <w:rFonts w:cs="Calibri"/>
          <w:highlight w:val="yellow"/>
        </w:rPr>
        <w:t xml:space="preserve"> </w:t>
      </w:r>
    </w:p>
    <w:p w:rsidR="0072386E" w:rsidRDefault="005776EE" w:rsidP="0072386E">
      <w:pPr>
        <w:pStyle w:val="DHHSNumberText"/>
        <w:numPr>
          <w:ilvl w:val="0"/>
          <w:numId w:val="0"/>
        </w:numPr>
        <w:spacing w:line="276" w:lineRule="auto"/>
        <w:jc w:val="left"/>
      </w:pPr>
      <w:r>
        <w:t>A</w:t>
      </w:r>
      <w:r w:rsidR="00740C54">
        <w:t>ny</w:t>
      </w:r>
      <w:r w:rsidR="00FE5FF0">
        <w:t xml:space="preserve"> national response</w:t>
      </w:r>
      <w:r w:rsidR="00F46CEB">
        <w:t xml:space="preserve"> </w:t>
      </w:r>
      <w:r w:rsidR="009804F4">
        <w:t xml:space="preserve">to elder abuse </w:t>
      </w:r>
      <w:r w:rsidR="00740C54">
        <w:t>should</w:t>
      </w:r>
      <w:r w:rsidR="00FE5FF0">
        <w:t xml:space="preserve"> </w:t>
      </w:r>
      <w:r w:rsidR="00420E82">
        <w:t xml:space="preserve">build on </w:t>
      </w:r>
      <w:r w:rsidR="00FE5FF0">
        <w:t>protect</w:t>
      </w:r>
      <w:r w:rsidR="00420E82">
        <w:t>ions for</w:t>
      </w:r>
      <w:r w:rsidR="00FE5FF0">
        <w:t xml:space="preserve"> the rights of older Australians whilst preserving their relationships with carers, families and informal supports, where possible. </w:t>
      </w:r>
      <w:r w:rsidR="00237BF1">
        <w:t>This requires a whole-of-system response across the care continuum, including</w:t>
      </w:r>
      <w:r w:rsidR="00740C54">
        <w:t xml:space="preserve"> Commonwealth and State-funded</w:t>
      </w:r>
      <w:r w:rsidR="00237BF1">
        <w:t xml:space="preserve"> health, aged care</w:t>
      </w:r>
      <w:r w:rsidR="008C50BD">
        <w:t>,</w:t>
      </w:r>
      <w:r w:rsidR="00237BF1">
        <w:t xml:space="preserve"> legal</w:t>
      </w:r>
      <w:r w:rsidR="008C50BD">
        <w:t xml:space="preserve"> and welfare</w:t>
      </w:r>
      <w:r w:rsidR="00237BF1">
        <w:t xml:space="preserve"> services.</w:t>
      </w:r>
    </w:p>
    <w:p w:rsidR="00CE69C6" w:rsidRDefault="00CE69C6" w:rsidP="0072386E">
      <w:pPr>
        <w:pStyle w:val="DHHSNumberText"/>
        <w:numPr>
          <w:ilvl w:val="0"/>
          <w:numId w:val="0"/>
        </w:numPr>
        <w:spacing w:line="276" w:lineRule="auto"/>
        <w:jc w:val="left"/>
      </w:pPr>
      <w:r>
        <w:t xml:space="preserve">The following outlines the specific areas that </w:t>
      </w:r>
      <w:r w:rsidR="001031E6">
        <w:t xml:space="preserve">this </w:t>
      </w:r>
      <w:r>
        <w:t>response covers:</w:t>
      </w:r>
    </w:p>
    <w:p w:rsidR="008C50BD" w:rsidRPr="00997A4C" w:rsidRDefault="008C50BD" w:rsidP="00B24B51">
      <w:pPr>
        <w:pStyle w:val="ListParagraph"/>
        <w:numPr>
          <w:ilvl w:val="0"/>
          <w:numId w:val="1"/>
        </w:numPr>
        <w:spacing w:after="120"/>
        <w:ind w:left="714" w:hanging="357"/>
      </w:pPr>
      <w:r w:rsidRPr="00997A4C">
        <w:t>Definition of elder abuse</w:t>
      </w:r>
      <w:r w:rsidR="00997A4C" w:rsidRPr="00997A4C">
        <w:t xml:space="preserve"> and community understanding of elder abuse </w:t>
      </w:r>
    </w:p>
    <w:p w:rsidR="008C50BD" w:rsidRPr="00997A4C" w:rsidRDefault="00420E82" w:rsidP="00B24B51">
      <w:pPr>
        <w:pStyle w:val="ListParagraph"/>
        <w:numPr>
          <w:ilvl w:val="0"/>
          <w:numId w:val="1"/>
        </w:numPr>
        <w:spacing w:after="120"/>
        <w:ind w:left="714" w:hanging="357"/>
      </w:pPr>
      <w:r w:rsidRPr="00997A4C">
        <w:t xml:space="preserve">Implications for the </w:t>
      </w:r>
      <w:r w:rsidR="008C50BD" w:rsidRPr="00997A4C">
        <w:t>aged care system</w:t>
      </w:r>
    </w:p>
    <w:p w:rsidR="00CE69C6" w:rsidRDefault="00CE69C6" w:rsidP="00B24B51">
      <w:pPr>
        <w:pStyle w:val="ListParagraph"/>
        <w:numPr>
          <w:ilvl w:val="0"/>
          <w:numId w:val="1"/>
        </w:numPr>
        <w:spacing w:after="120"/>
        <w:ind w:left="714" w:hanging="357"/>
      </w:pPr>
      <w:r w:rsidRPr="00997A4C">
        <w:t>Alternative dispute resolution mechanisms</w:t>
      </w:r>
    </w:p>
    <w:p w:rsidR="00A77B54" w:rsidRDefault="00A77B54" w:rsidP="00B24B51">
      <w:pPr>
        <w:pStyle w:val="ListParagraph"/>
        <w:numPr>
          <w:ilvl w:val="0"/>
          <w:numId w:val="1"/>
        </w:numPr>
        <w:spacing w:after="120"/>
        <w:ind w:left="714" w:hanging="357"/>
      </w:pPr>
      <w:r>
        <w:t>Integrated models of care and carer/family inclusive practice models</w:t>
      </w:r>
    </w:p>
    <w:p w:rsidR="00997A4C" w:rsidRPr="00997A4C" w:rsidRDefault="00997A4C" w:rsidP="00B24B51">
      <w:pPr>
        <w:pStyle w:val="ListParagraph"/>
        <w:numPr>
          <w:ilvl w:val="0"/>
          <w:numId w:val="1"/>
        </w:numPr>
        <w:spacing w:after="120"/>
        <w:ind w:left="714" w:hanging="357"/>
      </w:pPr>
      <w:r>
        <w:t>Appointed decision makers</w:t>
      </w:r>
      <w:r w:rsidR="0028510A">
        <w:t>.</w:t>
      </w:r>
    </w:p>
    <w:p w:rsidR="00D01628" w:rsidRPr="00316F33" w:rsidRDefault="008C50BD" w:rsidP="00D01628">
      <w:pPr>
        <w:pStyle w:val="Heading1"/>
        <w:spacing w:after="120"/>
        <w:rPr>
          <w:szCs w:val="24"/>
        </w:rPr>
      </w:pPr>
      <w:r w:rsidRPr="00316F33">
        <w:rPr>
          <w:bCs w:val="0"/>
          <w:szCs w:val="24"/>
        </w:rPr>
        <w:lastRenderedPageBreak/>
        <w:t>1</w:t>
      </w:r>
      <w:r w:rsidR="00D01628" w:rsidRPr="00316F33">
        <w:rPr>
          <w:bCs w:val="0"/>
          <w:szCs w:val="24"/>
        </w:rPr>
        <w:t>.</w:t>
      </w:r>
      <w:r w:rsidR="00D01628" w:rsidRPr="00316F33">
        <w:rPr>
          <w:szCs w:val="24"/>
        </w:rPr>
        <w:t xml:space="preserve"> Definition </w:t>
      </w:r>
      <w:r w:rsidR="00420E82">
        <w:rPr>
          <w:szCs w:val="24"/>
        </w:rPr>
        <w:t xml:space="preserve">and community understanding </w:t>
      </w:r>
      <w:r w:rsidR="00D01628" w:rsidRPr="00316F33">
        <w:rPr>
          <w:szCs w:val="24"/>
        </w:rPr>
        <w:t>of elder abuse</w:t>
      </w:r>
    </w:p>
    <w:p w:rsidR="008C50BD" w:rsidRPr="008C50BD" w:rsidRDefault="00AE7E68" w:rsidP="008C50BD">
      <w:pPr>
        <w:spacing w:after="120"/>
        <w:ind w:right="-46"/>
      </w:pPr>
      <w:r w:rsidRPr="00AE7E68">
        <w:rPr>
          <w:b/>
          <w:noProof/>
          <w:lang w:eastAsia="en-AU"/>
        </w:rPr>
      </w:r>
      <w:r w:rsidRPr="00AE7E68">
        <w:rPr>
          <w:b/>
          <w:noProof/>
          <w:lang w:eastAsia="en-AU"/>
        </w:rPr>
        <w:pict>
          <v:shapetype id="_x0000_t202" coordsize="21600,21600" o:spt="202" path="m,l,21600r21600,l21600,xe">
            <v:stroke joinstyle="miter"/>
            <v:path gradientshapeok="t" o:connecttype="rect"/>
          </v:shapetype>
          <v:shape id="Text Box 2" o:spid="_x0000_s1031" type="#_x0000_t202" style="width:464.2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mV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">
            <v:textbox>
              <w:txbxContent>
                <w:p w:rsidR="008C50BD" w:rsidRPr="008C50BD" w:rsidRDefault="008C50BD" w:rsidP="008C50BD">
                  <w:pPr>
                    <w:spacing w:after="120"/>
                    <w:ind w:right="-46"/>
                    <w:contextualSpacing/>
                  </w:pPr>
                  <w:r w:rsidRPr="008C50BD">
                    <w:rPr>
                      <w:b/>
                    </w:rPr>
                    <w:t>Question 1</w:t>
                  </w:r>
                  <w:r w:rsidRPr="008C50BD">
                    <w:t xml:space="preserve"> To what extent should the following elements, or any others, be taken into account in describing or defining elder abuse:</w:t>
                  </w:r>
                </w:p>
                <w:p w:rsidR="008C50BD" w:rsidRDefault="008C50BD" w:rsidP="00B24B51">
                  <w:pPr>
                    <w:pStyle w:val="ListParagraph"/>
                    <w:numPr>
                      <w:ilvl w:val="0"/>
                      <w:numId w:val="9"/>
                    </w:numPr>
                    <w:spacing w:after="120"/>
                  </w:pPr>
                  <w:r w:rsidRPr="008C50BD">
                    <w:t>harm or distress;</w:t>
                  </w:r>
                </w:p>
                <w:p w:rsidR="008C50BD" w:rsidRPr="008C50BD" w:rsidRDefault="008C50BD" w:rsidP="00B24B51">
                  <w:pPr>
                    <w:pStyle w:val="ListParagraph"/>
                    <w:numPr>
                      <w:ilvl w:val="0"/>
                      <w:numId w:val="9"/>
                    </w:numPr>
                    <w:spacing w:after="120"/>
                    <w:ind w:right="-46"/>
                  </w:pPr>
                  <w:r w:rsidRPr="008C50BD">
                    <w:t>intention;</w:t>
                  </w:r>
                </w:p>
                <w:p w:rsidR="008C50BD" w:rsidRPr="008C50BD" w:rsidRDefault="008C50BD" w:rsidP="00B24B51">
                  <w:pPr>
                    <w:pStyle w:val="ListParagraph"/>
                    <w:numPr>
                      <w:ilvl w:val="0"/>
                      <w:numId w:val="9"/>
                    </w:numPr>
                    <w:spacing w:after="120"/>
                    <w:ind w:right="-46"/>
                  </w:pPr>
                  <w:proofErr w:type="gramStart"/>
                  <w:r w:rsidRPr="008C50BD">
                    <w:t>payment</w:t>
                  </w:r>
                  <w:proofErr w:type="gramEnd"/>
                  <w:r w:rsidRPr="008C50BD">
                    <w:t xml:space="preserve"> for services?</w:t>
                  </w:r>
                </w:p>
                <w:p w:rsidR="008C50BD" w:rsidRDefault="008C50BD"/>
              </w:txbxContent>
            </v:textbox>
            <w10:wrap type="none"/>
            <w10:anchorlock/>
          </v:shape>
        </w:pict>
      </w:r>
    </w:p>
    <w:p w:rsidR="00D01628" w:rsidRDefault="00D01628" w:rsidP="00D01628">
      <w:pPr>
        <w:spacing w:after="120"/>
        <w:ind w:right="-46"/>
      </w:pPr>
      <w:r>
        <w:t>T</w:t>
      </w:r>
      <w:r w:rsidRPr="00E05B6D">
        <w:t>he definition</w:t>
      </w:r>
      <w:r w:rsidR="008C50BD">
        <w:t xml:space="preserve"> of elder abuse</w:t>
      </w:r>
      <w:r>
        <w:t xml:space="preserve"> in Victoria</w:t>
      </w:r>
      <w:r w:rsidRPr="00E05B6D">
        <w:t xml:space="preserve"> is </w:t>
      </w:r>
      <w:r>
        <w:t>adopted from the Australian Network for the Prevention of Elder Abuse and resembles the World Health Organisation definition stated in the Issues Paper:</w:t>
      </w:r>
    </w:p>
    <w:p w:rsidR="00D01628" w:rsidRPr="00590EA5" w:rsidRDefault="00D01628" w:rsidP="00D01628">
      <w:pPr>
        <w:spacing w:after="120"/>
        <w:ind w:left="567"/>
      </w:pPr>
      <w:r w:rsidRPr="00E05B6D">
        <w:rPr>
          <w:i/>
          <w:sz w:val="20"/>
        </w:rPr>
        <w:t>Any act occurring within a relationship where there is an implication of trust, which results in harm to an older person. Abuse may be physical, sexual, financial, psycho</w:t>
      </w:r>
      <w:r>
        <w:rPr>
          <w:i/>
          <w:sz w:val="20"/>
        </w:rPr>
        <w:t xml:space="preserve">logical, </w:t>
      </w:r>
      <w:proofErr w:type="gramStart"/>
      <w:r>
        <w:rPr>
          <w:i/>
          <w:sz w:val="20"/>
        </w:rPr>
        <w:t>social</w:t>
      </w:r>
      <w:proofErr w:type="gramEnd"/>
      <w:r>
        <w:rPr>
          <w:i/>
          <w:sz w:val="20"/>
        </w:rPr>
        <w:t xml:space="preserve"> and/or neglect.</w:t>
      </w:r>
      <w:r w:rsidRPr="007948C4">
        <w:rPr>
          <w:rStyle w:val="FootnoteReference"/>
          <w:sz w:val="20"/>
        </w:rPr>
        <w:footnoteReference w:id="2"/>
      </w:r>
    </w:p>
    <w:p w:rsidR="00D01628" w:rsidRDefault="00D01628" w:rsidP="005000F8">
      <w:pPr>
        <w:pStyle w:val="DHHSNumberText"/>
        <w:numPr>
          <w:ilvl w:val="0"/>
          <w:numId w:val="0"/>
        </w:numPr>
        <w:spacing w:line="276" w:lineRule="auto"/>
        <w:jc w:val="left"/>
        <w:rPr>
          <w:rFonts w:cs="Calibri"/>
        </w:rPr>
      </w:pPr>
      <w:r>
        <w:t xml:space="preserve">The Royal Commission into Family Violence recognised elder abuse as a form of family violence, </w:t>
      </w:r>
      <w:r w:rsidR="009804F4">
        <w:t>as significant as</w:t>
      </w:r>
      <w:r>
        <w:t xml:space="preserve"> that experienced by younger people. </w:t>
      </w:r>
      <w:r w:rsidR="005000F8">
        <w:t>“</w:t>
      </w:r>
      <w:r w:rsidRPr="00C572CD">
        <w:t>It can be of a physical, sexual, emotional or psychological nature and be committed by an intimate partner or other family member</w:t>
      </w:r>
      <w:r>
        <w:t>.</w:t>
      </w:r>
      <w:r w:rsidR="005000F8">
        <w:t>”</w:t>
      </w:r>
      <w:r>
        <w:rPr>
          <w:rStyle w:val="FootnoteReference"/>
        </w:rPr>
        <w:footnoteReference w:id="3"/>
      </w:r>
      <w:r>
        <w:t xml:space="preserve"> </w:t>
      </w:r>
      <w:r w:rsidR="005000F8">
        <w:rPr>
          <w:rFonts w:cs="Calibri"/>
        </w:rPr>
        <w:t>The Royal Commission also found that “</w:t>
      </w:r>
      <w:r w:rsidR="005000F8" w:rsidRPr="00F14319">
        <w:rPr>
          <w:rFonts w:cs="Calibri"/>
        </w:rPr>
        <w:t>there is a significant lack of understanding within the community and by service providers of the nature and dynamics of elder abuse, which can create missed opportunities to intervene and provid</w:t>
      </w:r>
      <w:r w:rsidR="005000F8">
        <w:rPr>
          <w:rFonts w:cs="Calibri"/>
        </w:rPr>
        <w:t>e support to victims.”</w:t>
      </w:r>
      <w:r w:rsidR="005000F8">
        <w:rPr>
          <w:rStyle w:val="FootnoteReference"/>
          <w:rFonts w:cs="Calibri"/>
        </w:rPr>
        <w:footnoteReference w:id="4"/>
      </w:r>
    </w:p>
    <w:p w:rsidR="00420E82" w:rsidRDefault="0047153D" w:rsidP="005000F8">
      <w:pPr>
        <w:pStyle w:val="DHHSNumberText"/>
        <w:numPr>
          <w:ilvl w:val="0"/>
          <w:numId w:val="0"/>
        </w:numPr>
        <w:spacing w:line="276" w:lineRule="auto"/>
        <w:jc w:val="left"/>
        <w:rPr>
          <w:rFonts w:cs="Calibri"/>
        </w:rPr>
      </w:pPr>
      <w:r>
        <w:rPr>
          <w:rFonts w:cs="Calibri"/>
        </w:rPr>
        <w:t>Elder abuse in any form is unacceptable</w:t>
      </w:r>
      <w:r w:rsidR="007D4830">
        <w:rPr>
          <w:rFonts w:cs="Calibri"/>
        </w:rPr>
        <w:t xml:space="preserve">, whether the abuse is perpetrated in the home by family or </w:t>
      </w:r>
      <w:proofErr w:type="gramStart"/>
      <w:r w:rsidR="007D4830">
        <w:rPr>
          <w:rFonts w:cs="Calibri"/>
        </w:rPr>
        <w:t>friends,</w:t>
      </w:r>
      <w:proofErr w:type="gramEnd"/>
      <w:r w:rsidR="007D4830">
        <w:rPr>
          <w:rFonts w:cs="Calibri"/>
        </w:rPr>
        <w:t xml:space="preserve"> or within service settings by paid professionals. </w:t>
      </w:r>
    </w:p>
    <w:p w:rsidR="009804F4" w:rsidRDefault="00420E82" w:rsidP="005000F8">
      <w:pPr>
        <w:pStyle w:val="DHHSNumberText"/>
        <w:numPr>
          <w:ilvl w:val="0"/>
          <w:numId w:val="0"/>
        </w:numPr>
        <w:spacing w:line="276" w:lineRule="auto"/>
        <w:jc w:val="left"/>
        <w:rPr>
          <w:rFonts w:cs="Calibri"/>
        </w:rPr>
      </w:pPr>
      <w:r>
        <w:rPr>
          <w:rFonts w:cs="Calibri"/>
        </w:rPr>
        <w:t xml:space="preserve">There needs to be a strong focus on strengthening the level of community understanding about elder abuse, </w:t>
      </w:r>
      <w:r w:rsidR="0028510A">
        <w:rPr>
          <w:rFonts w:cs="Calibri"/>
        </w:rPr>
        <w:t xml:space="preserve">and </w:t>
      </w:r>
      <w:r>
        <w:rPr>
          <w:rFonts w:cs="Calibri"/>
        </w:rPr>
        <w:t>the support and advice available</w:t>
      </w:r>
      <w:r w:rsidR="0028510A">
        <w:rPr>
          <w:rFonts w:cs="Calibri"/>
        </w:rPr>
        <w:t>;</w:t>
      </w:r>
      <w:r>
        <w:rPr>
          <w:rFonts w:cs="Calibri"/>
        </w:rPr>
        <w:t xml:space="preserve"> </w:t>
      </w:r>
      <w:r w:rsidR="0028510A">
        <w:rPr>
          <w:rFonts w:cs="Calibri"/>
        </w:rPr>
        <w:t>and</w:t>
      </w:r>
      <w:r>
        <w:rPr>
          <w:rFonts w:cs="Calibri"/>
        </w:rPr>
        <w:t xml:space="preserve"> clear</w:t>
      </w:r>
      <w:r w:rsidR="007D4830">
        <w:rPr>
          <w:rFonts w:cs="Calibri"/>
        </w:rPr>
        <w:t xml:space="preserve"> reporting pathways and responses to ensure abuse, when identified and reported, is addressed.</w:t>
      </w:r>
    </w:p>
    <w:p w:rsidR="008A639D" w:rsidRPr="00316F33" w:rsidRDefault="008C50BD" w:rsidP="008A639D">
      <w:pPr>
        <w:pStyle w:val="Heading1"/>
        <w:spacing w:after="120"/>
        <w:rPr>
          <w:szCs w:val="24"/>
        </w:rPr>
      </w:pPr>
      <w:r w:rsidRPr="00316F33">
        <w:rPr>
          <w:szCs w:val="24"/>
        </w:rPr>
        <w:t>2</w:t>
      </w:r>
      <w:r w:rsidR="002C0A3F" w:rsidRPr="00316F33">
        <w:rPr>
          <w:szCs w:val="24"/>
        </w:rPr>
        <w:t xml:space="preserve">. </w:t>
      </w:r>
      <w:r w:rsidR="00D02752" w:rsidRPr="00316F33">
        <w:rPr>
          <w:szCs w:val="24"/>
        </w:rPr>
        <w:t>Aged care system</w:t>
      </w:r>
    </w:p>
    <w:p w:rsidR="005F77BC" w:rsidRDefault="00AE7E68" w:rsidP="003279FD">
      <w:pPr>
        <w:pStyle w:val="DHHSNumberText"/>
        <w:numPr>
          <w:ilvl w:val="0"/>
          <w:numId w:val="0"/>
        </w:numPr>
        <w:spacing w:line="276" w:lineRule="auto"/>
        <w:jc w:val="left"/>
        <w:rPr>
          <w:b/>
        </w:rPr>
      </w:pPr>
      <w:r>
        <w:rPr>
          <w:b/>
          <w:noProof/>
          <w:lang w:eastAsia="en-AU"/>
        </w:rPr>
      </w:r>
      <w:r>
        <w:rPr>
          <w:b/>
          <w:noProof/>
          <w:lang w:eastAsia="en-AU"/>
        </w:rPr>
        <w:pict>
          <v:shape id="_x0000_s1030" type="#_x0000_t202" style="width:458.2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">
            <v:textbox>
              <w:txbxContent>
                <w:p w:rsidR="005F77BC" w:rsidRDefault="005F77BC">
                  <w:pPr>
                    <w:rPr>
                      <w:b/>
                      <w:bCs/>
                      <w:szCs w:val="21"/>
                    </w:rPr>
                  </w:pPr>
                  <w:r w:rsidRPr="005F77BC">
                    <w:rPr>
                      <w:b/>
                      <w:bCs/>
                      <w:szCs w:val="21"/>
                    </w:rPr>
                    <w:t xml:space="preserve">Question 17 </w:t>
                  </w:r>
                  <w:r w:rsidRPr="005F77BC">
                    <w:rPr>
                      <w:szCs w:val="21"/>
                    </w:rPr>
                    <w:t xml:space="preserve">What changes to the requirements for reporting assaults in aged care settings should be made to improve responses to elder abuse? </w:t>
                  </w:r>
                </w:p>
                <w:p w:rsidR="005F77BC" w:rsidRPr="005F77BC" w:rsidRDefault="005F77BC">
                  <w:pPr>
                    <w:rPr>
                      <w:sz w:val="24"/>
                    </w:rPr>
                  </w:pPr>
                  <w:r w:rsidRPr="005F77BC">
                    <w:rPr>
                      <w:b/>
                      <w:bCs/>
                      <w:szCs w:val="21"/>
                    </w:rPr>
                    <w:t xml:space="preserve">Question 21 </w:t>
                  </w:r>
                  <w:r w:rsidRPr="005F77BC">
                    <w:rPr>
                      <w:szCs w:val="21"/>
                    </w:rPr>
                    <w:t>What other changes should be made to aged care laws and legal frameworks to identify, provide safeguards against and respond to elder abuse?</w:t>
                  </w:r>
                </w:p>
              </w:txbxContent>
            </v:textbox>
            <w10:wrap type="none"/>
            <w10:anchorlock/>
          </v:shape>
        </w:pict>
      </w:r>
    </w:p>
    <w:p w:rsidR="00DB478A" w:rsidRPr="00E405BF" w:rsidRDefault="00DB478A" w:rsidP="003279FD">
      <w:pPr>
        <w:pStyle w:val="DHHSNumberText"/>
        <w:numPr>
          <w:ilvl w:val="0"/>
          <w:numId w:val="0"/>
        </w:numPr>
        <w:spacing w:line="276" w:lineRule="auto"/>
        <w:jc w:val="left"/>
        <w:rPr>
          <w:b/>
        </w:rPr>
      </w:pPr>
      <w:r w:rsidRPr="00E405BF">
        <w:rPr>
          <w:b/>
        </w:rPr>
        <w:t xml:space="preserve">Elder abuse in </w:t>
      </w:r>
      <w:r w:rsidR="009377D1">
        <w:rPr>
          <w:b/>
        </w:rPr>
        <w:t xml:space="preserve">the context of </w:t>
      </w:r>
      <w:r w:rsidRPr="00E405BF">
        <w:rPr>
          <w:b/>
        </w:rPr>
        <w:t>residential aged care</w:t>
      </w:r>
    </w:p>
    <w:p w:rsidR="00DB478A" w:rsidRPr="00E405BF" w:rsidRDefault="0014637B" w:rsidP="003F4368">
      <w:pPr>
        <w:spacing w:after="120"/>
      </w:pPr>
      <w:r>
        <w:t xml:space="preserve">The </w:t>
      </w:r>
      <w:r w:rsidR="00DB478A" w:rsidRPr="003F4368">
        <w:rPr>
          <w:i/>
        </w:rPr>
        <w:t>Aged Care Act 1997</w:t>
      </w:r>
      <w:r w:rsidR="009D1FEC">
        <w:rPr>
          <w:i/>
        </w:rPr>
        <w:t xml:space="preserve"> (</w:t>
      </w:r>
      <w:proofErr w:type="spellStart"/>
      <w:r w:rsidR="009D1FEC">
        <w:rPr>
          <w:i/>
        </w:rPr>
        <w:t>Cth</w:t>
      </w:r>
      <w:proofErr w:type="spellEnd"/>
      <w:r w:rsidR="009D1FEC">
        <w:rPr>
          <w:i/>
        </w:rPr>
        <w:t>)</w:t>
      </w:r>
      <w:r w:rsidR="00DB478A" w:rsidRPr="00E405BF">
        <w:t xml:space="preserve"> specifies that </w:t>
      </w:r>
      <w:r w:rsidR="009377D1">
        <w:t xml:space="preserve">suspicions or allegations of </w:t>
      </w:r>
      <w:r w:rsidR="00DB478A" w:rsidRPr="00E405BF">
        <w:t>physical and sexual assault</w:t>
      </w:r>
      <w:r w:rsidR="00FB3C78">
        <w:t>s</w:t>
      </w:r>
      <w:r w:rsidR="00DB478A" w:rsidRPr="00E405BF">
        <w:t xml:space="preserve"> of a person under the care of </w:t>
      </w:r>
      <w:r w:rsidR="00B5648C">
        <w:t>a</w:t>
      </w:r>
      <w:r w:rsidR="00DB478A" w:rsidRPr="00E405BF">
        <w:t xml:space="preserve"> residential aged care facility are required to be reported</w:t>
      </w:r>
      <w:r w:rsidR="00FB3C78">
        <w:t xml:space="preserve"> to the Commonwealth Department of Health and to the police</w:t>
      </w:r>
      <w:r w:rsidR="00DB478A" w:rsidRPr="00E405BF">
        <w:t xml:space="preserve">. This includes </w:t>
      </w:r>
      <w:r w:rsidR="00FB3C78">
        <w:t xml:space="preserve">physical and sexual </w:t>
      </w:r>
      <w:r w:rsidR="00DB478A" w:rsidRPr="00E405BF">
        <w:t>abuse perpetrated by family members, as long as the abuse is carried out while the older person is under the care of the facility.</w:t>
      </w:r>
    </w:p>
    <w:p w:rsidR="009377D1" w:rsidRDefault="009377D1" w:rsidP="003F4368">
      <w:pPr>
        <w:spacing w:after="120"/>
      </w:pPr>
      <w:r>
        <w:lastRenderedPageBreak/>
        <w:t>While there is substantial guidance for aged care providers on appropriate responses to allegations or suspicions of physical and sexual assaults, the requirements under t</w:t>
      </w:r>
      <w:r w:rsidR="0028510A">
        <w:t>he Aged Care Act 1997 (</w:t>
      </w:r>
      <w:proofErr w:type="spellStart"/>
      <w:r w:rsidR="0028510A">
        <w:t>Cth</w:t>
      </w:r>
      <w:proofErr w:type="spellEnd"/>
      <w:r w:rsidR="0028510A">
        <w:t>) do</w:t>
      </w:r>
      <w:r>
        <w:t xml:space="preserve"> not incorporate other </w:t>
      </w:r>
      <w:r w:rsidR="0028510A">
        <w:t>types</w:t>
      </w:r>
      <w:r>
        <w:t xml:space="preserve"> of elder abuse: that is, psychological abuse, financial abuse</w:t>
      </w:r>
      <w:r w:rsidR="000E528D">
        <w:t xml:space="preserve"> and neglect</w:t>
      </w:r>
      <w:r>
        <w:t>.</w:t>
      </w:r>
    </w:p>
    <w:p w:rsidR="009377D1" w:rsidRDefault="009377D1" w:rsidP="003F4368">
      <w:pPr>
        <w:spacing w:after="120"/>
      </w:pPr>
      <w:r>
        <w:t xml:space="preserve">Consequently, </w:t>
      </w:r>
      <w:r w:rsidR="00682780">
        <w:t>the</w:t>
      </w:r>
      <w:r>
        <w:t>re is a substantial lack of clarity about what responsibilities rest with approved providers and their staff when they become aware of, or suspect, there may be</w:t>
      </w:r>
      <w:r w:rsidR="00682780">
        <w:t xml:space="preserve"> </w:t>
      </w:r>
      <w:r>
        <w:t xml:space="preserve">financial or psychological abuse </w:t>
      </w:r>
      <w:r w:rsidRPr="00E405BF">
        <w:t>by family members, friends or relatives</w:t>
      </w:r>
      <w:r>
        <w:t xml:space="preserve">. In addition, there is a lack of guidance for approved providers and their staff in regard to the </w:t>
      </w:r>
      <w:r w:rsidR="00C57953">
        <w:t xml:space="preserve">reporting </w:t>
      </w:r>
      <w:r w:rsidR="00D95AA1">
        <w:t xml:space="preserve">when aged care providers suspect financial or psychological abuse </w:t>
      </w:r>
      <w:r w:rsidR="00D95AA1" w:rsidRPr="00E405BF">
        <w:t>by family members, friends or relatives</w:t>
      </w:r>
      <w:r w:rsidR="00D95AA1">
        <w:t xml:space="preserve">. </w:t>
      </w:r>
    </w:p>
    <w:p w:rsidR="00E05B6D" w:rsidRDefault="009377D1" w:rsidP="003F4368">
      <w:pPr>
        <w:spacing w:after="120"/>
      </w:pPr>
      <w:r>
        <w:t>For example, reporting p</w:t>
      </w:r>
      <w:r w:rsidR="005000F8">
        <w:t xml:space="preserve">athways and responses </w:t>
      </w:r>
      <w:r>
        <w:t xml:space="preserve">by approved providers </w:t>
      </w:r>
      <w:r w:rsidR="005000F8">
        <w:t xml:space="preserve">may be </w:t>
      </w:r>
      <w:r>
        <w:t>influenced by a range of factors such as</w:t>
      </w:r>
      <w:r w:rsidR="000E528D">
        <w:t>:</w:t>
      </w:r>
    </w:p>
    <w:p w:rsidR="009377D1" w:rsidRDefault="009377D1" w:rsidP="00B24B51">
      <w:pPr>
        <w:pStyle w:val="ListParagraph"/>
        <w:numPr>
          <w:ilvl w:val="0"/>
          <w:numId w:val="8"/>
        </w:numPr>
        <w:spacing w:after="120"/>
        <w:ind w:left="425" w:hanging="357"/>
        <w:contextualSpacing w:val="0"/>
      </w:pPr>
      <w:r>
        <w:t xml:space="preserve">The </w:t>
      </w:r>
      <w:r w:rsidR="002E39EF">
        <w:t xml:space="preserve">cognitive </w:t>
      </w:r>
      <w:r>
        <w:t>capacity of the older person</w:t>
      </w:r>
    </w:p>
    <w:p w:rsidR="00E05B6D" w:rsidRDefault="002E39EF" w:rsidP="00B24B51">
      <w:pPr>
        <w:pStyle w:val="ListParagraph"/>
        <w:numPr>
          <w:ilvl w:val="0"/>
          <w:numId w:val="8"/>
        </w:numPr>
        <w:spacing w:after="120"/>
        <w:ind w:left="425" w:hanging="357"/>
        <w:contextualSpacing w:val="0"/>
      </w:pPr>
      <w:r>
        <w:t>Understanding of the benefits</w:t>
      </w:r>
      <w:r w:rsidR="009377D1">
        <w:t xml:space="preserve"> </w:t>
      </w:r>
      <w:r w:rsidR="00094266">
        <w:t>of</w:t>
      </w:r>
      <w:r w:rsidR="009377D1">
        <w:t xml:space="preserve"> address</w:t>
      </w:r>
      <w:r w:rsidR="00094266">
        <w:t xml:space="preserve">ing </w:t>
      </w:r>
      <w:r w:rsidR="009377D1">
        <w:t xml:space="preserve"> matters </w:t>
      </w:r>
      <w:r w:rsidR="00982410">
        <w:t>with</w:t>
      </w:r>
      <w:r w:rsidR="00094266">
        <w:t>in the context of</w:t>
      </w:r>
      <w:r w:rsidR="00982410">
        <w:t xml:space="preserve"> the older person and their family</w:t>
      </w:r>
    </w:p>
    <w:p w:rsidR="00E05B6D" w:rsidRDefault="000E528D" w:rsidP="00B24B51">
      <w:pPr>
        <w:pStyle w:val="ListParagraph"/>
        <w:numPr>
          <w:ilvl w:val="0"/>
          <w:numId w:val="8"/>
        </w:numPr>
        <w:spacing w:after="120"/>
        <w:ind w:left="425" w:hanging="357"/>
        <w:contextualSpacing w:val="0"/>
      </w:pPr>
      <w:r>
        <w:t>R</w:t>
      </w:r>
      <w:r w:rsidR="00982410">
        <w:t>eferring and l</w:t>
      </w:r>
      <w:r w:rsidR="00E05B6D">
        <w:t xml:space="preserve">inking </w:t>
      </w:r>
      <w:r w:rsidR="00982410">
        <w:t>the older person and/or their family</w:t>
      </w:r>
      <w:r w:rsidR="00E05B6D">
        <w:t xml:space="preserve"> to services</w:t>
      </w:r>
    </w:p>
    <w:p w:rsidR="00E56660" w:rsidRDefault="00982410" w:rsidP="00B24B51">
      <w:pPr>
        <w:pStyle w:val="ListParagraph"/>
        <w:numPr>
          <w:ilvl w:val="0"/>
          <w:numId w:val="8"/>
        </w:numPr>
        <w:spacing w:after="120"/>
        <w:ind w:left="425" w:hanging="357"/>
        <w:contextualSpacing w:val="0"/>
      </w:pPr>
      <w:r>
        <w:t>An application and</w:t>
      </w:r>
      <w:r w:rsidR="00E56660">
        <w:t xml:space="preserve"> response through a tribunal.</w:t>
      </w:r>
    </w:p>
    <w:p w:rsidR="0064498E" w:rsidRDefault="000E528D" w:rsidP="003F4368">
      <w:pPr>
        <w:spacing w:after="120"/>
      </w:pPr>
      <w:r>
        <w:t>The AL</w:t>
      </w:r>
      <w:r w:rsidR="0047153D">
        <w:t>R</w:t>
      </w:r>
      <w:r>
        <w:t>C</w:t>
      </w:r>
      <w:r w:rsidR="0047153D">
        <w:t xml:space="preserve"> </w:t>
      </w:r>
      <w:r>
        <w:t>should</w:t>
      </w:r>
      <w:r w:rsidR="0047153D">
        <w:t xml:space="preserve"> consider </w:t>
      </w:r>
      <w:r>
        <w:t>whether a</w:t>
      </w:r>
      <w:r w:rsidR="0014637B" w:rsidRPr="004E3C55">
        <w:t xml:space="preserve">ged care providers need a </w:t>
      </w:r>
      <w:r w:rsidR="009377D1">
        <w:t>greater</w:t>
      </w:r>
      <w:r w:rsidR="009377D1" w:rsidRPr="004E3C55">
        <w:t xml:space="preserve"> </w:t>
      </w:r>
      <w:r w:rsidR="0014637B" w:rsidRPr="004E3C55">
        <w:t>understanding of the various regulations at Commonwealth and State level</w:t>
      </w:r>
      <w:r w:rsidR="0014637B">
        <w:t>s</w:t>
      </w:r>
      <w:r>
        <w:t xml:space="preserve">, and </w:t>
      </w:r>
      <w:r w:rsidRPr="000E528D">
        <w:t>available services</w:t>
      </w:r>
      <w:r w:rsidR="0014637B" w:rsidRPr="004E3C55">
        <w:t xml:space="preserve"> to ensure appropriate responses</w:t>
      </w:r>
      <w:r w:rsidR="005000F8">
        <w:t xml:space="preserve"> to suspected</w:t>
      </w:r>
      <w:r w:rsidR="009377D1">
        <w:t xml:space="preserve"> elder</w:t>
      </w:r>
      <w:r w:rsidR="005000F8">
        <w:t xml:space="preserve"> abuse by family members, friends or relatives</w:t>
      </w:r>
      <w:r w:rsidR="0014637B">
        <w:t>,</w:t>
      </w:r>
      <w:r w:rsidR="0014637B" w:rsidRPr="004E3C55">
        <w:t xml:space="preserve"> taking into account cognitive capacity</w:t>
      </w:r>
      <w:r w:rsidR="004E3C55">
        <w:t>.</w:t>
      </w:r>
    </w:p>
    <w:p w:rsidR="005000F8" w:rsidRPr="005000F8" w:rsidRDefault="005000F8" w:rsidP="005000F8">
      <w:pPr>
        <w:spacing w:after="120"/>
      </w:pPr>
      <w:r>
        <w:rPr>
          <w:b/>
        </w:rPr>
        <w:t>Paid professionals as trusted friends</w:t>
      </w:r>
    </w:p>
    <w:p w:rsidR="007D4830" w:rsidRDefault="007D4830" w:rsidP="005000F8">
      <w:pPr>
        <w:spacing w:after="120"/>
      </w:pPr>
      <w:r w:rsidRPr="00D75BBA">
        <w:t xml:space="preserve">Across the health and aged care service systems, there are </w:t>
      </w:r>
      <w:r w:rsidR="00A90A93">
        <w:t xml:space="preserve">various </w:t>
      </w:r>
      <w:r w:rsidRPr="00D75BBA">
        <w:t>existing reporting processes and legislation that specify that professionals have a duty of care when providing a service to an older person and their family. A legal obligation arises when there is a visible risk of harm if care is not adequately provided, and professionals may be legally liable for any damage that results from such harm.</w:t>
      </w:r>
      <w:r w:rsidRPr="00D75BBA">
        <w:rPr>
          <w:rStyle w:val="FootnoteReference"/>
        </w:rPr>
        <w:footnoteReference w:id="5"/>
      </w:r>
      <w:r w:rsidRPr="00D75BBA">
        <w:t xml:space="preserve"> Duty of care protects the rights of older people whilst respecting their wishes and balancing the needs of family members and organisational requirements.</w:t>
      </w:r>
    </w:p>
    <w:p w:rsidR="005000F8" w:rsidRPr="007E3297" w:rsidRDefault="005000F8" w:rsidP="005000F8">
      <w:pPr>
        <w:spacing w:after="120"/>
        <w:rPr>
          <w:rFonts w:cs="Calibri"/>
          <w:b/>
        </w:rPr>
      </w:pPr>
      <w:r>
        <w:t>D</w:t>
      </w:r>
      <w:r w:rsidRPr="00E405BF">
        <w:t>efinition</w:t>
      </w:r>
      <w:r>
        <w:t>s</w:t>
      </w:r>
      <w:r w:rsidRPr="00E405BF">
        <w:t xml:space="preserve"> of elder abuse </w:t>
      </w:r>
      <w:r>
        <w:t>specify</w:t>
      </w:r>
      <w:r w:rsidRPr="00E405BF">
        <w:t xml:space="preserve"> </w:t>
      </w:r>
      <w:r>
        <w:t xml:space="preserve">a </w:t>
      </w:r>
      <w:r w:rsidRPr="00E405BF">
        <w:t>relationship where there is an expectation</w:t>
      </w:r>
      <w:r>
        <w:t xml:space="preserve"> or implication of trust</w:t>
      </w:r>
      <w:r w:rsidRPr="00E405BF">
        <w:t xml:space="preserve">. </w:t>
      </w:r>
      <w:r w:rsidR="00A63E1B">
        <w:t>S</w:t>
      </w:r>
      <w:r>
        <w:t xml:space="preserve">ome paid professional </w:t>
      </w:r>
      <w:proofErr w:type="spellStart"/>
      <w:r>
        <w:t>carers</w:t>
      </w:r>
      <w:proofErr w:type="spellEnd"/>
      <w:r>
        <w:t>, either in the home or in a residential care setting, may become ‘trusted’ people,</w:t>
      </w:r>
      <w:r w:rsidRPr="00E405BF">
        <w:t xml:space="preserve"> </w:t>
      </w:r>
      <w:r w:rsidR="00A63E1B">
        <w:t xml:space="preserve">and </w:t>
      </w:r>
      <w:r w:rsidR="00094266">
        <w:t xml:space="preserve">then inappropriately </w:t>
      </w:r>
      <w:r w:rsidR="00A63E1B">
        <w:t>use that trust to their advantage</w:t>
      </w:r>
      <w:r w:rsidR="00E125FB">
        <w:t>;</w:t>
      </w:r>
      <w:r w:rsidR="00A63E1B">
        <w:t xml:space="preserve"> </w:t>
      </w:r>
      <w:r w:rsidR="00E125FB">
        <w:t>f</w:t>
      </w:r>
      <w:r w:rsidR="00A63E1B">
        <w:t xml:space="preserve">or example, when an older person is vulnerable and isolated and becomes dependent on the paid professional, </w:t>
      </w:r>
      <w:r w:rsidR="00E125FB">
        <w:t>who uses</w:t>
      </w:r>
      <w:r w:rsidR="00A63E1B">
        <w:t xml:space="preserve"> that vulnerability and isolation for financial gain. In these cases, protection of the older person is reliant on checks and balances put in place by the service provider.</w:t>
      </w:r>
    </w:p>
    <w:p w:rsidR="005000F8" w:rsidRPr="007E3297" w:rsidRDefault="005000F8" w:rsidP="005000F8">
      <w:pPr>
        <w:spacing w:after="120"/>
      </w:pPr>
      <w:r w:rsidRPr="003F4368">
        <w:rPr>
          <w:rFonts w:cs="Calibri"/>
        </w:rPr>
        <w:t xml:space="preserve">A </w:t>
      </w:r>
      <w:r>
        <w:rPr>
          <w:rFonts w:cs="Calibri"/>
        </w:rPr>
        <w:t>grey area</w:t>
      </w:r>
      <w:r w:rsidRPr="003F4368">
        <w:rPr>
          <w:rFonts w:cs="Calibri"/>
        </w:rPr>
        <w:t xml:space="preserve"> exist</w:t>
      </w:r>
      <w:r>
        <w:rPr>
          <w:rFonts w:cs="Calibri"/>
        </w:rPr>
        <w:t>s where</w:t>
      </w:r>
      <w:r w:rsidR="00A63E1B">
        <w:rPr>
          <w:rFonts w:cs="Calibri"/>
        </w:rPr>
        <w:t xml:space="preserve"> a paid professional </w:t>
      </w:r>
      <w:r w:rsidR="00E125FB">
        <w:rPr>
          <w:rFonts w:cs="Calibri"/>
        </w:rPr>
        <w:t>care provider</w:t>
      </w:r>
      <w:r w:rsidR="00A63E1B">
        <w:rPr>
          <w:rFonts w:cs="Calibri"/>
        </w:rPr>
        <w:t xml:space="preserve"> develops a</w:t>
      </w:r>
      <w:r w:rsidRPr="003F4368">
        <w:rPr>
          <w:rFonts w:cs="Calibri"/>
        </w:rPr>
        <w:t xml:space="preserve"> relationship </w:t>
      </w:r>
      <w:r w:rsidR="00A63E1B">
        <w:rPr>
          <w:rFonts w:cs="Calibri"/>
        </w:rPr>
        <w:t>of trust with an</w:t>
      </w:r>
      <w:r w:rsidRPr="003F4368">
        <w:rPr>
          <w:rFonts w:cs="Calibri"/>
        </w:rPr>
        <w:t xml:space="preserve"> older person</w:t>
      </w:r>
      <w:r>
        <w:rPr>
          <w:rFonts w:cs="Calibri"/>
        </w:rPr>
        <w:t>,</w:t>
      </w:r>
      <w:r w:rsidRPr="003F4368">
        <w:rPr>
          <w:rFonts w:cs="Calibri"/>
        </w:rPr>
        <w:t xml:space="preserve"> </w:t>
      </w:r>
      <w:r>
        <w:rPr>
          <w:rFonts w:cs="Calibri"/>
        </w:rPr>
        <w:t>and</w:t>
      </w:r>
      <w:r w:rsidRPr="003F4368">
        <w:rPr>
          <w:rFonts w:cs="Calibri"/>
        </w:rPr>
        <w:t xml:space="preserve"> the carer uses that trust to perpetrate elder abuse. </w:t>
      </w:r>
      <w:r>
        <w:t xml:space="preserve">Given </w:t>
      </w:r>
      <w:r w:rsidR="00A90A93">
        <w:t>current Commonwealth Government policy is to continue to</w:t>
      </w:r>
      <w:r>
        <w:t xml:space="preserve"> increase </w:t>
      </w:r>
      <w:r w:rsidR="00A90A93">
        <w:t xml:space="preserve">the level of ‘in </w:t>
      </w:r>
      <w:r>
        <w:t>home</w:t>
      </w:r>
      <w:r w:rsidR="00A90A93">
        <w:t>’</w:t>
      </w:r>
      <w:r>
        <w:t xml:space="preserve"> care provision under the aged care reforms (see below), there is a need for</w:t>
      </w:r>
      <w:r w:rsidRPr="007E3297">
        <w:t xml:space="preserve"> </w:t>
      </w:r>
      <w:r w:rsidR="00BB17B4">
        <w:t xml:space="preserve">greater </w:t>
      </w:r>
      <w:r w:rsidRPr="007E3297">
        <w:t>clari</w:t>
      </w:r>
      <w:r>
        <w:t>ty about the responsibilities</w:t>
      </w:r>
      <w:r w:rsidRPr="007E3297">
        <w:t xml:space="preserve"> and </w:t>
      </w:r>
      <w:r w:rsidRPr="007E3297">
        <w:lastRenderedPageBreak/>
        <w:t xml:space="preserve">accountability of </w:t>
      </w:r>
      <w:r w:rsidR="000E528D">
        <w:t>an</w:t>
      </w:r>
      <w:r w:rsidRPr="007E3297">
        <w:t xml:space="preserve"> employing organisation</w:t>
      </w:r>
      <w:r>
        <w:t xml:space="preserve"> for the conduct of </w:t>
      </w:r>
      <w:r w:rsidR="00C572CD">
        <w:t xml:space="preserve">paid professional </w:t>
      </w:r>
      <w:proofErr w:type="spellStart"/>
      <w:r w:rsidR="00C572CD">
        <w:t>carers</w:t>
      </w:r>
      <w:proofErr w:type="spellEnd"/>
      <w:r>
        <w:t xml:space="preserve"> in </w:t>
      </w:r>
      <w:r w:rsidR="00C572CD">
        <w:t xml:space="preserve">terms of the trust older people place </w:t>
      </w:r>
      <w:r w:rsidR="007D4830">
        <w:t>in</w:t>
      </w:r>
      <w:r w:rsidR="00C572CD">
        <w:t xml:space="preserve"> them</w:t>
      </w:r>
      <w:r w:rsidR="000E528D">
        <w:t>;</w:t>
      </w:r>
      <w:r>
        <w:t xml:space="preserve"> and</w:t>
      </w:r>
      <w:r w:rsidRPr="007E3297">
        <w:t xml:space="preserve"> about remedies </w:t>
      </w:r>
      <w:r>
        <w:t>where</w:t>
      </w:r>
      <w:r w:rsidRPr="007E3297">
        <w:t xml:space="preserve"> duty of care</w:t>
      </w:r>
      <w:r>
        <w:t xml:space="preserve"> has been breached.</w:t>
      </w:r>
    </w:p>
    <w:p w:rsidR="005000F8" w:rsidRDefault="00A90A93" w:rsidP="003F4368">
      <w:pPr>
        <w:spacing w:after="120"/>
      </w:pPr>
      <w:r>
        <w:t>It is important that the ALRC consider what type s</w:t>
      </w:r>
      <w:r w:rsidR="005000F8" w:rsidRPr="007E3297">
        <w:t xml:space="preserve">anctions </w:t>
      </w:r>
      <w:r w:rsidR="005000F8">
        <w:t xml:space="preserve">and protections </w:t>
      </w:r>
      <w:r w:rsidR="005000F8" w:rsidRPr="007E3297">
        <w:t xml:space="preserve">need to be </w:t>
      </w:r>
      <w:r>
        <w:t xml:space="preserve">introduced or </w:t>
      </w:r>
      <w:r w:rsidR="00C572CD">
        <w:t>strengthened</w:t>
      </w:r>
      <w:r w:rsidR="005000F8" w:rsidRPr="007E3297">
        <w:t xml:space="preserve"> </w:t>
      </w:r>
      <w:r w:rsidR="005000F8">
        <w:t xml:space="preserve">to prevent paid </w:t>
      </w:r>
      <w:r w:rsidR="00C572CD">
        <w:t xml:space="preserve">professional </w:t>
      </w:r>
      <w:r w:rsidR="005000F8">
        <w:t>carers from</w:t>
      </w:r>
      <w:r w:rsidR="005000F8" w:rsidRPr="007E3297">
        <w:t xml:space="preserve"> </w:t>
      </w:r>
      <w:r w:rsidR="000E528D">
        <w:t xml:space="preserve">inappropriately </w:t>
      </w:r>
      <w:r w:rsidR="005000F8" w:rsidRPr="007E3297">
        <w:t>befriend</w:t>
      </w:r>
      <w:r w:rsidR="005000F8">
        <w:t>ing</w:t>
      </w:r>
      <w:r w:rsidR="005000F8" w:rsidRPr="007E3297">
        <w:t xml:space="preserve"> older pe</w:t>
      </w:r>
      <w:r w:rsidR="005000F8">
        <w:t>ople</w:t>
      </w:r>
      <w:r w:rsidR="005000F8" w:rsidRPr="007E3297">
        <w:t xml:space="preserve"> and </w:t>
      </w:r>
      <w:r w:rsidR="005000F8">
        <w:t xml:space="preserve">taking advantage of their vulnerability </w:t>
      </w:r>
      <w:r>
        <w:t xml:space="preserve">either to perpetrate elder abuse and/or </w:t>
      </w:r>
      <w:r w:rsidR="005000F8">
        <w:t>for monetary gain</w:t>
      </w:r>
      <w:r w:rsidR="005000F8" w:rsidRPr="007E3297">
        <w:t>.</w:t>
      </w:r>
    </w:p>
    <w:p w:rsidR="00772C29" w:rsidRDefault="00772C29" w:rsidP="00772C29">
      <w:pPr>
        <w:spacing w:after="120"/>
        <w:rPr>
          <w:b/>
        </w:rPr>
      </w:pPr>
      <w:r>
        <w:rPr>
          <w:b/>
        </w:rPr>
        <w:t xml:space="preserve">System </w:t>
      </w:r>
      <w:r w:rsidR="00304259">
        <w:rPr>
          <w:b/>
        </w:rPr>
        <w:t>reform</w:t>
      </w:r>
    </w:p>
    <w:p w:rsidR="00A90A93" w:rsidRDefault="00A56168" w:rsidP="003F4368">
      <w:pPr>
        <w:spacing w:after="120"/>
      </w:pPr>
      <w:r w:rsidRPr="001013F2">
        <w:t>The aged care system i</w:t>
      </w:r>
      <w:r w:rsidR="00404955" w:rsidRPr="001013F2">
        <w:t>s</w:t>
      </w:r>
      <w:r w:rsidR="002D6B90" w:rsidRPr="001013F2">
        <w:t xml:space="preserve"> currently</w:t>
      </w:r>
      <w:r w:rsidR="001013F2">
        <w:t xml:space="preserve"> under reform, with a</w:t>
      </w:r>
      <w:r w:rsidR="007D4830">
        <w:t xml:space="preserve"> stronger</w:t>
      </w:r>
      <w:r w:rsidR="001013F2">
        <w:t xml:space="preserve"> focus on</w:t>
      </w:r>
      <w:r w:rsidR="00404955" w:rsidRPr="001013F2">
        <w:t xml:space="preserve"> supporting </w:t>
      </w:r>
      <w:r w:rsidRPr="001013F2">
        <w:t xml:space="preserve">the older person in their home. </w:t>
      </w:r>
      <w:r w:rsidR="00432D32">
        <w:t>Consequently, w</w:t>
      </w:r>
      <w:r w:rsidR="00B24BDC">
        <w:t>e can expect</w:t>
      </w:r>
      <w:r w:rsidRPr="001013F2">
        <w:t xml:space="preserve"> more vulnerable older people</w:t>
      </w:r>
      <w:r w:rsidR="00B24BDC">
        <w:t xml:space="preserve"> to be</w:t>
      </w:r>
      <w:r w:rsidRPr="001013F2">
        <w:t xml:space="preserve"> living at home</w:t>
      </w:r>
      <w:r w:rsidR="00B24BDC">
        <w:t xml:space="preserve"> for longer, and that more of these older people will </w:t>
      </w:r>
      <w:r w:rsidR="00432D32">
        <w:t>be vulnerable to</w:t>
      </w:r>
      <w:r w:rsidR="00B24BDC">
        <w:t xml:space="preserve"> isolation and loneliness through loss of partners and friends, or through family moving away</w:t>
      </w:r>
      <w:r w:rsidRPr="001013F2">
        <w:t xml:space="preserve">. </w:t>
      </w:r>
    </w:p>
    <w:p w:rsidR="00A56168" w:rsidRDefault="00A56168" w:rsidP="003F4368">
      <w:pPr>
        <w:spacing w:after="120"/>
      </w:pPr>
      <w:r w:rsidRPr="001013F2">
        <w:t xml:space="preserve">In some cases, </w:t>
      </w:r>
      <w:r w:rsidR="00A90A93">
        <w:t xml:space="preserve">perpetrators of elder abuse use a tactic of </w:t>
      </w:r>
      <w:r w:rsidRPr="001013F2">
        <w:t xml:space="preserve">isolation to control and dominate an older person’s life and </w:t>
      </w:r>
      <w:r w:rsidR="00A90A93">
        <w:t>consequently hide the</w:t>
      </w:r>
      <w:r w:rsidRPr="001013F2">
        <w:t xml:space="preserve"> abuse.</w:t>
      </w:r>
      <w:r>
        <w:t xml:space="preserve"> Well-connected communities </w:t>
      </w:r>
      <w:r w:rsidR="00004571">
        <w:t>in which</w:t>
      </w:r>
      <w:r>
        <w:t xml:space="preserve"> older people </w:t>
      </w:r>
      <w:r w:rsidR="00004571">
        <w:t xml:space="preserve">are </w:t>
      </w:r>
      <w:r>
        <w:t xml:space="preserve">aware of their rights and </w:t>
      </w:r>
      <w:r w:rsidR="00432D32">
        <w:t xml:space="preserve">of the services available through </w:t>
      </w:r>
      <w:r>
        <w:t>the aged care system provide protective factor</w:t>
      </w:r>
      <w:r w:rsidR="00432D32">
        <w:t>s</w:t>
      </w:r>
      <w:r w:rsidR="00B844C8">
        <w:t xml:space="preserve"> which</w:t>
      </w:r>
      <w:r w:rsidR="00682780">
        <w:t xml:space="preserve"> can help reduce abuse and neglect.</w:t>
      </w:r>
    </w:p>
    <w:p w:rsidR="008D381F" w:rsidRPr="00632D95" w:rsidRDefault="00772C29" w:rsidP="00BB17B4">
      <w:pPr>
        <w:spacing w:after="120"/>
        <w:rPr>
          <w:b/>
        </w:rPr>
      </w:pPr>
      <w:r>
        <w:t>Older people and families require a</w:t>
      </w:r>
      <w:r w:rsidR="00B24BDC">
        <w:t>n aged care</w:t>
      </w:r>
      <w:r>
        <w:t xml:space="preserve"> system they can </w:t>
      </w:r>
      <w:r w:rsidR="007D4830">
        <w:t xml:space="preserve">easily </w:t>
      </w:r>
      <w:r>
        <w:t xml:space="preserve">access and navigate to </w:t>
      </w:r>
      <w:r w:rsidR="00B24BDC">
        <w:t>find the right services</w:t>
      </w:r>
      <w:r>
        <w:t xml:space="preserve">. </w:t>
      </w:r>
      <w:r w:rsidR="00A90A93">
        <w:t>It is therefore vital that</w:t>
      </w:r>
      <w:r w:rsidR="00A90A93" w:rsidRPr="001013F2">
        <w:t xml:space="preserve"> </w:t>
      </w:r>
      <w:r w:rsidR="00A56168" w:rsidRPr="001013F2">
        <w:t>aged care reforms</w:t>
      </w:r>
      <w:r w:rsidRPr="001013F2">
        <w:t xml:space="preserve"> </w:t>
      </w:r>
      <w:r w:rsidR="007D4830">
        <w:t>including</w:t>
      </w:r>
      <w:r w:rsidR="00C42DF4">
        <w:t xml:space="preserve"> the My Aged Care website and central telephone line </w:t>
      </w:r>
      <w:r w:rsidR="00A90A93">
        <w:t xml:space="preserve">do not </w:t>
      </w:r>
      <w:r w:rsidRPr="00BB7E97">
        <w:t>present barriers</w:t>
      </w:r>
      <w:r w:rsidR="00C42DF4">
        <w:t xml:space="preserve"> in terms of complexity </w:t>
      </w:r>
      <w:r w:rsidR="000E528D">
        <w:t>in</w:t>
      </w:r>
      <w:r w:rsidR="00C42DF4">
        <w:t xml:space="preserve"> navigating the website </w:t>
      </w:r>
      <w:r w:rsidR="00A90A93">
        <w:t xml:space="preserve">or difficulties in obtaining access </w:t>
      </w:r>
      <w:r w:rsidR="000E528D">
        <w:t xml:space="preserve">to information and services </w:t>
      </w:r>
      <w:r w:rsidR="00A90A93">
        <w:t>via</w:t>
      </w:r>
      <w:r w:rsidR="00C42DF4">
        <w:t xml:space="preserve"> the telephone line</w:t>
      </w:r>
      <w:r w:rsidRPr="001013F2">
        <w:t>.</w:t>
      </w:r>
      <w:r w:rsidR="00BB7E97">
        <w:t xml:space="preserve"> </w:t>
      </w:r>
    </w:p>
    <w:p w:rsidR="004676A3" w:rsidRDefault="004676A3" w:rsidP="00067096">
      <w:pPr>
        <w:spacing w:after="120"/>
      </w:pPr>
      <w:r>
        <w:t>It is important to support older people</w:t>
      </w:r>
      <w:r w:rsidR="00B64AE2">
        <w:t xml:space="preserve"> and their </w:t>
      </w:r>
      <w:proofErr w:type="spellStart"/>
      <w:r w:rsidR="00B64AE2">
        <w:t>carers</w:t>
      </w:r>
      <w:proofErr w:type="spellEnd"/>
      <w:r>
        <w:t xml:space="preserve"> in their homes as well as professionals working across the sector. </w:t>
      </w:r>
      <w:r w:rsidR="00B24166">
        <w:t>In order to ensure that all carers for older people, informal and formal, are properly supported in their roles, a</w:t>
      </w:r>
      <w:r>
        <w:t xml:space="preserve"> number of </w:t>
      </w:r>
      <w:r w:rsidR="007D4830">
        <w:t>measures are required</w:t>
      </w:r>
      <w:r w:rsidR="00B24166">
        <w:t>, including</w:t>
      </w:r>
      <w:r>
        <w:t>:</w:t>
      </w:r>
    </w:p>
    <w:p w:rsidR="00067096" w:rsidRDefault="00B62267" w:rsidP="00B24B51">
      <w:pPr>
        <w:pStyle w:val="ListParagraph"/>
        <w:numPr>
          <w:ilvl w:val="0"/>
          <w:numId w:val="3"/>
        </w:numPr>
        <w:tabs>
          <w:tab w:val="left" w:pos="709"/>
        </w:tabs>
        <w:spacing w:after="120"/>
        <w:contextualSpacing w:val="0"/>
      </w:pPr>
      <w:r>
        <w:t>Providing ongoing t</w:t>
      </w:r>
      <w:r w:rsidR="004676A3">
        <w:t>raining</w:t>
      </w:r>
      <w:r>
        <w:t xml:space="preserve"> opportunities for</w:t>
      </w:r>
      <w:r w:rsidR="004676A3">
        <w:t xml:space="preserve"> </w:t>
      </w:r>
      <w:r w:rsidR="00524795">
        <w:t xml:space="preserve">volunteers and </w:t>
      </w:r>
      <w:r w:rsidR="004676A3">
        <w:t xml:space="preserve">staff who work with older people to be aware of </w:t>
      </w:r>
      <w:r w:rsidR="00B24166">
        <w:t>older people’s</w:t>
      </w:r>
      <w:r w:rsidR="00E125FB">
        <w:t xml:space="preserve"> rights and</w:t>
      </w:r>
      <w:r w:rsidR="004676A3">
        <w:t xml:space="preserve"> be </w:t>
      </w:r>
      <w:r w:rsidR="003769B3">
        <w:t>carer and family</w:t>
      </w:r>
      <w:r w:rsidR="004676A3">
        <w:t xml:space="preserve"> inclusive</w:t>
      </w:r>
      <w:r w:rsidR="008D381F">
        <w:t xml:space="preserve"> in responding to elder abuse</w:t>
      </w:r>
    </w:p>
    <w:p w:rsidR="007F02DD" w:rsidRPr="007F02DD" w:rsidRDefault="007F02DD" w:rsidP="00B24B51">
      <w:pPr>
        <w:pStyle w:val="ListParagraph"/>
        <w:numPr>
          <w:ilvl w:val="0"/>
          <w:numId w:val="3"/>
        </w:numPr>
        <w:tabs>
          <w:tab w:val="left" w:pos="709"/>
        </w:tabs>
        <w:spacing w:after="120"/>
        <w:contextualSpacing w:val="0"/>
      </w:pPr>
      <w:r w:rsidRPr="007F02DD">
        <w:t xml:space="preserve">Making sure organisations and providers are aware of their responsibility to ensure that policies and procedures recognise the rights of older people, as outlined in the </w:t>
      </w:r>
      <w:r w:rsidRPr="00E1180B">
        <w:t>Aged Care Act 1997 (</w:t>
      </w:r>
      <w:proofErr w:type="spellStart"/>
      <w:r w:rsidRPr="00E1180B">
        <w:t>Cth</w:t>
      </w:r>
      <w:proofErr w:type="spellEnd"/>
      <w:r w:rsidRPr="00E1180B">
        <w:t>)</w:t>
      </w:r>
    </w:p>
    <w:p w:rsidR="00067096" w:rsidRDefault="004676A3" w:rsidP="00B24B51">
      <w:pPr>
        <w:pStyle w:val="ListParagraph"/>
        <w:numPr>
          <w:ilvl w:val="0"/>
          <w:numId w:val="3"/>
        </w:numPr>
        <w:tabs>
          <w:tab w:val="left" w:pos="709"/>
        </w:tabs>
        <w:spacing w:after="120"/>
        <w:ind w:left="357" w:hanging="357"/>
        <w:contextualSpacing w:val="0"/>
      </w:pPr>
      <w:r>
        <w:t xml:space="preserve">Making all staff aware of the roles and rights of carers and families </w:t>
      </w:r>
      <w:r w:rsidRPr="00463CFA">
        <w:t>and ensuring they understand relevant Commonwealth</w:t>
      </w:r>
      <w:r w:rsidR="007D4830">
        <w:t xml:space="preserve"> </w:t>
      </w:r>
      <w:r w:rsidR="007F02DD">
        <w:t>a</w:t>
      </w:r>
      <w:r w:rsidR="007D4830">
        <w:t xml:space="preserve">ged </w:t>
      </w:r>
      <w:r w:rsidR="007F02DD">
        <w:t>c</w:t>
      </w:r>
      <w:r w:rsidR="007D4830">
        <w:t>are</w:t>
      </w:r>
      <w:r w:rsidRPr="00463CFA">
        <w:t xml:space="preserve"> legislation </w:t>
      </w:r>
      <w:r w:rsidR="007D4830">
        <w:t>and State legislation</w:t>
      </w:r>
      <w:r w:rsidR="007F02DD">
        <w:t xml:space="preserve">, </w:t>
      </w:r>
      <w:r w:rsidR="007F02DD" w:rsidRPr="007F02DD">
        <w:t xml:space="preserve">such as the </w:t>
      </w:r>
      <w:r w:rsidR="007F02DD" w:rsidRPr="007F02DD">
        <w:rPr>
          <w:i/>
        </w:rPr>
        <w:t xml:space="preserve">Carers Recognition Act 2012 (Vic) </w:t>
      </w:r>
      <w:r w:rsidR="007F02DD" w:rsidRPr="007F02DD">
        <w:t xml:space="preserve">and the </w:t>
      </w:r>
      <w:r w:rsidR="007F02DD" w:rsidRPr="007F02DD">
        <w:rPr>
          <w:i/>
        </w:rPr>
        <w:t>Mental Health Act 2014 (Vic)</w:t>
      </w:r>
      <w:r w:rsidR="007F02DD">
        <w:t>,</w:t>
      </w:r>
      <w:r w:rsidR="007D4830">
        <w:t xml:space="preserve"> </w:t>
      </w:r>
      <w:r w:rsidR="007F02DD">
        <w:t>and how they impact</w:t>
      </w:r>
      <w:r w:rsidRPr="00463CFA">
        <w:t xml:space="preserve"> </w:t>
      </w:r>
      <w:r w:rsidR="007F02DD">
        <w:t xml:space="preserve">on </w:t>
      </w:r>
      <w:r w:rsidRPr="00463CFA">
        <w:t>their work</w:t>
      </w:r>
      <w:r>
        <w:t xml:space="preserve">. This is imperative when </w:t>
      </w:r>
      <w:r w:rsidR="007F02DD">
        <w:t>deal</w:t>
      </w:r>
      <w:r>
        <w:t>ing with suspected cases of elder abuse in wh</w:t>
      </w:r>
      <w:r w:rsidR="00682780">
        <w:t>ich the carer presents with</w:t>
      </w:r>
      <w:r>
        <w:t xml:space="preserve"> carer stress and is displaying risk factors associated with harming the older person</w:t>
      </w:r>
    </w:p>
    <w:p w:rsidR="004676A3" w:rsidRDefault="004676A3" w:rsidP="00B24B51">
      <w:pPr>
        <w:pStyle w:val="ListParagraph"/>
        <w:numPr>
          <w:ilvl w:val="0"/>
          <w:numId w:val="3"/>
        </w:numPr>
        <w:tabs>
          <w:tab w:val="left" w:pos="709"/>
        </w:tabs>
        <w:spacing w:after="120"/>
        <w:contextualSpacing w:val="0"/>
      </w:pPr>
      <w:r>
        <w:t xml:space="preserve">Targeting older people directly </w:t>
      </w:r>
      <w:r w:rsidR="007F02DD">
        <w:t>in</w:t>
      </w:r>
      <w:r>
        <w:t xml:space="preserve"> community education </w:t>
      </w:r>
      <w:r w:rsidR="007F02DD">
        <w:t xml:space="preserve">provision </w:t>
      </w:r>
      <w:r>
        <w:t>on the rights of older people and awareness of elder abuse</w:t>
      </w:r>
      <w:r w:rsidR="00D71E64">
        <w:t>; t</w:t>
      </w:r>
      <w:r w:rsidR="00524795">
        <w:t xml:space="preserve">his could </w:t>
      </w:r>
      <w:r w:rsidR="00D71E64">
        <w:t xml:space="preserve">also </w:t>
      </w:r>
      <w:r w:rsidR="00524795">
        <w:t xml:space="preserve">be expanded to </w:t>
      </w:r>
      <w:r w:rsidR="007F02DD">
        <w:t xml:space="preserve">include information on </w:t>
      </w:r>
      <w:r w:rsidR="00D71E64">
        <w:t>powers of attorney and the rights of carers and families</w:t>
      </w:r>
      <w:r w:rsidR="007F02DD">
        <w:t>, and targeting of these groups for information provision as well</w:t>
      </w:r>
    </w:p>
    <w:p w:rsidR="007F02DD" w:rsidRDefault="00E66AD6" w:rsidP="00B24B51">
      <w:pPr>
        <w:pStyle w:val="ListParagraph"/>
        <w:numPr>
          <w:ilvl w:val="0"/>
          <w:numId w:val="3"/>
        </w:numPr>
        <w:tabs>
          <w:tab w:val="left" w:pos="709"/>
        </w:tabs>
        <w:spacing w:after="120"/>
      </w:pPr>
      <w:r w:rsidRPr="00D71E64">
        <w:t xml:space="preserve">Ensuring professionals </w:t>
      </w:r>
      <w:r w:rsidR="002C0F60">
        <w:t xml:space="preserve">and organisations </w:t>
      </w:r>
      <w:r w:rsidRPr="00D71E64">
        <w:t xml:space="preserve">are aware of the expected actions they should take when suspicions or allegations of elder abuse </w:t>
      </w:r>
      <w:r w:rsidR="00D71E64" w:rsidRPr="00D71E64">
        <w:t>arise or are reported</w:t>
      </w:r>
      <w:r w:rsidRPr="00D71E64">
        <w:t xml:space="preserve">, and the </w:t>
      </w:r>
      <w:r w:rsidR="00524795" w:rsidRPr="00D71E64">
        <w:t xml:space="preserve">assessment and </w:t>
      </w:r>
      <w:r w:rsidRPr="00D71E64">
        <w:t>refer</w:t>
      </w:r>
      <w:r w:rsidR="002C0F60">
        <w:t>ral pathways they should follo</w:t>
      </w:r>
      <w:r w:rsidR="000541DF">
        <w:t>w</w:t>
      </w:r>
      <w:r w:rsidR="007F02DD">
        <w:t>.</w:t>
      </w:r>
    </w:p>
    <w:p w:rsidR="00540D96" w:rsidRDefault="00540D96" w:rsidP="000541DF">
      <w:pPr>
        <w:tabs>
          <w:tab w:val="left" w:pos="709"/>
        </w:tabs>
        <w:spacing w:after="120"/>
      </w:pPr>
      <w:r>
        <w:lastRenderedPageBreak/>
        <w:t>In addition</w:t>
      </w:r>
      <w:r w:rsidR="007F02DD">
        <w:t>, the</w:t>
      </w:r>
      <w:r>
        <w:t xml:space="preserve"> ALRC </w:t>
      </w:r>
      <w:r w:rsidR="007F02DD">
        <w:t>should give</w:t>
      </w:r>
      <w:r w:rsidR="00AF03E1">
        <w:t xml:space="preserve"> </w:t>
      </w:r>
      <w:r w:rsidR="007F02DD">
        <w:t>consideration to</w:t>
      </w:r>
      <w:r w:rsidR="00AF03E1">
        <w:t xml:space="preserve"> the importance of </w:t>
      </w:r>
      <w:r>
        <w:t xml:space="preserve">strengthening </w:t>
      </w:r>
      <w:r w:rsidR="00AF03E1">
        <w:t>police investigatory response to reported and identified elder abuse as identified in the Royal Commission into Family Violence</w:t>
      </w:r>
      <w:r>
        <w:t>, which recommended that:</w:t>
      </w:r>
    </w:p>
    <w:p w:rsidR="00540D96" w:rsidRDefault="00540D96" w:rsidP="007F02DD">
      <w:pPr>
        <w:spacing w:after="120"/>
        <w:ind w:left="720"/>
      </w:pPr>
      <w:r w:rsidRPr="007F02DD">
        <w:rPr>
          <w:i/>
          <w:sz w:val="20"/>
        </w:rPr>
        <w:t>Victoria Police, with advice from the Priority Community Division, scope options for a trial of a dedicated family violence and elder abuse response team in one Victoria Police local service area. The team should have the capacity to investigate financial abuse.</w:t>
      </w:r>
      <w:r w:rsidRPr="006A2D1A">
        <w:rPr>
          <w:rStyle w:val="FootnoteReference"/>
          <w:sz w:val="20"/>
        </w:rPr>
        <w:footnoteReference w:id="6"/>
      </w:r>
    </w:p>
    <w:p w:rsidR="00C572CD" w:rsidRDefault="008C50BD" w:rsidP="00C572CD">
      <w:pPr>
        <w:pStyle w:val="Heading1"/>
        <w:spacing w:after="120"/>
        <w:rPr>
          <w:szCs w:val="24"/>
        </w:rPr>
      </w:pPr>
      <w:r w:rsidRPr="008C50BD">
        <w:rPr>
          <w:bCs w:val="0"/>
          <w:szCs w:val="24"/>
        </w:rPr>
        <w:t>3</w:t>
      </w:r>
      <w:r w:rsidR="00C572CD" w:rsidRPr="008C50BD">
        <w:rPr>
          <w:bCs w:val="0"/>
          <w:szCs w:val="24"/>
        </w:rPr>
        <w:t xml:space="preserve">. Alternative </w:t>
      </w:r>
      <w:r w:rsidR="00B24166" w:rsidRPr="008C50BD">
        <w:rPr>
          <w:szCs w:val="24"/>
        </w:rPr>
        <w:t>dispute resolution mechanisms</w:t>
      </w:r>
    </w:p>
    <w:p w:rsidR="008A639D" w:rsidRPr="008A639D" w:rsidRDefault="00AE7E68" w:rsidP="008A639D">
      <w:r>
        <w:rPr>
          <w:noProof/>
          <w:lang w:eastAsia="en-AU"/>
        </w:rPr>
      </w:r>
      <w:r>
        <w:rPr>
          <w:noProof/>
          <w:lang w:eastAsia="en-AU"/>
        </w:rPr>
        <w:pict>
          <v:shape id="_x0000_s1029" type="#_x0000_t202" style="width:446.0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">
            <v:textbox>
              <w:txbxContent>
                <w:p w:rsidR="008A639D" w:rsidRPr="008A639D" w:rsidRDefault="008A639D">
                  <w:r w:rsidRPr="008A639D">
                    <w:rPr>
                      <w:b/>
                      <w:bCs/>
                    </w:rPr>
                    <w:t xml:space="preserve">Question 41 </w:t>
                  </w:r>
                  <w:r w:rsidRPr="008A639D">
                    <w:t>What alternative dispute resolution mechanisms are available to respond to elder abuse? How should they be improved? Is there a need for additional services, and where should they be located?</w:t>
                  </w:r>
                </w:p>
              </w:txbxContent>
            </v:textbox>
            <w10:wrap type="none"/>
            <w10:anchorlock/>
          </v:shape>
        </w:pict>
      </w:r>
    </w:p>
    <w:p w:rsidR="00F8428C" w:rsidRDefault="00C572CD" w:rsidP="00C572CD">
      <w:pPr>
        <w:spacing w:after="120"/>
      </w:pPr>
      <w:r w:rsidRPr="007E3297">
        <w:t>Many older people</w:t>
      </w:r>
      <w:r w:rsidR="00B24166">
        <w:t xml:space="preserve"> who experience elder abuse</w:t>
      </w:r>
      <w:r w:rsidRPr="007E3297">
        <w:t xml:space="preserve"> </w:t>
      </w:r>
      <w:r>
        <w:t>wish</w:t>
      </w:r>
      <w:r w:rsidRPr="007E3297">
        <w:t xml:space="preserve"> to retain their familial relationships and have abuse addressed at the same time, </w:t>
      </w:r>
      <w:r>
        <w:t xml:space="preserve">and this may not be </w:t>
      </w:r>
      <w:r w:rsidR="00B24166">
        <w:t>able to be delivered within</w:t>
      </w:r>
      <w:r>
        <w:t xml:space="preserve"> a</w:t>
      </w:r>
      <w:r w:rsidR="007D4830">
        <w:t xml:space="preserve"> solely</w:t>
      </w:r>
      <w:r>
        <w:t xml:space="preserve"> legal approach. For example,</w:t>
      </w:r>
      <w:r w:rsidR="00B24166">
        <w:t xml:space="preserve"> an older person who takes out an intervention order against a drug-addicted adult child may consequently lose </w:t>
      </w:r>
      <w:r w:rsidR="00CE646E">
        <w:t xml:space="preserve">ongoing </w:t>
      </w:r>
      <w:r w:rsidR="00B24166">
        <w:t>contact with that child if there is not a parallel process for dealing with the addiction and the abuse.</w:t>
      </w:r>
    </w:p>
    <w:p w:rsidR="00CE646E" w:rsidRDefault="00CF5FB8" w:rsidP="00CF5FB8">
      <w:pPr>
        <w:autoSpaceDE w:val="0"/>
        <w:autoSpaceDN w:val="0"/>
        <w:adjustRightInd w:val="0"/>
        <w:spacing w:after="120" w:line="240" w:lineRule="auto"/>
        <w:rPr>
          <w:rFonts w:ascii="Calibri" w:eastAsia="MS Mincho" w:hAnsi="Calibri" w:cs="Lato-Regular"/>
          <w:lang w:eastAsia="en-AU"/>
        </w:rPr>
      </w:pPr>
      <w:r w:rsidRPr="00CF5FB8">
        <w:rPr>
          <w:rFonts w:ascii="Calibri" w:eastAsia="MS Mincho" w:hAnsi="Calibri" w:cs="Arial"/>
          <w:color w:val="000000"/>
          <w:lang w:eastAsia="ja-JP"/>
        </w:rPr>
        <w:t xml:space="preserve">Seniors Rights Victoria reported </w:t>
      </w:r>
      <w:r w:rsidRPr="00CF5FB8">
        <w:rPr>
          <w:rFonts w:ascii="Calibri" w:eastAsia="MS Mincho" w:hAnsi="Calibri" w:cs="Lato-Regular"/>
          <w:lang w:eastAsia="en-AU"/>
        </w:rPr>
        <w:t xml:space="preserve">to the </w:t>
      </w:r>
      <w:r w:rsidR="00CE646E">
        <w:rPr>
          <w:rFonts w:ascii="Calibri" w:eastAsia="MS Mincho" w:hAnsi="Calibri" w:cs="Lato-Regular"/>
          <w:lang w:eastAsia="en-AU"/>
        </w:rPr>
        <w:t xml:space="preserve">Royal </w:t>
      </w:r>
      <w:r w:rsidRPr="00CF5FB8">
        <w:rPr>
          <w:rFonts w:ascii="Calibri" w:eastAsia="MS Mincho" w:hAnsi="Calibri" w:cs="Lato-Regular"/>
          <w:lang w:eastAsia="en-AU"/>
        </w:rPr>
        <w:t>Commission</w:t>
      </w:r>
      <w:r w:rsidR="00CE646E">
        <w:rPr>
          <w:rFonts w:ascii="Calibri" w:eastAsia="MS Mincho" w:hAnsi="Calibri" w:cs="Lato-Regular"/>
          <w:lang w:eastAsia="en-AU"/>
        </w:rPr>
        <w:t xml:space="preserve"> into Family Violence the</w:t>
      </w:r>
      <w:r w:rsidRPr="00CF5FB8">
        <w:rPr>
          <w:rFonts w:ascii="Calibri" w:eastAsia="MS Mincho" w:hAnsi="Calibri" w:cs="Lato-Regular"/>
          <w:lang w:eastAsia="en-AU"/>
        </w:rPr>
        <w:t xml:space="preserve"> reluctance among older people to become involved in legal processes</w:t>
      </w:r>
      <w:r w:rsidR="00CE646E">
        <w:rPr>
          <w:rFonts w:ascii="Calibri" w:eastAsia="MS Mincho" w:hAnsi="Calibri" w:cs="Lato-Regular"/>
          <w:lang w:eastAsia="en-AU"/>
        </w:rPr>
        <w:t>:</w:t>
      </w:r>
    </w:p>
    <w:p w:rsidR="00CF5FB8" w:rsidRPr="00A77B54" w:rsidRDefault="00CF5FB8" w:rsidP="00CE646E">
      <w:pPr>
        <w:autoSpaceDE w:val="0"/>
        <w:autoSpaceDN w:val="0"/>
        <w:adjustRightInd w:val="0"/>
        <w:spacing w:after="120" w:line="240" w:lineRule="auto"/>
        <w:ind w:left="720"/>
        <w:rPr>
          <w:rFonts w:ascii="Lato-Regular" w:eastAsia="MS Mincho" w:hAnsi="Lato-Regular" w:cs="Lato-Regular"/>
          <w:color w:val="4F4F4F"/>
          <w:sz w:val="8"/>
          <w:szCs w:val="10"/>
          <w:lang w:eastAsia="en-AU"/>
        </w:rPr>
      </w:pPr>
      <w:r w:rsidRPr="00A77B54">
        <w:rPr>
          <w:rFonts w:ascii="Calibri" w:eastAsia="MS Mincho" w:hAnsi="Calibri" w:cs="Lato-Regular"/>
          <w:i/>
          <w:sz w:val="20"/>
          <w:lang w:eastAsia="en-AU"/>
        </w:rPr>
        <w:t>People say, ‘I don’t want the police involved. I don’t want my son and daughter to be charged by the police.’ There is a reluctance to engage in legal solutions. There is a sense of protecting and supporting the son or daughter in whatever way they can. So there’s a sense, I guess, of … what we call a protective love as a parent in being very reluctant to then take action against the family member, usually the adult child.</w:t>
      </w:r>
    </w:p>
    <w:p w:rsidR="00CE646E" w:rsidRDefault="00CF5FB8" w:rsidP="00CF5FB8">
      <w:pPr>
        <w:autoSpaceDE w:val="0"/>
        <w:autoSpaceDN w:val="0"/>
        <w:adjustRightInd w:val="0"/>
        <w:spacing w:after="120" w:line="240" w:lineRule="auto"/>
        <w:rPr>
          <w:rFonts w:ascii="Calibri" w:eastAsia="MS Mincho" w:hAnsi="Calibri" w:cs="Arial"/>
          <w:color w:val="000000"/>
          <w:lang w:eastAsia="ja-JP"/>
        </w:rPr>
      </w:pPr>
      <w:r w:rsidRPr="00CF5FB8">
        <w:rPr>
          <w:rFonts w:ascii="Calibri" w:eastAsia="MS Mincho" w:hAnsi="Calibri" w:cs="Arial"/>
          <w:color w:val="000000"/>
          <w:lang w:eastAsia="ja-JP"/>
        </w:rPr>
        <w:t>Further, the Eastern Elder Abuse Network said that</w:t>
      </w:r>
      <w:r w:rsidR="00CE646E">
        <w:rPr>
          <w:rFonts w:ascii="Calibri" w:eastAsia="MS Mincho" w:hAnsi="Calibri" w:cs="Arial"/>
          <w:color w:val="000000"/>
          <w:lang w:eastAsia="ja-JP"/>
        </w:rPr>
        <w:t>:</w:t>
      </w:r>
    </w:p>
    <w:p w:rsidR="00CF5FB8" w:rsidRPr="00CF5FB8" w:rsidRDefault="00CF5FB8" w:rsidP="00CE646E">
      <w:pPr>
        <w:autoSpaceDE w:val="0"/>
        <w:autoSpaceDN w:val="0"/>
        <w:adjustRightInd w:val="0"/>
        <w:spacing w:after="120" w:line="240" w:lineRule="auto"/>
        <w:ind w:left="720"/>
        <w:rPr>
          <w:rFonts w:ascii="Calibri" w:eastAsia="MS Mincho" w:hAnsi="Calibri" w:cs="Arial"/>
          <w:color w:val="000000"/>
          <w:lang w:eastAsia="ja-JP"/>
        </w:rPr>
      </w:pPr>
      <w:proofErr w:type="gramStart"/>
      <w:r w:rsidRPr="00A77B54">
        <w:rPr>
          <w:rFonts w:ascii="Calibri" w:eastAsia="MS Mincho" w:hAnsi="Calibri" w:cs="Arial"/>
          <w:i/>
          <w:color w:val="000000"/>
          <w:sz w:val="20"/>
          <w:lang w:eastAsia="ja-JP"/>
        </w:rPr>
        <w:t>a</w:t>
      </w:r>
      <w:proofErr w:type="gramEnd"/>
      <w:r w:rsidRPr="00A77B54">
        <w:rPr>
          <w:rFonts w:ascii="Calibri" w:eastAsia="MS Mincho" w:hAnsi="Calibri" w:cs="Arial"/>
          <w:i/>
          <w:color w:val="000000"/>
          <w:sz w:val="20"/>
          <w:lang w:eastAsia="ja-JP"/>
        </w:rPr>
        <w:t xml:space="preserve"> punitive or retaliatory approach is seldom the appropriate response. Such an approach could cause further anxiety and stress to the older person’</w:t>
      </w:r>
      <w:r w:rsidRPr="00A77B54">
        <w:rPr>
          <w:rFonts w:ascii="Calibri" w:eastAsia="MS Mincho" w:hAnsi="Calibri" w:cs="Arial"/>
          <w:color w:val="000000"/>
          <w:sz w:val="20"/>
          <w:lang w:eastAsia="ja-JP"/>
        </w:rPr>
        <w:t xml:space="preserve">. Instead, </w:t>
      </w:r>
      <w:r w:rsidRPr="00A77B54">
        <w:rPr>
          <w:rFonts w:ascii="Calibri" w:eastAsia="MS Mincho" w:hAnsi="Calibri" w:cs="Arial"/>
          <w:i/>
          <w:color w:val="000000"/>
          <w:sz w:val="20"/>
          <w:lang w:eastAsia="ja-JP"/>
        </w:rPr>
        <w:t xml:space="preserve">‘responses to family violence against older victims should be sensitive to their familial </w:t>
      </w:r>
      <w:r w:rsidR="00CE646E" w:rsidRPr="00A77B54">
        <w:rPr>
          <w:rFonts w:ascii="Calibri" w:eastAsia="MS Mincho" w:hAnsi="Calibri" w:cs="Arial"/>
          <w:i/>
          <w:color w:val="000000"/>
          <w:sz w:val="20"/>
          <w:lang w:eastAsia="ja-JP"/>
        </w:rPr>
        <w:t>relationships and their choices.</w:t>
      </w:r>
      <w:r w:rsidR="00CE646E" w:rsidRPr="00A77B54">
        <w:rPr>
          <w:rStyle w:val="FootnoteReference"/>
          <w:rFonts w:ascii="Calibri" w:eastAsia="MS Mincho" w:hAnsi="Calibri" w:cs="Arial"/>
          <w:i/>
          <w:color w:val="000000"/>
          <w:sz w:val="20"/>
          <w:lang w:eastAsia="ja-JP"/>
        </w:rPr>
        <w:footnoteReference w:id="7"/>
      </w:r>
    </w:p>
    <w:p w:rsidR="00CF5FB8" w:rsidRDefault="00CF5FB8" w:rsidP="00CF5FB8">
      <w:pPr>
        <w:autoSpaceDE w:val="0"/>
        <w:autoSpaceDN w:val="0"/>
        <w:adjustRightInd w:val="0"/>
        <w:spacing w:before="120" w:after="120" w:line="240" w:lineRule="auto"/>
        <w:rPr>
          <w:rFonts w:ascii="Calibri" w:eastAsia="MS Mincho" w:hAnsi="Calibri" w:cs="Arial"/>
          <w:color w:val="000000"/>
          <w:lang w:eastAsia="ja-JP"/>
        </w:rPr>
      </w:pPr>
      <w:r w:rsidRPr="00CF5FB8">
        <w:rPr>
          <w:rFonts w:ascii="Calibri" w:eastAsia="MS Mincho" w:hAnsi="Calibri" w:cs="Arial"/>
          <w:color w:val="000000"/>
          <w:lang w:eastAsia="ja-JP"/>
        </w:rPr>
        <w:t xml:space="preserve">Many older people do not know where to go for appropriate help and a gap is dispute resolution </w:t>
      </w:r>
      <w:r w:rsidR="00CE646E">
        <w:rPr>
          <w:rFonts w:ascii="Calibri" w:eastAsia="MS Mincho" w:hAnsi="Calibri" w:cs="Arial"/>
          <w:color w:val="000000"/>
          <w:lang w:eastAsia="ja-JP"/>
        </w:rPr>
        <w:t xml:space="preserve">and restorative justice </w:t>
      </w:r>
      <w:r w:rsidRPr="00CF5FB8">
        <w:rPr>
          <w:rFonts w:ascii="Calibri" w:eastAsia="MS Mincho" w:hAnsi="Calibri" w:cs="Arial"/>
          <w:color w:val="000000"/>
          <w:lang w:eastAsia="ja-JP"/>
        </w:rPr>
        <w:t>system</w:t>
      </w:r>
      <w:r w:rsidR="00CE646E">
        <w:rPr>
          <w:rFonts w:ascii="Calibri" w:eastAsia="MS Mincho" w:hAnsi="Calibri" w:cs="Arial"/>
          <w:color w:val="000000"/>
          <w:lang w:eastAsia="ja-JP"/>
        </w:rPr>
        <w:t>s</w:t>
      </w:r>
      <w:r w:rsidRPr="00CF5FB8">
        <w:rPr>
          <w:rFonts w:ascii="Calibri" w:eastAsia="MS Mincho" w:hAnsi="Calibri" w:cs="Arial"/>
          <w:color w:val="000000"/>
          <w:lang w:eastAsia="ja-JP"/>
        </w:rPr>
        <w:t xml:space="preserve"> for older people experiencing elder abuse, and their families, that endeavours to support familial relationships. That is, to resolve the dispute in a manner that does not widen the gap between the older person and their family members. </w:t>
      </w:r>
      <w:r w:rsidR="00967ECD">
        <w:rPr>
          <w:rFonts w:ascii="Calibri" w:eastAsia="MS Mincho" w:hAnsi="Calibri" w:cs="Arial"/>
          <w:color w:val="000000"/>
          <w:lang w:eastAsia="ja-JP"/>
        </w:rPr>
        <w:t>This was recognised by the Royal Commission into Family Violence, which found that:</w:t>
      </w:r>
    </w:p>
    <w:p w:rsidR="00967ECD" w:rsidRPr="00A77B54" w:rsidRDefault="00967ECD" w:rsidP="00967ECD">
      <w:pPr>
        <w:autoSpaceDE w:val="0"/>
        <w:autoSpaceDN w:val="0"/>
        <w:adjustRightInd w:val="0"/>
        <w:spacing w:before="120" w:after="120" w:line="240" w:lineRule="auto"/>
        <w:ind w:left="720"/>
        <w:rPr>
          <w:rFonts w:ascii="Calibri" w:eastAsia="MS Mincho" w:hAnsi="Calibri" w:cs="Arial"/>
          <w:i/>
          <w:color w:val="000000"/>
          <w:sz w:val="20"/>
          <w:lang w:eastAsia="ja-JP"/>
        </w:rPr>
      </w:pPr>
      <w:r w:rsidRPr="00A77B54">
        <w:rPr>
          <w:rFonts w:ascii="Calibri" w:eastAsia="MS Mincho" w:hAnsi="Calibri" w:cs="Arial"/>
          <w:i/>
          <w:color w:val="000000"/>
          <w:sz w:val="20"/>
          <w:lang w:eastAsia="ja-JP"/>
        </w:rPr>
        <w:t>Restorative justice…may be of particular benefit to older victims of family violence, who wish to preserve their family relationships or avoid a criminal justice response.</w:t>
      </w:r>
      <w:r w:rsidRPr="00A77B54">
        <w:rPr>
          <w:rStyle w:val="FootnoteReference"/>
          <w:rFonts w:ascii="Calibri" w:eastAsia="MS Mincho" w:hAnsi="Calibri" w:cs="Arial"/>
          <w:i/>
          <w:color w:val="000000"/>
          <w:sz w:val="20"/>
          <w:lang w:eastAsia="ja-JP"/>
        </w:rPr>
        <w:footnoteReference w:id="8"/>
      </w:r>
    </w:p>
    <w:p w:rsidR="00C572CD" w:rsidRDefault="00C572CD" w:rsidP="00C572CD">
      <w:pPr>
        <w:spacing w:after="120"/>
        <w:rPr>
          <w:rFonts w:eastAsia="Times New Roman"/>
          <w:szCs w:val="24"/>
        </w:rPr>
      </w:pPr>
      <w:r>
        <w:t>Because of the wish of many older people to retain familial relationships</w:t>
      </w:r>
      <w:r w:rsidRPr="007E3297">
        <w:t xml:space="preserve">, </w:t>
      </w:r>
      <w:r w:rsidR="00F8428C">
        <w:t xml:space="preserve">family mediation and relationship counselling services </w:t>
      </w:r>
      <w:r w:rsidR="00CE646E">
        <w:t xml:space="preserve">are vital </w:t>
      </w:r>
      <w:r w:rsidR="00F8428C">
        <w:t>as a form of early intervention. E</w:t>
      </w:r>
      <w:r w:rsidR="00F8428C" w:rsidRPr="00237C4C">
        <w:rPr>
          <w:rFonts w:eastAsia="Times New Roman"/>
          <w:szCs w:val="24"/>
        </w:rPr>
        <w:t>vidence</w:t>
      </w:r>
      <w:r w:rsidR="00F8428C">
        <w:rPr>
          <w:rFonts w:eastAsia="Times New Roman"/>
          <w:szCs w:val="24"/>
        </w:rPr>
        <w:t xml:space="preserve"> </w:t>
      </w:r>
      <w:r w:rsidR="00F8428C" w:rsidRPr="00237C4C">
        <w:rPr>
          <w:rFonts w:eastAsia="Times New Roman"/>
          <w:szCs w:val="24"/>
        </w:rPr>
        <w:t xml:space="preserve">suggests that </w:t>
      </w:r>
      <w:r w:rsidR="00CE646E">
        <w:rPr>
          <w:rFonts w:eastAsia="Times New Roman"/>
          <w:szCs w:val="24"/>
        </w:rPr>
        <w:lastRenderedPageBreak/>
        <w:t xml:space="preserve">these types of </w:t>
      </w:r>
      <w:r w:rsidR="00F8428C">
        <w:rPr>
          <w:rFonts w:eastAsia="Times New Roman"/>
          <w:szCs w:val="24"/>
        </w:rPr>
        <w:t xml:space="preserve">early intervention approaches </w:t>
      </w:r>
      <w:r w:rsidR="00F8428C">
        <w:t>can offer an older person and their family an opportunity to resolve issues before they become so pronounced that they require a legal remedy</w:t>
      </w:r>
      <w:r w:rsidR="00F8428C" w:rsidRPr="00237C4C">
        <w:rPr>
          <w:rFonts w:eastAsia="Times New Roman"/>
          <w:szCs w:val="24"/>
        </w:rPr>
        <w:t>.</w:t>
      </w:r>
      <w:r w:rsidR="00F8428C">
        <w:rPr>
          <w:rStyle w:val="FootnoteReference"/>
          <w:rFonts w:eastAsia="Times New Roman"/>
          <w:szCs w:val="24"/>
        </w:rPr>
        <w:footnoteReference w:id="9"/>
      </w:r>
    </w:p>
    <w:p w:rsidR="00667B20" w:rsidRDefault="00F905E6" w:rsidP="00667B20">
      <w:pPr>
        <w:spacing w:after="120"/>
      </w:pPr>
      <w:r>
        <w:rPr>
          <w:color w:val="000000" w:themeColor="text1"/>
        </w:rPr>
        <w:t xml:space="preserve">The ALRC </w:t>
      </w:r>
      <w:r w:rsidR="00CE646E">
        <w:rPr>
          <w:color w:val="000000" w:themeColor="text1"/>
        </w:rPr>
        <w:t>should</w:t>
      </w:r>
      <w:r>
        <w:rPr>
          <w:color w:val="000000" w:themeColor="text1"/>
        </w:rPr>
        <w:t xml:space="preserve"> give consideration to the </w:t>
      </w:r>
      <w:r w:rsidR="00CE646E">
        <w:rPr>
          <w:color w:val="000000" w:themeColor="text1"/>
        </w:rPr>
        <w:t xml:space="preserve">need for </w:t>
      </w:r>
      <w:r>
        <w:rPr>
          <w:color w:val="000000" w:themeColor="text1"/>
        </w:rPr>
        <w:t xml:space="preserve">creation and expansion of alternate dispute resolution approaches, </w:t>
      </w:r>
      <w:r w:rsidR="00CE646E">
        <w:rPr>
          <w:color w:val="000000" w:themeColor="text1"/>
        </w:rPr>
        <w:t>and</w:t>
      </w:r>
      <w:r>
        <w:rPr>
          <w:color w:val="000000" w:themeColor="text1"/>
        </w:rPr>
        <w:t xml:space="preserve"> provision of a</w:t>
      </w:r>
      <w:r w:rsidR="00CE646E">
        <w:rPr>
          <w:color w:val="000000" w:themeColor="text1"/>
        </w:rPr>
        <w:t>dequat</w:t>
      </w:r>
      <w:r>
        <w:rPr>
          <w:color w:val="000000" w:themeColor="text1"/>
        </w:rPr>
        <w:t xml:space="preserve">e funding and resources </w:t>
      </w:r>
      <w:r w:rsidR="00CE646E">
        <w:rPr>
          <w:color w:val="000000" w:themeColor="text1"/>
        </w:rPr>
        <w:t>for</w:t>
      </w:r>
      <w:r>
        <w:rPr>
          <w:color w:val="000000" w:themeColor="text1"/>
        </w:rPr>
        <w:t xml:space="preserve"> </w:t>
      </w:r>
      <w:r>
        <w:rPr>
          <w:rFonts w:eastAsia="Times New Roman"/>
          <w:color w:val="000000" w:themeColor="text1"/>
          <w:szCs w:val="24"/>
        </w:rPr>
        <w:t xml:space="preserve">services such as </w:t>
      </w:r>
      <w:r w:rsidR="00667B20" w:rsidRPr="00237C4C">
        <w:rPr>
          <w:rFonts w:eastAsia="Times New Roman"/>
          <w:color w:val="000000" w:themeColor="text1"/>
          <w:szCs w:val="24"/>
        </w:rPr>
        <w:t xml:space="preserve">counselling and mediation services </w:t>
      </w:r>
      <w:r w:rsidR="00CE646E">
        <w:rPr>
          <w:rFonts w:eastAsia="Times New Roman"/>
          <w:color w:val="000000" w:themeColor="text1"/>
          <w:szCs w:val="24"/>
        </w:rPr>
        <w:t>to</w:t>
      </w:r>
      <w:r w:rsidRPr="00237C4C">
        <w:rPr>
          <w:rFonts w:eastAsia="Times New Roman"/>
          <w:color w:val="000000" w:themeColor="text1"/>
          <w:szCs w:val="24"/>
        </w:rPr>
        <w:t xml:space="preserve"> </w:t>
      </w:r>
      <w:r w:rsidR="00667B20" w:rsidRPr="00237C4C">
        <w:rPr>
          <w:rFonts w:eastAsia="Times New Roman"/>
          <w:color w:val="000000" w:themeColor="text1"/>
          <w:szCs w:val="24"/>
        </w:rPr>
        <w:t xml:space="preserve">better respond to elder abuse </w:t>
      </w:r>
      <w:r w:rsidR="00CE646E">
        <w:rPr>
          <w:rFonts w:eastAsia="Times New Roman"/>
          <w:color w:val="000000" w:themeColor="text1"/>
          <w:szCs w:val="24"/>
        </w:rPr>
        <w:t>in the</w:t>
      </w:r>
      <w:r w:rsidR="00667B20" w:rsidRPr="00237C4C">
        <w:rPr>
          <w:rFonts w:eastAsia="Times New Roman"/>
          <w:color w:val="000000" w:themeColor="text1"/>
          <w:szCs w:val="24"/>
        </w:rPr>
        <w:t xml:space="preserve"> early stage</w:t>
      </w:r>
      <w:r w:rsidR="00CE646E">
        <w:rPr>
          <w:rFonts w:eastAsia="Times New Roman"/>
          <w:color w:val="000000" w:themeColor="text1"/>
          <w:szCs w:val="24"/>
        </w:rPr>
        <w:t>s</w:t>
      </w:r>
      <w:r w:rsidR="00667B20" w:rsidRPr="007E3297">
        <w:t xml:space="preserve">, </w:t>
      </w:r>
      <w:r w:rsidR="00CE646E">
        <w:t>building on the 2007 recommendation</w:t>
      </w:r>
      <w:r w:rsidR="00667B20" w:rsidRPr="007E3297">
        <w:t xml:space="preserve"> </w:t>
      </w:r>
      <w:r w:rsidR="00CE646E">
        <w:t>of</w:t>
      </w:r>
      <w:r w:rsidR="00667B20" w:rsidRPr="007E3297">
        <w:t xml:space="preserve"> the </w:t>
      </w:r>
      <w:r w:rsidR="00CE646E" w:rsidRPr="00CE646E">
        <w:t xml:space="preserve">Standing Committee on Legal and Constitutional </w:t>
      </w:r>
      <w:r w:rsidR="002E39EF" w:rsidRPr="00CE646E">
        <w:t xml:space="preserve">Affairs </w:t>
      </w:r>
      <w:r w:rsidR="002E39EF">
        <w:t>in</w:t>
      </w:r>
      <w:r w:rsidR="00CE646E">
        <w:t xml:space="preserve"> its </w:t>
      </w:r>
      <w:r w:rsidR="00667B20" w:rsidRPr="00237C4C">
        <w:t xml:space="preserve">report, </w:t>
      </w:r>
      <w:r w:rsidR="00667B20" w:rsidRPr="00237C4C">
        <w:rPr>
          <w:i/>
        </w:rPr>
        <w:t>Older People and the Law</w:t>
      </w:r>
      <w:r w:rsidR="00667B20">
        <w:t>:</w:t>
      </w:r>
    </w:p>
    <w:p w:rsidR="00667B20" w:rsidRPr="00D71E64" w:rsidRDefault="00667B20" w:rsidP="00667B20">
      <w:pPr>
        <w:spacing w:after="120"/>
        <w:ind w:left="567"/>
      </w:pPr>
      <w:r w:rsidRPr="00D252B2">
        <w:rPr>
          <w:i/>
          <w:sz w:val="20"/>
        </w:rPr>
        <w:t>The Committee recommends that the Australian Government, in consultation with its state and territory counterparts, provide additional funding for mediation and dispute resolution services to assist older people to resolve financial disputes within the family situation.</w:t>
      </w:r>
      <w:r w:rsidRPr="009D1FEC">
        <w:rPr>
          <w:rStyle w:val="FootnoteReference"/>
          <w:sz w:val="20"/>
        </w:rPr>
        <w:footnoteReference w:id="10"/>
      </w:r>
    </w:p>
    <w:p w:rsidR="00667B20" w:rsidRPr="00E1180B" w:rsidRDefault="00E1180B" w:rsidP="00E1180B">
      <w:pPr>
        <w:spacing w:after="120"/>
        <w:rPr>
          <w:b/>
        </w:rPr>
      </w:pPr>
      <w:r>
        <w:rPr>
          <w:rFonts w:asciiTheme="majorHAnsi" w:eastAsiaTheme="majorEastAsia" w:hAnsiTheme="majorHAnsi" w:cstheme="majorBidi"/>
          <w:b/>
          <w:color w:val="365F91" w:themeColor="accent1" w:themeShade="BF"/>
          <w:sz w:val="28"/>
          <w:szCs w:val="24"/>
        </w:rPr>
        <w:t xml:space="preserve">4. </w:t>
      </w:r>
      <w:r w:rsidR="008C50BD" w:rsidRPr="00E1180B">
        <w:rPr>
          <w:rFonts w:asciiTheme="majorHAnsi" w:eastAsiaTheme="majorEastAsia" w:hAnsiTheme="majorHAnsi" w:cstheme="majorBidi"/>
          <w:b/>
          <w:color w:val="365F91" w:themeColor="accent1" w:themeShade="BF"/>
          <w:sz w:val="28"/>
          <w:szCs w:val="24"/>
        </w:rPr>
        <w:t>Integrated models of care</w:t>
      </w:r>
      <w:r w:rsidR="00E125FB" w:rsidRPr="00E1180B">
        <w:rPr>
          <w:rFonts w:asciiTheme="majorHAnsi" w:eastAsiaTheme="majorEastAsia" w:hAnsiTheme="majorHAnsi" w:cstheme="majorBidi"/>
          <w:b/>
          <w:color w:val="365F91" w:themeColor="accent1" w:themeShade="BF"/>
          <w:sz w:val="28"/>
          <w:szCs w:val="24"/>
        </w:rPr>
        <w:t xml:space="preserve"> and carer/family inclusive practice models</w:t>
      </w:r>
    </w:p>
    <w:p w:rsidR="008A639D" w:rsidRPr="008C50BD" w:rsidRDefault="00AE7E68" w:rsidP="00C572CD">
      <w:pPr>
        <w:spacing w:after="120"/>
        <w:rPr>
          <w:b/>
          <w:color w:val="FF0000"/>
        </w:rPr>
      </w:pPr>
      <w:r>
        <w:rPr>
          <w:b/>
          <w:noProof/>
          <w:color w:val="FF0000"/>
          <w:lang w:eastAsia="en-AU"/>
        </w:rPr>
      </w:r>
      <w:r>
        <w:rPr>
          <w:b/>
          <w:noProof/>
          <w:color w:val="FF0000"/>
          <w:lang w:eastAsia="en-AU"/>
        </w:rPr>
        <w:pict>
          <v:shape id="_x0000_s1028" type="#_x0000_t202" style="width:446.0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KEJgIAAEwEAAAOAAAAZHJzL2Uyb0RvYy54bWysVNtu2zAMfR+wfxD0vjh2kyw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">
            <v:textbox>
              <w:txbxContent>
                <w:p w:rsidR="008A639D" w:rsidRDefault="008A639D" w:rsidP="008A639D">
                  <w:r w:rsidRPr="008A639D">
                    <w:rPr>
                      <w:b/>
                      <w:bCs/>
                    </w:rPr>
                    <w:t xml:space="preserve">Question 35 </w:t>
                  </w:r>
                  <w:r w:rsidRPr="008A639D">
                    <w:t>How can the role that health professionals play in identifying and responding to elder abuse be improved?</w:t>
                  </w:r>
                </w:p>
                <w:p w:rsidR="008A639D" w:rsidRDefault="008A639D">
                  <w:r w:rsidRPr="008A639D">
                    <w:rPr>
                      <w:b/>
                      <w:bCs/>
                    </w:rPr>
                    <w:t xml:space="preserve">Question 37 </w:t>
                  </w:r>
                  <w:r w:rsidRPr="008A639D">
                    <w:t>Are health-justice partnerships a useful model for identifying and responding to elder abuse? What other health service models should be developed to ident</w:t>
                  </w:r>
                  <w:r>
                    <w:t>ify and respond to elder abuse?</w:t>
                  </w:r>
                </w:p>
              </w:txbxContent>
            </v:textbox>
            <w10:wrap type="none"/>
            <w10:anchorlock/>
          </v:shape>
        </w:pict>
      </w:r>
    </w:p>
    <w:p w:rsidR="00C572CD" w:rsidRDefault="00AF03E1" w:rsidP="00C572CD">
      <w:pPr>
        <w:spacing w:after="120"/>
        <w:rPr>
          <w:rFonts w:cs="Calibri"/>
        </w:rPr>
      </w:pPr>
      <w:r>
        <w:t>F</w:t>
      </w:r>
      <w:r w:rsidR="00C572CD">
        <w:t xml:space="preserve">amily members who provide care for older people, and who have multiple roles and demands due to everyday life, may find it difficult to provide suitable care for the older person, particularly if </w:t>
      </w:r>
      <w:r w:rsidR="00F8428C">
        <w:t>the older person</w:t>
      </w:r>
      <w:r w:rsidR="00C572CD">
        <w:t xml:space="preserve"> ha</w:t>
      </w:r>
      <w:r w:rsidR="00F8428C">
        <w:t>s</w:t>
      </w:r>
      <w:r w:rsidR="00C572CD">
        <w:t xml:space="preserve"> a cognitive impairment. These circumstances may lead to unintentional elder abuse.</w:t>
      </w:r>
      <w:r w:rsidR="00C572CD" w:rsidRPr="00F14319">
        <w:rPr>
          <w:rFonts w:cs="Calibri"/>
        </w:rPr>
        <w:t xml:space="preserve"> </w:t>
      </w:r>
    </w:p>
    <w:p w:rsidR="00BF2B7C" w:rsidRDefault="00BF2B7C" w:rsidP="00BF2B7C">
      <w:pPr>
        <w:spacing w:after="120"/>
        <w:ind w:right="-46"/>
        <w:rPr>
          <w:sz w:val="20"/>
        </w:rPr>
      </w:pPr>
      <w:r w:rsidRPr="00BB2BB9">
        <w:rPr>
          <w:lang w:val="en-US"/>
        </w:rPr>
        <w:t>Older people who are at risk of or experiencing elder abuse require access to integrated models of care</w:t>
      </w:r>
      <w:r>
        <w:rPr>
          <w:lang w:val="en-US"/>
        </w:rPr>
        <w:t>, which</w:t>
      </w:r>
      <w:r w:rsidRPr="00BB2BB9">
        <w:rPr>
          <w:lang w:val="en-US"/>
        </w:rPr>
        <w:t xml:space="preserve"> </w:t>
      </w:r>
      <w:r>
        <w:rPr>
          <w:lang w:val="en-US"/>
        </w:rPr>
        <w:t>bring</w:t>
      </w:r>
      <w:r>
        <w:t xml:space="preserve"> together components of the health, financial, legal and aged care systems </w:t>
      </w:r>
      <w:r w:rsidR="00B24B51">
        <w:t xml:space="preserve">in family inclusive approaches </w:t>
      </w:r>
      <w:r>
        <w:t>to address</w:t>
      </w:r>
      <w:r w:rsidRPr="00A9201F">
        <w:t xml:space="preserve"> a person’s needs, </w:t>
      </w:r>
      <w:r>
        <w:t>with decision-making undertaken</w:t>
      </w:r>
      <w:r w:rsidRPr="00A9201F">
        <w:t xml:space="preserve"> in partnership with the indiv</w:t>
      </w:r>
      <w:r>
        <w:t xml:space="preserve">idual, their </w:t>
      </w:r>
      <w:proofErr w:type="spellStart"/>
      <w:r>
        <w:t>carers</w:t>
      </w:r>
      <w:proofErr w:type="spellEnd"/>
      <w:r>
        <w:t xml:space="preserve"> and their family. These models are</w:t>
      </w:r>
      <w:r w:rsidRPr="00BB2BB9">
        <w:t xml:space="preserve"> supported </w:t>
      </w:r>
      <w:r>
        <w:t>by</w:t>
      </w:r>
      <w:r w:rsidRPr="00BB2BB9">
        <w:t xml:space="preserve"> the Royal Commission into Family Violence, </w:t>
      </w:r>
      <w:r>
        <w:t xml:space="preserve">which </w:t>
      </w:r>
      <w:r w:rsidR="00667B20">
        <w:t>reported</w:t>
      </w:r>
      <w:r>
        <w:t xml:space="preserve"> </w:t>
      </w:r>
      <w:r w:rsidR="002F7C8B">
        <w:t>on</w:t>
      </w:r>
      <w:r>
        <w:t xml:space="preserve"> partnerships between health and other service providers </w:t>
      </w:r>
      <w:r w:rsidR="002F7C8B">
        <w:t>that deliver improved responses to family violence</w:t>
      </w:r>
      <w:r>
        <w:rPr>
          <w:sz w:val="20"/>
        </w:rPr>
        <w:t>.</w:t>
      </w:r>
      <w:r>
        <w:rPr>
          <w:rStyle w:val="FootnoteReference"/>
          <w:sz w:val="20"/>
        </w:rPr>
        <w:footnoteReference w:id="11"/>
      </w:r>
    </w:p>
    <w:p w:rsidR="00540D96" w:rsidRPr="00AF03E1" w:rsidRDefault="00540D96" w:rsidP="00540D96">
      <w:r w:rsidRPr="00AF03E1">
        <w:t xml:space="preserve">The following lists some examples for the ALRC to consider </w:t>
      </w:r>
      <w:r w:rsidR="00E1180B">
        <w:t xml:space="preserve">in relation to </w:t>
      </w:r>
      <w:r w:rsidR="00AF03E1" w:rsidRPr="00AF03E1">
        <w:t xml:space="preserve">how the role of health professionals can be improved to identify </w:t>
      </w:r>
      <w:r w:rsidR="00E1180B">
        <w:t>and respond to elder abuse:</w:t>
      </w:r>
    </w:p>
    <w:p w:rsidR="00BF2B7C" w:rsidRDefault="00E1180B" w:rsidP="00B24B51">
      <w:pPr>
        <w:pStyle w:val="ListParagraph"/>
        <w:numPr>
          <w:ilvl w:val="0"/>
          <w:numId w:val="3"/>
        </w:numPr>
        <w:tabs>
          <w:tab w:val="left" w:pos="709"/>
        </w:tabs>
        <w:spacing w:after="120"/>
        <w:contextualSpacing w:val="0"/>
      </w:pPr>
      <w:r>
        <w:t>I</w:t>
      </w:r>
      <w:r w:rsidR="00BF2B7C" w:rsidRPr="007D4830">
        <w:t xml:space="preserve">ntegrated care models </w:t>
      </w:r>
      <w:r>
        <w:t>within</w:t>
      </w:r>
      <w:r w:rsidR="00BF2B7C" w:rsidRPr="007D4830">
        <w:t xml:space="preserve"> Victoria’s health system</w:t>
      </w:r>
      <w:r>
        <w:t>,</w:t>
      </w:r>
      <w:r w:rsidR="00BF2B7C" w:rsidRPr="007D4830">
        <w:t xml:space="preserve"> for example the health-justice partnership</w:t>
      </w:r>
      <w:r>
        <w:t>s located</w:t>
      </w:r>
      <w:r w:rsidR="00BF2B7C" w:rsidRPr="007D4830">
        <w:t xml:space="preserve"> at </w:t>
      </w:r>
      <w:proofErr w:type="spellStart"/>
      <w:r w:rsidR="00BF2B7C" w:rsidRPr="007D4830">
        <w:t>cohealth</w:t>
      </w:r>
      <w:proofErr w:type="spellEnd"/>
      <w:r w:rsidR="00BF2B7C" w:rsidRPr="007D4830">
        <w:t xml:space="preserve">, St Vincent’s Hospital Melbourne, Alfred Health and Monash Health. </w:t>
      </w:r>
    </w:p>
    <w:p w:rsidR="00BF2B7C" w:rsidRDefault="00BF2B7C" w:rsidP="00B24B51">
      <w:pPr>
        <w:pStyle w:val="ListParagraph"/>
        <w:numPr>
          <w:ilvl w:val="0"/>
          <w:numId w:val="3"/>
        </w:numPr>
        <w:tabs>
          <w:tab w:val="left" w:pos="709"/>
        </w:tabs>
        <w:spacing w:after="120"/>
        <w:contextualSpacing w:val="0"/>
      </w:pPr>
      <w:r w:rsidRPr="007D4830">
        <w:t xml:space="preserve">Victoria’s Department of Health and Human Services has funded the </w:t>
      </w:r>
      <w:proofErr w:type="spellStart"/>
      <w:r w:rsidRPr="007D4830">
        <w:t>Bouverie</w:t>
      </w:r>
      <w:proofErr w:type="spellEnd"/>
      <w:r w:rsidRPr="007D4830">
        <w:t xml:space="preserve"> Centre to train professionals working across the health and aged care system to prevent and respond to elder </w:t>
      </w:r>
      <w:r w:rsidRPr="007D4830">
        <w:lastRenderedPageBreak/>
        <w:t>abuse using a client-centred framework involving carers and families. This model responds to a number of important issues for older people:</w:t>
      </w:r>
    </w:p>
    <w:p w:rsidR="00BF2B7C" w:rsidRPr="007D4830" w:rsidRDefault="00BF2B7C" w:rsidP="00B24B51">
      <w:pPr>
        <w:pStyle w:val="ListParagraph"/>
        <w:numPr>
          <w:ilvl w:val="0"/>
          <w:numId w:val="10"/>
        </w:numPr>
        <w:spacing w:after="120"/>
        <w:contextualSpacing w:val="0"/>
      </w:pPr>
      <w:r w:rsidRPr="007D4830">
        <w:t xml:space="preserve">The training will focus on capacity building for health and aged care professionals. As highlighted in the Royal Commission into Family Violence, “health professionals … are best placed to identify family violence since </w:t>
      </w:r>
      <w:proofErr w:type="gramStart"/>
      <w:r w:rsidR="00E1180B">
        <w:t xml:space="preserve">most </w:t>
      </w:r>
      <w:r w:rsidR="00E1180B" w:rsidRPr="007D4830">
        <w:t>older</w:t>
      </w:r>
      <w:proofErr w:type="gramEnd"/>
      <w:r w:rsidRPr="007D4830">
        <w:t xml:space="preserve"> people trust them.”</w:t>
      </w:r>
      <w:r w:rsidRPr="007D4830">
        <w:rPr>
          <w:rStyle w:val="FootnoteReference"/>
        </w:rPr>
        <w:footnoteReference w:id="12"/>
      </w:r>
    </w:p>
    <w:p w:rsidR="00BF2B7C" w:rsidRPr="007D4830" w:rsidRDefault="00BF2B7C" w:rsidP="00B24B51">
      <w:pPr>
        <w:pStyle w:val="ListParagraph"/>
        <w:numPr>
          <w:ilvl w:val="0"/>
          <w:numId w:val="10"/>
        </w:numPr>
        <w:spacing w:after="120"/>
        <w:contextualSpacing w:val="0"/>
      </w:pPr>
      <w:r w:rsidRPr="007D4830">
        <w:t>The number of opportunities will increase for disclosures of elder abuse and appropriate responses across the system. The Royal Commission into Family Violence highlighted that many people experiencing family violence may not be in a position to access specialist family violence services, but will instead disclose to universal services, such as a health service.</w:t>
      </w:r>
      <w:r w:rsidRPr="007D4830">
        <w:rPr>
          <w:rStyle w:val="FootnoteReference"/>
        </w:rPr>
        <w:footnoteReference w:id="13"/>
      </w:r>
    </w:p>
    <w:p w:rsidR="00BF2B7C" w:rsidRPr="007D4830" w:rsidRDefault="00BF2B7C" w:rsidP="00B24B51">
      <w:pPr>
        <w:pStyle w:val="ListParagraph"/>
        <w:numPr>
          <w:ilvl w:val="0"/>
          <w:numId w:val="10"/>
        </w:numPr>
        <w:spacing w:after="120"/>
        <w:contextualSpacing w:val="0"/>
      </w:pPr>
      <w:r w:rsidRPr="007D4830">
        <w:t xml:space="preserve">It supports the findings of the Royal Commission into Family </w:t>
      </w:r>
      <w:r w:rsidR="002E39EF" w:rsidRPr="007D4830">
        <w:t>Violence that</w:t>
      </w:r>
      <w:r w:rsidRPr="007D4830">
        <w:t xml:space="preserve"> older people often prefer not to pursue the justice system but rather preserve and restore family relationships.</w:t>
      </w:r>
      <w:r w:rsidRPr="007D4830">
        <w:rPr>
          <w:rStyle w:val="FootnoteReference"/>
        </w:rPr>
        <w:footnoteReference w:id="14"/>
      </w:r>
    </w:p>
    <w:p w:rsidR="00BF2B7C" w:rsidRPr="00E1180B" w:rsidRDefault="00BF2B7C" w:rsidP="00B24B51">
      <w:pPr>
        <w:pStyle w:val="ListParagraph"/>
        <w:numPr>
          <w:ilvl w:val="0"/>
          <w:numId w:val="12"/>
        </w:numPr>
        <w:spacing w:after="120"/>
        <w:rPr>
          <w:rFonts w:eastAsia="Times New Roman"/>
          <w:szCs w:val="24"/>
        </w:rPr>
      </w:pPr>
      <w:r w:rsidRPr="007D4830">
        <w:t>Victoria is also establishing elder abuse prevention networks in five locations.</w:t>
      </w:r>
      <w:r w:rsidRPr="007D4830">
        <w:rPr>
          <w:rStyle w:val="FootnoteReference"/>
        </w:rPr>
        <w:footnoteReference w:id="15"/>
      </w:r>
      <w:r w:rsidRPr="007D4830">
        <w:t xml:space="preserve"> In addition to raising community awareness, these</w:t>
      </w:r>
      <w:r w:rsidRPr="00E1180B">
        <w:rPr>
          <w:rFonts w:eastAsia="Times New Roman"/>
          <w:szCs w:val="24"/>
        </w:rPr>
        <w:t xml:space="preserve"> networks provide opportunities for </w:t>
      </w:r>
      <w:r w:rsidR="00E1180B">
        <w:rPr>
          <w:rFonts w:eastAsia="Times New Roman"/>
          <w:szCs w:val="24"/>
        </w:rPr>
        <w:t>local service</w:t>
      </w:r>
      <w:r w:rsidRPr="00E1180B">
        <w:rPr>
          <w:rFonts w:eastAsia="Times New Roman"/>
          <w:szCs w:val="24"/>
        </w:rPr>
        <w:t xml:space="preserve"> professionals to meet and exchange stories, </w:t>
      </w:r>
      <w:r w:rsidR="00E1180B">
        <w:rPr>
          <w:rFonts w:eastAsia="Times New Roman"/>
          <w:szCs w:val="24"/>
        </w:rPr>
        <w:t xml:space="preserve">build </w:t>
      </w:r>
      <w:r w:rsidRPr="00E1180B">
        <w:rPr>
          <w:rFonts w:eastAsia="Times New Roman"/>
          <w:szCs w:val="24"/>
        </w:rPr>
        <w:t xml:space="preserve">skills and </w:t>
      </w:r>
      <w:r w:rsidR="00E1180B">
        <w:rPr>
          <w:rFonts w:eastAsia="Times New Roman"/>
          <w:szCs w:val="24"/>
        </w:rPr>
        <w:t xml:space="preserve">develop </w:t>
      </w:r>
      <w:r w:rsidRPr="00E1180B">
        <w:rPr>
          <w:rFonts w:eastAsia="Times New Roman"/>
          <w:szCs w:val="24"/>
        </w:rPr>
        <w:t xml:space="preserve">inter-agency protocols </w:t>
      </w:r>
      <w:r w:rsidR="00E1180B">
        <w:rPr>
          <w:rFonts w:eastAsia="Times New Roman"/>
          <w:szCs w:val="24"/>
        </w:rPr>
        <w:t>and partnerships to</w:t>
      </w:r>
      <w:r w:rsidRPr="00E1180B">
        <w:rPr>
          <w:rFonts w:eastAsia="Times New Roman"/>
          <w:szCs w:val="24"/>
        </w:rPr>
        <w:t xml:space="preserve"> </w:t>
      </w:r>
      <w:r w:rsidR="00B24B51" w:rsidRPr="00B24B51">
        <w:rPr>
          <w:rFonts w:eastAsia="Times New Roman"/>
          <w:szCs w:val="24"/>
        </w:rPr>
        <w:t>increase</w:t>
      </w:r>
      <w:r w:rsidRPr="00B24B51">
        <w:rPr>
          <w:rFonts w:eastAsia="Times New Roman"/>
          <w:szCs w:val="24"/>
        </w:rPr>
        <w:t xml:space="preserve"> awareness </w:t>
      </w:r>
      <w:r w:rsidR="00B24B51">
        <w:rPr>
          <w:rFonts w:eastAsia="Times New Roman"/>
          <w:szCs w:val="24"/>
        </w:rPr>
        <w:t xml:space="preserve">to ensure </w:t>
      </w:r>
      <w:r w:rsidR="00E1180B">
        <w:rPr>
          <w:rFonts w:eastAsia="Times New Roman"/>
          <w:szCs w:val="24"/>
        </w:rPr>
        <w:t xml:space="preserve">better </w:t>
      </w:r>
      <w:r w:rsidRPr="00E1180B">
        <w:rPr>
          <w:rFonts w:eastAsia="Times New Roman"/>
          <w:szCs w:val="24"/>
        </w:rPr>
        <w:t>respon</w:t>
      </w:r>
      <w:r w:rsidR="00B24B51">
        <w:rPr>
          <w:rFonts w:eastAsia="Times New Roman"/>
          <w:szCs w:val="24"/>
        </w:rPr>
        <w:t>ses</w:t>
      </w:r>
      <w:r w:rsidRPr="00E1180B">
        <w:rPr>
          <w:rFonts w:eastAsia="Times New Roman"/>
          <w:szCs w:val="24"/>
        </w:rPr>
        <w:t xml:space="preserve"> to suspected elder</w:t>
      </w:r>
      <w:r w:rsidR="00B24B51">
        <w:rPr>
          <w:rFonts w:eastAsia="Times New Roman"/>
          <w:szCs w:val="24"/>
        </w:rPr>
        <w:t xml:space="preserve"> abuse</w:t>
      </w:r>
      <w:r w:rsidRPr="00E1180B">
        <w:rPr>
          <w:rFonts w:eastAsia="Times New Roman"/>
          <w:szCs w:val="24"/>
        </w:rPr>
        <w:t xml:space="preserve">. Older people benefit from these networks </w:t>
      </w:r>
      <w:r w:rsidR="00B24B51">
        <w:rPr>
          <w:rFonts w:eastAsia="Times New Roman"/>
          <w:szCs w:val="24"/>
        </w:rPr>
        <w:t>when</w:t>
      </w:r>
      <w:r w:rsidRPr="00E1180B">
        <w:rPr>
          <w:rFonts w:eastAsia="Times New Roman"/>
          <w:szCs w:val="24"/>
        </w:rPr>
        <w:t xml:space="preserve"> the professionals they are seeking support from, such as General Practitioners, can meet regularly and develop their skills to detect and respond to elder abuse. </w:t>
      </w:r>
    </w:p>
    <w:p w:rsidR="00B24B51" w:rsidRDefault="00AF03E1" w:rsidP="00114421">
      <w:pPr>
        <w:spacing w:after="120"/>
        <w:rPr>
          <w:rFonts w:ascii="Calibri" w:eastAsia="Calibri" w:hAnsi="Calibri" w:cs="Times New Roman"/>
          <w:sz w:val="24"/>
          <w:szCs w:val="24"/>
          <w:lang w:val="en-US"/>
        </w:rPr>
      </w:pPr>
      <w:r>
        <w:rPr>
          <w:rFonts w:eastAsia="Times New Roman"/>
          <w:szCs w:val="24"/>
        </w:rPr>
        <w:t xml:space="preserve">The ALRC </w:t>
      </w:r>
      <w:r w:rsidR="00B24B51">
        <w:rPr>
          <w:rFonts w:eastAsia="Times New Roman"/>
          <w:szCs w:val="24"/>
        </w:rPr>
        <w:t xml:space="preserve">should give consideration to </w:t>
      </w:r>
      <w:r w:rsidR="002E39EF">
        <w:rPr>
          <w:rFonts w:eastAsia="Times New Roman"/>
          <w:szCs w:val="24"/>
        </w:rPr>
        <w:t>elder</w:t>
      </w:r>
      <w:r w:rsidR="00114421" w:rsidRPr="00114421">
        <w:rPr>
          <w:rFonts w:ascii="Calibri" w:eastAsia="Calibri" w:hAnsi="Calibri" w:cs="Times New Roman"/>
          <w:sz w:val="24"/>
          <w:szCs w:val="24"/>
          <w:lang w:val="en-US"/>
        </w:rPr>
        <w:t xml:space="preserve"> </w:t>
      </w:r>
      <w:r w:rsidR="00114421" w:rsidRPr="002E39EF">
        <w:rPr>
          <w:rFonts w:ascii="Calibri" w:eastAsia="Calibri" w:hAnsi="Calibri" w:cs="Times New Roman"/>
          <w:lang w:val="en-US"/>
        </w:rPr>
        <w:t xml:space="preserve">abuse prevention and response models for older </w:t>
      </w:r>
      <w:r w:rsidR="002E39EF" w:rsidRPr="002E39EF">
        <w:rPr>
          <w:rFonts w:ascii="Calibri" w:eastAsia="Calibri" w:hAnsi="Calibri" w:cs="Times New Roman"/>
          <w:lang w:val="en-US"/>
        </w:rPr>
        <w:t>people at</w:t>
      </w:r>
      <w:r w:rsidR="00114421" w:rsidRPr="002E39EF">
        <w:rPr>
          <w:rFonts w:ascii="Calibri" w:eastAsia="Calibri" w:hAnsi="Calibri" w:cs="Times New Roman"/>
          <w:lang w:val="en-US"/>
        </w:rPr>
        <w:t xml:space="preserve"> risk of or experiencing elder abuse that</w:t>
      </w:r>
      <w:r w:rsidR="00B24B51" w:rsidRPr="002E39EF">
        <w:rPr>
          <w:rFonts w:ascii="Calibri" w:eastAsia="Calibri" w:hAnsi="Calibri" w:cs="Times New Roman"/>
          <w:lang w:val="en-US"/>
        </w:rPr>
        <w:t>:</w:t>
      </w:r>
    </w:p>
    <w:p w:rsidR="00B24B51" w:rsidRPr="002E39EF" w:rsidRDefault="00114421" w:rsidP="00B24B51">
      <w:pPr>
        <w:pStyle w:val="ListParagraph"/>
        <w:numPr>
          <w:ilvl w:val="0"/>
          <w:numId w:val="12"/>
        </w:numPr>
        <w:spacing w:after="120"/>
        <w:rPr>
          <w:rFonts w:eastAsia="Times New Roman"/>
        </w:rPr>
      </w:pPr>
      <w:r w:rsidRPr="002E39EF">
        <w:rPr>
          <w:rFonts w:ascii="Calibri" w:eastAsia="Times New Roman" w:hAnsi="Calibri" w:cs="Arial"/>
          <w:lang w:eastAsia="en-AU"/>
        </w:rPr>
        <w:t>reflect the whole of a person’s needs, across the legal, health and aged care continuum</w:t>
      </w:r>
      <w:r w:rsidR="00B24B51" w:rsidRPr="002E39EF">
        <w:rPr>
          <w:rFonts w:ascii="Calibri" w:eastAsia="Times New Roman" w:hAnsi="Calibri" w:cs="Arial"/>
          <w:lang w:eastAsia="en-AU"/>
        </w:rPr>
        <w:t xml:space="preserve">, </w:t>
      </w:r>
    </w:p>
    <w:p w:rsidR="00B24B51" w:rsidRPr="002E39EF" w:rsidRDefault="00114421" w:rsidP="00B24B51">
      <w:pPr>
        <w:pStyle w:val="ListParagraph"/>
        <w:numPr>
          <w:ilvl w:val="0"/>
          <w:numId w:val="12"/>
        </w:numPr>
        <w:spacing w:after="120"/>
        <w:rPr>
          <w:rFonts w:eastAsia="Times New Roman"/>
        </w:rPr>
      </w:pPr>
      <w:r w:rsidRPr="002E39EF">
        <w:rPr>
          <w:rFonts w:ascii="Calibri" w:eastAsia="Times New Roman" w:hAnsi="Calibri" w:cs="Arial"/>
          <w:lang w:eastAsia="en-AU"/>
        </w:rPr>
        <w:t>work in partnership with clients</w:t>
      </w:r>
      <w:r w:rsidR="00B24B51" w:rsidRPr="002E39EF">
        <w:rPr>
          <w:rFonts w:ascii="Calibri" w:eastAsia="Times New Roman" w:hAnsi="Calibri" w:cs="Arial"/>
          <w:lang w:eastAsia="en-AU"/>
        </w:rPr>
        <w:t xml:space="preserve"> through person-centred approaches,</w:t>
      </w:r>
      <w:r w:rsidRPr="002E39EF">
        <w:rPr>
          <w:rFonts w:ascii="Calibri" w:eastAsia="Times New Roman" w:hAnsi="Calibri" w:cs="Arial"/>
          <w:lang w:eastAsia="en-AU"/>
        </w:rPr>
        <w:t xml:space="preserve"> and </w:t>
      </w:r>
    </w:p>
    <w:p w:rsidR="00114421" w:rsidRPr="00B24B51" w:rsidRDefault="00114421" w:rsidP="00B24B51">
      <w:pPr>
        <w:pStyle w:val="ListParagraph"/>
        <w:numPr>
          <w:ilvl w:val="0"/>
          <w:numId w:val="12"/>
        </w:numPr>
        <w:spacing w:after="120"/>
        <w:rPr>
          <w:rFonts w:eastAsia="Times New Roman"/>
          <w:szCs w:val="24"/>
        </w:rPr>
      </w:pPr>
      <w:proofErr w:type="gramStart"/>
      <w:r w:rsidRPr="002E39EF">
        <w:rPr>
          <w:rFonts w:ascii="Calibri" w:eastAsia="Times New Roman" w:hAnsi="Calibri" w:cs="Arial"/>
          <w:lang w:eastAsia="en-AU"/>
        </w:rPr>
        <w:t>are</w:t>
      </w:r>
      <w:proofErr w:type="gramEnd"/>
      <w:r w:rsidRPr="002E39EF">
        <w:rPr>
          <w:rFonts w:ascii="Calibri" w:eastAsia="Times New Roman" w:hAnsi="Calibri" w:cs="Arial"/>
          <w:lang w:eastAsia="en-AU"/>
        </w:rPr>
        <w:t xml:space="preserve"> inclusive of families.</w:t>
      </w:r>
    </w:p>
    <w:p w:rsidR="00570129" w:rsidRDefault="008C50BD" w:rsidP="00894CCB">
      <w:pPr>
        <w:pStyle w:val="Heading1"/>
        <w:spacing w:after="120"/>
      </w:pPr>
      <w:r>
        <w:rPr>
          <w:bCs w:val="0"/>
        </w:rPr>
        <w:t>4</w:t>
      </w:r>
      <w:r w:rsidR="0065760E" w:rsidRPr="0065760E">
        <w:rPr>
          <w:bCs w:val="0"/>
        </w:rPr>
        <w:t>.</w:t>
      </w:r>
      <w:r w:rsidR="0065760E" w:rsidRPr="0065760E">
        <w:t xml:space="preserve"> </w:t>
      </w:r>
      <w:r w:rsidR="00D02752" w:rsidRPr="0065760E">
        <w:t>Appointed</w:t>
      </w:r>
      <w:r w:rsidR="00D02752">
        <w:t xml:space="preserve"> decision makers</w:t>
      </w:r>
    </w:p>
    <w:p w:rsidR="008A639D" w:rsidRPr="008A639D" w:rsidRDefault="00AE7E68" w:rsidP="008A639D">
      <w:r>
        <w:rPr>
          <w:noProof/>
          <w:lang w:eastAsia="en-AU"/>
        </w:rPr>
      </w:r>
      <w:r>
        <w:rPr>
          <w:noProof/>
          <w:lang w:eastAsia="en-AU"/>
        </w:rPr>
        <w:pict>
          <v:shape id="_x0000_s1027" type="#_x0000_t202" style="width:446.9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avJQIAAEs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">
            <v:textbox>
              <w:txbxContent>
                <w:p w:rsidR="008A639D" w:rsidRPr="008A639D" w:rsidRDefault="008A639D">
                  <w:r w:rsidRPr="008A639D">
                    <w:rPr>
                      <w:b/>
                      <w:bCs/>
                    </w:rPr>
                    <w:t xml:space="preserve">Question 29 </w:t>
                  </w:r>
                  <w:r w:rsidRPr="008A639D">
                    <w:t>What evidence is there of elder abuse committed by people acting as appointed decision-makers under instruments such as powers of attorney? How might this type of abuse be prevented and redressed?</w:t>
                  </w:r>
                </w:p>
              </w:txbxContent>
            </v:textbox>
            <w10:wrap type="none"/>
            <w10:anchorlock/>
          </v:shape>
        </w:pict>
      </w:r>
    </w:p>
    <w:p w:rsidR="00094266" w:rsidRPr="00094266" w:rsidRDefault="00094266" w:rsidP="00094266">
      <w:pPr>
        <w:spacing w:after="120"/>
      </w:pPr>
      <w:r w:rsidRPr="00094266">
        <w:t xml:space="preserve">One essential element in the objective of preventing elder abuse </w:t>
      </w:r>
      <w:proofErr w:type="gramStart"/>
      <w:r>
        <w:t xml:space="preserve">is </w:t>
      </w:r>
      <w:r w:rsidRPr="00094266">
        <w:t xml:space="preserve"> the</w:t>
      </w:r>
      <w:proofErr w:type="gramEnd"/>
      <w:r w:rsidRPr="00094266">
        <w:t xml:space="preserve"> creation and use of powers of attorney instruments. These have a vital role to play in ensuring the wishes of older people are properly understood and that a 'trusted' power of attorney can act at all times in accordance with the wishes of the older person who appointed them.</w:t>
      </w:r>
    </w:p>
    <w:p w:rsidR="00A318F7" w:rsidRDefault="00094266" w:rsidP="003279FD">
      <w:pPr>
        <w:spacing w:after="120"/>
      </w:pPr>
      <w:r w:rsidRPr="00094266">
        <w:t>However, it is also evident that there are cases where the powers of attorney instruments can be used by perpetrators of elder abuse either as a smoke screen for their actions or as the means by</w:t>
      </w:r>
      <w:r>
        <w:t xml:space="preserve"> </w:t>
      </w:r>
      <w:r>
        <w:lastRenderedPageBreak/>
        <w:t>which the abuse is perpetrated, for example fin</w:t>
      </w:r>
      <w:r w:rsidR="0004007B" w:rsidRPr="00463CFA">
        <w:t>ancial abuse through t</w:t>
      </w:r>
      <w:r w:rsidR="007D4830">
        <w:t>h</w:t>
      </w:r>
      <w:r w:rsidR="00967ECD">
        <w:t xml:space="preserve">e misuse of </w:t>
      </w:r>
      <w:r w:rsidR="00A318F7">
        <w:t xml:space="preserve">enduring </w:t>
      </w:r>
      <w:r w:rsidR="00967ECD">
        <w:t>powers of attorney</w:t>
      </w:r>
      <w:r>
        <w:t>. W</w:t>
      </w:r>
      <w:r w:rsidR="003F212B" w:rsidRPr="00463CFA">
        <w:t>hen these cases of abuse are publicised</w:t>
      </w:r>
      <w:r w:rsidR="00967ECD">
        <w:t>,</w:t>
      </w:r>
      <w:r w:rsidR="003F212B" w:rsidRPr="00463CFA">
        <w:t xml:space="preserve"> it </w:t>
      </w:r>
      <w:r w:rsidR="00F905E6">
        <w:t>may unintentionally</w:t>
      </w:r>
      <w:r w:rsidR="00F905E6" w:rsidRPr="00463CFA">
        <w:t xml:space="preserve"> </w:t>
      </w:r>
      <w:r w:rsidR="003F212B" w:rsidRPr="00463CFA">
        <w:t xml:space="preserve">encourage other people to </w:t>
      </w:r>
      <w:r w:rsidR="00A318F7">
        <w:t xml:space="preserve">perpetrate abuse in similar ways; or it can deter them of there are adequate safeguards against abuse and remedies available. </w:t>
      </w:r>
    </w:p>
    <w:p w:rsidR="0004007B" w:rsidRPr="003279FD" w:rsidRDefault="003F212B" w:rsidP="003279FD">
      <w:pPr>
        <w:spacing w:after="120"/>
        <w:rPr>
          <w:highlight w:val="yellow"/>
        </w:rPr>
      </w:pPr>
      <w:r w:rsidRPr="00463CFA">
        <w:t>Victoria recently introduced new</w:t>
      </w:r>
      <w:r w:rsidR="002F7C8B">
        <w:t xml:space="preserve"> </w:t>
      </w:r>
      <w:r w:rsidR="002F7C8B" w:rsidRPr="00463CFA">
        <w:t>powers of attorney</w:t>
      </w:r>
      <w:r w:rsidRPr="00463CFA">
        <w:t xml:space="preserve"> legislation (</w:t>
      </w:r>
      <w:r w:rsidRPr="00463CFA">
        <w:rPr>
          <w:i/>
        </w:rPr>
        <w:t>Powers of Attorney Act 2014 (Vic)</w:t>
      </w:r>
      <w:r w:rsidR="002F7C8B">
        <w:t>), which includes</w:t>
      </w:r>
      <w:r w:rsidRPr="00463CFA">
        <w:t xml:space="preserve"> </w:t>
      </w:r>
      <w:r w:rsidR="00A318F7">
        <w:t xml:space="preserve">improved safeguards against abuse, such as more formal requirements to making powers of attorney, imposing higher duties on attorneys and restrictions on giving gifts, selling property and conflict transactions. There are also new offences </w:t>
      </w:r>
      <w:r w:rsidRPr="00463CFA">
        <w:t>for dishonestly obtaining or using an enduring power of attorney</w:t>
      </w:r>
      <w:r w:rsidR="00A318F7">
        <w:t xml:space="preserve"> of up to five years’ imprisonment</w:t>
      </w:r>
      <w:r w:rsidRPr="00463CFA">
        <w:t>.</w:t>
      </w:r>
      <w:r w:rsidR="00A318F7">
        <w:t xml:space="preserve"> The Act also provides for the Supreme Court or the Victorian Civil and Administrative Tribunal (VCAT) to order an attorney under an enduring power of attorney to compensate the principal for a loss caused by the attorney contravening any provision of the Act, relating to enduring powers of attorney when acting under the power of attorney. The Act also includes other safeguards such as having strict witnessing requirements when a power of attorney is made, setting out duties of attorneys, prohibiting conflict transactions, subject to exceptions, and providing increased powers to VCAT.</w:t>
      </w:r>
    </w:p>
    <w:p w:rsidR="003279FD" w:rsidRPr="003279FD" w:rsidRDefault="003279FD" w:rsidP="003279FD">
      <w:pPr>
        <w:spacing w:after="120"/>
      </w:pPr>
      <w:r w:rsidRPr="002D0869">
        <w:t xml:space="preserve">In considering </w:t>
      </w:r>
      <w:r>
        <w:t xml:space="preserve">preventing and responding to suspected </w:t>
      </w:r>
      <w:r w:rsidRPr="002D0869">
        <w:t>elder abuse by peop</w:t>
      </w:r>
      <w:r w:rsidR="00AA36F5">
        <w:t>le acting as appointed decision-</w:t>
      </w:r>
      <w:r w:rsidRPr="002D0869">
        <w:t xml:space="preserve">makers, </w:t>
      </w:r>
      <w:r w:rsidR="00503D76">
        <w:t>the following points should be considered:</w:t>
      </w:r>
    </w:p>
    <w:p w:rsidR="00AD5BC6" w:rsidRDefault="002D0869" w:rsidP="00B24B51">
      <w:pPr>
        <w:pStyle w:val="ListParagraph"/>
        <w:numPr>
          <w:ilvl w:val="0"/>
          <w:numId w:val="4"/>
        </w:numPr>
        <w:spacing w:after="120"/>
        <w:contextualSpacing w:val="0"/>
      </w:pPr>
      <w:r>
        <w:t>Elder</w:t>
      </w:r>
      <w:r w:rsidR="0057016B" w:rsidRPr="002D0869">
        <w:t xml:space="preserve"> abuse </w:t>
      </w:r>
      <w:r>
        <w:t xml:space="preserve">in this context </w:t>
      </w:r>
      <w:r w:rsidR="0057016B" w:rsidRPr="002D0869">
        <w:t>is not necessarily a result of gaps in legislation</w:t>
      </w:r>
      <w:r w:rsidR="00AD5BC6">
        <w:t xml:space="preserve">. Under reporting and gaps in prosecutions for elder abuse may be due to inadequate legal remedies but also a reluctance on the part of the victim to report abuse by family members and/or a lack of understanding of what action can be taken. </w:t>
      </w:r>
    </w:p>
    <w:p w:rsidR="002D0869" w:rsidRDefault="00AD5BC6" w:rsidP="00B24B51">
      <w:pPr>
        <w:pStyle w:val="ListParagraph"/>
        <w:numPr>
          <w:ilvl w:val="0"/>
          <w:numId w:val="4"/>
        </w:numPr>
        <w:spacing w:after="120"/>
        <w:contextualSpacing w:val="0"/>
      </w:pPr>
      <w:r>
        <w:t>It may also be</w:t>
      </w:r>
      <w:r w:rsidR="0057016B" w:rsidRPr="002D0869">
        <w:t xml:space="preserve"> </w:t>
      </w:r>
      <w:r w:rsidR="00CC0941">
        <w:t>due to</w:t>
      </w:r>
      <w:r w:rsidR="0057016B" w:rsidRPr="002D0869">
        <w:t xml:space="preserve"> </w:t>
      </w:r>
      <w:r w:rsidR="002D0869">
        <w:t xml:space="preserve">the way messages relating to putting these legal </w:t>
      </w:r>
      <w:r w:rsidR="00B12518">
        <w:t>instruments</w:t>
      </w:r>
      <w:r w:rsidR="002D0869">
        <w:t xml:space="preserve"> in place </w:t>
      </w:r>
      <w:r>
        <w:t xml:space="preserve">and how they operate </w:t>
      </w:r>
      <w:r w:rsidR="002D0869">
        <w:t>are</w:t>
      </w:r>
      <w:r w:rsidR="003D3C93">
        <w:t xml:space="preserve"> communicated.</w:t>
      </w:r>
      <w:r w:rsidR="002D0869">
        <w:t xml:space="preserve"> </w:t>
      </w:r>
      <w:r w:rsidR="003F212B">
        <w:t>Any communication should</w:t>
      </w:r>
      <w:r w:rsidR="002D0869">
        <w:t xml:space="preserve"> ensure information is easily accessed and understood by the older person so that they can make informed choices regarding their future planning</w:t>
      </w:r>
      <w:r w:rsidR="003D3C93">
        <w:t>.</w:t>
      </w:r>
    </w:p>
    <w:p w:rsidR="002D0869" w:rsidRDefault="00B12518" w:rsidP="00B24B51">
      <w:pPr>
        <w:pStyle w:val="ListParagraph"/>
        <w:numPr>
          <w:ilvl w:val="0"/>
          <w:numId w:val="4"/>
        </w:numPr>
        <w:spacing w:after="120"/>
        <w:ind w:left="357" w:hanging="357"/>
        <w:contextualSpacing w:val="0"/>
      </w:pPr>
      <w:r>
        <w:t xml:space="preserve">It is important that older people are provided with adequate information due to the fact that in some instances it may not be in </w:t>
      </w:r>
      <w:r w:rsidR="003F212B">
        <w:t>their</w:t>
      </w:r>
      <w:r>
        <w:t xml:space="preserve"> best interest</w:t>
      </w:r>
      <w:r w:rsidR="00AD5BC6">
        <w:t>s</w:t>
      </w:r>
      <w:r>
        <w:t xml:space="preserve"> to </w:t>
      </w:r>
      <w:r w:rsidR="00AD5BC6">
        <w:t xml:space="preserve">appoint a </w:t>
      </w:r>
      <w:r w:rsidR="00B223C2">
        <w:t xml:space="preserve">particular </w:t>
      </w:r>
      <w:r w:rsidR="00AD5BC6">
        <w:t>person, such as a family member, as their</w:t>
      </w:r>
      <w:r w:rsidR="003D3C93">
        <w:t xml:space="preserve"> attorney</w:t>
      </w:r>
      <w:r w:rsidR="003F212B">
        <w:t xml:space="preserve">, </w:t>
      </w:r>
      <w:r w:rsidR="00AD5BC6">
        <w:t>where</w:t>
      </w:r>
      <w:r w:rsidR="003F212B" w:rsidRPr="00463CFA">
        <w:t xml:space="preserve"> there is a risk </w:t>
      </w:r>
      <w:r w:rsidR="00AD5BC6">
        <w:t>that they will abuse the principal in that role</w:t>
      </w:r>
      <w:r w:rsidR="003D3C93">
        <w:t>. For example,</w:t>
      </w:r>
      <w:r>
        <w:t xml:space="preserve"> an older person who has a difficult relati</w:t>
      </w:r>
      <w:r w:rsidR="003D3C93">
        <w:t>onship with their adult child</w:t>
      </w:r>
      <w:r>
        <w:t xml:space="preserve"> </w:t>
      </w:r>
      <w:r w:rsidR="003D3C93">
        <w:t>should</w:t>
      </w:r>
      <w:r>
        <w:t xml:space="preserve"> be aware of the </w:t>
      </w:r>
      <w:r w:rsidR="003D3C93">
        <w:t>legal authority the adult child</w:t>
      </w:r>
      <w:r>
        <w:t xml:space="preserve"> will have if they are </w:t>
      </w:r>
      <w:r w:rsidR="00AA36F5">
        <w:t xml:space="preserve">an </w:t>
      </w:r>
      <w:r>
        <w:t xml:space="preserve">appointed </w:t>
      </w:r>
      <w:r w:rsidR="00FA73A9">
        <w:t>decision-</w:t>
      </w:r>
      <w:r w:rsidR="004676A3">
        <w:t>maker</w:t>
      </w:r>
      <w:r w:rsidR="00463CFA">
        <w:t>.</w:t>
      </w:r>
      <w:r>
        <w:t xml:space="preserve"> </w:t>
      </w:r>
    </w:p>
    <w:p w:rsidR="00AD5BC6" w:rsidRDefault="00AD5BC6" w:rsidP="00B24B51">
      <w:pPr>
        <w:pStyle w:val="ListParagraph"/>
        <w:numPr>
          <w:ilvl w:val="0"/>
          <w:numId w:val="4"/>
        </w:numPr>
        <w:spacing w:after="120"/>
        <w:ind w:left="357" w:hanging="357"/>
        <w:contextualSpacing w:val="0"/>
      </w:pPr>
      <w:r>
        <w:t>A power of attorney can provide a safeguard against abuse by enabling a person to express their wishes and appoint someone they trust to make decisions on their behalf, particularly in circumstances where they lose capacity to make their own decisions. It is important that a person carefully considers who they appoint as their attorney</w:t>
      </w:r>
      <w:r w:rsidR="00B223C2">
        <w:t xml:space="preserve">. </w:t>
      </w:r>
      <w:r w:rsidR="00B223C2" w:rsidRPr="00B223C2">
        <w:t>The older person may need to consider others in the community to be their attorney, such as their lawyer or a friend. Communication should also clarify that having an appointed decision-maker is not a compulsory requirement, but may nevertheless provide an opportunity to plan ahead.</w:t>
      </w:r>
    </w:p>
    <w:p w:rsidR="00B13021" w:rsidRDefault="00D6668C" w:rsidP="00B24B51">
      <w:pPr>
        <w:pStyle w:val="ListParagraph"/>
        <w:numPr>
          <w:ilvl w:val="0"/>
          <w:numId w:val="4"/>
        </w:numPr>
        <w:spacing w:after="120"/>
        <w:ind w:left="357" w:hanging="357"/>
        <w:contextualSpacing w:val="0"/>
      </w:pPr>
      <w:r>
        <w:t xml:space="preserve">Communication </w:t>
      </w:r>
      <w:r w:rsidR="00A26D0D" w:rsidRPr="002D0869">
        <w:t xml:space="preserve">should encourage people to have </w:t>
      </w:r>
      <w:r w:rsidR="00AA36F5">
        <w:t>discussions</w:t>
      </w:r>
      <w:r w:rsidR="00A26D0D" w:rsidRPr="002D0869">
        <w:t xml:space="preserve"> about futur</w:t>
      </w:r>
      <w:r w:rsidR="003D3C93">
        <w:t>e planning with their families</w:t>
      </w:r>
      <w:r w:rsidR="00570D58">
        <w:t xml:space="preserve"> and informal supports</w:t>
      </w:r>
      <w:r w:rsidR="003D3C93">
        <w:t xml:space="preserve">. </w:t>
      </w:r>
      <w:r w:rsidR="00A26D0D" w:rsidRPr="002D0869">
        <w:t xml:space="preserve">This </w:t>
      </w:r>
      <w:r w:rsidR="00570D58">
        <w:t>may</w:t>
      </w:r>
      <w:r w:rsidR="00570D58" w:rsidRPr="002D0869">
        <w:t xml:space="preserve"> </w:t>
      </w:r>
      <w:r w:rsidR="00A26D0D" w:rsidRPr="002D0869">
        <w:t>provide opportunit</w:t>
      </w:r>
      <w:r w:rsidR="00AA36F5">
        <w:t>ies</w:t>
      </w:r>
      <w:r w:rsidR="00A26D0D" w:rsidRPr="002D0869">
        <w:t xml:space="preserve"> to express what matters most to them. Only after this should documentation </w:t>
      </w:r>
      <w:proofErr w:type="gramStart"/>
      <w:r w:rsidR="00E83FCD">
        <w:t>be</w:t>
      </w:r>
      <w:proofErr w:type="gramEnd"/>
      <w:r w:rsidR="00A26D0D" w:rsidRPr="002D0869">
        <w:t xml:space="preserve"> put in place if it suits the older person’s interests.</w:t>
      </w:r>
    </w:p>
    <w:p w:rsidR="00F14700" w:rsidRDefault="00F14700" w:rsidP="00B24B51">
      <w:pPr>
        <w:pStyle w:val="ListParagraph"/>
        <w:numPr>
          <w:ilvl w:val="0"/>
          <w:numId w:val="4"/>
        </w:numPr>
        <w:spacing w:after="120"/>
        <w:ind w:left="357" w:hanging="357"/>
        <w:contextualSpacing w:val="0"/>
      </w:pPr>
      <w:r>
        <w:lastRenderedPageBreak/>
        <w:t xml:space="preserve">Future planning discussions can be difficult for an older person and their family to have due to the sensitive nature. As a society we are not good at discussing “grief and loss” matters. </w:t>
      </w:r>
      <w:r w:rsidRPr="00E16318">
        <w:rPr>
          <w:rFonts w:eastAsia="Times New Roman"/>
          <w:szCs w:val="24"/>
        </w:rPr>
        <w:t xml:space="preserve">It may be </w:t>
      </w:r>
      <w:r w:rsidR="00543C5F" w:rsidRPr="00E16318">
        <w:rPr>
          <w:rFonts w:eastAsia="Times New Roman"/>
          <w:szCs w:val="24"/>
        </w:rPr>
        <w:t>useful to consider options that may be available to assist in facilitating these discussions</w:t>
      </w:r>
      <w:r w:rsidRPr="00E16318">
        <w:rPr>
          <w:rFonts w:eastAsia="Times New Roman"/>
          <w:color w:val="000000" w:themeColor="text1"/>
          <w:szCs w:val="24"/>
        </w:rPr>
        <w:t>.</w:t>
      </w:r>
    </w:p>
    <w:p w:rsidR="00B13021" w:rsidRDefault="00B13021" w:rsidP="00B24B51">
      <w:pPr>
        <w:pStyle w:val="ListParagraph"/>
        <w:numPr>
          <w:ilvl w:val="0"/>
          <w:numId w:val="4"/>
        </w:numPr>
        <w:spacing w:after="120"/>
        <w:ind w:left="357" w:hanging="357"/>
        <w:contextualSpacing w:val="0"/>
      </w:pPr>
      <w:r>
        <w:t>Communication</w:t>
      </w:r>
      <w:r w:rsidR="00B64AE2">
        <w:t xml:space="preserve"> directed to appointed decision-</w:t>
      </w:r>
      <w:r>
        <w:t xml:space="preserve">makers </w:t>
      </w:r>
      <w:r w:rsidR="00D6668C">
        <w:t xml:space="preserve">should also be considered. </w:t>
      </w:r>
      <w:r>
        <w:t>Appointed decision</w:t>
      </w:r>
      <w:r w:rsidR="00DF6220">
        <w:t>-</w:t>
      </w:r>
      <w:r>
        <w:t xml:space="preserve">makers </w:t>
      </w:r>
      <w:r w:rsidR="00DF6220">
        <w:t>should</w:t>
      </w:r>
      <w:r>
        <w:t xml:space="preserve"> be fully informed of th</w:t>
      </w:r>
      <w:r w:rsidR="00894CCB">
        <w:t>eir roles</w:t>
      </w:r>
      <w:r w:rsidR="005124AD">
        <w:t xml:space="preserve"> and responsibilities,</w:t>
      </w:r>
      <w:r>
        <w:t xml:space="preserve"> to</w:t>
      </w:r>
      <w:r w:rsidR="00DF78D4">
        <w:t xml:space="preserve"> adhere to the wishes of the older person whilst</w:t>
      </w:r>
      <w:r>
        <w:t xml:space="preserve"> </w:t>
      </w:r>
      <w:r w:rsidR="00DF78D4">
        <w:t>making</w:t>
      </w:r>
      <w:r>
        <w:t xml:space="preserve"> decisions in </w:t>
      </w:r>
      <w:r w:rsidR="00DF78D4">
        <w:t>their</w:t>
      </w:r>
      <w:r>
        <w:t xml:space="preserve"> best interest</w:t>
      </w:r>
      <w:r w:rsidR="005124AD">
        <w:t>s</w:t>
      </w:r>
      <w:r w:rsidR="005061A7">
        <w:t>.</w:t>
      </w:r>
      <w:r w:rsidR="00DF78D4">
        <w:t xml:space="preserve"> </w:t>
      </w:r>
      <w:r w:rsidR="00E83FCD">
        <w:t xml:space="preserve">The Victorian Powers of Attorney Act sets out the duties of attorneys, and principles to be applied by persons acting under the Act or an enduring power of attorney. The Act requires an attorney and supportive attorney to accept their appointments in writing and to comply with the Act in carrying out their duties. </w:t>
      </w:r>
      <w:r w:rsidR="002C6D0A">
        <w:t>Also,</w:t>
      </w:r>
      <w:r w:rsidR="00D6668C">
        <w:t xml:space="preserve"> they must understand that</w:t>
      </w:r>
      <w:r w:rsidR="002C6D0A">
        <w:t xml:space="preserve"> it is the older person</w:t>
      </w:r>
      <w:r w:rsidR="00894CCB">
        <w:t>’s</w:t>
      </w:r>
      <w:r w:rsidR="002C6D0A">
        <w:t xml:space="preserve"> choice</w:t>
      </w:r>
      <w:r w:rsidR="00DF6220">
        <w:t xml:space="preserve"> whether and who to</w:t>
      </w:r>
      <w:r w:rsidR="002C6D0A">
        <w:t xml:space="preserve"> appoint</w:t>
      </w:r>
      <w:r w:rsidR="00894CCB">
        <w:t xml:space="preserve"> as</w:t>
      </w:r>
      <w:r>
        <w:t xml:space="preserve"> </w:t>
      </w:r>
      <w:r w:rsidR="00DF6220">
        <w:t>an</w:t>
      </w:r>
      <w:r w:rsidR="00894CCB">
        <w:t xml:space="preserve"> attorney</w:t>
      </w:r>
      <w:r w:rsidR="002C6D0A">
        <w:t>.</w:t>
      </w:r>
    </w:p>
    <w:p w:rsidR="009F16C7" w:rsidRDefault="00DB478A" w:rsidP="009F16C7">
      <w:pPr>
        <w:spacing w:after="120"/>
        <w:rPr>
          <w:b/>
        </w:rPr>
      </w:pPr>
      <w:r w:rsidRPr="00D71E64">
        <w:rPr>
          <w:b/>
        </w:rPr>
        <w:t>Entities accepting powers of attorney</w:t>
      </w:r>
    </w:p>
    <w:p w:rsidR="008A639D" w:rsidRPr="00D71E64" w:rsidRDefault="00AE7E68" w:rsidP="009F16C7">
      <w:pPr>
        <w:spacing w:after="120"/>
        <w:rPr>
          <w:b/>
        </w:rPr>
      </w:pPr>
      <w:r>
        <w:rPr>
          <w:b/>
          <w:noProof/>
          <w:lang w:eastAsia="en-AU"/>
        </w:rPr>
      </w:r>
      <w:r>
        <w:rPr>
          <w:b/>
          <w:noProof/>
          <w:lang w:eastAsia="en-AU"/>
        </w:rPr>
        <w:pict>
          <v:shape id="_x0000_s1026" type="#_x0000_t202" style="width:439.5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aJgIAAEs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">
            <v:textbox>
              <w:txbxContent>
                <w:p w:rsidR="008A639D" w:rsidRPr="008A639D" w:rsidRDefault="008A639D">
                  <w:pPr>
                    <w:rPr>
                      <w:b/>
                      <w:bCs/>
                    </w:rPr>
                  </w:pPr>
                  <w:r w:rsidRPr="008A639D">
                    <w:rPr>
                      <w:b/>
                      <w:bCs/>
                    </w:rPr>
                    <w:t xml:space="preserve">Question 26 </w:t>
                  </w:r>
                  <w:r w:rsidRPr="008A639D">
                    <w:t xml:space="preserve">What changes should be made to the laws and legal frameworks relating to financial institutions to </w:t>
                  </w:r>
                  <w:proofErr w:type="gramStart"/>
                  <w:r w:rsidRPr="008A639D">
                    <w:t>identify,</w:t>
                  </w:r>
                  <w:proofErr w:type="gramEnd"/>
                  <w:r w:rsidRPr="008A639D">
                    <w:t xml:space="preserve"> improve safeguards against and respond to elder abuse? For example, should reporting requirements be imposed? </w:t>
                  </w:r>
                </w:p>
              </w:txbxContent>
            </v:textbox>
            <w10:wrap type="none"/>
            <w10:anchorlock/>
          </v:shape>
        </w:pict>
      </w:r>
    </w:p>
    <w:p w:rsidR="00086D78" w:rsidRPr="00DA3E48" w:rsidRDefault="00DB478A" w:rsidP="00DA3E48">
      <w:pPr>
        <w:spacing w:after="120"/>
        <w:rPr>
          <w:color w:val="FF0000"/>
        </w:rPr>
      </w:pPr>
      <w:r w:rsidRPr="00D71E64">
        <w:t xml:space="preserve">There is </w:t>
      </w:r>
      <w:r w:rsidR="0078506A" w:rsidRPr="00D71E64">
        <w:t xml:space="preserve">currently </w:t>
      </w:r>
      <w:r w:rsidRPr="00D71E64">
        <w:t xml:space="preserve">a lack of consistent appropriate mechanisms </w:t>
      </w:r>
      <w:r w:rsidR="0078506A" w:rsidRPr="00D71E64">
        <w:t xml:space="preserve">within businesses, entities and organisations, such as financial institutions, </w:t>
      </w:r>
      <w:r w:rsidRPr="00D71E64">
        <w:t>for checks and balances</w:t>
      </w:r>
      <w:r w:rsidR="0078506A" w:rsidRPr="00D71E64">
        <w:t xml:space="preserve"> </w:t>
      </w:r>
      <w:r w:rsidR="00DF6220">
        <w:t>when</w:t>
      </w:r>
      <w:r w:rsidR="0078506A" w:rsidRPr="00D71E64">
        <w:t xml:space="preserve"> working with decision-making instruments such as powers of attorney</w:t>
      </w:r>
      <w:r w:rsidRPr="00D71E64">
        <w:t>.</w:t>
      </w:r>
      <w:r w:rsidR="0078506A" w:rsidRPr="00D71E64">
        <w:t xml:space="preserve"> </w:t>
      </w:r>
      <w:r w:rsidR="006D1CD3">
        <w:t>If financial institutions, including</w:t>
      </w:r>
      <w:r w:rsidR="00E83FCD">
        <w:t xml:space="preserve"> banks, </w:t>
      </w:r>
      <w:r w:rsidR="006D1CD3">
        <w:t>real estate agents and accountants</w:t>
      </w:r>
      <w:r w:rsidR="005061A7">
        <w:t>,</w:t>
      </w:r>
      <w:r w:rsidR="006D1CD3">
        <w:t xml:space="preserve"> had st</w:t>
      </w:r>
      <w:r w:rsidR="005061A7">
        <w:t>ronger responsibilities and oblig</w:t>
      </w:r>
      <w:r w:rsidR="006D1CD3">
        <w:t>ations</w:t>
      </w:r>
      <w:r w:rsidR="005061A7">
        <w:t>,</w:t>
      </w:r>
      <w:r w:rsidR="006D1CD3">
        <w:t xml:space="preserve"> this may</w:t>
      </w:r>
      <w:r w:rsidR="005061A7">
        <w:t xml:space="preserve"> help in</w:t>
      </w:r>
      <w:r w:rsidR="006D1CD3">
        <w:t xml:space="preserve"> prevent</w:t>
      </w:r>
      <w:r w:rsidR="005061A7">
        <w:t>ing</w:t>
      </w:r>
      <w:r w:rsidR="006D1CD3">
        <w:t xml:space="preserve"> and re</w:t>
      </w:r>
      <w:r w:rsidR="005061A7">
        <w:t>sponding to suspected elder abuse.</w:t>
      </w:r>
      <w:r w:rsidR="0025512C">
        <w:t xml:space="preserve"> For example,</w:t>
      </w:r>
      <w:r w:rsidR="005061A7">
        <w:t xml:space="preserve"> in our current system,</w:t>
      </w:r>
      <w:r w:rsidR="006D1CD3">
        <w:t xml:space="preserve"> </w:t>
      </w:r>
      <w:r w:rsidR="005061A7">
        <w:t>if a financial institution</w:t>
      </w:r>
      <w:r w:rsidR="0025512C">
        <w:t xml:space="preserve"> is working with a </w:t>
      </w:r>
      <w:r w:rsidR="005061A7">
        <w:t>power of attorney,</w:t>
      </w:r>
      <w:r w:rsidR="0025512C">
        <w:t xml:space="preserve"> how do they establish </w:t>
      </w:r>
      <w:r w:rsidR="005061A7">
        <w:t>that it</w:t>
      </w:r>
      <w:r w:rsidR="0025512C">
        <w:t xml:space="preserve"> is a true </w:t>
      </w:r>
      <w:r w:rsidR="005061A7">
        <w:t>power of attorney</w:t>
      </w:r>
      <w:r w:rsidR="00DF6220">
        <w:t xml:space="preserve"> and</w:t>
      </w:r>
      <w:r w:rsidR="0025512C">
        <w:t xml:space="preserve"> that the </w:t>
      </w:r>
      <w:r w:rsidR="006D1CD3">
        <w:t>attorney</w:t>
      </w:r>
      <w:r w:rsidR="0025512C">
        <w:t xml:space="preserve"> is making decisions in the older person’s</w:t>
      </w:r>
      <w:r w:rsidR="006D1CD3">
        <w:t xml:space="preserve"> </w:t>
      </w:r>
      <w:r w:rsidR="0025512C">
        <w:t xml:space="preserve">best interests </w:t>
      </w:r>
      <w:r w:rsidR="00A721AF">
        <w:t xml:space="preserve">whilst </w:t>
      </w:r>
      <w:r w:rsidR="005061A7">
        <w:t>adhering to their wishes?</w:t>
      </w:r>
    </w:p>
    <w:p w:rsidR="00D6668C" w:rsidRDefault="006D1CD3" w:rsidP="00DA3E48">
      <w:pPr>
        <w:spacing w:after="120"/>
      </w:pPr>
      <w:r w:rsidRPr="005061A7">
        <w:t>In addition, it</w:t>
      </w:r>
      <w:r w:rsidR="005061A7">
        <w:t xml:space="preserve"> appears that</w:t>
      </w:r>
      <w:r w:rsidR="00DF78D4" w:rsidRPr="005061A7">
        <w:t xml:space="preserve"> f</w:t>
      </w:r>
      <w:r w:rsidR="003F212B" w:rsidRPr="005061A7">
        <w:t xml:space="preserve">inancial institutions </w:t>
      </w:r>
      <w:r w:rsidR="002E7A37">
        <w:t>often do not</w:t>
      </w:r>
      <w:r w:rsidR="00FA73A9">
        <w:t xml:space="preserve"> detect or act on unusual withdrawal patterns that may occur a</w:t>
      </w:r>
      <w:r w:rsidR="003F212B" w:rsidRPr="005061A7">
        <w:t xml:space="preserve">s a result of power of attorney misuse. It is not currently clear what actions </w:t>
      </w:r>
      <w:r w:rsidR="002E7A37">
        <w:t>are</w:t>
      </w:r>
      <w:r w:rsidR="003F212B" w:rsidRPr="005061A7">
        <w:t xml:space="preserve"> taken by financial institutions when this kind of abuse is suspected.</w:t>
      </w:r>
      <w:r w:rsidR="00202EA4">
        <w:t xml:space="preserve"> </w:t>
      </w:r>
    </w:p>
    <w:p w:rsidR="00465FB8" w:rsidRPr="00D71E64" w:rsidRDefault="00465FB8" w:rsidP="00465FB8">
      <w:pPr>
        <w:spacing w:after="120"/>
      </w:pPr>
      <w:r w:rsidRPr="00D71E64">
        <w:t xml:space="preserve">Specific obligations, responsibilities and penalties </w:t>
      </w:r>
      <w:r>
        <w:t>need to</w:t>
      </w:r>
      <w:r w:rsidRPr="00D71E64">
        <w:t xml:space="preserve"> sit with entities </w:t>
      </w:r>
      <w:r>
        <w:t>that</w:t>
      </w:r>
      <w:r w:rsidRPr="00D71E64">
        <w:t xml:space="preserve"> accept powers of attorney from appointed decision-makers to facilitate actions on behalf of older people.</w:t>
      </w:r>
    </w:p>
    <w:p w:rsidR="00465FB8" w:rsidRPr="00D71E64" w:rsidRDefault="00465FB8" w:rsidP="00465FB8">
      <w:pPr>
        <w:spacing w:after="120"/>
      </w:pPr>
      <w:r w:rsidRPr="00D71E64">
        <w:t>These</w:t>
      </w:r>
      <w:r>
        <w:t xml:space="preserve"> entities </w:t>
      </w:r>
      <w:r w:rsidRPr="00D71E64">
        <w:t>(</w:t>
      </w:r>
      <w:proofErr w:type="spellStart"/>
      <w:r w:rsidRPr="00D71E64">
        <w:t>eg</w:t>
      </w:r>
      <w:proofErr w:type="spellEnd"/>
      <w:r w:rsidRPr="00D71E64">
        <w:t xml:space="preserve">. financial institutions) ought to be held accountable </w:t>
      </w:r>
      <w:r w:rsidR="000F3545">
        <w:t>if</w:t>
      </w:r>
      <w:r w:rsidR="00E83FCD">
        <w:t>,</w:t>
      </w:r>
      <w:r w:rsidR="000F3545">
        <w:t xml:space="preserve"> th</w:t>
      </w:r>
      <w:r w:rsidR="00E83FCD">
        <w:t>r</w:t>
      </w:r>
      <w:r w:rsidR="000F3545">
        <w:t>ough their negligence</w:t>
      </w:r>
      <w:r w:rsidR="00E83FCD">
        <w:t>,</w:t>
      </w:r>
      <w:r w:rsidR="000F3545">
        <w:t xml:space="preserve"> </w:t>
      </w:r>
      <w:r w:rsidRPr="00D71E64">
        <w:t xml:space="preserve">a power of attorney is misused. It is the responsibility of the entity allowing the power of attorney to ensure it is being used in the best interest of the older person and there should be </w:t>
      </w:r>
      <w:r w:rsidR="005D72E9">
        <w:t xml:space="preserve">appropriate </w:t>
      </w:r>
      <w:r w:rsidRPr="00D71E64">
        <w:t>penalties if entities act upon a power of attorney which results in loss or abuse.</w:t>
      </w:r>
    </w:p>
    <w:p w:rsidR="00465FB8" w:rsidRPr="00DB478A" w:rsidRDefault="005F77BC" w:rsidP="00DA3E48">
      <w:pPr>
        <w:spacing w:after="120"/>
      </w:pPr>
      <w:r>
        <w:t>T</w:t>
      </w:r>
      <w:r w:rsidR="00465FB8" w:rsidRPr="00D71E64">
        <w:t xml:space="preserve">he Commonwealth House of Representatives report, </w:t>
      </w:r>
      <w:r w:rsidR="00465FB8" w:rsidRPr="00DA3E48">
        <w:rPr>
          <w:i/>
        </w:rPr>
        <w:t>Older People and the Law</w:t>
      </w:r>
      <w:r>
        <w:t xml:space="preserve"> (2007), </w:t>
      </w:r>
      <w:r w:rsidR="00465FB8" w:rsidRPr="00D71E64">
        <w:t>recommended protocols for reporting alleged financial abuse and development of a training program to assist banking staff to identify suspicious transactio</w:t>
      </w:r>
      <w:r w:rsidR="00465FB8">
        <w:t>ns</w:t>
      </w:r>
      <w:r w:rsidR="00465FB8" w:rsidRPr="00D71E64">
        <w:t>.</w:t>
      </w:r>
      <w:r w:rsidR="00465FB8">
        <w:rPr>
          <w:rStyle w:val="FootnoteReference"/>
        </w:rPr>
        <w:footnoteReference w:id="16"/>
      </w:r>
    </w:p>
    <w:p w:rsidR="009F16C7" w:rsidRPr="00D71E64" w:rsidRDefault="009F16C7" w:rsidP="009F16C7">
      <w:pPr>
        <w:spacing w:after="120"/>
        <w:rPr>
          <w:b/>
        </w:rPr>
      </w:pPr>
      <w:r w:rsidRPr="00D71E64">
        <w:rPr>
          <w:b/>
        </w:rPr>
        <w:t>Decision-making capacity</w:t>
      </w:r>
    </w:p>
    <w:p w:rsidR="005D72E9" w:rsidRDefault="00956C84" w:rsidP="00DA3E48">
      <w:pPr>
        <w:spacing w:after="120"/>
      </w:pPr>
      <w:r w:rsidRPr="00640B6E">
        <w:t xml:space="preserve">In many cases, </w:t>
      </w:r>
      <w:r w:rsidR="000E5515">
        <w:t>the loss of decision-making capacity by an older person does not disappear on a given day - capacity fluctuates and is decision-specific.</w:t>
      </w:r>
      <w:r w:rsidRPr="00640B6E">
        <w:t xml:space="preserve"> </w:t>
      </w:r>
      <w:r w:rsidR="000E5515">
        <w:t xml:space="preserve">For many people, there is a gradual loss of capacity </w:t>
      </w:r>
      <w:r w:rsidR="000E5515">
        <w:lastRenderedPageBreak/>
        <w:t xml:space="preserve">which occurs over time or in more complex situations when an individual can capably make some decisions and not others. </w:t>
      </w:r>
      <w:r w:rsidRPr="00640B6E">
        <w:t xml:space="preserve">For example, they </w:t>
      </w:r>
      <w:r w:rsidR="00A721AF" w:rsidRPr="00640B6E">
        <w:t xml:space="preserve">can no longer make complex </w:t>
      </w:r>
      <w:r w:rsidRPr="00640B6E">
        <w:t xml:space="preserve">financial decisions but </w:t>
      </w:r>
      <w:r w:rsidR="00517076" w:rsidRPr="00640B6E">
        <w:t>can</w:t>
      </w:r>
      <w:r w:rsidR="00A721AF" w:rsidRPr="00640B6E">
        <w:t xml:space="preserve"> </w:t>
      </w:r>
      <w:r w:rsidR="00D71E64" w:rsidRPr="00640B6E">
        <w:t xml:space="preserve">make decisions relating to </w:t>
      </w:r>
      <w:r w:rsidR="000E5515">
        <w:t>daily living</w:t>
      </w:r>
      <w:r w:rsidR="00D71E64" w:rsidRPr="00640B6E">
        <w:t xml:space="preserve">. </w:t>
      </w:r>
      <w:r w:rsidRPr="00640B6E">
        <w:t xml:space="preserve">There are also </w:t>
      </w:r>
      <w:r w:rsidR="003E7798" w:rsidRPr="00640B6E">
        <w:t>disability</w:t>
      </w:r>
      <w:r w:rsidR="00D71E64" w:rsidRPr="00640B6E">
        <w:t xml:space="preserve"> and medical issues</w:t>
      </w:r>
      <w:r w:rsidR="00A721AF" w:rsidRPr="00640B6E">
        <w:t xml:space="preserve"> which can affect a person’s </w:t>
      </w:r>
      <w:r w:rsidRPr="00640B6E">
        <w:t xml:space="preserve">cognitive impairment, </w:t>
      </w:r>
      <w:r w:rsidR="00D71E64" w:rsidRPr="00640B6E">
        <w:t>such as</w:t>
      </w:r>
      <w:r w:rsidRPr="00640B6E">
        <w:t xml:space="preserve"> delirium</w:t>
      </w:r>
      <w:r w:rsidR="00B62267" w:rsidRPr="00640B6E">
        <w:t xml:space="preserve"> and depression</w:t>
      </w:r>
      <w:r w:rsidRPr="00640B6E">
        <w:t xml:space="preserve">, where capacity may be impaired for </w:t>
      </w:r>
      <w:r w:rsidR="00D71E64" w:rsidRPr="00640B6E">
        <w:t xml:space="preserve">a </w:t>
      </w:r>
      <w:r w:rsidRPr="00640B6E">
        <w:t>specific time</w:t>
      </w:r>
      <w:r w:rsidR="00D71E64" w:rsidRPr="00640B6E">
        <w:t xml:space="preserve"> and </w:t>
      </w:r>
      <w:r w:rsidRPr="00640B6E">
        <w:t>return</w:t>
      </w:r>
      <w:r w:rsidR="00D71E64" w:rsidRPr="00640B6E">
        <w:t xml:space="preserve"> </w:t>
      </w:r>
      <w:r w:rsidR="00A721AF" w:rsidRPr="00640B6E">
        <w:t xml:space="preserve">once the person has received </w:t>
      </w:r>
      <w:r w:rsidR="00906FFF" w:rsidRPr="00640B6E">
        <w:t xml:space="preserve">the right </w:t>
      </w:r>
      <w:r w:rsidR="00A721AF" w:rsidRPr="00640B6E">
        <w:t>treatment</w:t>
      </w:r>
      <w:r w:rsidRPr="00640B6E">
        <w:t>.</w:t>
      </w:r>
      <w:r w:rsidR="00916EDD" w:rsidRPr="00640B6E">
        <w:t xml:space="preserve"> </w:t>
      </w:r>
    </w:p>
    <w:p w:rsidR="000E5515" w:rsidRDefault="005D72E9" w:rsidP="000E5515">
      <w:pPr>
        <w:spacing w:after="120"/>
      </w:pPr>
      <w:r>
        <w:t xml:space="preserve">The ALRC </w:t>
      </w:r>
      <w:r w:rsidR="000E5515">
        <w:t>should give consideration to</w:t>
      </w:r>
      <w:r>
        <w:t xml:space="preserve"> many of the cases related to the complexities of power of attorney by implementing be</w:t>
      </w:r>
      <w:r w:rsidR="000E5515">
        <w:t>s</w:t>
      </w:r>
      <w:r>
        <w:t xml:space="preserve">t practice guidelines </w:t>
      </w:r>
      <w:r w:rsidR="000E5515">
        <w:t>that promote that p</w:t>
      </w:r>
      <w:r>
        <w:t xml:space="preserve">owers of attorney </w:t>
      </w:r>
      <w:r w:rsidR="004534BF">
        <w:t xml:space="preserve">should </w:t>
      </w:r>
      <w:r>
        <w:t>actively provide support to empower an individual to maximise their decision-making capacity</w:t>
      </w:r>
      <w:r w:rsidR="000E5515">
        <w:t>,</w:t>
      </w:r>
      <w:r w:rsidR="00C32AF5">
        <w:t xml:space="preserve"> in accordance with their wishes whilst acting in their best interest</w:t>
      </w:r>
      <w:r>
        <w:t xml:space="preserve">. </w:t>
      </w:r>
      <w:r w:rsidR="000E5515">
        <w:t xml:space="preserve"> </w:t>
      </w:r>
    </w:p>
    <w:p w:rsidR="005D72E9" w:rsidRDefault="005D72E9" w:rsidP="000E5515">
      <w:pPr>
        <w:spacing w:after="120"/>
      </w:pPr>
      <w:r>
        <w:t>Some areas of decision-making capacity may be lost only temporarily and may return – powers of attorney instruments should reflect this accordingly.</w:t>
      </w:r>
    </w:p>
    <w:p w:rsidR="00A836C8" w:rsidRPr="00A836C8" w:rsidRDefault="00A836C8" w:rsidP="00106781">
      <w:pPr>
        <w:pStyle w:val="Heading1"/>
        <w:spacing w:after="120"/>
      </w:pPr>
      <w:r>
        <w:t>Conclusion</w:t>
      </w:r>
    </w:p>
    <w:p w:rsidR="00754363" w:rsidRPr="00682780" w:rsidRDefault="00740C54" w:rsidP="00422563">
      <w:pPr>
        <w:spacing w:after="120"/>
      </w:pPr>
      <w:r w:rsidRPr="00114421">
        <w:t xml:space="preserve">In preparing this response </w:t>
      </w:r>
      <w:r w:rsidR="00E125FB" w:rsidRPr="00114421">
        <w:t>attention</w:t>
      </w:r>
      <w:r w:rsidRPr="00114421">
        <w:t xml:space="preserve"> </w:t>
      </w:r>
      <w:r w:rsidR="00997A4C" w:rsidRPr="00114421">
        <w:t xml:space="preserve">was paid </w:t>
      </w:r>
      <w:r w:rsidRPr="00114421">
        <w:t xml:space="preserve">to the voices of older people who have </w:t>
      </w:r>
      <w:r w:rsidR="00114421" w:rsidRPr="00114421">
        <w:t xml:space="preserve">provided stories of </w:t>
      </w:r>
      <w:r w:rsidR="000E5515">
        <w:t xml:space="preserve">the </w:t>
      </w:r>
      <w:r w:rsidRPr="00682780">
        <w:t>paramount importance of familial relationships and that responses</w:t>
      </w:r>
      <w:r w:rsidR="00754363" w:rsidRPr="00682780">
        <w:t xml:space="preserve"> to elder abuse</w:t>
      </w:r>
      <w:r w:rsidRPr="00682780">
        <w:t xml:space="preserve"> should uphold the human rights of older people whilst balancing the</w:t>
      </w:r>
      <w:r w:rsidR="00754363" w:rsidRPr="00682780">
        <w:t>se relationships.</w:t>
      </w:r>
    </w:p>
    <w:p w:rsidR="00740C54" w:rsidRPr="00682780" w:rsidRDefault="00094266" w:rsidP="00422563">
      <w:pPr>
        <w:spacing w:after="120"/>
      </w:pPr>
      <w:r>
        <w:t xml:space="preserve">An alternate system of dispute resolution is critically important so that older people have a range of remedial options. Greater community education and clear reporting pathways are essential. </w:t>
      </w:r>
      <w:r w:rsidR="00754363" w:rsidRPr="00682780">
        <w:t xml:space="preserve">The service system </w:t>
      </w:r>
      <w:r w:rsidR="000E5515">
        <w:t xml:space="preserve">responding to older people </w:t>
      </w:r>
      <w:r w:rsidR="00754363" w:rsidRPr="00682780">
        <w:t>needs to be better integrated to coordinate a whole-of-system resp</w:t>
      </w:r>
      <w:r w:rsidR="00C84FB3">
        <w:t>onse to elder abuse. If service providers</w:t>
      </w:r>
      <w:r w:rsidR="00754363" w:rsidRPr="00682780">
        <w:t xml:space="preserve"> are </w:t>
      </w:r>
      <w:r w:rsidR="004F08B9">
        <w:t xml:space="preserve">adequately </w:t>
      </w:r>
      <w:r w:rsidR="00754363" w:rsidRPr="00682780">
        <w:t xml:space="preserve">trained and </w:t>
      </w:r>
      <w:r w:rsidR="004F08B9">
        <w:t xml:space="preserve">responses </w:t>
      </w:r>
      <w:r w:rsidR="00754363" w:rsidRPr="00682780">
        <w:t>better coordinated and strengthened to recognise abuse of older people</w:t>
      </w:r>
      <w:r w:rsidR="004F08B9">
        <w:t>, this</w:t>
      </w:r>
      <w:r w:rsidR="008A5742">
        <w:t xml:space="preserve"> will provide the best avenue to </w:t>
      </w:r>
      <w:r w:rsidR="00496606">
        <w:t>uphold the rights and dignity of older people.</w:t>
      </w:r>
    </w:p>
    <w:sectPr w:rsidR="00740C54" w:rsidRPr="00682780" w:rsidSect="000547EE">
      <w:type w:val="continuous"/>
      <w:pgSz w:w="11906" w:h="16838"/>
      <w:pgMar w:top="1276" w:right="1440" w:bottom="1560" w:left="1440" w:header="708" w:footer="84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F3" w:rsidRDefault="00A430F3" w:rsidP="00B4563A">
      <w:pPr>
        <w:spacing w:after="0" w:line="240" w:lineRule="auto"/>
      </w:pPr>
      <w:r>
        <w:separator/>
      </w:r>
    </w:p>
  </w:endnote>
  <w:endnote w:type="continuationSeparator" w:id="0">
    <w:p w:rsidR="00A430F3" w:rsidRDefault="00A430F3" w:rsidP="00B4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ato-Regular">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52965"/>
      <w:docPartObj>
        <w:docPartGallery w:val="Page Numbers (Bottom of Page)"/>
        <w:docPartUnique/>
      </w:docPartObj>
    </w:sdtPr>
    <w:sdtEndPr>
      <w:rPr>
        <w:noProof/>
      </w:rPr>
    </w:sdtEndPr>
    <w:sdtContent>
      <w:p w:rsidR="00894CCB" w:rsidRDefault="00894CCB" w:rsidP="00363ECE">
        <w:pPr>
          <w:pStyle w:val="Footer"/>
        </w:pPr>
        <w:r>
          <w:t>Commissioner for Senior Victorians</w:t>
        </w:r>
        <w:r w:rsidR="001A37AC">
          <w:t xml:space="preserve">                                                                                                               </w:t>
        </w:r>
        <w:r w:rsidR="00A836C8">
          <w:t xml:space="preserve">  </w:t>
        </w:r>
        <w:r w:rsidR="00AE7E68">
          <w:fldChar w:fldCharType="begin"/>
        </w:r>
        <w:r>
          <w:instrText xml:space="preserve"> PAGE   \* MERGEFORMAT </w:instrText>
        </w:r>
        <w:r w:rsidR="00AE7E68">
          <w:fldChar w:fldCharType="separate"/>
        </w:r>
        <w:r w:rsidR="000D2BD9">
          <w:rPr>
            <w:noProof/>
          </w:rPr>
          <w:t>2</w:t>
        </w:r>
        <w:r w:rsidR="00AE7E68">
          <w:rPr>
            <w:noProof/>
          </w:rPr>
          <w:fldChar w:fldCharType="end"/>
        </w:r>
      </w:p>
    </w:sdtContent>
  </w:sdt>
  <w:p w:rsidR="00894CCB" w:rsidRDefault="00894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749180"/>
      <w:docPartObj>
        <w:docPartGallery w:val="Page Numbers (Bottom of Page)"/>
        <w:docPartUnique/>
      </w:docPartObj>
    </w:sdtPr>
    <w:sdtEndPr>
      <w:rPr>
        <w:noProof/>
      </w:rPr>
    </w:sdtEndPr>
    <w:sdtContent>
      <w:p w:rsidR="00894CCB" w:rsidRDefault="00894CCB" w:rsidP="00363ECE">
        <w:pPr>
          <w:pStyle w:val="Footer"/>
        </w:pPr>
        <w:r>
          <w:t>Elder Abuse Inquiry - Issues Paper submission</w:t>
        </w:r>
        <w:r w:rsidR="001A37AC">
          <w:t xml:space="preserve">                                                                                              </w:t>
        </w:r>
        <w:r>
          <w:t xml:space="preserve">  </w:t>
        </w:r>
        <w:r w:rsidR="00AE7E68">
          <w:fldChar w:fldCharType="begin"/>
        </w:r>
        <w:r>
          <w:instrText xml:space="preserve"> PAGE   \* MERGEFORMAT </w:instrText>
        </w:r>
        <w:r w:rsidR="00AE7E68">
          <w:fldChar w:fldCharType="separate"/>
        </w:r>
        <w:r w:rsidR="000D2BD9">
          <w:rPr>
            <w:noProof/>
          </w:rPr>
          <w:t>1</w:t>
        </w:r>
        <w:r w:rsidR="00AE7E68">
          <w:rPr>
            <w:noProof/>
          </w:rPr>
          <w:fldChar w:fldCharType="end"/>
        </w:r>
      </w:p>
    </w:sdtContent>
  </w:sdt>
  <w:p w:rsidR="00363ECE" w:rsidRDefault="00363E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86069"/>
      <w:docPartObj>
        <w:docPartGallery w:val="Page Numbers (Bottom of Page)"/>
        <w:docPartUnique/>
      </w:docPartObj>
    </w:sdtPr>
    <w:sdtEndPr>
      <w:rPr>
        <w:noProof/>
      </w:rPr>
    </w:sdtEndPr>
    <w:sdtContent>
      <w:p w:rsidR="000D2BD9" w:rsidRDefault="000D2BD9" w:rsidP="00363ECE">
        <w:pPr>
          <w:pStyle w:val="Footer"/>
        </w:pPr>
        <w:r>
          <w:t xml:space="preserve">Commissioner for Senior Victorians                                                                                                                 </w:t>
        </w:r>
        <w:r w:rsidR="00AE7E68">
          <w:fldChar w:fldCharType="begin"/>
        </w:r>
        <w:r>
          <w:instrText xml:space="preserve"> PAGE   \* MERGEFORMAT </w:instrText>
        </w:r>
        <w:r w:rsidR="00AE7E68">
          <w:fldChar w:fldCharType="separate"/>
        </w:r>
        <w:r w:rsidR="007E615D">
          <w:rPr>
            <w:noProof/>
          </w:rPr>
          <w:t>2</w:t>
        </w:r>
        <w:r w:rsidR="00AE7E68">
          <w:rPr>
            <w:noProof/>
          </w:rPr>
          <w:fldChar w:fldCharType="end"/>
        </w:r>
      </w:p>
    </w:sdtContent>
  </w:sdt>
  <w:p w:rsidR="000D2BD9" w:rsidRDefault="000D2B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E" w:rsidRDefault="000547EE">
    <w:pPr>
      <w:pStyle w:val="Footer"/>
      <w:jc w:val="right"/>
    </w:pPr>
    <w:r>
      <w:t xml:space="preserve">Elder Abuse Inquiry – Issues Paper Submission                                                                                              </w:t>
    </w:r>
    <w:sdt>
      <w:sdtPr>
        <w:id w:val="1313910058"/>
        <w:docPartObj>
          <w:docPartGallery w:val="Page Numbers (Bottom of Page)"/>
          <w:docPartUnique/>
        </w:docPartObj>
      </w:sdtPr>
      <w:sdtEndPr>
        <w:rPr>
          <w:noProof/>
        </w:rPr>
      </w:sdtEndPr>
      <w:sdtContent>
        <w:r w:rsidR="00AE7E68">
          <w:fldChar w:fldCharType="begin"/>
        </w:r>
        <w:r>
          <w:instrText xml:space="preserve"> PAGE   \* MERGEFORMAT </w:instrText>
        </w:r>
        <w:r w:rsidR="00AE7E68">
          <w:fldChar w:fldCharType="separate"/>
        </w:r>
        <w:r w:rsidR="007E615D">
          <w:rPr>
            <w:noProof/>
          </w:rPr>
          <w:t>1</w:t>
        </w:r>
        <w:r w:rsidR="00AE7E68">
          <w:rPr>
            <w:noProof/>
          </w:rPr>
          <w:fldChar w:fldCharType="end"/>
        </w:r>
      </w:sdtContent>
    </w:sdt>
  </w:p>
  <w:p w:rsidR="000D2BD9" w:rsidRDefault="000D2B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D9" w:rsidRDefault="000D2BD9">
    <w:pPr>
      <w:pStyle w:val="Footer"/>
      <w:jc w:val="right"/>
    </w:pPr>
  </w:p>
  <w:p w:rsidR="007B34C6" w:rsidRDefault="007B3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F3" w:rsidRDefault="00A430F3" w:rsidP="00B4563A">
      <w:pPr>
        <w:spacing w:after="0" w:line="240" w:lineRule="auto"/>
      </w:pPr>
      <w:r>
        <w:separator/>
      </w:r>
    </w:p>
  </w:footnote>
  <w:footnote w:type="continuationSeparator" w:id="0">
    <w:p w:rsidR="00A430F3" w:rsidRDefault="00A430F3" w:rsidP="00B4563A">
      <w:pPr>
        <w:spacing w:after="0" w:line="240" w:lineRule="auto"/>
      </w:pPr>
      <w:r>
        <w:continuationSeparator/>
      </w:r>
    </w:p>
  </w:footnote>
  <w:footnote w:id="1">
    <w:p w:rsidR="005479B0" w:rsidRDefault="005479B0">
      <w:pPr>
        <w:pStyle w:val="FootnoteText"/>
      </w:pPr>
      <w:r>
        <w:rPr>
          <w:rStyle w:val="FootnoteReference"/>
        </w:rPr>
        <w:footnoteRef/>
      </w:r>
      <w:r>
        <w:t xml:space="preserve"> State of </w:t>
      </w:r>
      <w:r w:rsidRPr="002A6363">
        <w:t xml:space="preserve">Victoria, </w:t>
      </w:r>
      <w:r w:rsidRPr="002A6363">
        <w:rPr>
          <w:i/>
        </w:rPr>
        <w:t xml:space="preserve">Royal Commission into Family Violence: </w:t>
      </w:r>
      <w:r>
        <w:rPr>
          <w:i/>
        </w:rPr>
        <w:t>Report</w:t>
      </w:r>
      <w:r w:rsidRPr="002A6363">
        <w:rPr>
          <w:i/>
        </w:rPr>
        <w:t xml:space="preserve"> and recommendations</w:t>
      </w:r>
      <w:r w:rsidRPr="00D34805">
        <w:t xml:space="preserve"> </w:t>
      </w:r>
      <w:r>
        <w:t>(2016) Vol III 280; Vol V 67, 81-82</w:t>
      </w:r>
      <w:r w:rsidRPr="002A6363">
        <w:t>.</w:t>
      </w:r>
    </w:p>
  </w:footnote>
  <w:footnote w:id="2">
    <w:p w:rsidR="00D01628" w:rsidRDefault="00D01628" w:rsidP="00D01628">
      <w:pPr>
        <w:pStyle w:val="FootnoteText"/>
      </w:pPr>
      <w:r>
        <w:rPr>
          <w:rStyle w:val="FootnoteReference"/>
        </w:rPr>
        <w:footnoteRef/>
      </w:r>
      <w:r>
        <w:t xml:space="preserve"> </w:t>
      </w:r>
      <w:proofErr w:type="gramStart"/>
      <w:r>
        <w:t xml:space="preserve">Department of Health (Vic), </w:t>
      </w:r>
      <w:r>
        <w:rPr>
          <w:i/>
        </w:rPr>
        <w:t>Elder abuse prevention and response g</w:t>
      </w:r>
      <w:r w:rsidRPr="00590EA5">
        <w:rPr>
          <w:i/>
        </w:rPr>
        <w:t>uidel</w:t>
      </w:r>
      <w:r>
        <w:rPr>
          <w:i/>
        </w:rPr>
        <w:t>ines for a</w:t>
      </w:r>
      <w:r w:rsidRPr="00590EA5">
        <w:rPr>
          <w:i/>
        </w:rPr>
        <w:t>ction 2012–14</w:t>
      </w:r>
      <w:r>
        <w:t xml:space="preserve"> (2012) 1.</w:t>
      </w:r>
      <w:proofErr w:type="gramEnd"/>
    </w:p>
  </w:footnote>
  <w:footnote w:id="3">
    <w:p w:rsidR="00D01628" w:rsidRDefault="00D01628" w:rsidP="00D01628">
      <w:pPr>
        <w:pStyle w:val="FootnoteText"/>
      </w:pPr>
      <w:r>
        <w:rPr>
          <w:rStyle w:val="FootnoteReference"/>
        </w:rPr>
        <w:footnoteRef/>
      </w:r>
      <w:r>
        <w:t xml:space="preserve"> State of </w:t>
      </w:r>
      <w:r w:rsidRPr="002A6363">
        <w:t xml:space="preserve">Victoria, </w:t>
      </w:r>
      <w:r w:rsidRPr="002A6363">
        <w:rPr>
          <w:i/>
        </w:rPr>
        <w:t xml:space="preserve">Royal Commission into Family Violence: </w:t>
      </w:r>
      <w:r>
        <w:rPr>
          <w:i/>
        </w:rPr>
        <w:t>Report</w:t>
      </w:r>
      <w:r w:rsidRPr="002A6363">
        <w:rPr>
          <w:i/>
        </w:rPr>
        <w:t xml:space="preserve"> and recommendations</w:t>
      </w:r>
      <w:r w:rsidRPr="00D34805">
        <w:t xml:space="preserve"> </w:t>
      </w:r>
      <w:r>
        <w:t>(2016) Vol V 67.</w:t>
      </w:r>
    </w:p>
  </w:footnote>
  <w:footnote w:id="4">
    <w:p w:rsidR="005000F8" w:rsidRDefault="005000F8" w:rsidP="005000F8">
      <w:pPr>
        <w:pStyle w:val="FootnoteText"/>
      </w:pPr>
      <w:r>
        <w:rPr>
          <w:rStyle w:val="FootnoteReference"/>
        </w:rPr>
        <w:footnoteRef/>
      </w:r>
      <w:r>
        <w:t xml:space="preserve"> </w:t>
      </w:r>
      <w:proofErr w:type="gramStart"/>
      <w:r>
        <w:t>Ibid Vol V 67.</w:t>
      </w:r>
      <w:proofErr w:type="gramEnd"/>
    </w:p>
  </w:footnote>
  <w:footnote w:id="5">
    <w:p w:rsidR="007D4830" w:rsidRDefault="007D4830" w:rsidP="007D4830">
      <w:pPr>
        <w:pStyle w:val="FootnoteText"/>
      </w:pPr>
      <w:r>
        <w:rPr>
          <w:rStyle w:val="FootnoteReference"/>
        </w:rPr>
        <w:footnoteRef/>
      </w:r>
      <w:r>
        <w:t xml:space="preserve"> Department of Human Services (Vic), </w:t>
      </w:r>
      <w:r w:rsidRPr="004242EF">
        <w:rPr>
          <w:i/>
        </w:rPr>
        <w:t xml:space="preserve">With respect to age </w:t>
      </w:r>
      <w:r>
        <w:rPr>
          <w:i/>
        </w:rPr>
        <w:t>2009</w:t>
      </w:r>
      <w:r w:rsidRPr="004242EF">
        <w:rPr>
          <w:i/>
        </w:rPr>
        <w:t>: Victorian Government practice guidelines for health services and community agencies for the prevention of elder abuse</w:t>
      </w:r>
      <w:r>
        <w:t xml:space="preserve"> (2009) 99.</w:t>
      </w:r>
    </w:p>
  </w:footnote>
  <w:footnote w:id="6">
    <w:p w:rsidR="00540D96" w:rsidRDefault="00540D96" w:rsidP="00540D96">
      <w:pPr>
        <w:pStyle w:val="FootnoteText"/>
      </w:pPr>
      <w:r>
        <w:rPr>
          <w:rStyle w:val="FootnoteReference"/>
        </w:rPr>
        <w:footnoteRef/>
      </w:r>
      <w:r>
        <w:t xml:space="preserve"> State of </w:t>
      </w:r>
      <w:r w:rsidRPr="002A6363">
        <w:t xml:space="preserve">Victoria, </w:t>
      </w:r>
      <w:r w:rsidRPr="002A6363">
        <w:rPr>
          <w:i/>
        </w:rPr>
        <w:t xml:space="preserve">Royal Commission into Family Violence: </w:t>
      </w:r>
      <w:r>
        <w:rPr>
          <w:i/>
        </w:rPr>
        <w:t>Report</w:t>
      </w:r>
      <w:r w:rsidRPr="002A6363">
        <w:rPr>
          <w:i/>
        </w:rPr>
        <w:t xml:space="preserve"> and recommendations</w:t>
      </w:r>
      <w:r w:rsidRPr="00D34805">
        <w:t xml:space="preserve"> </w:t>
      </w:r>
      <w:r>
        <w:t>(2016) rec 155.</w:t>
      </w:r>
    </w:p>
  </w:footnote>
  <w:footnote w:id="7">
    <w:p w:rsidR="00CE646E" w:rsidRPr="00CE646E" w:rsidRDefault="00CE646E">
      <w:pPr>
        <w:pStyle w:val="FootnoteText"/>
      </w:pPr>
      <w:r>
        <w:rPr>
          <w:rStyle w:val="FootnoteReference"/>
        </w:rPr>
        <w:footnoteRef/>
      </w:r>
      <w:r>
        <w:t xml:space="preserve"> </w:t>
      </w:r>
      <w:r w:rsidR="00967ECD" w:rsidRPr="00967ECD">
        <w:rPr>
          <w:i/>
        </w:rPr>
        <w:t>i</w:t>
      </w:r>
      <w:r>
        <w:rPr>
          <w:i/>
        </w:rPr>
        <w:t xml:space="preserve">bid </w:t>
      </w:r>
      <w:r>
        <w:t>p</w:t>
      </w:r>
      <w:r w:rsidR="00967ECD">
        <w:t>.80 Volume 5</w:t>
      </w:r>
    </w:p>
  </w:footnote>
  <w:footnote w:id="8">
    <w:p w:rsidR="00967ECD" w:rsidRDefault="00967ECD">
      <w:pPr>
        <w:pStyle w:val="FootnoteText"/>
      </w:pPr>
      <w:r>
        <w:rPr>
          <w:rStyle w:val="FootnoteReference"/>
        </w:rPr>
        <w:footnoteRef/>
      </w:r>
      <w:r>
        <w:t xml:space="preserve"> </w:t>
      </w:r>
      <w:r w:rsidRPr="00967ECD">
        <w:rPr>
          <w:i/>
        </w:rPr>
        <w:t>ibid</w:t>
      </w:r>
      <w:r>
        <w:t xml:space="preserve"> p.92 Volume 5</w:t>
      </w:r>
    </w:p>
  </w:footnote>
  <w:footnote w:id="9">
    <w:p w:rsidR="00F8428C" w:rsidRDefault="00F8428C" w:rsidP="00F8428C">
      <w:pPr>
        <w:pStyle w:val="FootnoteText"/>
      </w:pPr>
      <w:r>
        <w:rPr>
          <w:rStyle w:val="FootnoteReference"/>
        </w:rPr>
        <w:footnoteRef/>
      </w:r>
      <w:r>
        <w:t xml:space="preserve"> The Victorian Government was informed by Relationships Australia and Family Mediation and Counselling Victoria on separate occasions about the positive outcomes of providing counselling and mediation to older people and their families</w:t>
      </w:r>
      <w:r w:rsidR="00967ECD">
        <w:t xml:space="preserve"> in p</w:t>
      </w:r>
      <w:r>
        <w:t>revent</w:t>
      </w:r>
      <w:r w:rsidR="00967ECD">
        <w:t>ing</w:t>
      </w:r>
      <w:r>
        <w:t xml:space="preserve"> and responding to risks of elder abuse.</w:t>
      </w:r>
    </w:p>
  </w:footnote>
  <w:footnote w:id="10">
    <w:p w:rsidR="00667B20" w:rsidRDefault="00667B20" w:rsidP="00667B20">
      <w:pPr>
        <w:pStyle w:val="FootnoteText"/>
      </w:pPr>
      <w:r>
        <w:rPr>
          <w:rStyle w:val="FootnoteReference"/>
        </w:rPr>
        <w:footnoteRef/>
      </w:r>
      <w:r>
        <w:t xml:space="preserve"> </w:t>
      </w:r>
      <w:r w:rsidRPr="00A012E3">
        <w:rPr>
          <w:color w:val="000000" w:themeColor="text1"/>
        </w:rPr>
        <w:t xml:space="preserve">Commonwealth House of Representatives, </w:t>
      </w:r>
      <w:r>
        <w:rPr>
          <w:i/>
          <w:color w:val="000000" w:themeColor="text1"/>
        </w:rPr>
        <w:t>Older people and the l</w:t>
      </w:r>
      <w:r w:rsidRPr="00A012E3">
        <w:rPr>
          <w:i/>
          <w:color w:val="000000" w:themeColor="text1"/>
        </w:rPr>
        <w:t>aw</w:t>
      </w:r>
      <w:r>
        <w:rPr>
          <w:color w:val="000000" w:themeColor="text1"/>
        </w:rPr>
        <w:t xml:space="preserve">, </w:t>
      </w:r>
      <w:r w:rsidRPr="00632D95">
        <w:rPr>
          <w:color w:val="000000" w:themeColor="text1"/>
        </w:rPr>
        <w:t>Standing Committee on Legal and Constitutional Affairs</w:t>
      </w:r>
      <w:r>
        <w:rPr>
          <w:color w:val="000000" w:themeColor="text1"/>
        </w:rPr>
        <w:t xml:space="preserve"> (2007) rec 2.</w:t>
      </w:r>
    </w:p>
  </w:footnote>
  <w:footnote w:id="11">
    <w:p w:rsidR="00BF2B7C" w:rsidRDefault="00BF2B7C" w:rsidP="00BF2B7C">
      <w:pPr>
        <w:pStyle w:val="FootnoteText"/>
      </w:pPr>
      <w:r>
        <w:rPr>
          <w:rStyle w:val="FootnoteReference"/>
        </w:rPr>
        <w:footnoteRef/>
      </w:r>
      <w:r>
        <w:t xml:space="preserve"> State of </w:t>
      </w:r>
      <w:r w:rsidRPr="002A6363">
        <w:t xml:space="preserve">Victoria, </w:t>
      </w:r>
      <w:r w:rsidRPr="002A6363">
        <w:rPr>
          <w:i/>
        </w:rPr>
        <w:t xml:space="preserve">Royal Commission into Family Violence: </w:t>
      </w:r>
      <w:r>
        <w:rPr>
          <w:i/>
        </w:rPr>
        <w:t>Report</w:t>
      </w:r>
      <w:r w:rsidRPr="002A6363">
        <w:rPr>
          <w:i/>
        </w:rPr>
        <w:t xml:space="preserve"> and recommendations</w:t>
      </w:r>
      <w:r w:rsidRPr="00D34805">
        <w:t xml:space="preserve"> </w:t>
      </w:r>
      <w:r>
        <w:t>(2016) Vol IV 25.</w:t>
      </w:r>
    </w:p>
  </w:footnote>
  <w:footnote w:id="12">
    <w:p w:rsidR="00BF2B7C" w:rsidRDefault="00BF2B7C" w:rsidP="00BF2B7C">
      <w:pPr>
        <w:pStyle w:val="FootnoteText"/>
      </w:pPr>
      <w:r>
        <w:rPr>
          <w:rStyle w:val="FootnoteReference"/>
        </w:rPr>
        <w:footnoteRef/>
      </w:r>
      <w:r>
        <w:t xml:space="preserve"> </w:t>
      </w:r>
      <w:r w:rsidR="00C83AFF">
        <w:t xml:space="preserve">State of </w:t>
      </w:r>
      <w:r w:rsidR="00C83AFF" w:rsidRPr="002A6363">
        <w:t xml:space="preserve">Victoria, </w:t>
      </w:r>
      <w:r w:rsidR="00C83AFF" w:rsidRPr="002A6363">
        <w:rPr>
          <w:i/>
        </w:rPr>
        <w:t xml:space="preserve">Royal Commission into Family Violence: </w:t>
      </w:r>
      <w:r w:rsidR="00C83AFF">
        <w:rPr>
          <w:i/>
        </w:rPr>
        <w:t>Report</w:t>
      </w:r>
      <w:r w:rsidR="00C83AFF" w:rsidRPr="002A6363">
        <w:rPr>
          <w:i/>
        </w:rPr>
        <w:t xml:space="preserve"> and recommendations</w:t>
      </w:r>
      <w:r w:rsidR="00C83AFF" w:rsidRPr="00D34805">
        <w:t xml:space="preserve"> </w:t>
      </w:r>
      <w:r w:rsidR="00C83AFF">
        <w:t>(2016)</w:t>
      </w:r>
      <w:r>
        <w:t xml:space="preserve"> Vol V 81-82.</w:t>
      </w:r>
    </w:p>
  </w:footnote>
  <w:footnote w:id="13">
    <w:p w:rsidR="00BF2B7C" w:rsidRDefault="00BF2B7C" w:rsidP="00BF2B7C">
      <w:pPr>
        <w:pStyle w:val="FootnoteText"/>
      </w:pPr>
      <w:r>
        <w:rPr>
          <w:rStyle w:val="FootnoteReference"/>
        </w:rPr>
        <w:footnoteRef/>
      </w:r>
      <w:r>
        <w:t xml:space="preserve"> </w:t>
      </w:r>
      <w:proofErr w:type="gramStart"/>
      <w:r>
        <w:t>Ibid Vol IV 1.</w:t>
      </w:r>
      <w:proofErr w:type="gramEnd"/>
    </w:p>
  </w:footnote>
  <w:footnote w:id="14">
    <w:p w:rsidR="00BF2B7C" w:rsidRDefault="00BF2B7C" w:rsidP="00BF2B7C">
      <w:pPr>
        <w:pStyle w:val="FootnoteText"/>
      </w:pPr>
      <w:r>
        <w:rPr>
          <w:rStyle w:val="FootnoteReference"/>
        </w:rPr>
        <w:footnoteRef/>
      </w:r>
      <w:r>
        <w:t xml:space="preserve"> </w:t>
      </w:r>
      <w:proofErr w:type="gramStart"/>
      <w:r>
        <w:t>Ibid Vol V 92.</w:t>
      </w:r>
      <w:proofErr w:type="gramEnd"/>
    </w:p>
  </w:footnote>
  <w:footnote w:id="15">
    <w:p w:rsidR="00BF2B7C" w:rsidRDefault="00BF2B7C" w:rsidP="00BF2B7C">
      <w:pPr>
        <w:pStyle w:val="FootnoteText"/>
      </w:pPr>
      <w:r>
        <w:rPr>
          <w:rStyle w:val="FootnoteReference"/>
        </w:rPr>
        <w:footnoteRef/>
      </w:r>
      <w:r>
        <w:t xml:space="preserve"> Minister for the Prevention of Family Violence, </w:t>
      </w:r>
      <w:r w:rsidRPr="003D3C93">
        <w:rPr>
          <w:i/>
        </w:rPr>
        <w:t xml:space="preserve">More Victorians </w:t>
      </w:r>
      <w:proofErr w:type="gramStart"/>
      <w:r w:rsidRPr="003D3C93">
        <w:rPr>
          <w:i/>
        </w:rPr>
        <w:t>To Stand Up</w:t>
      </w:r>
      <w:proofErr w:type="gramEnd"/>
      <w:r w:rsidRPr="003D3C93">
        <w:rPr>
          <w:i/>
        </w:rPr>
        <w:t xml:space="preserve"> To Elder Abuse</w:t>
      </w:r>
      <w:r>
        <w:t xml:space="preserve"> (2016) &lt;http://www.premier.vic.gov.au/more-victorians-to-stand-up-to-elder-abuse&gt;.</w:t>
      </w:r>
    </w:p>
  </w:footnote>
  <w:footnote w:id="16">
    <w:p w:rsidR="00465FB8" w:rsidRDefault="00465FB8" w:rsidP="00465FB8">
      <w:pPr>
        <w:pStyle w:val="FootnoteText"/>
      </w:pPr>
      <w:r>
        <w:rPr>
          <w:rStyle w:val="FootnoteReference"/>
        </w:rPr>
        <w:footnoteRef/>
      </w:r>
      <w:r>
        <w:t xml:space="preserve"> </w:t>
      </w:r>
      <w:r w:rsidRPr="00A012E3">
        <w:rPr>
          <w:color w:val="000000" w:themeColor="text1"/>
        </w:rPr>
        <w:t xml:space="preserve">Commonwealth House of Representatives, </w:t>
      </w:r>
      <w:r>
        <w:rPr>
          <w:i/>
          <w:color w:val="000000" w:themeColor="text1"/>
        </w:rPr>
        <w:t>Older people and the l</w:t>
      </w:r>
      <w:r w:rsidRPr="00A012E3">
        <w:rPr>
          <w:i/>
          <w:color w:val="000000" w:themeColor="text1"/>
        </w:rPr>
        <w:t>aw</w:t>
      </w:r>
      <w:r>
        <w:rPr>
          <w:color w:val="000000" w:themeColor="text1"/>
        </w:rPr>
        <w:t xml:space="preserve">, </w:t>
      </w:r>
      <w:r w:rsidRPr="00632D95">
        <w:rPr>
          <w:color w:val="000000" w:themeColor="text1"/>
        </w:rPr>
        <w:t>Standing Committee on Legal and Constitutional Affairs</w:t>
      </w:r>
      <w:r>
        <w:rPr>
          <w:color w:val="000000" w:themeColor="text1"/>
        </w:rPr>
        <w:t xml:space="preserve"> (2007) rec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85A"/>
    <w:multiLevelType w:val="hybridMultilevel"/>
    <w:tmpl w:val="70665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E174B0"/>
    <w:multiLevelType w:val="hybridMultilevel"/>
    <w:tmpl w:val="A314E6A2"/>
    <w:lvl w:ilvl="0" w:tplc="9704EE7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B0757C"/>
    <w:multiLevelType w:val="hybridMultilevel"/>
    <w:tmpl w:val="DE5E7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70CCF"/>
    <w:multiLevelType w:val="hybridMultilevel"/>
    <w:tmpl w:val="685C0276"/>
    <w:lvl w:ilvl="0" w:tplc="14E4BDA0">
      <w:start w:val="1"/>
      <w:numFmt w:val="decimal"/>
      <w:pStyle w:val="DHHSNumberText"/>
      <w:lvlText w:val="%1."/>
      <w:lvlJc w:val="left"/>
      <w:pPr>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4784E"/>
    <w:multiLevelType w:val="hybridMultilevel"/>
    <w:tmpl w:val="CD2492EC"/>
    <w:lvl w:ilvl="0" w:tplc="7602BE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D12118"/>
    <w:multiLevelType w:val="hybridMultilevel"/>
    <w:tmpl w:val="C17C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D16D0C"/>
    <w:multiLevelType w:val="hybridMultilevel"/>
    <w:tmpl w:val="EB1E6E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A003C"/>
    <w:multiLevelType w:val="hybridMultilevel"/>
    <w:tmpl w:val="AC20DD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04D275F"/>
    <w:multiLevelType w:val="hybridMultilevel"/>
    <w:tmpl w:val="284E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127025"/>
    <w:multiLevelType w:val="hybridMultilevel"/>
    <w:tmpl w:val="2FF2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66796"/>
    <w:multiLevelType w:val="hybridMultilevel"/>
    <w:tmpl w:val="507AAC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EF7B8C"/>
    <w:multiLevelType w:val="hybridMultilevel"/>
    <w:tmpl w:val="A30A2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7"/>
  </w:num>
  <w:num w:numId="4">
    <w:abstractNumId w:val="1"/>
  </w:num>
  <w:num w:numId="5">
    <w:abstractNumId w:val="9"/>
  </w:num>
  <w:num w:numId="6">
    <w:abstractNumId w:val="5"/>
  </w:num>
  <w:num w:numId="7">
    <w:abstractNumId w:val="2"/>
  </w:num>
  <w:num w:numId="8">
    <w:abstractNumId w:val="0"/>
  </w:num>
  <w:num w:numId="9">
    <w:abstractNumId w:val="4"/>
  </w:num>
  <w:num w:numId="10">
    <w:abstractNumId w:val="6"/>
  </w:num>
  <w:num w:numId="11">
    <w:abstractNumId w:val="8"/>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rsids>
    <w:rsidRoot w:val="00D85E2E"/>
    <w:rsid w:val="00004571"/>
    <w:rsid w:val="0001283B"/>
    <w:rsid w:val="00015459"/>
    <w:rsid w:val="000233CB"/>
    <w:rsid w:val="00036F7E"/>
    <w:rsid w:val="0004007B"/>
    <w:rsid w:val="0004084A"/>
    <w:rsid w:val="0004595D"/>
    <w:rsid w:val="000523A5"/>
    <w:rsid w:val="000541DF"/>
    <w:rsid w:val="000547EE"/>
    <w:rsid w:val="000550DC"/>
    <w:rsid w:val="0005633A"/>
    <w:rsid w:val="00067096"/>
    <w:rsid w:val="00070532"/>
    <w:rsid w:val="00071076"/>
    <w:rsid w:val="00086D78"/>
    <w:rsid w:val="00090DAF"/>
    <w:rsid w:val="00093112"/>
    <w:rsid w:val="00094266"/>
    <w:rsid w:val="000977A4"/>
    <w:rsid w:val="000A7654"/>
    <w:rsid w:val="000B1B98"/>
    <w:rsid w:val="000B50EA"/>
    <w:rsid w:val="000C2F82"/>
    <w:rsid w:val="000C347B"/>
    <w:rsid w:val="000C3642"/>
    <w:rsid w:val="000C73B4"/>
    <w:rsid w:val="000D2BD9"/>
    <w:rsid w:val="000E269C"/>
    <w:rsid w:val="000E528D"/>
    <w:rsid w:val="000E5515"/>
    <w:rsid w:val="000F3545"/>
    <w:rsid w:val="000F5D48"/>
    <w:rsid w:val="001003F0"/>
    <w:rsid w:val="001013F2"/>
    <w:rsid w:val="001031E6"/>
    <w:rsid w:val="00106781"/>
    <w:rsid w:val="00114421"/>
    <w:rsid w:val="00126A39"/>
    <w:rsid w:val="00131370"/>
    <w:rsid w:val="00136104"/>
    <w:rsid w:val="00145389"/>
    <w:rsid w:val="0014637B"/>
    <w:rsid w:val="0015759F"/>
    <w:rsid w:val="00173CA9"/>
    <w:rsid w:val="00174909"/>
    <w:rsid w:val="001A37AC"/>
    <w:rsid w:val="001B1246"/>
    <w:rsid w:val="001D7472"/>
    <w:rsid w:val="001E16B7"/>
    <w:rsid w:val="00202EA4"/>
    <w:rsid w:val="00207D14"/>
    <w:rsid w:val="00207E76"/>
    <w:rsid w:val="00212FB8"/>
    <w:rsid w:val="002247CC"/>
    <w:rsid w:val="00237BF1"/>
    <w:rsid w:val="00237C4C"/>
    <w:rsid w:val="00247D70"/>
    <w:rsid w:val="002515DE"/>
    <w:rsid w:val="002519CE"/>
    <w:rsid w:val="0025512C"/>
    <w:rsid w:val="00256170"/>
    <w:rsid w:val="0026161A"/>
    <w:rsid w:val="002664E5"/>
    <w:rsid w:val="00270494"/>
    <w:rsid w:val="0027413A"/>
    <w:rsid w:val="00277537"/>
    <w:rsid w:val="00283AEC"/>
    <w:rsid w:val="0028510A"/>
    <w:rsid w:val="00294DA1"/>
    <w:rsid w:val="00297529"/>
    <w:rsid w:val="002A12D9"/>
    <w:rsid w:val="002A274E"/>
    <w:rsid w:val="002A56ED"/>
    <w:rsid w:val="002A6363"/>
    <w:rsid w:val="002C02F2"/>
    <w:rsid w:val="002C0A3F"/>
    <w:rsid w:val="002C0F60"/>
    <w:rsid w:val="002C6BD7"/>
    <w:rsid w:val="002C6D0A"/>
    <w:rsid w:val="002D0869"/>
    <w:rsid w:val="002D17BF"/>
    <w:rsid w:val="002D6B90"/>
    <w:rsid w:val="002E39EF"/>
    <w:rsid w:val="002E3E51"/>
    <w:rsid w:val="002E7A37"/>
    <w:rsid w:val="002F3682"/>
    <w:rsid w:val="002F7C8B"/>
    <w:rsid w:val="00304259"/>
    <w:rsid w:val="003078DC"/>
    <w:rsid w:val="00316F33"/>
    <w:rsid w:val="00325005"/>
    <w:rsid w:val="003262DE"/>
    <w:rsid w:val="003279FD"/>
    <w:rsid w:val="00343D8D"/>
    <w:rsid w:val="003519C5"/>
    <w:rsid w:val="00354D6B"/>
    <w:rsid w:val="00357B79"/>
    <w:rsid w:val="00363ECE"/>
    <w:rsid w:val="00375500"/>
    <w:rsid w:val="003769B3"/>
    <w:rsid w:val="00380F83"/>
    <w:rsid w:val="003961B6"/>
    <w:rsid w:val="003B538D"/>
    <w:rsid w:val="003D3C93"/>
    <w:rsid w:val="003D5F8E"/>
    <w:rsid w:val="003E18E0"/>
    <w:rsid w:val="003E1F84"/>
    <w:rsid w:val="003E7798"/>
    <w:rsid w:val="003F212B"/>
    <w:rsid w:val="003F4368"/>
    <w:rsid w:val="00404955"/>
    <w:rsid w:val="00410333"/>
    <w:rsid w:val="00420E82"/>
    <w:rsid w:val="00422563"/>
    <w:rsid w:val="004242EF"/>
    <w:rsid w:val="00432D32"/>
    <w:rsid w:val="0043548C"/>
    <w:rsid w:val="004417C8"/>
    <w:rsid w:val="00444329"/>
    <w:rsid w:val="004469CE"/>
    <w:rsid w:val="004507D3"/>
    <w:rsid w:val="004534BF"/>
    <w:rsid w:val="00463CFA"/>
    <w:rsid w:val="00465FB8"/>
    <w:rsid w:val="004676A3"/>
    <w:rsid w:val="0047153D"/>
    <w:rsid w:val="00491F99"/>
    <w:rsid w:val="00496606"/>
    <w:rsid w:val="004A6522"/>
    <w:rsid w:val="004D7BCF"/>
    <w:rsid w:val="004E3C55"/>
    <w:rsid w:val="004F08B9"/>
    <w:rsid w:val="004F1937"/>
    <w:rsid w:val="004F3E51"/>
    <w:rsid w:val="005000F8"/>
    <w:rsid w:val="00503D76"/>
    <w:rsid w:val="005061A7"/>
    <w:rsid w:val="005124AD"/>
    <w:rsid w:val="00513625"/>
    <w:rsid w:val="005167BD"/>
    <w:rsid w:val="00516AA0"/>
    <w:rsid w:val="00517076"/>
    <w:rsid w:val="00524795"/>
    <w:rsid w:val="00524EFD"/>
    <w:rsid w:val="0053172D"/>
    <w:rsid w:val="0054093F"/>
    <w:rsid w:val="00540D96"/>
    <w:rsid w:val="00543C5F"/>
    <w:rsid w:val="00547160"/>
    <w:rsid w:val="0054773B"/>
    <w:rsid w:val="005479B0"/>
    <w:rsid w:val="0055031A"/>
    <w:rsid w:val="00570129"/>
    <w:rsid w:val="0057016B"/>
    <w:rsid w:val="00570D58"/>
    <w:rsid w:val="005776EE"/>
    <w:rsid w:val="00580F78"/>
    <w:rsid w:val="00590EA5"/>
    <w:rsid w:val="005C5321"/>
    <w:rsid w:val="005D1DA7"/>
    <w:rsid w:val="005D41FC"/>
    <w:rsid w:val="005D60D1"/>
    <w:rsid w:val="005D72E9"/>
    <w:rsid w:val="005F77BC"/>
    <w:rsid w:val="00601415"/>
    <w:rsid w:val="006072CB"/>
    <w:rsid w:val="00607DAF"/>
    <w:rsid w:val="00632B1C"/>
    <w:rsid w:val="00632D95"/>
    <w:rsid w:val="006364E9"/>
    <w:rsid w:val="00640B6E"/>
    <w:rsid w:val="0064395B"/>
    <w:rsid w:val="0064498E"/>
    <w:rsid w:val="0065760E"/>
    <w:rsid w:val="00664157"/>
    <w:rsid w:val="00667ACB"/>
    <w:rsid w:val="00667B20"/>
    <w:rsid w:val="006718CD"/>
    <w:rsid w:val="00677200"/>
    <w:rsid w:val="006821FA"/>
    <w:rsid w:val="00682780"/>
    <w:rsid w:val="006974A4"/>
    <w:rsid w:val="006A2D1A"/>
    <w:rsid w:val="006A4A8C"/>
    <w:rsid w:val="006B2821"/>
    <w:rsid w:val="006C0274"/>
    <w:rsid w:val="006D1CD3"/>
    <w:rsid w:val="006E05FF"/>
    <w:rsid w:val="006E30F2"/>
    <w:rsid w:val="007052B4"/>
    <w:rsid w:val="00705D40"/>
    <w:rsid w:val="0070790A"/>
    <w:rsid w:val="0072386E"/>
    <w:rsid w:val="0073779F"/>
    <w:rsid w:val="00740C54"/>
    <w:rsid w:val="00754363"/>
    <w:rsid w:val="00765086"/>
    <w:rsid w:val="007676C9"/>
    <w:rsid w:val="00772C29"/>
    <w:rsid w:val="0078020A"/>
    <w:rsid w:val="00780307"/>
    <w:rsid w:val="00782E7F"/>
    <w:rsid w:val="0078506A"/>
    <w:rsid w:val="007948C4"/>
    <w:rsid w:val="00795439"/>
    <w:rsid w:val="007977AC"/>
    <w:rsid w:val="007B34C6"/>
    <w:rsid w:val="007B363A"/>
    <w:rsid w:val="007B65FB"/>
    <w:rsid w:val="007C5232"/>
    <w:rsid w:val="007D428B"/>
    <w:rsid w:val="007D4830"/>
    <w:rsid w:val="007E3297"/>
    <w:rsid w:val="007E615D"/>
    <w:rsid w:val="007F02DD"/>
    <w:rsid w:val="0082794B"/>
    <w:rsid w:val="008369EB"/>
    <w:rsid w:val="00837B8B"/>
    <w:rsid w:val="0084296A"/>
    <w:rsid w:val="00842C50"/>
    <w:rsid w:val="00845D2A"/>
    <w:rsid w:val="008532BE"/>
    <w:rsid w:val="00880016"/>
    <w:rsid w:val="00883B2A"/>
    <w:rsid w:val="008933E7"/>
    <w:rsid w:val="00894CCB"/>
    <w:rsid w:val="008A09C5"/>
    <w:rsid w:val="008A5742"/>
    <w:rsid w:val="008A639D"/>
    <w:rsid w:val="008B45A1"/>
    <w:rsid w:val="008C1752"/>
    <w:rsid w:val="008C50BD"/>
    <w:rsid w:val="008D2C99"/>
    <w:rsid w:val="008D381F"/>
    <w:rsid w:val="008E6417"/>
    <w:rsid w:val="008F0DEE"/>
    <w:rsid w:val="009049BD"/>
    <w:rsid w:val="00905FF7"/>
    <w:rsid w:val="00906FFF"/>
    <w:rsid w:val="00916EDD"/>
    <w:rsid w:val="00927BB1"/>
    <w:rsid w:val="00930835"/>
    <w:rsid w:val="00930E46"/>
    <w:rsid w:val="009377D1"/>
    <w:rsid w:val="00940EA9"/>
    <w:rsid w:val="00941DC7"/>
    <w:rsid w:val="00942E9A"/>
    <w:rsid w:val="00950ACA"/>
    <w:rsid w:val="009558DE"/>
    <w:rsid w:val="00956169"/>
    <w:rsid w:val="00956C84"/>
    <w:rsid w:val="009648A2"/>
    <w:rsid w:val="00966A5D"/>
    <w:rsid w:val="00967ECD"/>
    <w:rsid w:val="0097202D"/>
    <w:rsid w:val="00975BE8"/>
    <w:rsid w:val="009804F4"/>
    <w:rsid w:val="0098121D"/>
    <w:rsid w:val="00982410"/>
    <w:rsid w:val="00983093"/>
    <w:rsid w:val="00985D5D"/>
    <w:rsid w:val="00986E59"/>
    <w:rsid w:val="00997A4C"/>
    <w:rsid w:val="009A4A37"/>
    <w:rsid w:val="009B027C"/>
    <w:rsid w:val="009B0A7B"/>
    <w:rsid w:val="009C0BEA"/>
    <w:rsid w:val="009C60B5"/>
    <w:rsid w:val="009D0F83"/>
    <w:rsid w:val="009D1FEC"/>
    <w:rsid w:val="009D2FFF"/>
    <w:rsid w:val="009D782B"/>
    <w:rsid w:val="009E17DE"/>
    <w:rsid w:val="009F16C7"/>
    <w:rsid w:val="009F4A3E"/>
    <w:rsid w:val="00A012E3"/>
    <w:rsid w:val="00A138F1"/>
    <w:rsid w:val="00A26726"/>
    <w:rsid w:val="00A26D0D"/>
    <w:rsid w:val="00A318F7"/>
    <w:rsid w:val="00A40F17"/>
    <w:rsid w:val="00A41908"/>
    <w:rsid w:val="00A430F3"/>
    <w:rsid w:val="00A53CB0"/>
    <w:rsid w:val="00A56168"/>
    <w:rsid w:val="00A63E1B"/>
    <w:rsid w:val="00A707EC"/>
    <w:rsid w:val="00A721AF"/>
    <w:rsid w:val="00A77B54"/>
    <w:rsid w:val="00A836C8"/>
    <w:rsid w:val="00A90A93"/>
    <w:rsid w:val="00A90C61"/>
    <w:rsid w:val="00A9201F"/>
    <w:rsid w:val="00AA36F5"/>
    <w:rsid w:val="00AA7E6C"/>
    <w:rsid w:val="00AC0605"/>
    <w:rsid w:val="00AC1987"/>
    <w:rsid w:val="00AD08EB"/>
    <w:rsid w:val="00AD5BC6"/>
    <w:rsid w:val="00AE2B58"/>
    <w:rsid w:val="00AE631B"/>
    <w:rsid w:val="00AE7E68"/>
    <w:rsid w:val="00AF03E1"/>
    <w:rsid w:val="00B058BE"/>
    <w:rsid w:val="00B10C54"/>
    <w:rsid w:val="00B10E2D"/>
    <w:rsid w:val="00B11114"/>
    <w:rsid w:val="00B12518"/>
    <w:rsid w:val="00B13021"/>
    <w:rsid w:val="00B212A0"/>
    <w:rsid w:val="00B223C2"/>
    <w:rsid w:val="00B24166"/>
    <w:rsid w:val="00B24B51"/>
    <w:rsid w:val="00B24BDC"/>
    <w:rsid w:val="00B251F5"/>
    <w:rsid w:val="00B41533"/>
    <w:rsid w:val="00B4563A"/>
    <w:rsid w:val="00B561FA"/>
    <w:rsid w:val="00B5648C"/>
    <w:rsid w:val="00B616BE"/>
    <w:rsid w:val="00B62267"/>
    <w:rsid w:val="00B64AE2"/>
    <w:rsid w:val="00B844C8"/>
    <w:rsid w:val="00BB17B4"/>
    <w:rsid w:val="00BB2BB9"/>
    <w:rsid w:val="00BB5F31"/>
    <w:rsid w:val="00BB7E97"/>
    <w:rsid w:val="00BC1B8B"/>
    <w:rsid w:val="00BC2D83"/>
    <w:rsid w:val="00BC4308"/>
    <w:rsid w:val="00BD5222"/>
    <w:rsid w:val="00BD614F"/>
    <w:rsid w:val="00BE4CA9"/>
    <w:rsid w:val="00BF0DE9"/>
    <w:rsid w:val="00BF0DF9"/>
    <w:rsid w:val="00BF179B"/>
    <w:rsid w:val="00BF2B7C"/>
    <w:rsid w:val="00BF5872"/>
    <w:rsid w:val="00C146FB"/>
    <w:rsid w:val="00C1632B"/>
    <w:rsid w:val="00C312D2"/>
    <w:rsid w:val="00C32AF5"/>
    <w:rsid w:val="00C41495"/>
    <w:rsid w:val="00C42DF4"/>
    <w:rsid w:val="00C4389E"/>
    <w:rsid w:val="00C43D52"/>
    <w:rsid w:val="00C468A1"/>
    <w:rsid w:val="00C5235B"/>
    <w:rsid w:val="00C527FE"/>
    <w:rsid w:val="00C53CDD"/>
    <w:rsid w:val="00C54CAA"/>
    <w:rsid w:val="00C572CD"/>
    <w:rsid w:val="00C57953"/>
    <w:rsid w:val="00C57B92"/>
    <w:rsid w:val="00C6457F"/>
    <w:rsid w:val="00C83AFF"/>
    <w:rsid w:val="00C84C49"/>
    <w:rsid w:val="00C84FB3"/>
    <w:rsid w:val="00C864B3"/>
    <w:rsid w:val="00C9472E"/>
    <w:rsid w:val="00C948A6"/>
    <w:rsid w:val="00C970BB"/>
    <w:rsid w:val="00CA28E0"/>
    <w:rsid w:val="00CC0941"/>
    <w:rsid w:val="00CC7064"/>
    <w:rsid w:val="00CD074B"/>
    <w:rsid w:val="00CE3160"/>
    <w:rsid w:val="00CE3B17"/>
    <w:rsid w:val="00CE646E"/>
    <w:rsid w:val="00CE69C6"/>
    <w:rsid w:val="00CF5FB8"/>
    <w:rsid w:val="00D01628"/>
    <w:rsid w:val="00D02752"/>
    <w:rsid w:val="00D173AB"/>
    <w:rsid w:val="00D207A4"/>
    <w:rsid w:val="00D252B2"/>
    <w:rsid w:val="00D270F8"/>
    <w:rsid w:val="00D33AEA"/>
    <w:rsid w:val="00D34805"/>
    <w:rsid w:val="00D4368D"/>
    <w:rsid w:val="00D43D19"/>
    <w:rsid w:val="00D5048B"/>
    <w:rsid w:val="00D5711C"/>
    <w:rsid w:val="00D6306A"/>
    <w:rsid w:val="00D64653"/>
    <w:rsid w:val="00D6668C"/>
    <w:rsid w:val="00D71E64"/>
    <w:rsid w:val="00D75BBA"/>
    <w:rsid w:val="00D80F21"/>
    <w:rsid w:val="00D85E2E"/>
    <w:rsid w:val="00D86AA4"/>
    <w:rsid w:val="00D95AA1"/>
    <w:rsid w:val="00DA3E48"/>
    <w:rsid w:val="00DA59F9"/>
    <w:rsid w:val="00DB09DA"/>
    <w:rsid w:val="00DB0A3D"/>
    <w:rsid w:val="00DB478A"/>
    <w:rsid w:val="00DB7E6A"/>
    <w:rsid w:val="00DD1603"/>
    <w:rsid w:val="00DF1A6A"/>
    <w:rsid w:val="00DF6220"/>
    <w:rsid w:val="00DF6E8F"/>
    <w:rsid w:val="00DF78D4"/>
    <w:rsid w:val="00E006E1"/>
    <w:rsid w:val="00E04050"/>
    <w:rsid w:val="00E05B6D"/>
    <w:rsid w:val="00E1180B"/>
    <w:rsid w:val="00E125FB"/>
    <w:rsid w:val="00E14B88"/>
    <w:rsid w:val="00E16318"/>
    <w:rsid w:val="00E20E7B"/>
    <w:rsid w:val="00E405BF"/>
    <w:rsid w:val="00E43A9D"/>
    <w:rsid w:val="00E453F2"/>
    <w:rsid w:val="00E45995"/>
    <w:rsid w:val="00E56660"/>
    <w:rsid w:val="00E66AD6"/>
    <w:rsid w:val="00E80EA0"/>
    <w:rsid w:val="00E825AA"/>
    <w:rsid w:val="00E83FCD"/>
    <w:rsid w:val="00E91B3D"/>
    <w:rsid w:val="00E9608E"/>
    <w:rsid w:val="00E96B67"/>
    <w:rsid w:val="00E97935"/>
    <w:rsid w:val="00EA04E2"/>
    <w:rsid w:val="00EB2439"/>
    <w:rsid w:val="00EB2872"/>
    <w:rsid w:val="00EC374A"/>
    <w:rsid w:val="00EC502A"/>
    <w:rsid w:val="00ED11BE"/>
    <w:rsid w:val="00ED3458"/>
    <w:rsid w:val="00ED3827"/>
    <w:rsid w:val="00EE223E"/>
    <w:rsid w:val="00EE2E9F"/>
    <w:rsid w:val="00EE358E"/>
    <w:rsid w:val="00EE4BD9"/>
    <w:rsid w:val="00EF505B"/>
    <w:rsid w:val="00F11413"/>
    <w:rsid w:val="00F14319"/>
    <w:rsid w:val="00F14700"/>
    <w:rsid w:val="00F23D7C"/>
    <w:rsid w:val="00F34B1A"/>
    <w:rsid w:val="00F4469E"/>
    <w:rsid w:val="00F46CEB"/>
    <w:rsid w:val="00F57731"/>
    <w:rsid w:val="00F72D84"/>
    <w:rsid w:val="00F82C01"/>
    <w:rsid w:val="00F8428C"/>
    <w:rsid w:val="00F905E6"/>
    <w:rsid w:val="00FA118E"/>
    <w:rsid w:val="00FA73A9"/>
    <w:rsid w:val="00FB3C78"/>
    <w:rsid w:val="00FB40F1"/>
    <w:rsid w:val="00FB794E"/>
    <w:rsid w:val="00FB7ED7"/>
    <w:rsid w:val="00FD11E5"/>
    <w:rsid w:val="00FD4220"/>
    <w:rsid w:val="00FE5F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6C"/>
  </w:style>
  <w:style w:type="paragraph" w:styleId="Heading1">
    <w:name w:val="heading 1"/>
    <w:basedOn w:val="Normal"/>
    <w:next w:val="Normal"/>
    <w:link w:val="Heading1Char"/>
    <w:uiPriority w:val="9"/>
    <w:qFormat/>
    <w:rsid w:val="00D85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E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E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5E2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85E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E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5E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5E2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02752"/>
    <w:pPr>
      <w:ind w:left="720"/>
      <w:contextualSpacing/>
    </w:pPr>
  </w:style>
  <w:style w:type="character" w:styleId="CommentReference">
    <w:name w:val="annotation reference"/>
    <w:basedOn w:val="DefaultParagraphFont"/>
    <w:uiPriority w:val="99"/>
    <w:semiHidden/>
    <w:unhideWhenUsed/>
    <w:rsid w:val="00EB2872"/>
    <w:rPr>
      <w:sz w:val="16"/>
      <w:szCs w:val="16"/>
    </w:rPr>
  </w:style>
  <w:style w:type="paragraph" w:styleId="CommentText">
    <w:name w:val="annotation text"/>
    <w:basedOn w:val="Normal"/>
    <w:link w:val="CommentTextChar"/>
    <w:uiPriority w:val="99"/>
    <w:unhideWhenUsed/>
    <w:rsid w:val="00EB2872"/>
    <w:pPr>
      <w:spacing w:line="240" w:lineRule="auto"/>
    </w:pPr>
    <w:rPr>
      <w:sz w:val="20"/>
      <w:szCs w:val="20"/>
    </w:rPr>
  </w:style>
  <w:style w:type="character" w:customStyle="1" w:styleId="CommentTextChar">
    <w:name w:val="Comment Text Char"/>
    <w:basedOn w:val="DefaultParagraphFont"/>
    <w:link w:val="CommentText"/>
    <w:uiPriority w:val="99"/>
    <w:rsid w:val="00EB2872"/>
    <w:rPr>
      <w:sz w:val="20"/>
      <w:szCs w:val="20"/>
    </w:rPr>
  </w:style>
  <w:style w:type="paragraph" w:styleId="CommentSubject">
    <w:name w:val="annotation subject"/>
    <w:basedOn w:val="CommentText"/>
    <w:next w:val="CommentText"/>
    <w:link w:val="CommentSubjectChar"/>
    <w:uiPriority w:val="99"/>
    <w:semiHidden/>
    <w:unhideWhenUsed/>
    <w:rsid w:val="00EB2872"/>
    <w:rPr>
      <w:b/>
      <w:bCs/>
    </w:rPr>
  </w:style>
  <w:style w:type="character" w:customStyle="1" w:styleId="CommentSubjectChar">
    <w:name w:val="Comment Subject Char"/>
    <w:basedOn w:val="CommentTextChar"/>
    <w:link w:val="CommentSubject"/>
    <w:uiPriority w:val="99"/>
    <w:semiHidden/>
    <w:rsid w:val="00EB2872"/>
    <w:rPr>
      <w:b/>
      <w:bCs/>
      <w:sz w:val="20"/>
      <w:szCs w:val="20"/>
    </w:rPr>
  </w:style>
  <w:style w:type="paragraph" w:styleId="BalloonText">
    <w:name w:val="Balloon Text"/>
    <w:basedOn w:val="Normal"/>
    <w:link w:val="BalloonTextChar"/>
    <w:uiPriority w:val="99"/>
    <w:semiHidden/>
    <w:unhideWhenUsed/>
    <w:rsid w:val="00EB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72"/>
    <w:rPr>
      <w:rFonts w:ascii="Tahoma" w:hAnsi="Tahoma" w:cs="Tahoma"/>
      <w:sz w:val="16"/>
      <w:szCs w:val="16"/>
    </w:rPr>
  </w:style>
  <w:style w:type="paragraph" w:customStyle="1" w:styleId="DHHSNumberText">
    <w:name w:val="DHHS Number Text"/>
    <w:basedOn w:val="Normal"/>
    <w:uiPriority w:val="2"/>
    <w:qFormat/>
    <w:rsid w:val="002C0A3F"/>
    <w:pPr>
      <w:numPr>
        <w:numId w:val="2"/>
      </w:numPr>
      <w:spacing w:after="120" w:line="270" w:lineRule="atLeast"/>
      <w:ind w:left="425" w:hanging="425"/>
      <w:jc w:val="both"/>
    </w:pPr>
    <w:rPr>
      <w:rFonts w:ascii="Calibri" w:eastAsia="Times" w:hAnsi="Calibri" w:cs="Times New Roman"/>
      <w:szCs w:val="20"/>
    </w:rPr>
  </w:style>
  <w:style w:type="character" w:styleId="Hyperlink">
    <w:name w:val="Hyperlink"/>
    <w:basedOn w:val="DefaultParagraphFont"/>
    <w:uiPriority w:val="99"/>
    <w:unhideWhenUsed/>
    <w:rsid w:val="00BF179B"/>
    <w:rPr>
      <w:color w:val="0000FF" w:themeColor="hyperlink"/>
      <w:u w:val="single"/>
    </w:rPr>
  </w:style>
  <w:style w:type="paragraph" w:styleId="Header">
    <w:name w:val="header"/>
    <w:basedOn w:val="Normal"/>
    <w:link w:val="HeaderChar"/>
    <w:uiPriority w:val="99"/>
    <w:unhideWhenUsed/>
    <w:rsid w:val="00B4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3A"/>
  </w:style>
  <w:style w:type="paragraph" w:styleId="Footer">
    <w:name w:val="footer"/>
    <w:basedOn w:val="Normal"/>
    <w:link w:val="FooterChar"/>
    <w:uiPriority w:val="99"/>
    <w:unhideWhenUsed/>
    <w:rsid w:val="00B4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3A"/>
  </w:style>
  <w:style w:type="paragraph" w:styleId="EndnoteText">
    <w:name w:val="endnote text"/>
    <w:basedOn w:val="Normal"/>
    <w:link w:val="EndnoteTextChar"/>
    <w:uiPriority w:val="99"/>
    <w:semiHidden/>
    <w:unhideWhenUsed/>
    <w:rsid w:val="007C52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32"/>
    <w:rPr>
      <w:sz w:val="20"/>
      <w:szCs w:val="20"/>
    </w:rPr>
  </w:style>
  <w:style w:type="character" w:styleId="EndnoteReference">
    <w:name w:val="endnote reference"/>
    <w:basedOn w:val="DefaultParagraphFont"/>
    <w:uiPriority w:val="99"/>
    <w:semiHidden/>
    <w:unhideWhenUsed/>
    <w:rsid w:val="007C5232"/>
    <w:rPr>
      <w:vertAlign w:val="superscript"/>
    </w:rPr>
  </w:style>
  <w:style w:type="paragraph" w:styleId="FootnoteText">
    <w:name w:val="footnote text"/>
    <w:basedOn w:val="Normal"/>
    <w:link w:val="FootnoteTextChar"/>
    <w:uiPriority w:val="99"/>
    <w:semiHidden/>
    <w:unhideWhenUsed/>
    <w:rsid w:val="007C5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232"/>
    <w:rPr>
      <w:sz w:val="20"/>
      <w:szCs w:val="20"/>
    </w:rPr>
  </w:style>
  <w:style w:type="character" w:styleId="FootnoteReference">
    <w:name w:val="footnote reference"/>
    <w:basedOn w:val="DefaultParagraphFont"/>
    <w:uiPriority w:val="99"/>
    <w:semiHidden/>
    <w:unhideWhenUsed/>
    <w:rsid w:val="007C5232"/>
    <w:rPr>
      <w:vertAlign w:val="superscript"/>
    </w:rPr>
  </w:style>
  <w:style w:type="paragraph" w:styleId="NoSpacing">
    <w:name w:val="No Spacing"/>
    <w:link w:val="NoSpacingChar"/>
    <w:uiPriority w:val="1"/>
    <w:qFormat/>
    <w:rsid w:val="00C84C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84C49"/>
    <w:rPr>
      <w:rFonts w:eastAsiaTheme="minorEastAsia"/>
      <w:lang w:val="en-US" w:eastAsia="ja-JP"/>
    </w:rPr>
  </w:style>
  <w:style w:type="table" w:styleId="TableGrid">
    <w:name w:val="Table Grid"/>
    <w:basedOn w:val="TableNormal"/>
    <w:uiPriority w:val="59"/>
    <w:rsid w:val="0054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E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E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5E2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85E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E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5E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5E2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02752"/>
    <w:pPr>
      <w:ind w:left="720"/>
      <w:contextualSpacing/>
    </w:pPr>
  </w:style>
  <w:style w:type="character" w:styleId="CommentReference">
    <w:name w:val="annotation reference"/>
    <w:basedOn w:val="DefaultParagraphFont"/>
    <w:uiPriority w:val="99"/>
    <w:semiHidden/>
    <w:unhideWhenUsed/>
    <w:rsid w:val="00EB2872"/>
    <w:rPr>
      <w:sz w:val="16"/>
      <w:szCs w:val="16"/>
    </w:rPr>
  </w:style>
  <w:style w:type="paragraph" w:styleId="CommentText">
    <w:name w:val="annotation text"/>
    <w:basedOn w:val="Normal"/>
    <w:link w:val="CommentTextChar"/>
    <w:uiPriority w:val="99"/>
    <w:unhideWhenUsed/>
    <w:rsid w:val="00EB2872"/>
    <w:pPr>
      <w:spacing w:line="240" w:lineRule="auto"/>
    </w:pPr>
    <w:rPr>
      <w:sz w:val="20"/>
      <w:szCs w:val="20"/>
    </w:rPr>
  </w:style>
  <w:style w:type="character" w:customStyle="1" w:styleId="CommentTextChar">
    <w:name w:val="Comment Text Char"/>
    <w:basedOn w:val="DefaultParagraphFont"/>
    <w:link w:val="CommentText"/>
    <w:uiPriority w:val="99"/>
    <w:rsid w:val="00EB2872"/>
    <w:rPr>
      <w:sz w:val="20"/>
      <w:szCs w:val="20"/>
    </w:rPr>
  </w:style>
  <w:style w:type="paragraph" w:styleId="CommentSubject">
    <w:name w:val="annotation subject"/>
    <w:basedOn w:val="CommentText"/>
    <w:next w:val="CommentText"/>
    <w:link w:val="CommentSubjectChar"/>
    <w:uiPriority w:val="99"/>
    <w:semiHidden/>
    <w:unhideWhenUsed/>
    <w:rsid w:val="00EB2872"/>
    <w:rPr>
      <w:b/>
      <w:bCs/>
    </w:rPr>
  </w:style>
  <w:style w:type="character" w:customStyle="1" w:styleId="CommentSubjectChar">
    <w:name w:val="Comment Subject Char"/>
    <w:basedOn w:val="CommentTextChar"/>
    <w:link w:val="CommentSubject"/>
    <w:uiPriority w:val="99"/>
    <w:semiHidden/>
    <w:rsid w:val="00EB2872"/>
    <w:rPr>
      <w:b/>
      <w:bCs/>
      <w:sz w:val="20"/>
      <w:szCs w:val="20"/>
    </w:rPr>
  </w:style>
  <w:style w:type="paragraph" w:styleId="BalloonText">
    <w:name w:val="Balloon Text"/>
    <w:basedOn w:val="Normal"/>
    <w:link w:val="BalloonTextChar"/>
    <w:uiPriority w:val="99"/>
    <w:semiHidden/>
    <w:unhideWhenUsed/>
    <w:rsid w:val="00EB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72"/>
    <w:rPr>
      <w:rFonts w:ascii="Tahoma" w:hAnsi="Tahoma" w:cs="Tahoma"/>
      <w:sz w:val="16"/>
      <w:szCs w:val="16"/>
    </w:rPr>
  </w:style>
  <w:style w:type="paragraph" w:customStyle="1" w:styleId="DHHSNumberText">
    <w:name w:val="DHHS Number Text"/>
    <w:basedOn w:val="Normal"/>
    <w:uiPriority w:val="2"/>
    <w:qFormat/>
    <w:rsid w:val="002C0A3F"/>
    <w:pPr>
      <w:numPr>
        <w:numId w:val="2"/>
      </w:numPr>
      <w:spacing w:after="120" w:line="270" w:lineRule="atLeast"/>
      <w:ind w:left="425" w:hanging="425"/>
      <w:jc w:val="both"/>
    </w:pPr>
    <w:rPr>
      <w:rFonts w:ascii="Calibri" w:eastAsia="Times" w:hAnsi="Calibri" w:cs="Times New Roman"/>
      <w:szCs w:val="20"/>
    </w:rPr>
  </w:style>
  <w:style w:type="character" w:styleId="Hyperlink">
    <w:name w:val="Hyperlink"/>
    <w:basedOn w:val="DefaultParagraphFont"/>
    <w:uiPriority w:val="99"/>
    <w:unhideWhenUsed/>
    <w:rsid w:val="00BF179B"/>
    <w:rPr>
      <w:color w:val="0000FF" w:themeColor="hyperlink"/>
      <w:u w:val="single"/>
    </w:rPr>
  </w:style>
  <w:style w:type="paragraph" w:styleId="Header">
    <w:name w:val="header"/>
    <w:basedOn w:val="Normal"/>
    <w:link w:val="HeaderChar"/>
    <w:uiPriority w:val="99"/>
    <w:unhideWhenUsed/>
    <w:rsid w:val="00B4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3A"/>
  </w:style>
  <w:style w:type="paragraph" w:styleId="Footer">
    <w:name w:val="footer"/>
    <w:basedOn w:val="Normal"/>
    <w:link w:val="FooterChar"/>
    <w:uiPriority w:val="99"/>
    <w:unhideWhenUsed/>
    <w:rsid w:val="00B4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3A"/>
  </w:style>
  <w:style w:type="paragraph" w:styleId="EndnoteText">
    <w:name w:val="endnote text"/>
    <w:basedOn w:val="Normal"/>
    <w:link w:val="EndnoteTextChar"/>
    <w:uiPriority w:val="99"/>
    <w:semiHidden/>
    <w:unhideWhenUsed/>
    <w:rsid w:val="007C52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32"/>
    <w:rPr>
      <w:sz w:val="20"/>
      <w:szCs w:val="20"/>
    </w:rPr>
  </w:style>
  <w:style w:type="character" w:styleId="EndnoteReference">
    <w:name w:val="endnote reference"/>
    <w:basedOn w:val="DefaultParagraphFont"/>
    <w:uiPriority w:val="99"/>
    <w:semiHidden/>
    <w:unhideWhenUsed/>
    <w:rsid w:val="007C5232"/>
    <w:rPr>
      <w:vertAlign w:val="superscript"/>
    </w:rPr>
  </w:style>
  <w:style w:type="paragraph" w:styleId="FootnoteText">
    <w:name w:val="footnote text"/>
    <w:basedOn w:val="Normal"/>
    <w:link w:val="FootnoteTextChar"/>
    <w:uiPriority w:val="99"/>
    <w:semiHidden/>
    <w:unhideWhenUsed/>
    <w:rsid w:val="007C5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232"/>
    <w:rPr>
      <w:sz w:val="20"/>
      <w:szCs w:val="20"/>
    </w:rPr>
  </w:style>
  <w:style w:type="character" w:styleId="FootnoteReference">
    <w:name w:val="footnote reference"/>
    <w:basedOn w:val="DefaultParagraphFont"/>
    <w:uiPriority w:val="99"/>
    <w:semiHidden/>
    <w:unhideWhenUsed/>
    <w:rsid w:val="007C5232"/>
    <w:rPr>
      <w:vertAlign w:val="superscript"/>
    </w:rPr>
  </w:style>
  <w:style w:type="paragraph" w:styleId="NoSpacing">
    <w:name w:val="No Spacing"/>
    <w:link w:val="NoSpacingChar"/>
    <w:uiPriority w:val="1"/>
    <w:qFormat/>
    <w:rsid w:val="00C84C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84C49"/>
    <w:rPr>
      <w:rFonts w:eastAsiaTheme="minorEastAsia"/>
      <w:lang w:val="en-US" w:eastAsia="ja-JP"/>
    </w:rPr>
  </w:style>
  <w:style w:type="table" w:styleId="TableGrid">
    <w:name w:val="Table Grid"/>
    <w:basedOn w:val="TableNormal"/>
    <w:uiPriority w:val="59"/>
    <w:rsid w:val="0054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480176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16077729">
          <w:marLeft w:val="0"/>
          <w:marRight w:val="0"/>
          <w:marTop w:val="0"/>
          <w:marBottom w:val="0"/>
          <w:divBdr>
            <w:top w:val="none" w:sz="0" w:space="0" w:color="auto"/>
            <w:left w:val="none" w:sz="0" w:space="0" w:color="auto"/>
            <w:bottom w:val="none" w:sz="0" w:space="0" w:color="auto"/>
            <w:right w:val="none" w:sz="0" w:space="0" w:color="auto"/>
          </w:divBdr>
          <w:divsChild>
            <w:div w:id="186870966">
              <w:marLeft w:val="0"/>
              <w:marRight w:val="0"/>
              <w:marTop w:val="0"/>
              <w:marBottom w:val="0"/>
              <w:divBdr>
                <w:top w:val="none" w:sz="0" w:space="0" w:color="auto"/>
                <w:left w:val="none" w:sz="0" w:space="0" w:color="auto"/>
                <w:bottom w:val="none" w:sz="0" w:space="0" w:color="auto"/>
                <w:right w:val="none" w:sz="0" w:space="0" w:color="auto"/>
              </w:divBdr>
              <w:divsChild>
                <w:div w:id="47850372">
                  <w:marLeft w:val="0"/>
                  <w:marRight w:val="0"/>
                  <w:marTop w:val="0"/>
                  <w:marBottom w:val="0"/>
                  <w:divBdr>
                    <w:top w:val="none" w:sz="0" w:space="0" w:color="auto"/>
                    <w:left w:val="none" w:sz="0" w:space="0" w:color="auto"/>
                    <w:bottom w:val="none" w:sz="0" w:space="0" w:color="auto"/>
                    <w:right w:val="none" w:sz="0" w:space="0" w:color="auto"/>
                  </w:divBdr>
                  <w:divsChild>
                    <w:div w:id="1768963907">
                      <w:marLeft w:val="0"/>
                      <w:marRight w:val="0"/>
                      <w:marTop w:val="0"/>
                      <w:marBottom w:val="0"/>
                      <w:divBdr>
                        <w:top w:val="none" w:sz="0" w:space="0" w:color="auto"/>
                        <w:left w:val="none" w:sz="0" w:space="0" w:color="auto"/>
                        <w:bottom w:val="none" w:sz="0" w:space="0" w:color="auto"/>
                        <w:right w:val="none" w:sz="0" w:space="0" w:color="auto"/>
                      </w:divBdr>
                      <w:divsChild>
                        <w:div w:id="793671097">
                          <w:marLeft w:val="0"/>
                          <w:marRight w:val="0"/>
                          <w:marTop w:val="0"/>
                          <w:marBottom w:val="0"/>
                          <w:divBdr>
                            <w:top w:val="none" w:sz="0" w:space="0" w:color="auto"/>
                            <w:left w:val="none" w:sz="0" w:space="0" w:color="auto"/>
                            <w:bottom w:val="none" w:sz="0" w:space="0" w:color="auto"/>
                            <w:right w:val="none" w:sz="0" w:space="0" w:color="auto"/>
                          </w:divBdr>
                          <w:divsChild>
                            <w:div w:id="9375916">
                              <w:marLeft w:val="0"/>
                              <w:marRight w:val="0"/>
                              <w:marTop w:val="0"/>
                              <w:marBottom w:val="0"/>
                              <w:divBdr>
                                <w:top w:val="none" w:sz="0" w:space="0" w:color="auto"/>
                                <w:left w:val="none" w:sz="0" w:space="0" w:color="auto"/>
                                <w:bottom w:val="none" w:sz="0" w:space="0" w:color="auto"/>
                                <w:right w:val="none" w:sz="0" w:space="0" w:color="auto"/>
                              </w:divBdr>
                              <w:divsChild>
                                <w:div w:id="943877471">
                                  <w:marLeft w:val="0"/>
                                  <w:marRight w:val="0"/>
                                  <w:marTop w:val="100"/>
                                  <w:marBottom w:val="100"/>
                                  <w:divBdr>
                                    <w:top w:val="none" w:sz="0" w:space="0" w:color="auto"/>
                                    <w:left w:val="none" w:sz="0" w:space="0" w:color="auto"/>
                                    <w:bottom w:val="none" w:sz="0" w:space="0" w:color="auto"/>
                                    <w:right w:val="none" w:sz="0" w:space="0" w:color="auto"/>
                                  </w:divBdr>
                                  <w:divsChild>
                                    <w:div w:id="879130006">
                                      <w:marLeft w:val="0"/>
                                      <w:marRight w:val="0"/>
                                      <w:marTop w:val="0"/>
                                      <w:marBottom w:val="0"/>
                                      <w:divBdr>
                                        <w:top w:val="none" w:sz="0" w:space="0" w:color="auto"/>
                                        <w:left w:val="none" w:sz="0" w:space="0" w:color="auto"/>
                                        <w:bottom w:val="none" w:sz="0" w:space="0" w:color="auto"/>
                                        <w:right w:val="none" w:sz="0" w:space="0" w:color="auto"/>
                                      </w:divBdr>
                                      <w:divsChild>
                                        <w:div w:id="1536960252">
                                          <w:marLeft w:val="0"/>
                                          <w:marRight w:val="0"/>
                                          <w:marTop w:val="0"/>
                                          <w:marBottom w:val="0"/>
                                          <w:divBdr>
                                            <w:top w:val="none" w:sz="0" w:space="0" w:color="auto"/>
                                            <w:left w:val="none" w:sz="0" w:space="0" w:color="auto"/>
                                            <w:bottom w:val="none" w:sz="0" w:space="0" w:color="auto"/>
                                            <w:right w:val="none" w:sz="0" w:space="0" w:color="auto"/>
                                          </w:divBdr>
                                          <w:divsChild>
                                            <w:div w:id="1027215170">
                                              <w:marLeft w:val="0"/>
                                              <w:marRight w:val="0"/>
                                              <w:marTop w:val="0"/>
                                              <w:marBottom w:val="0"/>
                                              <w:divBdr>
                                                <w:top w:val="none" w:sz="0" w:space="0" w:color="auto"/>
                                                <w:left w:val="none" w:sz="0" w:space="0" w:color="auto"/>
                                                <w:bottom w:val="none" w:sz="0" w:space="0" w:color="auto"/>
                                                <w:right w:val="none" w:sz="0" w:space="0" w:color="auto"/>
                                              </w:divBdr>
                                              <w:divsChild>
                                                <w:div w:id="214702922">
                                                  <w:marLeft w:val="0"/>
                                                  <w:marRight w:val="0"/>
                                                  <w:marTop w:val="0"/>
                                                  <w:marBottom w:val="0"/>
                                                  <w:divBdr>
                                                    <w:top w:val="none" w:sz="0" w:space="0" w:color="auto"/>
                                                    <w:left w:val="none" w:sz="0" w:space="0" w:color="auto"/>
                                                    <w:bottom w:val="none" w:sz="0" w:space="0" w:color="auto"/>
                                                    <w:right w:val="none" w:sz="0" w:space="0" w:color="auto"/>
                                                  </w:divBdr>
                                                </w:div>
                                                <w:div w:id="1803579154">
                                                  <w:marLeft w:val="0"/>
                                                  <w:marRight w:val="0"/>
                                                  <w:marTop w:val="0"/>
                                                  <w:marBottom w:val="0"/>
                                                  <w:divBdr>
                                                    <w:top w:val="none" w:sz="0" w:space="0" w:color="auto"/>
                                                    <w:left w:val="none" w:sz="0" w:space="0" w:color="auto"/>
                                                    <w:bottom w:val="none" w:sz="0" w:space="0" w:color="auto"/>
                                                    <w:right w:val="none" w:sz="0" w:space="0" w:color="auto"/>
                                                  </w:divBdr>
                                                  <w:divsChild>
                                                    <w:div w:id="17844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295559">
      <w:bodyDiv w:val="1"/>
      <w:marLeft w:val="0"/>
      <w:marRight w:val="0"/>
      <w:marTop w:val="0"/>
      <w:marBottom w:val="0"/>
      <w:divBdr>
        <w:top w:val="none" w:sz="0" w:space="0" w:color="auto"/>
        <w:left w:val="none" w:sz="0" w:space="0" w:color="auto"/>
        <w:bottom w:val="none" w:sz="0" w:space="0" w:color="auto"/>
        <w:right w:val="none" w:sz="0" w:space="0" w:color="auto"/>
      </w:divBdr>
      <w:divsChild>
        <w:div w:id="876896130">
          <w:marLeft w:val="0"/>
          <w:marRight w:val="0"/>
          <w:marTop w:val="0"/>
          <w:marBottom w:val="0"/>
          <w:divBdr>
            <w:top w:val="none" w:sz="0" w:space="0" w:color="auto"/>
            <w:left w:val="none" w:sz="0" w:space="0" w:color="auto"/>
            <w:bottom w:val="none" w:sz="0" w:space="0" w:color="auto"/>
            <w:right w:val="none" w:sz="0" w:space="0" w:color="auto"/>
          </w:divBdr>
        </w:div>
        <w:div w:id="27101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05C8-DA07-44D5-AA9B-6C1D3F09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Australian Law Reform Commission: Elder Abuse Inquiry Issues Paper (IP47)</vt:lpstr>
    </vt:vector>
  </TitlesOfParts>
  <Company>Gerard Mansour</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Law Reform Commission: Elder Abuse Inquiry Issues Paper (IP47)</dc:title>
  <dc:subject>Submission</dc:subject>
  <dc:creator>alib2103</dc:creator>
  <cp:lastModifiedBy>marie-claire.muir</cp:lastModifiedBy>
  <cp:revision>2</cp:revision>
  <cp:lastPrinted>2016-08-31T07:16:00Z</cp:lastPrinted>
  <dcterms:created xsi:type="dcterms:W3CDTF">2016-09-19T00:53:00Z</dcterms:created>
  <dcterms:modified xsi:type="dcterms:W3CDTF">2016-09-19T00:53:00Z</dcterms:modified>
</cp:coreProperties>
</file>