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AC" w:rsidRPr="00BE15AC" w:rsidRDefault="00BE15AC" w:rsidP="00D9277C">
      <w:pPr>
        <w:pStyle w:val="Heading4"/>
      </w:pPr>
    </w:p>
    <w:p w:rsidR="0018033D" w:rsidRDefault="0018033D" w:rsidP="007568E7">
      <w:pPr>
        <w:pStyle w:val="Heading1"/>
        <w:spacing w:before="0"/>
        <w:jc w:val="center"/>
      </w:pPr>
    </w:p>
    <w:p w:rsidR="00733B35" w:rsidRDefault="001439C4" w:rsidP="007568E7">
      <w:pPr>
        <w:pStyle w:val="Heading1"/>
        <w:spacing w:before="0"/>
        <w:jc w:val="center"/>
      </w:pPr>
      <w:r>
        <w:t>Australian Law Reform Commission</w:t>
      </w:r>
    </w:p>
    <w:p w:rsidR="00733B35" w:rsidRPr="00733B35" w:rsidRDefault="00733B35" w:rsidP="00733B35"/>
    <w:p w:rsidR="00733B35" w:rsidRDefault="00CF7256" w:rsidP="00733B35">
      <w:pPr>
        <w:pStyle w:val="Heading1"/>
        <w:spacing w:before="0"/>
        <w:jc w:val="center"/>
        <w:rPr>
          <w:i/>
        </w:rPr>
      </w:pPr>
      <w:r>
        <w:t xml:space="preserve">Response </w:t>
      </w:r>
      <w:r w:rsidR="001439C4">
        <w:t>to the Issues Paper on Elder Abuse</w:t>
      </w:r>
    </w:p>
    <w:p w:rsidR="00355B75" w:rsidRDefault="00355B75" w:rsidP="00355B75"/>
    <w:p w:rsidR="00355B75" w:rsidRDefault="008141BB" w:rsidP="00355B75">
      <w:pPr>
        <w:pStyle w:val="Heading2"/>
      </w:pPr>
      <w:r>
        <w:t>The work of Relationships Australia</w:t>
      </w:r>
    </w:p>
    <w:p w:rsidR="0018033D" w:rsidRPr="0018033D" w:rsidRDefault="0018033D" w:rsidP="0018033D"/>
    <w:p w:rsidR="009F075B" w:rsidRDefault="009A66EC" w:rsidP="00174C67">
      <w:r w:rsidRPr="009A66EC">
        <w:t>This submission is written on behalf of Relationships Australia’s eight member organisations</w:t>
      </w:r>
      <w:r w:rsidR="00C50F32">
        <w:t>.</w:t>
      </w:r>
    </w:p>
    <w:p w:rsidR="00F0378C" w:rsidRDefault="00F0378C" w:rsidP="00F0378C">
      <w:r>
        <w:t>We are a community-based, not-for-profit Australian organisation with no religious affiliations. Our services are for all members of the community, regardless of religious belief, age, gender, sexual orientation, lifestyle choice, cultural background or economic circumstances.</w:t>
      </w:r>
    </w:p>
    <w:p w:rsidR="00F46180" w:rsidRDefault="009F075B" w:rsidP="00F46180">
      <w:r>
        <w:t>Relationships Australia pr</w:t>
      </w:r>
      <w:r w:rsidR="009A66EC">
        <w:t>ovide</w:t>
      </w:r>
      <w:r>
        <w:t>s</w:t>
      </w:r>
      <w:r w:rsidR="009A66EC">
        <w:t xml:space="preserve"> a range of</w:t>
      </w:r>
      <w:r w:rsidR="00393524">
        <w:t xml:space="preserve"> </w:t>
      </w:r>
      <w:r w:rsidR="009A66EC">
        <w:t>support</w:t>
      </w:r>
      <w:r w:rsidR="00F918B3">
        <w:t xml:space="preserve"> services</w:t>
      </w:r>
      <w:r w:rsidR="009A66EC">
        <w:t xml:space="preserve"> to Australian families, including counselling, dispute resolution, </w:t>
      </w:r>
      <w:r w:rsidR="00651270">
        <w:t>childre</w:t>
      </w:r>
      <w:r w:rsidR="009A66EC">
        <w:t>n’s services and relationship and professional education.</w:t>
      </w:r>
      <w:r w:rsidR="009C2190">
        <w:t xml:space="preserve">  </w:t>
      </w:r>
      <w:r w:rsidR="00F46180">
        <w:t>We aim to support all people in Australia to achieve positive and respectful relationships.</w:t>
      </w:r>
      <w:r w:rsidR="00BE1BAC" w:rsidRPr="00BE1BAC">
        <w:t xml:space="preserve"> </w:t>
      </w:r>
      <w:r w:rsidR="00BE1BAC">
        <w:t xml:space="preserve"> </w:t>
      </w:r>
      <w:r w:rsidR="00BE1BAC" w:rsidRPr="00BE1BAC">
        <w:t>We also believe that people have the capacity to change their behavio</w:t>
      </w:r>
      <w:r w:rsidR="00BE1BAC">
        <w:t>u</w:t>
      </w:r>
      <w:r w:rsidR="00BE1BAC" w:rsidRPr="00BE1BAC">
        <w:t>r and how they relate to others.</w:t>
      </w:r>
    </w:p>
    <w:p w:rsidR="004B5972" w:rsidRDefault="00EF66EB" w:rsidP="00BB2808">
      <w:r>
        <w:t>Relationships Australia has been a provider of family relationships su</w:t>
      </w:r>
      <w:r w:rsidR="00AE0040">
        <w:t>pport services for nearly 7</w:t>
      </w:r>
      <w:r w:rsidR="00366046">
        <w:t>0 </w:t>
      </w:r>
      <w:r>
        <w:t xml:space="preserve">years. </w:t>
      </w:r>
      <w:r w:rsidR="00366046">
        <w:t xml:space="preserve"> </w:t>
      </w:r>
      <w:r>
        <w:t xml:space="preserve">Relationships Australia State and Territory organisations, along with our consortium partners, operate </w:t>
      </w:r>
      <w:r w:rsidR="00BC1A3D">
        <w:t xml:space="preserve">one third of the 65 </w:t>
      </w:r>
      <w:r>
        <w:t>Family Relationship Centres across the country.</w:t>
      </w:r>
      <w:r w:rsidR="00366046">
        <w:t xml:space="preserve">  In addition, Relationships Australia Queensland </w:t>
      </w:r>
      <w:r w:rsidR="005E55FB">
        <w:t>is funded to operate</w:t>
      </w:r>
      <w:r w:rsidR="00366046">
        <w:t xml:space="preserve"> the Family Relationships Advice Line.</w:t>
      </w:r>
      <w:r w:rsidR="004B5972" w:rsidRPr="004B5972">
        <w:t xml:space="preserve"> </w:t>
      </w:r>
    </w:p>
    <w:p w:rsidR="0046619F" w:rsidRDefault="0046619F">
      <w:r w:rsidRPr="0046619F">
        <w:t xml:space="preserve">Relationships Australia </w:t>
      </w:r>
      <w:r>
        <w:t>organisations each provide</w:t>
      </w:r>
      <w:r w:rsidRPr="0046619F">
        <w:t xml:space="preserve"> a range of support services to people whose lives have been</w:t>
      </w:r>
      <w:r w:rsidR="00393524">
        <w:t>,</w:t>
      </w:r>
      <w:r w:rsidRPr="0046619F">
        <w:t xml:space="preserve"> or are being</w:t>
      </w:r>
      <w:r w:rsidR="00393524">
        <w:t>,</w:t>
      </w:r>
      <w:r w:rsidRPr="0046619F">
        <w:t xml:space="preserve"> affected by change, challenge, crisis</w:t>
      </w:r>
      <w:r w:rsidR="001439C4">
        <w:t>, violence</w:t>
      </w:r>
      <w:r w:rsidRPr="0046619F">
        <w:t xml:space="preserve"> and/or trauma.  </w:t>
      </w:r>
    </w:p>
    <w:p w:rsidR="00F820FD" w:rsidRDefault="002862D9" w:rsidP="00F820FD">
      <w:r>
        <w:t xml:space="preserve">The information in this submission </w:t>
      </w:r>
      <w:r w:rsidR="001439C4">
        <w:t xml:space="preserve">also </w:t>
      </w:r>
      <w:r>
        <w:t xml:space="preserve">reflects our </w:t>
      </w:r>
      <w:r w:rsidR="005E060E">
        <w:t xml:space="preserve">involvement with, and support of, clients </w:t>
      </w:r>
      <w:r w:rsidR="00E37171">
        <w:t xml:space="preserve">who have experienced </w:t>
      </w:r>
      <w:r w:rsidR="001439C4">
        <w:t>ageing-related family relationship issues, including elder abuse</w:t>
      </w:r>
      <w:r>
        <w:t>.  Our</w:t>
      </w:r>
      <w:r w:rsidR="00F820FD">
        <w:t xml:space="preserve"> comments are informed by listening to the experiences of clients, discussion with practitioners and service providers</w:t>
      </w:r>
      <w:r w:rsidR="00DD08CE">
        <w:t>, research</w:t>
      </w:r>
      <w:r w:rsidR="00F820FD">
        <w:t xml:space="preserve"> and reports. </w:t>
      </w:r>
    </w:p>
    <w:p w:rsidR="00D75948" w:rsidRDefault="00D75948" w:rsidP="009E7873">
      <w:r>
        <w:t>We</w:t>
      </w:r>
      <w:r w:rsidR="00A722B6">
        <w:t xml:space="preserve"> </w:t>
      </w:r>
      <w:r>
        <w:t xml:space="preserve">commend the </w:t>
      </w:r>
      <w:r w:rsidR="001439C4">
        <w:t xml:space="preserve">Law Reform </w:t>
      </w:r>
      <w:r>
        <w:t xml:space="preserve">Commission for acknowledging </w:t>
      </w:r>
      <w:r w:rsidR="0082624F">
        <w:t xml:space="preserve">the need for </w:t>
      </w:r>
      <w:r w:rsidR="00E37171">
        <w:t>improved responses to, and greater</w:t>
      </w:r>
      <w:r w:rsidR="0082624F">
        <w:t xml:space="preserve"> and longer-term support for </w:t>
      </w:r>
      <w:r w:rsidR="001439C4">
        <w:t>families affected by elder abuse</w:t>
      </w:r>
      <w:r w:rsidR="00991C5E">
        <w:t>.</w:t>
      </w:r>
      <w:r>
        <w:t xml:space="preserve">  </w:t>
      </w:r>
    </w:p>
    <w:p w:rsidR="00866539" w:rsidRDefault="00866539" w:rsidP="007627F1">
      <w:pPr>
        <w:pStyle w:val="Heading4"/>
      </w:pPr>
    </w:p>
    <w:p w:rsidR="001439C4" w:rsidRDefault="001439C4">
      <w:pPr>
        <w:rPr>
          <w:rFonts w:eastAsiaTheme="majorEastAsia" w:cstheme="majorBidi"/>
          <w:bCs/>
          <w:color w:val="00476D" w:themeColor="accent1"/>
          <w:sz w:val="26"/>
        </w:rPr>
      </w:pPr>
      <w:r>
        <w:br w:type="page"/>
      </w:r>
    </w:p>
    <w:p w:rsidR="00866539" w:rsidRDefault="00866539" w:rsidP="00EF15C3">
      <w:pPr>
        <w:pStyle w:val="Heading2"/>
      </w:pPr>
      <w:r>
        <w:lastRenderedPageBreak/>
        <w:t>Introduction</w:t>
      </w:r>
    </w:p>
    <w:p w:rsidR="00313ECF" w:rsidRPr="00313ECF" w:rsidRDefault="00313ECF" w:rsidP="00313ECF"/>
    <w:p w:rsidR="00EF15C3" w:rsidRDefault="001E3ABD" w:rsidP="00EF15C3">
      <w:r>
        <w:t>On 1 January 2016, Relationsh</w:t>
      </w:r>
      <w:r w:rsidR="00F80827">
        <w:t xml:space="preserve">ips Australia commenced a twelve month trial </w:t>
      </w:r>
      <w:r>
        <w:t>of an elder relationship service in six selected locations around Australia</w:t>
      </w:r>
      <w:r w:rsidR="00F80827">
        <w:t>.  The aim of the service is to</w:t>
      </w:r>
      <w:r w:rsidR="00EF15C3">
        <w:t xml:space="preserve"> support families to plan for future medical, health, financial or living arrangements and make decisions that protect the interests, rights and safety of all </w:t>
      </w:r>
      <w:r w:rsidR="00F80827">
        <w:t xml:space="preserve">family members.   Sites include urban and regional locations: Canberra ACT, Wagga </w:t>
      </w:r>
      <w:proofErr w:type="spellStart"/>
      <w:r w:rsidR="00F80827">
        <w:t>Wagga</w:t>
      </w:r>
      <w:proofErr w:type="spellEnd"/>
      <w:r w:rsidR="00F80827">
        <w:t xml:space="preserve"> NSW, Kew VIC, Adelaide SA, Launceston TAS and Moreton Bay QLD.  </w:t>
      </w:r>
    </w:p>
    <w:p w:rsidR="005778F1" w:rsidRDefault="00EF15C3" w:rsidP="00F80827">
      <w:r>
        <w:t xml:space="preserve">The service was developed in response to changing </w:t>
      </w:r>
      <w:proofErr w:type="spellStart"/>
      <w:r>
        <w:t>demographic</w:t>
      </w:r>
      <w:proofErr w:type="spellEnd"/>
      <w:r>
        <w:t>, health and social issues which have resulted in an ageing Australian population and increasi</w:t>
      </w:r>
      <w:r w:rsidR="00F80827">
        <w:t>ngly complex family structures.  People can attend the new service on their own, with their partner or extended family</w:t>
      </w:r>
      <w:r w:rsidR="005778F1">
        <w:t>,</w:t>
      </w:r>
      <w:r w:rsidR="00F80827">
        <w:t xml:space="preserve"> and are supported by qualified mediators, </w:t>
      </w:r>
      <w:proofErr w:type="spellStart"/>
      <w:r w:rsidR="005778F1">
        <w:t>pyschologists</w:t>
      </w:r>
      <w:proofErr w:type="spellEnd"/>
      <w:r w:rsidR="00F80827">
        <w:t xml:space="preserve"> and social workers who have been trained in delivering servi</w:t>
      </w:r>
      <w:r w:rsidR="005778F1">
        <w:t>c</w:t>
      </w:r>
      <w:r w:rsidR="00F80827">
        <w:t>es to older people.</w:t>
      </w:r>
      <w:r w:rsidR="005778F1">
        <w:t xml:space="preserve">  The service responds to the presenting needs of clients, and may include counselling, mediation, education and referral to specialist support services and legal advice.  A number of presentations to date have included elder abuse.</w:t>
      </w:r>
    </w:p>
    <w:p w:rsidR="001E3ABD" w:rsidRDefault="001E3ABD" w:rsidP="001E3ABD">
      <w:r>
        <w:t>Our early experience suggests that the current serv</w:t>
      </w:r>
      <w:r w:rsidR="005778F1">
        <w:t>ice system and policy frameworks</w:t>
      </w:r>
      <w:r>
        <w:t xml:space="preserve"> to prevent and respond to elder abuse are inadequate and fragmented.  We welcome the Australian Law Reform Commission’s issues paper and the opportunity to contribute to the design of a better system.</w:t>
      </w:r>
    </w:p>
    <w:p w:rsidR="00313ECF" w:rsidRDefault="00313ECF" w:rsidP="005778F1">
      <w:pPr>
        <w:pStyle w:val="Heading2"/>
      </w:pPr>
    </w:p>
    <w:p w:rsidR="005778F1" w:rsidRDefault="005778F1" w:rsidP="005778F1">
      <w:pPr>
        <w:pStyle w:val="Heading2"/>
      </w:pPr>
      <w:r>
        <w:t>Response to questions in the issues paper</w:t>
      </w:r>
    </w:p>
    <w:p w:rsidR="001E3ABD" w:rsidRDefault="001E3ABD" w:rsidP="005778F1">
      <w:pPr>
        <w:pStyle w:val="Heading3"/>
      </w:pPr>
      <w:r>
        <w:t>Questions 1 &amp; 2</w:t>
      </w:r>
    </w:p>
    <w:p w:rsidR="00F91EF3" w:rsidRPr="00F91EF3" w:rsidRDefault="00F91EF3" w:rsidP="00F91EF3"/>
    <w:p w:rsidR="00F91EF3" w:rsidRPr="00F91EF3" w:rsidRDefault="00F91EF3" w:rsidP="00F91EF3">
      <w:r>
        <w:t>Definitions</w:t>
      </w:r>
    </w:p>
    <w:p w:rsidR="001E3ABD" w:rsidRDefault="001E3ABD" w:rsidP="001E3ABD">
      <w:pPr>
        <w:pStyle w:val="ListParagraph"/>
        <w:numPr>
          <w:ilvl w:val="0"/>
          <w:numId w:val="16"/>
        </w:numPr>
        <w:spacing w:after="160" w:line="259" w:lineRule="auto"/>
      </w:pPr>
      <w:r>
        <w:t>We support an approach that protects human rights a</w:t>
      </w:r>
      <w:r w:rsidR="005778F1">
        <w:t>nd a definition that identifies</w:t>
      </w:r>
      <w:r>
        <w:t xml:space="preserve"> both the effect on the victim of abuse and the intention of the abuser.  When considering whether elder abuse should include negligence, we could look to other similar social issues whereby there are particular vulnerabilities, care relationships, and expectations of trust, such as in cases of child</w:t>
      </w:r>
      <w:r w:rsidR="005778F1">
        <w:t xml:space="preserve"> neglect.  We </w:t>
      </w:r>
      <w:r>
        <w:t>support the approach of many other</w:t>
      </w:r>
      <w:r w:rsidR="005778F1">
        <w:t xml:space="preserve"> international</w:t>
      </w:r>
      <w:r>
        <w:t xml:space="preserve"> jurisdictions to include failure to provide adequate care as an element of the definition, and would suggest that this broader definition reflects contemporary community standards.  We support the issues </w:t>
      </w:r>
      <w:r w:rsidR="005778F1">
        <w:t xml:space="preserve">paper’s acknowledgement that remedies </w:t>
      </w:r>
      <w:r>
        <w:t>should refl</w:t>
      </w:r>
      <w:r w:rsidR="005778F1">
        <w:t>ect the intentional</w:t>
      </w:r>
      <w:r>
        <w:t xml:space="preserve"> nature of the abuse. </w:t>
      </w:r>
    </w:p>
    <w:p w:rsidR="001E3ABD" w:rsidRDefault="001E3ABD" w:rsidP="001E3ABD">
      <w:pPr>
        <w:pStyle w:val="ListParagraph"/>
        <w:numPr>
          <w:ilvl w:val="0"/>
          <w:numId w:val="16"/>
        </w:numPr>
        <w:spacing w:after="160" w:line="259" w:lineRule="auto"/>
      </w:pPr>
      <w:r>
        <w:t>The definition should be consistent for informal and formal relationships, regardless of payment for services.  The definition could also be informed by relevant policy frameworks that exist in child protection and family violence where informal, formal, for-profit and not-for-profit relationships exist.</w:t>
      </w:r>
    </w:p>
    <w:p w:rsidR="001E3ABD" w:rsidRDefault="001E3ABD" w:rsidP="001E3ABD">
      <w:pPr>
        <w:pStyle w:val="ListParagraph"/>
        <w:numPr>
          <w:ilvl w:val="0"/>
          <w:numId w:val="16"/>
        </w:numPr>
        <w:spacing w:after="160" w:line="259" w:lineRule="auto"/>
      </w:pPr>
      <w:r>
        <w:t xml:space="preserve">The definition of elder abuse and regulation to prevent it should also be consistent across states and territories, including Powers of Attorney and guardianship.  Many of our clients </w:t>
      </w:r>
      <w:r>
        <w:lastRenderedPageBreak/>
        <w:t>are part of families that live across various state and territories and jurisdictional differences contribute to the complexity of responses</w:t>
      </w:r>
      <w:r w:rsidR="005778F1">
        <w:t xml:space="preserve"> and the ability of agencies to protect older people</w:t>
      </w:r>
      <w:r>
        <w:t>.</w:t>
      </w:r>
    </w:p>
    <w:p w:rsidR="001E3ABD" w:rsidRDefault="001E3ABD" w:rsidP="001E3ABD">
      <w:pPr>
        <w:pStyle w:val="ListParagraph"/>
        <w:numPr>
          <w:ilvl w:val="0"/>
          <w:numId w:val="16"/>
        </w:numPr>
        <w:spacing w:after="160" w:line="259" w:lineRule="auto"/>
      </w:pPr>
      <w:r>
        <w:t>We also support</w:t>
      </w:r>
      <w:r w:rsidR="005778F1">
        <w:t xml:space="preserve"> the establishment of</w:t>
      </w:r>
      <w:r>
        <w:t xml:space="preserve"> a single regulator with investigative powers</w:t>
      </w:r>
      <w:r w:rsidR="005778F1">
        <w:t>,</w:t>
      </w:r>
      <w:r>
        <w:t xml:space="preserve"> and redress that includes approaches that achieve the best possible outcomes for </w:t>
      </w:r>
      <w:r w:rsidR="005778F1">
        <w:t>o</w:t>
      </w:r>
      <w:r>
        <w:t>lder people and their families, including restorative approaches such as family group conferencing,</w:t>
      </w:r>
      <w:r w:rsidR="00F91EF3">
        <w:t xml:space="preserve"> apology,</w:t>
      </w:r>
      <w:r>
        <w:t xml:space="preserve"> restitution and criminal sanctions in serious cases of abuse.</w:t>
      </w:r>
    </w:p>
    <w:p w:rsidR="001E3ABD" w:rsidRDefault="001E3ABD" w:rsidP="001E3ABD">
      <w:r>
        <w:t>Abusers</w:t>
      </w:r>
    </w:p>
    <w:p w:rsidR="001E3ABD" w:rsidRDefault="001E3ABD" w:rsidP="001E3ABD">
      <w:pPr>
        <w:pStyle w:val="ListParagraph"/>
        <w:numPr>
          <w:ilvl w:val="0"/>
          <w:numId w:val="17"/>
        </w:numPr>
        <w:spacing w:after="160" w:line="259" w:lineRule="auto"/>
      </w:pPr>
      <w:r>
        <w:t>Our experience suggests that policy work in this area could be informed by the child protection and family violence systems.  For example, relevant frameworks for responding to elder abuse could look to develo</w:t>
      </w:r>
      <w:r w:rsidR="00F91EF3">
        <w:t>ping ‘elder’ safe organisations in the same way that child-safe organisations are created to protect vulnerable children.</w:t>
      </w:r>
    </w:p>
    <w:p w:rsidR="001E3ABD" w:rsidRDefault="001E3ABD" w:rsidP="001E3ABD">
      <w:pPr>
        <w:pStyle w:val="ListParagraph"/>
        <w:numPr>
          <w:ilvl w:val="0"/>
          <w:numId w:val="17"/>
        </w:numPr>
        <w:spacing w:after="160" w:line="259" w:lineRule="auto"/>
      </w:pPr>
      <w:r>
        <w:t>Where elder abuse differs markedly</w:t>
      </w:r>
      <w:r w:rsidR="00F91EF3">
        <w:t xml:space="preserve"> from other related social policy issues</w:t>
      </w:r>
      <w:r>
        <w:t xml:space="preserve"> is in the gendered nature of the abuse.  While we note that women are more likely to be the victims of elder abuse, and men the perpetrators, the gendered nature of elder abuse is not nearly as marked as for violence </w:t>
      </w:r>
      <w:r w:rsidR="00F91EF3">
        <w:t xml:space="preserve">and abuse </w:t>
      </w:r>
      <w:r>
        <w:t>at younger ages.  The current family violence sector is orientated (largely due to historical funding models</w:t>
      </w:r>
      <w:r w:rsidR="00F91EF3">
        <w:t xml:space="preserve"> and need</w:t>
      </w:r>
      <w:r>
        <w:t>) to provide services to women and children victims (</w:t>
      </w:r>
      <w:proofErr w:type="spellStart"/>
      <w:r>
        <w:t>eg</w:t>
      </w:r>
      <w:proofErr w:type="spellEnd"/>
      <w:r>
        <w:t xml:space="preserve"> crisis accommodation</w:t>
      </w:r>
      <w:r w:rsidR="00F91EF3">
        <w:t>, child protection</w:t>
      </w:r>
      <w:r>
        <w:t>) and we suggest that many of these services are ill-equipped to deal with, inadequately funded, and ina</w:t>
      </w:r>
      <w:r w:rsidR="00F91EF3">
        <w:t>ppropriate for, older people.  This is</w:t>
      </w:r>
      <w:r>
        <w:t xml:space="preserve"> particular</w:t>
      </w:r>
      <w:r w:rsidR="00F91EF3">
        <w:t>ly the case for male victims and female perpetrators.  Within the elder relationship service we have used approaches developed for family law services where the service model supports both male and female members of couples.</w:t>
      </w:r>
    </w:p>
    <w:p w:rsidR="001E3ABD" w:rsidRDefault="001E3ABD" w:rsidP="001E3ABD">
      <w:pPr>
        <w:pStyle w:val="ListParagraph"/>
        <w:numPr>
          <w:ilvl w:val="0"/>
          <w:numId w:val="17"/>
        </w:numPr>
        <w:spacing w:after="160" w:line="259" w:lineRule="auto"/>
      </w:pPr>
      <w:r>
        <w:t>We do not support an approach that allocates and arbitrary age to the definition of elder abuse.  In our pilot program, we defined the service by the existence of an ‘ageing related issue’ rather than the attainment of a particular age.</w:t>
      </w:r>
    </w:p>
    <w:p w:rsidR="00BC4B6E" w:rsidRDefault="00BC4B6E" w:rsidP="00F91EF3">
      <w:pPr>
        <w:pStyle w:val="Heading3"/>
      </w:pPr>
      <w:r>
        <w:t>Question 3</w:t>
      </w:r>
    </w:p>
    <w:p w:rsidR="00F91EF3" w:rsidRDefault="00BC4B6E" w:rsidP="00741EA5">
      <w:pPr>
        <w:pStyle w:val="ListParagraph"/>
        <w:numPr>
          <w:ilvl w:val="0"/>
          <w:numId w:val="14"/>
        </w:numPr>
      </w:pPr>
      <w:r>
        <w:t>Early presentations to the elder relationship service have included o</w:t>
      </w:r>
      <w:r w:rsidR="001E3ABD">
        <w:t>lder pe</w:t>
      </w:r>
      <w:r>
        <w:t>op</w:t>
      </w:r>
      <w:r w:rsidR="007115D1">
        <w:t xml:space="preserve">le from </w:t>
      </w:r>
      <w:r w:rsidR="00741EA5">
        <w:t xml:space="preserve">regional and </w:t>
      </w:r>
      <w:r w:rsidR="007115D1">
        <w:t xml:space="preserve">rural communities.  </w:t>
      </w:r>
      <w:r w:rsidR="00741EA5">
        <w:t>In these cases</w:t>
      </w:r>
      <w:r w:rsidR="009E6146">
        <w:t>,</w:t>
      </w:r>
      <w:r w:rsidR="00741EA5">
        <w:t xml:space="preserve"> the ability of the older person to exercise their rights and wishes </w:t>
      </w:r>
      <w:r w:rsidR="00F91EF3">
        <w:t>has been</w:t>
      </w:r>
      <w:r>
        <w:t xml:space="preserve"> complicated by the existence of mult</w:t>
      </w:r>
      <w:r w:rsidR="007115D1">
        <w:t>i</w:t>
      </w:r>
      <w:r>
        <w:t xml:space="preserve">-family households, expectations of entitlement to the family farm, </w:t>
      </w:r>
      <w:r w:rsidR="00741EA5">
        <w:t xml:space="preserve">complex financial arrangements, social </w:t>
      </w:r>
      <w:r>
        <w:t>isolation</w:t>
      </w:r>
      <w:r w:rsidR="007115D1">
        <w:t>, vulnerability of the older person</w:t>
      </w:r>
      <w:r>
        <w:t xml:space="preserve"> and </w:t>
      </w:r>
      <w:r w:rsidR="007115D1">
        <w:t>poor communication between family members</w:t>
      </w:r>
      <w:r w:rsidR="00F91EF3">
        <w:t xml:space="preserve"> (see, for example </w:t>
      </w:r>
      <w:r w:rsidR="007C6A15">
        <w:t>case studies</w:t>
      </w:r>
      <w:r w:rsidR="00741EA5">
        <w:t xml:space="preserve"> 3</w:t>
      </w:r>
      <w:r w:rsidR="007C6A15">
        <w:t xml:space="preserve"> &amp; 8</w:t>
      </w:r>
      <w:r w:rsidR="00741EA5">
        <w:t>)</w:t>
      </w:r>
      <w:r w:rsidR="007115D1">
        <w:t>.</w:t>
      </w:r>
      <w:r w:rsidR="009E6146" w:rsidRPr="009E6146">
        <w:t xml:space="preserve"> </w:t>
      </w:r>
      <w:r w:rsidR="009E6146">
        <w:t xml:space="preserve"> </w:t>
      </w:r>
    </w:p>
    <w:p w:rsidR="00963A7C" w:rsidRDefault="009E6146" w:rsidP="00741EA5">
      <w:pPr>
        <w:pStyle w:val="ListParagraph"/>
        <w:numPr>
          <w:ilvl w:val="0"/>
          <w:numId w:val="14"/>
        </w:numPr>
      </w:pPr>
      <w:r>
        <w:t xml:space="preserve">While cases to date demonstrate how difficult it can be to engage all the parties in multifamily </w:t>
      </w:r>
      <w:r w:rsidR="00963A7C">
        <w:t xml:space="preserve">situations, early </w:t>
      </w:r>
      <w:proofErr w:type="spellStart"/>
      <w:r w:rsidR="00963A7C">
        <w:t>learnings</w:t>
      </w:r>
      <w:proofErr w:type="spellEnd"/>
      <w:r w:rsidR="00963A7C">
        <w:t xml:space="preserve"> also point to the services ability to empower family members</w:t>
      </w:r>
      <w:r>
        <w:t xml:space="preserve"> to tackle family conflict where members of the family won’t come in to the service</w:t>
      </w:r>
      <w:r w:rsidR="00963A7C">
        <w:t>.</w:t>
      </w:r>
    </w:p>
    <w:p w:rsidR="00F91EF3" w:rsidRDefault="007115D1" w:rsidP="00F91EF3">
      <w:pPr>
        <w:pStyle w:val="ListParagraph"/>
        <w:numPr>
          <w:ilvl w:val="0"/>
          <w:numId w:val="14"/>
        </w:numPr>
      </w:pPr>
      <w:r>
        <w:t>Clients from culturally and linguistically diverse communities have raised issues consistent with the observations in the issues paper, including male dominated cultural expectations, and vulnerabilities of elderly women due to language barriers and inexperience in navigating the Australian financial and social security systems.</w:t>
      </w:r>
      <w:r w:rsidR="00F91EF3">
        <w:t xml:space="preserve">  Where there has been a history of family violence, we observe intergenerational transfer that results in the abuse of mothers by sons at older ages.</w:t>
      </w:r>
    </w:p>
    <w:p w:rsidR="007115D1" w:rsidRDefault="007115D1" w:rsidP="005778F1">
      <w:pPr>
        <w:pStyle w:val="ListParagraph"/>
        <w:numPr>
          <w:ilvl w:val="0"/>
          <w:numId w:val="14"/>
        </w:numPr>
      </w:pPr>
      <w:r>
        <w:lastRenderedPageBreak/>
        <w:t xml:space="preserve">With respect to lesbian, gay, </w:t>
      </w:r>
      <w:proofErr w:type="spellStart"/>
      <w:r>
        <w:t>bisexusal</w:t>
      </w:r>
      <w:proofErr w:type="spellEnd"/>
      <w:r>
        <w:t xml:space="preserve">, transgender or intersex people, we </w:t>
      </w:r>
      <w:r w:rsidR="00741EA5">
        <w:t xml:space="preserve">also </w:t>
      </w:r>
      <w:r>
        <w:t xml:space="preserve">expect family conflict to arise where adult children do not respect the </w:t>
      </w:r>
      <w:r w:rsidR="00F91EF3">
        <w:t xml:space="preserve">partner </w:t>
      </w:r>
      <w:r>
        <w:t>relationships</w:t>
      </w:r>
      <w:r w:rsidR="00741EA5">
        <w:t xml:space="preserve"> and wishes of their parent</w:t>
      </w:r>
      <w:r>
        <w:t xml:space="preserve"> when financial and end of life decisions need to be made.</w:t>
      </w:r>
    </w:p>
    <w:p w:rsidR="005E11E7" w:rsidRDefault="00741EA5" w:rsidP="00F91EF3">
      <w:pPr>
        <w:pStyle w:val="Heading3"/>
      </w:pPr>
      <w:r>
        <w:t xml:space="preserve">Question 4 </w:t>
      </w:r>
    </w:p>
    <w:p w:rsidR="00741EA5" w:rsidRDefault="00741EA5" w:rsidP="00831A2D">
      <w:pPr>
        <w:pStyle w:val="ListParagraph"/>
        <w:numPr>
          <w:ilvl w:val="0"/>
          <w:numId w:val="20"/>
        </w:numPr>
      </w:pPr>
      <w:r>
        <w:t xml:space="preserve">We support a national collection of prevalence data, noting that elder abuse occurs on a spectrum and a robust definition is </w:t>
      </w:r>
      <w:r w:rsidR="00831A2D">
        <w:t>needed.  It is li</w:t>
      </w:r>
      <w:r w:rsidR="00DC134E">
        <w:t xml:space="preserve">kely that the difficulties in </w:t>
      </w:r>
      <w:r w:rsidR="00831A2D">
        <w:t xml:space="preserve">collecting family violence data for younger cohorts are likely to be evident in </w:t>
      </w:r>
      <w:r w:rsidR="00DC134E">
        <w:t xml:space="preserve">collecting data for older populations.  However, it is also likely that there will be difficultly eliciting disclosure due to </w:t>
      </w:r>
      <w:r w:rsidR="00831A2D">
        <w:t xml:space="preserve">outdated views </w:t>
      </w:r>
      <w:r w:rsidR="00DC134E">
        <w:t>of</w:t>
      </w:r>
      <w:r w:rsidR="00831A2D">
        <w:t xml:space="preserve"> relationships and the specific vulnerabilities of older people.</w:t>
      </w:r>
    </w:p>
    <w:p w:rsidR="00831A2D" w:rsidRDefault="00831A2D" w:rsidP="00831A2D">
      <w:pPr>
        <w:pStyle w:val="ListParagraph"/>
        <w:numPr>
          <w:ilvl w:val="0"/>
          <w:numId w:val="22"/>
        </w:numPr>
      </w:pPr>
      <w:r>
        <w:t>We also support studies that evaluate the effectiveness of intervention and prevention strategies.</w:t>
      </w:r>
    </w:p>
    <w:p w:rsidR="00DC134E" w:rsidRDefault="00DC134E" w:rsidP="00831A2D">
      <w:pPr>
        <w:pStyle w:val="ListParagraph"/>
        <w:numPr>
          <w:ilvl w:val="0"/>
          <w:numId w:val="22"/>
        </w:numPr>
      </w:pPr>
      <w:r>
        <w:t>We do not think that prevalence will be adequately measured by elder abuse hotline reporting.</w:t>
      </w:r>
    </w:p>
    <w:p w:rsidR="00831A2D" w:rsidRDefault="00831A2D" w:rsidP="00313ECF">
      <w:pPr>
        <w:pStyle w:val="Heading3"/>
      </w:pPr>
      <w:r>
        <w:t>Question 11</w:t>
      </w:r>
    </w:p>
    <w:p w:rsidR="00831A2D" w:rsidRDefault="00831A2D" w:rsidP="00831A2D">
      <w:pPr>
        <w:pStyle w:val="ListParagraph"/>
        <w:numPr>
          <w:ilvl w:val="0"/>
          <w:numId w:val="22"/>
        </w:numPr>
      </w:pPr>
      <w:r>
        <w:t>We note the observations of the issues paper.  The elder relationship service has also observed elder abuse in retirement villages where the governing/body corporate has coerced and intimidated residents.</w:t>
      </w:r>
    </w:p>
    <w:p w:rsidR="00831A2D" w:rsidRDefault="00831A2D" w:rsidP="00DC134E">
      <w:pPr>
        <w:pStyle w:val="Heading3"/>
      </w:pPr>
      <w:r>
        <w:t>Question</w:t>
      </w:r>
      <w:r w:rsidR="00D6672E">
        <w:t>s</w:t>
      </w:r>
      <w:r>
        <w:t xml:space="preserve"> 12</w:t>
      </w:r>
      <w:r w:rsidR="00D6672E">
        <w:t>, 13 &amp; 14</w:t>
      </w:r>
    </w:p>
    <w:p w:rsidR="00831A2D" w:rsidRDefault="00D6672E" w:rsidP="00513D82">
      <w:pPr>
        <w:pStyle w:val="ListParagraph"/>
        <w:numPr>
          <w:ilvl w:val="0"/>
          <w:numId w:val="22"/>
        </w:numPr>
      </w:pPr>
      <w:r>
        <w:t>Our stakeho</w:t>
      </w:r>
      <w:r w:rsidR="00DC134E">
        <w:t>lder conversations have alluded to</w:t>
      </w:r>
      <w:r>
        <w:t xml:space="preserve"> the potential of the existing health and community service sector in helping to identify elder abuse.  Services that come in contact with older people at risk of abuse could include age care assessment teams, GPs, Pharmacists, Human Services and community support organisations such as mental health</w:t>
      </w:r>
      <w:r w:rsidR="008E2BFB">
        <w:t>, housing</w:t>
      </w:r>
      <w:r>
        <w:t xml:space="preserve"> and </w:t>
      </w:r>
      <w:r w:rsidR="008E2BFB">
        <w:t xml:space="preserve">carer </w:t>
      </w:r>
      <w:r>
        <w:t>services</w:t>
      </w:r>
      <w:r w:rsidR="00CC3289">
        <w:t xml:space="preserve"> (for example see case 8)</w:t>
      </w:r>
      <w:r>
        <w:t>.  At present,</w:t>
      </w:r>
      <w:r w:rsidR="008E2BFB">
        <w:t xml:space="preserve"> many service providers show</w:t>
      </w:r>
      <w:r>
        <w:t xml:space="preserve"> a lack of confidence, skills and information</w:t>
      </w:r>
      <w:r w:rsidR="00DC134E">
        <w:t xml:space="preserve"> to assist them</w:t>
      </w:r>
      <w:r>
        <w:t xml:space="preserve"> in approaching</w:t>
      </w:r>
      <w:r w:rsidR="008E2BFB">
        <w:t xml:space="preserve"> and dealing with</w:t>
      </w:r>
      <w:r>
        <w:t xml:space="preserve"> issues of elder abuse.  This is compounded by a lack of referral pathways, and primary and tertiary services with specific skills in supporting people affected by elder abuse.</w:t>
      </w:r>
    </w:p>
    <w:p w:rsidR="008E2BFB" w:rsidRDefault="00DC134E" w:rsidP="00513D82">
      <w:pPr>
        <w:pStyle w:val="ListParagraph"/>
        <w:numPr>
          <w:ilvl w:val="0"/>
          <w:numId w:val="22"/>
        </w:numPr>
      </w:pPr>
      <w:r>
        <w:t>In our experience in supporting</w:t>
      </w:r>
      <w:r w:rsidR="008E2BFB">
        <w:t xml:space="preserve"> </w:t>
      </w:r>
      <w:r>
        <w:t xml:space="preserve">families affected by </w:t>
      </w:r>
      <w:r w:rsidR="008E2BFB">
        <w:t>family violence, there are usually people in the formal and informal networks a</w:t>
      </w:r>
      <w:r>
        <w:t>round the ‘at risk’ person who</w:t>
      </w:r>
      <w:r w:rsidR="008E2BFB">
        <w:t xml:space="preserve"> know, or have suspicions about violence and abuse.  </w:t>
      </w:r>
      <w:r>
        <w:t>For example, i</w:t>
      </w:r>
      <w:r w:rsidR="00473225">
        <w:t>n a survey conducted by Relatio</w:t>
      </w:r>
      <w:r>
        <w:t>nships Australia in January 2016</w:t>
      </w:r>
      <w:r w:rsidR="00473225">
        <w:t xml:space="preserve">, almost one-third of respondents indicated that they had </w:t>
      </w:r>
      <w:r w:rsidR="00830E7A">
        <w:t xml:space="preserve">concerns relating to the abuse of an elderly relative or neighbour (see </w:t>
      </w:r>
      <w:hyperlink r:id="rId8" w:history="1">
        <w:r w:rsidR="00830E7A" w:rsidRPr="003F185B">
          <w:rPr>
            <w:rStyle w:val="Hyperlink"/>
          </w:rPr>
          <w:t>www.relationships.org.au</w:t>
        </w:r>
      </w:hyperlink>
      <w:r w:rsidR="00830E7A">
        <w:t xml:space="preserve">).  </w:t>
      </w:r>
      <w:r w:rsidR="008E2BFB">
        <w:t xml:space="preserve">The challenge for policy makers is to create an environment to support </w:t>
      </w:r>
      <w:r>
        <w:t>and encourage people to</w:t>
      </w:r>
      <w:r w:rsidR="008E2BFB">
        <w:t xml:space="preserve"> report to the appropriate service or authority.</w:t>
      </w:r>
    </w:p>
    <w:p w:rsidR="004C01ED" w:rsidRDefault="004C01ED" w:rsidP="00513D82">
      <w:pPr>
        <w:pStyle w:val="ListParagraph"/>
        <w:numPr>
          <w:ilvl w:val="0"/>
          <w:numId w:val="22"/>
        </w:numPr>
      </w:pPr>
      <w:r>
        <w:t xml:space="preserve">Family relationship services can also provide a ‘safe-space’ in which people </w:t>
      </w:r>
      <w:proofErr w:type="gramStart"/>
      <w:r>
        <w:t>are</w:t>
      </w:r>
      <w:proofErr w:type="gramEnd"/>
      <w:r>
        <w:t xml:space="preserve"> comfortable discussing concerns relating to abuse.  Where the service identifies safety concerns, existing procedures </w:t>
      </w:r>
      <w:r w:rsidR="002641A7">
        <w:t xml:space="preserve">for families affected by violence </w:t>
      </w:r>
      <w:r>
        <w:t xml:space="preserve">would ensure </w:t>
      </w:r>
      <w:r w:rsidR="002641A7">
        <w:t>appropriate reports are made.</w:t>
      </w:r>
    </w:p>
    <w:p w:rsidR="008E2BFB" w:rsidRDefault="008E2BFB" w:rsidP="00B541FC">
      <w:pPr>
        <w:pStyle w:val="ListParagraph"/>
        <w:numPr>
          <w:ilvl w:val="0"/>
          <w:numId w:val="22"/>
        </w:numPr>
      </w:pPr>
      <w:r>
        <w:t xml:space="preserve">The best outcomes for victims would be achieved by a single regulatory/investigative body and a nationally consistent policy framework.  This framework could be informed by policy work in other related areas, including </w:t>
      </w:r>
      <w:r w:rsidR="007B632F">
        <w:t xml:space="preserve">standards for creating </w:t>
      </w:r>
      <w:r>
        <w:t>‘elder’ safe organisations, quality accreditation standards for children’s services, family violence</w:t>
      </w:r>
      <w:r w:rsidR="007B632F">
        <w:t xml:space="preserve"> and disability services</w:t>
      </w:r>
      <w:r>
        <w:t>.</w:t>
      </w:r>
    </w:p>
    <w:p w:rsidR="007B632F" w:rsidRDefault="007B632F" w:rsidP="00DC134E">
      <w:pPr>
        <w:pStyle w:val="Heading3"/>
      </w:pPr>
      <w:r>
        <w:lastRenderedPageBreak/>
        <w:t>Question 18 &amp; 19</w:t>
      </w:r>
    </w:p>
    <w:p w:rsidR="007B632F" w:rsidRDefault="007B632F" w:rsidP="007B632F">
      <w:pPr>
        <w:pStyle w:val="ListParagraph"/>
        <w:numPr>
          <w:ilvl w:val="0"/>
          <w:numId w:val="23"/>
        </w:numPr>
      </w:pPr>
      <w:r>
        <w:t>We support an improved complaints system but note that in many situations older people will not have the skills, capacity or will to report abuse.</w:t>
      </w:r>
    </w:p>
    <w:p w:rsidR="007B632F" w:rsidRDefault="007B632F" w:rsidP="00313ECF">
      <w:pPr>
        <w:pStyle w:val="Heading3"/>
      </w:pPr>
      <w:r>
        <w:t>Question 20</w:t>
      </w:r>
    </w:p>
    <w:p w:rsidR="007B632F" w:rsidRDefault="007B632F" w:rsidP="007B632F">
      <w:pPr>
        <w:pStyle w:val="ListParagraph"/>
        <w:numPr>
          <w:ilvl w:val="0"/>
          <w:numId w:val="23"/>
        </w:numPr>
      </w:pPr>
      <w:r>
        <w:t>As</w:t>
      </w:r>
      <w:r w:rsidR="009D103E">
        <w:t xml:space="preserve"> discussed</w:t>
      </w:r>
      <w:r>
        <w:t xml:space="preserve"> above at question 12, with an appropriate policy framework, aged care services and schemes are well-placed to identify elder abuse.</w:t>
      </w:r>
    </w:p>
    <w:p w:rsidR="007B632F" w:rsidRDefault="007B632F" w:rsidP="007B632F">
      <w:pPr>
        <w:pStyle w:val="ListParagraph"/>
        <w:numPr>
          <w:ilvl w:val="0"/>
          <w:numId w:val="23"/>
        </w:numPr>
      </w:pPr>
      <w:r>
        <w:t>We would also support additional services to support carers.  A key</w:t>
      </w:r>
      <w:r w:rsidR="00EF119E">
        <w:t xml:space="preserve"> feature of </w:t>
      </w:r>
      <w:r>
        <w:t>cases of elder abuse present</w:t>
      </w:r>
      <w:r w:rsidR="00EF119E">
        <w:t>ing at our services is an adult child/parent care</w:t>
      </w:r>
      <w:r>
        <w:t xml:space="preserve"> relationship.  Many of these carers are suffering their own </w:t>
      </w:r>
      <w:r w:rsidR="00EF119E">
        <w:t xml:space="preserve">financial, </w:t>
      </w:r>
      <w:r>
        <w:t>mental and phys</w:t>
      </w:r>
      <w:r w:rsidR="00EF119E">
        <w:t xml:space="preserve">ical health issues due to the significant burden of their </w:t>
      </w:r>
      <w:r>
        <w:t>caring role</w:t>
      </w:r>
      <w:r w:rsidR="00EF119E">
        <w:t xml:space="preserve"> (see for example case 6</w:t>
      </w:r>
      <w:r w:rsidR="009D103E">
        <w:t xml:space="preserve"> below</w:t>
      </w:r>
      <w:r w:rsidR="00EF119E">
        <w:t>)</w:t>
      </w:r>
      <w:r>
        <w:t>.</w:t>
      </w:r>
      <w:r w:rsidR="00EF119E">
        <w:t xml:space="preserve">  Our service has been able to provide additional supports to carers through referrals to community support organisations</w:t>
      </w:r>
      <w:r w:rsidR="009D103E">
        <w:t>,</w:t>
      </w:r>
      <w:r w:rsidR="00EF119E">
        <w:t xml:space="preserve"> and facilitating family meetings to encourage</w:t>
      </w:r>
      <w:r w:rsidR="00DC134E">
        <w:t xml:space="preserve"> other family members to assist with</w:t>
      </w:r>
      <w:r w:rsidR="00EF119E">
        <w:t xml:space="preserve"> care.</w:t>
      </w:r>
      <w:r w:rsidR="009D103E">
        <w:t xml:space="preserve">  Services that provide additional supports to people in caring roles could be significant in preventing elder abuse, particularly in relation to neglect.</w:t>
      </w:r>
    </w:p>
    <w:p w:rsidR="009D103E" w:rsidRDefault="009D103E" w:rsidP="00DC134E">
      <w:pPr>
        <w:pStyle w:val="Heading3"/>
      </w:pPr>
      <w:r>
        <w:t>Questions 24 &amp; 25</w:t>
      </w:r>
    </w:p>
    <w:p w:rsidR="009D103E" w:rsidRDefault="009D103E" w:rsidP="009D103E">
      <w:pPr>
        <w:pStyle w:val="ListParagraph"/>
        <w:numPr>
          <w:ilvl w:val="0"/>
          <w:numId w:val="24"/>
        </w:numPr>
      </w:pPr>
      <w:r>
        <w:t>Our service has identified instances of older people being coerced and abused in relation to retirement savings and bank accounts.  In these case</w:t>
      </w:r>
      <w:r w:rsidR="00DC134E">
        <w:t>s the perpetrator is usually an</w:t>
      </w:r>
      <w:r>
        <w:t xml:space="preserve"> adult child.</w:t>
      </w:r>
    </w:p>
    <w:p w:rsidR="009D103E" w:rsidRDefault="009D103E" w:rsidP="009D103E">
      <w:pPr>
        <w:pStyle w:val="ListParagraph"/>
        <w:numPr>
          <w:ilvl w:val="0"/>
          <w:numId w:val="24"/>
        </w:numPr>
      </w:pPr>
      <w:r>
        <w:t>While additional legal safeguards may be put in place, clients presenting at our services are unlikely to access civil or criminal remedies as they do not want to damage their family relationships.  This is particularly the cas</w:t>
      </w:r>
      <w:r w:rsidR="00DC134E">
        <w:t>e where the older person(s) relies</w:t>
      </w:r>
      <w:r>
        <w:t xml:space="preserve"> on their adult child for care, or envisage they may do so in the future.  These situations suggest a role for restorative processes that achieve outcomes for older victims and preserve or improve family relationships that need to endure past the financial abuse.</w:t>
      </w:r>
    </w:p>
    <w:p w:rsidR="004C01ED" w:rsidRDefault="004C01ED" w:rsidP="009D103E">
      <w:pPr>
        <w:pStyle w:val="ListParagraph"/>
        <w:numPr>
          <w:ilvl w:val="0"/>
          <w:numId w:val="24"/>
        </w:numPr>
      </w:pPr>
      <w:r>
        <w:t>We also note situations where the capacity of the older person contributes to the opportunity for abuse.  For example, medical diagnosis of Alzheimer’s disease can take many year</w:t>
      </w:r>
      <w:r w:rsidR="00DC134E">
        <w:t>s.  In the intervening period it</w:t>
      </w:r>
      <w:r>
        <w:t xml:space="preserve"> may be difficult to determine the capacity of the older person and this may also be the period in which Powers of Attorney are assigned and financial abuse takes place.</w:t>
      </w:r>
    </w:p>
    <w:p w:rsidR="004C01ED" w:rsidRDefault="004C01ED" w:rsidP="009D103E">
      <w:pPr>
        <w:pStyle w:val="ListParagraph"/>
        <w:numPr>
          <w:ilvl w:val="0"/>
          <w:numId w:val="24"/>
        </w:numPr>
      </w:pPr>
      <w:r>
        <w:t>We support increased education of staff in the banking sector to identify and respond to elder abuse.</w:t>
      </w:r>
    </w:p>
    <w:p w:rsidR="004C01ED" w:rsidRDefault="004C01ED" w:rsidP="00DC134E">
      <w:pPr>
        <w:pStyle w:val="Heading3"/>
      </w:pPr>
      <w:r>
        <w:t>Question 26</w:t>
      </w:r>
    </w:p>
    <w:p w:rsidR="004C01ED" w:rsidRDefault="004C01ED" w:rsidP="004C01ED">
      <w:pPr>
        <w:pStyle w:val="ListParagraph"/>
        <w:numPr>
          <w:ilvl w:val="0"/>
          <w:numId w:val="25"/>
        </w:numPr>
      </w:pPr>
      <w:r>
        <w:t>As discussed above, we support a national consistent policy framework and single regulator.  The regulator could have powers to refer clients to alternative dispute resolution and restorative processes</w:t>
      </w:r>
      <w:r w:rsidR="002641A7">
        <w:t xml:space="preserve"> that could assist in improving outcomes for older people and preserving and enhancing relationships</w:t>
      </w:r>
      <w:r>
        <w:t>.</w:t>
      </w:r>
    </w:p>
    <w:p w:rsidR="002641A7" w:rsidRDefault="002641A7" w:rsidP="004C01ED">
      <w:pPr>
        <w:pStyle w:val="ListParagraph"/>
        <w:numPr>
          <w:ilvl w:val="0"/>
          <w:numId w:val="25"/>
        </w:numPr>
      </w:pPr>
      <w:r>
        <w:t>Our services have established procedures for reporting safety concerns.  Clients are informed at intake that reports will be made if the service identifies a person at risk of safety from violence or abuse.  Mandated reporting would not increase the number or quality of these reports.</w:t>
      </w:r>
    </w:p>
    <w:p w:rsidR="002641A7" w:rsidRDefault="002641A7" w:rsidP="00DC134E">
      <w:pPr>
        <w:pStyle w:val="Heading3"/>
      </w:pPr>
      <w:r>
        <w:lastRenderedPageBreak/>
        <w:t>Question 27</w:t>
      </w:r>
    </w:p>
    <w:p w:rsidR="002641A7" w:rsidRDefault="00963A7C" w:rsidP="002641A7">
      <w:pPr>
        <w:pStyle w:val="ListParagraph"/>
        <w:numPr>
          <w:ilvl w:val="0"/>
          <w:numId w:val="26"/>
        </w:numPr>
      </w:pPr>
      <w:r>
        <w:t>One of the key aims of Relationships Australia’s</w:t>
      </w:r>
      <w:r w:rsidR="002641A7">
        <w:t xml:space="preserve"> elder relationship service is to help families </w:t>
      </w:r>
      <w:r w:rsidR="00473225">
        <w:t xml:space="preserve">have difficult conversations and </w:t>
      </w:r>
      <w:r w:rsidR="002641A7">
        <w:t xml:space="preserve">come to </w:t>
      </w:r>
      <w:r>
        <w:t>agreement</w:t>
      </w:r>
      <w:r w:rsidR="002641A7">
        <w:t>.  The service can also assist decision-making, conflict resolution and agreement between parties in formal arrangements such as in aged care facilities.</w:t>
      </w:r>
      <w:r w:rsidR="00473225">
        <w:t xml:space="preserve">  It is our experience that agreements made in this way are less likely to break-down</w:t>
      </w:r>
      <w:r>
        <w:t>,</w:t>
      </w:r>
      <w:r w:rsidR="00473225">
        <w:t xml:space="preserve"> and result in harm and</w:t>
      </w:r>
      <w:r w:rsidR="00DC134E">
        <w:t xml:space="preserve"> future</w:t>
      </w:r>
      <w:r w:rsidR="00473225">
        <w:t xml:space="preserve"> litigation.</w:t>
      </w:r>
    </w:p>
    <w:p w:rsidR="00963A7C" w:rsidRPr="00963A7C" w:rsidRDefault="002641A7" w:rsidP="00830E7A">
      <w:pPr>
        <w:pStyle w:val="ListParagraph"/>
        <w:numPr>
          <w:ilvl w:val="0"/>
          <w:numId w:val="26"/>
        </w:numPr>
      </w:pPr>
      <w:r>
        <w:t>In a number of cases to date, conflict and elder abus</w:t>
      </w:r>
      <w:r w:rsidR="00963A7C">
        <w:t>e has arisen due to an</w:t>
      </w:r>
      <w:r>
        <w:t xml:space="preserve"> agreement brea</w:t>
      </w:r>
      <w:r w:rsidR="00473225">
        <w:t>king down or misunderstanding, but often the situation has arisen due to poor communication or that an agreem</w:t>
      </w:r>
      <w:r w:rsidR="00830E7A">
        <w:t>ent was never discussed or made</w:t>
      </w:r>
      <w:r w:rsidR="00963A7C">
        <w:t xml:space="preserve"> at the outset</w:t>
      </w:r>
      <w:r w:rsidR="00830E7A">
        <w:t xml:space="preserve"> </w:t>
      </w:r>
      <w:r w:rsidR="00473225">
        <w:t>(</w:t>
      </w:r>
      <w:r w:rsidR="00963A7C">
        <w:t>f</w:t>
      </w:r>
      <w:r w:rsidR="00473225">
        <w:t>or example see case study 1 &amp; 5)</w:t>
      </w:r>
      <w:r w:rsidR="00830E7A">
        <w:t xml:space="preserve">. </w:t>
      </w:r>
      <w:r w:rsidR="00830E7A" w:rsidRPr="00830E7A">
        <w:rPr>
          <w:i/>
        </w:rPr>
        <w:t xml:space="preserve"> </w:t>
      </w:r>
    </w:p>
    <w:p w:rsidR="007B632F" w:rsidRDefault="00473225" w:rsidP="00473225">
      <w:pPr>
        <w:pStyle w:val="ListParagraph"/>
        <w:numPr>
          <w:ilvl w:val="0"/>
          <w:numId w:val="26"/>
        </w:numPr>
      </w:pPr>
      <w:r>
        <w:t xml:space="preserve">For example, in a survey conducted by Relationships Australia in May 2016, less than 50 per cent of respondents reported having a will.  Of those who had a written will, one quarter had not discussed it with their family (see www.relationships.org.au). </w:t>
      </w:r>
    </w:p>
    <w:p w:rsidR="00963A7C" w:rsidRDefault="00963A7C" w:rsidP="00963A7C">
      <w:pPr>
        <w:pStyle w:val="ListParagraph"/>
        <w:numPr>
          <w:ilvl w:val="0"/>
          <w:numId w:val="26"/>
        </w:numPr>
      </w:pPr>
      <w:r>
        <w:t>These case studies illustrate</w:t>
      </w:r>
      <w:r w:rsidR="00DC134E">
        <w:t xml:space="preserve"> poor outcomes for older people as a result of family relationship breakdown.  T</w:t>
      </w:r>
      <w:r w:rsidR="00501A1B">
        <w:t xml:space="preserve">he breakdown of </w:t>
      </w:r>
      <w:r>
        <w:t>agreements can lead to financial distress for older people, social security dependence and delayed retirement.  It can also lead to family conflict and relationship breakdown for the parent’s relationship.  In many cases, parents are unlikely to seek legal remedies, preferring restorative processes such as repayment plans, acknowledgement of wrongdoing and apology when help is sought.</w:t>
      </w:r>
    </w:p>
    <w:p w:rsidR="00963A7C" w:rsidRDefault="00963A7C" w:rsidP="00501A1B">
      <w:pPr>
        <w:pStyle w:val="Heading3"/>
      </w:pPr>
      <w:r>
        <w:t>Question</w:t>
      </w:r>
      <w:r w:rsidR="00A9752A">
        <w:t xml:space="preserve"> </w:t>
      </w:r>
      <w:r w:rsidR="004E0BD4">
        <w:t>28</w:t>
      </w:r>
    </w:p>
    <w:p w:rsidR="004E0BD4" w:rsidRDefault="004E0BD4" w:rsidP="004E0BD4">
      <w:pPr>
        <w:pStyle w:val="ListParagraph"/>
        <w:numPr>
          <w:ilvl w:val="0"/>
          <w:numId w:val="28"/>
        </w:numPr>
      </w:pPr>
      <w:r>
        <w:t>We note the issue paper’s discussion of the cost, time and stress involved in pursuing many of the remedies currently available.  We support the increased powers of tribunals and an increased range of alternative dispute resolution and support services to assist people to resolve disputes and make agreements.</w:t>
      </w:r>
    </w:p>
    <w:p w:rsidR="004E0BD4" w:rsidRDefault="005D1302" w:rsidP="00501A1B">
      <w:pPr>
        <w:pStyle w:val="Heading3"/>
      </w:pPr>
      <w:r>
        <w:t>Questions 29 -</w:t>
      </w:r>
      <w:r w:rsidR="004E0BD4">
        <w:t xml:space="preserve"> </w:t>
      </w:r>
      <w:r>
        <w:t>32</w:t>
      </w:r>
    </w:p>
    <w:p w:rsidR="004E0BD4" w:rsidRDefault="004E0BD4" w:rsidP="005778F1">
      <w:pPr>
        <w:pStyle w:val="ListParagraph"/>
        <w:numPr>
          <w:ilvl w:val="0"/>
          <w:numId w:val="28"/>
        </w:numPr>
      </w:pPr>
      <w:r>
        <w:t>There are many opportunities whereby appointed decision-makers can and do abuse their powers.</w:t>
      </w:r>
      <w:r w:rsidR="005D1302">
        <w:t xml:space="preserve">  We have observed</w:t>
      </w:r>
      <w:r>
        <w:t xml:space="preserve"> a low level of knowledge about the operation of these arrangements</w:t>
      </w:r>
      <w:r w:rsidR="005D1302">
        <w:t>, both by the general public</w:t>
      </w:r>
      <w:r>
        <w:t xml:space="preserve"> and their appointed decision makers</w:t>
      </w:r>
      <w:r w:rsidR="005D1302">
        <w:t xml:space="preserve"> (for example see case study 3)</w:t>
      </w:r>
      <w:r>
        <w:t>.</w:t>
      </w:r>
      <w:r w:rsidR="005D1302">
        <w:t xml:space="preserve">  </w:t>
      </w:r>
      <w:r>
        <w:t xml:space="preserve">We support increased </w:t>
      </w:r>
      <w:r w:rsidR="005D1302">
        <w:t xml:space="preserve">community </w:t>
      </w:r>
      <w:r>
        <w:t>education</w:t>
      </w:r>
      <w:r w:rsidR="005D1302">
        <w:t>, tools and resources,</w:t>
      </w:r>
      <w:r>
        <w:t xml:space="preserve"> and regulation/registration of these arrangement</w:t>
      </w:r>
      <w:r w:rsidR="005D1302">
        <w:t>s under</w:t>
      </w:r>
      <w:r>
        <w:t xml:space="preserve"> a nationally consistent system.</w:t>
      </w:r>
    </w:p>
    <w:p w:rsidR="004E0BD4" w:rsidRDefault="004E0BD4" w:rsidP="004E0BD4">
      <w:pPr>
        <w:pStyle w:val="ListParagraph"/>
        <w:numPr>
          <w:ilvl w:val="0"/>
          <w:numId w:val="28"/>
        </w:numPr>
      </w:pPr>
      <w:r>
        <w:t xml:space="preserve">Stakeholder feedback </w:t>
      </w:r>
      <w:r w:rsidR="00A22FA7">
        <w:t>has identified</w:t>
      </w:r>
      <w:r>
        <w:t xml:space="preserve"> situations where Powers of Attorney granted years ago </w:t>
      </w:r>
      <w:r w:rsidR="00A22FA7">
        <w:t xml:space="preserve">to one adult child </w:t>
      </w:r>
      <w:r>
        <w:t xml:space="preserve">were used to make end of life decisions </w:t>
      </w:r>
      <w:r w:rsidR="00A22FA7">
        <w:t xml:space="preserve">without consultation with other adult children and family members.  </w:t>
      </w:r>
      <w:r w:rsidR="00501A1B">
        <w:t xml:space="preserve">This has caused significant family distress and the wishes of the older person were not necessarily observed.  </w:t>
      </w:r>
      <w:r w:rsidR="00A22FA7">
        <w:t>Our service has recently been asked to train emergency medical staff after many complaints were made about Doctors allowing one member of a family to make end of life decisions without discussion with other members, and no real knowledge of the wishes of the older person.  In a stressful situation, it is often difficult for the Attorney to separate their values and beliefs from the need to ensure the wishes of the older person are carried out.</w:t>
      </w:r>
      <w:r w:rsidR="005D1302">
        <w:t xml:space="preserve">  </w:t>
      </w:r>
    </w:p>
    <w:p w:rsidR="005D1302" w:rsidRDefault="005D1302" w:rsidP="004E0BD4">
      <w:pPr>
        <w:pStyle w:val="ListParagraph"/>
        <w:numPr>
          <w:ilvl w:val="0"/>
          <w:numId w:val="28"/>
        </w:numPr>
      </w:pPr>
      <w:r>
        <w:t>In</w:t>
      </w:r>
      <w:r w:rsidR="00501A1B">
        <w:t xml:space="preserve"> another</w:t>
      </w:r>
      <w:r>
        <w:t xml:space="preserve"> case a violent husband had guardianship of his</w:t>
      </w:r>
      <w:r w:rsidR="00EF15C3">
        <w:t xml:space="preserve"> elderly</w:t>
      </w:r>
      <w:r>
        <w:t xml:space="preserve"> wife who had developed dementia.  Her decreased capacity exposed her to increased risk of sexual assault until an </w:t>
      </w:r>
      <w:r>
        <w:lastRenderedPageBreak/>
        <w:t>adult daughter was able to convince her father to participate in a family meeting</w:t>
      </w:r>
      <w:r w:rsidR="00EF15C3">
        <w:t xml:space="preserve"> and agree to arrangements for formal care for her mother.</w:t>
      </w:r>
    </w:p>
    <w:p w:rsidR="005D1302" w:rsidRPr="004E0BD4" w:rsidRDefault="00501A1B" w:rsidP="005D1302">
      <w:pPr>
        <w:pStyle w:val="ListParagraph"/>
        <w:numPr>
          <w:ilvl w:val="0"/>
          <w:numId w:val="28"/>
        </w:numPr>
      </w:pPr>
      <w:r>
        <w:t>While we agree that</w:t>
      </w:r>
      <w:r w:rsidR="00A22FA7">
        <w:t xml:space="preserve"> it is possible to have too many safeguards, policy must ensure that the choices exercised by people with such significant consequences are</w:t>
      </w:r>
      <w:r w:rsidR="005D1302">
        <w:t>,</w:t>
      </w:r>
      <w:r w:rsidR="00A22FA7">
        <w:t xml:space="preserve"> at the very least, informed choices.</w:t>
      </w:r>
      <w:r w:rsidR="005D1302">
        <w:t xml:space="preserve">  We support an approach that firstly supports the voice of older people to expres</w:t>
      </w:r>
      <w:r>
        <w:t xml:space="preserve">s their wishes, and secondly </w:t>
      </w:r>
      <w:r w:rsidR="005D1302">
        <w:t>promote</w:t>
      </w:r>
      <w:r>
        <w:t>s</w:t>
      </w:r>
      <w:r w:rsidR="005D1302">
        <w:t xml:space="preserve"> their best interests.</w:t>
      </w:r>
    </w:p>
    <w:p w:rsidR="00963A7C" w:rsidRDefault="00EF15C3" w:rsidP="00313ECF">
      <w:pPr>
        <w:pStyle w:val="Heading3"/>
      </w:pPr>
      <w:r>
        <w:t>Question 35 &amp; 36</w:t>
      </w:r>
    </w:p>
    <w:p w:rsidR="00EF15C3" w:rsidRDefault="00EF15C3" w:rsidP="00EF15C3">
      <w:pPr>
        <w:pStyle w:val="ListParagraph"/>
        <w:numPr>
          <w:ilvl w:val="0"/>
          <w:numId w:val="29"/>
        </w:numPr>
      </w:pPr>
      <w:r>
        <w:t>As stated above, tools, training and resources could be developed for professionals who already provide services to older people, including health professionals.  Community education and awareness could improve public knowledge and reporting.</w:t>
      </w:r>
    </w:p>
    <w:p w:rsidR="00EF15C3" w:rsidRPr="00EF15C3" w:rsidRDefault="00EF15C3" w:rsidP="00EF15C3">
      <w:pPr>
        <w:pStyle w:val="ListParagraph"/>
        <w:numPr>
          <w:ilvl w:val="0"/>
          <w:numId w:val="29"/>
        </w:numPr>
      </w:pPr>
      <w:r>
        <w:t>Along with health-justice partnerships, we also support partnerships between community sector professionals and lawyers.</w:t>
      </w:r>
    </w:p>
    <w:p w:rsidR="00963A7C" w:rsidRDefault="00313ECF" w:rsidP="00313ECF">
      <w:pPr>
        <w:pStyle w:val="Heading3"/>
      </w:pPr>
      <w:r>
        <w:t>Question 41</w:t>
      </w:r>
    </w:p>
    <w:p w:rsidR="00313ECF" w:rsidRDefault="00313ECF" w:rsidP="00313ECF">
      <w:pPr>
        <w:pStyle w:val="ListParagraph"/>
        <w:numPr>
          <w:ilvl w:val="0"/>
          <w:numId w:val="30"/>
        </w:numPr>
      </w:pPr>
      <w:r>
        <w:t>As mentioned above, our services have demonstrated the benefits of alternative forms of dispute resolution and redress that uses restorative and therapeutic approaches.</w:t>
      </w:r>
    </w:p>
    <w:p w:rsidR="00313ECF" w:rsidRPr="00313ECF" w:rsidRDefault="00313ECF" w:rsidP="00313ECF">
      <w:pPr>
        <w:pStyle w:val="ListParagraph"/>
        <w:numPr>
          <w:ilvl w:val="0"/>
          <w:numId w:val="30"/>
        </w:numPr>
      </w:pPr>
      <w:r>
        <w:t>Policy frameworks could be informed by innovative programs being trialled in international jurisdictions such as New Zealand and Canada.</w:t>
      </w:r>
    </w:p>
    <w:p w:rsidR="00963A7C" w:rsidRDefault="00501A1B" w:rsidP="00501A1B">
      <w:pPr>
        <w:pStyle w:val="Heading3"/>
      </w:pPr>
      <w:r>
        <w:t>Final observations</w:t>
      </w:r>
    </w:p>
    <w:p w:rsidR="00963A7C" w:rsidRPr="00963A7C" w:rsidRDefault="00963A7C" w:rsidP="00963A7C">
      <w:pPr>
        <w:pStyle w:val="ListParagraph"/>
        <w:numPr>
          <w:ilvl w:val="0"/>
          <w:numId w:val="27"/>
        </w:numPr>
        <w:rPr>
          <w:color w:val="585858" w:themeColor="text1"/>
          <w:lang w:eastAsia="zh-TW"/>
        </w:rPr>
      </w:pPr>
      <w:r>
        <w:rPr>
          <w:color w:val="585858" w:themeColor="text1"/>
          <w:lang w:eastAsia="zh-TW"/>
        </w:rPr>
        <w:t>We note that elder abuse can be as a result of histor</w:t>
      </w:r>
      <w:r w:rsidR="00313ECF">
        <w:rPr>
          <w:color w:val="585858" w:themeColor="text1"/>
          <w:lang w:eastAsia="zh-TW"/>
        </w:rPr>
        <w:t>ical family violence continuing</w:t>
      </w:r>
      <w:r>
        <w:rPr>
          <w:color w:val="585858" w:themeColor="text1"/>
          <w:lang w:eastAsia="zh-TW"/>
        </w:rPr>
        <w:t xml:space="preserve"> at older ages or due to opportunities that arise later through caring roles or </w:t>
      </w:r>
      <w:r w:rsidR="00501A1B">
        <w:rPr>
          <w:color w:val="585858" w:themeColor="text1"/>
          <w:lang w:eastAsia="zh-TW"/>
        </w:rPr>
        <w:t xml:space="preserve">the </w:t>
      </w:r>
      <w:r>
        <w:rPr>
          <w:color w:val="585858" w:themeColor="text1"/>
          <w:lang w:eastAsia="zh-TW"/>
        </w:rPr>
        <w:t>poor personal circumstan</w:t>
      </w:r>
      <w:r w:rsidR="003F124C">
        <w:rPr>
          <w:color w:val="585858" w:themeColor="text1"/>
          <w:lang w:eastAsia="zh-TW"/>
        </w:rPr>
        <w:t>c</w:t>
      </w:r>
      <w:r>
        <w:rPr>
          <w:color w:val="585858" w:themeColor="text1"/>
          <w:lang w:eastAsia="zh-TW"/>
        </w:rPr>
        <w:t>es</w:t>
      </w:r>
      <w:r w:rsidR="00501A1B">
        <w:rPr>
          <w:color w:val="585858" w:themeColor="text1"/>
          <w:lang w:eastAsia="zh-TW"/>
        </w:rPr>
        <w:t xml:space="preserve"> and behaviours of perpetrators</w:t>
      </w:r>
      <w:r>
        <w:rPr>
          <w:color w:val="585858" w:themeColor="text1"/>
          <w:lang w:eastAsia="zh-TW"/>
        </w:rPr>
        <w:t>.</w:t>
      </w:r>
      <w:r w:rsidR="00501A1B">
        <w:rPr>
          <w:color w:val="585858" w:themeColor="text1"/>
          <w:lang w:eastAsia="zh-TW"/>
        </w:rPr>
        <w:t xml:space="preserve">  The response and interventions are likely to be </w:t>
      </w:r>
      <w:r w:rsidR="007A53C7">
        <w:rPr>
          <w:color w:val="585858" w:themeColor="text1"/>
          <w:lang w:eastAsia="zh-TW"/>
        </w:rPr>
        <w:t>different depending on the history of the family and the circumstances of victims and perpetrators.</w:t>
      </w:r>
    </w:p>
    <w:p w:rsidR="00963A7C" w:rsidRPr="00963A7C" w:rsidRDefault="003F124C" w:rsidP="00963A7C">
      <w:pPr>
        <w:pStyle w:val="ListParagraph"/>
        <w:numPr>
          <w:ilvl w:val="0"/>
          <w:numId w:val="11"/>
        </w:numPr>
        <w:rPr>
          <w:color w:val="585858" w:themeColor="text1"/>
          <w:lang w:eastAsia="zh-TW"/>
        </w:rPr>
      </w:pPr>
      <w:r>
        <w:rPr>
          <w:color w:val="585858" w:themeColor="text1"/>
          <w:lang w:eastAsia="zh-TW"/>
        </w:rPr>
        <w:t>Where there is a history of family violence, f</w:t>
      </w:r>
      <w:r w:rsidR="00963A7C" w:rsidRPr="00963A7C">
        <w:rPr>
          <w:color w:val="585858" w:themeColor="text1"/>
          <w:lang w:eastAsia="zh-TW"/>
        </w:rPr>
        <w:t xml:space="preserve">railty and fear </w:t>
      </w:r>
      <w:r>
        <w:rPr>
          <w:color w:val="585858" w:themeColor="text1"/>
          <w:lang w:eastAsia="zh-TW"/>
        </w:rPr>
        <w:t>of being left without a carer can be</w:t>
      </w:r>
      <w:r w:rsidR="00963A7C" w:rsidRPr="00963A7C">
        <w:rPr>
          <w:color w:val="585858" w:themeColor="text1"/>
          <w:lang w:eastAsia="zh-TW"/>
        </w:rPr>
        <w:t xml:space="preserve"> a leverage point for change</w:t>
      </w:r>
      <w:r>
        <w:rPr>
          <w:color w:val="585858" w:themeColor="text1"/>
          <w:lang w:eastAsia="zh-TW"/>
        </w:rPr>
        <w:t xml:space="preserve"> and prevention of future abuse</w:t>
      </w:r>
      <w:r w:rsidR="007A53C7">
        <w:rPr>
          <w:color w:val="585858" w:themeColor="text1"/>
          <w:lang w:eastAsia="zh-TW"/>
        </w:rPr>
        <w:t>.  However</w:t>
      </w:r>
      <w:proofErr w:type="gramStart"/>
      <w:r w:rsidR="007A53C7">
        <w:rPr>
          <w:color w:val="585858" w:themeColor="text1"/>
          <w:lang w:eastAsia="zh-TW"/>
        </w:rPr>
        <w:t>,  the</w:t>
      </w:r>
      <w:proofErr w:type="gramEnd"/>
      <w:r w:rsidR="007A53C7">
        <w:rPr>
          <w:color w:val="585858" w:themeColor="text1"/>
          <w:lang w:eastAsia="zh-TW"/>
        </w:rPr>
        <w:t xml:space="preserve"> opportunity for change can only be maximised</w:t>
      </w:r>
      <w:r>
        <w:rPr>
          <w:color w:val="585858" w:themeColor="text1"/>
          <w:lang w:eastAsia="zh-TW"/>
        </w:rPr>
        <w:t xml:space="preserve"> if appropriate services are available.  For example, whilst men’s behavioural change programs are well-established in Australia, these services are not adequately funded or targeted towards older perpetrators.</w:t>
      </w:r>
    </w:p>
    <w:p w:rsidR="00963A7C" w:rsidRDefault="007A53C7" w:rsidP="00963A7C">
      <w:pPr>
        <w:pStyle w:val="ListParagraph"/>
        <w:numPr>
          <w:ilvl w:val="0"/>
          <w:numId w:val="11"/>
        </w:numPr>
        <w:rPr>
          <w:color w:val="585858" w:themeColor="text1"/>
          <w:lang w:eastAsia="zh-TW"/>
        </w:rPr>
      </w:pPr>
      <w:r>
        <w:rPr>
          <w:color w:val="585858" w:themeColor="text1"/>
          <w:lang w:eastAsia="zh-TW"/>
        </w:rPr>
        <w:t>We also have observed the potential for d</w:t>
      </w:r>
      <w:r w:rsidR="00963A7C" w:rsidRPr="00963A7C">
        <w:rPr>
          <w:color w:val="585858" w:themeColor="text1"/>
          <w:lang w:eastAsia="zh-TW"/>
        </w:rPr>
        <w:t>omestic violence education to positively impact older generations, both at the community level in dispelling outdated views, and at the individual level</w:t>
      </w:r>
      <w:r>
        <w:rPr>
          <w:color w:val="585858" w:themeColor="text1"/>
          <w:lang w:eastAsia="zh-TW"/>
        </w:rPr>
        <w:t xml:space="preserve"> in encouraging respectful family relationships</w:t>
      </w:r>
      <w:r w:rsidR="00501A1B">
        <w:rPr>
          <w:color w:val="585858" w:themeColor="text1"/>
          <w:lang w:eastAsia="zh-TW"/>
        </w:rPr>
        <w:t>.</w:t>
      </w:r>
    </w:p>
    <w:p w:rsidR="00501A1B" w:rsidRDefault="00501A1B" w:rsidP="00963A7C">
      <w:pPr>
        <w:pStyle w:val="ListParagraph"/>
        <w:numPr>
          <w:ilvl w:val="0"/>
          <w:numId w:val="11"/>
        </w:numPr>
        <w:rPr>
          <w:color w:val="585858" w:themeColor="text1"/>
          <w:lang w:eastAsia="zh-TW"/>
        </w:rPr>
      </w:pPr>
      <w:r>
        <w:rPr>
          <w:color w:val="585858" w:themeColor="text1"/>
          <w:lang w:eastAsia="zh-TW"/>
        </w:rPr>
        <w:t>Where carer burden is a contributing factor, support services aimed at improving the mental and physical health of carers, employment and respite can</w:t>
      </w:r>
      <w:r w:rsidR="007A53C7">
        <w:rPr>
          <w:color w:val="585858" w:themeColor="text1"/>
          <w:lang w:eastAsia="zh-TW"/>
        </w:rPr>
        <w:t xml:space="preserve"> be significant in mitigating the risk of</w:t>
      </w:r>
      <w:r>
        <w:rPr>
          <w:color w:val="585858" w:themeColor="text1"/>
          <w:lang w:eastAsia="zh-TW"/>
        </w:rPr>
        <w:t xml:space="preserve"> abuse.</w:t>
      </w:r>
    </w:p>
    <w:p w:rsidR="001338FC" w:rsidRPr="00313ECF" w:rsidRDefault="00501A1B" w:rsidP="00AB18B4">
      <w:pPr>
        <w:pStyle w:val="ListParagraph"/>
        <w:numPr>
          <w:ilvl w:val="0"/>
          <w:numId w:val="11"/>
        </w:numPr>
        <w:rPr>
          <w:color w:val="585858" w:themeColor="text1"/>
          <w:lang w:eastAsia="zh-TW"/>
        </w:rPr>
      </w:pPr>
      <w:r w:rsidRPr="00501A1B">
        <w:rPr>
          <w:color w:val="585858" w:themeColor="text1"/>
          <w:lang w:eastAsia="zh-TW"/>
        </w:rPr>
        <w:t>In the early stages of Relationships Australia’s elder relationship</w:t>
      </w:r>
      <w:r w:rsidR="00485F12">
        <w:rPr>
          <w:color w:val="585858" w:themeColor="text1"/>
          <w:lang w:eastAsia="zh-TW"/>
        </w:rPr>
        <w:t xml:space="preserve"> services trial we have promising results that support an innovative approach that can improve</w:t>
      </w:r>
      <w:r w:rsidRPr="00501A1B">
        <w:rPr>
          <w:color w:val="585858" w:themeColor="text1"/>
          <w:lang w:eastAsia="zh-TW"/>
        </w:rPr>
        <w:t xml:space="preserve"> the outcomes of older clients and their families.  </w:t>
      </w:r>
      <w:r w:rsidRPr="00313ECF">
        <w:rPr>
          <w:color w:val="585858" w:themeColor="text1"/>
          <w:lang w:eastAsia="zh-TW"/>
        </w:rPr>
        <w:t xml:space="preserve">In contrast to </w:t>
      </w:r>
      <w:r w:rsidR="00313ECF">
        <w:rPr>
          <w:color w:val="585858" w:themeColor="text1"/>
          <w:lang w:eastAsia="zh-TW"/>
        </w:rPr>
        <w:t xml:space="preserve">legal process which can </w:t>
      </w:r>
      <w:r w:rsidR="001338FC" w:rsidRPr="00313ECF">
        <w:rPr>
          <w:color w:val="585858" w:themeColor="text1"/>
          <w:lang w:eastAsia="zh-TW"/>
        </w:rPr>
        <w:t>circumvent the services ability and the client’s willingness to mediate</w:t>
      </w:r>
      <w:r w:rsidR="00313ECF">
        <w:rPr>
          <w:color w:val="585858" w:themeColor="text1"/>
          <w:lang w:eastAsia="zh-TW"/>
        </w:rPr>
        <w:t xml:space="preserve"> their own solutions</w:t>
      </w:r>
      <w:r w:rsidR="00313ECF" w:rsidRPr="00313ECF">
        <w:rPr>
          <w:color w:val="585858" w:themeColor="text1"/>
          <w:lang w:eastAsia="zh-TW"/>
        </w:rPr>
        <w:t>, success has been achieved through assisting people to reach agreement, and restorative and therapeutic approaches that preserv</w:t>
      </w:r>
      <w:r w:rsidR="00485F12">
        <w:rPr>
          <w:color w:val="585858" w:themeColor="text1"/>
          <w:lang w:eastAsia="zh-TW"/>
        </w:rPr>
        <w:t>e and enhance relationships into the future.</w:t>
      </w:r>
    </w:p>
    <w:p w:rsidR="0049031B" w:rsidRDefault="0049031B" w:rsidP="00830E7A">
      <w:pPr>
        <w:pStyle w:val="Heading2"/>
      </w:pPr>
      <w:bookmarkStart w:id="0" w:name="_GoBack"/>
      <w:bookmarkEnd w:id="0"/>
      <w:r>
        <w:lastRenderedPageBreak/>
        <w:t>Case studies</w:t>
      </w:r>
    </w:p>
    <w:p w:rsidR="0049031B" w:rsidRPr="003E22AC" w:rsidRDefault="0049031B" w:rsidP="0049031B">
      <w:pPr>
        <w:pStyle w:val="Heading3"/>
        <w:rPr>
          <w:u w:val="single"/>
        </w:rPr>
      </w:pPr>
      <w:r>
        <w:t>Case</w:t>
      </w:r>
      <w:r w:rsidR="005D1302">
        <w:t xml:space="preserve"> study</w:t>
      </w:r>
      <w:r>
        <w:t xml:space="preserve"> 1 - mediation</w:t>
      </w:r>
    </w:p>
    <w:p w:rsidR="0049031B" w:rsidRDefault="00830E7A" w:rsidP="0049031B">
      <w:r>
        <w:t>A mother lent her</w:t>
      </w:r>
      <w:r w:rsidR="0049031B">
        <w:t xml:space="preserve"> son a large portion of her retirement sav</w:t>
      </w:r>
      <w:r>
        <w:t xml:space="preserve">ings for his business venture. </w:t>
      </w:r>
      <w:r w:rsidR="0049031B">
        <w:t>There was an understanding by both parties that the money would be paid back.</w:t>
      </w:r>
      <w:r>
        <w:t xml:space="preserve">  </w:t>
      </w:r>
      <w:r w:rsidR="0049031B">
        <w:t xml:space="preserve"> </w:t>
      </w:r>
      <w:proofErr w:type="gramStart"/>
      <w:r w:rsidR="0049031B">
        <w:t>mother</w:t>
      </w:r>
      <w:proofErr w:type="gramEnd"/>
      <w:r w:rsidR="0049031B">
        <w:t xml:space="preserve"> factored in that the son mostly owned his own home and felt confident that the money would be repaid.  However, the son had re-mortg</w:t>
      </w:r>
      <w:r>
        <w:t>aged his home and did not disclose</w:t>
      </w:r>
      <w:r w:rsidR="0049031B">
        <w:t xml:space="preserve"> that he was in a precarious financial position.</w:t>
      </w:r>
    </w:p>
    <w:p w:rsidR="0049031B" w:rsidRPr="00830E7A" w:rsidRDefault="0049031B" w:rsidP="0049031B">
      <w:r>
        <w:t>Ten years have passed and the son has not been in a financial position to repay the mother and the mother has been unable to retire.  The son and his wife have both worked hard for sever</w:t>
      </w:r>
      <w:r w:rsidR="00830E7A">
        <w:t xml:space="preserve">al years and they both have </w:t>
      </w:r>
      <w:r>
        <w:t>jobs but still con</w:t>
      </w:r>
      <w:r w:rsidR="00830E7A">
        <w:t>t</w:t>
      </w:r>
      <w:r>
        <w:t>end they cannot afford to repay the loan.  The son feels that the money, and his obligation to re-pay the loan, should simply be forgotten about.  The son has not acknowledged to the mother his gratitude for the loan, nor his remor</w:t>
      </w:r>
      <w:r w:rsidR="00830E7A">
        <w:t>se at being unable to repay it.</w:t>
      </w:r>
    </w:p>
    <w:p w:rsidR="0049031B" w:rsidRDefault="0049031B" w:rsidP="0049031B">
      <w:r>
        <w:t>In this situation, the mother has held off on pursuing he</w:t>
      </w:r>
      <w:r w:rsidR="00830E7A">
        <w:t xml:space="preserve">r legal rights </w:t>
      </w:r>
      <w:r>
        <w:t>due to her love for her son.  The mother is emotionally distressed over what she perceives to be her son’s betrayal of her good will.  Her legal claim is clear and undeniable; however, her husband (and the son’s father), does not wish to pursue the son for the money.  The division regarding their son has led to their own relationship and financial problems.  They also share a sense of regret that they have been unable to give equally to all of their children and anger they are being taken advantage of.</w:t>
      </w:r>
    </w:p>
    <w:p w:rsidR="0049031B" w:rsidRDefault="0049031B" w:rsidP="0049031B">
      <w:r>
        <w:t>Outcomes sought at mediation:</w:t>
      </w:r>
    </w:p>
    <w:p w:rsidR="0049031B" w:rsidRDefault="0049031B" w:rsidP="0049031B">
      <w:pPr>
        <w:pStyle w:val="ListParagraph"/>
        <w:numPr>
          <w:ilvl w:val="0"/>
          <w:numId w:val="10"/>
        </w:numPr>
      </w:pPr>
      <w:r>
        <w:t>an acknowledgment/apology from the son that he understands the issues and is grateful and wanting to do his best to rectify the situation; and</w:t>
      </w:r>
    </w:p>
    <w:p w:rsidR="0049031B" w:rsidRDefault="0049031B" w:rsidP="0049031B">
      <w:pPr>
        <w:pStyle w:val="ListParagraph"/>
        <w:numPr>
          <w:ilvl w:val="0"/>
          <w:numId w:val="10"/>
        </w:numPr>
      </w:pPr>
      <w:proofErr w:type="gramStart"/>
      <w:r>
        <w:t>partial</w:t>
      </w:r>
      <w:proofErr w:type="gramEnd"/>
      <w:r>
        <w:t xml:space="preserve"> repayment of the loan at a rate that the son and his family can afford. </w:t>
      </w:r>
    </w:p>
    <w:p w:rsidR="0049031B" w:rsidRDefault="001E3ABD" w:rsidP="001E3ABD">
      <w:pPr>
        <w:pStyle w:val="Heading3"/>
      </w:pPr>
      <w:r>
        <w:t xml:space="preserve">Case study 2 - </w:t>
      </w:r>
      <w:r w:rsidR="00830E7A">
        <w:t>c</w:t>
      </w:r>
      <w:r w:rsidR="0049031B">
        <w:t>ounselling</w:t>
      </w:r>
    </w:p>
    <w:p w:rsidR="0049031B" w:rsidRPr="00180458" w:rsidRDefault="001338FC" w:rsidP="0049031B">
      <w:pPr>
        <w:rPr>
          <w:color w:val="585858" w:themeColor="text1"/>
          <w:lang w:eastAsia="zh-TW"/>
        </w:rPr>
      </w:pPr>
      <w:r>
        <w:rPr>
          <w:color w:val="585858" w:themeColor="text1"/>
          <w:lang w:eastAsia="zh-TW"/>
        </w:rPr>
        <w:t>A</w:t>
      </w:r>
      <w:r w:rsidR="001E3ABD">
        <w:rPr>
          <w:color w:val="585858" w:themeColor="text1"/>
          <w:lang w:eastAsia="zh-TW"/>
        </w:rPr>
        <w:t xml:space="preserve"> separated e</w:t>
      </w:r>
      <w:r w:rsidR="0049031B" w:rsidRPr="00180458">
        <w:rPr>
          <w:color w:val="585858" w:themeColor="text1"/>
          <w:lang w:eastAsia="zh-TW"/>
        </w:rPr>
        <w:t>lder couple ac</w:t>
      </w:r>
      <w:r w:rsidR="009E6146">
        <w:rPr>
          <w:color w:val="585858" w:themeColor="text1"/>
          <w:lang w:eastAsia="zh-TW"/>
        </w:rPr>
        <w:t>cessed the e</w:t>
      </w:r>
      <w:r w:rsidR="00830E7A">
        <w:rPr>
          <w:color w:val="585858" w:themeColor="text1"/>
          <w:lang w:eastAsia="zh-TW"/>
        </w:rPr>
        <w:t xml:space="preserve">lder </w:t>
      </w:r>
      <w:r w:rsidR="005D1302">
        <w:rPr>
          <w:color w:val="585858" w:themeColor="text1"/>
          <w:lang w:eastAsia="zh-TW"/>
        </w:rPr>
        <w:t>relationships</w:t>
      </w:r>
      <w:r w:rsidR="00830E7A">
        <w:rPr>
          <w:color w:val="585858" w:themeColor="text1"/>
          <w:lang w:eastAsia="zh-TW"/>
        </w:rPr>
        <w:t xml:space="preserve"> s</w:t>
      </w:r>
      <w:r w:rsidR="0049031B" w:rsidRPr="00180458">
        <w:rPr>
          <w:color w:val="585858" w:themeColor="text1"/>
          <w:lang w:eastAsia="zh-TW"/>
        </w:rPr>
        <w:t>ervice.  They had separated and there was a hig</w:t>
      </w:r>
      <w:r w:rsidR="001E3ABD">
        <w:rPr>
          <w:color w:val="585858" w:themeColor="text1"/>
          <w:lang w:eastAsia="zh-TW"/>
        </w:rPr>
        <w:t>h level of animosity and blame a</w:t>
      </w:r>
      <w:r w:rsidR="0049031B">
        <w:rPr>
          <w:color w:val="585858" w:themeColor="text1"/>
          <w:lang w:eastAsia="zh-TW"/>
        </w:rPr>
        <w:t>nd </w:t>
      </w:r>
      <w:r w:rsidR="0049031B" w:rsidRPr="00180458">
        <w:rPr>
          <w:color w:val="585858" w:themeColor="text1"/>
          <w:lang w:eastAsia="zh-TW"/>
        </w:rPr>
        <w:t>the husband was becoming very abusive towards the wife</w:t>
      </w:r>
      <w:r w:rsidR="001E3ABD">
        <w:rPr>
          <w:color w:val="585858" w:themeColor="text1"/>
          <w:lang w:eastAsia="zh-TW"/>
        </w:rPr>
        <w:t>.  One of the adult children was also very abusive towards the</w:t>
      </w:r>
      <w:r w:rsidR="0049031B" w:rsidRPr="00180458">
        <w:rPr>
          <w:color w:val="585858" w:themeColor="text1"/>
          <w:lang w:eastAsia="zh-TW"/>
        </w:rPr>
        <w:t xml:space="preserve"> mother</w:t>
      </w:r>
      <w:r w:rsidR="009E6146">
        <w:rPr>
          <w:color w:val="585858" w:themeColor="text1"/>
          <w:lang w:eastAsia="zh-TW"/>
        </w:rPr>
        <w:t>, blaming her</w:t>
      </w:r>
      <w:r w:rsidR="001E3ABD">
        <w:rPr>
          <w:color w:val="585858" w:themeColor="text1"/>
          <w:lang w:eastAsia="zh-TW"/>
        </w:rPr>
        <w:t xml:space="preserve"> for the separation</w:t>
      </w:r>
      <w:r w:rsidR="0049031B" w:rsidRPr="00180458">
        <w:rPr>
          <w:color w:val="585858" w:themeColor="text1"/>
          <w:lang w:eastAsia="zh-TW"/>
        </w:rPr>
        <w:t xml:space="preserve">. </w:t>
      </w:r>
      <w:r w:rsidR="009E6146">
        <w:rPr>
          <w:color w:val="585858" w:themeColor="text1"/>
          <w:lang w:eastAsia="zh-TW"/>
        </w:rPr>
        <w:t xml:space="preserve"> After intake,</w:t>
      </w:r>
      <w:r w:rsidR="001E3ABD">
        <w:rPr>
          <w:color w:val="585858" w:themeColor="text1"/>
          <w:lang w:eastAsia="zh-TW"/>
        </w:rPr>
        <w:t xml:space="preserve"> historical family violence </w:t>
      </w:r>
      <w:r w:rsidR="009E6146">
        <w:rPr>
          <w:color w:val="585858" w:themeColor="text1"/>
          <w:lang w:eastAsia="zh-TW"/>
        </w:rPr>
        <w:t xml:space="preserve">was evident but this </w:t>
      </w:r>
      <w:r w:rsidR="001E3ABD">
        <w:rPr>
          <w:color w:val="585858" w:themeColor="text1"/>
          <w:lang w:eastAsia="zh-TW"/>
        </w:rPr>
        <w:t xml:space="preserve">now included extended </w:t>
      </w:r>
      <w:r w:rsidR="009E6146">
        <w:rPr>
          <w:color w:val="585858" w:themeColor="text1"/>
          <w:lang w:eastAsia="zh-TW"/>
        </w:rPr>
        <w:t>to other family member perpetrators.</w:t>
      </w:r>
      <w:r w:rsidR="0049031B" w:rsidRPr="00180458">
        <w:rPr>
          <w:color w:val="585858" w:themeColor="text1"/>
          <w:lang w:eastAsia="zh-TW"/>
        </w:rPr>
        <w:t xml:space="preserve"> </w:t>
      </w:r>
    </w:p>
    <w:p w:rsidR="0049031B" w:rsidRPr="00180458" w:rsidRDefault="001E3ABD" w:rsidP="0049031B">
      <w:pPr>
        <w:rPr>
          <w:color w:val="585858" w:themeColor="text1"/>
          <w:lang w:eastAsia="zh-TW"/>
        </w:rPr>
      </w:pPr>
      <w:r>
        <w:rPr>
          <w:color w:val="585858" w:themeColor="text1"/>
          <w:lang w:eastAsia="zh-TW"/>
        </w:rPr>
        <w:t>T</w:t>
      </w:r>
      <w:r w:rsidR="0049031B" w:rsidRPr="00180458">
        <w:rPr>
          <w:color w:val="585858" w:themeColor="text1"/>
          <w:lang w:eastAsia="zh-TW"/>
        </w:rPr>
        <w:t xml:space="preserve">he </w:t>
      </w:r>
      <w:r>
        <w:rPr>
          <w:color w:val="585858" w:themeColor="text1"/>
          <w:lang w:eastAsia="zh-TW"/>
        </w:rPr>
        <w:t xml:space="preserve">husband was </w:t>
      </w:r>
      <w:r w:rsidR="0049031B">
        <w:rPr>
          <w:color w:val="585858" w:themeColor="text1"/>
          <w:lang w:eastAsia="zh-TW"/>
        </w:rPr>
        <w:t>unwell</w:t>
      </w:r>
      <w:r>
        <w:rPr>
          <w:color w:val="585858" w:themeColor="text1"/>
          <w:lang w:eastAsia="zh-TW"/>
        </w:rPr>
        <w:t>, and both</w:t>
      </w:r>
      <w:r w:rsidR="0049031B" w:rsidRPr="00180458">
        <w:rPr>
          <w:color w:val="585858" w:themeColor="text1"/>
          <w:lang w:eastAsia="zh-TW"/>
        </w:rPr>
        <w:t xml:space="preserve"> elderly and old fas</w:t>
      </w:r>
      <w:r>
        <w:rPr>
          <w:color w:val="585858" w:themeColor="text1"/>
          <w:lang w:eastAsia="zh-TW"/>
        </w:rPr>
        <w:t>hioned in his values,</w:t>
      </w:r>
      <w:r w:rsidR="0049031B" w:rsidRPr="00180458">
        <w:rPr>
          <w:color w:val="585858" w:themeColor="text1"/>
          <w:lang w:eastAsia="zh-TW"/>
        </w:rPr>
        <w:t xml:space="preserve"> and unaware that his actions were a form of abuse.  However,</w:t>
      </w:r>
      <w:r>
        <w:rPr>
          <w:color w:val="585858" w:themeColor="text1"/>
          <w:lang w:eastAsia="zh-TW"/>
        </w:rPr>
        <w:t xml:space="preserve"> he was open to change, particularly as he was fearful of being on his own for the rest of his life</w:t>
      </w:r>
      <w:r w:rsidR="0049031B" w:rsidRPr="00180458">
        <w:rPr>
          <w:color w:val="585858" w:themeColor="text1"/>
          <w:lang w:eastAsia="zh-TW"/>
        </w:rPr>
        <w:t xml:space="preserve">. </w:t>
      </w:r>
    </w:p>
    <w:p w:rsidR="0049031B" w:rsidRPr="00180458" w:rsidRDefault="001E3ABD" w:rsidP="0049031B">
      <w:pPr>
        <w:rPr>
          <w:color w:val="585858" w:themeColor="text1"/>
          <w:lang w:eastAsia="zh-TW"/>
        </w:rPr>
      </w:pPr>
      <w:r>
        <w:rPr>
          <w:color w:val="585858" w:themeColor="text1"/>
          <w:lang w:eastAsia="zh-TW"/>
        </w:rPr>
        <w:t>The c</w:t>
      </w:r>
      <w:r w:rsidR="0049031B" w:rsidRPr="00180458">
        <w:rPr>
          <w:color w:val="585858" w:themeColor="text1"/>
          <w:lang w:eastAsia="zh-TW"/>
        </w:rPr>
        <w:t xml:space="preserve">ounselling process </w:t>
      </w:r>
      <w:r>
        <w:rPr>
          <w:color w:val="585858" w:themeColor="text1"/>
          <w:lang w:eastAsia="zh-TW"/>
        </w:rPr>
        <w:t xml:space="preserve">was effective in allowing them to reconfigure </w:t>
      </w:r>
      <w:r w:rsidR="0049031B" w:rsidRPr="00180458">
        <w:rPr>
          <w:color w:val="585858" w:themeColor="text1"/>
          <w:lang w:eastAsia="zh-TW"/>
        </w:rPr>
        <w:t>how they related to each other</w:t>
      </w:r>
      <w:r w:rsidR="001338FC">
        <w:rPr>
          <w:color w:val="585858" w:themeColor="text1"/>
          <w:lang w:eastAsia="zh-TW"/>
        </w:rPr>
        <w:t xml:space="preserve"> and educate the husband about respectful behaviour</w:t>
      </w:r>
      <w:r w:rsidR="0049031B" w:rsidRPr="00180458">
        <w:rPr>
          <w:color w:val="585858" w:themeColor="text1"/>
          <w:lang w:eastAsia="zh-TW"/>
        </w:rPr>
        <w:t xml:space="preserve">.  </w:t>
      </w:r>
    </w:p>
    <w:p w:rsidR="0049031B" w:rsidRDefault="001338FC" w:rsidP="001338FC">
      <w:pPr>
        <w:pStyle w:val="Heading3"/>
      </w:pPr>
      <w:r>
        <w:t xml:space="preserve">Case study 3 – </w:t>
      </w:r>
      <w:r w:rsidR="009E6146">
        <w:t>m</w:t>
      </w:r>
      <w:r w:rsidR="0049031B">
        <w:t>ediation</w:t>
      </w:r>
    </w:p>
    <w:p w:rsidR="0049031B" w:rsidRPr="001338FC" w:rsidRDefault="001338FC" w:rsidP="0049031B">
      <w:r>
        <w:t xml:space="preserve">An adult child accessed the service as her sister had moved their father </w:t>
      </w:r>
      <w:r w:rsidR="0049031B" w:rsidRPr="000A66DA">
        <w:t xml:space="preserve">to a nursing home closer to </w:t>
      </w:r>
      <w:r>
        <w:t>her home; she had not consulted other family memb</w:t>
      </w:r>
      <w:r w:rsidR="009E6146">
        <w:t>ers.  This move had meant that the father</w:t>
      </w:r>
      <w:r w:rsidR="0049031B" w:rsidRPr="000A66DA">
        <w:t xml:space="preserve"> was no longer able to get outside into the garden (which he loved to do in the previous home).  Also</w:t>
      </w:r>
      <w:r w:rsidR="009E6146">
        <w:t>,</w:t>
      </w:r>
      <w:r w:rsidR="0049031B" w:rsidRPr="000A66DA">
        <w:t xml:space="preserve"> his</w:t>
      </w:r>
      <w:r>
        <w:t xml:space="preserve"> </w:t>
      </w:r>
      <w:r>
        <w:lastRenderedPageBreak/>
        <w:t>partner</w:t>
      </w:r>
      <w:r w:rsidR="0049031B" w:rsidRPr="000A66DA">
        <w:t xml:space="preserve"> could no longer visit him because he was now too</w:t>
      </w:r>
      <w:r>
        <w:t xml:space="preserve"> far away and she had no </w:t>
      </w:r>
      <w:r w:rsidR="0049031B" w:rsidRPr="000A66DA">
        <w:t>transport.  The elder daughter insisted that this new nursing home was best for h</w:t>
      </w:r>
      <w:r w:rsidR="009E6146">
        <w:t xml:space="preserve">im as it was “more secure” but the father and </w:t>
      </w:r>
      <w:r w:rsidR="0049031B" w:rsidRPr="000A66DA">
        <w:t>other siblings believed it was to meet her needs and not his.</w:t>
      </w:r>
    </w:p>
    <w:p w:rsidR="0049031B" w:rsidRDefault="0049031B" w:rsidP="0049031B">
      <w:r w:rsidRPr="000A66DA">
        <w:t>The clie</w:t>
      </w:r>
      <w:r w:rsidR="001338FC">
        <w:t>nts had initially contacted the state administrative appeals tribunal</w:t>
      </w:r>
      <w:r w:rsidR="009E6146">
        <w:t xml:space="preserve"> before seeking</w:t>
      </w:r>
      <w:r w:rsidRPr="000A66DA">
        <w:t xml:space="preserve"> m</w:t>
      </w:r>
      <w:r w:rsidR="009E6146">
        <w:t>ediation,</w:t>
      </w:r>
      <w:r w:rsidR="001338FC">
        <w:t xml:space="preserve"> but the sister </w:t>
      </w:r>
      <w:r w:rsidRPr="000A66DA">
        <w:t>had been difficult to get an ap</w:t>
      </w:r>
      <w:r w:rsidR="001338FC">
        <w:t>pointment with.  By t</w:t>
      </w:r>
      <w:r w:rsidR="009E6146">
        <w:t xml:space="preserve">he time an intake was done the family </w:t>
      </w:r>
      <w:r w:rsidR="001338FC">
        <w:t>had a date with the tribunal</w:t>
      </w:r>
      <w:r w:rsidR="009E6146">
        <w:t>.  The service</w:t>
      </w:r>
      <w:r w:rsidRPr="000A66DA">
        <w:t xml:space="preserve"> offere</w:t>
      </w:r>
      <w:r w:rsidR="001338FC">
        <w:t>d them the option of a family meeting</w:t>
      </w:r>
      <w:r w:rsidRPr="000A66DA">
        <w:t xml:space="preserve"> once the</w:t>
      </w:r>
      <w:r w:rsidR="009E6146">
        <w:t>y had been to the tribunal</w:t>
      </w:r>
      <w:r w:rsidR="001338FC">
        <w:t xml:space="preserve"> but the sister was no longer</w:t>
      </w:r>
      <w:r w:rsidRPr="000A66DA">
        <w:t xml:space="preserve"> interested.</w:t>
      </w:r>
    </w:p>
    <w:p w:rsidR="0049031B" w:rsidRDefault="008E328B" w:rsidP="008E328B">
      <w:pPr>
        <w:pStyle w:val="Heading3"/>
      </w:pPr>
      <w:r>
        <w:t xml:space="preserve">Case 4 - </w:t>
      </w:r>
      <w:r w:rsidR="009E6146">
        <w:t>m</w:t>
      </w:r>
      <w:r>
        <w:t xml:space="preserve">ediation </w:t>
      </w:r>
    </w:p>
    <w:p w:rsidR="0049031B" w:rsidRDefault="008E328B" w:rsidP="0049031B">
      <w:r>
        <w:t>An elderly client was referred to the service by a local community organisation</w:t>
      </w:r>
      <w:r w:rsidR="0049031B">
        <w:t xml:space="preserve">.  </w:t>
      </w:r>
      <w:r>
        <w:t>The client</w:t>
      </w:r>
      <w:r w:rsidR="009E6146">
        <w:t xml:space="preserve"> lived with his son who wa</w:t>
      </w:r>
      <w:r>
        <w:t>s his main carer.  The client</w:t>
      </w:r>
      <w:r w:rsidR="009E6146">
        <w:t xml:space="preserve"> had</w:t>
      </w:r>
      <w:r>
        <w:t xml:space="preserve"> concerns around ‘lending’ his son money, </w:t>
      </w:r>
      <w:r w:rsidR="0049031B">
        <w:t>feeli</w:t>
      </w:r>
      <w:r w:rsidR="009E6146">
        <w:t>ng pressured to lend</w:t>
      </w:r>
      <w:r w:rsidR="0049031B">
        <w:t xml:space="preserve"> and </w:t>
      </w:r>
      <w:r w:rsidR="009E6146">
        <w:t>the timing of repayment of loans</w:t>
      </w:r>
      <w:r w:rsidR="0049031B">
        <w:t xml:space="preserve">. </w:t>
      </w:r>
      <w:r>
        <w:t xml:space="preserve"> A support worker </w:t>
      </w:r>
      <w:r w:rsidR="0049031B">
        <w:t>attended the interview</w:t>
      </w:r>
      <w:r>
        <w:t xml:space="preserve"> and </w:t>
      </w:r>
      <w:r w:rsidR="009E6146">
        <w:t>had genuine concerns about the client</w:t>
      </w:r>
      <w:r w:rsidR="0049031B">
        <w:t xml:space="preserve"> being taken advantage of and his ability to reco</w:t>
      </w:r>
      <w:r>
        <w:t>llect when</w:t>
      </w:r>
      <w:r w:rsidR="009E6146">
        <w:t>,</w:t>
      </w:r>
      <w:r>
        <w:t xml:space="preserve"> if and how much the son</w:t>
      </w:r>
      <w:r w:rsidR="009E6146">
        <w:t xml:space="preserve"> had ‘borrowed’ from his father</w:t>
      </w:r>
      <w:r w:rsidR="0049031B">
        <w:t xml:space="preserve"> and when or if he had made repayments.</w:t>
      </w:r>
    </w:p>
    <w:p w:rsidR="0049031B" w:rsidRDefault="0049031B" w:rsidP="0049031B">
      <w:r>
        <w:t>There were s</w:t>
      </w:r>
      <w:r w:rsidR="008E328B">
        <w:t>everal attempts to contact the son but</w:t>
      </w:r>
      <w:r>
        <w:t xml:space="preserve"> he said that the</w:t>
      </w:r>
      <w:r w:rsidR="009E6146">
        <w:t>re were no problems and</w:t>
      </w:r>
      <w:r w:rsidR="008E328B">
        <w:t xml:space="preserve"> the community</w:t>
      </w:r>
      <w:r>
        <w:t xml:space="preserve"> worker was interfering.</w:t>
      </w:r>
      <w:r w:rsidR="008E328B">
        <w:t xml:space="preserve">  The father</w:t>
      </w:r>
      <w:r>
        <w:t xml:space="preserve"> was contacted</w:t>
      </w:r>
      <w:r w:rsidR="008E328B">
        <w:t xml:space="preserve"> and it was explained that his son did not want to participate and he decided not</w:t>
      </w:r>
      <w:r>
        <w:t xml:space="preserve"> to proceed</w:t>
      </w:r>
      <w:r w:rsidR="008E328B">
        <w:t xml:space="preserve"> and</w:t>
      </w:r>
      <w:r>
        <w:t xml:space="preserve"> </w:t>
      </w:r>
      <w:r w:rsidR="009E6146">
        <w:t>further upset his son</w:t>
      </w:r>
      <w:r>
        <w:t>.</w:t>
      </w:r>
    </w:p>
    <w:p w:rsidR="0049031B" w:rsidRDefault="00EF119E" w:rsidP="00EF119E">
      <w:pPr>
        <w:pStyle w:val="Heading3"/>
      </w:pPr>
      <w:r>
        <w:t>Case study 5</w:t>
      </w:r>
      <w:r w:rsidR="008E328B">
        <w:t xml:space="preserve"> - </w:t>
      </w:r>
      <w:r w:rsidR="009E6146">
        <w:t>m</w:t>
      </w:r>
      <w:r w:rsidR="0049031B">
        <w:t>ediation</w:t>
      </w:r>
    </w:p>
    <w:p w:rsidR="0049031B" w:rsidRDefault="008E328B" w:rsidP="0049031B">
      <w:r>
        <w:t>An elderly widowed mother came to the service</w:t>
      </w:r>
      <w:r w:rsidR="0049031B">
        <w:t xml:space="preserve"> requesting assistance with a family situation.</w:t>
      </w:r>
      <w:r>
        <w:t xml:space="preserve">  Several families</w:t>
      </w:r>
      <w:r w:rsidR="00BC4B6E">
        <w:t xml:space="preserve"> live</w:t>
      </w:r>
      <w:r w:rsidR="009E6146">
        <w:t>d</w:t>
      </w:r>
      <w:r w:rsidR="00BC4B6E">
        <w:t xml:space="preserve"> on their</w:t>
      </w:r>
      <w:r>
        <w:t xml:space="preserve"> large rural property, including her two sons and their families who work the </w:t>
      </w:r>
      <w:r w:rsidR="009E6146">
        <w:t xml:space="preserve">family </w:t>
      </w:r>
      <w:r>
        <w:t>farm.</w:t>
      </w:r>
    </w:p>
    <w:p w:rsidR="0049031B" w:rsidRDefault="009E6146" w:rsidP="0049031B">
      <w:r>
        <w:t>Things had</w:t>
      </w:r>
      <w:r w:rsidR="0049031B">
        <w:t xml:space="preserve"> become increasingly hostile between </w:t>
      </w:r>
      <w:r w:rsidR="008E328B">
        <w:t xml:space="preserve">the mother and one of the </w:t>
      </w:r>
      <w:proofErr w:type="gramStart"/>
      <w:r w:rsidR="008E328B">
        <w:t>daughter</w:t>
      </w:r>
      <w:proofErr w:type="gramEnd"/>
      <w:r w:rsidR="008E328B">
        <w:t xml:space="preserve"> in laws.  </w:t>
      </w:r>
      <w:r>
        <w:t>The mother had</w:t>
      </w:r>
      <w:r w:rsidR="008E328B">
        <w:t xml:space="preserve"> m</w:t>
      </w:r>
      <w:r>
        <w:t>oved out of the main house and wa</w:t>
      </w:r>
      <w:r w:rsidR="008E328B">
        <w:t xml:space="preserve">s worried about their ability to live together and run the farm.  The sons </w:t>
      </w:r>
      <w:r w:rsidR="00BC4B6E">
        <w:t xml:space="preserve">didn’t want to get involved.  A family meeting was held to assist the family members to come to an </w:t>
      </w:r>
      <w:r w:rsidR="0049031B">
        <w:t>agr</w:t>
      </w:r>
      <w:r>
        <w:t xml:space="preserve">eement about management of </w:t>
      </w:r>
      <w:r w:rsidR="0049031B">
        <w:t>the farm</w:t>
      </w:r>
      <w:r>
        <w:t xml:space="preserve"> and their family relationships</w:t>
      </w:r>
      <w:r w:rsidR="0049031B">
        <w:t>.</w:t>
      </w:r>
    </w:p>
    <w:p w:rsidR="0049031B" w:rsidRDefault="00EF119E" w:rsidP="00A9752A">
      <w:pPr>
        <w:pStyle w:val="Heading3"/>
      </w:pPr>
      <w:r>
        <w:t xml:space="preserve">Case 6 - </w:t>
      </w:r>
      <w:r w:rsidR="007C6A15">
        <w:t>m</w:t>
      </w:r>
      <w:r w:rsidR="0049031B">
        <w:t>ediation</w:t>
      </w:r>
    </w:p>
    <w:p w:rsidR="0049031B" w:rsidRDefault="0049031B" w:rsidP="0049031B">
      <w:r>
        <w:t>Three male siblings in their fifties came to mediation to discuss the care of their elderly parents. They had another sibling who was not involved as she lived overseas. One son lived inter</w:t>
      </w:r>
      <w:r w:rsidR="00EF119E">
        <w:t xml:space="preserve">state and came back to </w:t>
      </w:r>
      <w:r>
        <w:t>regularly to see his parents and to try to manage their care. One son had taken the biggest responsibility for managing the care of the parents as he wasn’t working but had reached a point where he was unwilling to continue doing this as it was affecting his mental health. The brothers had joint Power of Attorney over their parent’s affairs.</w:t>
      </w:r>
    </w:p>
    <w:p w:rsidR="0049031B" w:rsidRDefault="0049031B" w:rsidP="0049031B">
      <w:r>
        <w:t xml:space="preserve">Their parents still </w:t>
      </w:r>
      <w:proofErr w:type="spellStart"/>
      <w:r>
        <w:t>lived</w:t>
      </w:r>
      <w:proofErr w:type="spellEnd"/>
      <w:r>
        <w:t xml:space="preserve"> independently in t</w:t>
      </w:r>
      <w:r w:rsidR="00EF119E">
        <w:t>heir home</w:t>
      </w:r>
      <w:r>
        <w:t xml:space="preserve">. </w:t>
      </w:r>
      <w:r w:rsidR="00EF119E">
        <w:t xml:space="preserve"> </w:t>
      </w:r>
      <w:r>
        <w:t xml:space="preserve">Mother had been diagnosed with dementia which was reasonably advanced and father had diagnosed mental health issues where he was prone to very angry outbursts. The </w:t>
      </w:r>
      <w:proofErr w:type="spellStart"/>
      <w:r>
        <w:t>sons</w:t>
      </w:r>
      <w:proofErr w:type="spellEnd"/>
      <w:r>
        <w:t xml:space="preserve"> had tried to buy in care to support them in their home but the parents wouldn’t let strangers into the home and became hostile to most people trying to help such as carers, cleaners, RDNS etc. They would only really tolerate their children coming to help which had mainly fallen upon the son who wasn’t working.</w:t>
      </w:r>
    </w:p>
    <w:p w:rsidR="0049031B" w:rsidRDefault="0049031B" w:rsidP="0049031B">
      <w:r>
        <w:lastRenderedPageBreak/>
        <w:t>Three siblings believed that mum and dad weren’t coping and should be put into residential care against their will. One son was a staunch advocate for maintaining the independence and rights of his parents and would not agree to this as an option and had been resisting it for a considerable period of time (2 years or more) preferring to try different opti</w:t>
      </w:r>
      <w:r w:rsidR="00EF119E">
        <w:t>ons to bring help into the home</w:t>
      </w:r>
      <w:r>
        <w:t xml:space="preserve">. </w:t>
      </w:r>
      <w:r w:rsidR="00EF119E">
        <w:t xml:space="preserve"> </w:t>
      </w:r>
      <w:r>
        <w:t>He was often unable to help and went way overseas for extended periods for his work on a regular basis. The other brothers were aware that they could apply to the Guardianship Board but didn’t want to cause conflict.</w:t>
      </w:r>
    </w:p>
    <w:p w:rsidR="0049031B" w:rsidRDefault="00EF119E" w:rsidP="007C6A15">
      <w:r>
        <w:t>Outcome from the family meeting</w:t>
      </w:r>
      <w:r w:rsidR="0049031B">
        <w:t>: The son who ha</w:t>
      </w:r>
      <w:r>
        <w:t xml:space="preserve">d resisted putting his parents </w:t>
      </w:r>
      <w:r w:rsidR="0049031B">
        <w:t xml:space="preserve">into care eventually agreed to look at options </w:t>
      </w:r>
      <w:r>
        <w:t xml:space="preserve">for mum </w:t>
      </w:r>
      <w:r w:rsidR="0049031B">
        <w:t xml:space="preserve">but would not agree to consider a placement for dad. He did agree to have a conversation with dad about the possibility of moving into care at some point in the future.  </w:t>
      </w:r>
      <w:proofErr w:type="gramStart"/>
      <w:r w:rsidR="0049031B">
        <w:t>A</w:t>
      </w:r>
      <w:r w:rsidR="007C6A15">
        <w:t>nother mediation</w:t>
      </w:r>
      <w:proofErr w:type="gramEnd"/>
      <w:r w:rsidR="007C6A15">
        <w:t xml:space="preserve"> was scheduled.</w:t>
      </w:r>
    </w:p>
    <w:p w:rsidR="0049031B" w:rsidRDefault="007C6A15" w:rsidP="00A9752A">
      <w:pPr>
        <w:pStyle w:val="Heading3"/>
      </w:pPr>
      <w:r>
        <w:t>Case 7</w:t>
      </w:r>
      <w:r w:rsidR="0049031B">
        <w:t xml:space="preserve"> – mediation and counselling</w:t>
      </w:r>
    </w:p>
    <w:p w:rsidR="0049031B" w:rsidRDefault="007C6A15" w:rsidP="0049031B">
      <w:r>
        <w:t>The service was contacted</w:t>
      </w:r>
      <w:r w:rsidR="0049031B">
        <w:t xml:space="preserve"> by an older couple</w:t>
      </w:r>
      <w:r>
        <w:t xml:space="preserve"> who were </w:t>
      </w:r>
      <w:r w:rsidR="0049031B">
        <w:t xml:space="preserve">unwillingly sharing their house with an adult daughter (aged 50). </w:t>
      </w:r>
      <w:r>
        <w:t xml:space="preserve"> </w:t>
      </w:r>
      <w:r w:rsidR="0049031B">
        <w:t>They had agreed for their daughter to move in for a short time to mind the house when on holidays but she then declined to move and been in the house for the last 6 years. The daughter has mental health issues and although li</w:t>
      </w:r>
      <w:r>
        <w:t xml:space="preserve">ving reasonably separately, was </w:t>
      </w:r>
      <w:r w:rsidR="0049031B">
        <w:t xml:space="preserve">both verbally abusive, mostly to </w:t>
      </w:r>
      <w:r>
        <w:t>her mother, and stonewalling (</w:t>
      </w:r>
      <w:r w:rsidR="0049031B">
        <w:t xml:space="preserve">refuses to discuss her </w:t>
      </w:r>
      <w:proofErr w:type="spellStart"/>
      <w:r w:rsidR="0049031B">
        <w:t>behavior</w:t>
      </w:r>
      <w:proofErr w:type="spellEnd"/>
      <w:r w:rsidR="0049031B">
        <w:t xml:space="preserve"> or moving out), and is making their lives in the house increasing stressful and unpleasant.</w:t>
      </w:r>
      <w:r>
        <w:t xml:space="preserve"> </w:t>
      </w:r>
      <w:r w:rsidR="0049031B">
        <w:t xml:space="preserve"> The mother, in particular is feeling a negative impact on her own mental health and home amenity. There are also issues about the level of the daughter’s financial contribution.</w:t>
      </w:r>
    </w:p>
    <w:p w:rsidR="0049031B" w:rsidRDefault="0049031B" w:rsidP="0049031B">
      <w:r>
        <w:t>The mother is als</w:t>
      </w:r>
      <w:r w:rsidR="007C6A15">
        <w:t xml:space="preserve">o worried about where else the </w:t>
      </w:r>
      <w:r>
        <w:t>daughter could live (the daughter is on a disability payment). The parents were thinking of selling their house as a means of resolving the situation although they do not really want to move.</w:t>
      </w:r>
    </w:p>
    <w:p w:rsidR="0049031B" w:rsidRDefault="007C6A15" w:rsidP="0049031B">
      <w:r>
        <w:t xml:space="preserve">The parents </w:t>
      </w:r>
      <w:r w:rsidR="0049031B">
        <w:t>attended for an intake and discussed a length their situation. Their daughter was invited both by letter and by her parents verbally but chose not to participate in a mediation process.</w:t>
      </w:r>
    </w:p>
    <w:p w:rsidR="0049031B" w:rsidRDefault="0049031B" w:rsidP="0049031B">
      <w:r>
        <w:t>We then referred t</w:t>
      </w:r>
      <w:r w:rsidR="007C6A15">
        <w:t xml:space="preserve">he parents to Seniors Rights </w:t>
      </w:r>
      <w:r>
        <w:t xml:space="preserve">for legal advice and the mother to counselling. </w:t>
      </w:r>
      <w:r w:rsidR="007C6A15">
        <w:t xml:space="preserve"> </w:t>
      </w:r>
      <w:r>
        <w:t xml:space="preserve">The mediator had a number of follow up phone calls with the mother to see how things were </w:t>
      </w:r>
      <w:proofErr w:type="spellStart"/>
      <w:r>
        <w:t>progressing.Thr</w:t>
      </w:r>
      <w:proofErr w:type="spellEnd"/>
      <w:r w:rsidR="007C6A15">
        <w:t xml:space="preserve">  </w:t>
      </w:r>
      <w:proofErr w:type="spellStart"/>
      <w:r>
        <w:t>ough</w:t>
      </w:r>
      <w:proofErr w:type="spellEnd"/>
      <w:r>
        <w:t xml:space="preserve"> legal advice the parents  became aware they had  legal options to remove their daughter  if necessary. </w:t>
      </w:r>
      <w:r w:rsidR="007C6A15">
        <w:t xml:space="preserve"> </w:t>
      </w:r>
      <w:r>
        <w:t>Seniors Rights also offered to help them draft warning letters to their daughter of their wish for her to</w:t>
      </w:r>
      <w:r w:rsidR="007C6A15">
        <w:t xml:space="preserve"> relocate and ability to evict </w:t>
      </w:r>
      <w:r>
        <w:t xml:space="preserve">if no other option. </w:t>
      </w:r>
      <w:r w:rsidR="007C6A15">
        <w:t xml:space="preserve"> </w:t>
      </w:r>
      <w:r>
        <w:t xml:space="preserve">Seniors Rights also offered to provide the daughter directly with referrals and resources to find alternative accommodation. </w:t>
      </w:r>
      <w:r w:rsidR="007C6A15">
        <w:t xml:space="preserve"> </w:t>
      </w:r>
      <w:r>
        <w:t>Although the matter did not proceed to mediation the parents felt much more inf</w:t>
      </w:r>
      <w:r w:rsidR="007C6A15">
        <w:t>ormed and empowered and realised</w:t>
      </w:r>
      <w:r>
        <w:t xml:space="preserve"> they did in fact have options beyond selling the house to separate themselves from their child’s abusive behaviour.</w:t>
      </w:r>
    </w:p>
    <w:p w:rsidR="0049031B" w:rsidRDefault="007C6A15" w:rsidP="00A9752A">
      <w:pPr>
        <w:pStyle w:val="Heading3"/>
      </w:pPr>
      <w:r>
        <w:t>Case 8 - mediation</w:t>
      </w:r>
    </w:p>
    <w:p w:rsidR="0049031B" w:rsidRDefault="007C6A15" w:rsidP="0049031B">
      <w:r>
        <w:t>The service</w:t>
      </w:r>
      <w:r w:rsidR="0049031B">
        <w:t xml:space="preserve"> was contacted by </w:t>
      </w:r>
      <w:r>
        <w:t xml:space="preserve">an </w:t>
      </w:r>
      <w:r w:rsidR="0049031B">
        <w:t xml:space="preserve">adult daughter living in </w:t>
      </w:r>
      <w:r>
        <w:t>the city</w:t>
      </w:r>
      <w:r w:rsidR="0049031B">
        <w:t xml:space="preserve"> whose mother (85 year old with increasing forgetfulness) lives on a property 80 </w:t>
      </w:r>
      <w:proofErr w:type="spellStart"/>
      <w:r w:rsidR="0049031B">
        <w:t>kms</w:t>
      </w:r>
      <w:proofErr w:type="spellEnd"/>
      <w:r w:rsidR="0049031B">
        <w:t xml:space="preserve"> out </w:t>
      </w:r>
      <w:r>
        <w:t xml:space="preserve">in the country </w:t>
      </w:r>
      <w:r w:rsidR="0049031B">
        <w:t>with one of her adult sons</w:t>
      </w:r>
      <w:r>
        <w:t>.  The son</w:t>
      </w:r>
      <w:r w:rsidR="0049031B">
        <w:t xml:space="preserve"> lives in a bungalow on the same property. </w:t>
      </w:r>
      <w:r>
        <w:t xml:space="preserve"> </w:t>
      </w:r>
      <w:r w:rsidR="0049031B">
        <w:t xml:space="preserve">The son keeps an eye out for his mother and </w:t>
      </w:r>
      <w:r w:rsidR="0049031B">
        <w:lastRenderedPageBreak/>
        <w:t>helps her out in many ways around the home. This has been the living arrangement for many years now, but the daughter has become increasingly concerned about what she sees as her brother’s bullying of their mother.</w:t>
      </w:r>
      <w:r>
        <w:t xml:space="preserve"> </w:t>
      </w:r>
      <w:r w:rsidR="0049031B">
        <w:t xml:space="preserve"> This takes the form of alleged controlling behaviour around their mother’s cooking, planned outings/trips, driving and other matters.</w:t>
      </w:r>
      <w:r>
        <w:t xml:space="preserve"> </w:t>
      </w:r>
      <w:r w:rsidR="0049031B">
        <w:t xml:space="preserve"> He has been receiving a disability pension for many year</w:t>
      </w:r>
      <w:r>
        <w:t>s. The daughter acknowledges many</w:t>
      </w:r>
      <w:r w:rsidR="0049031B">
        <w:t xml:space="preserve"> good aspects of her brother’s care and in fact believes he needs respite, but they can’t agree about respite care for their mother (amongst other things). </w:t>
      </w:r>
    </w:p>
    <w:p w:rsidR="0049031B" w:rsidRDefault="007C6A15" w:rsidP="0049031B">
      <w:r>
        <w:t>I</w:t>
      </w:r>
      <w:r w:rsidR="0049031B">
        <w:t xml:space="preserve">ntake/assessment sessions </w:t>
      </w:r>
      <w:r>
        <w:t xml:space="preserve">were conducted </w:t>
      </w:r>
      <w:r w:rsidR="0049031B">
        <w:t xml:space="preserve">with the daughter and her mother, but attempts to engage the son in mediation have so far been unsuccessful. The mother does acknowledge that a couple of things could certainly be different, but does not seem prepared to take the matter further although she has spoken to her GP about it. </w:t>
      </w:r>
      <w:r>
        <w:t xml:space="preserve"> </w:t>
      </w:r>
      <w:r w:rsidR="0049031B">
        <w:t xml:space="preserve">The adult daughter is still hopeful that her brother will come to mediation. </w:t>
      </w:r>
    </w:p>
    <w:p w:rsidR="0049031B" w:rsidRDefault="00EA71B5" w:rsidP="00A9752A">
      <w:pPr>
        <w:pStyle w:val="Heading3"/>
      </w:pPr>
      <w:r>
        <w:t>Case 9 - mediation</w:t>
      </w:r>
    </w:p>
    <w:p w:rsidR="0049031B" w:rsidRDefault="00EA71B5" w:rsidP="0049031B">
      <w:r>
        <w:t>The service was contacted by an</w:t>
      </w:r>
      <w:r w:rsidR="0049031B">
        <w:t xml:space="preserve"> older person who was the carer for her physically disabled </w:t>
      </w:r>
      <w:r>
        <w:t xml:space="preserve">(wheel chair bound) </w:t>
      </w:r>
      <w:r w:rsidR="0049031B">
        <w:t>husband in a home which they share with their daughter and son-in-law and their 3 chi</w:t>
      </w:r>
      <w:r w:rsidR="00A9752A">
        <w:t>ldren</w:t>
      </w:r>
      <w:r w:rsidR="0049031B">
        <w:t xml:space="preserve">. The property was bought in the name of all 4 people some 5 years ago when the parents were moving </w:t>
      </w:r>
      <w:r>
        <w:t>from interstate</w:t>
      </w:r>
      <w:r w:rsidR="0049031B">
        <w:t xml:space="preserve">. </w:t>
      </w:r>
      <w:r w:rsidR="00A9752A">
        <w:t xml:space="preserve"> </w:t>
      </w:r>
      <w:r>
        <w:t>The</w:t>
      </w:r>
      <w:r w:rsidR="0049031B">
        <w:t xml:space="preserve"> mother also has some physical health issues of her own. She had been referred by a community service housing social worker who had been investigating some possible alternative accommodation for them, because the son-in-law had been saying that the home would have to be sold by the end of the year.</w:t>
      </w:r>
    </w:p>
    <w:p w:rsidR="0049031B" w:rsidRDefault="00A9752A" w:rsidP="0049031B">
      <w:r>
        <w:t xml:space="preserve">Individual intake/assessment was conduct with each adult.  </w:t>
      </w:r>
      <w:r w:rsidR="0049031B">
        <w:t>Both parents said that the mother was the target of verbal and em</w:t>
      </w:r>
      <w:r>
        <w:t>otional abuse by the son-in-law</w:t>
      </w:r>
      <w:r w:rsidR="0049031B">
        <w:t xml:space="preserve">. Despite the stressful atmosphere in the house, the parents were still keen to discuss continuing to live under the 1 roof “but with respect.” Seeing the grandchildren was obviously important to them. </w:t>
      </w:r>
    </w:p>
    <w:p w:rsidR="0049031B" w:rsidRDefault="0049031B" w:rsidP="0049031B">
      <w:r>
        <w:t xml:space="preserve">At intake, the daughter and son-in-law seemed frustrated about a situation they say they had tried to improve, but couldn’t. </w:t>
      </w:r>
      <w:r w:rsidR="00A9752A">
        <w:t xml:space="preserve"> They had</w:t>
      </w:r>
      <w:r>
        <w:t xml:space="preserve"> made many suggestions, including suggestions for respite care for the mother, but nothing was taken up. Communic</w:t>
      </w:r>
      <w:r w:rsidR="00A9752A">
        <w:t>ation was clearly a big issue and t</w:t>
      </w:r>
      <w:r>
        <w:t xml:space="preserve">hey were </w:t>
      </w:r>
      <w:r w:rsidR="00A9752A">
        <w:t>under severe financial stress</w:t>
      </w:r>
      <w:r>
        <w:t>. They wanted to discuss this in mediation, and also see if something could change in their relat</w:t>
      </w:r>
      <w:r w:rsidR="00A9752A">
        <w:t xml:space="preserve">ionship with the parents. </w:t>
      </w:r>
    </w:p>
    <w:p w:rsidR="008A5351" w:rsidRDefault="00A9752A">
      <w:r>
        <w:t>The parties came together for mediation.  A</w:t>
      </w:r>
      <w:r w:rsidR="0049031B">
        <w:t xml:space="preserve">greements were made about finding a boarder, whose financial contribution could help with the mortgage, which the parents acknowledged was very urgent and important. There was also the opportunity for the mother to talk about how she felt about the </w:t>
      </w:r>
      <w:r>
        <w:t>verbal abuse</w:t>
      </w:r>
      <w:r w:rsidR="0049031B">
        <w:t>. The son-in-law listened and did not reac</w:t>
      </w:r>
      <w:r>
        <w:t>t defensively</w:t>
      </w:r>
      <w:r w:rsidR="0049031B">
        <w:t xml:space="preserve">. Discussion also occurred about respite for the mother and the mother in turn talked about how much she loved them and the grand-children. </w:t>
      </w:r>
    </w:p>
    <w:p w:rsidR="00313ECF" w:rsidRDefault="00313ECF">
      <w:r>
        <w:br w:type="page"/>
      </w:r>
    </w:p>
    <w:p w:rsidR="00355B75" w:rsidRDefault="00355B75" w:rsidP="00355B75">
      <w:r>
        <w:lastRenderedPageBreak/>
        <w:t xml:space="preserve">Thank you for the opportunity to provide </w:t>
      </w:r>
      <w:r w:rsidR="00DE427B">
        <w:t>a submission to the</w:t>
      </w:r>
      <w:r w:rsidR="00723BFF">
        <w:t xml:space="preserve"> </w:t>
      </w:r>
      <w:r w:rsidR="00313ECF">
        <w:t>Issues Paper on Elder Abuse.  Sh</w:t>
      </w:r>
      <w:r>
        <w:t>ould you require any further clarification of any aspect of this submission or need information about the services Relationships Australia provides,</w:t>
      </w:r>
      <w:r w:rsidR="00723BFF">
        <w:t xml:space="preserve"> please c</w:t>
      </w:r>
      <w:r w:rsidR="00A91309">
        <w:t>ontact me</w:t>
      </w:r>
      <w:r w:rsidR="00F415D5">
        <w:t xml:space="preserve"> or Paula</w:t>
      </w:r>
      <w:r w:rsidR="005F1B74">
        <w:t> </w:t>
      </w:r>
      <w:proofErr w:type="spellStart"/>
      <w:r w:rsidR="00F415D5">
        <w:t>Mance</w:t>
      </w:r>
      <w:proofErr w:type="spellEnd"/>
      <w:r w:rsidR="00F415D5">
        <w:t>,</w:t>
      </w:r>
      <w:r w:rsidR="00723BFF">
        <w:t xml:space="preserve"> National Policy Manager</w:t>
      </w:r>
      <w:r w:rsidR="00F415D5">
        <w:t>, Relationships Australia</w:t>
      </w:r>
      <w:r>
        <w:t>.</w:t>
      </w:r>
    </w:p>
    <w:p w:rsidR="001C3D60" w:rsidRDefault="001C3D60" w:rsidP="00355B75"/>
    <w:p w:rsidR="00F41A84" w:rsidRDefault="00F41A84" w:rsidP="00355B75"/>
    <w:p w:rsidR="00355B75" w:rsidRDefault="001C3D60" w:rsidP="00355B75">
      <w:r>
        <w:t>Yours sincerely,</w:t>
      </w:r>
    </w:p>
    <w:p w:rsidR="00236F78" w:rsidRDefault="00A0311F" w:rsidP="00A0311F">
      <w:r w:rsidRPr="00235AF0">
        <w:rPr>
          <w:rFonts w:ascii="Arial" w:hAnsi="Arial" w:cs="Arial"/>
          <w:noProof/>
          <w:szCs w:val="20"/>
        </w:rPr>
        <w:drawing>
          <wp:inline distT="0" distB="0" distL="0" distR="0">
            <wp:extent cx="1878976" cy="95366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8299" cy="958401"/>
                    </a:xfrm>
                    <a:prstGeom prst="rect">
                      <a:avLst/>
                    </a:prstGeom>
                    <a:noFill/>
                    <a:ln>
                      <a:noFill/>
                    </a:ln>
                  </pic:spPr>
                </pic:pic>
              </a:graphicData>
            </a:graphic>
          </wp:inline>
        </w:drawing>
      </w:r>
    </w:p>
    <w:p w:rsidR="000A6B8B" w:rsidRDefault="001C3D60" w:rsidP="00A0311F">
      <w:pPr>
        <w:rPr>
          <w:rFonts w:ascii="Cabin" w:eastAsia="Times New Roman" w:hAnsi="Cabin" w:cs="Lucida Sans Unicode"/>
          <w:color w:val="000000"/>
          <w:u w:val="single"/>
        </w:rPr>
      </w:pPr>
      <w:r w:rsidRPr="004A571A">
        <w:rPr>
          <w:rFonts w:ascii="Cabin" w:eastAsia="Times New Roman" w:hAnsi="Cabin" w:cs="Lucida Sans Unicode"/>
          <w:color w:val="000000"/>
        </w:rPr>
        <w:t>Alison Brook</w:t>
      </w:r>
      <w:r>
        <w:rPr>
          <w:rFonts w:ascii="Cabin" w:eastAsia="Times New Roman" w:hAnsi="Cabin" w:cs="Lucida Sans Unicode"/>
          <w:color w:val="000000"/>
        </w:rPr>
        <w:br/>
      </w:r>
      <w:r w:rsidRPr="004A571A">
        <w:rPr>
          <w:rFonts w:ascii="Cabin" w:eastAsia="Times New Roman" w:hAnsi="Cabin" w:cs="Lucida Sans Unicode"/>
          <w:color w:val="000000"/>
          <w:u w:val="single"/>
        </w:rPr>
        <w:t>National Executive Officer</w:t>
      </w:r>
    </w:p>
    <w:p w:rsidR="000A6B8B" w:rsidRDefault="00313ECF">
      <w:pPr>
        <w:rPr>
          <w:rFonts w:ascii="Cabin" w:eastAsia="Times New Roman" w:hAnsi="Cabin" w:cs="Lucida Sans Unicode"/>
          <w:color w:val="000000"/>
        </w:rPr>
      </w:pPr>
      <w:r>
        <w:rPr>
          <w:rFonts w:ascii="Cabin" w:eastAsia="Times New Roman" w:hAnsi="Cabin" w:cs="Lucida Sans Unicode"/>
          <w:color w:val="000000"/>
        </w:rPr>
        <w:t>5 September</w:t>
      </w:r>
      <w:r w:rsidR="005F1B74">
        <w:rPr>
          <w:rFonts w:ascii="Cabin" w:eastAsia="Times New Roman" w:hAnsi="Cabin" w:cs="Lucida Sans Unicode"/>
          <w:color w:val="000000"/>
        </w:rPr>
        <w:t xml:space="preserve"> 201</w:t>
      </w:r>
      <w:r w:rsidR="00E37171">
        <w:rPr>
          <w:rFonts w:ascii="Cabin" w:eastAsia="Times New Roman" w:hAnsi="Cabin" w:cs="Lucida Sans Unicode"/>
          <w:color w:val="000000"/>
        </w:rPr>
        <w:t>6</w:t>
      </w:r>
    </w:p>
    <w:p w:rsidR="00B8016D" w:rsidRPr="00BC1A3D" w:rsidRDefault="00B8016D" w:rsidP="000617C9">
      <w:pPr>
        <w:rPr>
          <w:rFonts w:eastAsia="Times New Roman"/>
        </w:rPr>
      </w:pPr>
    </w:p>
    <w:sectPr w:rsidR="00B8016D" w:rsidRPr="00BC1A3D" w:rsidSect="00682477">
      <w:footerReference w:type="default" r:id="rId10"/>
      <w:headerReference w:type="first" r:id="rId11"/>
      <w:footerReference w:type="first" r:id="rId12"/>
      <w:pgSz w:w="11906" w:h="16838" w:code="9"/>
      <w:pgMar w:top="2211" w:right="1440" w:bottom="1418" w:left="1440" w:header="709" w:footer="7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F1" w:rsidRDefault="005778F1" w:rsidP="006379DC">
      <w:pPr>
        <w:spacing w:after="0" w:line="240" w:lineRule="auto"/>
      </w:pPr>
      <w:r>
        <w:separator/>
      </w:r>
    </w:p>
  </w:endnote>
  <w:endnote w:type="continuationSeparator" w:id="0">
    <w:p w:rsidR="005778F1" w:rsidRDefault="005778F1" w:rsidP="00637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bin">
    <w:altName w:val="Tw Cen MT Condensed Extra Bold"/>
    <w:charset w:val="00"/>
    <w:family w:val="swiss"/>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F1" w:rsidRDefault="005778F1">
    <w:pPr>
      <w:pStyle w:val="Footer"/>
    </w:pPr>
    <w:r>
      <w:rPr>
        <w:noProof/>
      </w:rPr>
      <w:drawing>
        <wp:anchor distT="0" distB="0" distL="114300" distR="114300" simplePos="0" relativeHeight="251657728" behindDoc="1" locked="0" layoutInCell="1" allowOverlap="1">
          <wp:simplePos x="0" y="0"/>
          <wp:positionH relativeFrom="column">
            <wp:posOffset>-912179</wp:posOffset>
          </wp:positionH>
          <wp:positionV relativeFrom="paragraph">
            <wp:posOffset>131040</wp:posOffset>
          </wp:positionV>
          <wp:extent cx="7890790" cy="56098"/>
          <wp:effectExtent l="19050" t="0" r="0" b="0"/>
          <wp:wrapNone/>
          <wp:docPr id="12" name="Picture 0" descr="RA-letter-head-_Colour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etter-head-_Colour Bar.jpg"/>
                  <pic:cNvPicPr/>
                </pic:nvPicPr>
                <pic:blipFill>
                  <a:blip r:embed="rId1"/>
                  <a:stretch>
                    <a:fillRect/>
                  </a:stretch>
                </pic:blipFill>
                <pic:spPr>
                  <a:xfrm>
                    <a:off x="0" y="0"/>
                    <a:ext cx="7890790" cy="56098"/>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F1" w:rsidRDefault="005778F1">
    <w:pPr>
      <w:pStyle w:val="Footer"/>
    </w:pPr>
    <w:r>
      <w:rPr>
        <w:noProof/>
      </w:rPr>
      <w:drawing>
        <wp:anchor distT="0" distB="0" distL="114300" distR="114300" simplePos="0" relativeHeight="251656704" behindDoc="0" locked="0" layoutInCell="1" allowOverlap="1">
          <wp:simplePos x="0" y="0"/>
          <wp:positionH relativeFrom="page">
            <wp:posOffset>1905</wp:posOffset>
          </wp:positionH>
          <wp:positionV relativeFrom="page">
            <wp:posOffset>10831195</wp:posOffset>
          </wp:positionV>
          <wp:extent cx="7581265" cy="1028065"/>
          <wp:effectExtent l="19050" t="0" r="635" b="0"/>
          <wp:wrapThrough wrapText="bothSides">
            <wp:wrapPolygon edited="0">
              <wp:start x="-54" y="0"/>
              <wp:lineTo x="-54" y="21213"/>
              <wp:lineTo x="21602" y="21213"/>
              <wp:lineTo x="21602" y="0"/>
              <wp:lineTo x="-54" y="0"/>
            </wp:wrapPolygon>
          </wp:wrapThrough>
          <wp:docPr id="6" name="Picture 5" descr="RA-A4-standard-pages-head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A4-standard-pages-header-02.jpg"/>
                  <pic:cNvPicPr/>
                </pic:nvPicPr>
                <pic:blipFill>
                  <a:blip r:embed="rId1"/>
                  <a:stretch>
                    <a:fillRect/>
                  </a:stretch>
                </pic:blipFill>
                <pic:spPr>
                  <a:xfrm>
                    <a:off x="0" y="0"/>
                    <a:ext cx="7581265" cy="102806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F1" w:rsidRDefault="005778F1" w:rsidP="006379DC">
      <w:pPr>
        <w:spacing w:after="0" w:line="240" w:lineRule="auto"/>
      </w:pPr>
      <w:r>
        <w:separator/>
      </w:r>
    </w:p>
  </w:footnote>
  <w:footnote w:type="continuationSeparator" w:id="0">
    <w:p w:rsidR="005778F1" w:rsidRDefault="005778F1" w:rsidP="00637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F1" w:rsidRDefault="005778F1" w:rsidP="009D0866">
    <w:pPr>
      <w:pStyle w:val="Header"/>
      <w:tabs>
        <w:tab w:val="clear" w:pos="9026"/>
      </w:tabs>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9937115</wp:posOffset>
          </wp:positionV>
          <wp:extent cx="7945200" cy="85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etter-head-RGB-300dpi-_A4 footer.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45200" cy="853200"/>
                  </a:xfrm>
                  <a:prstGeom prst="rect">
                    <a:avLst/>
                  </a:prstGeom>
                </pic:spPr>
              </pic:pic>
            </a:graphicData>
          </a:graphic>
        </wp:anchor>
      </w:drawing>
    </w:r>
    <w:r w:rsidRPr="009A4AE3">
      <w:rPr>
        <w:noProof/>
      </w:rPr>
      <w:drawing>
        <wp:anchor distT="0" distB="0" distL="114300" distR="114300" simplePos="0" relativeHeight="251655680" behindDoc="0" locked="0" layoutInCell="1" allowOverlap="1">
          <wp:simplePos x="0" y="0"/>
          <wp:positionH relativeFrom="page">
            <wp:posOffset>2220</wp:posOffset>
          </wp:positionH>
          <wp:positionV relativeFrom="page">
            <wp:posOffset>0</wp:posOffset>
          </wp:positionV>
          <wp:extent cx="7581615" cy="1403998"/>
          <wp:effectExtent l="19050" t="0" r="28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eader.gif"/>
                  <pic:cNvPicPr/>
                </pic:nvPicPr>
                <pic:blipFill>
                  <a:blip r:embed="rId2"/>
                  <a:stretch>
                    <a:fillRect/>
                  </a:stretch>
                </pic:blipFill>
                <pic:spPr>
                  <a:xfrm>
                    <a:off x="0" y="0"/>
                    <a:ext cx="7582254" cy="1404116"/>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E7"/>
    <w:multiLevelType w:val="hybridMultilevel"/>
    <w:tmpl w:val="C2802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F013FE"/>
    <w:multiLevelType w:val="hybridMultilevel"/>
    <w:tmpl w:val="55DE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2914E0"/>
    <w:multiLevelType w:val="hybridMultilevel"/>
    <w:tmpl w:val="13E81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7E43E9"/>
    <w:multiLevelType w:val="hybridMultilevel"/>
    <w:tmpl w:val="EF261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726306"/>
    <w:multiLevelType w:val="hybridMultilevel"/>
    <w:tmpl w:val="4D38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211566"/>
    <w:multiLevelType w:val="hybridMultilevel"/>
    <w:tmpl w:val="43C2C1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15FF1A55"/>
    <w:multiLevelType w:val="hybridMultilevel"/>
    <w:tmpl w:val="24D43E92"/>
    <w:lvl w:ilvl="0" w:tplc="13502A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C61C35"/>
    <w:multiLevelType w:val="hybridMultilevel"/>
    <w:tmpl w:val="4DC4ADCC"/>
    <w:lvl w:ilvl="0" w:tplc="EEE8D442">
      <w:numFmt w:val="bullet"/>
      <w:pStyle w:val="ListParagraph"/>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8B142B"/>
    <w:multiLevelType w:val="hybridMultilevel"/>
    <w:tmpl w:val="C3041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A6062E"/>
    <w:multiLevelType w:val="hybridMultilevel"/>
    <w:tmpl w:val="9B7A2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2902B1"/>
    <w:multiLevelType w:val="hybridMultilevel"/>
    <w:tmpl w:val="EE8E5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D9271D"/>
    <w:multiLevelType w:val="hybridMultilevel"/>
    <w:tmpl w:val="6E54F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1D342F"/>
    <w:multiLevelType w:val="hybridMultilevel"/>
    <w:tmpl w:val="5D3C5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4060B9"/>
    <w:multiLevelType w:val="hybridMultilevel"/>
    <w:tmpl w:val="C94AA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06874"/>
    <w:multiLevelType w:val="hybridMultilevel"/>
    <w:tmpl w:val="0D76D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9042B5"/>
    <w:multiLevelType w:val="hybridMultilevel"/>
    <w:tmpl w:val="B352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432850"/>
    <w:multiLevelType w:val="hybridMultilevel"/>
    <w:tmpl w:val="8C4E1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9825B1"/>
    <w:multiLevelType w:val="hybridMultilevel"/>
    <w:tmpl w:val="B8D07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864E5B"/>
    <w:multiLevelType w:val="hybridMultilevel"/>
    <w:tmpl w:val="6D0E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4212BA"/>
    <w:multiLevelType w:val="hybridMultilevel"/>
    <w:tmpl w:val="5EF8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0E083C"/>
    <w:multiLevelType w:val="hybridMultilevel"/>
    <w:tmpl w:val="3456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3F0D18"/>
    <w:multiLevelType w:val="hybridMultilevel"/>
    <w:tmpl w:val="FA00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BA4CFF"/>
    <w:multiLevelType w:val="hybridMultilevel"/>
    <w:tmpl w:val="31420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CE3A5B"/>
    <w:multiLevelType w:val="hybridMultilevel"/>
    <w:tmpl w:val="EAEE6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EB125C"/>
    <w:multiLevelType w:val="hybridMultilevel"/>
    <w:tmpl w:val="F370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DD4DDA"/>
    <w:multiLevelType w:val="hybridMultilevel"/>
    <w:tmpl w:val="C882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1F1C07"/>
    <w:multiLevelType w:val="hybridMultilevel"/>
    <w:tmpl w:val="F9A6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1863C6"/>
    <w:multiLevelType w:val="hybridMultilevel"/>
    <w:tmpl w:val="FF58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AD5947"/>
    <w:multiLevelType w:val="hybridMultilevel"/>
    <w:tmpl w:val="9F3C6B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7D6F5316"/>
    <w:multiLevelType w:val="hybridMultilevel"/>
    <w:tmpl w:val="307A1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2"/>
  </w:num>
  <w:num w:numId="3">
    <w:abstractNumId w:val="15"/>
  </w:num>
  <w:num w:numId="4">
    <w:abstractNumId w:val="5"/>
  </w:num>
  <w:num w:numId="5">
    <w:abstractNumId w:val="13"/>
  </w:num>
  <w:num w:numId="6">
    <w:abstractNumId w:val="11"/>
  </w:num>
  <w:num w:numId="7">
    <w:abstractNumId w:val="4"/>
  </w:num>
  <w:num w:numId="8">
    <w:abstractNumId w:val="19"/>
  </w:num>
  <w:num w:numId="9">
    <w:abstractNumId w:val="6"/>
  </w:num>
  <w:num w:numId="10">
    <w:abstractNumId w:val="29"/>
  </w:num>
  <w:num w:numId="11">
    <w:abstractNumId w:val="23"/>
  </w:num>
  <w:num w:numId="12">
    <w:abstractNumId w:val="16"/>
  </w:num>
  <w:num w:numId="13">
    <w:abstractNumId w:val="9"/>
  </w:num>
  <w:num w:numId="14">
    <w:abstractNumId w:val="3"/>
  </w:num>
  <w:num w:numId="15">
    <w:abstractNumId w:val="25"/>
  </w:num>
  <w:num w:numId="16">
    <w:abstractNumId w:val="24"/>
  </w:num>
  <w:num w:numId="17">
    <w:abstractNumId w:val="18"/>
  </w:num>
  <w:num w:numId="18">
    <w:abstractNumId w:val="12"/>
  </w:num>
  <w:num w:numId="19">
    <w:abstractNumId w:val="26"/>
  </w:num>
  <w:num w:numId="20">
    <w:abstractNumId w:val="27"/>
  </w:num>
  <w:num w:numId="21">
    <w:abstractNumId w:val="28"/>
  </w:num>
  <w:num w:numId="22">
    <w:abstractNumId w:val="17"/>
  </w:num>
  <w:num w:numId="23">
    <w:abstractNumId w:val="10"/>
  </w:num>
  <w:num w:numId="24">
    <w:abstractNumId w:val="20"/>
  </w:num>
  <w:num w:numId="25">
    <w:abstractNumId w:val="1"/>
  </w:num>
  <w:num w:numId="26">
    <w:abstractNumId w:val="14"/>
  </w:num>
  <w:num w:numId="27">
    <w:abstractNumId w:val="8"/>
  </w:num>
  <w:num w:numId="28">
    <w:abstractNumId w:val="0"/>
  </w:num>
  <w:num w:numId="29">
    <w:abstractNumId w:val="2"/>
  </w:num>
  <w:num w:numId="30">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355B75"/>
    <w:rsid w:val="00004CFC"/>
    <w:rsid w:val="00021C86"/>
    <w:rsid w:val="000311C0"/>
    <w:rsid w:val="00033B18"/>
    <w:rsid w:val="000512CE"/>
    <w:rsid w:val="00057C49"/>
    <w:rsid w:val="000617C9"/>
    <w:rsid w:val="00062A13"/>
    <w:rsid w:val="00064AE5"/>
    <w:rsid w:val="00074528"/>
    <w:rsid w:val="000A4868"/>
    <w:rsid w:val="000A59FB"/>
    <w:rsid w:val="000A667C"/>
    <w:rsid w:val="000A6A11"/>
    <w:rsid w:val="000A6B8B"/>
    <w:rsid w:val="000C2E8B"/>
    <w:rsid w:val="000D76AB"/>
    <w:rsid w:val="000F2EF6"/>
    <w:rsid w:val="001163B3"/>
    <w:rsid w:val="00117426"/>
    <w:rsid w:val="001338FC"/>
    <w:rsid w:val="00143168"/>
    <w:rsid w:val="001439C4"/>
    <w:rsid w:val="00172B48"/>
    <w:rsid w:val="00174C67"/>
    <w:rsid w:val="001761C4"/>
    <w:rsid w:val="0018033D"/>
    <w:rsid w:val="00186025"/>
    <w:rsid w:val="001925BF"/>
    <w:rsid w:val="001A4115"/>
    <w:rsid w:val="001A5593"/>
    <w:rsid w:val="001C118C"/>
    <w:rsid w:val="001C3D60"/>
    <w:rsid w:val="001C6D1A"/>
    <w:rsid w:val="001C748A"/>
    <w:rsid w:val="001E05D3"/>
    <w:rsid w:val="001E3ABD"/>
    <w:rsid w:val="001E5D87"/>
    <w:rsid w:val="001F5417"/>
    <w:rsid w:val="001F7DC7"/>
    <w:rsid w:val="00214653"/>
    <w:rsid w:val="0021568C"/>
    <w:rsid w:val="00231045"/>
    <w:rsid w:val="00236F78"/>
    <w:rsid w:val="0025521F"/>
    <w:rsid w:val="002562BA"/>
    <w:rsid w:val="002641A7"/>
    <w:rsid w:val="002862D9"/>
    <w:rsid w:val="00290613"/>
    <w:rsid w:val="0029163B"/>
    <w:rsid w:val="002A3429"/>
    <w:rsid w:val="002A54DF"/>
    <w:rsid w:val="002B05CA"/>
    <w:rsid w:val="002B1712"/>
    <w:rsid w:val="002B62C6"/>
    <w:rsid w:val="002C1369"/>
    <w:rsid w:val="002E2BDF"/>
    <w:rsid w:val="002E56CB"/>
    <w:rsid w:val="002F1365"/>
    <w:rsid w:val="002F46D4"/>
    <w:rsid w:val="002F60F1"/>
    <w:rsid w:val="00300F95"/>
    <w:rsid w:val="00313ECF"/>
    <w:rsid w:val="00355B75"/>
    <w:rsid w:val="00360466"/>
    <w:rsid w:val="00366046"/>
    <w:rsid w:val="00380C53"/>
    <w:rsid w:val="00382AA0"/>
    <w:rsid w:val="00393524"/>
    <w:rsid w:val="0039759A"/>
    <w:rsid w:val="003B07AD"/>
    <w:rsid w:val="003C2977"/>
    <w:rsid w:val="003D60C2"/>
    <w:rsid w:val="003E01AC"/>
    <w:rsid w:val="003E5458"/>
    <w:rsid w:val="003F124C"/>
    <w:rsid w:val="0040435A"/>
    <w:rsid w:val="00413F47"/>
    <w:rsid w:val="00414359"/>
    <w:rsid w:val="004229F5"/>
    <w:rsid w:val="004239E4"/>
    <w:rsid w:val="00425338"/>
    <w:rsid w:val="00434305"/>
    <w:rsid w:val="0044142D"/>
    <w:rsid w:val="00465D38"/>
    <w:rsid w:val="0046619F"/>
    <w:rsid w:val="0047098A"/>
    <w:rsid w:val="00473225"/>
    <w:rsid w:val="00477AD4"/>
    <w:rsid w:val="00485F12"/>
    <w:rsid w:val="004864C9"/>
    <w:rsid w:val="00487C68"/>
    <w:rsid w:val="0049031B"/>
    <w:rsid w:val="004951FA"/>
    <w:rsid w:val="004A4D95"/>
    <w:rsid w:val="004A7A67"/>
    <w:rsid w:val="004B050A"/>
    <w:rsid w:val="004B5972"/>
    <w:rsid w:val="004C01ED"/>
    <w:rsid w:val="004C4DB7"/>
    <w:rsid w:val="004E0BD4"/>
    <w:rsid w:val="004E60FF"/>
    <w:rsid w:val="004F07DE"/>
    <w:rsid w:val="004F0B21"/>
    <w:rsid w:val="004F1F7B"/>
    <w:rsid w:val="00500284"/>
    <w:rsid w:val="00501A1B"/>
    <w:rsid w:val="00513467"/>
    <w:rsid w:val="00513D82"/>
    <w:rsid w:val="0051595D"/>
    <w:rsid w:val="00523DDB"/>
    <w:rsid w:val="00531C13"/>
    <w:rsid w:val="005431C2"/>
    <w:rsid w:val="005524D9"/>
    <w:rsid w:val="00563EEC"/>
    <w:rsid w:val="00572012"/>
    <w:rsid w:val="005778F1"/>
    <w:rsid w:val="00580D72"/>
    <w:rsid w:val="005817A1"/>
    <w:rsid w:val="00585A19"/>
    <w:rsid w:val="005A5462"/>
    <w:rsid w:val="005C36B7"/>
    <w:rsid w:val="005C52A9"/>
    <w:rsid w:val="005D1302"/>
    <w:rsid w:val="005D17D3"/>
    <w:rsid w:val="005D1F80"/>
    <w:rsid w:val="005D6B8B"/>
    <w:rsid w:val="005E060E"/>
    <w:rsid w:val="005E11E7"/>
    <w:rsid w:val="005E45CD"/>
    <w:rsid w:val="005E55FB"/>
    <w:rsid w:val="005F1B74"/>
    <w:rsid w:val="005F2971"/>
    <w:rsid w:val="00601841"/>
    <w:rsid w:val="00602B25"/>
    <w:rsid w:val="00604066"/>
    <w:rsid w:val="006235C4"/>
    <w:rsid w:val="00626A8E"/>
    <w:rsid w:val="00632542"/>
    <w:rsid w:val="006379DC"/>
    <w:rsid w:val="00651270"/>
    <w:rsid w:val="00654784"/>
    <w:rsid w:val="00667987"/>
    <w:rsid w:val="0068191A"/>
    <w:rsid w:val="00682477"/>
    <w:rsid w:val="00691372"/>
    <w:rsid w:val="00694848"/>
    <w:rsid w:val="006A1BDA"/>
    <w:rsid w:val="006C3389"/>
    <w:rsid w:val="006C40C4"/>
    <w:rsid w:val="006C6999"/>
    <w:rsid w:val="006D1711"/>
    <w:rsid w:val="006D7A6F"/>
    <w:rsid w:val="006F0C8C"/>
    <w:rsid w:val="006F195B"/>
    <w:rsid w:val="006F7641"/>
    <w:rsid w:val="00710274"/>
    <w:rsid w:val="007115D1"/>
    <w:rsid w:val="00715399"/>
    <w:rsid w:val="00716844"/>
    <w:rsid w:val="00716D0B"/>
    <w:rsid w:val="00720FC8"/>
    <w:rsid w:val="00723BFF"/>
    <w:rsid w:val="00733B35"/>
    <w:rsid w:val="007373F9"/>
    <w:rsid w:val="00741EA5"/>
    <w:rsid w:val="00746ACA"/>
    <w:rsid w:val="00747900"/>
    <w:rsid w:val="007568E7"/>
    <w:rsid w:val="00760D7E"/>
    <w:rsid w:val="007627F1"/>
    <w:rsid w:val="0076751A"/>
    <w:rsid w:val="00777199"/>
    <w:rsid w:val="00782BE4"/>
    <w:rsid w:val="00793D7A"/>
    <w:rsid w:val="007955AA"/>
    <w:rsid w:val="007A53C7"/>
    <w:rsid w:val="007A7A57"/>
    <w:rsid w:val="007B0AA6"/>
    <w:rsid w:val="007B52D9"/>
    <w:rsid w:val="007B632F"/>
    <w:rsid w:val="007C6A15"/>
    <w:rsid w:val="007C7CA3"/>
    <w:rsid w:val="007D6D63"/>
    <w:rsid w:val="007E3ED2"/>
    <w:rsid w:val="007F3CA7"/>
    <w:rsid w:val="007F7957"/>
    <w:rsid w:val="0080102B"/>
    <w:rsid w:val="00807620"/>
    <w:rsid w:val="008131F8"/>
    <w:rsid w:val="008141BB"/>
    <w:rsid w:val="00814BA2"/>
    <w:rsid w:val="008211AE"/>
    <w:rsid w:val="0082624F"/>
    <w:rsid w:val="00830E7A"/>
    <w:rsid w:val="00831A2D"/>
    <w:rsid w:val="00831E6B"/>
    <w:rsid w:val="00857037"/>
    <w:rsid w:val="0086271B"/>
    <w:rsid w:val="00863816"/>
    <w:rsid w:val="00863CD6"/>
    <w:rsid w:val="00865954"/>
    <w:rsid w:val="00866539"/>
    <w:rsid w:val="00867078"/>
    <w:rsid w:val="00870D86"/>
    <w:rsid w:val="0087350F"/>
    <w:rsid w:val="00873E65"/>
    <w:rsid w:val="00886DE3"/>
    <w:rsid w:val="008941B3"/>
    <w:rsid w:val="00894F1A"/>
    <w:rsid w:val="00896D4D"/>
    <w:rsid w:val="008A4901"/>
    <w:rsid w:val="008A5351"/>
    <w:rsid w:val="008A7BD6"/>
    <w:rsid w:val="008B3B37"/>
    <w:rsid w:val="008B3DD2"/>
    <w:rsid w:val="008C559E"/>
    <w:rsid w:val="008E27A3"/>
    <w:rsid w:val="008E2BFB"/>
    <w:rsid w:val="008E328B"/>
    <w:rsid w:val="009025BA"/>
    <w:rsid w:val="009065DA"/>
    <w:rsid w:val="00912885"/>
    <w:rsid w:val="00932E2D"/>
    <w:rsid w:val="00942A02"/>
    <w:rsid w:val="00944958"/>
    <w:rsid w:val="00946F53"/>
    <w:rsid w:val="009506C0"/>
    <w:rsid w:val="00955074"/>
    <w:rsid w:val="00960C4C"/>
    <w:rsid w:val="00961CD2"/>
    <w:rsid w:val="00963A7C"/>
    <w:rsid w:val="00980C02"/>
    <w:rsid w:val="0098459E"/>
    <w:rsid w:val="00991C5E"/>
    <w:rsid w:val="0099522D"/>
    <w:rsid w:val="009A212E"/>
    <w:rsid w:val="009A4AE3"/>
    <w:rsid w:val="009A66EC"/>
    <w:rsid w:val="009B2C16"/>
    <w:rsid w:val="009C2190"/>
    <w:rsid w:val="009C7BEE"/>
    <w:rsid w:val="009D0866"/>
    <w:rsid w:val="009D103E"/>
    <w:rsid w:val="009E43FF"/>
    <w:rsid w:val="009E6146"/>
    <w:rsid w:val="009E6B03"/>
    <w:rsid w:val="009E7873"/>
    <w:rsid w:val="009F075B"/>
    <w:rsid w:val="00A0311F"/>
    <w:rsid w:val="00A03B5D"/>
    <w:rsid w:val="00A0651F"/>
    <w:rsid w:val="00A22FA7"/>
    <w:rsid w:val="00A24C3B"/>
    <w:rsid w:val="00A32FD2"/>
    <w:rsid w:val="00A62373"/>
    <w:rsid w:val="00A67305"/>
    <w:rsid w:val="00A722B6"/>
    <w:rsid w:val="00A80AB4"/>
    <w:rsid w:val="00A8276B"/>
    <w:rsid w:val="00A83507"/>
    <w:rsid w:val="00A91309"/>
    <w:rsid w:val="00A91DFC"/>
    <w:rsid w:val="00A9752A"/>
    <w:rsid w:val="00AB2256"/>
    <w:rsid w:val="00AB7517"/>
    <w:rsid w:val="00AC61E3"/>
    <w:rsid w:val="00AE0040"/>
    <w:rsid w:val="00AE3BCC"/>
    <w:rsid w:val="00B026DD"/>
    <w:rsid w:val="00B347E7"/>
    <w:rsid w:val="00B57812"/>
    <w:rsid w:val="00B6093E"/>
    <w:rsid w:val="00B60F3C"/>
    <w:rsid w:val="00B709DF"/>
    <w:rsid w:val="00B8016D"/>
    <w:rsid w:val="00B810EA"/>
    <w:rsid w:val="00B84E74"/>
    <w:rsid w:val="00B85AAD"/>
    <w:rsid w:val="00B865C8"/>
    <w:rsid w:val="00B9366D"/>
    <w:rsid w:val="00BA1507"/>
    <w:rsid w:val="00BB2808"/>
    <w:rsid w:val="00BC01F1"/>
    <w:rsid w:val="00BC1A3D"/>
    <w:rsid w:val="00BC4B6E"/>
    <w:rsid w:val="00BC5618"/>
    <w:rsid w:val="00BD3F40"/>
    <w:rsid w:val="00BD4D51"/>
    <w:rsid w:val="00BD6102"/>
    <w:rsid w:val="00BE15AC"/>
    <w:rsid w:val="00BE1BAC"/>
    <w:rsid w:val="00BE4988"/>
    <w:rsid w:val="00C01CBE"/>
    <w:rsid w:val="00C076BB"/>
    <w:rsid w:val="00C11D64"/>
    <w:rsid w:val="00C139D8"/>
    <w:rsid w:val="00C20700"/>
    <w:rsid w:val="00C339D0"/>
    <w:rsid w:val="00C41151"/>
    <w:rsid w:val="00C47C02"/>
    <w:rsid w:val="00C508A4"/>
    <w:rsid w:val="00C50F32"/>
    <w:rsid w:val="00C537CD"/>
    <w:rsid w:val="00C603F4"/>
    <w:rsid w:val="00C61D5E"/>
    <w:rsid w:val="00C62D27"/>
    <w:rsid w:val="00C67762"/>
    <w:rsid w:val="00CC3289"/>
    <w:rsid w:val="00CC6116"/>
    <w:rsid w:val="00CC7E54"/>
    <w:rsid w:val="00CF42F9"/>
    <w:rsid w:val="00CF4E5E"/>
    <w:rsid w:val="00CF7256"/>
    <w:rsid w:val="00D06341"/>
    <w:rsid w:val="00D1678D"/>
    <w:rsid w:val="00D557A9"/>
    <w:rsid w:val="00D638F4"/>
    <w:rsid w:val="00D6672E"/>
    <w:rsid w:val="00D75948"/>
    <w:rsid w:val="00D8273B"/>
    <w:rsid w:val="00D86FA5"/>
    <w:rsid w:val="00D9277C"/>
    <w:rsid w:val="00DB1CE9"/>
    <w:rsid w:val="00DB3018"/>
    <w:rsid w:val="00DC06AF"/>
    <w:rsid w:val="00DC134E"/>
    <w:rsid w:val="00DC4160"/>
    <w:rsid w:val="00DC76F4"/>
    <w:rsid w:val="00DD08CE"/>
    <w:rsid w:val="00DE32B7"/>
    <w:rsid w:val="00DE427B"/>
    <w:rsid w:val="00DF1EFE"/>
    <w:rsid w:val="00DF6C63"/>
    <w:rsid w:val="00E0097F"/>
    <w:rsid w:val="00E122ED"/>
    <w:rsid w:val="00E14F11"/>
    <w:rsid w:val="00E3120B"/>
    <w:rsid w:val="00E37171"/>
    <w:rsid w:val="00E448A9"/>
    <w:rsid w:val="00E46E46"/>
    <w:rsid w:val="00E52BA3"/>
    <w:rsid w:val="00E621E0"/>
    <w:rsid w:val="00E64C9B"/>
    <w:rsid w:val="00E85ED7"/>
    <w:rsid w:val="00E87448"/>
    <w:rsid w:val="00E95837"/>
    <w:rsid w:val="00EA71B5"/>
    <w:rsid w:val="00EB29D1"/>
    <w:rsid w:val="00EB3ECF"/>
    <w:rsid w:val="00EB5513"/>
    <w:rsid w:val="00EB5809"/>
    <w:rsid w:val="00EB5DCC"/>
    <w:rsid w:val="00EC3F38"/>
    <w:rsid w:val="00ED28DB"/>
    <w:rsid w:val="00EF119E"/>
    <w:rsid w:val="00EF15C3"/>
    <w:rsid w:val="00EF66EB"/>
    <w:rsid w:val="00F00372"/>
    <w:rsid w:val="00F0378C"/>
    <w:rsid w:val="00F07DAF"/>
    <w:rsid w:val="00F204B1"/>
    <w:rsid w:val="00F214DA"/>
    <w:rsid w:val="00F2477D"/>
    <w:rsid w:val="00F269A8"/>
    <w:rsid w:val="00F2724F"/>
    <w:rsid w:val="00F31FE4"/>
    <w:rsid w:val="00F35B26"/>
    <w:rsid w:val="00F362B7"/>
    <w:rsid w:val="00F415D5"/>
    <w:rsid w:val="00F41A84"/>
    <w:rsid w:val="00F46180"/>
    <w:rsid w:val="00F47C54"/>
    <w:rsid w:val="00F57E54"/>
    <w:rsid w:val="00F63F96"/>
    <w:rsid w:val="00F70A63"/>
    <w:rsid w:val="00F7226E"/>
    <w:rsid w:val="00F80827"/>
    <w:rsid w:val="00F820FD"/>
    <w:rsid w:val="00F84024"/>
    <w:rsid w:val="00F909CA"/>
    <w:rsid w:val="00F918B3"/>
    <w:rsid w:val="00F91EF3"/>
    <w:rsid w:val="00F94726"/>
    <w:rsid w:val="00FA1434"/>
    <w:rsid w:val="00FA39CC"/>
    <w:rsid w:val="00FC2D56"/>
    <w:rsid w:val="00FD17EE"/>
    <w:rsid w:val="00FE0596"/>
    <w:rsid w:val="00FF7C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2E8B"/>
  </w:style>
  <w:style w:type="paragraph" w:styleId="Heading1">
    <w:name w:val="heading 1"/>
    <w:basedOn w:val="Normal"/>
    <w:next w:val="Normal"/>
    <w:link w:val="Heading1Char"/>
    <w:uiPriority w:val="9"/>
    <w:qFormat/>
    <w:rsid w:val="005524D9"/>
    <w:pPr>
      <w:keepNext/>
      <w:keepLines/>
      <w:spacing w:before="480" w:after="0" w:line="240" w:lineRule="auto"/>
      <w:outlineLvl w:val="0"/>
    </w:pPr>
    <w:rPr>
      <w:rFonts w:eastAsiaTheme="majorEastAsia" w:cstheme="majorBidi"/>
      <w:bCs/>
      <w:color w:val="003451" w:themeColor="accent1" w:themeShade="BF"/>
      <w:sz w:val="40"/>
      <w:szCs w:val="28"/>
    </w:rPr>
  </w:style>
  <w:style w:type="paragraph" w:styleId="Heading2">
    <w:name w:val="heading 2"/>
    <w:basedOn w:val="Normal"/>
    <w:next w:val="Normal"/>
    <w:link w:val="Heading2Char"/>
    <w:uiPriority w:val="9"/>
    <w:unhideWhenUsed/>
    <w:qFormat/>
    <w:rsid w:val="005524D9"/>
    <w:pPr>
      <w:keepNext/>
      <w:keepLines/>
      <w:spacing w:before="200" w:after="0" w:line="240" w:lineRule="auto"/>
      <w:outlineLvl w:val="1"/>
    </w:pPr>
    <w:rPr>
      <w:rFonts w:eastAsiaTheme="majorEastAsia" w:cstheme="majorBidi"/>
      <w:bCs/>
      <w:color w:val="00476D" w:themeColor="accent1"/>
      <w:sz w:val="32"/>
      <w:szCs w:val="26"/>
    </w:rPr>
  </w:style>
  <w:style w:type="paragraph" w:styleId="Heading3">
    <w:name w:val="heading 3"/>
    <w:basedOn w:val="Normal"/>
    <w:next w:val="Normal"/>
    <w:link w:val="Heading3Char"/>
    <w:uiPriority w:val="9"/>
    <w:unhideWhenUsed/>
    <w:qFormat/>
    <w:rsid w:val="005524D9"/>
    <w:pPr>
      <w:keepNext/>
      <w:keepLines/>
      <w:spacing w:before="200" w:after="0" w:line="240" w:lineRule="auto"/>
      <w:outlineLvl w:val="2"/>
    </w:pPr>
    <w:rPr>
      <w:rFonts w:eastAsiaTheme="majorEastAsia" w:cstheme="majorBidi"/>
      <w:bCs/>
      <w:color w:val="00476D" w:themeColor="accent1"/>
      <w:sz w:val="26"/>
    </w:rPr>
  </w:style>
  <w:style w:type="paragraph" w:styleId="Heading4">
    <w:name w:val="heading 4"/>
    <w:basedOn w:val="Normal"/>
    <w:next w:val="Normal"/>
    <w:link w:val="Heading4Char"/>
    <w:uiPriority w:val="9"/>
    <w:unhideWhenUsed/>
    <w:qFormat/>
    <w:rsid w:val="005524D9"/>
    <w:pPr>
      <w:keepNext/>
      <w:keepLines/>
      <w:spacing w:before="200" w:after="0" w:line="240" w:lineRule="auto"/>
      <w:outlineLvl w:val="3"/>
    </w:pPr>
    <w:rPr>
      <w:rFonts w:eastAsiaTheme="majorEastAsia" w:cstheme="majorBidi"/>
      <w:bCs/>
      <w:iCs/>
      <w:color w:val="00476D" w:themeColor="accent1"/>
      <w:sz w:val="24"/>
    </w:rPr>
  </w:style>
  <w:style w:type="paragraph" w:styleId="Heading5">
    <w:name w:val="heading 5"/>
    <w:basedOn w:val="Normal"/>
    <w:next w:val="Normal"/>
    <w:link w:val="Heading5Char"/>
    <w:uiPriority w:val="9"/>
    <w:unhideWhenUsed/>
    <w:qFormat/>
    <w:rsid w:val="005524D9"/>
    <w:pPr>
      <w:keepNext/>
      <w:keepLines/>
      <w:spacing w:before="200" w:after="0" w:line="240" w:lineRule="auto"/>
      <w:outlineLvl w:val="4"/>
    </w:pPr>
    <w:rPr>
      <w:rFonts w:eastAsiaTheme="majorEastAsia" w:cstheme="majorBidi"/>
      <w:color w:val="00476D" w:themeColor="accent1"/>
    </w:rPr>
  </w:style>
  <w:style w:type="paragraph" w:styleId="Heading6">
    <w:name w:val="heading 6"/>
    <w:basedOn w:val="Normal"/>
    <w:next w:val="Normal"/>
    <w:link w:val="Heading6Char"/>
    <w:uiPriority w:val="9"/>
    <w:unhideWhenUsed/>
    <w:qFormat/>
    <w:rsid w:val="005524D9"/>
    <w:pPr>
      <w:keepNext/>
      <w:keepLines/>
      <w:spacing w:before="200" w:after="0"/>
      <w:outlineLvl w:val="5"/>
    </w:pPr>
    <w:rPr>
      <w:rFonts w:eastAsiaTheme="majorEastAsia" w:cstheme="majorBidi"/>
      <w:i/>
      <w:iCs/>
      <w:color w:val="002336" w:themeColor="accent1" w:themeShade="7F"/>
    </w:rPr>
  </w:style>
  <w:style w:type="paragraph" w:styleId="Heading7">
    <w:name w:val="heading 7"/>
    <w:basedOn w:val="Normal"/>
    <w:next w:val="Normal"/>
    <w:link w:val="Heading7Char"/>
    <w:uiPriority w:val="9"/>
    <w:unhideWhenUsed/>
    <w:qFormat/>
    <w:rsid w:val="00715399"/>
    <w:pPr>
      <w:keepNext/>
      <w:keepLines/>
      <w:spacing w:before="200" w:after="0"/>
      <w:outlineLvl w:val="6"/>
    </w:pPr>
    <w:rPr>
      <w:rFonts w:asciiTheme="majorHAnsi" w:eastAsiaTheme="majorEastAsia" w:hAnsiTheme="majorHAnsi" w:cstheme="majorBidi"/>
      <w:i/>
      <w:iCs/>
      <w:color w:val="818181"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DB"/>
    <w:pPr>
      <w:spacing w:after="0" w:line="240" w:lineRule="auto"/>
    </w:pPr>
    <w:rPr>
      <w:rFonts w:ascii="Cabin" w:hAnsi="Cabin"/>
      <w:sz w:val="20"/>
    </w:rPr>
  </w:style>
  <w:style w:type="character" w:customStyle="1" w:styleId="Heading1Char">
    <w:name w:val="Heading 1 Char"/>
    <w:basedOn w:val="DefaultParagraphFont"/>
    <w:link w:val="Heading1"/>
    <w:uiPriority w:val="9"/>
    <w:rsid w:val="005524D9"/>
    <w:rPr>
      <w:rFonts w:ascii="Cabin" w:eastAsiaTheme="majorEastAsia" w:hAnsi="Cabin" w:cstheme="majorBidi"/>
      <w:bCs/>
      <w:color w:val="003451" w:themeColor="accent1" w:themeShade="BF"/>
      <w:sz w:val="40"/>
      <w:szCs w:val="28"/>
    </w:rPr>
  </w:style>
  <w:style w:type="character" w:customStyle="1" w:styleId="Heading2Char">
    <w:name w:val="Heading 2 Char"/>
    <w:basedOn w:val="DefaultParagraphFont"/>
    <w:link w:val="Heading2"/>
    <w:uiPriority w:val="9"/>
    <w:rsid w:val="005524D9"/>
    <w:rPr>
      <w:rFonts w:ascii="Cabin" w:eastAsiaTheme="majorEastAsia" w:hAnsi="Cabin" w:cstheme="majorBidi"/>
      <w:bCs/>
      <w:color w:val="00476D" w:themeColor="accent1"/>
      <w:sz w:val="32"/>
      <w:szCs w:val="26"/>
    </w:rPr>
  </w:style>
  <w:style w:type="paragraph" w:styleId="Title">
    <w:name w:val="Title"/>
    <w:basedOn w:val="Normal"/>
    <w:next w:val="Normal"/>
    <w:link w:val="TitleChar"/>
    <w:uiPriority w:val="10"/>
    <w:rsid w:val="00ED28DB"/>
    <w:pPr>
      <w:pBdr>
        <w:bottom w:val="single" w:sz="8" w:space="4" w:color="00476D" w:themeColor="accent1"/>
      </w:pBdr>
      <w:spacing w:after="300" w:line="240" w:lineRule="auto"/>
      <w:contextualSpacing/>
    </w:pPr>
    <w:rPr>
      <w:rFonts w:eastAsiaTheme="majorEastAsia" w:cstheme="majorBidi"/>
      <w:color w:val="003451" w:themeColor="text2" w:themeShade="BF"/>
      <w:spacing w:val="5"/>
      <w:kern w:val="28"/>
      <w:sz w:val="52"/>
      <w:szCs w:val="52"/>
    </w:rPr>
  </w:style>
  <w:style w:type="character" w:customStyle="1" w:styleId="TitleChar">
    <w:name w:val="Title Char"/>
    <w:basedOn w:val="DefaultParagraphFont"/>
    <w:link w:val="Title"/>
    <w:uiPriority w:val="10"/>
    <w:rsid w:val="00ED28DB"/>
    <w:rPr>
      <w:rFonts w:ascii="Cabin" w:eastAsiaTheme="majorEastAsia" w:hAnsi="Cabin" w:cstheme="majorBidi"/>
      <w:color w:val="003451" w:themeColor="text2" w:themeShade="BF"/>
      <w:spacing w:val="5"/>
      <w:kern w:val="28"/>
      <w:sz w:val="52"/>
      <w:szCs w:val="52"/>
    </w:rPr>
  </w:style>
  <w:style w:type="paragraph" w:styleId="Subtitle">
    <w:name w:val="Subtitle"/>
    <w:basedOn w:val="Normal"/>
    <w:next w:val="Normal"/>
    <w:link w:val="SubtitleChar"/>
    <w:uiPriority w:val="11"/>
    <w:rsid w:val="00ED28DB"/>
    <w:pPr>
      <w:numPr>
        <w:ilvl w:val="1"/>
      </w:numPr>
    </w:pPr>
    <w:rPr>
      <w:rFonts w:eastAsiaTheme="majorEastAsia" w:cstheme="majorBidi"/>
      <w:i/>
      <w:iCs/>
      <w:color w:val="00476D" w:themeColor="accent1"/>
      <w:spacing w:val="15"/>
      <w:sz w:val="24"/>
      <w:szCs w:val="24"/>
    </w:rPr>
  </w:style>
  <w:style w:type="character" w:customStyle="1" w:styleId="SubtitleChar">
    <w:name w:val="Subtitle Char"/>
    <w:basedOn w:val="DefaultParagraphFont"/>
    <w:link w:val="Subtitle"/>
    <w:uiPriority w:val="11"/>
    <w:rsid w:val="00ED28DB"/>
    <w:rPr>
      <w:rFonts w:ascii="Cabin" w:eastAsiaTheme="majorEastAsia" w:hAnsi="Cabin" w:cstheme="majorBidi"/>
      <w:i/>
      <w:iCs/>
      <w:color w:val="00476D" w:themeColor="accent1"/>
      <w:spacing w:val="15"/>
      <w:sz w:val="24"/>
      <w:szCs w:val="24"/>
    </w:rPr>
  </w:style>
  <w:style w:type="character" w:styleId="SubtleEmphasis">
    <w:name w:val="Subtle Emphasis"/>
    <w:basedOn w:val="DefaultParagraphFont"/>
    <w:uiPriority w:val="19"/>
    <w:rsid w:val="00ED28DB"/>
    <w:rPr>
      <w:i/>
      <w:iCs/>
      <w:color w:val="ABABAB" w:themeColor="text1" w:themeTint="7F"/>
    </w:rPr>
  </w:style>
  <w:style w:type="character" w:styleId="Emphasis">
    <w:name w:val="Emphasis"/>
    <w:basedOn w:val="DefaultParagraphFont"/>
    <w:uiPriority w:val="20"/>
    <w:rsid w:val="00ED28DB"/>
    <w:rPr>
      <w:i/>
      <w:iCs/>
    </w:rPr>
  </w:style>
  <w:style w:type="character" w:styleId="Strong">
    <w:name w:val="Strong"/>
    <w:basedOn w:val="DefaultParagraphFont"/>
    <w:uiPriority w:val="22"/>
    <w:rsid w:val="00ED28DB"/>
    <w:rPr>
      <w:b/>
      <w:bCs/>
    </w:rPr>
  </w:style>
  <w:style w:type="paragraph" w:styleId="Quote">
    <w:name w:val="Quote"/>
    <w:basedOn w:val="Normal"/>
    <w:next w:val="Normal"/>
    <w:link w:val="QuoteChar"/>
    <w:uiPriority w:val="29"/>
    <w:qFormat/>
    <w:rsid w:val="00654784"/>
    <w:pPr>
      <w:pBdr>
        <w:left w:val="single" w:sz="4" w:space="4" w:color="00A79D" w:themeColor="accent2"/>
        <w:bottom w:val="single" w:sz="4" w:space="1" w:color="FFFFFF" w:themeColor="background1"/>
      </w:pBdr>
      <w:ind w:left="567"/>
    </w:pPr>
    <w:rPr>
      <w:i/>
      <w:iCs/>
      <w:color w:val="00A79D" w:themeColor="accent2"/>
    </w:rPr>
  </w:style>
  <w:style w:type="character" w:customStyle="1" w:styleId="QuoteChar">
    <w:name w:val="Quote Char"/>
    <w:basedOn w:val="DefaultParagraphFont"/>
    <w:link w:val="Quote"/>
    <w:uiPriority w:val="29"/>
    <w:rsid w:val="00654784"/>
    <w:rPr>
      <w:rFonts w:ascii="Cabin" w:hAnsi="Cabin"/>
      <w:i/>
      <w:iCs/>
      <w:color w:val="00A79D" w:themeColor="accent2"/>
      <w:sz w:val="20"/>
    </w:rPr>
  </w:style>
  <w:style w:type="paragraph" w:styleId="IntenseQuote">
    <w:name w:val="Intense Quote"/>
    <w:basedOn w:val="Normal"/>
    <w:next w:val="Normal"/>
    <w:link w:val="IntenseQuoteChar"/>
    <w:uiPriority w:val="30"/>
    <w:rsid w:val="00572012"/>
    <w:pPr>
      <w:pBdr>
        <w:bottom w:val="single" w:sz="4" w:space="4" w:color="00476D" w:themeColor="accent1"/>
      </w:pBdr>
      <w:spacing w:before="200" w:after="280"/>
      <w:ind w:left="936" w:right="936"/>
    </w:pPr>
    <w:rPr>
      <w:bCs/>
      <w:iCs/>
      <w:color w:val="00476D" w:themeColor="accent1"/>
    </w:rPr>
  </w:style>
  <w:style w:type="character" w:customStyle="1" w:styleId="IntenseQuoteChar">
    <w:name w:val="Intense Quote Char"/>
    <w:basedOn w:val="DefaultParagraphFont"/>
    <w:link w:val="IntenseQuote"/>
    <w:uiPriority w:val="30"/>
    <w:rsid w:val="00572012"/>
    <w:rPr>
      <w:rFonts w:ascii="Cabin" w:hAnsi="Cabin"/>
      <w:bCs/>
      <w:iCs/>
      <w:color w:val="00476D" w:themeColor="accent1"/>
      <w:sz w:val="20"/>
    </w:rPr>
  </w:style>
  <w:style w:type="character" w:styleId="SubtleReference">
    <w:name w:val="Subtle Reference"/>
    <w:aliases w:val="Reference"/>
    <w:basedOn w:val="DefaultParagraphFont"/>
    <w:uiPriority w:val="31"/>
    <w:rsid w:val="005524D9"/>
    <w:rPr>
      <w:rFonts w:ascii="Cabin" w:hAnsi="Cabin"/>
      <w:caps w:val="0"/>
      <w:smallCaps w:val="0"/>
      <w:color w:val="585858" w:themeColor="text1"/>
      <w:spacing w:val="0"/>
      <w:sz w:val="16"/>
      <w:u w:val="none"/>
    </w:rPr>
  </w:style>
  <w:style w:type="character" w:styleId="IntenseReference">
    <w:name w:val="Intense Reference"/>
    <w:basedOn w:val="DefaultParagraphFont"/>
    <w:uiPriority w:val="32"/>
    <w:rsid w:val="00ED28DB"/>
    <w:rPr>
      <w:b/>
      <w:bCs/>
      <w:smallCaps/>
      <w:color w:val="00A79D" w:themeColor="accent2"/>
      <w:spacing w:val="5"/>
      <w:u w:val="single"/>
    </w:rPr>
  </w:style>
  <w:style w:type="character" w:styleId="BookTitle">
    <w:name w:val="Book Title"/>
    <w:basedOn w:val="DefaultParagraphFont"/>
    <w:uiPriority w:val="33"/>
    <w:rsid w:val="00ED28DB"/>
    <w:rPr>
      <w:b/>
      <w:bCs/>
      <w:smallCaps/>
      <w:spacing w:val="5"/>
    </w:rPr>
  </w:style>
  <w:style w:type="paragraph" w:styleId="ListParagraph">
    <w:name w:val="List Paragraph"/>
    <w:aliases w:val="left justified List Paragraph"/>
    <w:basedOn w:val="Normal"/>
    <w:uiPriority w:val="34"/>
    <w:qFormat/>
    <w:rsid w:val="00D75948"/>
    <w:pPr>
      <w:numPr>
        <w:numId w:val="1"/>
      </w:numPr>
      <w:contextualSpacing/>
    </w:pPr>
  </w:style>
  <w:style w:type="character" w:customStyle="1" w:styleId="Heading3Char">
    <w:name w:val="Heading 3 Char"/>
    <w:basedOn w:val="DefaultParagraphFont"/>
    <w:link w:val="Heading3"/>
    <w:uiPriority w:val="9"/>
    <w:rsid w:val="005524D9"/>
    <w:rPr>
      <w:rFonts w:ascii="Cabin" w:eastAsiaTheme="majorEastAsia" w:hAnsi="Cabin" w:cstheme="majorBidi"/>
      <w:bCs/>
      <w:color w:val="00476D" w:themeColor="accent1"/>
      <w:sz w:val="26"/>
    </w:rPr>
  </w:style>
  <w:style w:type="character" w:customStyle="1" w:styleId="Heading4Char">
    <w:name w:val="Heading 4 Char"/>
    <w:basedOn w:val="DefaultParagraphFont"/>
    <w:link w:val="Heading4"/>
    <w:uiPriority w:val="9"/>
    <w:rsid w:val="005524D9"/>
    <w:rPr>
      <w:rFonts w:ascii="Cabin" w:eastAsiaTheme="majorEastAsia" w:hAnsi="Cabin" w:cstheme="majorBidi"/>
      <w:bCs/>
      <w:iCs/>
      <w:color w:val="00476D" w:themeColor="accent1"/>
      <w:sz w:val="24"/>
    </w:rPr>
  </w:style>
  <w:style w:type="character" w:styleId="Hyperlink">
    <w:name w:val="Hyperlink"/>
    <w:basedOn w:val="DefaultParagraphFont"/>
    <w:uiPriority w:val="99"/>
    <w:unhideWhenUsed/>
    <w:rsid w:val="00A80AB4"/>
    <w:rPr>
      <w:color w:val="00A79D" w:themeColor="hyperlink"/>
      <w:u w:val="single"/>
    </w:rPr>
  </w:style>
  <w:style w:type="character" w:customStyle="1" w:styleId="Heading5Char">
    <w:name w:val="Heading 5 Char"/>
    <w:basedOn w:val="DefaultParagraphFont"/>
    <w:link w:val="Heading5"/>
    <w:uiPriority w:val="9"/>
    <w:rsid w:val="005524D9"/>
    <w:rPr>
      <w:rFonts w:ascii="Cabin" w:eastAsiaTheme="majorEastAsia" w:hAnsi="Cabin" w:cstheme="majorBidi"/>
      <w:color w:val="00476D" w:themeColor="accent1"/>
      <w:sz w:val="20"/>
    </w:rPr>
  </w:style>
  <w:style w:type="character" w:customStyle="1" w:styleId="Heading6Char">
    <w:name w:val="Heading 6 Char"/>
    <w:basedOn w:val="DefaultParagraphFont"/>
    <w:link w:val="Heading6"/>
    <w:uiPriority w:val="9"/>
    <w:rsid w:val="005524D9"/>
    <w:rPr>
      <w:rFonts w:ascii="Cabin" w:eastAsiaTheme="majorEastAsia" w:hAnsi="Cabin" w:cstheme="majorBidi"/>
      <w:i/>
      <w:iCs/>
      <w:color w:val="002336" w:themeColor="accent1" w:themeShade="7F"/>
      <w:sz w:val="20"/>
    </w:rPr>
  </w:style>
  <w:style w:type="paragraph" w:customStyle="1" w:styleId="ReferenceSml">
    <w:name w:val="Reference Sml"/>
    <w:basedOn w:val="Normal"/>
    <w:link w:val="ReferenceSmlChar"/>
    <w:rsid w:val="006C3389"/>
  </w:style>
  <w:style w:type="paragraph" w:customStyle="1" w:styleId="ReferenceSmall">
    <w:name w:val="Reference Small"/>
    <w:basedOn w:val="Normal"/>
    <w:link w:val="ReferenceSmallChar"/>
    <w:qFormat/>
    <w:rsid w:val="006C3389"/>
    <w:pPr>
      <w:spacing w:line="240" w:lineRule="auto"/>
    </w:pPr>
    <w:rPr>
      <w:sz w:val="16"/>
    </w:rPr>
  </w:style>
  <w:style w:type="character" w:customStyle="1" w:styleId="ReferenceSmlChar">
    <w:name w:val="Reference Sml Char"/>
    <w:basedOn w:val="DefaultParagraphFont"/>
    <w:link w:val="ReferenceSml"/>
    <w:rsid w:val="006C3389"/>
    <w:rPr>
      <w:rFonts w:ascii="Cabin" w:hAnsi="Cabin"/>
      <w:color w:val="585858" w:themeColor="text1"/>
      <w:sz w:val="20"/>
    </w:rPr>
  </w:style>
  <w:style w:type="character" w:customStyle="1" w:styleId="ReferenceSmallChar">
    <w:name w:val="Reference Small Char"/>
    <w:basedOn w:val="DefaultParagraphFont"/>
    <w:link w:val="ReferenceSmall"/>
    <w:rsid w:val="006C3389"/>
    <w:rPr>
      <w:rFonts w:ascii="Cabin" w:hAnsi="Cabin"/>
      <w:color w:val="585858" w:themeColor="text1"/>
      <w:sz w:val="16"/>
    </w:rPr>
  </w:style>
  <w:style w:type="paragraph" w:styleId="Header">
    <w:name w:val="header"/>
    <w:basedOn w:val="Normal"/>
    <w:link w:val="HeaderChar"/>
    <w:uiPriority w:val="99"/>
    <w:unhideWhenUsed/>
    <w:rsid w:val="0063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9DC"/>
    <w:rPr>
      <w:rFonts w:ascii="Cabin" w:hAnsi="Cabin"/>
      <w:color w:val="585858" w:themeColor="text1"/>
      <w:sz w:val="20"/>
    </w:rPr>
  </w:style>
  <w:style w:type="paragraph" w:styleId="Footer">
    <w:name w:val="footer"/>
    <w:basedOn w:val="Normal"/>
    <w:link w:val="FooterChar"/>
    <w:uiPriority w:val="99"/>
    <w:unhideWhenUsed/>
    <w:rsid w:val="0063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9DC"/>
    <w:rPr>
      <w:rFonts w:ascii="Cabin" w:hAnsi="Cabin"/>
      <w:color w:val="585858" w:themeColor="text1"/>
      <w:sz w:val="20"/>
    </w:rPr>
  </w:style>
  <w:style w:type="table" w:styleId="TableGrid">
    <w:name w:val="Table Grid"/>
    <w:basedOn w:val="TableNormal"/>
    <w:uiPriority w:val="59"/>
    <w:rsid w:val="0063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E3"/>
    <w:rPr>
      <w:rFonts w:ascii="Tahoma" w:hAnsi="Tahoma" w:cs="Tahoma"/>
      <w:color w:val="585858" w:themeColor="text1"/>
      <w:sz w:val="16"/>
      <w:szCs w:val="16"/>
    </w:rPr>
  </w:style>
  <w:style w:type="paragraph" w:styleId="EndnoteText">
    <w:name w:val="endnote text"/>
    <w:basedOn w:val="Normal"/>
    <w:link w:val="EndnoteTextChar"/>
    <w:uiPriority w:val="99"/>
    <w:semiHidden/>
    <w:unhideWhenUsed/>
    <w:rsid w:val="00355B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5B75"/>
    <w:rPr>
      <w:rFonts w:eastAsiaTheme="minorEastAsia"/>
      <w:sz w:val="20"/>
      <w:szCs w:val="20"/>
      <w:lang w:eastAsia="en-AU"/>
    </w:rPr>
  </w:style>
  <w:style w:type="character" w:styleId="EndnoteReference">
    <w:name w:val="endnote reference"/>
    <w:basedOn w:val="DefaultParagraphFont"/>
    <w:uiPriority w:val="99"/>
    <w:semiHidden/>
    <w:unhideWhenUsed/>
    <w:rsid w:val="00355B75"/>
    <w:rPr>
      <w:vertAlign w:val="superscript"/>
    </w:rPr>
  </w:style>
  <w:style w:type="character" w:styleId="CommentReference">
    <w:name w:val="annotation reference"/>
    <w:basedOn w:val="DefaultParagraphFont"/>
    <w:uiPriority w:val="99"/>
    <w:semiHidden/>
    <w:unhideWhenUsed/>
    <w:rsid w:val="00782BE4"/>
    <w:rPr>
      <w:sz w:val="16"/>
      <w:szCs w:val="16"/>
    </w:rPr>
  </w:style>
  <w:style w:type="paragraph" w:styleId="CommentText">
    <w:name w:val="annotation text"/>
    <w:basedOn w:val="Normal"/>
    <w:link w:val="CommentTextChar"/>
    <w:uiPriority w:val="99"/>
    <w:semiHidden/>
    <w:unhideWhenUsed/>
    <w:rsid w:val="00782BE4"/>
    <w:pPr>
      <w:spacing w:line="240" w:lineRule="auto"/>
    </w:pPr>
    <w:rPr>
      <w:sz w:val="20"/>
      <w:szCs w:val="20"/>
    </w:rPr>
  </w:style>
  <w:style w:type="character" w:customStyle="1" w:styleId="CommentTextChar">
    <w:name w:val="Comment Text Char"/>
    <w:basedOn w:val="DefaultParagraphFont"/>
    <w:link w:val="CommentText"/>
    <w:uiPriority w:val="99"/>
    <w:semiHidden/>
    <w:rsid w:val="00782BE4"/>
    <w:rPr>
      <w:sz w:val="20"/>
      <w:szCs w:val="20"/>
    </w:rPr>
  </w:style>
  <w:style w:type="paragraph" w:styleId="CommentSubject">
    <w:name w:val="annotation subject"/>
    <w:basedOn w:val="CommentText"/>
    <w:next w:val="CommentText"/>
    <w:link w:val="CommentSubjectChar"/>
    <w:uiPriority w:val="99"/>
    <w:semiHidden/>
    <w:unhideWhenUsed/>
    <w:rsid w:val="00782BE4"/>
    <w:rPr>
      <w:b/>
      <w:bCs/>
    </w:rPr>
  </w:style>
  <w:style w:type="character" w:customStyle="1" w:styleId="CommentSubjectChar">
    <w:name w:val="Comment Subject Char"/>
    <w:basedOn w:val="CommentTextChar"/>
    <w:link w:val="CommentSubject"/>
    <w:uiPriority w:val="99"/>
    <w:semiHidden/>
    <w:rsid w:val="00782BE4"/>
    <w:rPr>
      <w:b/>
      <w:bCs/>
      <w:sz w:val="20"/>
      <w:szCs w:val="20"/>
    </w:rPr>
  </w:style>
  <w:style w:type="paragraph" w:styleId="Revision">
    <w:name w:val="Revision"/>
    <w:hidden/>
    <w:uiPriority w:val="99"/>
    <w:semiHidden/>
    <w:rsid w:val="002F46D4"/>
    <w:pPr>
      <w:spacing w:after="0" w:line="240" w:lineRule="auto"/>
    </w:pPr>
  </w:style>
  <w:style w:type="paragraph" w:styleId="FootnoteText">
    <w:name w:val="footnote text"/>
    <w:basedOn w:val="Normal"/>
    <w:link w:val="FootnoteTextChar"/>
    <w:uiPriority w:val="99"/>
    <w:unhideWhenUsed/>
    <w:rsid w:val="00C076BB"/>
    <w:pPr>
      <w:spacing w:after="0" w:line="240" w:lineRule="auto"/>
    </w:pPr>
    <w:rPr>
      <w:sz w:val="20"/>
      <w:szCs w:val="20"/>
    </w:rPr>
  </w:style>
  <w:style w:type="character" w:customStyle="1" w:styleId="FootnoteTextChar">
    <w:name w:val="Footnote Text Char"/>
    <w:basedOn w:val="DefaultParagraphFont"/>
    <w:link w:val="FootnoteText"/>
    <w:uiPriority w:val="99"/>
    <w:rsid w:val="00C076BB"/>
    <w:rPr>
      <w:sz w:val="20"/>
      <w:szCs w:val="20"/>
    </w:rPr>
  </w:style>
  <w:style w:type="character" w:styleId="FootnoteReference">
    <w:name w:val="footnote reference"/>
    <w:basedOn w:val="DefaultParagraphFont"/>
    <w:uiPriority w:val="99"/>
    <w:semiHidden/>
    <w:unhideWhenUsed/>
    <w:rsid w:val="00C076BB"/>
    <w:rPr>
      <w:vertAlign w:val="superscript"/>
    </w:rPr>
  </w:style>
  <w:style w:type="character" w:customStyle="1" w:styleId="Heading7Char">
    <w:name w:val="Heading 7 Char"/>
    <w:basedOn w:val="DefaultParagraphFont"/>
    <w:link w:val="Heading7"/>
    <w:uiPriority w:val="9"/>
    <w:rsid w:val="00715399"/>
    <w:rPr>
      <w:rFonts w:asciiTheme="majorHAnsi" w:eastAsiaTheme="majorEastAsia" w:hAnsiTheme="majorHAnsi" w:cstheme="majorBidi"/>
      <w:i/>
      <w:iCs/>
      <w:color w:val="818181" w:themeColor="text1" w:themeTint="BF"/>
    </w:rPr>
  </w:style>
</w:styles>
</file>

<file path=word/webSettings.xml><?xml version="1.0" encoding="utf-8"?>
<w:webSettings xmlns:r="http://schemas.openxmlformats.org/officeDocument/2006/relationships" xmlns:w="http://schemas.openxmlformats.org/wordprocessingml/2006/main">
  <w:divs>
    <w:div w:id="503324082">
      <w:bodyDiv w:val="1"/>
      <w:marLeft w:val="0"/>
      <w:marRight w:val="0"/>
      <w:marTop w:val="0"/>
      <w:marBottom w:val="0"/>
      <w:divBdr>
        <w:top w:val="none" w:sz="0" w:space="0" w:color="auto"/>
        <w:left w:val="none" w:sz="0" w:space="0" w:color="auto"/>
        <w:bottom w:val="none" w:sz="0" w:space="0" w:color="auto"/>
        <w:right w:val="none" w:sz="0" w:space="0" w:color="auto"/>
      </w:divBdr>
    </w:div>
    <w:div w:id="1471941836">
      <w:bodyDiv w:val="1"/>
      <w:marLeft w:val="0"/>
      <w:marRight w:val="0"/>
      <w:marTop w:val="0"/>
      <w:marBottom w:val="0"/>
      <w:divBdr>
        <w:top w:val="none" w:sz="0" w:space="0" w:color="auto"/>
        <w:left w:val="none" w:sz="0" w:space="0" w:color="auto"/>
        <w:bottom w:val="none" w:sz="0" w:space="0" w:color="auto"/>
        <w:right w:val="none" w:sz="0" w:space="0" w:color="auto"/>
      </w:divBdr>
    </w:div>
    <w:div w:id="16441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ationships.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Relationships Australia">
      <a:dk1>
        <a:srgbClr val="585858"/>
      </a:dk1>
      <a:lt1>
        <a:sysClr val="window" lastClr="FFFFFF"/>
      </a:lt1>
      <a:dk2>
        <a:srgbClr val="00476D"/>
      </a:dk2>
      <a:lt2>
        <a:srgbClr val="FFFFFF"/>
      </a:lt2>
      <a:accent1>
        <a:srgbClr val="00476D"/>
      </a:accent1>
      <a:accent2>
        <a:srgbClr val="00A79D"/>
      </a:accent2>
      <a:accent3>
        <a:srgbClr val="C4D82E"/>
      </a:accent3>
      <a:accent4>
        <a:srgbClr val="D8D8D8"/>
      </a:accent4>
      <a:accent5>
        <a:srgbClr val="A5A5A5"/>
      </a:accent5>
      <a:accent6>
        <a:srgbClr val="92A21E"/>
      </a:accent6>
      <a:hlink>
        <a:srgbClr val="00A79D"/>
      </a:hlink>
      <a:folHlink>
        <a:srgbClr val="00A7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F3D7-AD50-4CE8-81F7-3BFAE095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4904</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Mance</dc:creator>
  <cp:lastModifiedBy>marie-claire.muir</cp:lastModifiedBy>
  <cp:revision>2</cp:revision>
  <cp:lastPrinted>2016-03-15T23:52:00Z</cp:lastPrinted>
  <dcterms:created xsi:type="dcterms:W3CDTF">2016-09-12T01:02:00Z</dcterms:created>
  <dcterms:modified xsi:type="dcterms:W3CDTF">2016-09-12T01:02:00Z</dcterms:modified>
</cp:coreProperties>
</file>